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bookmarkStart w:id="0" w:name="_top"/>
            <w:bookmarkEnd w:id="0"/>
          </w:p>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B831B9" w:rsidRDefault="004E5CD5" w:rsidP="004E5CD5">
            <w:pPr>
              <w:pStyle w:val="Lettrine"/>
            </w:pPr>
            <w:r w:rsidRPr="00B831B9">
              <w:t>E</w:t>
            </w:r>
          </w:p>
          <w:p w:rsidR="004E5CD5" w:rsidRPr="00B831B9" w:rsidRDefault="001B0FE5" w:rsidP="004E5CD5">
            <w:pPr>
              <w:spacing w:line="280" w:lineRule="exact"/>
              <w:ind w:left="1447"/>
              <w:jc w:val="left"/>
              <w:rPr>
                <w:rFonts w:cs="Arial"/>
              </w:rPr>
            </w:pPr>
            <w:r w:rsidRPr="00B831B9">
              <w:rPr>
                <w:rFonts w:cs="Arial"/>
                <w:b/>
                <w:spacing w:val="10"/>
              </w:rPr>
              <w:t>UPOV/EXN/</w:t>
            </w:r>
            <w:r w:rsidR="00770267" w:rsidRPr="00B831B9">
              <w:rPr>
                <w:rFonts w:cs="Arial"/>
                <w:b/>
                <w:spacing w:val="10"/>
              </w:rPr>
              <w:t xml:space="preserve">PPM Draft </w:t>
            </w:r>
            <w:r w:rsidR="00BB2CFC">
              <w:rPr>
                <w:rFonts w:cs="Arial"/>
                <w:b/>
                <w:spacing w:val="10"/>
              </w:rPr>
              <w:t>2</w:t>
            </w:r>
            <w:r w:rsidR="004E5CD5" w:rsidRPr="00B831B9">
              <w:rPr>
                <w:rFonts w:cs="Arial"/>
                <w:b/>
                <w:spacing w:val="10"/>
              </w:rPr>
              <w:br/>
            </w:r>
            <w:r w:rsidR="004E5CD5" w:rsidRPr="00B831B9">
              <w:rPr>
                <w:rFonts w:cs="Arial"/>
                <w:b/>
              </w:rPr>
              <w:t>ORIGINAL:</w:t>
            </w:r>
            <w:r w:rsidR="004E5CD5" w:rsidRPr="00B831B9">
              <w:rPr>
                <w:rFonts w:cs="Arial"/>
              </w:rPr>
              <w:t xml:space="preserve">  English</w:t>
            </w:r>
          </w:p>
          <w:p w:rsidR="004E5CD5" w:rsidRPr="00B831B9" w:rsidRDefault="004E5CD5" w:rsidP="00CC7889">
            <w:pPr>
              <w:pStyle w:val="Docoriginal"/>
              <w:ind w:left="1447"/>
              <w:jc w:val="left"/>
              <w:rPr>
                <w:b w:val="0"/>
                <w:spacing w:val="0"/>
              </w:rPr>
            </w:pPr>
            <w:r w:rsidRPr="00B831B9">
              <w:rPr>
                <w:rFonts w:cs="Arial"/>
                <w:spacing w:val="0"/>
              </w:rPr>
              <w:t xml:space="preserve">DATE: </w:t>
            </w:r>
            <w:r w:rsidRPr="00B831B9">
              <w:rPr>
                <w:rFonts w:cs="Arial"/>
                <w:b w:val="0"/>
                <w:spacing w:val="0"/>
              </w:rPr>
              <w:t xml:space="preserve"> </w:t>
            </w:r>
            <w:r w:rsidR="0048119C">
              <w:rPr>
                <w:rFonts w:cs="Arial"/>
                <w:b w:val="0"/>
                <w:spacing w:val="0"/>
              </w:rPr>
              <w:t>May 12</w:t>
            </w:r>
            <w:r w:rsidR="00CC7889">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770267" w:rsidRPr="000C035D">
        <w:t>PROPAGATION AND PROPAGATING MATERIAL</w:t>
      </w:r>
      <w:r w:rsidR="004A4AC3">
        <w:br/>
      </w:r>
      <w:r w:rsidR="004A4AC3">
        <w:br/>
        <w:t>UNDER THE UPOV CONVENTION</w:t>
      </w:r>
    </w:p>
    <w:p w:rsidR="00BE4EC4" w:rsidRPr="0019030C" w:rsidRDefault="000D1E86" w:rsidP="006611CA">
      <w:pPr>
        <w:pStyle w:val="preparedby0"/>
        <w:autoSpaceDE w:val="0"/>
        <w:spacing w:after="960"/>
        <w:rPr>
          <w:rFonts w:cs="Arial"/>
        </w:rPr>
      </w:pPr>
      <w:r>
        <w:rPr>
          <w:rFonts w:cs="Arial"/>
        </w:rPr>
        <w:br/>
      </w:r>
      <w:r>
        <w:rPr>
          <w:rFonts w:cs="Arial"/>
        </w:rPr>
        <w:br/>
      </w:r>
      <w:r w:rsidR="00BE4EC4" w:rsidRPr="0019030C">
        <w:rPr>
          <w:rFonts w:cs="Arial"/>
        </w:rPr>
        <w:t>Document prepared by the Office of the Unio</w:t>
      </w:r>
      <w:r w:rsidR="00A05151">
        <w:rPr>
          <w:rFonts w:cs="Arial"/>
        </w:rPr>
        <w:t>n</w:t>
      </w:r>
      <w:r w:rsidR="00BE4EC4" w:rsidRPr="0019030C">
        <w:rPr>
          <w:rFonts w:cs="Arial"/>
        </w:rPr>
        <w:br/>
      </w:r>
      <w:r w:rsidR="00BE4EC4" w:rsidRPr="0019030C">
        <w:rPr>
          <w:rFonts w:cs="Arial"/>
        </w:rPr>
        <w:br/>
      </w:r>
      <w:r w:rsidR="00BB2CFC">
        <w:rPr>
          <w:rFonts w:cs="Arial"/>
        </w:rPr>
        <w:t xml:space="preserve">to be considered by the </w:t>
      </w:r>
      <w:r w:rsidR="00BB2CFC" w:rsidRPr="00BB2CFC">
        <w:rPr>
          <w:rFonts w:cs="Arial"/>
        </w:rPr>
        <w:t xml:space="preserve">Administrative and </w:t>
      </w:r>
      <w:r w:rsidR="00BB2CFC">
        <w:rPr>
          <w:rFonts w:cs="Arial"/>
        </w:rPr>
        <w:t>Legal Committee Advisory Group</w:t>
      </w:r>
      <w:r w:rsidR="00BB2CFC">
        <w:rPr>
          <w:rFonts w:cs="Arial"/>
        </w:rPr>
        <w:br/>
        <w:t>by correspondence</w:t>
      </w:r>
      <w:r w:rsidR="007E649A">
        <w:rPr>
          <w:rFonts w:cs="Arial"/>
        </w:rPr>
        <w:br/>
      </w:r>
      <w:r w:rsidR="007E649A">
        <w:rPr>
          <w:rFonts w:cs="Arial"/>
        </w:rPr>
        <w:br/>
      </w:r>
      <w:r w:rsidR="007E649A"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B2CFC" w:rsidRPr="004229F4" w:rsidTr="00C26DD5">
        <w:trPr>
          <w:cantSplit/>
          <w:jc w:val="center"/>
        </w:trPr>
        <w:tc>
          <w:tcPr>
            <w:tcW w:w="6664" w:type="dxa"/>
            <w:shd w:val="clear" w:color="auto" w:fill="E6E6E6"/>
          </w:tcPr>
          <w:p w:rsidR="00BB2CFC" w:rsidRPr="008365E7" w:rsidRDefault="00BB2CFC" w:rsidP="00C26DD5">
            <w:pPr>
              <w:jc w:val="center"/>
              <w:rPr>
                <w:rFonts w:cs="Arial"/>
                <w:sz w:val="18"/>
                <w:szCs w:val="22"/>
                <w:u w:val="single"/>
              </w:rPr>
            </w:pPr>
            <w:r w:rsidRPr="008365E7">
              <w:rPr>
                <w:rFonts w:cs="Arial"/>
                <w:sz w:val="18"/>
                <w:szCs w:val="22"/>
                <w:u w:val="single"/>
              </w:rPr>
              <w:t>Note for Draft version</w:t>
            </w:r>
          </w:p>
          <w:p w:rsidR="00BB2CFC" w:rsidRPr="008365E7" w:rsidRDefault="00BB2CFC" w:rsidP="00C26DD5">
            <w:pPr>
              <w:rPr>
                <w:rFonts w:cs="Arial"/>
                <w:sz w:val="18"/>
                <w:szCs w:val="22"/>
                <w:u w:val="single"/>
              </w:rPr>
            </w:pPr>
          </w:p>
          <w:p w:rsidR="00BB2CFC" w:rsidRPr="008365E7" w:rsidRDefault="00BB2CFC" w:rsidP="00C26DD5">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w:t>
            </w:r>
            <w:r>
              <w:rPr>
                <w:rFonts w:cs="Arial"/>
                <w:sz w:val="18"/>
                <w:szCs w:val="22"/>
              </w:rPr>
              <w:t xml:space="preserve">the text of document UPOV/EXN/PPM Draft </w:t>
            </w:r>
            <w:r w:rsidR="00935FE3">
              <w:rPr>
                <w:rFonts w:cs="Arial"/>
                <w:sz w:val="18"/>
                <w:szCs w:val="22"/>
              </w:rPr>
              <w:t>1</w:t>
            </w:r>
            <w:r>
              <w:rPr>
                <w:rFonts w:cs="Arial"/>
                <w:sz w:val="18"/>
                <w:szCs w:val="22"/>
              </w:rPr>
              <w:t>.</w:t>
            </w:r>
          </w:p>
          <w:p w:rsidR="00BB2CFC" w:rsidRPr="008365E7" w:rsidRDefault="00BB2CFC" w:rsidP="00C26DD5">
            <w:pPr>
              <w:rPr>
                <w:rFonts w:cs="Arial"/>
                <w:sz w:val="18"/>
                <w:szCs w:val="22"/>
              </w:rPr>
            </w:pPr>
          </w:p>
          <w:p w:rsidR="00BB2CFC" w:rsidRPr="008365E7" w:rsidRDefault="00BB2CFC" w:rsidP="00C26DD5">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PPM</w:t>
            </w:r>
            <w:r w:rsidRPr="008365E7">
              <w:rPr>
                <w:rFonts w:cs="Arial"/>
                <w:sz w:val="18"/>
                <w:szCs w:val="22"/>
              </w:rPr>
              <w:t>/</w:t>
            </w:r>
            <w:r>
              <w:rPr>
                <w:rFonts w:cs="Arial"/>
                <w:sz w:val="18"/>
                <w:szCs w:val="22"/>
              </w:rPr>
              <w:t xml:space="preserve">1 Draft </w:t>
            </w:r>
            <w:r w:rsidR="00935FE3">
              <w:rPr>
                <w:rFonts w:cs="Arial"/>
                <w:sz w:val="18"/>
                <w:szCs w:val="22"/>
              </w:rPr>
              <w:t>1</w:t>
            </w:r>
            <w:r w:rsidRPr="008365E7">
              <w:rPr>
                <w:rFonts w:cs="Arial"/>
                <w:sz w:val="18"/>
                <w:szCs w:val="22"/>
              </w:rPr>
              <w:t>.</w:t>
            </w:r>
          </w:p>
          <w:p w:rsidR="00BB2CFC" w:rsidRPr="008365E7" w:rsidRDefault="00BB2CFC" w:rsidP="00C26DD5">
            <w:pPr>
              <w:rPr>
                <w:rFonts w:cs="Arial"/>
                <w:sz w:val="18"/>
                <w:szCs w:val="22"/>
              </w:rPr>
            </w:pPr>
          </w:p>
          <w:p w:rsidR="00BB2CFC" w:rsidRPr="008365E7" w:rsidRDefault="00BB2CFC" w:rsidP="00C26DD5">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BB2CFC" w:rsidRPr="008365E7" w:rsidRDefault="00BB2CFC" w:rsidP="00C26DD5">
            <w:pPr>
              <w:rPr>
                <w:rFonts w:cs="Arial"/>
                <w:sz w:val="18"/>
                <w:szCs w:val="22"/>
              </w:rPr>
            </w:pPr>
          </w:p>
          <w:p w:rsidR="00BB2CFC" w:rsidRPr="008365E7" w:rsidRDefault="00BB2CFC" w:rsidP="00C26DD5">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BE4EC4" w:rsidRPr="0019030C" w:rsidRDefault="00BE4EC4" w:rsidP="006A4623">
      <w:pPr>
        <w:jc w:val="left"/>
        <w:rPr>
          <w:rFonts w:cs="Arial"/>
        </w:rPr>
      </w:pPr>
    </w:p>
    <w:p w:rsidR="006A4623" w:rsidRDefault="006A4623">
      <w:pPr>
        <w:jc w:val="left"/>
        <w:rPr>
          <w:rFonts w:cs="Arial"/>
        </w:rPr>
      </w:pPr>
    </w:p>
    <w:p w:rsidR="0043289A" w:rsidRDefault="0043289A">
      <w:pPr>
        <w:jc w:val="left"/>
        <w:rPr>
          <w:rFonts w:cs="Arial"/>
        </w:rPr>
      </w:pPr>
      <w:r>
        <w:rPr>
          <w:rFonts w:cs="Arial"/>
        </w:rPr>
        <w:br w:type="page"/>
      </w:r>
    </w:p>
    <w:p w:rsidR="0043289A" w:rsidRPr="0019030C" w:rsidRDefault="0043289A" w:rsidP="0043289A">
      <w:pPr>
        <w:jc w:val="center"/>
        <w:rPr>
          <w:rFonts w:cs="Arial"/>
        </w:rPr>
      </w:pPr>
      <w:r w:rsidRPr="0019030C">
        <w:rPr>
          <w:rFonts w:cs="Arial"/>
        </w:rPr>
        <w:lastRenderedPageBreak/>
        <w:t>CONTENTS</w:t>
      </w:r>
    </w:p>
    <w:p w:rsidR="0043289A" w:rsidRPr="0019030C" w:rsidRDefault="0043289A" w:rsidP="0043289A">
      <w:pPr>
        <w:jc w:val="center"/>
        <w:rPr>
          <w:rFonts w:cs="Arial"/>
        </w:rPr>
      </w:pPr>
    </w:p>
    <w:p w:rsidR="005E6C21" w:rsidRDefault="0043289A">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87678076" w:history="1">
        <w:r w:rsidR="005E6C21" w:rsidRPr="00B60C77">
          <w:rPr>
            <w:rStyle w:val="Hyperlink"/>
          </w:rPr>
          <w:t>EXPLANATORY NOTES ON PROPAGATION AND PROPAGATING MATERIAL UNDER THE 1991 ACT OF THE UPOV CONVENTION</w:t>
        </w:r>
        <w:r w:rsidR="005E6C21">
          <w:rPr>
            <w:noProof/>
            <w:webHidden/>
          </w:rPr>
          <w:tab/>
        </w:r>
        <w:r w:rsidR="005E6C21">
          <w:rPr>
            <w:noProof/>
            <w:webHidden/>
          </w:rPr>
          <w:fldChar w:fldCharType="begin"/>
        </w:r>
        <w:r w:rsidR="005E6C21">
          <w:rPr>
            <w:noProof/>
            <w:webHidden/>
          </w:rPr>
          <w:instrText xml:space="preserve"> PAGEREF _Toc387678076 \h </w:instrText>
        </w:r>
        <w:r w:rsidR="005E6C21">
          <w:rPr>
            <w:noProof/>
            <w:webHidden/>
          </w:rPr>
        </w:r>
        <w:r w:rsidR="005E6C21">
          <w:rPr>
            <w:noProof/>
            <w:webHidden/>
          </w:rPr>
          <w:fldChar w:fldCharType="separate"/>
        </w:r>
        <w:r w:rsidR="00E54488">
          <w:rPr>
            <w:noProof/>
            <w:webHidden/>
          </w:rPr>
          <w:t>3</w:t>
        </w:r>
        <w:r w:rsidR="005E6C21">
          <w:rPr>
            <w:noProof/>
            <w:webHidden/>
          </w:rPr>
          <w:fldChar w:fldCharType="end"/>
        </w:r>
      </w:hyperlink>
    </w:p>
    <w:p w:rsidR="005E6C21" w:rsidRDefault="005E6C21">
      <w:pPr>
        <w:pStyle w:val="TOC1"/>
        <w:rPr>
          <w:rFonts w:asciiTheme="minorHAnsi" w:eastAsiaTheme="minorEastAsia" w:hAnsiTheme="minorHAnsi" w:cstheme="minorBidi"/>
          <w:bCs w:val="0"/>
          <w:caps w:val="0"/>
          <w:noProof/>
          <w:sz w:val="22"/>
          <w:szCs w:val="22"/>
        </w:rPr>
      </w:pPr>
      <w:hyperlink w:anchor="_Toc387678077" w:history="1">
        <w:r w:rsidRPr="00B60C77">
          <w:rPr>
            <w:rStyle w:val="Hyperlink"/>
          </w:rPr>
          <w:t>PREAMBLE</w:t>
        </w:r>
        <w:r>
          <w:rPr>
            <w:noProof/>
            <w:webHidden/>
          </w:rPr>
          <w:tab/>
        </w:r>
        <w:r>
          <w:rPr>
            <w:noProof/>
            <w:webHidden/>
          </w:rPr>
          <w:fldChar w:fldCharType="begin"/>
        </w:r>
        <w:r>
          <w:rPr>
            <w:noProof/>
            <w:webHidden/>
          </w:rPr>
          <w:instrText xml:space="preserve"> PAGEREF _Toc387678077 \h </w:instrText>
        </w:r>
        <w:r>
          <w:rPr>
            <w:noProof/>
            <w:webHidden/>
          </w:rPr>
        </w:r>
        <w:r>
          <w:rPr>
            <w:noProof/>
            <w:webHidden/>
          </w:rPr>
          <w:fldChar w:fldCharType="separate"/>
        </w:r>
        <w:r w:rsidR="00E54488">
          <w:rPr>
            <w:noProof/>
            <w:webHidden/>
          </w:rPr>
          <w:t>3</w:t>
        </w:r>
        <w:r>
          <w:rPr>
            <w:noProof/>
            <w:webHidden/>
          </w:rPr>
          <w:fldChar w:fldCharType="end"/>
        </w:r>
      </w:hyperlink>
    </w:p>
    <w:p w:rsidR="005E6C21" w:rsidRDefault="005E6C21">
      <w:pPr>
        <w:pStyle w:val="TOC1"/>
        <w:rPr>
          <w:rFonts w:asciiTheme="minorHAnsi" w:eastAsiaTheme="minorEastAsia" w:hAnsiTheme="minorHAnsi" w:cstheme="minorBidi"/>
          <w:bCs w:val="0"/>
          <w:caps w:val="0"/>
          <w:noProof/>
          <w:sz w:val="22"/>
          <w:szCs w:val="22"/>
        </w:rPr>
      </w:pPr>
      <w:hyperlink w:anchor="_Toc387678078" w:history="1">
        <w:r w:rsidRPr="00B60C77">
          <w:rPr>
            <w:rStyle w:val="Hyperlink"/>
          </w:rPr>
          <w:t>PROPAGATION AND PROPAGATING MATERIAL</w:t>
        </w:r>
        <w:r>
          <w:rPr>
            <w:noProof/>
            <w:webHidden/>
          </w:rPr>
          <w:tab/>
        </w:r>
        <w:r>
          <w:rPr>
            <w:noProof/>
            <w:webHidden/>
          </w:rPr>
          <w:fldChar w:fldCharType="begin"/>
        </w:r>
        <w:r>
          <w:rPr>
            <w:noProof/>
            <w:webHidden/>
          </w:rPr>
          <w:instrText xml:space="preserve"> PAGEREF _Toc387678078 \h </w:instrText>
        </w:r>
        <w:r>
          <w:rPr>
            <w:noProof/>
            <w:webHidden/>
          </w:rPr>
        </w:r>
        <w:r>
          <w:rPr>
            <w:noProof/>
            <w:webHidden/>
          </w:rPr>
          <w:fldChar w:fldCharType="separate"/>
        </w:r>
        <w:r w:rsidR="00E54488">
          <w:rPr>
            <w:noProof/>
            <w:webHidden/>
          </w:rPr>
          <w:t>4</w:t>
        </w:r>
        <w:r>
          <w:rPr>
            <w:noProof/>
            <w:webHidden/>
          </w:rPr>
          <w:fldChar w:fldCharType="end"/>
        </w:r>
      </w:hyperlink>
    </w:p>
    <w:p w:rsidR="005E6C21" w:rsidRDefault="005E6C21">
      <w:pPr>
        <w:pStyle w:val="TOC2"/>
        <w:rPr>
          <w:rFonts w:asciiTheme="minorHAnsi" w:eastAsiaTheme="minorEastAsia" w:hAnsiTheme="minorHAnsi" w:cstheme="minorBidi"/>
          <w:i w:val="0"/>
          <w:noProof/>
          <w:sz w:val="22"/>
          <w:szCs w:val="22"/>
        </w:rPr>
      </w:pPr>
      <w:hyperlink w:anchor="_Toc387678079" w:history="1">
        <w:r w:rsidRPr="00B60C77">
          <w:rPr>
            <w:rStyle w:val="Hyperlink"/>
          </w:rPr>
          <w:t>(a)</w:t>
        </w:r>
        <w:r>
          <w:rPr>
            <w:rFonts w:asciiTheme="minorHAnsi" w:eastAsiaTheme="minorEastAsia" w:hAnsiTheme="minorHAnsi" w:cstheme="minorBidi"/>
            <w:i w:val="0"/>
            <w:noProof/>
            <w:sz w:val="22"/>
            <w:szCs w:val="22"/>
          </w:rPr>
          <w:tab/>
        </w:r>
        <w:r w:rsidRPr="00B60C77">
          <w:rPr>
            <w:rStyle w:val="Hyperlink"/>
          </w:rPr>
          <w:t>Relevant articles of the 1991 Act of the UPOV Convention</w:t>
        </w:r>
        <w:r>
          <w:rPr>
            <w:noProof/>
            <w:webHidden/>
          </w:rPr>
          <w:tab/>
        </w:r>
        <w:r>
          <w:rPr>
            <w:noProof/>
            <w:webHidden/>
          </w:rPr>
          <w:fldChar w:fldCharType="begin"/>
        </w:r>
        <w:r>
          <w:rPr>
            <w:noProof/>
            <w:webHidden/>
          </w:rPr>
          <w:instrText xml:space="preserve"> PAGEREF _Toc387678079 \h </w:instrText>
        </w:r>
        <w:r>
          <w:rPr>
            <w:noProof/>
            <w:webHidden/>
          </w:rPr>
        </w:r>
        <w:r>
          <w:rPr>
            <w:noProof/>
            <w:webHidden/>
          </w:rPr>
          <w:fldChar w:fldCharType="separate"/>
        </w:r>
        <w:r w:rsidR="00E54488">
          <w:rPr>
            <w:noProof/>
            <w:webHidden/>
          </w:rPr>
          <w:t>4</w:t>
        </w:r>
        <w:r>
          <w:rPr>
            <w:noProof/>
            <w:webHidden/>
          </w:rPr>
          <w:fldChar w:fldCharType="end"/>
        </w:r>
      </w:hyperlink>
    </w:p>
    <w:p w:rsidR="005E6C21" w:rsidRDefault="005E6C21">
      <w:pPr>
        <w:pStyle w:val="TOC2"/>
        <w:rPr>
          <w:rFonts w:asciiTheme="minorHAnsi" w:eastAsiaTheme="minorEastAsia" w:hAnsiTheme="minorHAnsi" w:cstheme="minorBidi"/>
          <w:i w:val="0"/>
          <w:noProof/>
          <w:sz w:val="22"/>
          <w:szCs w:val="22"/>
        </w:rPr>
      </w:pPr>
      <w:hyperlink w:anchor="_Toc387678080" w:history="1">
        <w:r w:rsidRPr="00B60C77">
          <w:rPr>
            <w:rStyle w:val="Hyperlink"/>
          </w:rPr>
          <w:t>(b)</w:t>
        </w:r>
        <w:r>
          <w:rPr>
            <w:rFonts w:asciiTheme="minorHAnsi" w:eastAsiaTheme="minorEastAsia" w:hAnsiTheme="minorHAnsi" w:cstheme="minorBidi"/>
            <w:i w:val="0"/>
            <w:noProof/>
            <w:sz w:val="22"/>
            <w:szCs w:val="22"/>
          </w:rPr>
          <w:tab/>
        </w:r>
        <w:r w:rsidRPr="00B60C77">
          <w:rPr>
            <w:rStyle w:val="Hyperlink"/>
          </w:rPr>
          <w:t xml:space="preserve">Factors that might be considered in relation to propagating material  </w:t>
        </w:r>
        <w:r>
          <w:rPr>
            <w:noProof/>
            <w:webHidden/>
          </w:rPr>
          <w:tab/>
        </w:r>
        <w:r>
          <w:rPr>
            <w:noProof/>
            <w:webHidden/>
          </w:rPr>
          <w:fldChar w:fldCharType="begin"/>
        </w:r>
        <w:r>
          <w:rPr>
            <w:noProof/>
            <w:webHidden/>
          </w:rPr>
          <w:instrText xml:space="preserve"> PAGEREF _Toc387678080 \h </w:instrText>
        </w:r>
        <w:r>
          <w:rPr>
            <w:noProof/>
            <w:webHidden/>
          </w:rPr>
        </w:r>
        <w:r>
          <w:rPr>
            <w:noProof/>
            <w:webHidden/>
          </w:rPr>
          <w:fldChar w:fldCharType="separate"/>
        </w:r>
        <w:r w:rsidR="00E54488">
          <w:rPr>
            <w:noProof/>
            <w:webHidden/>
          </w:rPr>
          <w:t>5</w:t>
        </w:r>
        <w:r>
          <w:rPr>
            <w:noProof/>
            <w:webHidden/>
          </w:rPr>
          <w:fldChar w:fldCharType="end"/>
        </w:r>
      </w:hyperlink>
    </w:p>
    <w:p w:rsidR="0043289A" w:rsidRPr="0019030C" w:rsidRDefault="0043289A" w:rsidP="0043289A">
      <w:pPr>
        <w:jc w:val="center"/>
        <w:rPr>
          <w:rFonts w:cs="Arial"/>
        </w:rPr>
      </w:pPr>
      <w:r w:rsidRPr="0019030C">
        <w:rPr>
          <w:caps/>
          <w:snapToGrid w:val="0"/>
        </w:rPr>
        <w:fldChar w:fldCharType="end"/>
      </w:r>
    </w:p>
    <w:p w:rsidR="0043289A" w:rsidRPr="0019030C" w:rsidRDefault="0043289A" w:rsidP="0043289A">
      <w:pPr>
        <w:jc w:val="center"/>
        <w:rPr>
          <w:rFonts w:cs="Arial"/>
        </w:rPr>
      </w:pPr>
    </w:p>
    <w:p w:rsidR="0043289A" w:rsidRPr="0019030C" w:rsidRDefault="0043289A" w:rsidP="0043289A">
      <w:pPr>
        <w:jc w:val="center"/>
        <w:rPr>
          <w:rFonts w:cs="Arial"/>
        </w:rPr>
      </w:pPr>
      <w:r w:rsidRPr="0019030C">
        <w:rPr>
          <w:rFonts w:cs="Arial"/>
        </w:rPr>
        <w:t xml:space="preserve"> </w:t>
      </w:r>
    </w:p>
    <w:p w:rsidR="0043289A" w:rsidRPr="0019030C" w:rsidRDefault="0043289A" w:rsidP="0043289A">
      <w:r w:rsidRPr="0019030C">
        <w:br w:type="page"/>
      </w:r>
      <w:bookmarkStart w:id="1" w:name="_GoBack"/>
      <w:bookmarkEnd w:id="1"/>
    </w:p>
    <w:p w:rsidR="0043289A" w:rsidRPr="0019030C" w:rsidRDefault="0043289A" w:rsidP="009562C6">
      <w:pPr>
        <w:pStyle w:val="Heading1"/>
      </w:pPr>
      <w:bookmarkStart w:id="2" w:name="_Toc331410075"/>
      <w:bookmarkStart w:id="3" w:name="_Toc387678076"/>
      <w:r w:rsidRPr="0019030C">
        <w:lastRenderedPageBreak/>
        <w:t xml:space="preserve">EXPLANATORY NOTES ON </w:t>
      </w:r>
      <w:r>
        <w:t xml:space="preserve">PROPAGATION AND PROPAGATING </w:t>
      </w:r>
      <w:r w:rsidRPr="0019030C">
        <w:t>MATERIAL</w:t>
      </w:r>
      <w:r w:rsidRPr="0019030C">
        <w:br/>
        <w:t>UNDER THE 1991 ACT OF THE UPOV CONVENTION</w:t>
      </w:r>
      <w:bookmarkEnd w:id="2"/>
      <w:bookmarkEnd w:id="3"/>
    </w:p>
    <w:p w:rsidR="0043289A" w:rsidRPr="0019030C" w:rsidRDefault="0043289A" w:rsidP="0043289A">
      <w:pPr>
        <w:jc w:val="center"/>
      </w:pPr>
    </w:p>
    <w:p w:rsidR="0043289A" w:rsidRDefault="0043289A" w:rsidP="0043289A">
      <w:pPr>
        <w:jc w:val="center"/>
        <w:rPr>
          <w:rFonts w:cs="Arial"/>
        </w:rPr>
      </w:pPr>
    </w:p>
    <w:p w:rsidR="0043289A" w:rsidRPr="00C140D4" w:rsidRDefault="0043289A" w:rsidP="0043289A">
      <w:pPr>
        <w:jc w:val="center"/>
        <w:rPr>
          <w:rFonts w:cs="Arial"/>
        </w:rPr>
      </w:pPr>
    </w:p>
    <w:p w:rsidR="0043289A" w:rsidRPr="00C140D4" w:rsidRDefault="0043289A" w:rsidP="0043289A">
      <w:pPr>
        <w:pStyle w:val="Heading1"/>
      </w:pPr>
      <w:bookmarkStart w:id="4" w:name="_Toc345407987"/>
      <w:bookmarkStart w:id="5" w:name="_Toc387678077"/>
      <w:r w:rsidRPr="00C140D4">
        <w:t>PREAMBLE</w:t>
      </w:r>
      <w:bookmarkEnd w:id="4"/>
      <w:bookmarkEnd w:id="5"/>
    </w:p>
    <w:p w:rsidR="0043289A" w:rsidRPr="00C140D4" w:rsidRDefault="0043289A" w:rsidP="0043289A">
      <w:pPr>
        <w:jc w:val="center"/>
        <w:rPr>
          <w:rFonts w:cs="Arial"/>
        </w:rPr>
      </w:pPr>
    </w:p>
    <w:p w:rsidR="0043289A" w:rsidRPr="0019030C" w:rsidRDefault="0043289A" w:rsidP="0043289A">
      <w:pPr>
        <w:jc w:val="center"/>
      </w:pPr>
    </w:p>
    <w:p w:rsidR="0043289A" w:rsidRPr="0019030C" w:rsidRDefault="0043289A" w:rsidP="0043289A">
      <w:r w:rsidRPr="0019030C">
        <w:t xml:space="preserve">The purpose of these Explanatory Notes is to provide guidance on </w:t>
      </w:r>
      <w:r w:rsidRPr="0043289A">
        <w:t xml:space="preserve">propagation and propagating material </w:t>
      </w:r>
      <w:r w:rsidRPr="0019030C">
        <w:t xml:space="preserve">under the </w:t>
      </w:r>
      <w:r w:rsidR="00CD7861">
        <w:t xml:space="preserve">1991 Act of 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43289A" w:rsidRPr="0019030C" w:rsidRDefault="0043289A" w:rsidP="0043289A"/>
    <w:p w:rsidR="0043289A" w:rsidRPr="0019030C" w:rsidRDefault="0043289A" w:rsidP="0043289A">
      <w:pPr>
        <w:pStyle w:val="Heading1"/>
      </w:pPr>
      <w:r w:rsidRPr="0019030C">
        <w:br w:type="page"/>
      </w:r>
      <w:bookmarkStart w:id="6" w:name="_Toc331410077"/>
    </w:p>
    <w:p w:rsidR="0043289A" w:rsidRPr="0019030C" w:rsidRDefault="009562C6" w:rsidP="0043289A">
      <w:pPr>
        <w:pStyle w:val="Heading1"/>
      </w:pPr>
      <w:bookmarkStart w:id="7" w:name="_Toc387678078"/>
      <w:bookmarkEnd w:id="6"/>
      <w:r>
        <w:t xml:space="preserve">PROPAGATION AND PROPAGATING </w:t>
      </w:r>
      <w:r w:rsidRPr="0019030C">
        <w:t>MATERIAL</w:t>
      </w:r>
      <w:bookmarkEnd w:id="7"/>
    </w:p>
    <w:p w:rsidR="0043289A" w:rsidRPr="0019030C" w:rsidRDefault="0043289A" w:rsidP="001A4E04">
      <w:pPr>
        <w:pStyle w:val="Heading2"/>
      </w:pPr>
      <w:bookmarkStart w:id="8" w:name="_Toc178579799"/>
      <w:bookmarkStart w:id="9" w:name="_Toc178579820"/>
    </w:p>
    <w:p w:rsidR="0043289A" w:rsidRPr="0019030C" w:rsidRDefault="0043289A" w:rsidP="0043289A"/>
    <w:p w:rsidR="0043289A" w:rsidRPr="0019030C" w:rsidRDefault="0043289A" w:rsidP="001A4E04">
      <w:pPr>
        <w:pStyle w:val="Heading2"/>
      </w:pPr>
      <w:bookmarkStart w:id="10" w:name="_Toc331410078"/>
      <w:bookmarkStart w:id="11" w:name="_Toc387678079"/>
      <w:r w:rsidRPr="0019030C">
        <w:t>(a)</w:t>
      </w:r>
      <w:r w:rsidRPr="0019030C">
        <w:tab/>
        <w:t>Relevant article</w:t>
      </w:r>
      <w:bookmarkEnd w:id="8"/>
      <w:bookmarkEnd w:id="9"/>
      <w:bookmarkEnd w:id="10"/>
      <w:r w:rsidR="008258D2">
        <w:t>s</w:t>
      </w:r>
      <w:r w:rsidR="005812B1" w:rsidRPr="005812B1">
        <w:t xml:space="preserve"> of the 1991 Act of the UPOV Convention</w:t>
      </w:r>
      <w:bookmarkEnd w:id="11"/>
    </w:p>
    <w:p w:rsidR="0043289A" w:rsidRPr="0019030C" w:rsidRDefault="0043289A" w:rsidP="0043289A"/>
    <w:p w:rsidR="0043289A" w:rsidRDefault="0043289A"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1</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For the purposes of this Act:</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(vi)</w:t>
      </w:r>
      <w:r w:rsidRPr="008258D2">
        <w:rPr>
          <w:bCs/>
          <w:sz w:val="18"/>
          <w:szCs w:val="18"/>
        </w:rPr>
        <w:tab/>
        <w:t>“variety” means a plant grouping within a single botanical taxon of the lowest known rank, which grouping, irrespective of whether the conditions for the grant of a breeder’s right are fully met, can be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defined by the expression of the characteristics resulting from a given genotype or combination of genotypes,</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distinguished from any other plant grouping by the expression of at least one of the said characteristics and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 xml:space="preserve">considered as a unit with regard to its suitability for being </w:t>
      </w:r>
      <w:r w:rsidRPr="008258D2">
        <w:rPr>
          <w:bCs/>
          <w:sz w:val="18"/>
          <w:szCs w:val="18"/>
          <w:highlight w:val="yellow"/>
        </w:rPr>
        <w:t>propagated</w:t>
      </w:r>
      <w:r w:rsidRPr="008258D2">
        <w:rPr>
          <w:bCs/>
          <w:sz w:val="18"/>
          <w:szCs w:val="18"/>
        </w:rPr>
        <w:t xml:space="preserve"> unchanged;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6</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 or harvested material</w:t>
      </w:r>
      <w:r w:rsidRPr="008258D2">
        <w:rPr>
          <w:bCs/>
          <w:sz w:val="18"/>
          <w:szCs w:val="18"/>
        </w:rPr>
        <w:t xml:space="preserve"> of the variety has not been sold or otherwise disposed of to others, by or with the consent of the breeder, for purposes of exploitation of the variety</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proofErr w:type="spellStart"/>
      <w:r w:rsidRPr="008258D2">
        <w:rPr>
          <w:bCs/>
          <w:sz w:val="18"/>
          <w:szCs w:val="18"/>
        </w:rPr>
        <w:t>i</w:t>
      </w:r>
      <w:proofErr w:type="spellEnd"/>
      <w:r w:rsidRPr="008258D2">
        <w:rPr>
          <w:bCs/>
          <w:sz w:val="18"/>
          <w:szCs w:val="18"/>
        </w:rPr>
        <w:t>)</w:t>
      </w:r>
      <w:r w:rsidRPr="008258D2">
        <w:rPr>
          <w:bCs/>
          <w:sz w:val="18"/>
          <w:szCs w:val="18"/>
        </w:rPr>
        <w:tab/>
        <w:t>in the territory of the Contracting Party in which the application has been filed earlier than one year before that date and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8</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uniform if, subject to the variation that may be expected from the particular features of its </w:t>
      </w:r>
      <w:r w:rsidRPr="008258D2">
        <w:rPr>
          <w:bCs/>
          <w:sz w:val="18"/>
          <w:szCs w:val="18"/>
          <w:highlight w:val="yellow"/>
        </w:rPr>
        <w:t>propagation</w:t>
      </w:r>
      <w:r w:rsidRPr="008258D2">
        <w:rPr>
          <w:bCs/>
          <w:sz w:val="18"/>
          <w:szCs w:val="18"/>
        </w:rPr>
        <w:t>, it is sufficiently uniform in its relevant characteristics.</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9</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stable if its relevant characteristics remain unchanged after repeated </w:t>
      </w:r>
      <w:r w:rsidRPr="00C47614">
        <w:rPr>
          <w:bCs/>
          <w:sz w:val="18"/>
          <w:szCs w:val="18"/>
          <w:highlight w:val="yellow"/>
        </w:rPr>
        <w:t>propagation</w:t>
      </w:r>
      <w:r w:rsidRPr="008258D2">
        <w:rPr>
          <w:bCs/>
          <w:sz w:val="18"/>
          <w:szCs w:val="18"/>
        </w:rPr>
        <w:t xml:space="preserve"> or, in the case of a particular cycle of </w:t>
      </w:r>
      <w:r w:rsidRPr="00C47614">
        <w:rPr>
          <w:bCs/>
          <w:sz w:val="18"/>
          <w:szCs w:val="18"/>
          <w:highlight w:val="yellow"/>
        </w:rPr>
        <w:t>propagation</w:t>
      </w:r>
      <w:r w:rsidRPr="008258D2">
        <w:rPr>
          <w:bCs/>
          <w:sz w:val="18"/>
          <w:szCs w:val="18"/>
        </w:rPr>
        <w:t>, at the end of each such cycle.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Article 14</w:t>
      </w:r>
    </w:p>
    <w:p w:rsidR="0043289A" w:rsidRPr="0019030C" w:rsidRDefault="0043289A" w:rsidP="0043289A">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w:t>
      </w:r>
      <w:proofErr w:type="spellStart"/>
      <w:r w:rsidRPr="0019030C">
        <w:rPr>
          <w:bCs/>
          <w:sz w:val="18"/>
          <w:szCs w:val="18"/>
        </w:rPr>
        <w:t>i</w:t>
      </w:r>
      <w:proofErr w:type="spellEnd"/>
      <w:r w:rsidRPr="0019030C">
        <w:rPr>
          <w:bCs/>
          <w:sz w:val="18"/>
          <w:szCs w:val="18"/>
        </w:rPr>
        <w:t>) to (vi), above.</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w:t>
      </w:r>
      <w:proofErr w:type="spellStart"/>
      <w:r w:rsidRPr="0019030C">
        <w:rPr>
          <w:bCs/>
          <w:sz w:val="18"/>
          <w:szCs w:val="18"/>
        </w:rPr>
        <w:t>i</w:t>
      </w:r>
      <w:proofErr w:type="spellEnd"/>
      <w:r w:rsidRPr="0019030C">
        <w:rPr>
          <w:bCs/>
          <w:sz w:val="18"/>
          <w:szCs w:val="18"/>
        </w:rPr>
        <w:t xml:space="preserve">)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43289A"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15</w:t>
      </w:r>
    </w:p>
    <w:p w:rsidR="004F2FC9" w:rsidRPr="0019030C"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w:t>
      </w:r>
      <w:proofErr w:type="spellStart"/>
      <w:r w:rsidRPr="004F2FC9">
        <w:rPr>
          <w:bCs/>
          <w:sz w:val="18"/>
          <w:szCs w:val="18"/>
        </w:rPr>
        <w:t>i</w:t>
      </w:r>
      <w:proofErr w:type="spellEnd"/>
      <w:r w:rsidRPr="004F2FC9">
        <w:rPr>
          <w:bCs/>
          <w:sz w:val="18"/>
          <w:szCs w:val="18"/>
        </w:rPr>
        <w:t>) or (ii).</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16</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t xml:space="preserve">involve further </w:t>
      </w:r>
      <w:r w:rsidRPr="008258D2">
        <w:rPr>
          <w:bCs/>
          <w:sz w:val="18"/>
          <w:szCs w:val="18"/>
          <w:highlight w:val="yellow"/>
        </w:rPr>
        <w:t>propagation</w:t>
      </w:r>
      <w:r w:rsidRPr="004F2FC9">
        <w:rPr>
          <w:bCs/>
          <w:sz w:val="18"/>
          <w:szCs w:val="18"/>
        </w:rPr>
        <w:t xml:space="preserve"> of the variety in question or</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 xml:space="preserve">involve an export of material of the variety, which enables the </w:t>
      </w:r>
      <w:r w:rsidRPr="008258D2">
        <w:rPr>
          <w:bCs/>
          <w:sz w:val="18"/>
          <w:szCs w:val="18"/>
          <w:highlight w:val="yellow"/>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harvested material, including entire plants and parts of plants, and</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(iii)</w:t>
      </w:r>
      <w:r w:rsidRPr="004F2FC9">
        <w:rPr>
          <w:bCs/>
          <w:sz w:val="18"/>
          <w:szCs w:val="18"/>
        </w:rPr>
        <w:tab/>
        <w:t xml:space="preserve">any product made directly from the harvested material. </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r>
      <w:r w:rsidR="008258D2">
        <w:rPr>
          <w:bCs/>
          <w:sz w:val="18"/>
          <w:szCs w:val="18"/>
        </w:rPr>
        <w:t>[…]</w:t>
      </w:r>
    </w:p>
    <w:p w:rsidR="004F2FC9" w:rsidRDefault="004F2FC9"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C47614">
        <w:rPr>
          <w:b/>
          <w:bCs/>
          <w:sz w:val="18"/>
          <w:szCs w:val="18"/>
        </w:rPr>
        <w:t>Article 20</w:t>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w:t>
      </w:r>
      <w:r w:rsidRPr="00C47614">
        <w:rPr>
          <w:bCs/>
          <w:sz w:val="18"/>
          <w:szCs w:val="18"/>
        </w:rPr>
        <w:tab/>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r w:rsidRPr="00C47614">
        <w:rPr>
          <w:bCs/>
          <w:sz w:val="18"/>
          <w:szCs w:val="18"/>
        </w:rPr>
        <w:t xml:space="preserve">]  Any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C47614" w:rsidRPr="004F2FC9" w:rsidRDefault="00C47614"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 w:rsidR="0043289A" w:rsidRDefault="0043289A" w:rsidP="0043289A"/>
    <w:p w:rsidR="001A4E04" w:rsidRPr="001A4E04" w:rsidRDefault="001A4E04" w:rsidP="001A4E04">
      <w:pPr>
        <w:pStyle w:val="Heading2"/>
      </w:pPr>
      <w:bookmarkStart w:id="12" w:name="_Toc387678080"/>
      <w:r w:rsidRPr="001A4E04">
        <w:t>(b)</w:t>
      </w:r>
      <w:r w:rsidRPr="001A4E04">
        <w:tab/>
      </w:r>
      <w:r w:rsidRPr="001A4E04">
        <w:rPr>
          <w:u w:val="single"/>
        </w:rPr>
        <w:t>Factors that might be considered in relation to propagating material</w:t>
      </w:r>
      <w:r w:rsidR="00511D56" w:rsidRPr="005E6C21">
        <w:t xml:space="preserve"> </w:t>
      </w:r>
      <w:r w:rsidR="00511D56" w:rsidRPr="005E6C21">
        <w:rPr>
          <w:rStyle w:val="EndnoteReference"/>
          <w:highlight w:val="lightGray"/>
        </w:rPr>
        <w:endnoteReference w:id="1"/>
      </w:r>
      <w:r w:rsidR="005E6C21" w:rsidRPr="005E6C21">
        <w:t xml:space="preserve"> </w:t>
      </w:r>
      <w:r w:rsidR="0087591C" w:rsidRPr="005E6C21">
        <w:rPr>
          <w:rStyle w:val="EndnoteReference"/>
          <w:highlight w:val="lightGray"/>
        </w:rPr>
        <w:endnoteReference w:id="2"/>
      </w:r>
      <w:bookmarkEnd w:id="12"/>
    </w:p>
    <w:p w:rsidR="001A4E04" w:rsidRPr="0019030C" w:rsidRDefault="001A4E04" w:rsidP="0043289A"/>
    <w:p w:rsidR="005812B1" w:rsidRDefault="0043289A" w:rsidP="009562C6">
      <w:r w:rsidRPr="0019030C">
        <w:fldChar w:fldCharType="begin"/>
      </w:r>
      <w:r w:rsidRPr="0019030C">
        <w:instrText xml:space="preserve"> AUTONUM  </w:instrText>
      </w:r>
      <w:r w:rsidRPr="0019030C">
        <w:fldChar w:fldCharType="end"/>
      </w:r>
      <w:r w:rsidRPr="0019030C">
        <w:tab/>
      </w:r>
      <w:r w:rsidR="009562C6">
        <w:t>Whether material is propagating material</w:t>
      </w:r>
      <w:r w:rsidR="009562C6" w:rsidRPr="009562C6">
        <w:t xml:space="preserve"> is a matter of fact </w:t>
      </w:r>
      <w:r w:rsidR="009562C6" w:rsidRPr="00511D56">
        <w:t xml:space="preserve">but </w:t>
      </w:r>
      <w:r w:rsidR="009562C6" w:rsidRPr="00511D56">
        <w:rPr>
          <w:strike/>
          <w:highlight w:val="lightGray"/>
        </w:rPr>
        <w:t>also</w:t>
      </w:r>
      <w:r w:rsidR="009562C6" w:rsidRPr="00511D56">
        <w:rPr>
          <w:highlight w:val="lightGray"/>
        </w:rPr>
        <w:t xml:space="preserve"> </w:t>
      </w:r>
      <w:r w:rsidR="00511D56" w:rsidRPr="00511D56">
        <w:rPr>
          <w:strike/>
          <w:highlight w:val="lightGray"/>
        </w:rPr>
        <w:t>of</w:t>
      </w:r>
      <w:r w:rsidR="00511D56" w:rsidRPr="00511D56">
        <w:rPr>
          <w:highlight w:val="lightGray"/>
        </w:rPr>
        <w:t xml:space="preserve"> </w:t>
      </w:r>
      <w:r w:rsidR="0087591C">
        <w:rPr>
          <w:highlight w:val="lightGray"/>
          <w:u w:val="single"/>
        </w:rPr>
        <w:t>may also</w:t>
      </w:r>
      <w:r w:rsidR="00511D56" w:rsidRPr="00511D56">
        <w:rPr>
          <w:highlight w:val="lightGray"/>
          <w:u w:val="single"/>
        </w:rPr>
        <w:t xml:space="preserve"> include the</w:t>
      </w:r>
      <w:r w:rsidR="00511D56">
        <w:rPr>
          <w:u w:val="single"/>
        </w:rPr>
        <w:t xml:space="preserve"> </w:t>
      </w:r>
      <w:r w:rsidR="009562C6" w:rsidRPr="009562C6">
        <w:t xml:space="preserve">intention on the part of those concerned </w:t>
      </w:r>
      <w:r w:rsidR="009562C6">
        <w:t xml:space="preserve">(producer, seller, </w:t>
      </w:r>
      <w:r w:rsidR="008258D2">
        <w:t xml:space="preserve">supplier, </w:t>
      </w:r>
      <w:r w:rsidR="009562C6">
        <w:t xml:space="preserve">buyer, </w:t>
      </w:r>
      <w:r w:rsidR="008258D2">
        <w:t xml:space="preserve">recipient, </w:t>
      </w:r>
      <w:proofErr w:type="gramStart"/>
      <w:r w:rsidR="009562C6">
        <w:t>user</w:t>
      </w:r>
      <w:proofErr w:type="gramEnd"/>
      <w:r w:rsidR="009562C6">
        <w:t xml:space="preserve">).  For example, </w:t>
      </w:r>
      <w:r w:rsidR="009562C6" w:rsidRPr="009562C6">
        <w:t xml:space="preserve">the intention of the </w:t>
      </w:r>
      <w:r w:rsidR="009562C6">
        <w:t>producer, seller or supplier i</w:t>
      </w:r>
      <w:r w:rsidR="009562C6" w:rsidRPr="009562C6">
        <w:t xml:space="preserve">s not the only relevant aspect, but also the intention of the </w:t>
      </w:r>
      <w:r w:rsidR="009562C6">
        <w:t>buyer</w:t>
      </w:r>
      <w:r w:rsidR="008258D2">
        <w:t>, recipient</w:t>
      </w:r>
      <w:r w:rsidR="009562C6">
        <w:t xml:space="preserve"> or</w:t>
      </w:r>
      <w:r w:rsidR="009562C6" w:rsidRPr="009562C6">
        <w:t xml:space="preserve"> user</w:t>
      </w:r>
      <w:r w:rsidR="009562C6">
        <w:t xml:space="preserve"> of material</w:t>
      </w:r>
      <w:r w:rsidR="009562C6" w:rsidRPr="009562C6">
        <w:t xml:space="preserve">.  </w:t>
      </w:r>
      <w:r w:rsidR="009562C6">
        <w:t>Thus,</w:t>
      </w:r>
      <w:r w:rsidR="009562C6" w:rsidRPr="009562C6">
        <w:t xml:space="preserve"> even though one party might have not anticipated that material would be used for propagation, another concerned party might have the intention to use the material for propagation.</w:t>
      </w:r>
      <w:r w:rsidR="005812B1">
        <w:t xml:space="preserve">  </w:t>
      </w:r>
      <w:r w:rsidR="005812B1" w:rsidRPr="00511D56">
        <w:rPr>
          <w:strike/>
          <w:highlight w:val="lightGray"/>
        </w:rPr>
        <w:t xml:space="preserve">In particular, the explanation in </w:t>
      </w:r>
      <w:r w:rsidR="003C7CB3" w:rsidRPr="00511D56">
        <w:rPr>
          <w:strike/>
          <w:highlight w:val="lightGray"/>
        </w:rPr>
        <w:t xml:space="preserve">Article 14(2) and in </w:t>
      </w:r>
      <w:r w:rsidR="005812B1" w:rsidRPr="00511D56">
        <w:rPr>
          <w:strike/>
          <w:highlight w:val="lightGray"/>
        </w:rPr>
        <w:t>Article 16(2</w:t>
      </w:r>
      <w:proofErr w:type="gramStart"/>
      <w:r w:rsidR="005812B1" w:rsidRPr="00511D56">
        <w:rPr>
          <w:strike/>
          <w:highlight w:val="lightGray"/>
        </w:rPr>
        <w:t>)(</w:t>
      </w:r>
      <w:proofErr w:type="gramEnd"/>
      <w:r w:rsidR="005812B1" w:rsidRPr="00511D56">
        <w:rPr>
          <w:strike/>
          <w:highlight w:val="lightGray"/>
        </w:rPr>
        <w:t>ii)</w:t>
      </w:r>
      <w:r w:rsidR="003C7CB3" w:rsidRPr="00511D56">
        <w:rPr>
          <w:strike/>
          <w:highlight w:val="lightGray"/>
        </w:rPr>
        <w:t xml:space="preserve"> of the 1991 Act of the UPOV Convention</w:t>
      </w:r>
      <w:r w:rsidR="00511D56" w:rsidRPr="00511D56">
        <w:rPr>
          <w:strike/>
          <w:highlight w:val="lightGray"/>
        </w:rPr>
        <w:t xml:space="preserve"> </w:t>
      </w:r>
      <w:r w:rsidR="00336F8E">
        <w:rPr>
          <w:strike/>
          <w:highlight w:val="lightGray"/>
        </w:rPr>
        <w:t xml:space="preserve">means </w:t>
      </w:r>
      <w:r w:rsidR="005812B1" w:rsidRPr="00511D56">
        <w:rPr>
          <w:strike/>
          <w:highlight w:val="lightGray"/>
        </w:rPr>
        <w:t>that harvested material includes entire plants and parts of plants, which is material that can potentially be used for propagating purposes, means that at least some forms of harvested material have the potential to be used as propagating material</w:t>
      </w:r>
      <w:r w:rsidR="005812B1">
        <w:t>.</w:t>
      </w:r>
      <w:r w:rsidR="00511D56">
        <w:t xml:space="preserve"> </w:t>
      </w:r>
    </w:p>
    <w:p w:rsidR="005812B1" w:rsidRDefault="005812B1" w:rsidP="009562C6"/>
    <w:p w:rsidR="00FC1338" w:rsidRDefault="005812B1" w:rsidP="009562C6">
      <w:r>
        <w:fldChar w:fldCharType="begin"/>
      </w:r>
      <w:r>
        <w:instrText xml:space="preserve"> AUTONUM  </w:instrText>
      </w:r>
      <w:r>
        <w:fldChar w:fldCharType="end"/>
      </w:r>
      <w:r>
        <w:tab/>
        <w:t>The 1978 Act of the UPOV Convention, Article 5</w:t>
      </w:r>
      <w:r w:rsidR="00FC1338">
        <w:t xml:space="preserve"> (1)</w:t>
      </w:r>
      <w:r>
        <w:t xml:space="preserve"> (reproduced below for ease of reference) clarifies that material is considered to be propagating material</w:t>
      </w:r>
      <w:r w:rsidR="00FC1338">
        <w:t xml:space="preserve"> if it used as such, even if it is a type of material that is not normally marketed for the purpose of propagation:</w:t>
      </w:r>
    </w:p>
    <w:p w:rsidR="00FC1338" w:rsidRDefault="00FC1338" w:rsidP="009562C6"/>
    <w:p w:rsidR="003C7CB3" w:rsidRDefault="003C7CB3">
      <w:pPr>
        <w:jc w:val="left"/>
        <w:rPr>
          <w:sz w:val="18"/>
          <w:szCs w:val="18"/>
        </w:rPr>
      </w:pPr>
      <w:r>
        <w:rPr>
          <w:sz w:val="18"/>
          <w:szCs w:val="18"/>
        </w:rPr>
        <w:br w:type="page"/>
      </w:r>
    </w:p>
    <w:p w:rsidR="00FC1338" w:rsidRDefault="00FC1338" w:rsidP="00FC1338">
      <w:pPr>
        <w:ind w:left="567" w:right="1179"/>
        <w:jc w:val="center"/>
        <w:rPr>
          <w:sz w:val="18"/>
          <w:szCs w:val="18"/>
        </w:rPr>
      </w:pPr>
      <w:r>
        <w:rPr>
          <w:sz w:val="18"/>
          <w:szCs w:val="18"/>
        </w:rPr>
        <w:t>Article 5</w:t>
      </w:r>
      <w:r w:rsidR="003C7CB3">
        <w:rPr>
          <w:sz w:val="18"/>
          <w:szCs w:val="18"/>
        </w:rPr>
        <w:t xml:space="preserve"> </w:t>
      </w:r>
      <w:r>
        <w:rPr>
          <w:sz w:val="18"/>
          <w:szCs w:val="18"/>
        </w:rPr>
        <w:t>(1) of the 1978 Act of the UPOV Convention</w:t>
      </w:r>
    </w:p>
    <w:p w:rsidR="00FC1338" w:rsidRDefault="00FC1338" w:rsidP="00FC1338">
      <w:pPr>
        <w:ind w:left="567" w:right="1179"/>
        <w:rPr>
          <w:sz w:val="18"/>
          <w:szCs w:val="18"/>
        </w:rPr>
      </w:pPr>
    </w:p>
    <w:p w:rsidR="00FC1338" w:rsidRPr="00FC1338" w:rsidRDefault="00FC1338" w:rsidP="00FC1338">
      <w:pPr>
        <w:ind w:left="567" w:right="1179"/>
        <w:rPr>
          <w:sz w:val="18"/>
          <w:szCs w:val="18"/>
        </w:rPr>
      </w:pPr>
      <w:r>
        <w:rPr>
          <w:sz w:val="18"/>
          <w:szCs w:val="18"/>
        </w:rPr>
        <w:t>“</w:t>
      </w:r>
      <w:r w:rsidRPr="00FC1338">
        <w:rPr>
          <w:sz w:val="18"/>
          <w:szCs w:val="18"/>
        </w:rPr>
        <w:t xml:space="preserve">(1) </w:t>
      </w:r>
      <w:r w:rsidRPr="00FC1338">
        <w:rPr>
          <w:sz w:val="18"/>
          <w:szCs w:val="18"/>
        </w:rPr>
        <w:tab/>
        <w:t xml:space="preserve">The effect of the right granted to the breeder is that his prior </w:t>
      </w:r>
      <w:proofErr w:type="spellStart"/>
      <w:r w:rsidRPr="00FC1338">
        <w:rPr>
          <w:sz w:val="18"/>
          <w:szCs w:val="18"/>
        </w:rPr>
        <w:t>authorisation</w:t>
      </w:r>
      <w:proofErr w:type="spellEnd"/>
      <w:r w:rsidRPr="00FC1338">
        <w:rPr>
          <w:sz w:val="18"/>
          <w:szCs w:val="18"/>
        </w:rPr>
        <w:t xml:space="preserve"> shall be required for</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ab/>
        <w:t>-</w:t>
      </w:r>
      <w:r w:rsidRPr="00FC1338">
        <w:rPr>
          <w:sz w:val="18"/>
          <w:szCs w:val="18"/>
        </w:rPr>
        <w:tab/>
        <w:t>the production for purposes of commercial marketing</w:t>
      </w:r>
    </w:p>
    <w:p w:rsidR="00FC1338" w:rsidRPr="00FC1338" w:rsidRDefault="00FC1338" w:rsidP="00FC1338">
      <w:pPr>
        <w:ind w:left="567" w:right="1179"/>
        <w:rPr>
          <w:sz w:val="18"/>
          <w:szCs w:val="18"/>
        </w:rPr>
      </w:pPr>
      <w:r w:rsidRPr="00FC1338">
        <w:rPr>
          <w:sz w:val="18"/>
          <w:szCs w:val="18"/>
        </w:rPr>
        <w:tab/>
        <w:t>-</w:t>
      </w:r>
      <w:r w:rsidRPr="00FC1338">
        <w:rPr>
          <w:sz w:val="18"/>
          <w:szCs w:val="18"/>
        </w:rPr>
        <w:tab/>
        <w:t>the offering for sale</w:t>
      </w:r>
    </w:p>
    <w:p w:rsidR="00FC1338" w:rsidRPr="00FC1338" w:rsidRDefault="00FC1338" w:rsidP="00FC1338">
      <w:pPr>
        <w:ind w:left="567" w:right="1179"/>
        <w:rPr>
          <w:sz w:val="18"/>
          <w:szCs w:val="18"/>
        </w:rPr>
      </w:pPr>
      <w:r w:rsidRPr="00FC1338">
        <w:rPr>
          <w:sz w:val="18"/>
          <w:szCs w:val="18"/>
        </w:rPr>
        <w:tab/>
        <w:t>-</w:t>
      </w:r>
      <w:r w:rsidRPr="00FC1338">
        <w:rPr>
          <w:sz w:val="18"/>
          <w:szCs w:val="18"/>
        </w:rPr>
        <w:tab/>
        <w:t>the marketing</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of the reproductive or vegetative propagating material, as such, of the variety.</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r>
        <w:rPr>
          <w:sz w:val="18"/>
          <w:szCs w:val="18"/>
        </w:rPr>
        <w:t>”</w:t>
      </w:r>
    </w:p>
    <w:p w:rsidR="009562C6" w:rsidRDefault="009562C6" w:rsidP="004F2FC9"/>
    <w:p w:rsidR="004F2FC9" w:rsidRDefault="008258D2" w:rsidP="006611CA">
      <w:pPr>
        <w:autoSpaceDE w:val="0"/>
      </w:pPr>
      <w:r>
        <w:fldChar w:fldCharType="begin"/>
      </w:r>
      <w:r>
        <w:instrText xml:space="preserve"> AUTONUM  </w:instrText>
      </w:r>
      <w:r>
        <w:fldChar w:fldCharType="end"/>
      </w:r>
      <w:r w:rsidR="007A1704" w:rsidRPr="007A1704">
        <w:rPr>
          <w:rStyle w:val="EndnoteReference"/>
          <w:highlight w:val="lightGray"/>
        </w:rPr>
        <w:endnoteReference w:id="3"/>
      </w:r>
      <w:r w:rsidR="007A1704">
        <w:t xml:space="preserve"> </w:t>
      </w:r>
      <w:proofErr w:type="gramStart"/>
      <w:r w:rsidR="00063D54" w:rsidRPr="00063D54">
        <w:rPr>
          <w:highlight w:val="lightGray"/>
          <w:vertAlign w:val="superscript"/>
        </w:rPr>
        <w:t>and</w:t>
      </w:r>
      <w:proofErr w:type="gramEnd"/>
      <w:r w:rsidR="00063D54">
        <w:rPr>
          <w:vertAlign w:val="superscript"/>
        </w:rPr>
        <w:t xml:space="preserve"> </w:t>
      </w:r>
      <w:r w:rsidR="00063D54" w:rsidRPr="00063D54">
        <w:rPr>
          <w:rStyle w:val="EndnoteReference"/>
          <w:highlight w:val="lightGray"/>
        </w:rPr>
        <w:endnoteReference w:id="4"/>
      </w:r>
      <w:r w:rsidR="00063D54" w:rsidRPr="00063D54">
        <w:rPr>
          <w:vertAlign w:val="superscript"/>
        </w:rPr>
        <w:t xml:space="preserve"> </w:t>
      </w:r>
      <w:r w:rsidR="00063D54">
        <w:t xml:space="preserve"> </w:t>
      </w:r>
      <w:r>
        <w:tab/>
        <w:t xml:space="preserve">The following, </w:t>
      </w:r>
      <w:r w:rsidR="004F2FC9">
        <w:t>non-exhaustive</w:t>
      </w:r>
      <w:r>
        <w:t>,</w:t>
      </w:r>
      <w:r w:rsidR="004F2FC9">
        <w:t xml:space="preserve"> list of factors</w:t>
      </w:r>
      <w:r w:rsidR="006611CA">
        <w:rPr>
          <w:rFonts w:ascii="ZWAdobeF" w:hAnsi="ZWAdobeF" w:cs="ZWAdobeF"/>
          <w:sz w:val="2"/>
          <w:szCs w:val="2"/>
        </w:rPr>
        <w:t>1</w:t>
      </w:r>
      <w:r w:rsidR="00063D54" w:rsidRPr="00063D54">
        <w:t xml:space="preserve">, </w:t>
      </w:r>
      <w:r w:rsidR="007A1704" w:rsidRPr="007A1704">
        <w:rPr>
          <w:highlight w:val="lightGray"/>
          <w:u w:val="single"/>
        </w:rPr>
        <w:t>and/</w:t>
      </w:r>
      <w:r w:rsidR="00063D54" w:rsidRPr="007A1704">
        <w:rPr>
          <w:highlight w:val="lightGray"/>
          <w:u w:val="single"/>
        </w:rPr>
        <w:t xml:space="preserve">or combination </w:t>
      </w:r>
      <w:r w:rsidR="007A1704" w:rsidRPr="007A1704">
        <w:rPr>
          <w:highlight w:val="lightGray"/>
          <w:u w:val="single"/>
        </w:rPr>
        <w:t>of factors,</w:t>
      </w:r>
      <w:r w:rsidR="004F2FC9" w:rsidRPr="007A1704">
        <w:rPr>
          <w:u w:val="single"/>
        </w:rPr>
        <w:t xml:space="preserve"> </w:t>
      </w:r>
      <w:r w:rsidR="004F2FC9">
        <w:t xml:space="preserve">might be considered in deciding whether material </w:t>
      </w:r>
      <w:r w:rsidR="00C47614">
        <w:t>is propagating material</w:t>
      </w:r>
      <w:r w:rsidR="004F2FC9">
        <w:t>:</w:t>
      </w:r>
    </w:p>
    <w:p w:rsidR="004F2FC9" w:rsidRDefault="004F2FC9" w:rsidP="004F2FC9"/>
    <w:p w:rsidR="004F2FC9" w:rsidRDefault="004F2FC9" w:rsidP="008258D2">
      <w:pPr>
        <w:ind w:left="567"/>
      </w:pPr>
      <w:r>
        <w:t>(</w:t>
      </w:r>
      <w:proofErr w:type="spellStart"/>
      <w:r>
        <w:t>i</w:t>
      </w:r>
      <w:proofErr w:type="spellEnd"/>
      <w:r>
        <w:t>)</w:t>
      </w:r>
      <w:r>
        <w:tab/>
        <w:t>whether the material has been used to propagate the variety;</w:t>
      </w:r>
    </w:p>
    <w:p w:rsidR="004F2FC9" w:rsidRDefault="004F2FC9" w:rsidP="008258D2">
      <w:pPr>
        <w:ind w:left="567"/>
      </w:pPr>
      <w:r>
        <w:t>(ii)</w:t>
      </w:r>
      <w:r>
        <w:tab/>
        <w:t>whether the material is capable of producing entire plants of the variety;</w:t>
      </w:r>
    </w:p>
    <w:p w:rsidR="004F2FC9" w:rsidRDefault="004F2FC9" w:rsidP="008258D2">
      <w:pPr>
        <w:ind w:left="567"/>
      </w:pPr>
      <w:r>
        <w:t>(iii)</w:t>
      </w:r>
      <w:r>
        <w:tab/>
        <w:t>whether there has been a custom/practice of using the material for that purpose;</w:t>
      </w:r>
    </w:p>
    <w:p w:rsidR="004F2FC9" w:rsidRPr="007A1704" w:rsidRDefault="004F2FC9" w:rsidP="008258D2">
      <w:pPr>
        <w:ind w:left="567"/>
        <w:rPr>
          <w:u w:val="single"/>
        </w:rPr>
      </w:pPr>
      <w:r>
        <w:t>(iv)</w:t>
      </w:r>
      <w:r>
        <w:tab/>
      </w:r>
      <w:proofErr w:type="gramStart"/>
      <w:r>
        <w:t>the</w:t>
      </w:r>
      <w:proofErr w:type="gramEnd"/>
      <w:r>
        <w:t xml:space="preserve"> intention on the part of those concerned</w:t>
      </w:r>
      <w:r w:rsidR="008258D2">
        <w:t xml:space="preserve"> (producer, seller, supplier, buyer, recipient, user)</w:t>
      </w:r>
      <w:r>
        <w:t xml:space="preserve">;  </w:t>
      </w:r>
      <w:r w:rsidR="00B831B9" w:rsidRPr="007A1704">
        <w:rPr>
          <w:strike/>
          <w:highlight w:val="lightGray"/>
        </w:rPr>
        <w:t>and</w:t>
      </w:r>
      <w:r w:rsidR="007A1704">
        <w:rPr>
          <w:strike/>
          <w:highlight w:val="lightGray"/>
        </w:rPr>
        <w:t xml:space="preserve"> </w:t>
      </w:r>
      <w:r w:rsidR="007A1704" w:rsidRPr="007A1704">
        <w:rPr>
          <w:highlight w:val="lightGray"/>
          <w:u w:val="single"/>
        </w:rPr>
        <w:t>or</w:t>
      </w:r>
    </w:p>
    <w:p w:rsidR="007A1704" w:rsidRDefault="004F2FC9" w:rsidP="008258D2">
      <w:pPr>
        <w:ind w:left="567"/>
        <w:rPr>
          <w:strike/>
        </w:rPr>
      </w:pPr>
      <w:r>
        <w:t>(v)</w:t>
      </w:r>
      <w:r>
        <w:tab/>
      </w:r>
      <w:proofErr w:type="gramStart"/>
      <w:r w:rsidRPr="00063D54">
        <w:rPr>
          <w:strike/>
          <w:highlight w:val="lightGray"/>
        </w:rPr>
        <w:t>whether</w:t>
      </w:r>
      <w:proofErr w:type="gramEnd"/>
      <w:r w:rsidRPr="00063D54">
        <w:rPr>
          <w:strike/>
          <w:highlight w:val="lightGray"/>
        </w:rPr>
        <w:t xml:space="preserve"> the plant material is suitable for reproducing the variety unchanged</w:t>
      </w:r>
    </w:p>
    <w:p w:rsidR="004F2FC9" w:rsidRPr="007A1704" w:rsidRDefault="007A1704" w:rsidP="007A1704">
      <w:pPr>
        <w:ind w:left="1170" w:hanging="603"/>
        <w:rPr>
          <w:u w:val="single"/>
        </w:rPr>
      </w:pPr>
      <w:r>
        <w:tab/>
      </w:r>
      <w:r w:rsidRPr="007A1704">
        <w:rPr>
          <w:highlight w:val="lightGray"/>
          <w:u w:val="single"/>
        </w:rPr>
        <w:t xml:space="preserve">if, based on the </w:t>
      </w:r>
      <w:r>
        <w:rPr>
          <w:highlight w:val="lightGray"/>
          <w:u w:val="single"/>
        </w:rPr>
        <w:t xml:space="preserve">nature </w:t>
      </w:r>
      <w:r w:rsidRPr="007A1704">
        <w:rPr>
          <w:highlight w:val="lightGray"/>
          <w:u w:val="single"/>
        </w:rPr>
        <w:t xml:space="preserve">and condition of the material and/or the form of its use, it can be determined that such material is </w:t>
      </w:r>
      <w:r>
        <w:rPr>
          <w:highlight w:val="lightGray"/>
          <w:u w:val="single"/>
        </w:rPr>
        <w:t>“</w:t>
      </w:r>
      <w:r w:rsidRPr="007A1704">
        <w:rPr>
          <w:highlight w:val="lightGray"/>
          <w:u w:val="single"/>
        </w:rPr>
        <w:t>exclusively propagating material</w:t>
      </w:r>
      <w:r>
        <w:rPr>
          <w:highlight w:val="lightGray"/>
          <w:u w:val="single"/>
        </w:rPr>
        <w:t>”</w:t>
      </w:r>
      <w:r w:rsidRPr="007A1704">
        <w:rPr>
          <w:highlight w:val="lightGray"/>
          <w:u w:val="single"/>
        </w:rPr>
        <w:t xml:space="preserve"> (for example: if the material is classified according to variety and purity; price and terms of sale; quality of the material, including conditioning, treatment and germination; markets or place of storage and/or destination, etc.)</w:t>
      </w:r>
      <w:r w:rsidR="004F2FC9" w:rsidRPr="007A1704">
        <w:rPr>
          <w:highlight w:val="lightGray"/>
          <w:u w:val="single"/>
        </w:rPr>
        <w:t>.</w:t>
      </w:r>
      <w:r w:rsidR="004F2FC9" w:rsidRPr="007A1704">
        <w:rPr>
          <w:u w:val="single"/>
        </w:rPr>
        <w:t xml:space="preserve"> </w:t>
      </w:r>
    </w:p>
    <w:p w:rsidR="00306D55" w:rsidRDefault="00306D55" w:rsidP="0043289A"/>
    <w:p w:rsidR="00306D55" w:rsidRDefault="00306D55" w:rsidP="0043289A"/>
    <w:p w:rsidR="0043289A" w:rsidRDefault="0043289A" w:rsidP="0043289A">
      <w:pPr>
        <w:rPr>
          <w:szCs w:val="24"/>
        </w:rPr>
      </w:pPr>
    </w:p>
    <w:p w:rsidR="009D08B3" w:rsidRPr="0019030C" w:rsidRDefault="009D08B3" w:rsidP="0043289A">
      <w:pPr>
        <w:rPr>
          <w:szCs w:val="24"/>
        </w:rPr>
      </w:pPr>
    </w:p>
    <w:p w:rsidR="00BE4EC4" w:rsidRPr="0019030C" w:rsidRDefault="00BE4EC4" w:rsidP="00BE4EC4">
      <w:pPr>
        <w:rPr>
          <w:rFonts w:cs="Arial"/>
        </w:rPr>
      </w:pPr>
    </w:p>
    <w:sectPr w:rsidR="00BE4EC4" w:rsidRPr="0019030C"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C1" w:rsidRDefault="004621C1">
      <w:r>
        <w:separator/>
      </w:r>
    </w:p>
  </w:endnote>
  <w:endnote w:type="continuationSeparator" w:id="0">
    <w:p w:rsidR="004621C1" w:rsidRDefault="004621C1">
      <w:r>
        <w:continuationSeparator/>
      </w:r>
    </w:p>
  </w:endnote>
  <w:endnote w:id="1">
    <w:p w:rsidR="00CC7889" w:rsidRDefault="00511D56" w:rsidP="00CC7889">
      <w:pPr>
        <w:pStyle w:val="EndnoteText"/>
      </w:pPr>
      <w:r>
        <w:rPr>
          <w:rStyle w:val="EndnoteReference"/>
        </w:rPr>
        <w:endnoteRef/>
      </w:r>
      <w:r w:rsidR="00CC7889">
        <w:tab/>
      </w:r>
      <w:r w:rsidR="00063D54">
        <w:t>The Administrative and Legal Committee Advisory Group (CAJ-AG), at its eighth session, held in Geneva on October 21 and 25, 2013, agreed (see document CAJ-AG/13/8/10 “Report”, paragraph 51) to amend paragraph 1 of document UPOV/EXN/PPM Draft 1 to read</w:t>
      </w:r>
      <w:r>
        <w:t>:</w:t>
      </w:r>
    </w:p>
    <w:p w:rsidR="00511D56" w:rsidRDefault="00511D56" w:rsidP="00CC7889">
      <w:pPr>
        <w:pStyle w:val="EndnoteText"/>
        <w:ind w:left="284"/>
      </w:pPr>
      <w:r>
        <w:t>“1.</w:t>
      </w:r>
      <w:r>
        <w:tab/>
        <w:t>Whether material is propagating material</w:t>
      </w:r>
      <w:r w:rsidRPr="009562C6">
        <w:t xml:space="preserve"> is a matter of fact </w:t>
      </w:r>
      <w:r w:rsidRPr="00511D56">
        <w:t xml:space="preserve">but </w:t>
      </w:r>
      <w:r w:rsidRPr="00511D56">
        <w:rPr>
          <w:strike/>
          <w:highlight w:val="lightGray"/>
        </w:rPr>
        <w:t>also</w:t>
      </w:r>
      <w:r w:rsidRPr="00511D56">
        <w:rPr>
          <w:highlight w:val="lightGray"/>
        </w:rPr>
        <w:t xml:space="preserve"> </w:t>
      </w:r>
      <w:r w:rsidRPr="00511D56">
        <w:rPr>
          <w:strike/>
          <w:highlight w:val="lightGray"/>
        </w:rPr>
        <w:t>of</w:t>
      </w:r>
      <w:r w:rsidRPr="00511D56">
        <w:rPr>
          <w:highlight w:val="lightGray"/>
        </w:rPr>
        <w:t xml:space="preserve"> </w:t>
      </w:r>
      <w:r w:rsidRPr="00511D56">
        <w:rPr>
          <w:highlight w:val="lightGray"/>
          <w:u w:val="single"/>
        </w:rPr>
        <w:t>[may also] include the</w:t>
      </w:r>
      <w:r>
        <w:rPr>
          <w:u w:val="single"/>
        </w:rPr>
        <w:t xml:space="preserve"> </w:t>
      </w:r>
      <w:r w:rsidRPr="009562C6">
        <w:t xml:space="preserve">intention on the part of those concerned </w:t>
      </w:r>
      <w:r>
        <w:t xml:space="preserve">(producer, seller, supplier, buyer, recipient, user).  For example, </w:t>
      </w:r>
      <w:r w:rsidRPr="009562C6">
        <w:t xml:space="preserve">the intention of the </w:t>
      </w:r>
      <w:r>
        <w:t>producer, seller or supplier i</w:t>
      </w:r>
      <w:r w:rsidRPr="009562C6">
        <w:t xml:space="preserve">s not the only relevant aspect, but also the intention of the </w:t>
      </w:r>
      <w:r>
        <w:t>buyer, recipient or</w:t>
      </w:r>
      <w:r w:rsidRPr="009562C6">
        <w:t xml:space="preserve"> user</w:t>
      </w:r>
      <w:r>
        <w:t xml:space="preserve"> of material</w:t>
      </w:r>
      <w:r w:rsidRPr="009562C6">
        <w:t xml:space="preserve">.  </w:t>
      </w:r>
      <w:r>
        <w:t>Thus,</w:t>
      </w:r>
      <w:r w:rsidRPr="009562C6">
        <w:t xml:space="preserve"> even though one party might have not anticipated that material would be used for propagation, another concerned party might have the intention to use the material for propagation.</w:t>
      </w:r>
      <w:r>
        <w:t xml:space="preserve">  In particular, the explanation in Article 14(2) and in Article 16(2</w:t>
      </w:r>
      <w:proofErr w:type="gramStart"/>
      <w:r>
        <w:t>)(</w:t>
      </w:r>
      <w:proofErr w:type="gramEnd"/>
      <w:r>
        <w:t xml:space="preserve">ii) of the 1991 Act of the UPOV Convention </w:t>
      </w:r>
      <w:r w:rsidRPr="00511D56">
        <w:rPr>
          <w:highlight w:val="lightGray"/>
          <w:u w:val="single"/>
        </w:rPr>
        <w:t>means</w:t>
      </w:r>
      <w:r>
        <w:t xml:space="preserve"> that harvested material includes entire plants and parts of plants</w:t>
      </w:r>
      <w:r w:rsidRPr="00511D56">
        <w:rPr>
          <w:strike/>
          <w:highlight w:val="lightGray"/>
        </w:rPr>
        <w:t>, which is material that can potentially be used for propagating purposes, means that at least some forms of harvested material have the potential to be used as propagating material</w:t>
      </w:r>
      <w:r>
        <w:t>.”</w:t>
      </w:r>
    </w:p>
  </w:endnote>
  <w:endnote w:id="2">
    <w:p w:rsidR="0087591C" w:rsidRDefault="0087591C" w:rsidP="00CC7889">
      <w:pPr>
        <w:pStyle w:val="EndnoteText"/>
        <w:rPr>
          <w:szCs w:val="16"/>
        </w:rPr>
      </w:pPr>
      <w:r>
        <w:rPr>
          <w:rStyle w:val="EndnoteReference"/>
        </w:rPr>
        <w:endnoteRef/>
      </w:r>
      <w:r w:rsidR="00CC7889">
        <w:tab/>
      </w:r>
      <w:r>
        <w:t xml:space="preserve">The </w:t>
      </w:r>
      <w:r w:rsidR="00063D54">
        <w:t>CAJ-AG</w:t>
      </w:r>
      <w:r>
        <w:t xml:space="preserve">, at its eighth session, noted that the Delegation of Argentina would make a proposal in relation to paragraph 3 and, if appropriate, any corresponding adjustment to paragraph 1 of document UPOV/EXN/PPM Draft 1 (see document </w:t>
      </w:r>
      <w:r w:rsidR="00781B39">
        <w:br/>
      </w:r>
      <w:r w:rsidRPr="00781B39">
        <w:t xml:space="preserve">CAJ-AG/13/8/10 “Report”, paragraph 53).  The </w:t>
      </w:r>
      <w:r w:rsidRPr="00781B39">
        <w:rPr>
          <w:szCs w:val="16"/>
        </w:rPr>
        <w:t xml:space="preserve">Delegation of Argentina made the following proposal (see </w:t>
      </w:r>
      <w:hyperlink r:id="rId1" w:history="1">
        <w:r w:rsidR="00781B39" w:rsidRPr="00781B39">
          <w:rPr>
            <w:rStyle w:val="Hyperlink"/>
            <w:noProof w:val="0"/>
            <w:snapToGrid w:val="0"/>
          </w:rPr>
          <w:t>http://www.upov.int/edocs/mdocs/upov/en/caj_ag_13_8/caj_ag_13_8_www_274003.pdf</w:t>
        </w:r>
      </w:hyperlink>
      <w:r w:rsidRPr="00781B39">
        <w:rPr>
          <w:szCs w:val="16"/>
        </w:rPr>
        <w:t>):</w:t>
      </w:r>
    </w:p>
    <w:p w:rsidR="00CC7889" w:rsidRDefault="0087591C" w:rsidP="00CC7889">
      <w:pPr>
        <w:pStyle w:val="EndnoteText"/>
        <w:ind w:left="284"/>
        <w:rPr>
          <w:szCs w:val="16"/>
        </w:rPr>
      </w:pPr>
      <w:r>
        <w:rPr>
          <w:szCs w:val="16"/>
        </w:rPr>
        <w:t>“</w:t>
      </w:r>
      <w:r w:rsidRPr="0087591C">
        <w:rPr>
          <w:szCs w:val="16"/>
        </w:rPr>
        <w:t>The following lines in p</w:t>
      </w:r>
      <w:r>
        <w:rPr>
          <w:szCs w:val="16"/>
        </w:rPr>
        <w:t>aragraph 1 should be deleted:  ‘</w:t>
      </w:r>
      <w:r w:rsidRPr="0087591C">
        <w:rPr>
          <w:szCs w:val="16"/>
        </w:rPr>
        <w:t>In particular , the explanation in Article 14(2) and Article 16(2) of the  1991 Act of the UPOV Convention means that harvested material includes ent</w:t>
      </w:r>
      <w:r>
        <w:rPr>
          <w:szCs w:val="16"/>
        </w:rPr>
        <w:t>ire plants and parts of plants.’</w:t>
      </w:r>
    </w:p>
    <w:p w:rsidR="0087591C" w:rsidRDefault="0087591C" w:rsidP="00CC7889">
      <w:pPr>
        <w:pStyle w:val="EndnoteText"/>
        <w:ind w:left="284"/>
        <w:rPr>
          <w:szCs w:val="16"/>
        </w:rPr>
      </w:pPr>
      <w:r>
        <w:rPr>
          <w:szCs w:val="16"/>
        </w:rPr>
        <w:t>“</w:t>
      </w:r>
      <w:r w:rsidRPr="0087591C">
        <w:rPr>
          <w:szCs w:val="16"/>
        </w:rPr>
        <w:t>There are two reasons for this proposal.</w:t>
      </w:r>
    </w:p>
    <w:p w:rsidR="0087591C" w:rsidRDefault="0087591C" w:rsidP="00CC7889">
      <w:pPr>
        <w:pStyle w:val="EndnoteText"/>
        <w:ind w:left="709" w:hanging="425"/>
        <w:rPr>
          <w:szCs w:val="16"/>
        </w:rPr>
      </w:pPr>
      <w:r>
        <w:rPr>
          <w:szCs w:val="16"/>
        </w:rPr>
        <w:t>“</w:t>
      </w:r>
      <w:r w:rsidR="00CC7889">
        <w:rPr>
          <w:szCs w:val="16"/>
        </w:rPr>
        <w:t>1</w:t>
      </w:r>
      <w:proofErr w:type="gramStart"/>
      <w:r w:rsidR="00CC7889">
        <w:rPr>
          <w:szCs w:val="16"/>
        </w:rPr>
        <w:t>.-</w:t>
      </w:r>
      <w:proofErr w:type="gramEnd"/>
      <w:r w:rsidR="00CC7889">
        <w:rPr>
          <w:szCs w:val="16"/>
        </w:rPr>
        <w:tab/>
      </w:r>
      <w:r w:rsidRPr="0087591C">
        <w:rPr>
          <w:szCs w:val="16"/>
        </w:rPr>
        <w:t>The explanatory note focuses exclusively on the analysis of the concept of propagating material and is not to be confused with the product of the harvest, so it makes no sense to include a paragraph referring to the product of the harvest.</w:t>
      </w:r>
    </w:p>
    <w:p w:rsidR="0087591C" w:rsidRPr="0087591C" w:rsidRDefault="0087591C" w:rsidP="00CC7889">
      <w:pPr>
        <w:pStyle w:val="EndnoteText"/>
        <w:ind w:left="709" w:hanging="425"/>
        <w:rPr>
          <w:szCs w:val="16"/>
        </w:rPr>
      </w:pPr>
      <w:r>
        <w:rPr>
          <w:szCs w:val="16"/>
        </w:rPr>
        <w:t>“</w:t>
      </w:r>
      <w:r w:rsidR="00CC7889">
        <w:rPr>
          <w:szCs w:val="16"/>
        </w:rPr>
        <w:t>2</w:t>
      </w:r>
      <w:proofErr w:type="gramStart"/>
      <w:r w:rsidR="00CC7889">
        <w:rPr>
          <w:szCs w:val="16"/>
        </w:rPr>
        <w:t>.-</w:t>
      </w:r>
      <w:proofErr w:type="gramEnd"/>
      <w:r w:rsidR="00CC7889">
        <w:rPr>
          <w:szCs w:val="16"/>
        </w:rPr>
        <w:tab/>
      </w:r>
      <w:r w:rsidRPr="0087591C">
        <w:rPr>
          <w:szCs w:val="16"/>
        </w:rPr>
        <w:t>Accordingly, references to Articles 14(2) and 16(2) of the 1991 Act should be deleted given that they refer clearly to the extension of the breeder’s right to the product of the harvest and its provenance, both of which are unrelated to the explanatory note on propagating material which is under consideration.</w:t>
      </w:r>
      <w:r>
        <w:rPr>
          <w:szCs w:val="16"/>
        </w:rPr>
        <w:t>”</w:t>
      </w:r>
    </w:p>
  </w:endnote>
  <w:endnote w:id="3">
    <w:p w:rsidR="007A1704" w:rsidRDefault="007A1704" w:rsidP="00CC7889">
      <w:pPr>
        <w:pStyle w:val="EndnoteText"/>
      </w:pPr>
      <w:r>
        <w:rPr>
          <w:rStyle w:val="EndnoteReference"/>
        </w:rPr>
        <w:endnoteRef/>
      </w:r>
      <w:r w:rsidR="00CC7889">
        <w:tab/>
      </w:r>
      <w:r>
        <w:t>The CAJ-AG, at its eighth session, agreed (see document CAJ-AG/13/8/10 “Report”, paragraph 51) to amend paragraph 3 of document UPOV/EXN/PPM Draft 1 to read:</w:t>
      </w:r>
    </w:p>
    <w:p w:rsidR="007D2943" w:rsidRPr="00CC7889" w:rsidRDefault="007D2943" w:rsidP="00CC7889">
      <w:pPr>
        <w:pStyle w:val="FootnoteText"/>
        <w:ind w:left="284"/>
      </w:pPr>
      <w:r>
        <w:t>“</w:t>
      </w:r>
      <w:r w:rsidRPr="007D2943">
        <w:t xml:space="preserve">The following, non-exhaustive, list of factors, </w:t>
      </w:r>
      <w:r w:rsidRPr="007D2943">
        <w:rPr>
          <w:highlight w:val="lightGray"/>
          <w:u w:val="single"/>
        </w:rPr>
        <w:t>or combination of factors</w:t>
      </w:r>
      <w:r w:rsidRPr="007D2943">
        <w:t>, might be considered in deciding whether material is propagating material:</w:t>
      </w:r>
    </w:p>
    <w:p w:rsidR="007D2943" w:rsidRPr="007D2943" w:rsidRDefault="007D2943" w:rsidP="00CC7889">
      <w:pPr>
        <w:pStyle w:val="FootnoteText"/>
        <w:ind w:left="567"/>
      </w:pPr>
      <w:r>
        <w:t>“</w:t>
      </w:r>
      <w:r w:rsidRPr="007D2943">
        <w:t>(</w:t>
      </w:r>
      <w:proofErr w:type="spellStart"/>
      <w:r w:rsidRPr="007D2943">
        <w:t>i</w:t>
      </w:r>
      <w:proofErr w:type="spellEnd"/>
      <w:r w:rsidRPr="007D2943">
        <w:t>)</w:t>
      </w:r>
      <w:r w:rsidRPr="007D2943">
        <w:tab/>
        <w:t>whether the material has been used to propagate the variety;</w:t>
      </w:r>
    </w:p>
    <w:p w:rsidR="007D2943" w:rsidRPr="007D2943" w:rsidRDefault="007D2943" w:rsidP="00CC7889">
      <w:pPr>
        <w:pStyle w:val="FootnoteText"/>
        <w:spacing w:before="0"/>
        <w:ind w:left="567"/>
      </w:pPr>
      <w:r>
        <w:t>“</w:t>
      </w:r>
      <w:r w:rsidRPr="007D2943">
        <w:t>(ii)</w:t>
      </w:r>
      <w:r w:rsidRPr="007D2943">
        <w:tab/>
        <w:t>whether the material is capable of producing entire plants of the variety;</w:t>
      </w:r>
    </w:p>
    <w:p w:rsidR="007D2943" w:rsidRPr="007D2943" w:rsidRDefault="007D2943" w:rsidP="00CC7889">
      <w:pPr>
        <w:pStyle w:val="FootnoteText"/>
        <w:spacing w:before="0"/>
        <w:ind w:left="567"/>
      </w:pPr>
      <w:r>
        <w:t>“</w:t>
      </w:r>
      <w:r w:rsidRPr="007D2943">
        <w:t>(iii)</w:t>
      </w:r>
      <w:r w:rsidRPr="007D2943">
        <w:tab/>
        <w:t>whether there has been a custom/practice of using the material for that purpose;</w:t>
      </w:r>
    </w:p>
    <w:p w:rsidR="007D2943" w:rsidRPr="007D2943" w:rsidRDefault="007D2943" w:rsidP="00CC7889">
      <w:pPr>
        <w:pStyle w:val="FootnoteText"/>
        <w:spacing w:before="0"/>
        <w:ind w:left="567"/>
      </w:pPr>
      <w:r>
        <w:t>“</w:t>
      </w:r>
      <w:r w:rsidRPr="007D2943">
        <w:t>(iv)</w:t>
      </w:r>
      <w:r w:rsidRPr="007D2943">
        <w:tab/>
        <w:t xml:space="preserve">the intention on the part of those concerned (producer, seller, supplier, buyer, recipient, user);  </w:t>
      </w:r>
      <w:r w:rsidRPr="007D2943">
        <w:rPr>
          <w:strike/>
          <w:highlight w:val="lightGray"/>
        </w:rPr>
        <w:t>and</w:t>
      </w:r>
      <w:r w:rsidRPr="007D2943">
        <w:rPr>
          <w:highlight w:val="lightGray"/>
        </w:rPr>
        <w:t xml:space="preserve"> </w:t>
      </w:r>
      <w:r w:rsidRPr="007D2943">
        <w:rPr>
          <w:highlight w:val="lightGray"/>
          <w:u w:val="single"/>
        </w:rPr>
        <w:t>or</w:t>
      </w:r>
      <w:r w:rsidRPr="007D2943">
        <w:t xml:space="preserve"> </w:t>
      </w:r>
    </w:p>
    <w:p w:rsidR="007D2943" w:rsidRDefault="007D2943" w:rsidP="00CC7889">
      <w:pPr>
        <w:pStyle w:val="FootnoteText"/>
        <w:spacing w:before="0"/>
        <w:ind w:left="567"/>
      </w:pPr>
      <w:r>
        <w:t>“</w:t>
      </w:r>
      <w:r w:rsidRPr="007D2943">
        <w:t>(v)</w:t>
      </w:r>
      <w:r w:rsidRPr="007D2943">
        <w:tab/>
      </w:r>
      <w:proofErr w:type="gramStart"/>
      <w:r w:rsidRPr="007D2943">
        <w:t>whether</w:t>
      </w:r>
      <w:proofErr w:type="gramEnd"/>
      <w:r w:rsidRPr="007D2943">
        <w:t xml:space="preserve"> the plant material is suitable for reproducing the variety unchanged.”</w:t>
      </w:r>
    </w:p>
  </w:endnote>
  <w:endnote w:id="4">
    <w:p w:rsidR="00063D54" w:rsidRDefault="00063D54" w:rsidP="00CC7889">
      <w:pPr>
        <w:pStyle w:val="FootnoteText"/>
        <w:rPr>
          <w:szCs w:val="16"/>
        </w:rPr>
      </w:pPr>
      <w:r>
        <w:rPr>
          <w:rStyle w:val="EndnoteReference"/>
        </w:rPr>
        <w:endnoteRef/>
      </w:r>
      <w:r w:rsidR="00CC7889">
        <w:tab/>
      </w:r>
      <w:r>
        <w:t xml:space="preserve">The </w:t>
      </w:r>
      <w:r w:rsidR="007A1704">
        <w:t>CAJ-AG</w:t>
      </w:r>
      <w:r>
        <w:t xml:space="preserve">, at its eighth session, noted that the Delegation of Argentina would make a proposal in relation to paragraph 3 and, if appropriate, any corresponding adjustment to paragraph 1 of document UPOV/EXN/PPM Draft 1 (see document </w:t>
      </w:r>
      <w:r w:rsidR="00781B39">
        <w:br/>
      </w:r>
      <w:r>
        <w:t xml:space="preserve">CAJ-AG/13/8/10 “Report”, paragraph 53).  The </w:t>
      </w:r>
      <w:r w:rsidRPr="0087591C">
        <w:rPr>
          <w:szCs w:val="16"/>
        </w:rPr>
        <w:t xml:space="preserve">Delegation of Argentina made the following proposal </w:t>
      </w:r>
      <w:r w:rsidR="00781B39" w:rsidRPr="00781B39">
        <w:rPr>
          <w:szCs w:val="16"/>
        </w:rPr>
        <w:t xml:space="preserve">(see </w:t>
      </w:r>
      <w:hyperlink r:id="rId2" w:history="1">
        <w:r w:rsidR="00781B39" w:rsidRPr="00781B39">
          <w:rPr>
            <w:rStyle w:val="Hyperlink"/>
            <w:noProof w:val="0"/>
            <w:snapToGrid w:val="0"/>
          </w:rPr>
          <w:t>http://www.upov.int/edocs/mdocs/upov/en/caj_ag_13_8/caj_ag_13_8_www_274003.pdf</w:t>
        </w:r>
      </w:hyperlink>
      <w:r w:rsidR="00781B39" w:rsidRPr="00781B39">
        <w:rPr>
          <w:szCs w:val="16"/>
        </w:rPr>
        <w:t>)</w:t>
      </w:r>
      <w:r>
        <w:rPr>
          <w:szCs w:val="16"/>
        </w:rPr>
        <w:t>:</w:t>
      </w:r>
    </w:p>
    <w:p w:rsidR="00063D54" w:rsidRDefault="00063D54" w:rsidP="00CC7889">
      <w:pPr>
        <w:pStyle w:val="EndnoteText"/>
        <w:tabs>
          <w:tab w:val="clear" w:pos="284"/>
        </w:tabs>
        <w:ind w:left="567" w:hanging="283"/>
      </w:pPr>
      <w:r>
        <w:t>•</w:t>
      </w:r>
      <w:r>
        <w:tab/>
        <w:t>“The example given under (v) should be deleted since it is implicit and has the same scope as</w:t>
      </w:r>
      <w:r w:rsidR="00CC7889">
        <w:t xml:space="preserve"> the example mentioned at point </w:t>
      </w:r>
      <w:r>
        <w:t>(ii).</w:t>
      </w:r>
    </w:p>
    <w:p w:rsidR="00063D54" w:rsidRDefault="00063D54" w:rsidP="00CC7889">
      <w:pPr>
        <w:pStyle w:val="EndnoteText"/>
        <w:tabs>
          <w:tab w:val="clear" w:pos="284"/>
        </w:tabs>
        <w:ind w:left="567" w:hanging="283"/>
      </w:pPr>
      <w:r>
        <w:t>•</w:t>
      </w:r>
      <w:r>
        <w:tab/>
        <w:t>“To ‘the combination of factors’ should be added ‘AND/OR’ and not just ‘OR’, since, depending on its legislation, each country may take as parameters one or several concepts listed in examples (</w:t>
      </w:r>
      <w:proofErr w:type="spellStart"/>
      <w:r>
        <w:t>i</w:t>
      </w:r>
      <w:proofErr w:type="spellEnd"/>
      <w:r>
        <w:t>) to (iv) jointly to consider material as propagating material, and so the choice should not be limited to only one of them.</w:t>
      </w:r>
    </w:p>
    <w:p w:rsidR="00063D54" w:rsidRDefault="00063D54" w:rsidP="00CC7889">
      <w:pPr>
        <w:pStyle w:val="EndnoteText"/>
        <w:tabs>
          <w:tab w:val="clear" w:pos="284"/>
        </w:tabs>
        <w:ind w:left="567" w:hanging="283"/>
      </w:pPr>
      <w:r>
        <w:t>•</w:t>
      </w:r>
      <w:r>
        <w:tab/>
        <w:t>“The following should be included as a criterion for considering mat</w:t>
      </w:r>
      <w:r w:rsidR="00DA11C1">
        <w:t>erial as propagating material: ‘</w:t>
      </w:r>
      <w:r>
        <w:t xml:space="preserve">if, based on the </w:t>
      </w:r>
      <w:proofErr w:type="gramStart"/>
      <w:r>
        <w:t>nature  and</w:t>
      </w:r>
      <w:proofErr w:type="gramEnd"/>
      <w:r>
        <w:t xml:space="preserve"> condition of the material and/or the form of its use, it can be determined that such material is ‘exclusively propagating material’ (for example: if the material is classified according to variety and purity; price and terms of sale; quality of the material, including conditioning, treatment and germination; markets or place of storage and/or destination, etc.)</w:t>
      </w:r>
      <w:r w:rsidR="00DA11C1">
        <w:t>”</w:t>
      </w:r>
    </w:p>
    <w:p w:rsidR="009D08B3" w:rsidRDefault="009D08B3" w:rsidP="009D08B3"/>
    <w:p w:rsidR="009D08B3" w:rsidRDefault="009D08B3" w:rsidP="009D08B3"/>
    <w:p w:rsidR="009D08B3" w:rsidRDefault="009D08B3" w:rsidP="009D08B3"/>
    <w:p w:rsidR="009D08B3" w:rsidRPr="00C872C9" w:rsidRDefault="009D08B3" w:rsidP="009D08B3">
      <w:pPr>
        <w:pStyle w:val="EndnoteText"/>
        <w:jc w:val="right"/>
        <w:rPr>
          <w:sz w:val="20"/>
        </w:rPr>
      </w:pPr>
      <w:r w:rsidRPr="00C872C9">
        <w:rPr>
          <w:sz w:val="20"/>
        </w:rPr>
        <w:t>[End of document]</w:t>
      </w:r>
    </w:p>
    <w:p w:rsidR="009D08B3" w:rsidRPr="009D08B3" w:rsidRDefault="009D08B3" w:rsidP="009D0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C1" w:rsidRDefault="004621C1">
      <w:r>
        <w:separator/>
      </w:r>
    </w:p>
  </w:footnote>
  <w:footnote w:type="continuationSeparator" w:id="0">
    <w:p w:rsidR="004621C1" w:rsidRDefault="0046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C1" w:rsidRPr="00F106BE" w:rsidRDefault="004621C1"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C1" w:rsidRPr="0068156D" w:rsidRDefault="004621C1" w:rsidP="00BE4EC4">
    <w:pPr>
      <w:pStyle w:val="Header"/>
      <w:rPr>
        <w:rFonts w:cs="Arial"/>
      </w:rPr>
    </w:pPr>
    <w:r>
      <w:rPr>
        <w:rFonts w:cs="Arial"/>
      </w:rPr>
      <w:t xml:space="preserve">UPOV/EXN/PPM </w:t>
    </w:r>
    <w:proofErr w:type="spellStart"/>
    <w:r>
      <w:rPr>
        <w:rFonts w:cs="Arial"/>
      </w:rPr>
      <w:t>Draft</w:t>
    </w:r>
    <w:proofErr w:type="spellEnd"/>
    <w:r>
      <w:rPr>
        <w:rFonts w:cs="Arial"/>
      </w:rPr>
      <w:t xml:space="preserve"> </w:t>
    </w:r>
    <w:r w:rsidR="00935FE3">
      <w:rPr>
        <w:rFonts w:cs="Arial"/>
      </w:rPr>
      <w:t>2</w:t>
    </w:r>
  </w:p>
  <w:p w:rsidR="004621C1" w:rsidRPr="009929A5" w:rsidRDefault="004621C1"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E54488">
      <w:rPr>
        <w:rStyle w:val="PageNumber"/>
        <w:rFonts w:cs="Arial"/>
        <w:noProof/>
      </w:rPr>
      <w:t>7</w:t>
    </w:r>
    <w:r w:rsidRPr="009929A5">
      <w:rPr>
        <w:rStyle w:val="PageNumber"/>
        <w:rFonts w:cs="Arial"/>
      </w:rPr>
      <w:fldChar w:fldCharType="end"/>
    </w:r>
  </w:p>
  <w:p w:rsidR="004621C1" w:rsidRPr="009929A5" w:rsidRDefault="004621C1"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67"/>
    <w:rsid w:val="00000531"/>
    <w:rsid w:val="00003B5C"/>
    <w:rsid w:val="00004E4E"/>
    <w:rsid w:val="00005853"/>
    <w:rsid w:val="0000682E"/>
    <w:rsid w:val="00006D0B"/>
    <w:rsid w:val="00010D9E"/>
    <w:rsid w:val="000126EB"/>
    <w:rsid w:val="000134B6"/>
    <w:rsid w:val="0001787D"/>
    <w:rsid w:val="000215D1"/>
    <w:rsid w:val="00022363"/>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5980"/>
    <w:rsid w:val="00056D03"/>
    <w:rsid w:val="00056D63"/>
    <w:rsid w:val="0005784D"/>
    <w:rsid w:val="00057B0D"/>
    <w:rsid w:val="000619A4"/>
    <w:rsid w:val="000620CD"/>
    <w:rsid w:val="000625BE"/>
    <w:rsid w:val="00063D54"/>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5BB"/>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1E86"/>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4E04"/>
    <w:rsid w:val="001A59D0"/>
    <w:rsid w:val="001A709F"/>
    <w:rsid w:val="001B0BF6"/>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D7D"/>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169F"/>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6D55"/>
    <w:rsid w:val="003077CA"/>
    <w:rsid w:val="00307AC6"/>
    <w:rsid w:val="0031187D"/>
    <w:rsid w:val="003127A5"/>
    <w:rsid w:val="003153C5"/>
    <w:rsid w:val="00315460"/>
    <w:rsid w:val="003156B9"/>
    <w:rsid w:val="00315915"/>
    <w:rsid w:val="00320742"/>
    <w:rsid w:val="00320AA9"/>
    <w:rsid w:val="00320E1A"/>
    <w:rsid w:val="0032100B"/>
    <w:rsid w:val="00324537"/>
    <w:rsid w:val="00324F66"/>
    <w:rsid w:val="00325B84"/>
    <w:rsid w:val="00327307"/>
    <w:rsid w:val="00330C10"/>
    <w:rsid w:val="00331AFF"/>
    <w:rsid w:val="00333E8A"/>
    <w:rsid w:val="00333FD9"/>
    <w:rsid w:val="0033584D"/>
    <w:rsid w:val="00335A41"/>
    <w:rsid w:val="00335F46"/>
    <w:rsid w:val="00336624"/>
    <w:rsid w:val="00336F8E"/>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C7CB3"/>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289A"/>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1C1"/>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19C"/>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4AC3"/>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2FC9"/>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1D56"/>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176E"/>
    <w:rsid w:val="005425A5"/>
    <w:rsid w:val="00543F37"/>
    <w:rsid w:val="00546DB4"/>
    <w:rsid w:val="00546F4D"/>
    <w:rsid w:val="00547816"/>
    <w:rsid w:val="00547E3C"/>
    <w:rsid w:val="00550E1F"/>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2B1"/>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E6C21"/>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B58"/>
    <w:rsid w:val="00660FDB"/>
    <w:rsid w:val="006611CA"/>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0B4"/>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3330"/>
    <w:rsid w:val="00766AAD"/>
    <w:rsid w:val="00766F6F"/>
    <w:rsid w:val="0076711B"/>
    <w:rsid w:val="00767D20"/>
    <w:rsid w:val="00770267"/>
    <w:rsid w:val="00773385"/>
    <w:rsid w:val="00777AEF"/>
    <w:rsid w:val="00781062"/>
    <w:rsid w:val="00781B39"/>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1704"/>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2943"/>
    <w:rsid w:val="007D3FD7"/>
    <w:rsid w:val="007D4460"/>
    <w:rsid w:val="007D5525"/>
    <w:rsid w:val="007E01DE"/>
    <w:rsid w:val="007E0283"/>
    <w:rsid w:val="007E210D"/>
    <w:rsid w:val="007E24D0"/>
    <w:rsid w:val="007E2583"/>
    <w:rsid w:val="007E297C"/>
    <w:rsid w:val="007E29DB"/>
    <w:rsid w:val="007E560A"/>
    <w:rsid w:val="007E649A"/>
    <w:rsid w:val="007E6C5A"/>
    <w:rsid w:val="007E7836"/>
    <w:rsid w:val="007F0B0F"/>
    <w:rsid w:val="007F1695"/>
    <w:rsid w:val="007F21FC"/>
    <w:rsid w:val="007F22DD"/>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58D2"/>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591C"/>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5FE3"/>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2C6"/>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1499"/>
    <w:rsid w:val="009A313B"/>
    <w:rsid w:val="009A38DA"/>
    <w:rsid w:val="009A5596"/>
    <w:rsid w:val="009A5F40"/>
    <w:rsid w:val="009A6CBE"/>
    <w:rsid w:val="009A7D0F"/>
    <w:rsid w:val="009A7EAE"/>
    <w:rsid w:val="009B0F15"/>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B3"/>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151"/>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120E"/>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1B9"/>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2CF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C92"/>
    <w:rsid w:val="00BE4EC4"/>
    <w:rsid w:val="00BE6025"/>
    <w:rsid w:val="00BE7AA6"/>
    <w:rsid w:val="00BE7BB8"/>
    <w:rsid w:val="00BF1AB0"/>
    <w:rsid w:val="00BF234A"/>
    <w:rsid w:val="00BF3062"/>
    <w:rsid w:val="00BF38E5"/>
    <w:rsid w:val="00BF4A5D"/>
    <w:rsid w:val="00BF53AE"/>
    <w:rsid w:val="00BF6032"/>
    <w:rsid w:val="00BF610F"/>
    <w:rsid w:val="00BF6696"/>
    <w:rsid w:val="00BF6698"/>
    <w:rsid w:val="00BF7681"/>
    <w:rsid w:val="00C00AB1"/>
    <w:rsid w:val="00C03163"/>
    <w:rsid w:val="00C0391B"/>
    <w:rsid w:val="00C07581"/>
    <w:rsid w:val="00C100E1"/>
    <w:rsid w:val="00C10495"/>
    <w:rsid w:val="00C11710"/>
    <w:rsid w:val="00C11AE4"/>
    <w:rsid w:val="00C121F9"/>
    <w:rsid w:val="00C12B58"/>
    <w:rsid w:val="00C15EDC"/>
    <w:rsid w:val="00C17C5E"/>
    <w:rsid w:val="00C217A9"/>
    <w:rsid w:val="00C24935"/>
    <w:rsid w:val="00C26A76"/>
    <w:rsid w:val="00C26BDF"/>
    <w:rsid w:val="00C30D3E"/>
    <w:rsid w:val="00C30D8C"/>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47614"/>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2C9"/>
    <w:rsid w:val="00C87AE7"/>
    <w:rsid w:val="00C90854"/>
    <w:rsid w:val="00C925A2"/>
    <w:rsid w:val="00C9338B"/>
    <w:rsid w:val="00C93475"/>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889"/>
    <w:rsid w:val="00CD4C21"/>
    <w:rsid w:val="00CD5C79"/>
    <w:rsid w:val="00CD6470"/>
    <w:rsid w:val="00CD7696"/>
    <w:rsid w:val="00CD7861"/>
    <w:rsid w:val="00CE0E08"/>
    <w:rsid w:val="00CE48FA"/>
    <w:rsid w:val="00CE5818"/>
    <w:rsid w:val="00CE63E8"/>
    <w:rsid w:val="00CE713F"/>
    <w:rsid w:val="00CE7EDA"/>
    <w:rsid w:val="00CF0C04"/>
    <w:rsid w:val="00CF1735"/>
    <w:rsid w:val="00CF2454"/>
    <w:rsid w:val="00CF2E0A"/>
    <w:rsid w:val="00D01E37"/>
    <w:rsid w:val="00D04781"/>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979FC"/>
    <w:rsid w:val="00DA0254"/>
    <w:rsid w:val="00DA11C1"/>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488"/>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2272"/>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271D"/>
    <w:rsid w:val="00FB3F73"/>
    <w:rsid w:val="00FB4011"/>
    <w:rsid w:val="00FB522E"/>
    <w:rsid w:val="00FB6485"/>
    <w:rsid w:val="00FB6F15"/>
    <w:rsid w:val="00FB723E"/>
    <w:rsid w:val="00FB76F0"/>
    <w:rsid w:val="00FB7E53"/>
    <w:rsid w:val="00FC0100"/>
    <w:rsid w:val="00FC1338"/>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88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1A4E04"/>
    <w:pPr>
      <w:keepNext/>
      <w:jc w:val="both"/>
      <w:outlineLvl w:val="1"/>
    </w:pPr>
    <w:rPr>
      <w:rFonts w:ascii="Arial" w:hAnsi="Arial"/>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CC788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781B39"/>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54176E"/>
    <w:rPr>
      <w:rFonts w:ascii="Arial" w:hAnsi="Arial"/>
    </w:rPr>
  </w:style>
  <w:style w:type="character" w:customStyle="1" w:styleId="BodyTextIndentChar">
    <w:name w:val="Body Text Indent Char"/>
    <w:basedOn w:val="DefaultParagraphFont"/>
    <w:link w:val="BodyTextIndent"/>
    <w:rsid w:val="0054176E"/>
    <w:rPr>
      <w:rFonts w:ascii="Arial" w:hAnsi="Arial"/>
      <w:lang w:val="es-ES_tradnl"/>
    </w:rPr>
  </w:style>
  <w:style w:type="character" w:customStyle="1" w:styleId="CommentTextChar">
    <w:name w:val="Comment Text Char"/>
    <w:basedOn w:val="DefaultParagraphFont"/>
    <w:link w:val="CommentText"/>
    <w:semiHidden/>
    <w:rsid w:val="0054176E"/>
    <w:rPr>
      <w:rFonts w:ascii="Arial" w:hAnsi="Arial"/>
      <w:sz w:val="22"/>
      <w:lang w:val="es-ES_tradnl"/>
    </w:rPr>
  </w:style>
  <w:style w:type="paragraph" w:styleId="Bibliography">
    <w:name w:val="Bibliography"/>
    <w:basedOn w:val="Normal"/>
    <w:next w:val="Normal"/>
    <w:uiPriority w:val="37"/>
    <w:semiHidden/>
    <w:unhideWhenUsed/>
    <w:rsid w:val="006611CA"/>
  </w:style>
  <w:style w:type="paragraph" w:styleId="BodyText2">
    <w:name w:val="Body Text 2"/>
    <w:basedOn w:val="Normal"/>
    <w:link w:val="BodyText2Char"/>
    <w:rsid w:val="006611CA"/>
    <w:pPr>
      <w:spacing w:after="120" w:line="480" w:lineRule="auto"/>
    </w:pPr>
  </w:style>
  <w:style w:type="character" w:customStyle="1" w:styleId="BodyText2Char">
    <w:name w:val="Body Text 2 Char"/>
    <w:basedOn w:val="DefaultParagraphFont"/>
    <w:link w:val="BodyText2"/>
    <w:rsid w:val="006611CA"/>
    <w:rPr>
      <w:rFonts w:ascii="Arial" w:hAnsi="Arial"/>
    </w:rPr>
  </w:style>
  <w:style w:type="paragraph" w:styleId="BodyText3">
    <w:name w:val="Body Text 3"/>
    <w:basedOn w:val="Normal"/>
    <w:link w:val="BodyText3Char"/>
    <w:rsid w:val="006611CA"/>
    <w:pPr>
      <w:spacing w:after="120"/>
    </w:pPr>
    <w:rPr>
      <w:sz w:val="16"/>
      <w:szCs w:val="16"/>
    </w:rPr>
  </w:style>
  <w:style w:type="character" w:customStyle="1" w:styleId="BodyText3Char">
    <w:name w:val="Body Text 3 Char"/>
    <w:basedOn w:val="DefaultParagraphFont"/>
    <w:link w:val="BodyText3"/>
    <w:rsid w:val="006611CA"/>
    <w:rPr>
      <w:rFonts w:ascii="Arial" w:hAnsi="Arial"/>
      <w:sz w:val="16"/>
      <w:szCs w:val="16"/>
    </w:rPr>
  </w:style>
  <w:style w:type="paragraph" w:styleId="BodyTextFirstIndent">
    <w:name w:val="Body Text First Indent"/>
    <w:basedOn w:val="BodyText"/>
    <w:link w:val="BodyTextFirstIndentChar"/>
    <w:rsid w:val="006611CA"/>
    <w:pPr>
      <w:ind w:firstLine="360"/>
    </w:pPr>
  </w:style>
  <w:style w:type="character" w:customStyle="1" w:styleId="BodyTextFirstIndentChar">
    <w:name w:val="Body Text First Indent Char"/>
    <w:basedOn w:val="BodyTextChar"/>
    <w:link w:val="BodyTextFirstIndent"/>
    <w:rsid w:val="006611CA"/>
    <w:rPr>
      <w:rFonts w:ascii="Arial" w:hAnsi="Arial"/>
    </w:rPr>
  </w:style>
  <w:style w:type="paragraph" w:styleId="BodyTextFirstIndent2">
    <w:name w:val="Body Text First Indent 2"/>
    <w:basedOn w:val="BodyTextIndent"/>
    <w:link w:val="BodyTextFirstIndent2Char"/>
    <w:rsid w:val="006611CA"/>
    <w:pPr>
      <w:ind w:left="360" w:firstLine="360"/>
    </w:pPr>
    <w:rPr>
      <w:lang w:val="en-US"/>
    </w:rPr>
  </w:style>
  <w:style w:type="character" w:customStyle="1" w:styleId="BodyTextFirstIndent2Char">
    <w:name w:val="Body Text First Indent 2 Char"/>
    <w:basedOn w:val="BodyTextIndentChar"/>
    <w:link w:val="BodyTextFirstIndent2"/>
    <w:rsid w:val="006611CA"/>
    <w:rPr>
      <w:rFonts w:ascii="Arial" w:hAnsi="Arial"/>
      <w:lang w:val="es-ES_tradnl"/>
    </w:rPr>
  </w:style>
  <w:style w:type="paragraph" w:styleId="BodyTextIndent2">
    <w:name w:val="Body Text Indent 2"/>
    <w:basedOn w:val="Normal"/>
    <w:link w:val="BodyTextIndent2Char"/>
    <w:rsid w:val="006611CA"/>
    <w:pPr>
      <w:spacing w:after="120" w:line="480" w:lineRule="auto"/>
      <w:ind w:left="283"/>
    </w:pPr>
  </w:style>
  <w:style w:type="character" w:customStyle="1" w:styleId="BodyTextIndent2Char">
    <w:name w:val="Body Text Indent 2 Char"/>
    <w:basedOn w:val="DefaultParagraphFont"/>
    <w:link w:val="BodyTextIndent2"/>
    <w:rsid w:val="006611CA"/>
    <w:rPr>
      <w:rFonts w:ascii="Arial" w:hAnsi="Arial"/>
    </w:rPr>
  </w:style>
  <w:style w:type="paragraph" w:styleId="BodyTextIndent3">
    <w:name w:val="Body Text Indent 3"/>
    <w:basedOn w:val="Normal"/>
    <w:link w:val="BodyTextIndent3Char"/>
    <w:rsid w:val="006611CA"/>
    <w:pPr>
      <w:spacing w:after="120"/>
      <w:ind w:left="283"/>
    </w:pPr>
    <w:rPr>
      <w:sz w:val="16"/>
      <w:szCs w:val="16"/>
    </w:rPr>
  </w:style>
  <w:style w:type="character" w:customStyle="1" w:styleId="BodyTextIndent3Char">
    <w:name w:val="Body Text Indent 3 Char"/>
    <w:basedOn w:val="DefaultParagraphFont"/>
    <w:link w:val="BodyTextIndent3"/>
    <w:rsid w:val="006611CA"/>
    <w:rPr>
      <w:rFonts w:ascii="Arial" w:hAnsi="Arial"/>
      <w:sz w:val="16"/>
      <w:szCs w:val="16"/>
    </w:rPr>
  </w:style>
  <w:style w:type="paragraph" w:styleId="CommentSubject">
    <w:name w:val="annotation subject"/>
    <w:basedOn w:val="CommentText"/>
    <w:next w:val="CommentText"/>
    <w:link w:val="CommentSubjectChar"/>
    <w:rsid w:val="006611CA"/>
    <w:rPr>
      <w:b/>
      <w:bCs/>
      <w:sz w:val="20"/>
      <w:lang w:val="en-US"/>
    </w:rPr>
  </w:style>
  <w:style w:type="character" w:customStyle="1" w:styleId="CommentSubjectChar">
    <w:name w:val="Comment Subject Char"/>
    <w:basedOn w:val="CommentTextChar"/>
    <w:link w:val="CommentSubject"/>
    <w:rsid w:val="006611CA"/>
    <w:rPr>
      <w:rFonts w:ascii="Arial" w:hAnsi="Arial"/>
      <w:b/>
      <w:bCs/>
      <w:sz w:val="22"/>
      <w:lang w:val="es-ES_tradnl"/>
    </w:rPr>
  </w:style>
  <w:style w:type="paragraph" w:styleId="DocumentMap">
    <w:name w:val="Document Map"/>
    <w:basedOn w:val="Normal"/>
    <w:link w:val="DocumentMapChar"/>
    <w:rsid w:val="006611CA"/>
    <w:rPr>
      <w:rFonts w:ascii="Tahoma" w:hAnsi="Tahoma" w:cs="Tahoma"/>
      <w:sz w:val="16"/>
      <w:szCs w:val="16"/>
    </w:rPr>
  </w:style>
  <w:style w:type="character" w:customStyle="1" w:styleId="DocumentMapChar">
    <w:name w:val="Document Map Char"/>
    <w:basedOn w:val="DefaultParagraphFont"/>
    <w:link w:val="DocumentMap"/>
    <w:rsid w:val="006611CA"/>
    <w:rPr>
      <w:rFonts w:ascii="Tahoma" w:hAnsi="Tahoma" w:cs="Tahoma"/>
      <w:sz w:val="16"/>
      <w:szCs w:val="16"/>
    </w:rPr>
  </w:style>
  <w:style w:type="paragraph" w:styleId="Index4">
    <w:name w:val="index 4"/>
    <w:basedOn w:val="Normal"/>
    <w:next w:val="Normal"/>
    <w:autoRedefine/>
    <w:rsid w:val="006611CA"/>
    <w:pPr>
      <w:ind w:left="800" w:hanging="200"/>
    </w:pPr>
  </w:style>
  <w:style w:type="paragraph" w:styleId="Index5">
    <w:name w:val="index 5"/>
    <w:basedOn w:val="Normal"/>
    <w:next w:val="Normal"/>
    <w:autoRedefine/>
    <w:rsid w:val="006611CA"/>
    <w:pPr>
      <w:ind w:left="1000" w:hanging="200"/>
    </w:pPr>
  </w:style>
  <w:style w:type="paragraph" w:styleId="Index6">
    <w:name w:val="index 6"/>
    <w:basedOn w:val="Normal"/>
    <w:next w:val="Normal"/>
    <w:autoRedefine/>
    <w:rsid w:val="006611CA"/>
    <w:pPr>
      <w:ind w:left="1200" w:hanging="200"/>
    </w:pPr>
  </w:style>
  <w:style w:type="paragraph" w:styleId="Index7">
    <w:name w:val="index 7"/>
    <w:basedOn w:val="Normal"/>
    <w:next w:val="Normal"/>
    <w:autoRedefine/>
    <w:rsid w:val="006611CA"/>
    <w:pPr>
      <w:ind w:left="1400" w:hanging="200"/>
    </w:pPr>
  </w:style>
  <w:style w:type="paragraph" w:styleId="Index8">
    <w:name w:val="index 8"/>
    <w:basedOn w:val="Normal"/>
    <w:next w:val="Normal"/>
    <w:autoRedefine/>
    <w:rsid w:val="006611CA"/>
    <w:pPr>
      <w:ind w:left="1600" w:hanging="200"/>
    </w:pPr>
  </w:style>
  <w:style w:type="paragraph" w:styleId="Index9">
    <w:name w:val="index 9"/>
    <w:basedOn w:val="Normal"/>
    <w:next w:val="Normal"/>
    <w:autoRedefine/>
    <w:rsid w:val="006611CA"/>
    <w:pPr>
      <w:ind w:left="1800" w:hanging="200"/>
    </w:pPr>
  </w:style>
  <w:style w:type="paragraph" w:styleId="IndexHeading">
    <w:name w:val="index heading"/>
    <w:basedOn w:val="Normal"/>
    <w:next w:val="Index1"/>
    <w:rsid w:val="006611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1CA"/>
    <w:rPr>
      <w:rFonts w:ascii="Arial" w:hAnsi="Arial"/>
      <w:b/>
      <w:bCs/>
      <w:i/>
      <w:iCs/>
      <w:color w:val="4F81BD" w:themeColor="accent1"/>
    </w:rPr>
  </w:style>
  <w:style w:type="paragraph" w:styleId="ListParagraph">
    <w:name w:val="List Paragraph"/>
    <w:basedOn w:val="Normal"/>
    <w:uiPriority w:val="34"/>
    <w:qFormat/>
    <w:rsid w:val="006611CA"/>
    <w:pPr>
      <w:ind w:left="720"/>
      <w:contextualSpacing/>
    </w:pPr>
  </w:style>
  <w:style w:type="paragraph" w:styleId="NoSpacing">
    <w:name w:val="No Spacing"/>
    <w:uiPriority w:val="1"/>
    <w:qFormat/>
    <w:rsid w:val="006611CA"/>
    <w:pPr>
      <w:jc w:val="both"/>
    </w:pPr>
    <w:rPr>
      <w:rFonts w:ascii="Arial" w:hAnsi="Arial"/>
    </w:rPr>
  </w:style>
  <w:style w:type="paragraph" w:styleId="Quote">
    <w:name w:val="Quote"/>
    <w:basedOn w:val="Normal"/>
    <w:next w:val="Normal"/>
    <w:link w:val="QuoteChar"/>
    <w:uiPriority w:val="29"/>
    <w:qFormat/>
    <w:rsid w:val="006611CA"/>
    <w:rPr>
      <w:i/>
      <w:iCs/>
      <w:color w:val="000000" w:themeColor="text1"/>
    </w:rPr>
  </w:style>
  <w:style w:type="character" w:customStyle="1" w:styleId="QuoteChar">
    <w:name w:val="Quote Char"/>
    <w:basedOn w:val="DefaultParagraphFont"/>
    <w:link w:val="Quote"/>
    <w:uiPriority w:val="29"/>
    <w:rsid w:val="006611CA"/>
    <w:rPr>
      <w:rFonts w:ascii="Arial" w:hAnsi="Arial"/>
      <w:i/>
      <w:iCs/>
      <w:color w:val="000000" w:themeColor="text1"/>
    </w:rPr>
  </w:style>
  <w:style w:type="paragraph" w:styleId="TableofAuthorities">
    <w:name w:val="table of authorities"/>
    <w:basedOn w:val="Normal"/>
    <w:next w:val="Normal"/>
    <w:rsid w:val="006611CA"/>
    <w:pPr>
      <w:ind w:left="200" w:hanging="200"/>
    </w:pPr>
  </w:style>
  <w:style w:type="paragraph" w:styleId="TableofFigures">
    <w:name w:val="table of figures"/>
    <w:basedOn w:val="Normal"/>
    <w:next w:val="Normal"/>
    <w:rsid w:val="006611CA"/>
  </w:style>
  <w:style w:type="paragraph" w:styleId="TOAHeading">
    <w:name w:val="toa heading"/>
    <w:basedOn w:val="Normal"/>
    <w:next w:val="Normal"/>
    <w:rsid w:val="006611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11CA"/>
    <w:pPr>
      <w:keepLines/>
      <w:spacing w:before="480"/>
      <w:jc w:val="both"/>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88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1A4E04"/>
    <w:pPr>
      <w:keepNext/>
      <w:jc w:val="both"/>
      <w:outlineLvl w:val="1"/>
    </w:pPr>
    <w:rPr>
      <w:rFonts w:ascii="Arial" w:hAnsi="Arial"/>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CC788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781B39"/>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54176E"/>
    <w:rPr>
      <w:rFonts w:ascii="Arial" w:hAnsi="Arial"/>
    </w:rPr>
  </w:style>
  <w:style w:type="character" w:customStyle="1" w:styleId="BodyTextIndentChar">
    <w:name w:val="Body Text Indent Char"/>
    <w:basedOn w:val="DefaultParagraphFont"/>
    <w:link w:val="BodyTextIndent"/>
    <w:rsid w:val="0054176E"/>
    <w:rPr>
      <w:rFonts w:ascii="Arial" w:hAnsi="Arial"/>
      <w:lang w:val="es-ES_tradnl"/>
    </w:rPr>
  </w:style>
  <w:style w:type="character" w:customStyle="1" w:styleId="CommentTextChar">
    <w:name w:val="Comment Text Char"/>
    <w:basedOn w:val="DefaultParagraphFont"/>
    <w:link w:val="CommentText"/>
    <w:semiHidden/>
    <w:rsid w:val="0054176E"/>
    <w:rPr>
      <w:rFonts w:ascii="Arial" w:hAnsi="Arial"/>
      <w:sz w:val="22"/>
      <w:lang w:val="es-ES_tradnl"/>
    </w:rPr>
  </w:style>
  <w:style w:type="paragraph" w:styleId="Bibliography">
    <w:name w:val="Bibliography"/>
    <w:basedOn w:val="Normal"/>
    <w:next w:val="Normal"/>
    <w:uiPriority w:val="37"/>
    <w:semiHidden/>
    <w:unhideWhenUsed/>
    <w:rsid w:val="006611CA"/>
  </w:style>
  <w:style w:type="paragraph" w:styleId="BodyText2">
    <w:name w:val="Body Text 2"/>
    <w:basedOn w:val="Normal"/>
    <w:link w:val="BodyText2Char"/>
    <w:rsid w:val="006611CA"/>
    <w:pPr>
      <w:spacing w:after="120" w:line="480" w:lineRule="auto"/>
    </w:pPr>
  </w:style>
  <w:style w:type="character" w:customStyle="1" w:styleId="BodyText2Char">
    <w:name w:val="Body Text 2 Char"/>
    <w:basedOn w:val="DefaultParagraphFont"/>
    <w:link w:val="BodyText2"/>
    <w:rsid w:val="006611CA"/>
    <w:rPr>
      <w:rFonts w:ascii="Arial" w:hAnsi="Arial"/>
    </w:rPr>
  </w:style>
  <w:style w:type="paragraph" w:styleId="BodyText3">
    <w:name w:val="Body Text 3"/>
    <w:basedOn w:val="Normal"/>
    <w:link w:val="BodyText3Char"/>
    <w:rsid w:val="006611CA"/>
    <w:pPr>
      <w:spacing w:after="120"/>
    </w:pPr>
    <w:rPr>
      <w:sz w:val="16"/>
      <w:szCs w:val="16"/>
    </w:rPr>
  </w:style>
  <w:style w:type="character" w:customStyle="1" w:styleId="BodyText3Char">
    <w:name w:val="Body Text 3 Char"/>
    <w:basedOn w:val="DefaultParagraphFont"/>
    <w:link w:val="BodyText3"/>
    <w:rsid w:val="006611CA"/>
    <w:rPr>
      <w:rFonts w:ascii="Arial" w:hAnsi="Arial"/>
      <w:sz w:val="16"/>
      <w:szCs w:val="16"/>
    </w:rPr>
  </w:style>
  <w:style w:type="paragraph" w:styleId="BodyTextFirstIndent">
    <w:name w:val="Body Text First Indent"/>
    <w:basedOn w:val="BodyText"/>
    <w:link w:val="BodyTextFirstIndentChar"/>
    <w:rsid w:val="006611CA"/>
    <w:pPr>
      <w:ind w:firstLine="360"/>
    </w:pPr>
  </w:style>
  <w:style w:type="character" w:customStyle="1" w:styleId="BodyTextFirstIndentChar">
    <w:name w:val="Body Text First Indent Char"/>
    <w:basedOn w:val="BodyTextChar"/>
    <w:link w:val="BodyTextFirstIndent"/>
    <w:rsid w:val="006611CA"/>
    <w:rPr>
      <w:rFonts w:ascii="Arial" w:hAnsi="Arial"/>
    </w:rPr>
  </w:style>
  <w:style w:type="paragraph" w:styleId="BodyTextFirstIndent2">
    <w:name w:val="Body Text First Indent 2"/>
    <w:basedOn w:val="BodyTextIndent"/>
    <w:link w:val="BodyTextFirstIndent2Char"/>
    <w:rsid w:val="006611CA"/>
    <w:pPr>
      <w:ind w:left="360" w:firstLine="360"/>
    </w:pPr>
    <w:rPr>
      <w:lang w:val="en-US"/>
    </w:rPr>
  </w:style>
  <w:style w:type="character" w:customStyle="1" w:styleId="BodyTextFirstIndent2Char">
    <w:name w:val="Body Text First Indent 2 Char"/>
    <w:basedOn w:val="BodyTextIndentChar"/>
    <w:link w:val="BodyTextFirstIndent2"/>
    <w:rsid w:val="006611CA"/>
    <w:rPr>
      <w:rFonts w:ascii="Arial" w:hAnsi="Arial"/>
      <w:lang w:val="es-ES_tradnl"/>
    </w:rPr>
  </w:style>
  <w:style w:type="paragraph" w:styleId="BodyTextIndent2">
    <w:name w:val="Body Text Indent 2"/>
    <w:basedOn w:val="Normal"/>
    <w:link w:val="BodyTextIndent2Char"/>
    <w:rsid w:val="006611CA"/>
    <w:pPr>
      <w:spacing w:after="120" w:line="480" w:lineRule="auto"/>
      <w:ind w:left="283"/>
    </w:pPr>
  </w:style>
  <w:style w:type="character" w:customStyle="1" w:styleId="BodyTextIndent2Char">
    <w:name w:val="Body Text Indent 2 Char"/>
    <w:basedOn w:val="DefaultParagraphFont"/>
    <w:link w:val="BodyTextIndent2"/>
    <w:rsid w:val="006611CA"/>
    <w:rPr>
      <w:rFonts w:ascii="Arial" w:hAnsi="Arial"/>
    </w:rPr>
  </w:style>
  <w:style w:type="paragraph" w:styleId="BodyTextIndent3">
    <w:name w:val="Body Text Indent 3"/>
    <w:basedOn w:val="Normal"/>
    <w:link w:val="BodyTextIndent3Char"/>
    <w:rsid w:val="006611CA"/>
    <w:pPr>
      <w:spacing w:after="120"/>
      <w:ind w:left="283"/>
    </w:pPr>
    <w:rPr>
      <w:sz w:val="16"/>
      <w:szCs w:val="16"/>
    </w:rPr>
  </w:style>
  <w:style w:type="character" w:customStyle="1" w:styleId="BodyTextIndent3Char">
    <w:name w:val="Body Text Indent 3 Char"/>
    <w:basedOn w:val="DefaultParagraphFont"/>
    <w:link w:val="BodyTextIndent3"/>
    <w:rsid w:val="006611CA"/>
    <w:rPr>
      <w:rFonts w:ascii="Arial" w:hAnsi="Arial"/>
      <w:sz w:val="16"/>
      <w:szCs w:val="16"/>
    </w:rPr>
  </w:style>
  <w:style w:type="paragraph" w:styleId="CommentSubject">
    <w:name w:val="annotation subject"/>
    <w:basedOn w:val="CommentText"/>
    <w:next w:val="CommentText"/>
    <w:link w:val="CommentSubjectChar"/>
    <w:rsid w:val="006611CA"/>
    <w:rPr>
      <w:b/>
      <w:bCs/>
      <w:sz w:val="20"/>
      <w:lang w:val="en-US"/>
    </w:rPr>
  </w:style>
  <w:style w:type="character" w:customStyle="1" w:styleId="CommentSubjectChar">
    <w:name w:val="Comment Subject Char"/>
    <w:basedOn w:val="CommentTextChar"/>
    <w:link w:val="CommentSubject"/>
    <w:rsid w:val="006611CA"/>
    <w:rPr>
      <w:rFonts w:ascii="Arial" w:hAnsi="Arial"/>
      <w:b/>
      <w:bCs/>
      <w:sz w:val="22"/>
      <w:lang w:val="es-ES_tradnl"/>
    </w:rPr>
  </w:style>
  <w:style w:type="paragraph" w:styleId="DocumentMap">
    <w:name w:val="Document Map"/>
    <w:basedOn w:val="Normal"/>
    <w:link w:val="DocumentMapChar"/>
    <w:rsid w:val="006611CA"/>
    <w:rPr>
      <w:rFonts w:ascii="Tahoma" w:hAnsi="Tahoma" w:cs="Tahoma"/>
      <w:sz w:val="16"/>
      <w:szCs w:val="16"/>
    </w:rPr>
  </w:style>
  <w:style w:type="character" w:customStyle="1" w:styleId="DocumentMapChar">
    <w:name w:val="Document Map Char"/>
    <w:basedOn w:val="DefaultParagraphFont"/>
    <w:link w:val="DocumentMap"/>
    <w:rsid w:val="006611CA"/>
    <w:rPr>
      <w:rFonts w:ascii="Tahoma" w:hAnsi="Tahoma" w:cs="Tahoma"/>
      <w:sz w:val="16"/>
      <w:szCs w:val="16"/>
    </w:rPr>
  </w:style>
  <w:style w:type="paragraph" w:styleId="Index4">
    <w:name w:val="index 4"/>
    <w:basedOn w:val="Normal"/>
    <w:next w:val="Normal"/>
    <w:autoRedefine/>
    <w:rsid w:val="006611CA"/>
    <w:pPr>
      <w:ind w:left="800" w:hanging="200"/>
    </w:pPr>
  </w:style>
  <w:style w:type="paragraph" w:styleId="Index5">
    <w:name w:val="index 5"/>
    <w:basedOn w:val="Normal"/>
    <w:next w:val="Normal"/>
    <w:autoRedefine/>
    <w:rsid w:val="006611CA"/>
    <w:pPr>
      <w:ind w:left="1000" w:hanging="200"/>
    </w:pPr>
  </w:style>
  <w:style w:type="paragraph" w:styleId="Index6">
    <w:name w:val="index 6"/>
    <w:basedOn w:val="Normal"/>
    <w:next w:val="Normal"/>
    <w:autoRedefine/>
    <w:rsid w:val="006611CA"/>
    <w:pPr>
      <w:ind w:left="1200" w:hanging="200"/>
    </w:pPr>
  </w:style>
  <w:style w:type="paragraph" w:styleId="Index7">
    <w:name w:val="index 7"/>
    <w:basedOn w:val="Normal"/>
    <w:next w:val="Normal"/>
    <w:autoRedefine/>
    <w:rsid w:val="006611CA"/>
    <w:pPr>
      <w:ind w:left="1400" w:hanging="200"/>
    </w:pPr>
  </w:style>
  <w:style w:type="paragraph" w:styleId="Index8">
    <w:name w:val="index 8"/>
    <w:basedOn w:val="Normal"/>
    <w:next w:val="Normal"/>
    <w:autoRedefine/>
    <w:rsid w:val="006611CA"/>
    <w:pPr>
      <w:ind w:left="1600" w:hanging="200"/>
    </w:pPr>
  </w:style>
  <w:style w:type="paragraph" w:styleId="Index9">
    <w:name w:val="index 9"/>
    <w:basedOn w:val="Normal"/>
    <w:next w:val="Normal"/>
    <w:autoRedefine/>
    <w:rsid w:val="006611CA"/>
    <w:pPr>
      <w:ind w:left="1800" w:hanging="200"/>
    </w:pPr>
  </w:style>
  <w:style w:type="paragraph" w:styleId="IndexHeading">
    <w:name w:val="index heading"/>
    <w:basedOn w:val="Normal"/>
    <w:next w:val="Index1"/>
    <w:rsid w:val="006611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1CA"/>
    <w:rPr>
      <w:rFonts w:ascii="Arial" w:hAnsi="Arial"/>
      <w:b/>
      <w:bCs/>
      <w:i/>
      <w:iCs/>
      <w:color w:val="4F81BD" w:themeColor="accent1"/>
    </w:rPr>
  </w:style>
  <w:style w:type="paragraph" w:styleId="ListParagraph">
    <w:name w:val="List Paragraph"/>
    <w:basedOn w:val="Normal"/>
    <w:uiPriority w:val="34"/>
    <w:qFormat/>
    <w:rsid w:val="006611CA"/>
    <w:pPr>
      <w:ind w:left="720"/>
      <w:contextualSpacing/>
    </w:pPr>
  </w:style>
  <w:style w:type="paragraph" w:styleId="NoSpacing">
    <w:name w:val="No Spacing"/>
    <w:uiPriority w:val="1"/>
    <w:qFormat/>
    <w:rsid w:val="006611CA"/>
    <w:pPr>
      <w:jc w:val="both"/>
    </w:pPr>
    <w:rPr>
      <w:rFonts w:ascii="Arial" w:hAnsi="Arial"/>
    </w:rPr>
  </w:style>
  <w:style w:type="paragraph" w:styleId="Quote">
    <w:name w:val="Quote"/>
    <w:basedOn w:val="Normal"/>
    <w:next w:val="Normal"/>
    <w:link w:val="QuoteChar"/>
    <w:uiPriority w:val="29"/>
    <w:qFormat/>
    <w:rsid w:val="006611CA"/>
    <w:rPr>
      <w:i/>
      <w:iCs/>
      <w:color w:val="000000" w:themeColor="text1"/>
    </w:rPr>
  </w:style>
  <w:style w:type="character" w:customStyle="1" w:styleId="QuoteChar">
    <w:name w:val="Quote Char"/>
    <w:basedOn w:val="DefaultParagraphFont"/>
    <w:link w:val="Quote"/>
    <w:uiPriority w:val="29"/>
    <w:rsid w:val="006611CA"/>
    <w:rPr>
      <w:rFonts w:ascii="Arial" w:hAnsi="Arial"/>
      <w:i/>
      <w:iCs/>
      <w:color w:val="000000" w:themeColor="text1"/>
    </w:rPr>
  </w:style>
  <w:style w:type="paragraph" w:styleId="TableofAuthorities">
    <w:name w:val="table of authorities"/>
    <w:basedOn w:val="Normal"/>
    <w:next w:val="Normal"/>
    <w:rsid w:val="006611CA"/>
    <w:pPr>
      <w:ind w:left="200" w:hanging="200"/>
    </w:pPr>
  </w:style>
  <w:style w:type="paragraph" w:styleId="TableofFigures">
    <w:name w:val="table of figures"/>
    <w:basedOn w:val="Normal"/>
    <w:next w:val="Normal"/>
    <w:rsid w:val="006611CA"/>
  </w:style>
  <w:style w:type="paragraph" w:styleId="TOAHeading">
    <w:name w:val="toa heading"/>
    <w:basedOn w:val="Normal"/>
    <w:next w:val="Normal"/>
    <w:rsid w:val="006611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11CA"/>
    <w:pPr>
      <w:keepLines/>
      <w:spacing w:before="480"/>
      <w:jc w:val="both"/>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2" Type="http://schemas.openxmlformats.org/officeDocument/2006/relationships/hyperlink" Target="http://www.upov.int/edocs/mdocs/upov/en/caj_ag_13_8/caj_ag_13_8_www_274003.pdf" TargetMode="External"/><Relationship Id="rId1" Type="http://schemas.openxmlformats.org/officeDocument/2006/relationships/hyperlink" Target="http://www.upov.int/edocs/mdocs/upov/en/caj_ag_13_8/caj_ag_13_8_www_2740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4FB2-6445-496D-9E70-79B88D6F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167</TotalTime>
  <Pages>7</Pages>
  <Words>1496</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9843</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36</cp:revision>
  <cp:lastPrinted>2014-05-12T15:13:00Z</cp:lastPrinted>
  <dcterms:created xsi:type="dcterms:W3CDTF">2013-11-28T14:57:00Z</dcterms:created>
  <dcterms:modified xsi:type="dcterms:W3CDTF">2014-05-12T15:13:00Z</dcterms:modified>
</cp:coreProperties>
</file>