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D21DE" w:rsidTr="00FB0D37">
        <w:trPr>
          <w:trHeight w:val="1760"/>
        </w:trPr>
        <w:tc>
          <w:tcPr>
            <w:tcW w:w="4243" w:type="dxa"/>
          </w:tcPr>
          <w:p w:rsidR="000D7780" w:rsidRPr="00FD21DE" w:rsidRDefault="000D7780" w:rsidP="007D0B9D"/>
        </w:tc>
        <w:tc>
          <w:tcPr>
            <w:tcW w:w="1646" w:type="dxa"/>
            <w:vAlign w:val="center"/>
          </w:tcPr>
          <w:p w:rsidR="000D7780" w:rsidRPr="00FD21DE" w:rsidRDefault="00973AF6" w:rsidP="00576BE4">
            <w:pPr>
              <w:pStyle w:val="LogoUPOV"/>
            </w:pPr>
            <w:r w:rsidRPr="00FD21DE">
              <w:rPr>
                <w:noProof/>
              </w:rPr>
              <w:drawing>
                <wp:inline distT="0" distB="0" distL="0" distR="0" wp14:anchorId="3F7BC7FF" wp14:editId="0AB4627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D21DE" w:rsidRDefault="0024416D" w:rsidP="00576BE4">
            <w:pPr>
              <w:pStyle w:val="Lettrine"/>
            </w:pPr>
            <w:r w:rsidRPr="00FD21DE">
              <w:t>E</w:t>
            </w:r>
          </w:p>
          <w:p w:rsidR="000D7780" w:rsidRPr="00FD21DE" w:rsidRDefault="0088724E" w:rsidP="00474DA4">
            <w:pPr>
              <w:pStyle w:val="Docoriginal"/>
              <w:jc w:val="left"/>
            </w:pPr>
            <w:r>
              <w:t>CAJ-AG/13/8/6</w:t>
            </w:r>
          </w:p>
          <w:p w:rsidR="000D7780" w:rsidRPr="00FD21DE" w:rsidRDefault="0061555F" w:rsidP="00474DA4">
            <w:pPr>
              <w:pStyle w:val="Docoriginal"/>
              <w:jc w:val="left"/>
            </w:pPr>
            <w:r w:rsidRPr="00FD21DE">
              <w:rPr>
                <w:rStyle w:val="StyleDoclangBold"/>
                <w:b/>
                <w:bCs/>
                <w:spacing w:val="0"/>
              </w:rPr>
              <w:t>ORIGINAL</w:t>
            </w:r>
            <w:r w:rsidR="000D7780" w:rsidRPr="00FD21DE">
              <w:rPr>
                <w:rStyle w:val="StyleDoclangBold"/>
                <w:b/>
                <w:bCs/>
                <w:spacing w:val="0"/>
              </w:rPr>
              <w:t>:</w:t>
            </w:r>
            <w:r w:rsidRPr="00FD21DE">
              <w:rPr>
                <w:rStyle w:val="StyleDocoriginalNotBold1"/>
                <w:spacing w:val="0"/>
              </w:rPr>
              <w:t xml:space="preserve"> </w:t>
            </w:r>
            <w:r w:rsidR="000D7780" w:rsidRPr="00FD21DE">
              <w:rPr>
                <w:rStyle w:val="StyleDocoriginalNotBold1"/>
                <w:spacing w:val="0"/>
              </w:rPr>
              <w:t xml:space="preserve"> </w:t>
            </w:r>
            <w:bookmarkStart w:id="0" w:name="Original"/>
            <w:bookmarkEnd w:id="0"/>
            <w:r w:rsidR="0024416D" w:rsidRPr="00FD21DE">
              <w:rPr>
                <w:b w:val="0"/>
                <w:spacing w:val="0"/>
              </w:rPr>
              <w:t>English</w:t>
            </w:r>
          </w:p>
          <w:p w:rsidR="000D7780" w:rsidRPr="00FD21DE" w:rsidRDefault="000D7780" w:rsidP="00147555">
            <w:pPr>
              <w:pStyle w:val="Docoriginal"/>
              <w:jc w:val="left"/>
              <w:rPr>
                <w:b w:val="0"/>
                <w:spacing w:val="0"/>
                <w:highlight w:val="cyan"/>
              </w:rPr>
            </w:pPr>
            <w:r w:rsidRPr="00FD21DE">
              <w:rPr>
                <w:spacing w:val="0"/>
              </w:rPr>
              <w:t>DATE</w:t>
            </w:r>
            <w:r w:rsidRPr="00147555">
              <w:rPr>
                <w:spacing w:val="0"/>
              </w:rPr>
              <w:t>:</w:t>
            </w:r>
            <w:r w:rsidR="0061555F" w:rsidRPr="00147555">
              <w:rPr>
                <w:b w:val="0"/>
                <w:spacing w:val="0"/>
              </w:rPr>
              <w:t xml:space="preserve"> </w:t>
            </w:r>
            <w:r w:rsidRPr="00147555">
              <w:rPr>
                <w:rStyle w:val="StyleDocoriginalNotBold1"/>
                <w:spacing w:val="0"/>
              </w:rPr>
              <w:t xml:space="preserve"> </w:t>
            </w:r>
            <w:bookmarkStart w:id="1" w:name="Date"/>
            <w:bookmarkEnd w:id="1"/>
            <w:r w:rsidR="00147555" w:rsidRPr="00147555">
              <w:rPr>
                <w:b w:val="0"/>
                <w:spacing w:val="0"/>
              </w:rPr>
              <w:t>October 8, 2013</w:t>
            </w:r>
          </w:p>
        </w:tc>
      </w:tr>
      <w:tr w:rsidR="000D7780" w:rsidRPr="00FD21DE" w:rsidTr="00FB0D37">
        <w:tc>
          <w:tcPr>
            <w:tcW w:w="10131" w:type="dxa"/>
            <w:gridSpan w:val="3"/>
          </w:tcPr>
          <w:p w:rsidR="000D7780" w:rsidRPr="00FD21DE" w:rsidRDefault="0024416D" w:rsidP="0080679D">
            <w:pPr>
              <w:pStyle w:val="upove"/>
              <w:rPr>
                <w:sz w:val="28"/>
              </w:rPr>
            </w:pPr>
            <w:r w:rsidRPr="00FD21DE">
              <w:rPr>
                <w:snapToGrid w:val="0"/>
              </w:rPr>
              <w:t xml:space="preserve">INTERNATIONAL UNION FOR THE PROTECTION OF NEW VARIETIES OF PLANTS </w:t>
            </w:r>
          </w:p>
        </w:tc>
      </w:tr>
      <w:tr w:rsidR="000D7780" w:rsidRPr="00FD21DE" w:rsidTr="00FB0D37">
        <w:tc>
          <w:tcPr>
            <w:tcW w:w="10131" w:type="dxa"/>
            <w:gridSpan w:val="3"/>
          </w:tcPr>
          <w:p w:rsidR="000D7780" w:rsidRPr="00FD21DE" w:rsidRDefault="00867AC1" w:rsidP="0080679D">
            <w:pPr>
              <w:pStyle w:val="Country"/>
            </w:pPr>
            <w:r w:rsidRPr="00FD21DE">
              <w:t>Gen</w:t>
            </w:r>
            <w:r w:rsidR="0061555F" w:rsidRPr="00FD21DE">
              <w:t>e</w:t>
            </w:r>
            <w:r w:rsidRPr="00FD21DE">
              <w:t>v</w:t>
            </w:r>
            <w:r w:rsidR="0061555F" w:rsidRPr="00FD21DE">
              <w:t>a</w:t>
            </w:r>
          </w:p>
        </w:tc>
      </w:tr>
    </w:tbl>
    <w:p w:rsidR="000D7780" w:rsidRPr="00FD21DE" w:rsidRDefault="009A40AE" w:rsidP="0080679D">
      <w:pPr>
        <w:pStyle w:val="Sessiontc"/>
      </w:pPr>
      <w:r w:rsidRPr="00FD21DE">
        <w:t>Administrative and Legal Committee Advisory Group</w:t>
      </w:r>
    </w:p>
    <w:p w:rsidR="00361821" w:rsidRPr="00FD21DE" w:rsidRDefault="009A40AE" w:rsidP="0080679D">
      <w:pPr>
        <w:pStyle w:val="Sessiontcplacedate"/>
      </w:pPr>
      <w:r w:rsidRPr="00FD21DE">
        <w:t>Eighth</w:t>
      </w:r>
      <w:r w:rsidR="00FB0D37" w:rsidRPr="00FD21DE">
        <w:t xml:space="preserve"> Session</w:t>
      </w:r>
      <w:r w:rsidR="00361821" w:rsidRPr="00FD21DE">
        <w:br/>
      </w:r>
      <w:r w:rsidR="00FB0D37" w:rsidRPr="00FD21DE">
        <w:t xml:space="preserve">Geneva, </w:t>
      </w:r>
      <w:r w:rsidRPr="00FD21DE">
        <w:t>October 25</w:t>
      </w:r>
      <w:r w:rsidR="00BD4C24" w:rsidRPr="00FD21DE">
        <w:t>, 2013</w:t>
      </w:r>
    </w:p>
    <w:p w:rsidR="000D7780" w:rsidRPr="00FD21DE" w:rsidRDefault="0088724E" w:rsidP="0080679D">
      <w:pPr>
        <w:pStyle w:val="Titleofdoc0"/>
      </w:pPr>
      <w:bookmarkStart w:id="2" w:name="TitleOfDoc"/>
      <w:bookmarkEnd w:id="2"/>
      <w:r>
        <w:t>Matters concerning variety denominations</w:t>
      </w:r>
    </w:p>
    <w:p w:rsidR="000D7780" w:rsidRPr="00FD21DE" w:rsidRDefault="00AE0EF1" w:rsidP="0080679D">
      <w:pPr>
        <w:pStyle w:val="preparedby1"/>
      </w:pPr>
      <w:bookmarkStart w:id="3" w:name="Prepared"/>
      <w:bookmarkEnd w:id="3"/>
      <w:r w:rsidRPr="0088724E">
        <w:t xml:space="preserve">Document </w:t>
      </w:r>
      <w:r w:rsidR="0061555F" w:rsidRPr="0088724E">
        <w:t>prepared by the Office of the Union</w:t>
      </w:r>
      <w:r w:rsidR="001A7E38" w:rsidRPr="00FD21DE">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266280" w:rsidRDefault="00266280" w:rsidP="0026628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131D3">
        <w:rPr>
          <w:snapToGrid w:val="0"/>
        </w:rPr>
        <w:t xml:space="preserve">The Administrative and Legal Committee Advisory Group </w:t>
      </w:r>
      <w:r>
        <w:rPr>
          <w:snapToGrid w:val="0"/>
        </w:rPr>
        <w:t>(</w:t>
      </w:r>
      <w:r w:rsidRPr="00F131D3">
        <w:rPr>
          <w:snapToGrid w:val="0"/>
        </w:rPr>
        <w:t>CAJ</w:t>
      </w:r>
      <w:r>
        <w:rPr>
          <w:snapToGrid w:val="0"/>
        </w:rPr>
        <w:t xml:space="preserve">­AG), at its </w:t>
      </w:r>
      <w:r w:rsidRPr="00F131D3">
        <w:rPr>
          <w:snapToGrid w:val="0"/>
        </w:rPr>
        <w:t>seventh session</w:t>
      </w:r>
      <w:r>
        <w:rPr>
          <w:snapToGrid w:val="0"/>
        </w:rPr>
        <w:t>, held in Geneva, on</w:t>
      </w:r>
      <w:r w:rsidRPr="00F131D3">
        <w:rPr>
          <w:snapToGrid w:val="0"/>
        </w:rPr>
        <w:t xml:space="preserve"> October 29 and 30, 2012</w:t>
      </w:r>
      <w:r>
        <w:rPr>
          <w:snapToGrid w:val="0"/>
        </w:rPr>
        <w:t>,</w:t>
      </w:r>
      <w:r w:rsidRPr="00F131D3">
        <w:rPr>
          <w:snapToGrid w:val="0"/>
        </w:rPr>
        <w:t xml:space="preserve"> considered that it would be appropriate to develop furthe</w:t>
      </w:r>
      <w:r>
        <w:rPr>
          <w:snapToGrid w:val="0"/>
        </w:rPr>
        <w:t>r guidance in a separate document</w:t>
      </w:r>
      <w:r w:rsidRPr="00F131D3">
        <w:rPr>
          <w:snapToGrid w:val="0"/>
        </w:rPr>
        <w:t xml:space="preserve"> for the matters</w:t>
      </w:r>
      <w:r>
        <w:rPr>
          <w:snapToGrid w:val="0"/>
        </w:rPr>
        <w:t xml:space="preserve"> covered in document </w:t>
      </w:r>
      <w:r w:rsidRPr="00F131D3">
        <w:rPr>
          <w:snapToGrid w:val="0"/>
        </w:rPr>
        <w:t>CAJ-AG/11/6/4</w:t>
      </w:r>
      <w:r>
        <w:rPr>
          <w:snapToGrid w:val="0"/>
        </w:rPr>
        <w:t xml:space="preserve"> “</w:t>
      </w:r>
      <w:r w:rsidRPr="00654888">
        <w:rPr>
          <w:snapToGrid w:val="0"/>
        </w:rPr>
        <w:t>Matters Arising after the Grant of a Breeder’s Right</w:t>
      </w:r>
      <w:r>
        <w:rPr>
          <w:snapToGrid w:val="0"/>
        </w:rPr>
        <w:t xml:space="preserve">” concerning variety denominations (see document </w:t>
      </w:r>
      <w:r w:rsidRPr="00F131D3">
        <w:rPr>
          <w:snapToGrid w:val="0"/>
        </w:rPr>
        <w:t>CAJ-AG/12/7/7 “Report”, paragraph</w:t>
      </w:r>
      <w:r>
        <w:rPr>
          <w:snapToGrid w:val="0"/>
        </w:rPr>
        <w:t> 90).</w:t>
      </w:r>
    </w:p>
    <w:p w:rsidR="00266280" w:rsidRDefault="00266280" w:rsidP="00266280">
      <w:pPr>
        <w:rPr>
          <w:snapToGrid w:val="0"/>
        </w:rPr>
      </w:pPr>
    </w:p>
    <w:p w:rsidR="00704240" w:rsidRDefault="00704240" w:rsidP="00266280">
      <w:pPr>
        <w:rPr>
          <w:snapToGrid w:val="0"/>
        </w:rPr>
      </w:pPr>
    </w:p>
    <w:p w:rsidR="00266280" w:rsidRDefault="00266280" w:rsidP="00D211A5">
      <w:pPr>
        <w:pStyle w:val="Heading1"/>
      </w:pPr>
    </w:p>
    <w:p w:rsidR="00266280" w:rsidRPr="00D211A5" w:rsidRDefault="00266280" w:rsidP="00D211A5">
      <w:pPr>
        <w:pStyle w:val="Heading1"/>
      </w:pPr>
      <w:r w:rsidRPr="00D211A5">
        <w:t>background</w:t>
      </w:r>
    </w:p>
    <w:p w:rsidR="00266280" w:rsidRDefault="00266280" w:rsidP="00266280"/>
    <w:p w:rsidR="00266280" w:rsidRDefault="00266280" w:rsidP="00266280">
      <w:r>
        <w:fldChar w:fldCharType="begin"/>
      </w:r>
      <w:r>
        <w:instrText xml:space="preserve"> AUTONUM  </w:instrText>
      </w:r>
      <w:r>
        <w:fldChar w:fldCharType="end"/>
      </w:r>
      <w:r>
        <w:tab/>
        <w:t>Guidance on variety denominations is currently provided in document UPOV/INF/12/4 “</w:t>
      </w:r>
      <w:r>
        <w:rPr>
          <w:snapToGrid w:val="0"/>
        </w:rPr>
        <w:t>Explanatory notes on variety denominations under the UPOV Convention”</w:t>
      </w:r>
      <w:r>
        <w:t>.</w:t>
      </w:r>
    </w:p>
    <w:p w:rsidR="00266280" w:rsidRDefault="00266280" w:rsidP="00266280"/>
    <w:p w:rsidR="00704240" w:rsidRDefault="00704240" w:rsidP="00266280"/>
    <w:p w:rsidR="00266280" w:rsidRDefault="00266280" w:rsidP="00266280"/>
    <w:p w:rsidR="00266280" w:rsidRDefault="00266280" w:rsidP="00D211A5">
      <w:pPr>
        <w:pStyle w:val="Heading1"/>
      </w:pPr>
      <w:r>
        <w:t>MATTERS FOR CONSIDERATION</w:t>
      </w:r>
    </w:p>
    <w:p w:rsidR="00266280" w:rsidRDefault="00266280" w:rsidP="00266280"/>
    <w:p w:rsidR="00266280" w:rsidRDefault="00266280" w:rsidP="00266280">
      <w:pPr>
        <w:pStyle w:val="Heading2"/>
        <w:rPr>
          <w:snapToGrid w:val="0"/>
        </w:rPr>
      </w:pPr>
      <w:r>
        <w:rPr>
          <w:snapToGrid w:val="0"/>
        </w:rPr>
        <w:t>Overview</w:t>
      </w:r>
    </w:p>
    <w:p w:rsidR="00266280" w:rsidRDefault="00266280" w:rsidP="00266280">
      <w:pPr>
        <w:rPr>
          <w:snapToGrid w:val="0"/>
        </w:rPr>
      </w:pPr>
    </w:p>
    <w:p w:rsidR="00266280" w:rsidRDefault="00266280" w:rsidP="0026628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131D3">
        <w:rPr>
          <w:snapToGrid w:val="0"/>
        </w:rPr>
        <w:t>The CAJ</w:t>
      </w:r>
      <w:r>
        <w:rPr>
          <w:snapToGrid w:val="0"/>
        </w:rPr>
        <w:t xml:space="preserve">­AG, at its </w:t>
      </w:r>
      <w:r w:rsidRPr="00F131D3">
        <w:rPr>
          <w:snapToGrid w:val="0"/>
        </w:rPr>
        <w:t>seventh session</w:t>
      </w:r>
      <w:r>
        <w:rPr>
          <w:snapToGrid w:val="0"/>
        </w:rPr>
        <w:t xml:space="preserve">, </w:t>
      </w:r>
      <w:r w:rsidRPr="00F131D3">
        <w:rPr>
          <w:snapToGrid w:val="0"/>
        </w:rPr>
        <w:t>considered that it would be appropriate to develop furthe</w:t>
      </w:r>
      <w:r>
        <w:rPr>
          <w:snapToGrid w:val="0"/>
        </w:rPr>
        <w:t>r guidance in a separate document</w:t>
      </w:r>
      <w:r w:rsidRPr="00F131D3">
        <w:rPr>
          <w:snapToGrid w:val="0"/>
        </w:rPr>
        <w:t xml:space="preserve"> for the matters</w:t>
      </w:r>
      <w:r>
        <w:rPr>
          <w:snapToGrid w:val="0"/>
        </w:rPr>
        <w:t xml:space="preserve"> covered in document </w:t>
      </w:r>
      <w:r w:rsidRPr="00F131D3">
        <w:rPr>
          <w:snapToGrid w:val="0"/>
        </w:rPr>
        <w:t>CAJ-AG/11/6/4</w:t>
      </w:r>
      <w:r>
        <w:rPr>
          <w:snapToGrid w:val="0"/>
        </w:rPr>
        <w:t xml:space="preserve"> “</w:t>
      </w:r>
      <w:r w:rsidRPr="00654888">
        <w:rPr>
          <w:snapToGrid w:val="0"/>
        </w:rPr>
        <w:t>Matters Arising after the Grant of a Breeder’s Right</w:t>
      </w:r>
      <w:r>
        <w:rPr>
          <w:snapToGrid w:val="0"/>
        </w:rPr>
        <w:t xml:space="preserve">” concerning variety denominations (see </w:t>
      </w:r>
      <w:r w:rsidRPr="00F131D3">
        <w:rPr>
          <w:snapToGrid w:val="0"/>
        </w:rPr>
        <w:t>CAJ-AG/12/7/7 “Report”, paragraph</w:t>
      </w:r>
      <w:r>
        <w:rPr>
          <w:snapToGrid w:val="0"/>
        </w:rPr>
        <w:t> 90).</w:t>
      </w:r>
    </w:p>
    <w:p w:rsidR="00266280" w:rsidRDefault="00266280" w:rsidP="00266280"/>
    <w:p w:rsidR="00266280" w:rsidRDefault="00266280" w:rsidP="00266280">
      <w:r>
        <w:fldChar w:fldCharType="begin"/>
      </w:r>
      <w:r>
        <w:instrText xml:space="preserve"> AUTONUM  </w:instrText>
      </w:r>
      <w:r>
        <w:fldChar w:fldCharType="end"/>
      </w:r>
      <w:r>
        <w:tab/>
      </w:r>
      <w:r w:rsidRPr="00F131D3">
        <w:t xml:space="preserve">Matters with regard to </w:t>
      </w:r>
      <w:r>
        <w:t>cancellation</w:t>
      </w:r>
      <w:r w:rsidRPr="00F131D3">
        <w:t xml:space="preserve"> were presented in </w:t>
      </w:r>
      <w:r>
        <w:t xml:space="preserve">the following parts of document </w:t>
      </w:r>
      <w:r>
        <w:rPr>
          <w:snapToGrid w:val="0"/>
        </w:rPr>
        <w:t>CAJ­</w:t>
      </w:r>
      <w:r w:rsidRPr="00F131D3">
        <w:rPr>
          <w:snapToGrid w:val="0"/>
        </w:rPr>
        <w:t>AG/11/6/4</w:t>
      </w:r>
      <w:r>
        <w:t>:</w:t>
      </w:r>
    </w:p>
    <w:p w:rsidR="00266280" w:rsidRDefault="00266280" w:rsidP="00266280"/>
    <w:p w:rsidR="00266280" w:rsidRDefault="00266280" w:rsidP="00F44A26">
      <w:pPr>
        <w:ind w:firstLine="567"/>
        <w:rPr>
          <w:snapToGrid w:val="0"/>
        </w:rPr>
      </w:pPr>
      <w:r w:rsidRPr="008D7D95">
        <w:t>(a)</w:t>
      </w:r>
      <w:r w:rsidRPr="008D7D95">
        <w:tab/>
      </w:r>
      <w:r w:rsidR="008D7D95" w:rsidRPr="008D7D95">
        <w:rPr>
          <w:snapToGrid w:val="0"/>
        </w:rPr>
        <w:t>Annex I, Appendix 1</w:t>
      </w:r>
      <w:r w:rsidRPr="008D7D95">
        <w:rPr>
          <w:snapToGrid w:val="0"/>
        </w:rPr>
        <w:t xml:space="preserve"> (Contribution from </w:t>
      </w:r>
      <w:r w:rsidR="008D7D95" w:rsidRPr="008D7D95">
        <w:rPr>
          <w:snapToGrid w:val="0"/>
          <w:lang w:val="en-GB"/>
        </w:rPr>
        <w:t>Argentina</w:t>
      </w:r>
      <w:r w:rsidRPr="008D7D95">
        <w:rPr>
          <w:snapToGrid w:val="0"/>
        </w:rPr>
        <w:t xml:space="preserve">), Section </w:t>
      </w:r>
      <w:r w:rsidRPr="00147555">
        <w:rPr>
          <w:snapToGrid w:val="0"/>
        </w:rPr>
        <w:t xml:space="preserve">C (reproduced as Annex I to this document);  </w:t>
      </w:r>
    </w:p>
    <w:p w:rsidR="00F44A26" w:rsidRPr="00147555" w:rsidRDefault="00F44A26" w:rsidP="00F44A26">
      <w:pPr>
        <w:ind w:firstLine="567"/>
        <w:rPr>
          <w:snapToGrid w:val="0"/>
        </w:rPr>
      </w:pPr>
    </w:p>
    <w:p w:rsidR="00266280" w:rsidRDefault="00266280" w:rsidP="00F44A26">
      <w:pPr>
        <w:ind w:firstLine="567"/>
        <w:rPr>
          <w:snapToGrid w:val="0"/>
        </w:rPr>
      </w:pPr>
      <w:r w:rsidRPr="00147555">
        <w:rPr>
          <w:snapToGrid w:val="0"/>
        </w:rPr>
        <w:t>(b)</w:t>
      </w:r>
      <w:r w:rsidRPr="00147555">
        <w:rPr>
          <w:snapToGrid w:val="0"/>
        </w:rPr>
        <w:tab/>
        <w:t xml:space="preserve">Annex I, Appendix 6 (Contribution from </w:t>
      </w:r>
      <w:r w:rsidRPr="00147555">
        <w:rPr>
          <w:snapToGrid w:val="0"/>
          <w:lang w:val="en-GB"/>
        </w:rPr>
        <w:t>South Africa</w:t>
      </w:r>
      <w:r w:rsidRPr="00147555">
        <w:rPr>
          <w:snapToGrid w:val="0"/>
        </w:rPr>
        <w:t xml:space="preserve">), </w:t>
      </w:r>
      <w:r w:rsidR="008D7D95" w:rsidRPr="00147555">
        <w:rPr>
          <w:snapToGrid w:val="0"/>
        </w:rPr>
        <w:t>Section 2</w:t>
      </w:r>
      <w:r w:rsidRPr="00147555">
        <w:rPr>
          <w:snapToGrid w:val="0"/>
        </w:rPr>
        <w:t xml:space="preserve"> (reproduced as Annex </w:t>
      </w:r>
      <w:r w:rsidR="008D7D95" w:rsidRPr="00147555">
        <w:rPr>
          <w:snapToGrid w:val="0"/>
        </w:rPr>
        <w:t>I</w:t>
      </w:r>
      <w:r w:rsidRPr="00147555">
        <w:rPr>
          <w:snapToGrid w:val="0"/>
        </w:rPr>
        <w:t>I to this document);</w:t>
      </w:r>
      <w:r w:rsidR="00F44A26">
        <w:rPr>
          <w:snapToGrid w:val="0"/>
        </w:rPr>
        <w:t xml:space="preserve"> </w:t>
      </w:r>
      <w:r w:rsidRPr="00147555">
        <w:rPr>
          <w:snapToGrid w:val="0"/>
        </w:rPr>
        <w:t xml:space="preserve"> and</w:t>
      </w:r>
    </w:p>
    <w:p w:rsidR="00F44A26" w:rsidRPr="00147555" w:rsidRDefault="00F44A26" w:rsidP="00F44A26">
      <w:pPr>
        <w:ind w:firstLine="567"/>
        <w:rPr>
          <w:snapToGrid w:val="0"/>
        </w:rPr>
      </w:pPr>
    </w:p>
    <w:p w:rsidR="00266280" w:rsidRPr="00147555" w:rsidRDefault="00266280" w:rsidP="00F44A26">
      <w:pPr>
        <w:ind w:firstLine="567"/>
      </w:pPr>
      <w:r w:rsidRPr="00147555">
        <w:rPr>
          <w:snapToGrid w:val="0"/>
        </w:rPr>
        <w:t>(</w:t>
      </w:r>
      <w:r w:rsidR="00F44A26">
        <w:rPr>
          <w:snapToGrid w:val="0"/>
        </w:rPr>
        <w:t>c</w:t>
      </w:r>
      <w:r w:rsidRPr="00147555">
        <w:rPr>
          <w:snapToGrid w:val="0"/>
        </w:rPr>
        <w:t>)</w:t>
      </w:r>
      <w:r w:rsidRPr="00147555">
        <w:rPr>
          <w:snapToGrid w:val="0"/>
        </w:rPr>
        <w:tab/>
        <w:t xml:space="preserve">Annex II (Contribution from </w:t>
      </w:r>
      <w:r w:rsidRPr="00147555">
        <w:rPr>
          <w:snapToGrid w:val="0"/>
          <w:lang w:val="en-GB"/>
        </w:rPr>
        <w:t>South Africa</w:t>
      </w:r>
      <w:r w:rsidRPr="00147555">
        <w:rPr>
          <w:snapToGrid w:val="0"/>
        </w:rPr>
        <w:t>)</w:t>
      </w:r>
      <w:r w:rsidR="008D7D95" w:rsidRPr="00147555">
        <w:rPr>
          <w:snapToGrid w:val="0"/>
        </w:rPr>
        <w:t xml:space="preserve"> (reproduced as Annex </w:t>
      </w:r>
      <w:r w:rsidR="0022610E" w:rsidRPr="00147555">
        <w:rPr>
          <w:snapToGrid w:val="0"/>
        </w:rPr>
        <w:t>I</w:t>
      </w:r>
      <w:r w:rsidR="008D7D95" w:rsidRPr="00147555">
        <w:rPr>
          <w:snapToGrid w:val="0"/>
        </w:rPr>
        <w:t>II to this document).</w:t>
      </w:r>
    </w:p>
    <w:p w:rsidR="00266280" w:rsidRPr="00147555" w:rsidRDefault="00266280" w:rsidP="00266280">
      <w:pPr>
        <w:ind w:left="567"/>
      </w:pPr>
    </w:p>
    <w:p w:rsidR="00266280" w:rsidRDefault="00266280" w:rsidP="00266280">
      <w:r w:rsidRPr="00147555">
        <w:fldChar w:fldCharType="begin"/>
      </w:r>
      <w:r w:rsidRPr="00147555">
        <w:instrText xml:space="preserve"> AUTONUM  </w:instrText>
      </w:r>
      <w:r w:rsidRPr="00147555">
        <w:fldChar w:fldCharType="end"/>
      </w:r>
      <w:r w:rsidRPr="00147555">
        <w:tab/>
        <w:t xml:space="preserve">The matters above </w:t>
      </w:r>
      <w:r w:rsidR="00147555">
        <w:t>are considered in the following paragraphs.</w:t>
      </w:r>
    </w:p>
    <w:p w:rsidR="00266280" w:rsidRDefault="00266280" w:rsidP="00266280"/>
    <w:p w:rsidR="00704240" w:rsidRDefault="00704240" w:rsidP="00266280"/>
    <w:p w:rsidR="00266280" w:rsidRDefault="004E40E1" w:rsidP="00266280">
      <w:pPr>
        <w:pStyle w:val="Heading2"/>
      </w:pPr>
      <w:r>
        <w:lastRenderedPageBreak/>
        <w:t>Changes to a Registered</w:t>
      </w:r>
      <w:r w:rsidR="00676094">
        <w:t xml:space="preserve"> Variety Denomination</w:t>
      </w:r>
    </w:p>
    <w:p w:rsidR="00266280" w:rsidRDefault="00266280" w:rsidP="00704240">
      <w:pPr>
        <w:keepNext/>
      </w:pPr>
    </w:p>
    <w:p w:rsidR="00676094" w:rsidRDefault="00676094" w:rsidP="00266280">
      <w:r>
        <w:fldChar w:fldCharType="begin"/>
      </w:r>
      <w:r>
        <w:instrText xml:space="preserve"> AUTONUM  </w:instrText>
      </w:r>
      <w:r>
        <w:fldChar w:fldCharType="end"/>
      </w:r>
      <w:r>
        <w:tab/>
        <w:t xml:space="preserve">The examples provided by </w:t>
      </w:r>
      <w:r w:rsidRPr="008D7D95">
        <w:rPr>
          <w:snapToGrid w:val="0"/>
          <w:lang w:val="en-GB"/>
        </w:rPr>
        <w:t>Argentina</w:t>
      </w:r>
      <w:r>
        <w:t xml:space="preserve"> in</w:t>
      </w:r>
      <w:r w:rsidR="004E40E1">
        <w:t xml:space="preserve"> Annex I to this document and by </w:t>
      </w:r>
      <w:r w:rsidR="004E40E1">
        <w:rPr>
          <w:lang w:val="en-GB"/>
        </w:rPr>
        <w:t>South Africa</w:t>
      </w:r>
      <w:r w:rsidR="004E40E1">
        <w:t xml:space="preserve"> in Annex</w:t>
      </w:r>
      <w:r w:rsidR="0022610E">
        <w:t>es</w:t>
      </w:r>
      <w:r w:rsidR="004E40E1">
        <w:t xml:space="preserve"> II</w:t>
      </w:r>
      <w:r w:rsidR="0022610E">
        <w:t xml:space="preserve"> and III</w:t>
      </w:r>
      <w:r w:rsidR="004E40E1">
        <w:t xml:space="preserve"> to this document, concern situations in which the breeder makes a request to change a variety denomination after the grant of the breeder’s right.</w:t>
      </w:r>
      <w:r>
        <w:t xml:space="preserve"> </w:t>
      </w:r>
    </w:p>
    <w:p w:rsidR="00676094" w:rsidRDefault="00676094" w:rsidP="00266280"/>
    <w:p w:rsidR="004E40E1" w:rsidRDefault="004E40E1" w:rsidP="00266280">
      <w:pPr>
        <w:rPr>
          <w:snapToGrid w:val="0"/>
        </w:rPr>
      </w:pPr>
      <w:r>
        <w:fldChar w:fldCharType="begin"/>
      </w:r>
      <w:r>
        <w:instrText xml:space="preserve"> AUTONUM  </w:instrText>
      </w:r>
      <w:r>
        <w:fldChar w:fldCharType="end"/>
      </w:r>
      <w:r>
        <w:tab/>
        <w:t>With regard to changes to a registered variety denomination, document UPOV/INF/12/4 “</w:t>
      </w:r>
      <w:r>
        <w:rPr>
          <w:snapToGrid w:val="0"/>
        </w:rPr>
        <w:t xml:space="preserve">Explanatory </w:t>
      </w:r>
      <w:r w:rsidR="0022610E">
        <w:rPr>
          <w:snapToGrid w:val="0"/>
        </w:rPr>
        <w:t xml:space="preserve">Notes </w:t>
      </w:r>
      <w:r>
        <w:rPr>
          <w:snapToGrid w:val="0"/>
        </w:rPr>
        <w:t xml:space="preserve">on </w:t>
      </w:r>
      <w:r w:rsidR="0022610E">
        <w:rPr>
          <w:snapToGrid w:val="0"/>
        </w:rPr>
        <w:t xml:space="preserve">Variety Denominations </w:t>
      </w:r>
      <w:r>
        <w:rPr>
          <w:snapToGrid w:val="0"/>
        </w:rPr>
        <w:t>under the UPOV Convention” states the following:</w:t>
      </w:r>
    </w:p>
    <w:p w:rsidR="004E40E1" w:rsidRDefault="004E40E1" w:rsidP="00266280"/>
    <w:p w:rsidR="004E40E1" w:rsidRPr="004E40E1" w:rsidRDefault="004E40E1" w:rsidP="00704240">
      <w:pPr>
        <w:pBdr>
          <w:top w:val="single" w:sz="4" w:space="1" w:color="auto"/>
          <w:left w:val="single" w:sz="4" w:space="4" w:color="auto"/>
          <w:bottom w:val="single" w:sz="4" w:space="1" w:color="auto"/>
          <w:right w:val="single" w:sz="4" w:space="4" w:color="auto"/>
        </w:pBdr>
        <w:ind w:left="567" w:right="567"/>
        <w:jc w:val="center"/>
        <w:rPr>
          <w:b/>
          <w:sz w:val="18"/>
          <w:szCs w:val="18"/>
        </w:rPr>
      </w:pPr>
      <w:r w:rsidRPr="004E40E1">
        <w:rPr>
          <w:b/>
          <w:sz w:val="18"/>
          <w:szCs w:val="18"/>
        </w:rPr>
        <w:t>Paragraph 7</w:t>
      </w:r>
    </w:p>
    <w:p w:rsidR="004E40E1" w:rsidRPr="004E40E1" w:rsidRDefault="004E40E1" w:rsidP="00704240">
      <w:pPr>
        <w:pBdr>
          <w:top w:val="single" w:sz="4" w:space="1" w:color="auto"/>
          <w:left w:val="single" w:sz="4" w:space="4" w:color="auto"/>
          <w:bottom w:val="single" w:sz="4" w:space="1" w:color="auto"/>
          <w:right w:val="single" w:sz="4" w:space="4" w:color="auto"/>
        </w:pBdr>
        <w:ind w:left="567" w:right="567"/>
        <w:rPr>
          <w:b/>
          <w:sz w:val="18"/>
          <w:szCs w:val="18"/>
        </w:rPr>
      </w:pPr>
    </w:p>
    <w:p w:rsidR="004E40E1" w:rsidRPr="004E40E1" w:rsidRDefault="004E40E1" w:rsidP="00704240">
      <w:pPr>
        <w:pBdr>
          <w:top w:val="single" w:sz="4" w:space="1" w:color="auto"/>
          <w:left w:val="single" w:sz="4" w:space="4" w:color="auto"/>
          <w:bottom w:val="single" w:sz="4" w:space="1" w:color="auto"/>
          <w:right w:val="single" w:sz="4" w:space="4" w:color="auto"/>
        </w:pBdr>
        <w:ind w:left="567" w:right="567"/>
        <w:rPr>
          <w:b/>
          <w:sz w:val="18"/>
          <w:szCs w:val="18"/>
        </w:rPr>
      </w:pPr>
      <w:r w:rsidRPr="004E40E1">
        <w:rPr>
          <w:b/>
          <w:sz w:val="18"/>
          <w:szCs w:val="18"/>
        </w:rPr>
        <w:tab/>
        <w:t>[</w:t>
      </w:r>
      <w:r w:rsidRPr="004E40E1">
        <w:rPr>
          <w:b/>
          <w:i/>
          <w:sz w:val="18"/>
          <w:szCs w:val="18"/>
        </w:rPr>
        <w:t>Obligation to use the denomination</w:t>
      </w:r>
      <w:r w:rsidRPr="004E40E1">
        <w:rPr>
          <w:b/>
          <w:sz w:val="18"/>
          <w:szCs w:val="18"/>
        </w:rPr>
        <w:t>]  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4E40E1" w:rsidRPr="004E40E1" w:rsidRDefault="004E40E1" w:rsidP="00704240">
      <w:pPr>
        <w:pBdr>
          <w:top w:val="single" w:sz="4" w:space="1" w:color="auto"/>
          <w:left w:val="single" w:sz="4" w:space="4" w:color="auto"/>
          <w:bottom w:val="single" w:sz="4" w:space="1" w:color="auto"/>
          <w:right w:val="single" w:sz="4" w:space="4" w:color="auto"/>
        </w:pBdr>
        <w:ind w:left="567" w:right="567"/>
        <w:rPr>
          <w:sz w:val="18"/>
          <w:szCs w:val="18"/>
        </w:rPr>
      </w:pPr>
    </w:p>
    <w:p w:rsidR="004E40E1" w:rsidRPr="004E40E1" w:rsidRDefault="004E40E1" w:rsidP="00704240">
      <w:pPr>
        <w:pBdr>
          <w:top w:val="single" w:sz="4" w:space="1" w:color="auto"/>
          <w:left w:val="single" w:sz="4" w:space="4" w:color="auto"/>
          <w:bottom w:val="single" w:sz="4" w:space="1" w:color="auto"/>
          <w:right w:val="single" w:sz="4" w:space="4" w:color="auto"/>
        </w:pBdr>
        <w:ind w:left="567" w:right="567"/>
        <w:rPr>
          <w:i/>
          <w:sz w:val="18"/>
          <w:szCs w:val="18"/>
        </w:rPr>
      </w:pPr>
      <w:r w:rsidRPr="004E40E1">
        <w:rPr>
          <w:i/>
          <w:sz w:val="18"/>
          <w:szCs w:val="18"/>
        </w:rPr>
        <w:t>Explanatory Note – Paragraph (7)</w:t>
      </w:r>
    </w:p>
    <w:p w:rsidR="004E40E1" w:rsidRPr="004E40E1" w:rsidRDefault="004E40E1" w:rsidP="00704240">
      <w:pPr>
        <w:pBdr>
          <w:top w:val="single" w:sz="4" w:space="1" w:color="auto"/>
          <w:left w:val="single" w:sz="4" w:space="4" w:color="auto"/>
          <w:bottom w:val="single" w:sz="4" w:space="1" w:color="auto"/>
          <w:right w:val="single" w:sz="4" w:space="4" w:color="auto"/>
        </w:pBdr>
        <w:ind w:left="567" w:right="567"/>
        <w:rPr>
          <w:sz w:val="18"/>
          <w:szCs w:val="18"/>
        </w:rPr>
      </w:pPr>
    </w:p>
    <w:p w:rsidR="004E40E1" w:rsidRPr="004E40E1" w:rsidRDefault="004E40E1" w:rsidP="00704240">
      <w:pPr>
        <w:pBdr>
          <w:top w:val="single" w:sz="4" w:space="1" w:color="auto"/>
          <w:left w:val="single" w:sz="4" w:space="4" w:color="auto"/>
          <w:bottom w:val="single" w:sz="4" w:space="1" w:color="auto"/>
          <w:right w:val="single" w:sz="4" w:space="4" w:color="auto"/>
        </w:pBdr>
        <w:ind w:left="567" w:right="567"/>
        <w:rPr>
          <w:sz w:val="18"/>
          <w:szCs w:val="18"/>
        </w:rPr>
      </w:pPr>
      <w:r w:rsidRPr="004E40E1">
        <w:rPr>
          <w:sz w:val="18"/>
          <w:szCs w:val="18"/>
        </w:rPr>
        <w:t>7.</w:t>
      </w:r>
      <w:r w:rsidRPr="004E40E1">
        <w:rPr>
          <w:sz w:val="18"/>
          <w:szCs w:val="18"/>
        </w:rPr>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“the breeder does not propose, where the denomination of the variety is cancelled after the grant of the right, another suitable denomination.”  </w:t>
      </w:r>
    </w:p>
    <w:p w:rsidR="004E40E1" w:rsidRDefault="004E40E1" w:rsidP="00266280"/>
    <w:p w:rsidR="004E40E1" w:rsidRDefault="00266280" w:rsidP="00266280">
      <w:pPr>
        <w:rPr>
          <w:snapToGrid w:val="0"/>
        </w:rPr>
      </w:pPr>
      <w:r>
        <w:fldChar w:fldCharType="begin"/>
      </w:r>
      <w:r>
        <w:instrText xml:space="preserve"> AUTONUM  </w:instrText>
      </w:r>
      <w:r>
        <w:fldChar w:fldCharType="end"/>
      </w:r>
      <w:r>
        <w:tab/>
        <w:t>Document</w:t>
      </w:r>
      <w:r w:rsidR="00676094">
        <w:t xml:space="preserve"> UPOV/INF/12/1 “</w:t>
      </w:r>
      <w:r w:rsidR="00676094">
        <w:rPr>
          <w:snapToGrid w:val="0"/>
        </w:rPr>
        <w:t xml:space="preserve">Explanatory notes on variety denominations under the UPOV Convention” </w:t>
      </w:r>
      <w:r w:rsidR="004E40E1">
        <w:rPr>
          <w:snapToGrid w:val="0"/>
        </w:rPr>
        <w:t>does not anticipate</w:t>
      </w:r>
      <w:r w:rsidR="00676094">
        <w:rPr>
          <w:snapToGrid w:val="0"/>
        </w:rPr>
        <w:t xml:space="preserve"> a request from a breeder to change a </w:t>
      </w:r>
      <w:r w:rsidR="004E40E1">
        <w:rPr>
          <w:snapToGrid w:val="0"/>
        </w:rPr>
        <w:t xml:space="preserve">registered </w:t>
      </w:r>
      <w:r w:rsidR="00676094">
        <w:rPr>
          <w:snapToGrid w:val="0"/>
        </w:rPr>
        <w:t>variety denomination</w:t>
      </w:r>
      <w:r w:rsidR="004E40E1">
        <w:rPr>
          <w:snapToGrid w:val="0"/>
        </w:rPr>
        <w:t>.</w:t>
      </w:r>
    </w:p>
    <w:p w:rsidR="004E40E1" w:rsidRDefault="004E40E1" w:rsidP="00266280">
      <w:pPr>
        <w:rPr>
          <w:snapToGrid w:val="0"/>
        </w:rPr>
      </w:pPr>
    </w:p>
    <w:p w:rsidR="004E40E1" w:rsidRPr="00147555" w:rsidRDefault="00266280" w:rsidP="00266280">
      <w:r>
        <w:fldChar w:fldCharType="begin"/>
      </w:r>
      <w:r>
        <w:instrText xml:space="preserve"> AUTONUM  </w:instrText>
      </w:r>
      <w:r>
        <w:fldChar w:fldCharType="end"/>
      </w:r>
      <w:r>
        <w:tab/>
        <w:t xml:space="preserve">The CAJ­AG may </w:t>
      </w:r>
      <w:r w:rsidRPr="00147555">
        <w:t>wish to consider the development of guidance in relation to</w:t>
      </w:r>
      <w:r w:rsidR="004E40E1" w:rsidRPr="00147555">
        <w:t xml:space="preserve"> a </w:t>
      </w:r>
      <w:r w:rsidR="004E40E1" w:rsidRPr="00147555">
        <w:rPr>
          <w:snapToGrid w:val="0"/>
        </w:rPr>
        <w:t xml:space="preserve">request from a breeder to change a registered variety denomination in cases other than </w:t>
      </w:r>
      <w:r w:rsidR="004E40E1" w:rsidRPr="00147555">
        <w:t>where the denomination of the variety is cancelled after the grant of the right.</w:t>
      </w:r>
    </w:p>
    <w:p w:rsidR="004E40E1" w:rsidRDefault="004E40E1" w:rsidP="00266280"/>
    <w:p w:rsidR="00266280" w:rsidRDefault="00266280" w:rsidP="00C960FF">
      <w:pPr>
        <w:keepNext/>
        <w:tabs>
          <w:tab w:val="left" w:pos="5387"/>
        </w:tabs>
        <w:ind w:left="4820"/>
        <w:rPr>
          <w:rFonts w:eastAsia="SimSun"/>
          <w:i/>
        </w:rPr>
      </w:pPr>
      <w:r w:rsidRPr="00384E73">
        <w:rPr>
          <w:i/>
          <w:iCs/>
        </w:rPr>
        <w:fldChar w:fldCharType="begin"/>
      </w:r>
      <w:r w:rsidRPr="00384E73">
        <w:rPr>
          <w:i/>
          <w:iCs/>
        </w:rPr>
        <w:instrText xml:space="preserve"> AUTONUM  </w:instrText>
      </w:r>
      <w:r w:rsidRPr="00384E73">
        <w:rPr>
          <w:i/>
          <w:iCs/>
        </w:rPr>
        <w:fldChar w:fldCharType="end"/>
      </w:r>
      <w:r w:rsidRPr="00384E73">
        <w:rPr>
          <w:rFonts w:eastAsia="SimSun"/>
          <w:i/>
          <w:iCs/>
        </w:rPr>
        <w:tab/>
      </w:r>
      <w:r w:rsidRPr="00384E73">
        <w:rPr>
          <w:rFonts w:eastAsia="SimSun"/>
          <w:i/>
        </w:rPr>
        <w:t xml:space="preserve">The CAJ-AG is invited </w:t>
      </w:r>
      <w:r>
        <w:rPr>
          <w:rFonts w:eastAsia="SimSun"/>
          <w:i/>
        </w:rPr>
        <w:t xml:space="preserve">to consider </w:t>
      </w:r>
      <w:r w:rsidR="00745C9D" w:rsidRPr="00745C9D">
        <w:rPr>
          <w:rFonts w:eastAsia="SimSun"/>
          <w:i/>
        </w:rPr>
        <w:t xml:space="preserve">the development of guidance in relation to a request from a breeder to change a registered variety denomination in cases other </w:t>
      </w:r>
      <w:bookmarkStart w:id="4" w:name="_GoBack"/>
      <w:bookmarkEnd w:id="4"/>
      <w:r w:rsidR="00745C9D" w:rsidRPr="00745C9D">
        <w:rPr>
          <w:rFonts w:eastAsia="SimSun"/>
          <w:i/>
        </w:rPr>
        <w:t>than where the denomination of the variety is cancelled after the grant of the right</w:t>
      </w:r>
      <w:r>
        <w:rPr>
          <w:rFonts w:eastAsia="SimSun"/>
          <w:i/>
        </w:rPr>
        <w:t>.</w:t>
      </w:r>
    </w:p>
    <w:p w:rsidR="009D5E75" w:rsidRDefault="009D5E75">
      <w:pPr>
        <w:jc w:val="left"/>
      </w:pPr>
    </w:p>
    <w:p w:rsidR="00147555" w:rsidRDefault="00147555">
      <w:pPr>
        <w:jc w:val="left"/>
      </w:pPr>
    </w:p>
    <w:p w:rsidR="00147555" w:rsidRDefault="00147555">
      <w:pPr>
        <w:jc w:val="left"/>
      </w:pPr>
    </w:p>
    <w:p w:rsidR="00147555" w:rsidRDefault="00147555" w:rsidP="00147555">
      <w:pPr>
        <w:jc w:val="right"/>
        <w:sectPr w:rsidR="00147555" w:rsidSect="00906DDC">
          <w:headerReference w:type="default" r:id="rId10"/>
          <w:pgSz w:w="11907" w:h="16840" w:code="9"/>
          <w:pgMar w:top="510" w:right="1134" w:bottom="1134" w:left="1134" w:header="510" w:footer="680" w:gutter="0"/>
          <w:cols w:space="720"/>
          <w:titlePg/>
        </w:sectPr>
      </w:pPr>
      <w:r>
        <w:t>[Annexes follow]</w:t>
      </w:r>
    </w:p>
    <w:p w:rsidR="0022610E" w:rsidRDefault="0022610E">
      <w:pPr>
        <w:jc w:val="left"/>
      </w:pPr>
    </w:p>
    <w:p w:rsidR="009D5E75" w:rsidRPr="00D211A5" w:rsidRDefault="009D5E75" w:rsidP="00D211A5">
      <w:pPr>
        <w:jc w:val="center"/>
        <w:rPr>
          <w:u w:val="single"/>
        </w:rPr>
      </w:pPr>
      <w:r w:rsidRPr="00D211A5">
        <w:rPr>
          <w:u w:val="single"/>
        </w:rPr>
        <w:t>CONTRIBUTION FROM ARGENTINA</w:t>
      </w:r>
    </w:p>
    <w:p w:rsidR="009D5E75" w:rsidRPr="00F96DCB" w:rsidRDefault="009D5E75" w:rsidP="009D5E75"/>
    <w:p w:rsidR="009D5E75" w:rsidRPr="00F96DCB" w:rsidRDefault="009D5E75" w:rsidP="009D5E75">
      <w:pPr>
        <w:rPr>
          <w:szCs w:val="24"/>
        </w:rPr>
      </w:pPr>
    </w:p>
    <w:p w:rsidR="009D5E75" w:rsidRPr="00F96DCB" w:rsidRDefault="00C960FF" w:rsidP="009D5E75">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85pt;width:36pt;height:48.9pt;z-index:251659264" o:allowincell="f" o:allowoverlap="f">
            <v:imagedata r:id="rId11" o:title=""/>
            <w10:wrap type="square"/>
          </v:shape>
          <o:OLEObject Type="Embed" ProgID="PBrush" ShapeID="_x0000_s1026" DrawAspect="Content" ObjectID="_1442757824" r:id="rId12"/>
        </w:pict>
      </w:r>
    </w:p>
    <w:p w:rsidR="009D5E75" w:rsidRPr="00F96DCB" w:rsidRDefault="009D5E75" w:rsidP="009D5E75">
      <w:pPr>
        <w:jc w:val="right"/>
      </w:pPr>
      <w:r w:rsidRPr="00F96DCB">
        <w:rPr>
          <w:rFonts w:ascii="Tahoma" w:hAnsi="Tahoma"/>
          <w:i/>
        </w:rPr>
        <w:t>2010 – YEAR OF THE BICENTENARY OF THE MAY REVOLUTION”</w:t>
      </w:r>
    </w:p>
    <w:p w:rsidR="009D5E75" w:rsidRPr="00F96DCB" w:rsidRDefault="009D5E75" w:rsidP="009D5E75">
      <w:pPr>
        <w:rPr>
          <w:i/>
        </w:rPr>
      </w:pPr>
    </w:p>
    <w:p w:rsidR="009D5E75" w:rsidRPr="00F96DCB" w:rsidRDefault="009D5E75" w:rsidP="009D5E75">
      <w:pPr>
        <w:rPr>
          <w:rFonts w:ascii="Signet Roundhand" w:hAnsi="Signet Roundhand"/>
          <w:i/>
        </w:rPr>
      </w:pPr>
    </w:p>
    <w:p w:rsidR="009D5E75" w:rsidRPr="00704240" w:rsidRDefault="009D5E75" w:rsidP="00704240">
      <w:pPr>
        <w:ind w:left="1276"/>
        <w:jc w:val="left"/>
        <w:rPr>
          <w:rFonts w:ascii="Tahoma" w:hAnsi="Tahoma" w:cs="Tahoma"/>
        </w:rPr>
      </w:pPr>
      <w:r w:rsidRPr="00F96DCB">
        <w:rPr>
          <w:rFonts w:ascii="Tahoma" w:hAnsi="Tahoma" w:cs="Tahoma"/>
        </w:rPr>
        <w:t>Ministry of Agriculture, Livestock and Fisheries</w:t>
      </w:r>
      <w:r w:rsidR="00704240">
        <w:rPr>
          <w:rFonts w:ascii="Tahoma" w:hAnsi="Tahoma" w:cs="Tahoma"/>
        </w:rPr>
        <w:br/>
      </w:r>
      <w:r w:rsidRPr="00704240">
        <w:rPr>
          <w:rFonts w:ascii="Tahoma" w:hAnsi="Tahoma" w:cs="Tahoma"/>
        </w:rPr>
        <w:t>National Seed Institute</w:t>
      </w:r>
    </w:p>
    <w:p w:rsidR="009D5E75" w:rsidRPr="00F96DCB" w:rsidRDefault="009D5E75" w:rsidP="009D5E75">
      <w:pPr>
        <w:rPr>
          <w:szCs w:val="24"/>
        </w:rPr>
      </w:pPr>
    </w:p>
    <w:p w:rsidR="009D5E75" w:rsidRPr="00F96DCB" w:rsidRDefault="009D5E75" w:rsidP="009D5E75">
      <w:pPr>
        <w:rPr>
          <w:szCs w:val="24"/>
        </w:rPr>
      </w:pPr>
    </w:p>
    <w:p w:rsidR="009D5E75" w:rsidRPr="00F96DCB" w:rsidRDefault="009D5E75" w:rsidP="009D5E75"/>
    <w:p w:rsidR="009D5E75" w:rsidRPr="00F96DCB" w:rsidRDefault="009D5E75" w:rsidP="009D5E75">
      <w:pPr>
        <w:pStyle w:val="BodyText"/>
      </w:pPr>
      <w:r w:rsidRPr="00F96DCB">
        <w:t xml:space="preserve">This document explains a few cases relating to events which occurred subsequent to the granting of breeder’s rights in </w:t>
      </w:r>
      <w:smartTag w:uri="urn:schemas-microsoft-com:office:smarttags" w:element="place">
        <w:smartTag w:uri="urn:schemas-microsoft-com:office:smarttags" w:element="country-region">
          <w:r w:rsidRPr="00F96DCB">
            <w:t>Argentina</w:t>
          </w:r>
        </w:smartTag>
      </w:smartTag>
      <w:r w:rsidRPr="00F96DCB">
        <w:t xml:space="preserve"> that were settled by the National Seed Institute</w:t>
      </w:r>
      <w:r w:rsidRPr="00F96DCB" w:rsidDel="007B6BAC">
        <w:t xml:space="preserve"> </w:t>
      </w:r>
      <w:r w:rsidRPr="00F96DCB">
        <w:t>(INASE).</w:t>
      </w:r>
    </w:p>
    <w:p w:rsidR="00266280" w:rsidRDefault="00266280" w:rsidP="00266280"/>
    <w:p w:rsidR="009D5E75" w:rsidRDefault="009D5E75" w:rsidP="00266280">
      <w:r>
        <w:t>[…]</w:t>
      </w:r>
    </w:p>
    <w:p w:rsidR="0022610E" w:rsidRDefault="0022610E" w:rsidP="00266280"/>
    <w:p w:rsidR="009D5E75" w:rsidRPr="00F96DCB" w:rsidRDefault="009D5E75" w:rsidP="009D5E75">
      <w:pPr>
        <w:pStyle w:val="BodyText"/>
        <w:keepNext/>
        <w:rPr>
          <w:i/>
        </w:rPr>
      </w:pPr>
      <w:r w:rsidRPr="00F96DCB">
        <w:rPr>
          <w:i/>
        </w:rPr>
        <w:t>(C)</w:t>
      </w:r>
      <w:r w:rsidRPr="00F96DCB">
        <w:rPr>
          <w:i/>
        </w:rPr>
        <w:tab/>
        <w:t>CHANGE OF DENOMINATION</w:t>
      </w:r>
    </w:p>
    <w:p w:rsidR="009D5E75" w:rsidRPr="00F96DCB" w:rsidRDefault="009D5E75" w:rsidP="009D5E75">
      <w:pPr>
        <w:pStyle w:val="BodyText"/>
        <w:keepNext/>
      </w:pPr>
    </w:p>
    <w:p w:rsidR="009D5E75" w:rsidRPr="00F96DCB" w:rsidRDefault="009D5E75" w:rsidP="009D5E75">
      <w:pPr>
        <w:pStyle w:val="BodyText"/>
        <w:rPr>
          <w:spacing w:val="-2"/>
        </w:rPr>
      </w:pPr>
      <w:r w:rsidRPr="00F96DCB">
        <w:rPr>
          <w:spacing w:val="-2"/>
        </w:rPr>
        <w:t>The following involves a person granted a license by the breeder who requested a change of denomination for varieties entered in the National Registry of Cultivar Property, basing his request on the fact that the plant varieties were transferred by means of a licensing contract containing denominations different from the ones used by the company that created the variety.</w:t>
      </w:r>
    </w:p>
    <w:p w:rsidR="009D5E75" w:rsidRPr="00F96DCB" w:rsidRDefault="009D5E75" w:rsidP="009D5E75">
      <w:pPr>
        <w:pStyle w:val="BodyText"/>
      </w:pPr>
    </w:p>
    <w:p w:rsidR="009D5E75" w:rsidRPr="00F96DCB" w:rsidRDefault="009D5E75" w:rsidP="009D5E75">
      <w:pPr>
        <w:pStyle w:val="BodyText"/>
      </w:pPr>
      <w:r w:rsidRPr="00F96DCB">
        <w:t>In this case, it was noted that “once a variety has been entered in the National Registry of Cultivar Property, only grounds of exceptional gravity can justify a change of denomination.</w:t>
      </w:r>
    </w:p>
    <w:p w:rsidR="009D5E75" w:rsidRPr="00F96DCB" w:rsidRDefault="009D5E75" w:rsidP="009D5E75">
      <w:pPr>
        <w:pStyle w:val="BodyText"/>
      </w:pPr>
    </w:p>
    <w:p w:rsidR="009D5E75" w:rsidRPr="00F96DCB" w:rsidRDefault="009D5E75" w:rsidP="009D5E75">
      <w:pPr>
        <w:pStyle w:val="BodyText"/>
      </w:pPr>
      <w:r w:rsidRPr="00F96DCB">
        <w:t>Likewise, both the UPOV Convention approved by Article 13(8) of National Law No. 24.376, in Article 13(8), and Article 20 of Decree 2183/91 provide, in such cases, for the possibility of associating a factory or trade mark, a trade name or a similar indication with a cultivar denomination, provided that the said association does not in any way impede the easy recognition of the denomination that is intended to be its generic designation.</w:t>
      </w:r>
    </w:p>
    <w:p w:rsidR="009D5E75" w:rsidRPr="00F96DCB" w:rsidRDefault="009D5E75" w:rsidP="009D5E75">
      <w:pPr>
        <w:pStyle w:val="BodyText"/>
      </w:pPr>
    </w:p>
    <w:p w:rsidR="009D5E75" w:rsidRPr="00F96DCB" w:rsidRDefault="009D5E75" w:rsidP="009D5E75">
      <w:pPr>
        <w:pStyle w:val="BodyText"/>
      </w:pPr>
      <w:r w:rsidRPr="00F96DCB">
        <w:t>For the reasons set out, it is not appropriate to make the change requested, given that the reason for licensing the variety adduced by the applicant does not constitute exceptional grounds that would justify the change of denomination.</w:t>
      </w:r>
    </w:p>
    <w:p w:rsidR="009D5E75" w:rsidRPr="00F96DCB" w:rsidRDefault="009D5E75" w:rsidP="009D5E75">
      <w:pPr>
        <w:pStyle w:val="BodyText"/>
      </w:pPr>
    </w:p>
    <w:p w:rsidR="009D5E75" w:rsidRPr="00F96DCB" w:rsidRDefault="009D5E75" w:rsidP="009D5E75">
      <w:pPr>
        <w:pStyle w:val="BodyText"/>
        <w:rPr>
          <w:spacing w:val="-2"/>
        </w:rPr>
      </w:pPr>
      <w:r w:rsidRPr="00F96DCB">
        <w:rPr>
          <w:spacing w:val="-2"/>
        </w:rPr>
        <w:t>Without prejudice to the foregoing and in accordance with what was explained above, a mark or trade name may be added to the registered denomination, without the former altering the latter.”</w:t>
      </w:r>
    </w:p>
    <w:p w:rsidR="009D5E75" w:rsidRPr="00F96DCB" w:rsidRDefault="009D5E75" w:rsidP="009D5E75">
      <w:pPr>
        <w:pStyle w:val="BodyText"/>
      </w:pPr>
    </w:p>
    <w:p w:rsidR="009D5E75" w:rsidRPr="00F96DCB" w:rsidRDefault="009D5E75" w:rsidP="009D5E75">
      <w:pPr>
        <w:pStyle w:val="BodyText"/>
      </w:pPr>
      <w:r w:rsidRPr="00F96DCB">
        <w:t>(File S01:0109527/2004)</w:t>
      </w:r>
    </w:p>
    <w:p w:rsidR="009D5E75" w:rsidRPr="00F96DCB" w:rsidRDefault="009D5E75" w:rsidP="009D5E75">
      <w:pPr>
        <w:pStyle w:val="BodyText"/>
      </w:pPr>
    </w:p>
    <w:p w:rsidR="009D5E75" w:rsidRPr="00F96DCB" w:rsidRDefault="009D5E75" w:rsidP="009D5E75">
      <w:pPr>
        <w:pStyle w:val="BodyText"/>
        <w:rPr>
          <w:b/>
          <w:i/>
        </w:rPr>
      </w:pPr>
    </w:p>
    <w:p w:rsidR="009D5E75" w:rsidRPr="00F96DCB" w:rsidRDefault="009D5E75" w:rsidP="009D5E75">
      <w:pPr>
        <w:pStyle w:val="BodyText"/>
        <w:jc w:val="center"/>
      </w:pPr>
      <w:r w:rsidRPr="00F96DCB">
        <w:t>Signed: Dr. Carmen Amelia Margarita Gianni</w:t>
      </w:r>
    </w:p>
    <w:p w:rsidR="009D5E75" w:rsidRPr="00F96DCB" w:rsidRDefault="009D5E75" w:rsidP="009D5E75">
      <w:pPr>
        <w:pStyle w:val="BodyText"/>
        <w:jc w:val="center"/>
      </w:pPr>
      <w:r w:rsidRPr="00F96DCB">
        <w:t>Coordinator</w:t>
      </w:r>
    </w:p>
    <w:p w:rsidR="009D5E75" w:rsidRPr="00F96DCB" w:rsidRDefault="009D5E75" w:rsidP="009D5E75">
      <w:pPr>
        <w:pStyle w:val="BodyText"/>
        <w:jc w:val="center"/>
      </w:pPr>
      <w:r w:rsidRPr="00F96DCB">
        <w:t>Coordination of Intellectual Property and Phytogenetic Resources</w:t>
      </w:r>
    </w:p>
    <w:p w:rsidR="009D5E75" w:rsidRPr="00F96DCB" w:rsidRDefault="009D5E75" w:rsidP="009D5E75">
      <w:pPr>
        <w:pStyle w:val="BodyText"/>
        <w:jc w:val="center"/>
      </w:pPr>
      <w:r w:rsidRPr="00F96DCB">
        <w:t>NATIONAL SEED INSTITUTE</w:t>
      </w:r>
    </w:p>
    <w:p w:rsidR="009D5E75" w:rsidRPr="00F96DCB" w:rsidRDefault="009D5E75" w:rsidP="009D5E75">
      <w:pPr>
        <w:pStyle w:val="BodyText"/>
        <w:jc w:val="center"/>
      </w:pPr>
      <w:smartTag w:uri="urn:schemas-microsoft-com:office:smarttags" w:element="place">
        <w:smartTag w:uri="urn:schemas-microsoft-com:office:smarttags" w:element="country-region">
          <w:r w:rsidRPr="00F96DCB">
            <w:t>ARGENTINA</w:t>
          </w:r>
        </w:smartTag>
      </w:smartTag>
    </w:p>
    <w:p w:rsidR="009D5E75" w:rsidRDefault="009D5E75" w:rsidP="00266280"/>
    <w:p w:rsidR="009D5E75" w:rsidRDefault="009D5E75" w:rsidP="00266280"/>
    <w:p w:rsidR="009D5E75" w:rsidRDefault="009D5E75" w:rsidP="00266280"/>
    <w:p w:rsidR="00F347AF" w:rsidRDefault="009D5E75" w:rsidP="009D5E75">
      <w:pPr>
        <w:jc w:val="right"/>
        <w:sectPr w:rsidR="00F347AF" w:rsidSect="00906DDC">
          <w:headerReference w:type="first" r:id="rId13"/>
          <w:pgSz w:w="11907" w:h="16840" w:code="9"/>
          <w:pgMar w:top="510" w:right="1134" w:bottom="1134" w:left="1134" w:header="510" w:footer="680" w:gutter="0"/>
          <w:cols w:space="720"/>
          <w:titlePg/>
        </w:sectPr>
      </w:pPr>
      <w:r>
        <w:t>[Annex II follows]</w:t>
      </w:r>
    </w:p>
    <w:p w:rsidR="00F347AF" w:rsidRDefault="00F347AF" w:rsidP="00D211A5">
      <w:pPr>
        <w:pStyle w:val="Heading1"/>
      </w:pPr>
    </w:p>
    <w:p w:rsidR="00F347AF" w:rsidRPr="00D211A5" w:rsidRDefault="00F347AF" w:rsidP="00D211A5">
      <w:pPr>
        <w:jc w:val="center"/>
        <w:rPr>
          <w:u w:val="single"/>
        </w:rPr>
      </w:pPr>
      <w:r w:rsidRPr="00D211A5">
        <w:rPr>
          <w:u w:val="single"/>
        </w:rPr>
        <w:t>CONTRIBUTION FROM SOUTH AFRICA</w:t>
      </w:r>
    </w:p>
    <w:p w:rsidR="00F347AF" w:rsidRPr="00F96DCB" w:rsidRDefault="00F347AF" w:rsidP="00F347AF">
      <w:pPr>
        <w:rPr>
          <w:szCs w:val="24"/>
        </w:rPr>
      </w:pPr>
    </w:p>
    <w:p w:rsidR="00F347AF" w:rsidRPr="00F96DCB" w:rsidRDefault="00F347AF" w:rsidP="00F347AF">
      <w:pPr>
        <w:rPr>
          <w:szCs w:val="24"/>
        </w:rPr>
      </w:pPr>
    </w:p>
    <w:p w:rsidR="00F347AF" w:rsidRPr="00F96DCB" w:rsidRDefault="00F347AF" w:rsidP="00F347AF">
      <w:pPr>
        <w:jc w:val="center"/>
      </w:pPr>
      <w:r w:rsidRPr="00F96DCB">
        <w:t xml:space="preserve">EXAMPLES ON MATTERS ARISING AFTER THE GRANT OF </w:t>
      </w:r>
      <w:r w:rsidRPr="00F96DCB">
        <w:br/>
        <w:t>THE BREEDER’S RIGHT</w:t>
      </w:r>
    </w:p>
    <w:p w:rsidR="00F347AF" w:rsidRDefault="00F347AF" w:rsidP="00F347AF"/>
    <w:p w:rsidR="00F347AF" w:rsidRDefault="00F347AF" w:rsidP="00F347AF">
      <w:r>
        <w:t>[…]</w:t>
      </w:r>
    </w:p>
    <w:p w:rsidR="00F347AF" w:rsidRDefault="00F347AF" w:rsidP="00F347AF"/>
    <w:p w:rsidR="00F347AF" w:rsidRPr="00F96DCB" w:rsidRDefault="00F347AF" w:rsidP="00F347AF">
      <w:r w:rsidRPr="00F96DCB">
        <w:t>2.</w:t>
      </w:r>
      <w:r w:rsidRPr="00F96DCB">
        <w:tab/>
        <w:t>VARIETY DENOMINATION</w:t>
      </w:r>
    </w:p>
    <w:p w:rsidR="00F347AF" w:rsidRPr="00F96DCB" w:rsidRDefault="00F347AF" w:rsidP="00F347AF"/>
    <w:p w:rsidR="00F347AF" w:rsidRPr="00F96DCB" w:rsidRDefault="00F347AF" w:rsidP="00F347AF">
      <w:r w:rsidRPr="00F96DCB">
        <w:t>Increasingly applicants request an alteration of denomination after the right is granted. The explanation we have received so far is that farmers sometimes prefer varieties from a particular company. For an example; A farmer prefers varieties from Company A over those from Company B. Company A will obtain rights for their varieties and licence these to Company B. Company A will then apply for an alteration of denomination so that Company B can use denominations that farmers cannot associate with Company A.</w:t>
      </w:r>
      <w:r w:rsidRPr="00F96DCB">
        <w:cr/>
      </w:r>
    </w:p>
    <w:p w:rsidR="00F347AF" w:rsidRPr="00F96DCB" w:rsidRDefault="00F347AF" w:rsidP="00F347AF">
      <w:r w:rsidRPr="00F96DCB">
        <w:t>We are currently amending our act and will in future allow denomination alterations only before the grant of a plant breeder’s right (exceptional circumstances will be considered on case by case basis).</w:t>
      </w:r>
    </w:p>
    <w:p w:rsidR="00F347AF" w:rsidRPr="00F96DCB" w:rsidRDefault="00F347AF" w:rsidP="00F347AF"/>
    <w:p w:rsidR="009D5E75" w:rsidRDefault="009D5E75" w:rsidP="009D5E75">
      <w:pPr>
        <w:jc w:val="right"/>
      </w:pPr>
    </w:p>
    <w:p w:rsidR="00F347AF" w:rsidRDefault="00F347AF" w:rsidP="009D5E75">
      <w:pPr>
        <w:jc w:val="right"/>
      </w:pPr>
    </w:p>
    <w:p w:rsidR="00C939BC" w:rsidRDefault="00F347AF" w:rsidP="009D5E75">
      <w:pPr>
        <w:jc w:val="right"/>
        <w:sectPr w:rsidR="00C939BC" w:rsidSect="00906DDC">
          <w:headerReference w:type="first" r:id="rId14"/>
          <w:pgSz w:w="11907" w:h="16840" w:code="9"/>
          <w:pgMar w:top="510" w:right="1134" w:bottom="1134" w:left="1134" w:header="510" w:footer="680" w:gutter="0"/>
          <w:cols w:space="720"/>
          <w:titlePg/>
        </w:sectPr>
      </w:pPr>
      <w:r>
        <w:t>[Annex III follows]</w:t>
      </w:r>
    </w:p>
    <w:p w:rsidR="00C939BC" w:rsidRPr="00D211A5" w:rsidRDefault="00C939BC" w:rsidP="00D211A5">
      <w:pPr>
        <w:jc w:val="center"/>
        <w:rPr>
          <w:u w:val="single"/>
        </w:rPr>
      </w:pPr>
      <w:bookmarkStart w:id="5" w:name="_Toc306214080"/>
      <w:r w:rsidRPr="00704240">
        <w:lastRenderedPageBreak/>
        <w:br/>
      </w:r>
      <w:r w:rsidRPr="00D211A5">
        <w:rPr>
          <w:u w:val="single"/>
        </w:rPr>
        <w:t>CONTRIBUTION FROM SOUTH AFRICA</w:t>
      </w:r>
      <w:bookmarkEnd w:id="5"/>
    </w:p>
    <w:p w:rsidR="00C939BC" w:rsidRPr="00704240" w:rsidRDefault="00C939BC" w:rsidP="00C939BC"/>
    <w:p w:rsidR="00C939BC" w:rsidRPr="00704240" w:rsidRDefault="00C939BC" w:rsidP="00C939BC"/>
    <w:p w:rsidR="00C939BC" w:rsidRPr="00704240" w:rsidRDefault="00C939BC" w:rsidP="00C939BC">
      <w:pPr>
        <w:jc w:val="center"/>
        <w:rPr>
          <w:rFonts w:cs="Arial"/>
        </w:rPr>
      </w:pPr>
      <w:r w:rsidRPr="00704240">
        <w:rPr>
          <w:rFonts w:cs="Arial"/>
        </w:rPr>
        <w:t>MATTERS ARISING AFTER THE GRANT OF A PLANT BREEDER’S RIGHT</w:t>
      </w:r>
    </w:p>
    <w:p w:rsidR="00C939BC" w:rsidRPr="00704240" w:rsidRDefault="00C939BC" w:rsidP="00C939BC">
      <w:pPr>
        <w:jc w:val="center"/>
        <w:rPr>
          <w:rFonts w:cs="Arial"/>
        </w:rPr>
      </w:pPr>
    </w:p>
    <w:p w:rsidR="00C939BC" w:rsidRPr="00704240" w:rsidRDefault="00C939BC" w:rsidP="00C939BC">
      <w:pPr>
        <w:jc w:val="center"/>
        <w:rPr>
          <w:rFonts w:cs="Arial"/>
        </w:rPr>
      </w:pPr>
      <w:r w:rsidRPr="00704240">
        <w:rPr>
          <w:rFonts w:cs="Arial"/>
        </w:rPr>
        <w:t>REF: CAJ-AG/10/5/6</w:t>
      </w:r>
    </w:p>
    <w:p w:rsidR="00C939BC" w:rsidRPr="00704240" w:rsidRDefault="00C939BC" w:rsidP="00C939BC">
      <w:pPr>
        <w:jc w:val="center"/>
        <w:rPr>
          <w:rFonts w:cs="Arial"/>
        </w:rPr>
      </w:pPr>
    </w:p>
    <w:p w:rsidR="00C939BC" w:rsidRPr="00704240" w:rsidRDefault="00C939BC" w:rsidP="00C939BC">
      <w:pPr>
        <w:jc w:val="center"/>
        <w:rPr>
          <w:rFonts w:cs="Arial"/>
        </w:rPr>
      </w:pPr>
      <w:r w:rsidRPr="00704240">
        <w:rPr>
          <w:rFonts w:cs="Arial"/>
        </w:rPr>
        <w:t>CONTRIBUTION FROM SOUTH AFRICA received on December 20, 2010</w:t>
      </w:r>
    </w:p>
    <w:p w:rsidR="00C939BC" w:rsidRPr="00704240" w:rsidRDefault="00C939BC" w:rsidP="00C939BC">
      <w:pPr>
        <w:jc w:val="center"/>
        <w:rPr>
          <w:rFonts w:cs="Arial"/>
        </w:rPr>
      </w:pPr>
    </w:p>
    <w:p w:rsidR="00A0641B" w:rsidRPr="00704240" w:rsidRDefault="00A0641B" w:rsidP="00C939BC">
      <w:pPr>
        <w:rPr>
          <w:rFonts w:cs="Arial"/>
        </w:rPr>
      </w:pPr>
      <w:r w:rsidRPr="00704240">
        <w:rPr>
          <w:rFonts w:cs="Arial"/>
        </w:rPr>
        <w:t>[…]</w:t>
      </w:r>
    </w:p>
    <w:p w:rsidR="00A0641B" w:rsidRPr="00704240" w:rsidRDefault="00A0641B" w:rsidP="00C939BC">
      <w:pPr>
        <w:rPr>
          <w:rFonts w:cs="Arial"/>
          <w:b/>
        </w:rPr>
      </w:pPr>
    </w:p>
    <w:p w:rsidR="00C939BC" w:rsidRPr="00704240" w:rsidRDefault="00C939BC" w:rsidP="00C939BC">
      <w:r w:rsidRPr="00704240">
        <w:rPr>
          <w:rFonts w:cs="Arial"/>
        </w:rPr>
        <w:t>VARIETY DENOMINATION</w:t>
      </w:r>
      <w:r w:rsidR="00704240">
        <w:rPr>
          <w:rFonts w:cs="Arial"/>
        </w:rPr>
        <w:t xml:space="preserve"> </w:t>
      </w:r>
    </w:p>
    <w:p w:rsidR="00C939BC" w:rsidRPr="00704240" w:rsidRDefault="00C939BC" w:rsidP="00C939BC">
      <w:pPr>
        <w:rPr>
          <w:rFonts w:cs="Arial"/>
          <w:b/>
        </w:rPr>
      </w:pPr>
    </w:p>
    <w:p w:rsidR="00C939BC" w:rsidRPr="00704240" w:rsidRDefault="00C939BC" w:rsidP="00C939BC">
      <w:pPr>
        <w:rPr>
          <w:rFonts w:cs="Arial"/>
        </w:rPr>
      </w:pPr>
      <w:r w:rsidRPr="00704240">
        <w:rPr>
          <w:rFonts w:cs="Arial"/>
        </w:rPr>
        <w:t xml:space="preserve">It is our view that guidance in relation to the alteration of approved variety denominations is not sufficiently dealt with in document </w:t>
      </w:r>
      <w:r w:rsidRPr="00704240">
        <w:rPr>
          <w:rFonts w:cs="Arial"/>
          <w:i/>
        </w:rPr>
        <w:t>UPOV/INF/12/2</w:t>
      </w:r>
      <w:r w:rsidRPr="00704240">
        <w:rPr>
          <w:rFonts w:cs="Arial"/>
        </w:rPr>
        <w:t>.  It would help our office to have guidance from the UPOV Office regarding this matter, as applicants would always argue that other member countries would allow applicants to change variety denominations even after the grant of a plant breeder’s right.</w:t>
      </w:r>
    </w:p>
    <w:p w:rsidR="00C939BC" w:rsidRPr="00704240" w:rsidRDefault="00C939BC" w:rsidP="00C939BC"/>
    <w:p w:rsidR="00C939BC" w:rsidRPr="00704240" w:rsidRDefault="00C939BC" w:rsidP="00C939BC"/>
    <w:p w:rsidR="00A0641B" w:rsidRPr="00704240" w:rsidRDefault="00A0641B" w:rsidP="00C939BC"/>
    <w:p w:rsidR="00A0641B" w:rsidRPr="00F96DCB" w:rsidRDefault="00A0641B" w:rsidP="00A0641B">
      <w:pPr>
        <w:jc w:val="right"/>
      </w:pPr>
      <w:r>
        <w:t>[End of Annex III and of document]</w:t>
      </w:r>
    </w:p>
    <w:p w:rsidR="00F347AF" w:rsidRDefault="00F347AF" w:rsidP="009D5E75">
      <w:pPr>
        <w:jc w:val="right"/>
      </w:pPr>
    </w:p>
    <w:sectPr w:rsidR="00F347AF" w:rsidSect="00906DDC">
      <w:head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36" w:rsidRDefault="00D47B36">
      <w:r>
        <w:separator/>
      </w:r>
    </w:p>
    <w:p w:rsidR="00D47B36" w:rsidRDefault="00D47B36"/>
    <w:p w:rsidR="00D47B36" w:rsidRDefault="00D47B36"/>
  </w:endnote>
  <w:endnote w:type="continuationSeparator" w:id="0">
    <w:p w:rsidR="00D47B36" w:rsidRDefault="00D47B36">
      <w:r>
        <w:separator/>
      </w:r>
    </w:p>
    <w:p w:rsidR="00D47B36" w:rsidRPr="00A60312" w:rsidRDefault="00D47B36">
      <w:pPr>
        <w:pStyle w:val="Footer"/>
        <w:spacing w:after="60"/>
        <w:rPr>
          <w:sz w:val="18"/>
          <w:lang w:val="fr-FR"/>
        </w:rPr>
      </w:pPr>
      <w:r w:rsidRPr="00A60312">
        <w:rPr>
          <w:sz w:val="18"/>
          <w:lang w:val="fr-FR"/>
        </w:rPr>
        <w:t>[Suite de la note de la page précédente]</w:t>
      </w:r>
    </w:p>
    <w:p w:rsidR="00D47B36" w:rsidRPr="00A60312" w:rsidRDefault="00D47B36">
      <w:pPr>
        <w:rPr>
          <w:lang w:val="fr-FR"/>
        </w:rPr>
      </w:pPr>
    </w:p>
    <w:p w:rsidR="00D47B36" w:rsidRPr="00A60312" w:rsidRDefault="00D47B36">
      <w:pPr>
        <w:rPr>
          <w:lang w:val="fr-FR"/>
        </w:rPr>
      </w:pPr>
    </w:p>
  </w:endnote>
  <w:endnote w:type="continuationNotice" w:id="1">
    <w:p w:rsidR="00D47B36" w:rsidRPr="00A60312" w:rsidRDefault="00D47B36">
      <w:pPr>
        <w:spacing w:before="60"/>
        <w:jc w:val="right"/>
        <w:rPr>
          <w:sz w:val="18"/>
          <w:lang w:val="fr-FR"/>
        </w:rPr>
      </w:pPr>
      <w:r w:rsidRPr="00A60312">
        <w:rPr>
          <w:sz w:val="18"/>
          <w:lang w:val="fr-FR"/>
        </w:rPr>
        <w:t>[Suite de la note page suivante]</w:t>
      </w:r>
    </w:p>
    <w:p w:rsidR="00D47B36" w:rsidRPr="00A60312" w:rsidRDefault="00D47B36">
      <w:pPr>
        <w:rPr>
          <w:lang w:val="fr-FR"/>
        </w:rPr>
      </w:pPr>
    </w:p>
    <w:p w:rsidR="00D47B36" w:rsidRPr="00A60312" w:rsidRDefault="00D47B36">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gnet Roundhand">
    <w:altName w:val="Bookman Old Style"/>
    <w:charset w:val="00"/>
    <w:family w:val="script"/>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36" w:rsidRDefault="00D47B36" w:rsidP="009D690D">
      <w:pPr>
        <w:spacing w:before="120"/>
      </w:pPr>
      <w:r>
        <w:separator/>
      </w:r>
    </w:p>
  </w:footnote>
  <w:footnote w:type="continuationSeparator" w:id="0">
    <w:p w:rsidR="00D47B36" w:rsidRDefault="00D47B36" w:rsidP="00520297">
      <w:pPr>
        <w:spacing w:before="120"/>
        <w:jc w:val="left"/>
      </w:pPr>
      <w:r>
        <w:separator/>
      </w:r>
    </w:p>
  </w:footnote>
  <w:footnote w:type="continuationNotice" w:id="1">
    <w:p w:rsidR="00D47B36" w:rsidRDefault="00D47B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36" w:rsidRPr="00997029" w:rsidRDefault="00D47B36" w:rsidP="00EB048E">
    <w:pPr>
      <w:pStyle w:val="Header"/>
      <w:rPr>
        <w:rStyle w:val="PageNumber"/>
      </w:rPr>
    </w:pPr>
    <w:r>
      <w:rPr>
        <w:rStyle w:val="PageNumber"/>
      </w:rPr>
      <w:t>CAJ-AG/13/8/6</w:t>
    </w:r>
  </w:p>
  <w:p w:rsidR="00D47B36" w:rsidRPr="00997029" w:rsidRDefault="00D47B36"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960FF">
      <w:rPr>
        <w:rStyle w:val="PageNumber"/>
        <w:noProof/>
      </w:rPr>
      <w:t>5</w:t>
    </w:r>
    <w:r w:rsidRPr="00997029">
      <w:rPr>
        <w:rStyle w:val="PageNumber"/>
      </w:rPr>
      <w:fldChar w:fldCharType="end"/>
    </w:r>
  </w:p>
  <w:p w:rsidR="00D47B36" w:rsidRPr="00997029" w:rsidRDefault="00D47B36"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36" w:rsidRDefault="00D47B36">
    <w:pPr>
      <w:pStyle w:val="Header"/>
    </w:pPr>
    <w:r>
      <w:t>CAJ-AG/13/8/6</w:t>
    </w:r>
  </w:p>
  <w:p w:rsidR="00D47B36" w:rsidRDefault="00D47B36">
    <w:pPr>
      <w:pStyle w:val="Header"/>
    </w:pPr>
  </w:p>
  <w:p w:rsidR="00D47B36" w:rsidRDefault="00D47B36">
    <w:pPr>
      <w:pStyle w:val="Header"/>
    </w:pPr>
    <w:r>
      <w:t>ANNEX I</w:t>
    </w:r>
  </w:p>
  <w:p w:rsidR="00D47B36" w:rsidRDefault="00D47B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36" w:rsidRDefault="00D47B36">
    <w:pPr>
      <w:pStyle w:val="Header"/>
    </w:pPr>
    <w:r>
      <w:t>CAJ-AG/13/8/6</w:t>
    </w:r>
  </w:p>
  <w:p w:rsidR="00D47B36" w:rsidRDefault="00D47B36">
    <w:pPr>
      <w:pStyle w:val="Header"/>
    </w:pPr>
  </w:p>
  <w:p w:rsidR="00D47B36" w:rsidRDefault="00D47B36">
    <w:pPr>
      <w:pStyle w:val="Header"/>
    </w:pPr>
    <w:r>
      <w:t>ANNEX II</w:t>
    </w:r>
  </w:p>
  <w:p w:rsidR="00D47B36" w:rsidRDefault="00D47B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36" w:rsidRDefault="00D47B36">
    <w:pPr>
      <w:pStyle w:val="Header"/>
    </w:pPr>
    <w:r>
      <w:t>CAJ-AG/13/8/6</w:t>
    </w:r>
  </w:p>
  <w:p w:rsidR="00D47B36" w:rsidRDefault="00D47B36">
    <w:pPr>
      <w:pStyle w:val="Header"/>
    </w:pPr>
  </w:p>
  <w:p w:rsidR="00D47B36" w:rsidRDefault="00D47B36">
    <w:pPr>
      <w:pStyle w:val="Header"/>
    </w:pPr>
    <w:r>
      <w:t>ANNEX III</w:t>
    </w:r>
  </w:p>
  <w:p w:rsidR="00D47B36" w:rsidRDefault="00D47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3DA"/>
    <w:multiLevelType w:val="hybridMultilevel"/>
    <w:tmpl w:val="2C424504"/>
    <w:lvl w:ilvl="0" w:tplc="0409000B">
      <w:start w:val="1"/>
      <w:numFmt w:val="bullet"/>
      <w:lvlText w:val=""/>
      <w:lvlJc w:val="left"/>
      <w:pPr>
        <w:ind w:left="750" w:hanging="360"/>
      </w:pPr>
      <w:rPr>
        <w:rFonts w:ascii="Wingdings" w:hAnsi="Wingdings" w:hint="default"/>
      </w:rPr>
    </w:lvl>
    <w:lvl w:ilvl="1" w:tplc="04090003">
      <w:start w:val="1"/>
      <w:numFmt w:val="bullet"/>
      <w:lvlText w:val="o"/>
      <w:lvlJc w:val="left"/>
      <w:pPr>
        <w:ind w:left="1470" w:hanging="360"/>
      </w:pPr>
      <w:rPr>
        <w:rFonts w:ascii="Courier New" w:hAnsi="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hint="default"/>
      </w:rPr>
    </w:lvl>
    <w:lvl w:ilvl="8" w:tplc="04090005">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4E"/>
    <w:rsid w:val="00001D48"/>
    <w:rsid w:val="00010CF3"/>
    <w:rsid w:val="00011E27"/>
    <w:rsid w:val="000148BC"/>
    <w:rsid w:val="00024AB8"/>
    <w:rsid w:val="00036028"/>
    <w:rsid w:val="000446B9"/>
    <w:rsid w:val="00047E21"/>
    <w:rsid w:val="00083A71"/>
    <w:rsid w:val="00085505"/>
    <w:rsid w:val="000C7021"/>
    <w:rsid w:val="000D6BBC"/>
    <w:rsid w:val="000D7780"/>
    <w:rsid w:val="00105929"/>
    <w:rsid w:val="001131D5"/>
    <w:rsid w:val="00141DB8"/>
    <w:rsid w:val="00147555"/>
    <w:rsid w:val="0017474A"/>
    <w:rsid w:val="001758C6"/>
    <w:rsid w:val="001A7E38"/>
    <w:rsid w:val="001C3DF3"/>
    <w:rsid w:val="0021332C"/>
    <w:rsid w:val="00213982"/>
    <w:rsid w:val="0022610E"/>
    <w:rsid w:val="0024416D"/>
    <w:rsid w:val="00266280"/>
    <w:rsid w:val="0027309C"/>
    <w:rsid w:val="002800A0"/>
    <w:rsid w:val="00281060"/>
    <w:rsid w:val="0029439F"/>
    <w:rsid w:val="002A6E50"/>
    <w:rsid w:val="002C256A"/>
    <w:rsid w:val="002E7BA1"/>
    <w:rsid w:val="00305A7F"/>
    <w:rsid w:val="003152FE"/>
    <w:rsid w:val="00327436"/>
    <w:rsid w:val="00344BD6"/>
    <w:rsid w:val="0035528D"/>
    <w:rsid w:val="00361821"/>
    <w:rsid w:val="003C563E"/>
    <w:rsid w:val="003D227C"/>
    <w:rsid w:val="003D2B4D"/>
    <w:rsid w:val="003F6136"/>
    <w:rsid w:val="00427139"/>
    <w:rsid w:val="00444A88"/>
    <w:rsid w:val="00474DA4"/>
    <w:rsid w:val="0048034A"/>
    <w:rsid w:val="004D047D"/>
    <w:rsid w:val="004E40E1"/>
    <w:rsid w:val="004F305A"/>
    <w:rsid w:val="0050655C"/>
    <w:rsid w:val="00512164"/>
    <w:rsid w:val="00520297"/>
    <w:rsid w:val="005338F9"/>
    <w:rsid w:val="0054281C"/>
    <w:rsid w:val="0055268D"/>
    <w:rsid w:val="00572E44"/>
    <w:rsid w:val="00576BE4"/>
    <w:rsid w:val="005A400A"/>
    <w:rsid w:val="00612379"/>
    <w:rsid w:val="0061555F"/>
    <w:rsid w:val="00641200"/>
    <w:rsid w:val="00663ED8"/>
    <w:rsid w:val="00670E6D"/>
    <w:rsid w:val="00676094"/>
    <w:rsid w:val="00687EB4"/>
    <w:rsid w:val="006B17D2"/>
    <w:rsid w:val="006B45FA"/>
    <w:rsid w:val="006C224E"/>
    <w:rsid w:val="00704240"/>
    <w:rsid w:val="00732DEC"/>
    <w:rsid w:val="00735BD5"/>
    <w:rsid w:val="00745C9D"/>
    <w:rsid w:val="0075117E"/>
    <w:rsid w:val="007556F6"/>
    <w:rsid w:val="00760EEF"/>
    <w:rsid w:val="00777EE5"/>
    <w:rsid w:val="00784836"/>
    <w:rsid w:val="0079023E"/>
    <w:rsid w:val="007D0B9D"/>
    <w:rsid w:val="007D19B0"/>
    <w:rsid w:val="007E13A7"/>
    <w:rsid w:val="007E6029"/>
    <w:rsid w:val="007F498F"/>
    <w:rsid w:val="0080679D"/>
    <w:rsid w:val="008108B0"/>
    <w:rsid w:val="00811B20"/>
    <w:rsid w:val="0082296E"/>
    <w:rsid w:val="00824099"/>
    <w:rsid w:val="00855DBD"/>
    <w:rsid w:val="00867AC1"/>
    <w:rsid w:val="0088724E"/>
    <w:rsid w:val="008A395B"/>
    <w:rsid w:val="008A743F"/>
    <w:rsid w:val="008B51D0"/>
    <w:rsid w:val="008B5CFC"/>
    <w:rsid w:val="008C0970"/>
    <w:rsid w:val="008D2CF7"/>
    <w:rsid w:val="008D7D95"/>
    <w:rsid w:val="008E1FF1"/>
    <w:rsid w:val="008E793E"/>
    <w:rsid w:val="00900C26"/>
    <w:rsid w:val="0090197F"/>
    <w:rsid w:val="00906DDC"/>
    <w:rsid w:val="00934E09"/>
    <w:rsid w:val="00936253"/>
    <w:rsid w:val="00970FED"/>
    <w:rsid w:val="00973AF6"/>
    <w:rsid w:val="00997029"/>
    <w:rsid w:val="009A40AE"/>
    <w:rsid w:val="009D0DE5"/>
    <w:rsid w:val="009D5E75"/>
    <w:rsid w:val="009D690D"/>
    <w:rsid w:val="009E65B6"/>
    <w:rsid w:val="00A0641B"/>
    <w:rsid w:val="00A42AC3"/>
    <w:rsid w:val="00A430CF"/>
    <w:rsid w:val="00A54309"/>
    <w:rsid w:val="00A60312"/>
    <w:rsid w:val="00AB2B93"/>
    <w:rsid w:val="00AE0EF1"/>
    <w:rsid w:val="00AF3EBC"/>
    <w:rsid w:val="00B07301"/>
    <w:rsid w:val="00B224DE"/>
    <w:rsid w:val="00B25C7E"/>
    <w:rsid w:val="00B74071"/>
    <w:rsid w:val="00B84BBD"/>
    <w:rsid w:val="00BA43FB"/>
    <w:rsid w:val="00BC127D"/>
    <w:rsid w:val="00BC1FE6"/>
    <w:rsid w:val="00BC3F0C"/>
    <w:rsid w:val="00BD4C24"/>
    <w:rsid w:val="00BE0DF1"/>
    <w:rsid w:val="00BE7BFA"/>
    <w:rsid w:val="00C061B6"/>
    <w:rsid w:val="00C2446C"/>
    <w:rsid w:val="00C36AE5"/>
    <w:rsid w:val="00C41F17"/>
    <w:rsid w:val="00C5791C"/>
    <w:rsid w:val="00C66290"/>
    <w:rsid w:val="00C72B7A"/>
    <w:rsid w:val="00C939BC"/>
    <w:rsid w:val="00C960FF"/>
    <w:rsid w:val="00C973F2"/>
    <w:rsid w:val="00CA7631"/>
    <w:rsid w:val="00CA774A"/>
    <w:rsid w:val="00CC11B0"/>
    <w:rsid w:val="00CF7E36"/>
    <w:rsid w:val="00D211A5"/>
    <w:rsid w:val="00D24210"/>
    <w:rsid w:val="00D3708D"/>
    <w:rsid w:val="00D40426"/>
    <w:rsid w:val="00D47B36"/>
    <w:rsid w:val="00D57C96"/>
    <w:rsid w:val="00D91203"/>
    <w:rsid w:val="00D95174"/>
    <w:rsid w:val="00DA6F36"/>
    <w:rsid w:val="00DC00EA"/>
    <w:rsid w:val="00E72D49"/>
    <w:rsid w:val="00E7593C"/>
    <w:rsid w:val="00E7678A"/>
    <w:rsid w:val="00E935F1"/>
    <w:rsid w:val="00E94A81"/>
    <w:rsid w:val="00EA1FFB"/>
    <w:rsid w:val="00EB048E"/>
    <w:rsid w:val="00EB3EFA"/>
    <w:rsid w:val="00EF2F89"/>
    <w:rsid w:val="00F04DEB"/>
    <w:rsid w:val="00F1237A"/>
    <w:rsid w:val="00F22CBD"/>
    <w:rsid w:val="00F347AF"/>
    <w:rsid w:val="00F44A26"/>
    <w:rsid w:val="00F6334D"/>
    <w:rsid w:val="00F71366"/>
    <w:rsid w:val="00FA49AB"/>
    <w:rsid w:val="00FB0D37"/>
    <w:rsid w:val="00FD21DE"/>
    <w:rsid w:val="00FE39C7"/>
    <w:rsid w:val="00FE4AF3"/>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link w:val="Heading1Char"/>
    <w:autoRedefine/>
    <w:qFormat/>
    <w:rsid w:val="00D211A5"/>
    <w:pPr>
      <w:keepNext/>
      <w:jc w:val="both"/>
      <w:outlineLvl w:val="0"/>
    </w:pPr>
    <w:rPr>
      <w:rFonts w:ascii="Arial" w:hAnsi="Arial"/>
      <w:caps/>
      <w:snapToGrid w:val="0"/>
    </w:rPr>
  </w:style>
  <w:style w:type="paragraph" w:styleId="Heading2">
    <w:name w:val="heading 2"/>
    <w:next w:val="Normal"/>
    <w:link w:val="Heading2Char"/>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character" w:customStyle="1" w:styleId="Heading1Char">
    <w:name w:val="Heading 1 Char"/>
    <w:basedOn w:val="DefaultParagraphFont"/>
    <w:link w:val="Heading1"/>
    <w:rsid w:val="00D211A5"/>
    <w:rPr>
      <w:rFonts w:ascii="Arial" w:hAnsi="Arial"/>
      <w:caps/>
      <w:snapToGrid w:val="0"/>
    </w:rPr>
  </w:style>
  <w:style w:type="character" w:customStyle="1" w:styleId="Heading2Char">
    <w:name w:val="Heading 2 Char"/>
    <w:basedOn w:val="DefaultParagraphFont"/>
    <w:link w:val="Heading2"/>
    <w:rsid w:val="00266280"/>
    <w:rPr>
      <w:rFonts w:ascii="Arial" w:hAnsi="Arial"/>
      <w:u w:val="single"/>
    </w:rPr>
  </w:style>
  <w:style w:type="paragraph" w:styleId="ListParagraph">
    <w:name w:val="List Paragraph"/>
    <w:basedOn w:val="Normal"/>
    <w:qFormat/>
    <w:rsid w:val="00C939BC"/>
    <w:pPr>
      <w:spacing w:after="200" w:line="276" w:lineRule="auto"/>
      <w:ind w:left="720"/>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link w:val="Heading1Char"/>
    <w:autoRedefine/>
    <w:qFormat/>
    <w:rsid w:val="00D211A5"/>
    <w:pPr>
      <w:keepNext/>
      <w:jc w:val="both"/>
      <w:outlineLvl w:val="0"/>
    </w:pPr>
    <w:rPr>
      <w:rFonts w:ascii="Arial" w:hAnsi="Arial"/>
      <w:caps/>
      <w:snapToGrid w:val="0"/>
    </w:rPr>
  </w:style>
  <w:style w:type="paragraph" w:styleId="Heading2">
    <w:name w:val="heading 2"/>
    <w:next w:val="Normal"/>
    <w:link w:val="Heading2Char"/>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character" w:customStyle="1" w:styleId="Heading1Char">
    <w:name w:val="Heading 1 Char"/>
    <w:basedOn w:val="DefaultParagraphFont"/>
    <w:link w:val="Heading1"/>
    <w:rsid w:val="00D211A5"/>
    <w:rPr>
      <w:rFonts w:ascii="Arial" w:hAnsi="Arial"/>
      <w:caps/>
      <w:snapToGrid w:val="0"/>
    </w:rPr>
  </w:style>
  <w:style w:type="character" w:customStyle="1" w:styleId="Heading2Char">
    <w:name w:val="Heading 2 Char"/>
    <w:basedOn w:val="DefaultParagraphFont"/>
    <w:link w:val="Heading2"/>
    <w:rsid w:val="00266280"/>
    <w:rPr>
      <w:rFonts w:ascii="Arial" w:hAnsi="Arial"/>
      <w:u w:val="single"/>
    </w:rPr>
  </w:style>
  <w:style w:type="paragraph" w:styleId="ListParagraph">
    <w:name w:val="List Paragraph"/>
    <w:basedOn w:val="Normal"/>
    <w:qFormat/>
    <w:rsid w:val="00C939BC"/>
    <w:pPr>
      <w:spacing w:after="200" w:line="276" w:lineRule="auto"/>
      <w:ind w:left="720"/>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3\Templates\CAJ_AG_13_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414B9-3446-4216-8E32-291BBD1A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CAJ_AG_13_8_EN.dotx</Template>
  <TotalTime>83</TotalTime>
  <Pages>5</Pages>
  <Words>1135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template CAJ-AG/13/8</vt:lpstr>
    </vt:vector>
  </TitlesOfParts>
  <Company>UPOV</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CAJ-AG/13/8</dc:title>
  <dc:creator>BESSE Ariane</dc:creator>
  <cp:lastModifiedBy>BESSE Ariane</cp:lastModifiedBy>
  <cp:revision>21</cp:revision>
  <cp:lastPrinted>2013-10-08T15:14:00Z</cp:lastPrinted>
  <dcterms:created xsi:type="dcterms:W3CDTF">2013-05-13T08:38:00Z</dcterms:created>
  <dcterms:modified xsi:type="dcterms:W3CDTF">2013-10-08T15:16:00Z</dcterms:modified>
</cp:coreProperties>
</file>