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510F4E" w:rsidP="00474DA4">
            <w:pPr>
              <w:pStyle w:val="Docoriginal"/>
              <w:jc w:val="left"/>
            </w:pPr>
            <w:r>
              <w:t>CAJ-AG/13/8/5</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6075FA">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1" w:name="Date"/>
            <w:bookmarkEnd w:id="1"/>
            <w:r w:rsidR="006075FA" w:rsidRPr="006075FA">
              <w:rPr>
                <w:b w:val="0"/>
                <w:spacing w:val="0"/>
              </w:rPr>
              <w:t>October 8, 2013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510F4E" w:rsidP="0080679D">
      <w:pPr>
        <w:pStyle w:val="Titleofdoc0"/>
      </w:pPr>
      <w:bookmarkStart w:id="2" w:name="TitleOfDoc"/>
      <w:bookmarkEnd w:id="2"/>
      <w:r>
        <w:t>Matters concerning nullity of the breeder's right</w:t>
      </w:r>
    </w:p>
    <w:p w:rsidR="000D7780" w:rsidRPr="00FD21DE" w:rsidRDefault="00AE0EF1" w:rsidP="0080679D">
      <w:pPr>
        <w:pStyle w:val="preparedby1"/>
      </w:pPr>
      <w:bookmarkStart w:id="3" w:name="Prepared"/>
      <w:bookmarkEnd w:id="3"/>
      <w:r w:rsidRPr="00510F4E">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76337A" w:rsidRPr="0076337A" w:rsidRDefault="0076337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The Administrative and Legal Committee Advisory Group (CAJ­AG), at its seventh session, held in Geneva, on October 29 and 30, 2012, considered that it would be appropriate to develop further guidance in a separate document for the matters covered in document CAJ-AG/11/6/4 “Matters Arising after the Grant of a Breeder’s Right” concerning </w:t>
      </w:r>
      <w:r>
        <w:rPr>
          <w:snapToGrid w:val="0"/>
        </w:rPr>
        <w:t>nullity</w:t>
      </w:r>
      <w:r w:rsidRPr="0076337A">
        <w:rPr>
          <w:snapToGrid w:val="0"/>
        </w:rPr>
        <w:t xml:space="preserve"> of the breeder’s right (see CAJ-AG/12/7/7 “Report”, paragraph 90).</w:t>
      </w:r>
    </w:p>
    <w:p w:rsidR="0076337A" w:rsidRPr="0076337A" w:rsidRDefault="0076337A" w:rsidP="001F75AB">
      <w:pPr>
        <w:spacing w:line="360" w:lineRule="auto"/>
        <w:rPr>
          <w:snapToGrid w:val="0"/>
        </w:rPr>
      </w:pPr>
    </w:p>
    <w:p w:rsidR="0076337A" w:rsidRPr="00415898" w:rsidRDefault="0076337A" w:rsidP="00415898">
      <w:pPr>
        <w:pStyle w:val="Heading1"/>
      </w:pPr>
      <w:r w:rsidRPr="00415898">
        <w:t>BACKGROUND</w:t>
      </w:r>
    </w:p>
    <w:p w:rsidR="0076337A" w:rsidRPr="0076337A" w:rsidRDefault="0076337A" w:rsidP="0076337A">
      <w:pPr>
        <w:rPr>
          <w:snapToGrid w:val="0"/>
        </w:rPr>
      </w:pPr>
    </w:p>
    <w:p w:rsidR="0076337A" w:rsidRPr="0076337A" w:rsidRDefault="0076337A" w:rsidP="0076337A">
      <w:pPr>
        <w:rPr>
          <w:rFonts w:cs="Arial"/>
          <w:lang w:val="en-GB"/>
        </w:rPr>
      </w:pPr>
      <w:r>
        <w:rPr>
          <w:rFonts w:cs="Arial"/>
          <w:lang w:val="en-GB"/>
        </w:rPr>
        <w:fldChar w:fldCharType="begin"/>
      </w:r>
      <w:r>
        <w:rPr>
          <w:rFonts w:cs="Arial"/>
          <w:lang w:val="en-GB"/>
        </w:rPr>
        <w:instrText xml:space="preserve"> AUTONUM  </w:instrText>
      </w:r>
      <w:r>
        <w:rPr>
          <w:rFonts w:cs="Arial"/>
          <w:lang w:val="en-GB"/>
        </w:rPr>
        <w:fldChar w:fldCharType="end"/>
      </w:r>
      <w:r>
        <w:rPr>
          <w:rFonts w:cs="Arial"/>
          <w:lang w:val="en-GB"/>
        </w:rPr>
        <w:tab/>
      </w:r>
      <w:r w:rsidRPr="0076337A">
        <w:rPr>
          <w:rFonts w:cs="Arial"/>
          <w:lang w:val="en-GB"/>
        </w:rPr>
        <w:t xml:space="preserve">The provisions on the </w:t>
      </w:r>
      <w:r w:rsidRPr="0076337A">
        <w:rPr>
          <w:rFonts w:cs="Arial"/>
        </w:rPr>
        <w:t xml:space="preserve">nullity of the breeder’s right contained in Article 21 of the 1991 Act of the UPOV Convention and </w:t>
      </w:r>
      <w:r w:rsidRPr="0076337A">
        <w:rPr>
          <w:rFonts w:cs="Arial"/>
          <w:lang w:val="en-GB"/>
        </w:rPr>
        <w:t>Article 10 (1) and (4) of the 1978 Act of the UPOV Convention are reproduced below:</w:t>
      </w:r>
    </w:p>
    <w:p w:rsidR="0076337A" w:rsidRPr="0076337A" w:rsidRDefault="0076337A" w:rsidP="0076337A">
      <w:pPr>
        <w:rPr>
          <w:rFonts w:cs="Arial"/>
          <w:lang w:val="en-GB"/>
        </w:rPr>
      </w:pP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76337A">
        <w:rPr>
          <w:rFonts w:cs="Arial"/>
          <w:b/>
          <w:lang w:val="en-GB"/>
        </w:rPr>
        <w:t>1991 Act</w:t>
      </w:r>
      <w:r w:rsidRPr="0076337A">
        <w:rPr>
          <w:rFonts w:cs="Arial"/>
          <w:lang w:val="en-GB"/>
        </w:rPr>
        <w:t xml:space="preserve"> of the UPOV Convention</w:t>
      </w: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76337A">
        <w:rPr>
          <w:rFonts w:cs="Arial"/>
          <w:b/>
          <w:lang w:val="en-GB"/>
        </w:rPr>
        <w:t>Article 21</w:t>
      </w: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76337A">
        <w:rPr>
          <w:rFonts w:cs="Arial"/>
          <w:b/>
          <w:lang w:val="en-GB"/>
        </w:rPr>
        <w:t>Nullity of the Breeder’s Right</w:t>
      </w:r>
    </w:p>
    <w:p w:rsidR="0076337A" w:rsidRPr="0076337A" w:rsidRDefault="0076337A" w:rsidP="0076337A">
      <w:pPr>
        <w:keepNext/>
        <w:keepLines/>
        <w:pBdr>
          <w:top w:val="single" w:sz="4" w:space="1" w:color="auto"/>
          <w:left w:val="single" w:sz="4" w:space="1" w:color="auto"/>
          <w:bottom w:val="single" w:sz="4" w:space="1" w:color="auto"/>
          <w:right w:val="single" w:sz="4" w:space="1" w:color="auto"/>
        </w:pBdr>
        <w:ind w:left="567" w:right="571"/>
        <w:jc w:val="center"/>
        <w:rPr>
          <w:rFonts w:cs="Arial"/>
          <w:lang w:val="en-GB"/>
        </w:rPr>
      </w:pPr>
    </w:p>
    <w:p w:rsidR="0076337A" w:rsidRPr="0076337A" w:rsidRDefault="0076337A" w:rsidP="0076337A">
      <w:pPr>
        <w:pBdr>
          <w:top w:val="single" w:sz="4" w:space="1" w:color="auto"/>
          <w:left w:val="single" w:sz="4" w:space="1" w:color="auto"/>
          <w:bottom w:val="single" w:sz="4" w:space="1" w:color="auto"/>
          <w:right w:val="single" w:sz="4" w:space="1" w:color="auto"/>
        </w:pBdr>
        <w:ind w:left="567" w:right="571"/>
        <w:rPr>
          <w:rFonts w:cs="Arial"/>
        </w:rPr>
      </w:pPr>
      <w:r w:rsidRPr="0076337A">
        <w:rPr>
          <w:rFonts w:cs="Arial"/>
          <w:lang w:val="en-GB"/>
        </w:rPr>
        <w:tab/>
      </w:r>
      <w:r w:rsidRPr="0076337A">
        <w:rPr>
          <w:rFonts w:cs="Arial"/>
        </w:rPr>
        <w:t>(1)</w:t>
      </w:r>
      <w:r w:rsidRPr="0076337A">
        <w:rPr>
          <w:rFonts w:cs="Arial"/>
        </w:rPr>
        <w:tab/>
        <w:t>[</w:t>
      </w:r>
      <w:r w:rsidRPr="0076337A">
        <w:rPr>
          <w:rFonts w:cs="Arial"/>
          <w:i/>
        </w:rPr>
        <w:t>Reasons of nullity</w:t>
      </w:r>
      <w:r w:rsidRPr="0076337A">
        <w:rPr>
          <w:rFonts w:cs="Arial"/>
        </w:rPr>
        <w:t xml:space="preserve">]  Each Contracting Party shall declare a breeder’s right granted by it null and void when it is established </w:t>
      </w:r>
    </w:p>
    <w:p w:rsidR="0076337A" w:rsidRPr="0076337A" w:rsidRDefault="0076337A" w:rsidP="0076337A">
      <w:pPr>
        <w:pBdr>
          <w:top w:val="single" w:sz="4" w:space="1" w:color="auto"/>
          <w:left w:val="single" w:sz="4" w:space="1" w:color="auto"/>
          <w:bottom w:val="single" w:sz="4" w:space="1" w:color="auto"/>
          <w:right w:val="single" w:sz="4" w:space="1" w:color="auto"/>
        </w:pBdr>
        <w:ind w:left="567" w:right="571"/>
        <w:rPr>
          <w:rFonts w:cs="Arial"/>
        </w:rPr>
      </w:pPr>
    </w:p>
    <w:p w:rsidR="0076337A" w:rsidRPr="0076337A" w:rsidRDefault="0076337A" w:rsidP="0076337A">
      <w:pPr>
        <w:pStyle w:val="Style1"/>
        <w:pBdr>
          <w:top w:val="single" w:sz="4" w:space="1" w:color="auto"/>
          <w:left w:val="single" w:sz="4" w:space="1" w:color="auto"/>
          <w:bottom w:val="single" w:sz="4" w:space="1" w:color="auto"/>
          <w:right w:val="single" w:sz="4" w:space="1" w:color="auto"/>
        </w:pBdr>
        <w:ind w:left="567" w:right="571"/>
        <w:rPr>
          <w:rFonts w:ascii="Arial" w:hAnsi="Arial" w:cs="Arial"/>
          <w:sz w:val="20"/>
        </w:rPr>
      </w:pPr>
      <w:r w:rsidRPr="0076337A">
        <w:rPr>
          <w:rFonts w:ascii="Arial" w:hAnsi="Arial" w:cs="Arial"/>
          <w:sz w:val="20"/>
        </w:rPr>
        <w:tab/>
        <w:t>(i)</w:t>
      </w:r>
      <w:r w:rsidRPr="0076337A">
        <w:rPr>
          <w:rFonts w:ascii="Arial" w:hAnsi="Arial" w:cs="Arial"/>
          <w:sz w:val="20"/>
        </w:rPr>
        <w:tab/>
        <w:t xml:space="preserve">that the conditions laid down in Articles 6 or 7 were not complied with at the time of the grant of the breeder’s right, </w:t>
      </w:r>
    </w:p>
    <w:p w:rsidR="0076337A" w:rsidRPr="0076337A" w:rsidRDefault="0076337A" w:rsidP="0076337A">
      <w:pPr>
        <w:pStyle w:val="Style1"/>
        <w:pBdr>
          <w:top w:val="single" w:sz="4" w:space="1" w:color="auto"/>
          <w:left w:val="single" w:sz="4" w:space="1" w:color="auto"/>
          <w:bottom w:val="single" w:sz="4" w:space="1" w:color="auto"/>
          <w:right w:val="single" w:sz="4" w:space="1" w:color="auto"/>
        </w:pBdr>
        <w:ind w:left="567" w:right="571"/>
        <w:rPr>
          <w:rFonts w:ascii="Arial" w:hAnsi="Arial" w:cs="Arial"/>
          <w:sz w:val="20"/>
        </w:rPr>
      </w:pPr>
    </w:p>
    <w:p w:rsidR="0076337A" w:rsidRPr="0076337A" w:rsidRDefault="0076337A" w:rsidP="0076337A">
      <w:pPr>
        <w:pStyle w:val="Style1"/>
        <w:pBdr>
          <w:top w:val="single" w:sz="4" w:space="1" w:color="auto"/>
          <w:left w:val="single" w:sz="4" w:space="1" w:color="auto"/>
          <w:bottom w:val="single" w:sz="4" w:space="1" w:color="auto"/>
          <w:right w:val="single" w:sz="4" w:space="1" w:color="auto"/>
        </w:pBdr>
        <w:ind w:left="567" w:right="571"/>
        <w:rPr>
          <w:rFonts w:ascii="Arial" w:hAnsi="Arial" w:cs="Arial"/>
          <w:sz w:val="20"/>
        </w:rPr>
      </w:pPr>
      <w:r w:rsidRPr="0076337A">
        <w:rPr>
          <w:rFonts w:ascii="Arial" w:hAnsi="Arial" w:cs="Arial"/>
          <w:sz w:val="20"/>
        </w:rPr>
        <w:tab/>
        <w:t>(ii)</w:t>
      </w:r>
      <w:r w:rsidRPr="0076337A">
        <w:rPr>
          <w:rFonts w:ascii="Arial" w:hAnsi="Arial" w:cs="Arial"/>
          <w:sz w:val="20"/>
        </w:rPr>
        <w:tab/>
        <w:t xml:space="preserve">that, where the grant of the breeder’s right has been essentially based upon information and documents furnished by the breeder, the conditions laid down in Articles 8 or 9 were not complied with at the time of the grant of the breeder’s right, </w:t>
      </w:r>
      <w:r w:rsidRPr="0076337A">
        <w:rPr>
          <w:rFonts w:ascii="Arial" w:hAnsi="Arial" w:cs="Arial"/>
          <w:sz w:val="20"/>
          <w:vertAlign w:val="superscript"/>
        </w:rPr>
        <w:t>[</w:t>
      </w:r>
      <w:r w:rsidRPr="0076337A">
        <w:rPr>
          <w:rStyle w:val="FootnoteReference"/>
          <w:rFonts w:ascii="Arial" w:hAnsi="Arial" w:cs="Arial"/>
          <w:sz w:val="20"/>
        </w:rPr>
        <w:footnoteReference w:id="2"/>
      </w:r>
      <w:r w:rsidRPr="0076337A">
        <w:rPr>
          <w:rFonts w:ascii="Arial" w:hAnsi="Arial" w:cs="Arial"/>
          <w:sz w:val="20"/>
          <w:vertAlign w:val="superscript"/>
        </w:rPr>
        <w:t>]</w:t>
      </w:r>
      <w:r w:rsidRPr="0076337A">
        <w:rPr>
          <w:rFonts w:ascii="Arial" w:hAnsi="Arial" w:cs="Arial"/>
          <w:sz w:val="20"/>
        </w:rPr>
        <w:t>or</w:t>
      </w:r>
    </w:p>
    <w:p w:rsidR="0076337A" w:rsidRPr="0076337A" w:rsidRDefault="0076337A" w:rsidP="0076337A">
      <w:pPr>
        <w:pStyle w:val="Style1"/>
        <w:pBdr>
          <w:top w:val="single" w:sz="4" w:space="1" w:color="auto"/>
          <w:left w:val="single" w:sz="4" w:space="1" w:color="auto"/>
          <w:bottom w:val="single" w:sz="4" w:space="1" w:color="auto"/>
          <w:right w:val="single" w:sz="4" w:space="1" w:color="auto"/>
        </w:pBdr>
        <w:ind w:left="567" w:right="571"/>
        <w:rPr>
          <w:rFonts w:ascii="Arial" w:hAnsi="Arial" w:cs="Arial"/>
          <w:sz w:val="20"/>
        </w:rPr>
      </w:pPr>
    </w:p>
    <w:p w:rsidR="0076337A" w:rsidRPr="0076337A" w:rsidRDefault="0076337A" w:rsidP="0076337A">
      <w:pPr>
        <w:pStyle w:val="Style1"/>
        <w:pBdr>
          <w:top w:val="single" w:sz="4" w:space="1" w:color="auto"/>
          <w:left w:val="single" w:sz="4" w:space="1" w:color="auto"/>
          <w:bottom w:val="single" w:sz="4" w:space="1" w:color="auto"/>
          <w:right w:val="single" w:sz="4" w:space="1" w:color="auto"/>
        </w:pBdr>
        <w:ind w:left="567" w:right="571"/>
        <w:rPr>
          <w:rFonts w:ascii="Arial" w:hAnsi="Arial" w:cs="Arial"/>
          <w:sz w:val="20"/>
        </w:rPr>
      </w:pPr>
      <w:r w:rsidRPr="0076337A">
        <w:rPr>
          <w:rFonts w:ascii="Arial" w:hAnsi="Arial" w:cs="Arial"/>
          <w:sz w:val="20"/>
        </w:rPr>
        <w:tab/>
        <w:t>(iii)</w:t>
      </w:r>
      <w:r w:rsidRPr="0076337A">
        <w:rPr>
          <w:rFonts w:ascii="Arial" w:hAnsi="Arial" w:cs="Arial"/>
          <w:sz w:val="20"/>
        </w:rPr>
        <w:tab/>
        <w:t>that the breeder’s right has been granted to a person who is not entitled to it, unless it is transferred to the person who is so entitled.</w:t>
      </w:r>
      <w:r w:rsidRPr="0076337A">
        <w:rPr>
          <w:rFonts w:ascii="Arial" w:hAnsi="Arial" w:cs="Arial"/>
          <w:sz w:val="20"/>
          <w:vertAlign w:val="superscript"/>
        </w:rPr>
        <w:t>[</w:t>
      </w:r>
      <w:r w:rsidRPr="0076337A">
        <w:rPr>
          <w:rStyle w:val="FootnoteReference"/>
          <w:rFonts w:ascii="Arial" w:hAnsi="Arial" w:cs="Arial"/>
          <w:sz w:val="20"/>
        </w:rPr>
        <w:footnoteReference w:id="3"/>
      </w:r>
      <w:r w:rsidRPr="0076337A">
        <w:rPr>
          <w:rFonts w:ascii="Arial" w:hAnsi="Arial" w:cs="Arial"/>
          <w:sz w:val="20"/>
          <w:vertAlign w:val="superscript"/>
        </w:rPr>
        <w:t>]</w:t>
      </w:r>
    </w:p>
    <w:p w:rsidR="0076337A" w:rsidRPr="0076337A" w:rsidRDefault="0076337A" w:rsidP="0076337A">
      <w:pPr>
        <w:pBdr>
          <w:top w:val="single" w:sz="4" w:space="1" w:color="auto"/>
          <w:left w:val="single" w:sz="4" w:space="1" w:color="auto"/>
          <w:bottom w:val="single" w:sz="4" w:space="1" w:color="auto"/>
          <w:right w:val="single" w:sz="4" w:space="1" w:color="auto"/>
        </w:pBdr>
        <w:ind w:left="567" w:right="571"/>
        <w:rPr>
          <w:rFonts w:cs="Arial"/>
        </w:rPr>
      </w:pPr>
    </w:p>
    <w:p w:rsidR="0076337A" w:rsidRDefault="0076337A" w:rsidP="006075FA">
      <w:pPr>
        <w:pBdr>
          <w:top w:val="single" w:sz="4" w:space="1" w:color="auto"/>
          <w:left w:val="single" w:sz="4" w:space="1" w:color="auto"/>
          <w:bottom w:val="single" w:sz="4" w:space="1" w:color="auto"/>
          <w:right w:val="single" w:sz="4" w:space="1" w:color="auto"/>
        </w:pBdr>
        <w:ind w:left="567" w:right="571"/>
        <w:rPr>
          <w:rFonts w:cs="Arial"/>
          <w:lang w:val="en-GB"/>
        </w:rPr>
      </w:pPr>
      <w:r w:rsidRPr="0076337A">
        <w:rPr>
          <w:rFonts w:cs="Arial"/>
        </w:rPr>
        <w:tab/>
        <w:t>(2)</w:t>
      </w:r>
      <w:r w:rsidRPr="0076337A">
        <w:rPr>
          <w:rFonts w:cs="Arial"/>
        </w:rPr>
        <w:tab/>
        <w:t>[</w:t>
      </w:r>
      <w:r w:rsidRPr="0076337A">
        <w:rPr>
          <w:rFonts w:cs="Arial"/>
          <w:i/>
        </w:rPr>
        <w:t>Exclusion of other reasons</w:t>
      </w:r>
      <w:r w:rsidRPr="0076337A">
        <w:rPr>
          <w:rFonts w:cs="Arial"/>
        </w:rPr>
        <w:t>]  No breeder’s right shall be declared null and void for reasons other than those referred to in paragraph (1).</w:t>
      </w:r>
    </w:p>
    <w:p w:rsidR="0076337A" w:rsidRPr="0076337A" w:rsidRDefault="0076337A" w:rsidP="0076337A">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76337A">
        <w:rPr>
          <w:snapToGrid w:val="0"/>
        </w:rPr>
        <w:t xml:space="preserve">Guidance on </w:t>
      </w:r>
      <w:r w:rsidR="006075FA">
        <w:rPr>
          <w:snapToGrid w:val="0"/>
        </w:rPr>
        <w:t>nullity</w:t>
      </w:r>
      <w:r w:rsidRPr="0076337A">
        <w:rPr>
          <w:snapToGrid w:val="0"/>
        </w:rPr>
        <w:t xml:space="preserve"> of the breeder’s right is currently provided in document UPOV/EXN/</w:t>
      </w:r>
      <w:r>
        <w:rPr>
          <w:snapToGrid w:val="0"/>
        </w:rPr>
        <w:t>NUL</w:t>
      </w:r>
      <w:r w:rsidRPr="0076337A">
        <w:rPr>
          <w:snapToGrid w:val="0"/>
        </w:rPr>
        <w:t xml:space="preserve">/1 </w:t>
      </w:r>
      <w:bookmarkStart w:id="4" w:name="_GoBack"/>
      <w:bookmarkEnd w:id="4"/>
      <w:r w:rsidRPr="0076337A">
        <w:rPr>
          <w:snapToGrid w:val="0"/>
        </w:rPr>
        <w:t xml:space="preserve">“Explanatory Notes on </w:t>
      </w:r>
      <w:r>
        <w:rPr>
          <w:snapToGrid w:val="0"/>
        </w:rPr>
        <w:t>Nullity</w:t>
      </w:r>
      <w:r w:rsidRPr="0076337A">
        <w:rPr>
          <w:snapToGrid w:val="0"/>
        </w:rPr>
        <w:t xml:space="preserve"> of the Breeder’s Right under the UPOV Convention”.</w:t>
      </w:r>
    </w:p>
    <w:p w:rsidR="0076337A" w:rsidRDefault="0076337A" w:rsidP="0076337A">
      <w:pPr>
        <w:rPr>
          <w:snapToGrid w:val="0"/>
        </w:rPr>
      </w:pPr>
    </w:p>
    <w:p w:rsidR="001F75AB" w:rsidRPr="0076337A" w:rsidRDefault="001F75AB" w:rsidP="0076337A">
      <w:pPr>
        <w:rPr>
          <w:snapToGrid w:val="0"/>
        </w:rPr>
      </w:pPr>
    </w:p>
    <w:p w:rsidR="0076337A" w:rsidRPr="0076337A" w:rsidRDefault="0076337A" w:rsidP="00415898">
      <w:pPr>
        <w:pStyle w:val="Heading1"/>
      </w:pPr>
      <w:r w:rsidRPr="0076337A">
        <w:t>MATTERS FOR CONSIDERATION</w:t>
      </w:r>
    </w:p>
    <w:p w:rsidR="0076337A" w:rsidRPr="0076337A" w:rsidRDefault="0076337A" w:rsidP="0076337A">
      <w:pPr>
        <w:rPr>
          <w:snapToGrid w:val="0"/>
        </w:rPr>
      </w:pPr>
    </w:p>
    <w:p w:rsidR="0076337A" w:rsidRPr="0076337A" w:rsidRDefault="0076337A" w:rsidP="0076337A">
      <w:pPr>
        <w:pStyle w:val="Heading2"/>
        <w:rPr>
          <w:snapToGrid w:val="0"/>
        </w:rPr>
      </w:pPr>
      <w:r w:rsidRPr="0076337A">
        <w:rPr>
          <w:snapToGrid w:val="0"/>
        </w:rPr>
        <w:t>Overview</w:t>
      </w:r>
    </w:p>
    <w:p w:rsidR="0076337A" w:rsidRPr="0076337A" w:rsidRDefault="0076337A" w:rsidP="0076337A">
      <w:pPr>
        <w:rPr>
          <w:snapToGrid w:val="0"/>
        </w:rPr>
      </w:pPr>
    </w:p>
    <w:p w:rsidR="0076337A" w:rsidRPr="0076337A" w:rsidRDefault="0076337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The CAJ­AG, at its seventh session, considered that it would be appropriate to develop further guidance in a separate document for the matters covered in document CAJ-AG/11/6/4 “Matters Arising after the Grant of a Breeder’s Right” concerning </w:t>
      </w:r>
      <w:r>
        <w:rPr>
          <w:snapToGrid w:val="0"/>
        </w:rPr>
        <w:t>nullity</w:t>
      </w:r>
      <w:r w:rsidRPr="0076337A">
        <w:rPr>
          <w:snapToGrid w:val="0"/>
        </w:rPr>
        <w:t xml:space="preserve"> of the breeder’s right (see CAJ-AG/12/7/7 “Report”, paragraph 90).</w:t>
      </w:r>
    </w:p>
    <w:p w:rsidR="0076337A" w:rsidRPr="0076337A" w:rsidRDefault="0076337A" w:rsidP="0076337A">
      <w:pPr>
        <w:rPr>
          <w:snapToGrid w:val="0"/>
        </w:rPr>
      </w:pPr>
    </w:p>
    <w:p w:rsidR="0076337A" w:rsidRPr="0076337A" w:rsidRDefault="0076337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Matters with regard to </w:t>
      </w:r>
      <w:r>
        <w:rPr>
          <w:snapToGrid w:val="0"/>
        </w:rPr>
        <w:t>nullity</w:t>
      </w:r>
      <w:r w:rsidRPr="0076337A">
        <w:rPr>
          <w:snapToGrid w:val="0"/>
        </w:rPr>
        <w:t xml:space="preserve"> were presented in the following </w:t>
      </w:r>
      <w:r w:rsidR="00A6198A">
        <w:rPr>
          <w:snapToGrid w:val="0"/>
        </w:rPr>
        <w:t>parts of document CAJ­AG/11/6/4</w:t>
      </w:r>
      <w:r w:rsidRPr="0076337A">
        <w:rPr>
          <w:snapToGrid w:val="0"/>
        </w:rPr>
        <w:t>:</w:t>
      </w:r>
    </w:p>
    <w:p w:rsidR="0076337A" w:rsidRPr="0076337A" w:rsidRDefault="0076337A" w:rsidP="0076337A">
      <w:pPr>
        <w:rPr>
          <w:snapToGrid w:val="0"/>
        </w:rPr>
      </w:pPr>
    </w:p>
    <w:p w:rsidR="0076337A" w:rsidRDefault="0076337A" w:rsidP="001F75AB">
      <w:pPr>
        <w:ind w:firstLine="567"/>
        <w:rPr>
          <w:snapToGrid w:val="0"/>
        </w:rPr>
      </w:pPr>
      <w:r w:rsidRPr="0076337A">
        <w:rPr>
          <w:snapToGrid w:val="0"/>
        </w:rPr>
        <w:t>(a)</w:t>
      </w:r>
      <w:r w:rsidRPr="0076337A">
        <w:rPr>
          <w:snapToGrid w:val="0"/>
        </w:rPr>
        <w:tab/>
      </w:r>
      <w:r w:rsidR="00A6198A" w:rsidRPr="0076337A">
        <w:rPr>
          <w:snapToGrid w:val="0"/>
        </w:rPr>
        <w:t>Annex</w:t>
      </w:r>
      <w:r w:rsidR="00A6198A">
        <w:rPr>
          <w:snapToGrid w:val="0"/>
        </w:rPr>
        <w:t> </w:t>
      </w:r>
      <w:r w:rsidR="00A6198A" w:rsidRPr="0076337A">
        <w:rPr>
          <w:snapToGrid w:val="0"/>
        </w:rPr>
        <w:t>I</w:t>
      </w:r>
      <w:r w:rsidR="00A6198A">
        <w:rPr>
          <w:snapToGrid w:val="0"/>
        </w:rPr>
        <w:t xml:space="preserve">, </w:t>
      </w:r>
      <w:r w:rsidRPr="0076337A">
        <w:rPr>
          <w:snapToGrid w:val="0"/>
        </w:rPr>
        <w:t>Appendix 3 (Contribution from the Europea</w:t>
      </w:r>
      <w:r>
        <w:rPr>
          <w:snapToGrid w:val="0"/>
        </w:rPr>
        <w:t xml:space="preserve">n </w:t>
      </w:r>
      <w:r w:rsidRPr="006075FA">
        <w:rPr>
          <w:snapToGrid w:val="0"/>
        </w:rPr>
        <w:t xml:space="preserve">Union) (reproduced as Annex I to this document); </w:t>
      </w:r>
    </w:p>
    <w:p w:rsidR="001F75AB" w:rsidRPr="006075FA" w:rsidRDefault="001F75AB" w:rsidP="001F75AB">
      <w:pPr>
        <w:ind w:firstLine="567"/>
        <w:rPr>
          <w:snapToGrid w:val="0"/>
        </w:rPr>
      </w:pPr>
    </w:p>
    <w:p w:rsidR="0076337A" w:rsidRDefault="0076337A" w:rsidP="001F75AB">
      <w:pPr>
        <w:ind w:firstLine="567"/>
        <w:rPr>
          <w:snapToGrid w:val="0"/>
        </w:rPr>
      </w:pPr>
      <w:r w:rsidRPr="006075FA">
        <w:rPr>
          <w:snapToGrid w:val="0"/>
        </w:rPr>
        <w:t>(b)</w:t>
      </w:r>
      <w:r w:rsidRPr="006075FA">
        <w:rPr>
          <w:snapToGrid w:val="0"/>
        </w:rPr>
        <w:tab/>
      </w:r>
      <w:r w:rsidR="00A6198A" w:rsidRPr="006075FA">
        <w:rPr>
          <w:snapToGrid w:val="0"/>
        </w:rPr>
        <w:t xml:space="preserve">Annex I, </w:t>
      </w:r>
      <w:r w:rsidRPr="006075FA">
        <w:rPr>
          <w:snapToGrid w:val="0"/>
        </w:rPr>
        <w:t xml:space="preserve">Appendix 6 (Contribution from </w:t>
      </w:r>
      <w:r w:rsidRPr="006075FA">
        <w:rPr>
          <w:snapToGrid w:val="0"/>
          <w:lang w:val="en-GB"/>
        </w:rPr>
        <w:t>South Africa</w:t>
      </w:r>
      <w:r w:rsidRPr="006075FA">
        <w:rPr>
          <w:snapToGrid w:val="0"/>
        </w:rPr>
        <w:t>) (reproduced as Annex II to this document);</w:t>
      </w:r>
      <w:r w:rsidR="00A6198A" w:rsidRPr="006075FA">
        <w:rPr>
          <w:snapToGrid w:val="0"/>
        </w:rPr>
        <w:t xml:space="preserve">  and</w:t>
      </w:r>
    </w:p>
    <w:p w:rsidR="001F75AB" w:rsidRPr="006075FA" w:rsidRDefault="001F75AB" w:rsidP="001F75AB">
      <w:pPr>
        <w:ind w:firstLine="567"/>
        <w:rPr>
          <w:snapToGrid w:val="0"/>
        </w:rPr>
      </w:pPr>
    </w:p>
    <w:p w:rsidR="00A6198A" w:rsidRPr="0076337A" w:rsidRDefault="00A6198A" w:rsidP="001F75AB">
      <w:pPr>
        <w:ind w:firstLine="567"/>
        <w:rPr>
          <w:snapToGrid w:val="0"/>
        </w:rPr>
      </w:pPr>
      <w:r w:rsidRPr="006075FA">
        <w:rPr>
          <w:snapToGrid w:val="0"/>
        </w:rPr>
        <w:t>(c)</w:t>
      </w:r>
      <w:r w:rsidRPr="006075FA">
        <w:rPr>
          <w:snapToGrid w:val="0"/>
        </w:rPr>
        <w:tab/>
        <w:t xml:space="preserve">Annex II (Contribution from </w:t>
      </w:r>
      <w:r w:rsidRPr="006075FA">
        <w:rPr>
          <w:snapToGrid w:val="0"/>
          <w:lang w:val="en-GB"/>
        </w:rPr>
        <w:t>South Africa</w:t>
      </w:r>
      <w:r w:rsidRPr="006075FA">
        <w:rPr>
          <w:snapToGrid w:val="0"/>
        </w:rPr>
        <w:t>) (reproduced as Annex III to this document</w:t>
      </w:r>
      <w:r w:rsidRPr="0076337A">
        <w:rPr>
          <w:snapToGrid w:val="0"/>
        </w:rPr>
        <w:t>)</w:t>
      </w:r>
    </w:p>
    <w:p w:rsidR="0076337A" w:rsidRPr="0076337A" w:rsidRDefault="0076337A" w:rsidP="0076337A">
      <w:pPr>
        <w:rPr>
          <w:snapToGrid w:val="0"/>
        </w:rPr>
      </w:pPr>
    </w:p>
    <w:p w:rsidR="0076337A" w:rsidRPr="0076337A" w:rsidRDefault="0076337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The following matters, reproduced from document </w:t>
      </w:r>
      <w:r w:rsidR="006075FA" w:rsidRPr="006075FA">
        <w:rPr>
          <w:snapToGrid w:val="0"/>
        </w:rPr>
        <w:t>CAJ/60/8 “Matters arising after the grant of a breeders' right”</w:t>
      </w:r>
      <w:r w:rsidRPr="0076337A">
        <w:rPr>
          <w:snapToGrid w:val="0"/>
        </w:rPr>
        <w:t>, paragraph 8, were also presented in document CAJ-AG/11/6/4:</w:t>
      </w:r>
    </w:p>
    <w:p w:rsidR="0076337A" w:rsidRPr="0076337A" w:rsidRDefault="0076337A" w:rsidP="0076337A">
      <w:pPr>
        <w:rPr>
          <w:snapToGrid w:val="0"/>
        </w:rPr>
      </w:pPr>
    </w:p>
    <w:p w:rsidR="0076337A" w:rsidRPr="0076337A" w:rsidRDefault="0076337A" w:rsidP="001F75AB">
      <w:pPr>
        <w:ind w:left="567" w:right="567"/>
        <w:rPr>
          <w:snapToGrid w:val="0"/>
          <w:sz w:val="18"/>
          <w:szCs w:val="18"/>
        </w:rPr>
      </w:pPr>
      <w:r w:rsidRPr="0076337A">
        <w:rPr>
          <w:snapToGrid w:val="0"/>
          <w:sz w:val="18"/>
          <w:szCs w:val="18"/>
        </w:rPr>
        <w:t>“a)</w:t>
      </w:r>
      <w:r w:rsidRPr="0076337A">
        <w:rPr>
          <w:snapToGrid w:val="0"/>
          <w:sz w:val="18"/>
          <w:szCs w:val="18"/>
        </w:rPr>
        <w:tab/>
        <w:t>Matters concerning distinctness</w:t>
      </w:r>
    </w:p>
    <w:p w:rsidR="0076337A" w:rsidRPr="0076337A" w:rsidRDefault="0076337A" w:rsidP="001F75AB">
      <w:pPr>
        <w:ind w:left="567" w:right="567"/>
        <w:rPr>
          <w:snapToGrid w:val="0"/>
          <w:sz w:val="18"/>
          <w:szCs w:val="18"/>
        </w:rPr>
      </w:pPr>
    </w:p>
    <w:p w:rsidR="0076337A" w:rsidRDefault="0076337A" w:rsidP="001F75AB">
      <w:pPr>
        <w:ind w:left="567" w:right="567"/>
        <w:rPr>
          <w:snapToGrid w:val="0"/>
          <w:sz w:val="18"/>
          <w:szCs w:val="18"/>
        </w:rPr>
      </w:pPr>
      <w:r w:rsidRPr="0076337A">
        <w:rPr>
          <w:snapToGrid w:val="0"/>
          <w:sz w:val="18"/>
          <w:szCs w:val="18"/>
        </w:rPr>
        <w:tab/>
        <w:t xml:space="preserve">Example: </w:t>
      </w:r>
    </w:p>
    <w:p w:rsidR="0076337A" w:rsidRPr="0076337A" w:rsidRDefault="0076337A" w:rsidP="001F75AB">
      <w:pPr>
        <w:ind w:left="567" w:right="567"/>
        <w:rPr>
          <w:snapToGrid w:val="0"/>
          <w:sz w:val="18"/>
          <w:szCs w:val="18"/>
        </w:rPr>
      </w:pPr>
    </w:p>
    <w:p w:rsidR="0076337A" w:rsidRPr="0076337A" w:rsidRDefault="0076337A" w:rsidP="001F75AB">
      <w:pPr>
        <w:ind w:left="1134" w:right="567"/>
        <w:rPr>
          <w:snapToGrid w:val="0"/>
          <w:sz w:val="18"/>
          <w:szCs w:val="18"/>
        </w:rPr>
      </w:pPr>
      <w:r w:rsidRPr="0076337A">
        <w:rPr>
          <w:snapToGrid w:val="0"/>
          <w:sz w:val="18"/>
          <w:szCs w:val="18"/>
        </w:rPr>
        <w:t>–</w:t>
      </w:r>
      <w:r w:rsidRPr="0076337A">
        <w:rPr>
          <w:snapToGrid w:val="0"/>
          <w:sz w:val="18"/>
          <w:szCs w:val="18"/>
        </w:rPr>
        <w:tab/>
        <w:t>after the grant of the breeder’s right, a claim is made that the protected variety was not distinct from a variety whose existence was a matter of common knowledge at the time of the filing of the application.”</w:t>
      </w:r>
    </w:p>
    <w:p w:rsidR="0076337A" w:rsidRPr="0076337A" w:rsidRDefault="0076337A" w:rsidP="0076337A">
      <w:pPr>
        <w:ind w:left="567" w:right="1269"/>
        <w:rPr>
          <w:snapToGrid w:val="0"/>
        </w:rPr>
      </w:pPr>
    </w:p>
    <w:p w:rsidR="0076337A" w:rsidRDefault="006075F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075FA">
        <w:rPr>
          <w:snapToGrid w:val="0"/>
        </w:rPr>
        <w:t>The matters above are considered in the following paragraphs.</w:t>
      </w:r>
    </w:p>
    <w:p w:rsidR="006075FA" w:rsidRDefault="006075FA" w:rsidP="0076337A">
      <w:pPr>
        <w:rPr>
          <w:snapToGrid w:val="0"/>
        </w:rPr>
      </w:pPr>
    </w:p>
    <w:p w:rsidR="001F75AB" w:rsidRPr="0076337A" w:rsidRDefault="001F75AB" w:rsidP="0076337A">
      <w:pPr>
        <w:rPr>
          <w:snapToGrid w:val="0"/>
        </w:rPr>
      </w:pPr>
    </w:p>
    <w:p w:rsidR="0076337A" w:rsidRPr="0076337A" w:rsidRDefault="0076337A" w:rsidP="0076337A">
      <w:pPr>
        <w:pStyle w:val="Heading2"/>
        <w:rPr>
          <w:snapToGrid w:val="0"/>
        </w:rPr>
      </w:pPr>
      <w:r w:rsidRPr="0076337A">
        <w:rPr>
          <w:snapToGrid w:val="0"/>
        </w:rPr>
        <w:t>Responsible authority</w:t>
      </w:r>
    </w:p>
    <w:p w:rsidR="0076337A" w:rsidRPr="0076337A" w:rsidRDefault="0076337A" w:rsidP="0076337A">
      <w:pPr>
        <w:rPr>
          <w:snapToGrid w:val="0"/>
        </w:rPr>
      </w:pPr>
    </w:p>
    <w:p w:rsidR="0076337A" w:rsidRPr="0076337A" w:rsidRDefault="0076337A"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The CAJ­AG may wish to consider the development of guidance to explain that it is a matter for </w:t>
      </w:r>
      <w:r w:rsidR="006075FA">
        <w:rPr>
          <w:snapToGrid w:val="0"/>
        </w:rPr>
        <w:t xml:space="preserve">the </w:t>
      </w:r>
      <w:r w:rsidRPr="0076337A">
        <w:rPr>
          <w:snapToGrid w:val="0"/>
        </w:rPr>
        <w:t>member of the Union</w:t>
      </w:r>
      <w:r w:rsidR="006075FA">
        <w:rPr>
          <w:snapToGrid w:val="0"/>
        </w:rPr>
        <w:t xml:space="preserve"> concerned</w:t>
      </w:r>
      <w:r w:rsidRPr="0076337A">
        <w:rPr>
          <w:snapToGrid w:val="0"/>
        </w:rPr>
        <w:t xml:space="preserve"> to decide which authority is competent to decid</w:t>
      </w:r>
      <w:r w:rsidR="006075FA">
        <w:rPr>
          <w:snapToGrid w:val="0"/>
        </w:rPr>
        <w:t>e on nullity of</w:t>
      </w:r>
      <w:r>
        <w:rPr>
          <w:snapToGrid w:val="0"/>
        </w:rPr>
        <w:t xml:space="preserve"> breeder</w:t>
      </w:r>
      <w:r w:rsidR="006075FA">
        <w:rPr>
          <w:snapToGrid w:val="0"/>
        </w:rPr>
        <w:t>s</w:t>
      </w:r>
      <w:r>
        <w:rPr>
          <w:snapToGrid w:val="0"/>
        </w:rPr>
        <w:t>’ right</w:t>
      </w:r>
      <w:r w:rsidR="006075FA">
        <w:rPr>
          <w:snapToGrid w:val="0"/>
        </w:rPr>
        <w:t>s</w:t>
      </w:r>
      <w:r>
        <w:rPr>
          <w:snapToGrid w:val="0"/>
        </w:rPr>
        <w:t xml:space="preserve"> (see Annex I</w:t>
      </w:r>
      <w:r w:rsidRPr="0076337A">
        <w:rPr>
          <w:snapToGrid w:val="0"/>
        </w:rPr>
        <w:t xml:space="preserve"> to this document).</w:t>
      </w:r>
    </w:p>
    <w:p w:rsidR="0076337A" w:rsidRPr="0076337A" w:rsidRDefault="0076337A" w:rsidP="0076337A">
      <w:pPr>
        <w:rPr>
          <w:snapToGrid w:val="0"/>
        </w:rPr>
      </w:pPr>
    </w:p>
    <w:p w:rsidR="0076337A" w:rsidRDefault="0076337A" w:rsidP="001F75AB">
      <w:pPr>
        <w:keepNext/>
        <w:tabs>
          <w:tab w:val="left" w:pos="5387"/>
          <w:tab w:val="left" w:pos="5954"/>
        </w:tabs>
        <w:ind w:left="4820"/>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w:t>
      </w:r>
      <w:r w:rsidRPr="001163AC">
        <w:rPr>
          <w:rFonts w:eastAsia="SimSun"/>
          <w:i/>
        </w:rPr>
        <w:t>consider the development of guidance to explain that it is a</w:t>
      </w:r>
      <w:r w:rsidR="006075FA">
        <w:rPr>
          <w:rFonts w:eastAsia="SimSun"/>
          <w:i/>
        </w:rPr>
        <w:t xml:space="preserve"> matter</w:t>
      </w:r>
      <w:r w:rsidRPr="001163AC">
        <w:rPr>
          <w:rFonts w:eastAsia="SimSun"/>
          <w:i/>
        </w:rPr>
        <w:t xml:space="preserve"> </w:t>
      </w:r>
      <w:r w:rsidR="006075FA" w:rsidRPr="006075FA">
        <w:rPr>
          <w:rFonts w:eastAsia="SimSun"/>
          <w:i/>
        </w:rPr>
        <w:t>for the member of the Union concerned to decide which authority is competent to decide on nullity of breeders’ rights</w:t>
      </w:r>
      <w:r>
        <w:rPr>
          <w:rFonts w:eastAsia="SimSun"/>
          <w:i/>
        </w:rPr>
        <w:t>.</w:t>
      </w:r>
    </w:p>
    <w:p w:rsidR="0076337A" w:rsidRDefault="0076337A" w:rsidP="0076337A">
      <w:pPr>
        <w:rPr>
          <w:snapToGrid w:val="0"/>
        </w:rPr>
      </w:pPr>
    </w:p>
    <w:p w:rsidR="001F75AB" w:rsidRPr="0076337A" w:rsidRDefault="001F75AB" w:rsidP="0076337A">
      <w:pPr>
        <w:rPr>
          <w:snapToGrid w:val="0"/>
        </w:rPr>
      </w:pPr>
    </w:p>
    <w:p w:rsidR="0076337A" w:rsidRPr="0076337A" w:rsidRDefault="0076337A" w:rsidP="00E078BD">
      <w:pPr>
        <w:pStyle w:val="Heading2"/>
        <w:rPr>
          <w:snapToGrid w:val="0"/>
        </w:rPr>
      </w:pPr>
      <w:r w:rsidRPr="0076337A">
        <w:rPr>
          <w:snapToGrid w:val="0"/>
        </w:rPr>
        <w:t xml:space="preserve">Initiation of </w:t>
      </w:r>
      <w:r w:rsidR="006075FA">
        <w:rPr>
          <w:snapToGrid w:val="0"/>
        </w:rPr>
        <w:t>nullity</w:t>
      </w:r>
      <w:r w:rsidRPr="0076337A">
        <w:rPr>
          <w:snapToGrid w:val="0"/>
        </w:rPr>
        <w:t xml:space="preserve"> proceedings</w:t>
      </w:r>
    </w:p>
    <w:p w:rsidR="0076337A" w:rsidRPr="0076337A" w:rsidRDefault="0076337A" w:rsidP="0076337A">
      <w:pPr>
        <w:rPr>
          <w:snapToGrid w:val="0"/>
        </w:rPr>
      </w:pPr>
    </w:p>
    <w:p w:rsidR="0076337A" w:rsidRPr="0076337A" w:rsidRDefault="00E078BD"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76337A" w:rsidRPr="0076337A">
        <w:rPr>
          <w:snapToGrid w:val="0"/>
        </w:rPr>
        <w:t xml:space="preserve">The CAJ­AG may wish to consider the development of guidance to explain that </w:t>
      </w:r>
      <w:r>
        <w:rPr>
          <w:snapToGrid w:val="0"/>
        </w:rPr>
        <w:t>nullity</w:t>
      </w:r>
      <w:r w:rsidR="0076337A" w:rsidRPr="0076337A">
        <w:rPr>
          <w:snapToGrid w:val="0"/>
        </w:rPr>
        <w:t xml:space="preserve"> proceedings may be initiated by a request from a third party or </w:t>
      </w:r>
      <w:r w:rsidR="0076337A" w:rsidRPr="00E078BD">
        <w:rPr>
          <w:i/>
          <w:snapToGrid w:val="0"/>
        </w:rPr>
        <w:t>ex officio</w:t>
      </w:r>
      <w:r w:rsidR="0076337A" w:rsidRPr="0076337A">
        <w:rPr>
          <w:snapToGrid w:val="0"/>
        </w:rPr>
        <w:t xml:space="preserve"> by the </w:t>
      </w:r>
      <w:r w:rsidR="006075FA" w:rsidRPr="006075FA">
        <w:rPr>
          <w:snapToGrid w:val="0"/>
        </w:rPr>
        <w:t xml:space="preserve">competent authority of the member of the Union concerned </w:t>
      </w:r>
      <w:r>
        <w:rPr>
          <w:snapToGrid w:val="0"/>
        </w:rPr>
        <w:t>(see Annex I</w:t>
      </w:r>
      <w:r w:rsidR="0076337A" w:rsidRPr="0076337A">
        <w:rPr>
          <w:snapToGrid w:val="0"/>
        </w:rPr>
        <w:t xml:space="preserve"> to this document).</w:t>
      </w:r>
    </w:p>
    <w:p w:rsidR="0076337A" w:rsidRPr="0076337A" w:rsidRDefault="0076337A" w:rsidP="0076337A">
      <w:pPr>
        <w:rPr>
          <w:snapToGrid w:val="0"/>
        </w:rPr>
      </w:pPr>
    </w:p>
    <w:p w:rsidR="00E078BD" w:rsidRDefault="00E078BD" w:rsidP="001F75AB">
      <w:pPr>
        <w:keepNext/>
        <w:tabs>
          <w:tab w:val="left" w:pos="5387"/>
          <w:tab w:val="left" w:pos="5954"/>
        </w:tabs>
        <w:ind w:left="4820"/>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consider the </w:t>
      </w:r>
      <w:r w:rsidRPr="001163AC">
        <w:rPr>
          <w:rFonts w:eastAsia="SimSun"/>
          <w:i/>
        </w:rPr>
        <w:t xml:space="preserve">development of guidance to explain that </w:t>
      </w:r>
      <w:r>
        <w:rPr>
          <w:rFonts w:eastAsia="SimSun"/>
          <w:i/>
        </w:rPr>
        <w:t>nullity</w:t>
      </w:r>
      <w:r w:rsidRPr="001163AC">
        <w:rPr>
          <w:rFonts w:eastAsia="SimSun"/>
          <w:i/>
        </w:rPr>
        <w:t xml:space="preserve"> proceedings may be initiated by a request from a third party or </w:t>
      </w:r>
      <w:r w:rsidRPr="001163AC">
        <w:rPr>
          <w:rFonts w:eastAsia="SimSun"/>
        </w:rPr>
        <w:t>ex officio</w:t>
      </w:r>
      <w:r w:rsidRPr="001163AC">
        <w:rPr>
          <w:rFonts w:eastAsia="SimSun"/>
          <w:i/>
        </w:rPr>
        <w:t xml:space="preserve"> by the </w:t>
      </w:r>
      <w:r w:rsidR="006075FA" w:rsidRPr="006075FA">
        <w:rPr>
          <w:rFonts w:eastAsia="SimSun"/>
          <w:i/>
        </w:rPr>
        <w:t>competent authority of the member of the Union concerned</w:t>
      </w:r>
      <w:r>
        <w:rPr>
          <w:rFonts w:eastAsia="SimSun"/>
          <w:i/>
        </w:rPr>
        <w:t>.</w:t>
      </w:r>
    </w:p>
    <w:p w:rsidR="0076337A" w:rsidRDefault="0076337A" w:rsidP="00E078BD">
      <w:pPr>
        <w:tabs>
          <w:tab w:val="left" w:pos="825"/>
        </w:tabs>
        <w:rPr>
          <w:snapToGrid w:val="0"/>
        </w:rPr>
      </w:pPr>
    </w:p>
    <w:p w:rsidR="001F75AB" w:rsidRPr="0076337A" w:rsidRDefault="001F75AB" w:rsidP="00E078BD">
      <w:pPr>
        <w:tabs>
          <w:tab w:val="left" w:pos="825"/>
        </w:tabs>
        <w:rPr>
          <w:snapToGrid w:val="0"/>
        </w:rPr>
      </w:pPr>
    </w:p>
    <w:p w:rsidR="0076337A" w:rsidRPr="0076337A" w:rsidRDefault="00E078BD" w:rsidP="0090498E">
      <w:pPr>
        <w:pStyle w:val="Heading2"/>
        <w:rPr>
          <w:snapToGrid w:val="0"/>
        </w:rPr>
      </w:pPr>
      <w:r w:rsidRPr="00E078BD">
        <w:rPr>
          <w:snapToGrid w:val="0"/>
        </w:rPr>
        <w:lastRenderedPageBreak/>
        <w:t>Distinctness</w:t>
      </w:r>
    </w:p>
    <w:p w:rsidR="0076337A" w:rsidRDefault="0076337A" w:rsidP="0090498E">
      <w:pPr>
        <w:keepNext/>
        <w:rPr>
          <w:snapToGrid w:val="0"/>
        </w:rPr>
      </w:pPr>
    </w:p>
    <w:p w:rsidR="0090498E" w:rsidRDefault="0090498E" w:rsidP="001F75AB">
      <w:pPr>
        <w:rPr>
          <w:snapToGrid w:val="0"/>
        </w:rPr>
      </w:pPr>
      <w:r>
        <w:rPr>
          <w:snapToGrid w:val="0"/>
        </w:rPr>
        <w:fldChar w:fldCharType="begin"/>
      </w:r>
      <w:r>
        <w:rPr>
          <w:snapToGrid w:val="0"/>
        </w:rPr>
        <w:instrText xml:space="preserve"> AUTONUM  </w:instrText>
      </w:r>
      <w:r>
        <w:rPr>
          <w:snapToGrid w:val="0"/>
        </w:rPr>
        <w:fldChar w:fldCharType="end"/>
      </w:r>
      <w:r>
        <w:rPr>
          <w:snapToGrid w:val="0"/>
        </w:rPr>
        <w:tab/>
        <w:t>P</w:t>
      </w:r>
      <w:r w:rsidRPr="0090498E">
        <w:rPr>
          <w:snapToGrid w:val="0"/>
        </w:rPr>
        <w:t>aragraph</w:t>
      </w:r>
      <w:r>
        <w:rPr>
          <w:snapToGrid w:val="0"/>
        </w:rPr>
        <w:t xml:space="preserve"> 6 of this document</w:t>
      </w:r>
      <w:r w:rsidRPr="0090498E">
        <w:rPr>
          <w:snapToGrid w:val="0"/>
        </w:rPr>
        <w:t xml:space="preserve"> </w:t>
      </w:r>
      <w:r>
        <w:rPr>
          <w:snapToGrid w:val="0"/>
        </w:rPr>
        <w:t>(</w:t>
      </w:r>
      <w:r w:rsidRPr="0090498E">
        <w:rPr>
          <w:snapToGrid w:val="0"/>
        </w:rPr>
        <w:t>reproduced from document CAJ/60/8, paragraph 8</w:t>
      </w:r>
      <w:r>
        <w:rPr>
          <w:snapToGrid w:val="0"/>
        </w:rPr>
        <w:t>)</w:t>
      </w:r>
      <w:r w:rsidRPr="0090498E">
        <w:rPr>
          <w:snapToGrid w:val="0"/>
        </w:rPr>
        <w:t xml:space="preserve"> </w:t>
      </w:r>
      <w:r>
        <w:rPr>
          <w:snapToGrid w:val="0"/>
        </w:rPr>
        <w:t xml:space="preserve">refers to nullity on the basis that </w:t>
      </w:r>
      <w:r w:rsidRPr="0090498E">
        <w:rPr>
          <w:snapToGrid w:val="0"/>
        </w:rPr>
        <w:t>the protected variety was not distinct from a variety whose existence was a matter of common knowledge at the time of the filing of the application</w:t>
      </w:r>
      <w:r>
        <w:rPr>
          <w:snapToGrid w:val="0"/>
        </w:rPr>
        <w:t>.  Annex I to this document proposes that “[i]</w:t>
      </w:r>
      <w:r w:rsidRPr="0090498E">
        <w:rPr>
          <w:snapToGrid w:val="0"/>
        </w:rPr>
        <w:t>f the Distinctness requirement is being questioned, it is important that the examination authority keeps track of the reference varieties used in the original DUS test</w:t>
      </w:r>
      <w:r>
        <w:rPr>
          <w:snapToGrid w:val="0"/>
        </w:rPr>
        <w:t>”.</w:t>
      </w:r>
    </w:p>
    <w:p w:rsidR="0090498E" w:rsidRDefault="0090498E" w:rsidP="001F75AB">
      <w:pPr>
        <w:rPr>
          <w:snapToGrid w:val="0"/>
        </w:rPr>
      </w:pPr>
    </w:p>
    <w:p w:rsidR="00886344" w:rsidRDefault="0090498E" w:rsidP="001F75A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6337A">
        <w:rPr>
          <w:snapToGrid w:val="0"/>
        </w:rPr>
        <w:t xml:space="preserve">The CAJ­AG may wish to consider the development of guidance to explain </w:t>
      </w:r>
      <w:r w:rsidRPr="0090498E">
        <w:rPr>
          <w:snapToGrid w:val="0"/>
        </w:rPr>
        <w:t xml:space="preserve">the </w:t>
      </w:r>
      <w:r>
        <w:rPr>
          <w:snapToGrid w:val="0"/>
        </w:rPr>
        <w:t xml:space="preserve">importance </w:t>
      </w:r>
      <w:r w:rsidR="00886344">
        <w:rPr>
          <w:snapToGrid w:val="0"/>
        </w:rPr>
        <w:t xml:space="preserve">of </w:t>
      </w:r>
      <w:r>
        <w:rPr>
          <w:snapToGrid w:val="0"/>
        </w:rPr>
        <w:t xml:space="preserve">the </w:t>
      </w:r>
      <w:r w:rsidRPr="0090498E">
        <w:rPr>
          <w:snapToGrid w:val="0"/>
        </w:rPr>
        <w:t xml:space="preserve">authority </w:t>
      </w:r>
      <w:r w:rsidR="00886344">
        <w:rPr>
          <w:snapToGrid w:val="0"/>
        </w:rPr>
        <w:t xml:space="preserve">maintaining information on all </w:t>
      </w:r>
      <w:r w:rsidR="00886344" w:rsidRPr="00886344">
        <w:rPr>
          <w:snapToGrid w:val="0"/>
        </w:rPr>
        <w:t>varieties</w:t>
      </w:r>
      <w:r w:rsidR="00886344">
        <w:rPr>
          <w:snapToGrid w:val="0"/>
        </w:rPr>
        <w:t xml:space="preserve"> considered in the examination of </w:t>
      </w:r>
      <w:r w:rsidR="00886344" w:rsidRPr="00886344">
        <w:rPr>
          <w:snapToGrid w:val="0"/>
        </w:rPr>
        <w:t>distinctness</w:t>
      </w:r>
      <w:r w:rsidR="00886344">
        <w:rPr>
          <w:snapToGrid w:val="0"/>
        </w:rPr>
        <w:t xml:space="preserve"> of a candidate variety</w:t>
      </w:r>
      <w:r>
        <w:rPr>
          <w:snapToGrid w:val="0"/>
        </w:rPr>
        <w:t>.</w:t>
      </w:r>
      <w:r w:rsidR="00886344">
        <w:rPr>
          <w:snapToGrid w:val="0"/>
        </w:rPr>
        <w:t xml:space="preserve">  In that regard the CAJ­AG may wish to:</w:t>
      </w:r>
    </w:p>
    <w:p w:rsidR="00886344" w:rsidRDefault="00886344" w:rsidP="001F75AB">
      <w:pPr>
        <w:rPr>
          <w:snapToGrid w:val="0"/>
        </w:rPr>
      </w:pPr>
    </w:p>
    <w:p w:rsidR="00886344" w:rsidRDefault="00886344" w:rsidP="001F75AB">
      <w:pPr>
        <w:ind w:firstLine="567"/>
        <w:rPr>
          <w:snapToGrid w:val="0"/>
        </w:rPr>
      </w:pPr>
      <w:r>
        <w:rPr>
          <w:snapToGrid w:val="0"/>
        </w:rPr>
        <w:t>(a)</w:t>
      </w:r>
      <w:r>
        <w:rPr>
          <w:snapToGrid w:val="0"/>
        </w:rPr>
        <w:tab/>
      </w:r>
      <w:r w:rsidRPr="00886344">
        <w:rPr>
          <w:snapToGrid w:val="0"/>
        </w:rPr>
        <w:t>consider that matter in relation to document CAJ­AG/13/8/7 “Matters concerning Variety Descriptions</w:t>
      </w:r>
      <w:r>
        <w:rPr>
          <w:snapToGrid w:val="0"/>
        </w:rPr>
        <w:t>”;  and</w:t>
      </w:r>
    </w:p>
    <w:p w:rsidR="00886344" w:rsidRDefault="00886344" w:rsidP="001F75AB">
      <w:pPr>
        <w:ind w:firstLine="567"/>
        <w:rPr>
          <w:snapToGrid w:val="0"/>
        </w:rPr>
      </w:pPr>
    </w:p>
    <w:p w:rsidR="0090498E" w:rsidRPr="0076337A" w:rsidRDefault="00886344" w:rsidP="001F75AB">
      <w:pPr>
        <w:ind w:firstLine="567"/>
        <w:rPr>
          <w:snapToGrid w:val="0"/>
        </w:rPr>
      </w:pPr>
      <w:r>
        <w:rPr>
          <w:snapToGrid w:val="0"/>
        </w:rPr>
        <w:t>(b)</w:t>
      </w:r>
      <w:r>
        <w:rPr>
          <w:snapToGrid w:val="0"/>
        </w:rPr>
        <w:tab/>
        <w:t xml:space="preserve">propose to the </w:t>
      </w:r>
      <w:r w:rsidRPr="00886344">
        <w:rPr>
          <w:snapToGrid w:val="0"/>
        </w:rPr>
        <w:t>Administrative and Legal Committee (CAJ) to invite the Technical Committee (TC) to pursue</w:t>
      </w:r>
      <w:r>
        <w:rPr>
          <w:snapToGrid w:val="0"/>
        </w:rPr>
        <w:t xml:space="preserve"> this matter</w:t>
      </w:r>
      <w:r w:rsidRPr="00886344">
        <w:rPr>
          <w:snapToGrid w:val="0"/>
        </w:rPr>
        <w:t xml:space="preserve"> in the first instance</w:t>
      </w:r>
      <w:r>
        <w:rPr>
          <w:snapToGrid w:val="0"/>
        </w:rPr>
        <w:t xml:space="preserve">. </w:t>
      </w:r>
    </w:p>
    <w:p w:rsidR="00E078BD" w:rsidRDefault="00E078BD" w:rsidP="0076337A">
      <w:pPr>
        <w:rPr>
          <w:snapToGrid w:val="0"/>
        </w:rPr>
      </w:pPr>
    </w:p>
    <w:p w:rsidR="00886344" w:rsidRDefault="00886344" w:rsidP="001F75AB">
      <w:pPr>
        <w:tabs>
          <w:tab w:val="left" w:pos="5387"/>
          <w:tab w:val="left" w:pos="5954"/>
        </w:tabs>
        <w:ind w:left="4820"/>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to:</w:t>
      </w:r>
    </w:p>
    <w:p w:rsidR="00886344" w:rsidRDefault="00886344" w:rsidP="001F75AB">
      <w:pPr>
        <w:tabs>
          <w:tab w:val="left" w:pos="5387"/>
          <w:tab w:val="left" w:pos="5954"/>
        </w:tabs>
        <w:ind w:left="4820"/>
        <w:rPr>
          <w:rFonts w:eastAsia="SimSun"/>
          <w:i/>
        </w:rPr>
      </w:pPr>
    </w:p>
    <w:p w:rsidR="00886344" w:rsidRDefault="00886344" w:rsidP="001F75AB">
      <w:pPr>
        <w:tabs>
          <w:tab w:val="left" w:pos="5387"/>
          <w:tab w:val="left" w:pos="5954"/>
        </w:tabs>
        <w:ind w:left="4820"/>
        <w:rPr>
          <w:rFonts w:eastAsia="SimSun"/>
          <w:i/>
        </w:rPr>
      </w:pPr>
      <w:r>
        <w:rPr>
          <w:rFonts w:eastAsia="SimSun"/>
          <w:i/>
        </w:rPr>
        <w:tab/>
        <w:t>(a)</w:t>
      </w:r>
      <w:r>
        <w:rPr>
          <w:rFonts w:eastAsia="SimSun"/>
          <w:i/>
        </w:rPr>
        <w:tab/>
      </w:r>
      <w:r w:rsidRPr="00886344">
        <w:rPr>
          <w:rFonts w:eastAsia="SimSun"/>
          <w:i/>
        </w:rPr>
        <w:t>consider the development of guidance to explain the importance of the authority maintaining information on all varieties considered in the examination of distinctne</w:t>
      </w:r>
      <w:r w:rsidR="00995BB7">
        <w:rPr>
          <w:rFonts w:eastAsia="SimSun"/>
          <w:i/>
        </w:rPr>
        <w:t>ss of a candidate variety</w:t>
      </w:r>
      <w:r>
        <w:rPr>
          <w:rFonts w:eastAsia="SimSun"/>
          <w:i/>
        </w:rPr>
        <w:t>;</w:t>
      </w:r>
    </w:p>
    <w:p w:rsidR="00886344" w:rsidRDefault="00886344" w:rsidP="001F75AB">
      <w:pPr>
        <w:tabs>
          <w:tab w:val="left" w:pos="5387"/>
          <w:tab w:val="left" w:pos="5954"/>
        </w:tabs>
        <w:ind w:left="4820"/>
        <w:rPr>
          <w:rFonts w:eastAsia="SimSun"/>
          <w:i/>
        </w:rPr>
      </w:pPr>
    </w:p>
    <w:p w:rsidR="00886344" w:rsidRPr="00886344" w:rsidRDefault="00886344" w:rsidP="001F75AB">
      <w:pPr>
        <w:tabs>
          <w:tab w:val="left" w:pos="5387"/>
          <w:tab w:val="left" w:pos="5954"/>
        </w:tabs>
        <w:ind w:left="4820"/>
        <w:rPr>
          <w:rFonts w:eastAsia="SimSun"/>
          <w:i/>
        </w:rPr>
      </w:pPr>
      <w:r>
        <w:rPr>
          <w:rFonts w:eastAsia="SimSun"/>
          <w:i/>
        </w:rPr>
        <w:tab/>
      </w:r>
      <w:r w:rsidRPr="00886344">
        <w:rPr>
          <w:rFonts w:eastAsia="SimSun"/>
          <w:i/>
        </w:rPr>
        <w:t>(</w:t>
      </w:r>
      <w:r>
        <w:rPr>
          <w:rFonts w:eastAsia="SimSun"/>
          <w:i/>
        </w:rPr>
        <w:t>b</w:t>
      </w:r>
      <w:r w:rsidRPr="00886344">
        <w:rPr>
          <w:rFonts w:eastAsia="SimSun"/>
          <w:i/>
        </w:rPr>
        <w:t>)</w:t>
      </w:r>
      <w:r w:rsidRPr="00886344">
        <w:rPr>
          <w:rFonts w:eastAsia="SimSun"/>
          <w:i/>
        </w:rPr>
        <w:tab/>
        <w:t>consider that matter in relation to document CAJ­AG/13/8/7 “Matters concerning Variety Descriptions”;  and</w:t>
      </w:r>
    </w:p>
    <w:p w:rsidR="00886344" w:rsidRPr="00886344" w:rsidRDefault="00886344" w:rsidP="001F75AB">
      <w:pPr>
        <w:tabs>
          <w:tab w:val="left" w:pos="5387"/>
          <w:tab w:val="left" w:pos="5954"/>
        </w:tabs>
        <w:ind w:left="4820"/>
        <w:rPr>
          <w:rFonts w:eastAsia="SimSun"/>
          <w:i/>
        </w:rPr>
      </w:pPr>
    </w:p>
    <w:p w:rsidR="00886344" w:rsidRDefault="00886344" w:rsidP="001F75AB">
      <w:pPr>
        <w:tabs>
          <w:tab w:val="left" w:pos="5387"/>
          <w:tab w:val="left" w:pos="5954"/>
        </w:tabs>
        <w:ind w:left="4820"/>
        <w:rPr>
          <w:rFonts w:eastAsia="SimSun"/>
          <w:i/>
        </w:rPr>
      </w:pPr>
      <w:r>
        <w:rPr>
          <w:rFonts w:eastAsia="SimSun"/>
          <w:i/>
        </w:rPr>
        <w:tab/>
      </w:r>
      <w:r w:rsidRPr="00886344">
        <w:rPr>
          <w:rFonts w:eastAsia="SimSun"/>
          <w:i/>
        </w:rPr>
        <w:t>(</w:t>
      </w:r>
      <w:r>
        <w:rPr>
          <w:rFonts w:eastAsia="SimSun"/>
          <w:i/>
        </w:rPr>
        <w:t>c</w:t>
      </w:r>
      <w:r w:rsidRPr="00886344">
        <w:rPr>
          <w:rFonts w:eastAsia="SimSun"/>
          <w:i/>
        </w:rPr>
        <w:t>)</w:t>
      </w:r>
      <w:r w:rsidRPr="00886344">
        <w:rPr>
          <w:rFonts w:eastAsia="SimSun"/>
          <w:i/>
        </w:rPr>
        <w:tab/>
        <w:t>propose to the Administrative and Legal Committee (CAJ) to invite the Technical Committee (TC) to pursue this matter in the first instance.</w:t>
      </w:r>
    </w:p>
    <w:p w:rsidR="00886344" w:rsidRDefault="00886344" w:rsidP="001F75AB">
      <w:pPr>
        <w:tabs>
          <w:tab w:val="left" w:pos="5387"/>
          <w:tab w:val="left" w:pos="5954"/>
        </w:tabs>
        <w:ind w:left="4820"/>
        <w:rPr>
          <w:rFonts w:eastAsia="SimSun"/>
          <w:i/>
        </w:rPr>
      </w:pPr>
    </w:p>
    <w:p w:rsidR="00886344" w:rsidRDefault="00886344" w:rsidP="001F75AB">
      <w:pPr>
        <w:rPr>
          <w:snapToGrid w:val="0"/>
        </w:rPr>
      </w:pPr>
    </w:p>
    <w:p w:rsidR="00E078BD" w:rsidRDefault="00E078BD" w:rsidP="001F75AB">
      <w:pPr>
        <w:pStyle w:val="Heading2"/>
        <w:keepNext w:val="0"/>
        <w:rPr>
          <w:snapToGrid w:val="0"/>
        </w:rPr>
      </w:pPr>
      <w:r>
        <w:rPr>
          <w:snapToGrid w:val="0"/>
        </w:rPr>
        <w:t>Effect of Nullity</w:t>
      </w:r>
    </w:p>
    <w:p w:rsidR="00E078BD" w:rsidRDefault="00E078BD" w:rsidP="0076337A">
      <w:pPr>
        <w:rPr>
          <w:snapToGrid w:val="0"/>
        </w:rPr>
      </w:pPr>
    </w:p>
    <w:p w:rsidR="0076337A" w:rsidRPr="0076337A" w:rsidRDefault="0090498E" w:rsidP="007633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E078BD">
        <w:rPr>
          <w:snapToGrid w:val="0"/>
        </w:rPr>
        <w:t>Annex</w:t>
      </w:r>
      <w:r w:rsidR="00A6198A">
        <w:rPr>
          <w:snapToGrid w:val="0"/>
        </w:rPr>
        <w:t>es</w:t>
      </w:r>
      <w:r w:rsidR="0076337A" w:rsidRPr="0076337A">
        <w:rPr>
          <w:snapToGrid w:val="0"/>
        </w:rPr>
        <w:t xml:space="preserve"> II</w:t>
      </w:r>
      <w:r w:rsidR="00A6198A">
        <w:rPr>
          <w:snapToGrid w:val="0"/>
        </w:rPr>
        <w:t xml:space="preserve"> and III</w:t>
      </w:r>
      <w:r w:rsidR="0076337A" w:rsidRPr="0076337A">
        <w:rPr>
          <w:snapToGrid w:val="0"/>
        </w:rPr>
        <w:t xml:space="preserve"> to this document </w:t>
      </w:r>
      <w:r w:rsidR="00A6198A">
        <w:rPr>
          <w:snapToGrid w:val="0"/>
        </w:rPr>
        <w:t>refer to</w:t>
      </w:r>
      <w:r w:rsidR="0076337A" w:rsidRPr="0076337A">
        <w:rPr>
          <w:snapToGrid w:val="0"/>
        </w:rPr>
        <w:t xml:space="preserve"> </w:t>
      </w:r>
      <w:r w:rsidR="00E078BD">
        <w:rPr>
          <w:snapToGrid w:val="0"/>
        </w:rPr>
        <w:t xml:space="preserve">an </w:t>
      </w:r>
      <w:r w:rsidR="0076337A" w:rsidRPr="0076337A">
        <w:rPr>
          <w:snapToGrid w:val="0"/>
        </w:rPr>
        <w:t xml:space="preserve">example of </w:t>
      </w:r>
      <w:r w:rsidR="00E078BD">
        <w:rPr>
          <w:snapToGrid w:val="0"/>
        </w:rPr>
        <w:t>a case</w:t>
      </w:r>
      <w:r w:rsidR="0076337A" w:rsidRPr="0076337A">
        <w:rPr>
          <w:snapToGrid w:val="0"/>
        </w:rPr>
        <w:t xml:space="preserve"> in</w:t>
      </w:r>
      <w:r w:rsidR="00E078BD">
        <w:rPr>
          <w:snapToGrid w:val="0"/>
        </w:rPr>
        <w:t xml:space="preserve"> </w:t>
      </w:r>
      <w:r w:rsidR="00E078BD" w:rsidRPr="00E078BD">
        <w:rPr>
          <w:snapToGrid w:val="0"/>
          <w:lang w:val="en-GB"/>
        </w:rPr>
        <w:t>South Africa</w:t>
      </w:r>
      <w:r w:rsidR="00E078BD">
        <w:rPr>
          <w:snapToGrid w:val="0"/>
        </w:rPr>
        <w:t xml:space="preserve"> in</w:t>
      </w:r>
      <w:r w:rsidR="0076337A" w:rsidRPr="0076337A">
        <w:rPr>
          <w:snapToGrid w:val="0"/>
        </w:rPr>
        <w:t xml:space="preserve"> which </w:t>
      </w:r>
      <w:r w:rsidR="00E078BD">
        <w:rPr>
          <w:snapToGrid w:val="0"/>
        </w:rPr>
        <w:t xml:space="preserve">a decision to declare a breeder’s right </w:t>
      </w:r>
      <w:r w:rsidR="00E078BD" w:rsidRPr="00E078BD">
        <w:rPr>
          <w:snapToGrid w:val="0"/>
        </w:rPr>
        <w:t>null and void</w:t>
      </w:r>
      <w:r w:rsidR="00E078BD">
        <w:rPr>
          <w:snapToGrid w:val="0"/>
        </w:rPr>
        <w:t xml:space="preserve"> resulted in a requirement for the “PBR holder” to pay back “illegal royalties”.  </w:t>
      </w:r>
      <w:r w:rsidR="00E078BD" w:rsidRPr="0076337A">
        <w:rPr>
          <w:snapToGrid w:val="0"/>
        </w:rPr>
        <w:t xml:space="preserve">The CAJ­AG may wish to consider the development of guidance to explain that </w:t>
      </w:r>
      <w:r w:rsidR="00E078BD">
        <w:rPr>
          <w:snapToGrid w:val="0"/>
        </w:rPr>
        <w:t xml:space="preserve">such measures might </w:t>
      </w:r>
      <w:r>
        <w:rPr>
          <w:snapToGrid w:val="0"/>
        </w:rPr>
        <w:t>result from a decision on nullity.</w:t>
      </w:r>
    </w:p>
    <w:p w:rsidR="0076337A" w:rsidRDefault="0076337A" w:rsidP="0076337A">
      <w:pPr>
        <w:rPr>
          <w:snapToGrid w:val="0"/>
        </w:rPr>
      </w:pPr>
    </w:p>
    <w:p w:rsidR="0090498E" w:rsidRDefault="0090498E" w:rsidP="001F75AB">
      <w:pPr>
        <w:keepNext/>
        <w:tabs>
          <w:tab w:val="left" w:pos="5387"/>
          <w:tab w:val="left" w:pos="5954"/>
        </w:tabs>
        <w:ind w:left="4820"/>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consider the </w:t>
      </w:r>
      <w:r w:rsidRPr="001163AC">
        <w:rPr>
          <w:rFonts w:eastAsia="SimSun"/>
          <w:i/>
        </w:rPr>
        <w:t xml:space="preserve">development </w:t>
      </w:r>
      <w:r w:rsidRPr="0090498E">
        <w:rPr>
          <w:rFonts w:eastAsia="SimSun"/>
          <w:i/>
        </w:rPr>
        <w:t xml:space="preserve">of guidance to explain measures </w:t>
      </w:r>
      <w:r>
        <w:rPr>
          <w:rFonts w:eastAsia="SimSun"/>
          <w:i/>
        </w:rPr>
        <w:t xml:space="preserve">that </w:t>
      </w:r>
      <w:r w:rsidRPr="00995BB7">
        <w:rPr>
          <w:rFonts w:eastAsia="SimSun"/>
          <w:i/>
        </w:rPr>
        <w:t>might result from a decision on nullity, as set out in paragraph 1</w:t>
      </w:r>
      <w:r w:rsidR="00886344" w:rsidRPr="00995BB7">
        <w:rPr>
          <w:rFonts w:eastAsia="SimSun"/>
          <w:i/>
        </w:rPr>
        <w:t>5</w:t>
      </w:r>
      <w:r w:rsidRPr="00995BB7">
        <w:rPr>
          <w:rFonts w:eastAsia="SimSun"/>
          <w:i/>
        </w:rPr>
        <w:t xml:space="preserve"> of this</w:t>
      </w:r>
      <w:r>
        <w:rPr>
          <w:rFonts w:eastAsia="SimSun"/>
          <w:i/>
        </w:rPr>
        <w:t xml:space="preserve"> document.</w:t>
      </w:r>
    </w:p>
    <w:p w:rsidR="0090498E" w:rsidRDefault="0090498E" w:rsidP="0076337A">
      <w:pPr>
        <w:rPr>
          <w:snapToGrid w:val="0"/>
        </w:rPr>
      </w:pPr>
    </w:p>
    <w:p w:rsidR="0090498E" w:rsidRDefault="0090498E" w:rsidP="0076337A">
      <w:pPr>
        <w:rPr>
          <w:snapToGrid w:val="0"/>
        </w:rPr>
      </w:pPr>
    </w:p>
    <w:p w:rsidR="00C71887" w:rsidRDefault="00C71887" w:rsidP="0076337A">
      <w:pPr>
        <w:rPr>
          <w:snapToGrid w:val="0"/>
        </w:rPr>
      </w:pPr>
    </w:p>
    <w:p w:rsidR="00C71887" w:rsidRDefault="00C71887" w:rsidP="00C71887">
      <w:pPr>
        <w:jc w:val="right"/>
        <w:rPr>
          <w:snapToGrid w:val="0"/>
        </w:rPr>
        <w:sectPr w:rsidR="00C71887" w:rsidSect="00906DDC">
          <w:headerReference w:type="default" r:id="rId10"/>
          <w:pgSz w:w="11907" w:h="16840" w:code="9"/>
          <w:pgMar w:top="510" w:right="1134" w:bottom="1134" w:left="1134" w:header="510" w:footer="680" w:gutter="0"/>
          <w:cols w:space="720"/>
          <w:titlePg/>
        </w:sectPr>
      </w:pPr>
      <w:r>
        <w:rPr>
          <w:snapToGrid w:val="0"/>
        </w:rPr>
        <w:t>[Annexes follow]</w:t>
      </w:r>
    </w:p>
    <w:p w:rsidR="00071416" w:rsidRDefault="00071416" w:rsidP="00C71887">
      <w:pPr>
        <w:jc w:val="right"/>
        <w:rPr>
          <w:snapToGrid w:val="0"/>
        </w:rPr>
      </w:pPr>
    </w:p>
    <w:p w:rsidR="005A6D3F" w:rsidRDefault="005A6D3F" w:rsidP="00C71887">
      <w:pPr>
        <w:jc w:val="right"/>
        <w:rPr>
          <w:snapToGrid w:val="0"/>
        </w:rPr>
      </w:pPr>
    </w:p>
    <w:p w:rsidR="00C71887" w:rsidRPr="000B313D" w:rsidRDefault="00C71887" w:rsidP="000B313D">
      <w:pPr>
        <w:jc w:val="center"/>
        <w:rPr>
          <w:u w:val="single"/>
        </w:rPr>
      </w:pPr>
      <w:r w:rsidRPr="000B313D">
        <w:rPr>
          <w:u w:val="single"/>
        </w:rPr>
        <w:t>CONTRIBUTION FROM THE EUROPEAN UNION</w:t>
      </w:r>
    </w:p>
    <w:p w:rsidR="00C71887" w:rsidRPr="00F96DCB" w:rsidRDefault="00C71887" w:rsidP="00C71887">
      <w:pPr>
        <w:rPr>
          <w:szCs w:val="24"/>
        </w:rPr>
      </w:pPr>
    </w:p>
    <w:p w:rsidR="00C71887" w:rsidRPr="00F96DCB" w:rsidRDefault="00C71887" w:rsidP="00C71887">
      <w:pPr>
        <w:rPr>
          <w:szCs w:val="24"/>
        </w:rPr>
      </w:pPr>
    </w:p>
    <w:p w:rsidR="00C71887" w:rsidRPr="00F96DCB" w:rsidRDefault="00C71887" w:rsidP="00C71887">
      <w:pPr>
        <w:rPr>
          <w:szCs w:val="24"/>
        </w:rPr>
      </w:pPr>
    </w:p>
    <w:p w:rsidR="00C71887" w:rsidRPr="00F96DCB" w:rsidRDefault="00C71887" w:rsidP="00C71887">
      <w:pPr>
        <w:rPr>
          <w:szCs w:val="24"/>
        </w:rPr>
      </w:pPr>
      <w:r w:rsidRPr="00F96DCB">
        <w:rPr>
          <w:szCs w:val="24"/>
        </w:rPr>
        <w:t>To the attention of Mr. Rolf Jördens</w:t>
      </w:r>
    </w:p>
    <w:p w:rsidR="00C71887" w:rsidRPr="00F96DCB" w:rsidRDefault="00C71887" w:rsidP="00C71887">
      <w:pPr>
        <w:rPr>
          <w:szCs w:val="24"/>
          <w:lang w:val="fr-FR"/>
        </w:rPr>
      </w:pPr>
      <w:r w:rsidRPr="00F96DCB">
        <w:rPr>
          <w:szCs w:val="24"/>
          <w:lang w:val="fr-FR"/>
        </w:rPr>
        <w:t>Vice Secretary-General of UPOV</w:t>
      </w:r>
    </w:p>
    <w:p w:rsidR="00C71887" w:rsidRPr="00F96DCB" w:rsidRDefault="00C71887" w:rsidP="00C71887">
      <w:pPr>
        <w:rPr>
          <w:szCs w:val="24"/>
          <w:lang w:val="fr-FR"/>
        </w:rPr>
      </w:pPr>
    </w:p>
    <w:p w:rsidR="00C71887" w:rsidRPr="00F96DCB" w:rsidRDefault="00C71887" w:rsidP="00C71887">
      <w:pPr>
        <w:rPr>
          <w:szCs w:val="24"/>
          <w:lang w:val="fr-FR"/>
        </w:rPr>
      </w:pPr>
      <w:r w:rsidRPr="00F96DCB">
        <w:rPr>
          <w:szCs w:val="24"/>
          <w:lang w:val="fr-FR"/>
        </w:rPr>
        <w:t>Union internationale pour la protection des obtentions végétales (UPOV)</w:t>
      </w:r>
    </w:p>
    <w:p w:rsidR="00C71887" w:rsidRPr="00F96DCB" w:rsidRDefault="00C71887" w:rsidP="00C71887">
      <w:pPr>
        <w:rPr>
          <w:szCs w:val="24"/>
          <w:lang w:val="fr-FR"/>
        </w:rPr>
      </w:pPr>
      <w:r w:rsidRPr="00F96DCB">
        <w:rPr>
          <w:szCs w:val="24"/>
          <w:lang w:val="fr-FR"/>
        </w:rPr>
        <w:t>34, chemin des Colombettes</w:t>
      </w:r>
    </w:p>
    <w:p w:rsidR="00C71887" w:rsidRPr="00F96DCB" w:rsidRDefault="00C71887" w:rsidP="00C71887">
      <w:pPr>
        <w:rPr>
          <w:szCs w:val="24"/>
        </w:rPr>
      </w:pPr>
      <w:r w:rsidRPr="00F96DCB">
        <w:rPr>
          <w:szCs w:val="24"/>
        </w:rPr>
        <w:t>CH-1211 Genève 20</w:t>
      </w:r>
    </w:p>
    <w:p w:rsidR="00C71887" w:rsidRPr="00F96DCB" w:rsidRDefault="00C71887" w:rsidP="00C71887">
      <w:pPr>
        <w:rPr>
          <w:szCs w:val="24"/>
        </w:rPr>
      </w:pPr>
    </w:p>
    <w:p w:rsidR="00C71887" w:rsidRPr="00F96DCB" w:rsidRDefault="00C71887" w:rsidP="00C71887">
      <w:pPr>
        <w:rPr>
          <w:szCs w:val="24"/>
        </w:rPr>
      </w:pPr>
    </w:p>
    <w:p w:rsidR="00C71887" w:rsidRPr="00F96DCB" w:rsidRDefault="00C71887" w:rsidP="00C71887">
      <w:pPr>
        <w:rPr>
          <w:szCs w:val="24"/>
        </w:rPr>
      </w:pPr>
    </w:p>
    <w:p w:rsidR="00C71887" w:rsidRPr="00F96DCB" w:rsidRDefault="00C71887" w:rsidP="00C71887">
      <w:pPr>
        <w:rPr>
          <w:szCs w:val="24"/>
        </w:rPr>
      </w:pPr>
      <w:r w:rsidRPr="00F96DCB">
        <w:rPr>
          <w:szCs w:val="24"/>
        </w:rPr>
        <w:t xml:space="preserve">Dear Mr. Jördens, </w:t>
      </w:r>
    </w:p>
    <w:p w:rsidR="00C71887" w:rsidRPr="00F96DCB" w:rsidRDefault="00C71887" w:rsidP="00C71887">
      <w:pPr>
        <w:rPr>
          <w:szCs w:val="24"/>
        </w:rPr>
      </w:pPr>
    </w:p>
    <w:p w:rsidR="00C71887" w:rsidRPr="00F96DCB" w:rsidRDefault="00C71887" w:rsidP="00C71887">
      <w:pPr>
        <w:rPr>
          <w:szCs w:val="24"/>
        </w:rPr>
      </w:pPr>
      <w:r w:rsidRPr="00F96DCB">
        <w:rPr>
          <w:szCs w:val="24"/>
        </w:rPr>
        <w:t xml:space="preserve">Please find the following answer prepared by the Community Plant Variety Office to the UPOV Circular E-1168 of December, 23, 2009 on matters arising after the grants of the breeder’s right: </w:t>
      </w:r>
    </w:p>
    <w:p w:rsidR="00C71887" w:rsidRPr="00F96DCB" w:rsidRDefault="00C71887" w:rsidP="00C71887">
      <w:pPr>
        <w:rPr>
          <w:szCs w:val="24"/>
        </w:rPr>
      </w:pPr>
    </w:p>
    <w:p w:rsidR="00C71887" w:rsidRPr="00F96DCB" w:rsidRDefault="00C71887" w:rsidP="00C71887">
      <w:pPr>
        <w:ind w:left="567" w:hanging="567"/>
        <w:rPr>
          <w:szCs w:val="24"/>
        </w:rPr>
      </w:pPr>
      <w:r w:rsidRPr="00F96DCB">
        <w:rPr>
          <w:szCs w:val="24"/>
        </w:rPr>
        <w:t>–</w:t>
      </w:r>
      <w:r w:rsidRPr="00F96DCB">
        <w:rPr>
          <w:szCs w:val="24"/>
        </w:rPr>
        <w:tab/>
        <w:t xml:space="preserve">In UPOV documents UPOV/EXN/NUL/1 and UPOV/EXN/CAN/1 certain aspects of Nullity &amp; Cancellation are dealt with.  The Explanatory Notes on Variety Denominations under the UPOV Convention provide also guidance on situations in which the variety denomination might be cancelled. </w:t>
      </w:r>
    </w:p>
    <w:p w:rsidR="00C71887" w:rsidRPr="00F96DCB" w:rsidRDefault="00C71887" w:rsidP="00C71887">
      <w:pPr>
        <w:rPr>
          <w:szCs w:val="24"/>
        </w:rPr>
      </w:pPr>
    </w:p>
    <w:p w:rsidR="00C71887" w:rsidRPr="00F96DCB" w:rsidRDefault="00C71887" w:rsidP="005D4C80">
      <w:pPr>
        <w:ind w:left="567" w:hanging="567"/>
      </w:pPr>
      <w:r w:rsidRPr="00F96DCB">
        <w:rPr>
          <w:szCs w:val="24"/>
        </w:rPr>
        <w:t>–</w:t>
      </w:r>
      <w:r w:rsidRPr="00F96DCB">
        <w:rPr>
          <w:szCs w:val="24"/>
        </w:rPr>
        <w:tab/>
        <w:t>The proposed document on examples on matters arising after the grant of the breeders right might include</w:t>
      </w:r>
      <w:r w:rsidRPr="00F96DCB">
        <w:t>:</w:t>
      </w:r>
    </w:p>
    <w:p w:rsidR="00C71887" w:rsidRPr="00F96DCB" w:rsidRDefault="00C71887" w:rsidP="00C71887">
      <w:pPr>
        <w:rPr>
          <w:szCs w:val="24"/>
        </w:rPr>
      </w:pPr>
    </w:p>
    <w:p w:rsidR="00C71887" w:rsidRPr="00F96DCB" w:rsidRDefault="00C71887" w:rsidP="00C71887">
      <w:pPr>
        <w:ind w:left="567"/>
        <w:rPr>
          <w:szCs w:val="24"/>
        </w:rPr>
      </w:pPr>
      <w:r w:rsidRPr="00F96DCB">
        <w:rPr>
          <w:szCs w:val="24"/>
        </w:rPr>
        <w:t xml:space="preserve">Nullity </w:t>
      </w:r>
    </w:p>
    <w:p w:rsidR="00C71887" w:rsidRPr="00F96DCB" w:rsidRDefault="00C71887" w:rsidP="00C71887">
      <w:pPr>
        <w:ind w:left="567"/>
        <w:rPr>
          <w:szCs w:val="24"/>
        </w:rPr>
      </w:pPr>
    </w:p>
    <w:p w:rsidR="00C71887" w:rsidRPr="00F96DCB" w:rsidRDefault="00C71887" w:rsidP="00C71887">
      <w:pPr>
        <w:ind w:left="1134" w:hanging="567"/>
        <w:rPr>
          <w:szCs w:val="24"/>
        </w:rPr>
      </w:pPr>
      <w:r w:rsidRPr="00F96DCB">
        <w:rPr>
          <w:szCs w:val="24"/>
        </w:rPr>
        <w:t>-</w:t>
      </w:r>
      <w:r w:rsidRPr="00F96DCB">
        <w:rPr>
          <w:szCs w:val="24"/>
        </w:rPr>
        <w:tab/>
        <w:t>It may be stated that it is under UPOV members’ law to decide which authority is competent to decide on nullity</w:t>
      </w:r>
    </w:p>
    <w:p w:rsidR="00C71887" w:rsidRPr="00F96DCB" w:rsidRDefault="00C71887" w:rsidP="00C71887">
      <w:pPr>
        <w:ind w:left="1134" w:hanging="567"/>
        <w:rPr>
          <w:szCs w:val="24"/>
        </w:rPr>
      </w:pPr>
    </w:p>
    <w:p w:rsidR="00C71887" w:rsidRPr="00F96DCB" w:rsidRDefault="00C71887" w:rsidP="00C71887">
      <w:pPr>
        <w:ind w:left="1134" w:hanging="567"/>
        <w:rPr>
          <w:szCs w:val="24"/>
        </w:rPr>
      </w:pPr>
      <w:r w:rsidRPr="00F96DCB">
        <w:rPr>
          <w:szCs w:val="24"/>
        </w:rPr>
        <w:t>-</w:t>
      </w:r>
      <w:r w:rsidRPr="00F96DCB">
        <w:rPr>
          <w:szCs w:val="24"/>
        </w:rPr>
        <w:tab/>
        <w:t xml:space="preserve">It may be stated that nullity proceedings may be initiated by a request from a third party or </w:t>
      </w:r>
      <w:r w:rsidR="005D4C80">
        <w:rPr>
          <w:i/>
          <w:szCs w:val="24"/>
        </w:rPr>
        <w:t>ex </w:t>
      </w:r>
      <w:r w:rsidRPr="00F96DCB">
        <w:rPr>
          <w:i/>
          <w:szCs w:val="24"/>
        </w:rPr>
        <w:t>officio</w:t>
      </w:r>
      <w:r w:rsidRPr="00F96DCB">
        <w:rPr>
          <w:szCs w:val="24"/>
        </w:rPr>
        <w:t xml:space="preserve"> by the UPOV members’ competent authority</w:t>
      </w:r>
    </w:p>
    <w:p w:rsidR="00C71887" w:rsidRPr="00F96DCB" w:rsidRDefault="00C71887" w:rsidP="00C71887">
      <w:pPr>
        <w:ind w:left="1134" w:hanging="567"/>
        <w:rPr>
          <w:szCs w:val="24"/>
        </w:rPr>
      </w:pPr>
    </w:p>
    <w:p w:rsidR="00C71887" w:rsidRPr="00F96DCB" w:rsidRDefault="00C71887" w:rsidP="00C71887">
      <w:pPr>
        <w:ind w:left="1134" w:hanging="567"/>
        <w:rPr>
          <w:szCs w:val="24"/>
        </w:rPr>
      </w:pPr>
      <w:r w:rsidRPr="00F96DCB">
        <w:rPr>
          <w:szCs w:val="24"/>
        </w:rPr>
        <w:t>-</w:t>
      </w:r>
      <w:r w:rsidRPr="00F96DCB">
        <w:rPr>
          <w:szCs w:val="24"/>
        </w:rPr>
        <w:tab/>
        <w:t>If the Distinctness requirement is being questioned, it is important that the examination authority keeps track of the reference varieties used in the original DUS test</w:t>
      </w:r>
    </w:p>
    <w:p w:rsidR="00900C26" w:rsidRDefault="00900C26" w:rsidP="00C71887">
      <w:pPr>
        <w:rPr>
          <w:snapToGrid w:val="0"/>
        </w:rPr>
      </w:pPr>
    </w:p>
    <w:p w:rsidR="00C71887" w:rsidRDefault="00C71887" w:rsidP="00C71887">
      <w:pPr>
        <w:rPr>
          <w:snapToGrid w:val="0"/>
        </w:rPr>
      </w:pPr>
      <w:r>
        <w:rPr>
          <w:snapToGrid w:val="0"/>
        </w:rPr>
        <w:t>[…]</w:t>
      </w:r>
    </w:p>
    <w:p w:rsidR="00C71887" w:rsidRDefault="00C71887" w:rsidP="00C71887">
      <w:pPr>
        <w:rPr>
          <w:snapToGrid w:val="0"/>
        </w:rPr>
      </w:pPr>
    </w:p>
    <w:p w:rsidR="00C71887" w:rsidRPr="00F96DCB" w:rsidRDefault="00C71887" w:rsidP="00C71887">
      <w:pPr>
        <w:rPr>
          <w:szCs w:val="24"/>
        </w:rPr>
      </w:pPr>
      <w:r w:rsidRPr="00F96DCB">
        <w:rPr>
          <w:szCs w:val="24"/>
        </w:rPr>
        <w:t xml:space="preserve">Jacques Gennatas </w:t>
      </w:r>
    </w:p>
    <w:p w:rsidR="00C71887" w:rsidRPr="00F96DCB" w:rsidRDefault="00C71887" w:rsidP="00C71887">
      <w:pPr>
        <w:rPr>
          <w:szCs w:val="24"/>
        </w:rPr>
      </w:pPr>
      <w:r w:rsidRPr="00F96DCB">
        <w:rPr>
          <w:szCs w:val="24"/>
        </w:rPr>
        <w:t xml:space="preserve">Adviser to the Deputy Director-General </w:t>
      </w:r>
    </w:p>
    <w:p w:rsidR="00C71887" w:rsidRPr="00F96DCB" w:rsidRDefault="00C71887" w:rsidP="00C71887">
      <w:pPr>
        <w:rPr>
          <w:szCs w:val="24"/>
        </w:rPr>
      </w:pPr>
      <w:r w:rsidRPr="00F96DCB">
        <w:rPr>
          <w:szCs w:val="24"/>
        </w:rPr>
        <w:t xml:space="preserve">European Commission </w:t>
      </w:r>
    </w:p>
    <w:p w:rsidR="00C71887" w:rsidRPr="00F96DCB" w:rsidRDefault="00C71887" w:rsidP="00C71887">
      <w:pPr>
        <w:rPr>
          <w:szCs w:val="24"/>
        </w:rPr>
      </w:pPr>
      <w:r w:rsidRPr="00F96DCB">
        <w:rPr>
          <w:szCs w:val="24"/>
        </w:rPr>
        <w:t xml:space="preserve">DG Health and Consumers </w:t>
      </w:r>
    </w:p>
    <w:p w:rsidR="00C71887" w:rsidRDefault="00C71887" w:rsidP="00C71887">
      <w:pPr>
        <w:rPr>
          <w:snapToGrid w:val="0"/>
        </w:rPr>
      </w:pPr>
    </w:p>
    <w:p w:rsidR="00C71887" w:rsidRDefault="00C71887" w:rsidP="00C71887">
      <w:pPr>
        <w:rPr>
          <w:snapToGrid w:val="0"/>
        </w:rPr>
      </w:pPr>
    </w:p>
    <w:p w:rsidR="00C71887" w:rsidRDefault="00C71887" w:rsidP="00C71887">
      <w:pPr>
        <w:jc w:val="right"/>
        <w:rPr>
          <w:snapToGrid w:val="0"/>
        </w:rPr>
      </w:pPr>
      <w:r>
        <w:rPr>
          <w:snapToGrid w:val="0"/>
        </w:rPr>
        <w:t>[Annex II follows]</w:t>
      </w:r>
    </w:p>
    <w:p w:rsidR="00C71887" w:rsidRDefault="00C71887" w:rsidP="00C71887">
      <w:pPr>
        <w:rPr>
          <w:snapToGrid w:val="0"/>
        </w:rPr>
      </w:pPr>
    </w:p>
    <w:p w:rsidR="00C71887" w:rsidRDefault="00C71887" w:rsidP="00C71887">
      <w:pPr>
        <w:rPr>
          <w:snapToGrid w:val="0"/>
        </w:rPr>
        <w:sectPr w:rsidR="00C71887" w:rsidSect="00906DDC">
          <w:headerReference w:type="first" r:id="rId11"/>
          <w:pgSz w:w="11907" w:h="16840" w:code="9"/>
          <w:pgMar w:top="510" w:right="1134" w:bottom="1134" w:left="1134" w:header="510" w:footer="680" w:gutter="0"/>
          <w:cols w:space="720"/>
          <w:titlePg/>
        </w:sectPr>
      </w:pPr>
    </w:p>
    <w:p w:rsidR="00C71887" w:rsidRDefault="00C71887" w:rsidP="00415898">
      <w:pPr>
        <w:pStyle w:val="Heading1"/>
      </w:pPr>
    </w:p>
    <w:p w:rsidR="005A6D3F" w:rsidRPr="005A6D3F" w:rsidRDefault="005A6D3F" w:rsidP="005A6D3F"/>
    <w:p w:rsidR="00C71887" w:rsidRPr="000B313D" w:rsidRDefault="00C71887" w:rsidP="000B313D">
      <w:pPr>
        <w:jc w:val="center"/>
        <w:rPr>
          <w:u w:val="single"/>
        </w:rPr>
      </w:pPr>
      <w:r w:rsidRPr="000B313D">
        <w:rPr>
          <w:u w:val="single"/>
        </w:rPr>
        <w:t>CONTRIBUTION FROM SOUTH AFRICA</w:t>
      </w:r>
    </w:p>
    <w:p w:rsidR="00C71887" w:rsidRPr="00F96DCB" w:rsidRDefault="00C71887" w:rsidP="00C71887">
      <w:pPr>
        <w:rPr>
          <w:szCs w:val="24"/>
        </w:rPr>
      </w:pPr>
    </w:p>
    <w:p w:rsidR="00C71887" w:rsidRPr="00F96DCB" w:rsidRDefault="00C71887" w:rsidP="00C71887">
      <w:pPr>
        <w:rPr>
          <w:szCs w:val="24"/>
        </w:rPr>
      </w:pPr>
    </w:p>
    <w:p w:rsidR="00C71887" w:rsidRPr="00F96DCB" w:rsidRDefault="00C71887" w:rsidP="00C71887">
      <w:pPr>
        <w:jc w:val="center"/>
      </w:pPr>
      <w:r w:rsidRPr="00F96DCB">
        <w:t xml:space="preserve">EXAMPLES ON MATTERS ARISING AFTER THE GRANT OF </w:t>
      </w:r>
      <w:r w:rsidRPr="00F96DCB">
        <w:br/>
        <w:t>THE BREEDER’S RIGHT</w:t>
      </w:r>
    </w:p>
    <w:p w:rsidR="00C71887" w:rsidRPr="00F96DCB" w:rsidRDefault="00C71887" w:rsidP="00C71887"/>
    <w:p w:rsidR="00C71887" w:rsidRPr="00F96DCB" w:rsidRDefault="00C71887" w:rsidP="00C71887"/>
    <w:p w:rsidR="00C71887" w:rsidRPr="00F96DCB" w:rsidRDefault="00C71887" w:rsidP="00C71887">
      <w:r w:rsidRPr="00F96DCB">
        <w:t>1.</w:t>
      </w:r>
      <w:r w:rsidRPr="00F96DCB">
        <w:tab/>
        <w:t>NULLITY</w:t>
      </w:r>
    </w:p>
    <w:p w:rsidR="00C71887" w:rsidRPr="00F96DCB" w:rsidRDefault="00C71887" w:rsidP="00C71887"/>
    <w:p w:rsidR="00C71887" w:rsidRPr="00F96DCB" w:rsidRDefault="00C71887" w:rsidP="00C71887">
      <w:r w:rsidRPr="00F96DCB">
        <w:t>A petition to declare Phasion, a Canna variety null and void was received by the PBR Office on 3 July 2002. The grounds for the request were that the South African PBR holder was not entitled to the Rights, and that the variety did not fulfill the novelty criterion on the filing date.</w:t>
      </w:r>
    </w:p>
    <w:p w:rsidR="00C71887" w:rsidRPr="00F96DCB" w:rsidRDefault="00C71887" w:rsidP="00C71887"/>
    <w:p w:rsidR="00C71887" w:rsidRDefault="00C71887" w:rsidP="00C71887">
      <w:r w:rsidRPr="00F96DCB">
        <w:t>The case was heard by the High Court of South Africa. Based on all documentary proof and photos submitted, the Court ruled that the granted PBR be declared ‘Null &amp; Void’.  The ‘PBR holder’ was found guilty of fraud and he had to pay back thousands of rands in return of illegal royalties claimed.</w:t>
      </w:r>
    </w:p>
    <w:p w:rsidR="00C71887" w:rsidRPr="00B22706" w:rsidRDefault="00C71887" w:rsidP="00C71887"/>
    <w:p w:rsidR="00C71887" w:rsidRDefault="00C71887" w:rsidP="00C71887">
      <w:pPr>
        <w:jc w:val="right"/>
        <w:rPr>
          <w:snapToGrid w:val="0"/>
        </w:rPr>
      </w:pPr>
    </w:p>
    <w:p w:rsidR="00C71887" w:rsidRDefault="00C71887" w:rsidP="00C71887">
      <w:pPr>
        <w:jc w:val="right"/>
        <w:rPr>
          <w:snapToGrid w:val="0"/>
        </w:rPr>
      </w:pPr>
    </w:p>
    <w:p w:rsidR="00C71887" w:rsidRDefault="00C71887" w:rsidP="00C71887">
      <w:pPr>
        <w:jc w:val="right"/>
        <w:rPr>
          <w:snapToGrid w:val="0"/>
        </w:rPr>
        <w:sectPr w:rsidR="00C71887" w:rsidSect="00906DDC">
          <w:headerReference w:type="first" r:id="rId12"/>
          <w:pgSz w:w="11907" w:h="16840" w:code="9"/>
          <w:pgMar w:top="510" w:right="1134" w:bottom="1134" w:left="1134" w:header="510" w:footer="680" w:gutter="0"/>
          <w:cols w:space="720"/>
          <w:titlePg/>
        </w:sectPr>
      </w:pPr>
      <w:r>
        <w:rPr>
          <w:snapToGrid w:val="0"/>
        </w:rPr>
        <w:t xml:space="preserve">[Annex </w:t>
      </w:r>
      <w:r w:rsidR="00B22706">
        <w:rPr>
          <w:snapToGrid w:val="0"/>
        </w:rPr>
        <w:t>I</w:t>
      </w:r>
      <w:r>
        <w:rPr>
          <w:snapToGrid w:val="0"/>
        </w:rPr>
        <w:t>II follows]</w:t>
      </w:r>
    </w:p>
    <w:p w:rsidR="00C71887" w:rsidRPr="00FD21DE" w:rsidRDefault="00C71887" w:rsidP="00C71887">
      <w:pPr>
        <w:jc w:val="right"/>
        <w:rPr>
          <w:snapToGrid w:val="0"/>
        </w:rPr>
      </w:pPr>
    </w:p>
    <w:p w:rsidR="00C71887" w:rsidRPr="005D4C80" w:rsidRDefault="00C71887" w:rsidP="00C71887">
      <w:pPr>
        <w:rPr>
          <w:snapToGrid w:val="0"/>
        </w:rPr>
      </w:pPr>
    </w:p>
    <w:p w:rsidR="00C71887" w:rsidRPr="001936A2" w:rsidRDefault="00C71887" w:rsidP="001936A2">
      <w:pPr>
        <w:jc w:val="center"/>
        <w:rPr>
          <w:u w:val="single"/>
        </w:rPr>
      </w:pPr>
      <w:bookmarkStart w:id="5" w:name="_Toc306214080"/>
      <w:r w:rsidRPr="001936A2">
        <w:rPr>
          <w:u w:val="single"/>
        </w:rPr>
        <w:t>CONTRIBUTION FROM SOUTH AFRICA</w:t>
      </w:r>
      <w:bookmarkEnd w:id="5"/>
    </w:p>
    <w:p w:rsidR="00C71887" w:rsidRPr="005D4C80" w:rsidRDefault="00C71887" w:rsidP="00C71887"/>
    <w:p w:rsidR="00C71887" w:rsidRPr="005D4C80" w:rsidRDefault="00C71887" w:rsidP="00C71887"/>
    <w:p w:rsidR="00C71887" w:rsidRPr="005D4C80" w:rsidRDefault="00C71887" w:rsidP="00C71887">
      <w:pPr>
        <w:jc w:val="center"/>
        <w:rPr>
          <w:rFonts w:cs="Arial"/>
        </w:rPr>
      </w:pPr>
      <w:r w:rsidRPr="005D4C80">
        <w:rPr>
          <w:rFonts w:cs="Arial"/>
        </w:rPr>
        <w:t>MATTERS ARISING AFTER THE GRANT OF A PLANT BREEDER’S RIGHT</w:t>
      </w:r>
    </w:p>
    <w:p w:rsidR="00C71887" w:rsidRPr="005D4C80" w:rsidRDefault="00C71887" w:rsidP="00C71887">
      <w:pPr>
        <w:jc w:val="center"/>
        <w:rPr>
          <w:rFonts w:cs="Arial"/>
        </w:rPr>
      </w:pPr>
    </w:p>
    <w:p w:rsidR="00C71887" w:rsidRPr="005D4C80" w:rsidRDefault="00C71887" w:rsidP="00C71887">
      <w:pPr>
        <w:jc w:val="center"/>
        <w:rPr>
          <w:rFonts w:cs="Arial"/>
        </w:rPr>
      </w:pPr>
      <w:r w:rsidRPr="005D4C80">
        <w:rPr>
          <w:rFonts w:cs="Arial"/>
        </w:rPr>
        <w:t>REF: CAJ-AG/10/5/6</w:t>
      </w:r>
    </w:p>
    <w:p w:rsidR="00C71887" w:rsidRPr="005D4C80" w:rsidRDefault="00C71887" w:rsidP="00C71887">
      <w:pPr>
        <w:jc w:val="center"/>
        <w:rPr>
          <w:rFonts w:cs="Arial"/>
        </w:rPr>
      </w:pPr>
    </w:p>
    <w:p w:rsidR="00C71887" w:rsidRPr="005D4C80" w:rsidRDefault="00C71887" w:rsidP="00C71887">
      <w:pPr>
        <w:jc w:val="center"/>
        <w:rPr>
          <w:rFonts w:cs="Arial"/>
        </w:rPr>
      </w:pPr>
      <w:r w:rsidRPr="005D4C80">
        <w:rPr>
          <w:rFonts w:cs="Arial"/>
        </w:rPr>
        <w:t>CONTRIBUTION FROM SOUTH AFRICA received on December 20, 2010</w:t>
      </w:r>
    </w:p>
    <w:p w:rsidR="00C71887" w:rsidRPr="005D4C80" w:rsidRDefault="00C71887" w:rsidP="00C71887">
      <w:pPr>
        <w:jc w:val="center"/>
        <w:rPr>
          <w:rFonts w:cs="Arial"/>
        </w:rPr>
      </w:pPr>
    </w:p>
    <w:p w:rsidR="005D4C80" w:rsidRPr="005D4C80" w:rsidRDefault="005D4C80" w:rsidP="00C71887">
      <w:pPr>
        <w:jc w:val="center"/>
        <w:rPr>
          <w:rFonts w:cs="Arial"/>
        </w:rPr>
      </w:pPr>
    </w:p>
    <w:p w:rsidR="00C71887" w:rsidRPr="005D4C80" w:rsidRDefault="00C71887" w:rsidP="00C71887">
      <w:r w:rsidRPr="005D4C80">
        <w:rPr>
          <w:rFonts w:cs="Arial"/>
        </w:rPr>
        <w:t>NULLITY</w:t>
      </w:r>
    </w:p>
    <w:p w:rsidR="00C71887" w:rsidRPr="005D4C80" w:rsidRDefault="00C71887" w:rsidP="00C71887">
      <w:pPr>
        <w:rPr>
          <w:rFonts w:cs="Arial"/>
          <w:b/>
        </w:rPr>
      </w:pPr>
    </w:p>
    <w:p w:rsidR="00C71887" w:rsidRPr="005D4C80" w:rsidRDefault="00C71887" w:rsidP="00C71887">
      <w:pPr>
        <w:rPr>
          <w:rFonts w:cs="Arial"/>
        </w:rPr>
      </w:pPr>
      <w:r w:rsidRPr="005D4C80">
        <w:rPr>
          <w:rFonts w:cs="Arial"/>
        </w:rPr>
        <w:t xml:space="preserve">In relation to the guidance provided in document </w:t>
      </w:r>
      <w:r w:rsidRPr="005D4C80">
        <w:rPr>
          <w:rFonts w:cs="Arial"/>
          <w:i/>
        </w:rPr>
        <w:t>UPOV/EXL/NUL/1</w:t>
      </w:r>
      <w:r w:rsidRPr="005D4C80">
        <w:rPr>
          <w:rFonts w:cs="Arial"/>
        </w:rPr>
        <w:t>; it is not clear what the implications of declaring a plant breeder’s right “null and void” might be. Questions we receive in our country regarding declaring a plant breeders’ right null and void include:</w:t>
      </w:r>
    </w:p>
    <w:p w:rsidR="00C71887" w:rsidRPr="005D4C80" w:rsidRDefault="00C71887" w:rsidP="00C71887">
      <w:pPr>
        <w:rPr>
          <w:rFonts w:cs="Arial"/>
        </w:rPr>
      </w:pPr>
    </w:p>
    <w:p w:rsidR="00C71887" w:rsidRPr="005D4C80" w:rsidRDefault="00C71887" w:rsidP="00C71887">
      <w:pPr>
        <w:pStyle w:val="ListParagraph"/>
        <w:numPr>
          <w:ilvl w:val="0"/>
          <w:numId w:val="2"/>
        </w:numPr>
        <w:rPr>
          <w:rFonts w:ascii="Arial" w:hAnsi="Arial" w:cs="Arial"/>
          <w:sz w:val="20"/>
          <w:szCs w:val="20"/>
        </w:rPr>
      </w:pPr>
      <w:r w:rsidRPr="005D4C80">
        <w:rPr>
          <w:rFonts w:ascii="Arial" w:hAnsi="Arial" w:cs="Arial"/>
          <w:sz w:val="20"/>
          <w:szCs w:val="20"/>
        </w:rPr>
        <w:t>must an applicant of such a right be reimbursed all the monies paid by him upon application for that Plant Breeders’ Right?</w:t>
      </w:r>
    </w:p>
    <w:p w:rsidR="00C71887" w:rsidRPr="005D4C80" w:rsidRDefault="00C71887" w:rsidP="00C71887">
      <w:pPr>
        <w:pStyle w:val="ListParagraph"/>
        <w:numPr>
          <w:ilvl w:val="0"/>
          <w:numId w:val="2"/>
        </w:numPr>
        <w:rPr>
          <w:rFonts w:ascii="Arial" w:hAnsi="Arial" w:cs="Arial"/>
          <w:sz w:val="20"/>
          <w:szCs w:val="20"/>
        </w:rPr>
      </w:pPr>
      <w:r w:rsidRPr="005D4C80">
        <w:rPr>
          <w:rFonts w:ascii="Arial" w:hAnsi="Arial" w:cs="Arial"/>
          <w:sz w:val="20"/>
          <w:szCs w:val="20"/>
        </w:rPr>
        <w:t>must all the royalties claimed by the applicant concerned be returned to those affected?</w:t>
      </w:r>
    </w:p>
    <w:p w:rsidR="00C71887" w:rsidRPr="005D4C80" w:rsidRDefault="00C71887">
      <w:pPr>
        <w:jc w:val="right"/>
        <w:rPr>
          <w:snapToGrid w:val="0"/>
        </w:rPr>
      </w:pPr>
    </w:p>
    <w:p w:rsidR="00C71887" w:rsidRPr="005D4C80" w:rsidRDefault="00C71887">
      <w:pPr>
        <w:jc w:val="right"/>
        <w:rPr>
          <w:snapToGrid w:val="0"/>
        </w:rPr>
      </w:pPr>
    </w:p>
    <w:p w:rsidR="00C71887" w:rsidRPr="005D4C80" w:rsidRDefault="00C71887">
      <w:pPr>
        <w:jc w:val="right"/>
        <w:rPr>
          <w:snapToGrid w:val="0"/>
        </w:rPr>
      </w:pPr>
      <w:r w:rsidRPr="005D4C80">
        <w:rPr>
          <w:snapToGrid w:val="0"/>
        </w:rPr>
        <w:t>[End of Annex III and of document]</w:t>
      </w:r>
    </w:p>
    <w:sectPr w:rsidR="00C71887" w:rsidRPr="005D4C80" w:rsidSect="00906DDC">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37" w:rsidRDefault="008B0B37">
      <w:r>
        <w:separator/>
      </w:r>
    </w:p>
    <w:p w:rsidR="008B0B37" w:rsidRDefault="008B0B37"/>
    <w:p w:rsidR="008B0B37" w:rsidRDefault="008B0B37"/>
  </w:endnote>
  <w:endnote w:type="continuationSeparator" w:id="0">
    <w:p w:rsidR="008B0B37" w:rsidRDefault="008B0B37">
      <w:r>
        <w:separator/>
      </w:r>
    </w:p>
    <w:p w:rsidR="008B0B37" w:rsidRPr="00A60312" w:rsidRDefault="008B0B37">
      <w:pPr>
        <w:pStyle w:val="Footer"/>
        <w:spacing w:after="60"/>
        <w:rPr>
          <w:sz w:val="18"/>
          <w:lang w:val="fr-FR"/>
        </w:rPr>
      </w:pPr>
      <w:r w:rsidRPr="00A60312">
        <w:rPr>
          <w:sz w:val="18"/>
          <w:lang w:val="fr-FR"/>
        </w:rPr>
        <w:t>[Suite de la note de la page précédente]</w:t>
      </w:r>
    </w:p>
    <w:p w:rsidR="008B0B37" w:rsidRPr="00A60312" w:rsidRDefault="008B0B37">
      <w:pPr>
        <w:rPr>
          <w:lang w:val="fr-FR"/>
        </w:rPr>
      </w:pPr>
    </w:p>
    <w:p w:rsidR="008B0B37" w:rsidRPr="00A60312" w:rsidRDefault="008B0B37">
      <w:pPr>
        <w:rPr>
          <w:lang w:val="fr-FR"/>
        </w:rPr>
      </w:pPr>
    </w:p>
  </w:endnote>
  <w:endnote w:type="continuationNotice" w:id="1">
    <w:p w:rsidR="008B0B37" w:rsidRPr="00A60312" w:rsidRDefault="008B0B37">
      <w:pPr>
        <w:spacing w:before="60"/>
        <w:jc w:val="right"/>
        <w:rPr>
          <w:sz w:val="18"/>
          <w:lang w:val="fr-FR"/>
        </w:rPr>
      </w:pPr>
      <w:r w:rsidRPr="00A60312">
        <w:rPr>
          <w:sz w:val="18"/>
          <w:lang w:val="fr-FR"/>
        </w:rPr>
        <w:t>[Suite de la note page suivante]</w:t>
      </w:r>
    </w:p>
    <w:p w:rsidR="008B0B37" w:rsidRPr="00A60312" w:rsidRDefault="008B0B37">
      <w:pPr>
        <w:rPr>
          <w:lang w:val="fr-FR"/>
        </w:rPr>
      </w:pPr>
    </w:p>
    <w:p w:rsidR="008B0B37" w:rsidRPr="00A60312" w:rsidRDefault="008B0B37">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37" w:rsidRDefault="008B0B37" w:rsidP="009D690D">
      <w:pPr>
        <w:spacing w:before="120"/>
      </w:pPr>
      <w:r>
        <w:separator/>
      </w:r>
    </w:p>
  </w:footnote>
  <w:footnote w:type="continuationSeparator" w:id="0">
    <w:p w:rsidR="008B0B37" w:rsidRDefault="008B0B37" w:rsidP="00520297">
      <w:pPr>
        <w:spacing w:before="120"/>
        <w:jc w:val="left"/>
      </w:pPr>
      <w:r>
        <w:separator/>
      </w:r>
    </w:p>
  </w:footnote>
  <w:footnote w:type="continuationNotice" w:id="1">
    <w:p w:rsidR="008B0B37" w:rsidRDefault="008B0B37"/>
  </w:footnote>
  <w:footnote w:id="2">
    <w:p w:rsidR="008B0B37" w:rsidRPr="006B23CD" w:rsidRDefault="008B0B37" w:rsidP="0076337A">
      <w:pPr>
        <w:pStyle w:val="FootnoteText"/>
      </w:pPr>
      <w:r>
        <w:rPr>
          <w:rStyle w:val="FootnoteReference"/>
        </w:rPr>
        <w:footnoteRef/>
      </w:r>
      <w:r>
        <w:tab/>
      </w:r>
      <w:r w:rsidRPr="006B23CD">
        <w:t>There is no corresponding provision to Article 21(1)(ii) of the 1991 Act in the 1978 Act.</w:t>
      </w:r>
    </w:p>
  </w:footnote>
  <w:footnote w:id="3">
    <w:p w:rsidR="008B0B37" w:rsidRDefault="008B0B37" w:rsidP="0076337A">
      <w:pPr>
        <w:pStyle w:val="FootnoteText"/>
      </w:pPr>
      <w:r w:rsidRPr="006B23CD">
        <w:rPr>
          <w:rStyle w:val="FootnoteReference"/>
        </w:rPr>
        <w:footnoteRef/>
      </w:r>
      <w:r>
        <w:tab/>
      </w:r>
      <w:r w:rsidRPr="006B23CD">
        <w:t>There is no corresponding provision to Article 21(1)(iii) of the 1991 Act in the 1978 Act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7" w:rsidRPr="00997029" w:rsidRDefault="008B0B37" w:rsidP="00EB048E">
    <w:pPr>
      <w:pStyle w:val="Header"/>
      <w:rPr>
        <w:rStyle w:val="PageNumber"/>
      </w:rPr>
    </w:pPr>
    <w:r>
      <w:rPr>
        <w:rStyle w:val="PageNumber"/>
      </w:rPr>
      <w:t>CAJ-AG/13/8/5</w:t>
    </w:r>
  </w:p>
  <w:p w:rsidR="008B0B37" w:rsidRPr="00997029" w:rsidRDefault="008B0B37"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5626A">
      <w:rPr>
        <w:rStyle w:val="PageNumber"/>
        <w:noProof/>
      </w:rPr>
      <w:t>2</w:t>
    </w:r>
    <w:r w:rsidRPr="00997029">
      <w:rPr>
        <w:rStyle w:val="PageNumber"/>
      </w:rPr>
      <w:fldChar w:fldCharType="end"/>
    </w:r>
  </w:p>
  <w:p w:rsidR="008B0B37" w:rsidRPr="00997029" w:rsidRDefault="008B0B37"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7" w:rsidRDefault="008B0B37">
    <w:pPr>
      <w:pStyle w:val="Header"/>
    </w:pPr>
    <w:r>
      <w:t>CAJ-AG/13/8/5</w:t>
    </w:r>
  </w:p>
  <w:p w:rsidR="008B0B37" w:rsidRDefault="008B0B37">
    <w:pPr>
      <w:pStyle w:val="Header"/>
    </w:pPr>
  </w:p>
  <w:p w:rsidR="008B0B37" w:rsidRDefault="008B0B37">
    <w:pPr>
      <w:pStyle w:val="Header"/>
    </w:pPr>
    <w:r>
      <w:t>ANNEX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7" w:rsidRDefault="008B0B37">
    <w:pPr>
      <w:pStyle w:val="Header"/>
    </w:pPr>
    <w:r>
      <w:t>CAJ-AG/13/8/5</w:t>
    </w:r>
  </w:p>
  <w:p w:rsidR="008B0B37" w:rsidRDefault="008B0B37">
    <w:pPr>
      <w:pStyle w:val="Header"/>
    </w:pPr>
  </w:p>
  <w:p w:rsidR="008B0B37" w:rsidRDefault="008B0B37">
    <w:pPr>
      <w:pStyle w:val="Header"/>
    </w:pPr>
    <w:r>
      <w:t>ANNEX 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37" w:rsidRDefault="008B0B37">
    <w:pPr>
      <w:pStyle w:val="Header"/>
    </w:pPr>
    <w:r>
      <w:t>CAJ-AG/13/8/5</w:t>
    </w:r>
  </w:p>
  <w:p w:rsidR="008B0B37" w:rsidRDefault="008B0B37">
    <w:pPr>
      <w:pStyle w:val="Header"/>
    </w:pPr>
  </w:p>
  <w:p w:rsidR="008B0B37" w:rsidRDefault="008B0B37">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3DA"/>
    <w:multiLevelType w:val="hybridMultilevel"/>
    <w:tmpl w:val="2C424504"/>
    <w:lvl w:ilvl="0" w:tplc="0409000B">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abstractNum w:abstractNumId="1">
    <w:nsid w:val="10B22C5B"/>
    <w:multiLevelType w:val="hybridMultilevel"/>
    <w:tmpl w:val="0EA08A10"/>
    <w:lvl w:ilvl="0" w:tplc="4AFAB6B6">
      <w:start w:val="1"/>
      <w:numFmt w:val="bullet"/>
      <w:lvlText w:val="–"/>
      <w:lvlJc w:val="left"/>
      <w:pPr>
        <w:tabs>
          <w:tab w:val="num" w:pos="1287"/>
        </w:tabs>
        <w:ind w:left="12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4E"/>
    <w:rsid w:val="00001D48"/>
    <w:rsid w:val="00010CF3"/>
    <w:rsid w:val="00011E27"/>
    <w:rsid w:val="000148BC"/>
    <w:rsid w:val="00024AB8"/>
    <w:rsid w:val="00036028"/>
    <w:rsid w:val="000446B9"/>
    <w:rsid w:val="00047E21"/>
    <w:rsid w:val="00071416"/>
    <w:rsid w:val="00083A71"/>
    <w:rsid w:val="00085505"/>
    <w:rsid w:val="000B313D"/>
    <w:rsid w:val="000C7021"/>
    <w:rsid w:val="000D6BBC"/>
    <w:rsid w:val="000D7780"/>
    <w:rsid w:val="00105929"/>
    <w:rsid w:val="00112C18"/>
    <w:rsid w:val="001131D5"/>
    <w:rsid w:val="00141DB8"/>
    <w:rsid w:val="0017474A"/>
    <w:rsid w:val="001758C6"/>
    <w:rsid w:val="001936A2"/>
    <w:rsid w:val="001A7E38"/>
    <w:rsid w:val="001C3DF3"/>
    <w:rsid w:val="001F75AB"/>
    <w:rsid w:val="0021332C"/>
    <w:rsid w:val="00213982"/>
    <w:rsid w:val="0024416D"/>
    <w:rsid w:val="0027309C"/>
    <w:rsid w:val="002800A0"/>
    <w:rsid w:val="00281060"/>
    <w:rsid w:val="0029439F"/>
    <w:rsid w:val="002A6E50"/>
    <w:rsid w:val="002C256A"/>
    <w:rsid w:val="002E7BA1"/>
    <w:rsid w:val="00305A7F"/>
    <w:rsid w:val="003152FE"/>
    <w:rsid w:val="00327436"/>
    <w:rsid w:val="00344BD6"/>
    <w:rsid w:val="0035528D"/>
    <w:rsid w:val="00361821"/>
    <w:rsid w:val="003C563E"/>
    <w:rsid w:val="003D227C"/>
    <w:rsid w:val="003D2B4D"/>
    <w:rsid w:val="003F6136"/>
    <w:rsid w:val="00415898"/>
    <w:rsid w:val="00427139"/>
    <w:rsid w:val="00444A88"/>
    <w:rsid w:val="00474DA4"/>
    <w:rsid w:val="0048034A"/>
    <w:rsid w:val="004D047D"/>
    <w:rsid w:val="004E37E1"/>
    <w:rsid w:val="004F305A"/>
    <w:rsid w:val="00510F4E"/>
    <w:rsid w:val="00512164"/>
    <w:rsid w:val="00520297"/>
    <w:rsid w:val="005301C6"/>
    <w:rsid w:val="005338F9"/>
    <w:rsid w:val="0054281C"/>
    <w:rsid w:val="0055268D"/>
    <w:rsid w:val="00572E44"/>
    <w:rsid w:val="00576BE4"/>
    <w:rsid w:val="005A400A"/>
    <w:rsid w:val="005A6D3F"/>
    <w:rsid w:val="005B0F84"/>
    <w:rsid w:val="005D4C80"/>
    <w:rsid w:val="006075FA"/>
    <w:rsid w:val="00612379"/>
    <w:rsid w:val="0061555F"/>
    <w:rsid w:val="00641200"/>
    <w:rsid w:val="00663ED8"/>
    <w:rsid w:val="00687C6E"/>
    <w:rsid w:val="00687EB4"/>
    <w:rsid w:val="006B17D2"/>
    <w:rsid w:val="006B45FA"/>
    <w:rsid w:val="006C224E"/>
    <w:rsid w:val="00732DEC"/>
    <w:rsid w:val="00735BD5"/>
    <w:rsid w:val="0075117E"/>
    <w:rsid w:val="007556F6"/>
    <w:rsid w:val="0075626A"/>
    <w:rsid w:val="00760EEF"/>
    <w:rsid w:val="0076337A"/>
    <w:rsid w:val="00777EE5"/>
    <w:rsid w:val="00784836"/>
    <w:rsid w:val="0079023E"/>
    <w:rsid w:val="007D0B9D"/>
    <w:rsid w:val="007D19B0"/>
    <w:rsid w:val="007E6029"/>
    <w:rsid w:val="007F498F"/>
    <w:rsid w:val="008020C9"/>
    <w:rsid w:val="0080679D"/>
    <w:rsid w:val="008108B0"/>
    <w:rsid w:val="00811B20"/>
    <w:rsid w:val="00821972"/>
    <w:rsid w:val="0082296E"/>
    <w:rsid w:val="00824099"/>
    <w:rsid w:val="00855DBD"/>
    <w:rsid w:val="00867AC1"/>
    <w:rsid w:val="00886344"/>
    <w:rsid w:val="008A395B"/>
    <w:rsid w:val="008A743F"/>
    <w:rsid w:val="008B0B37"/>
    <w:rsid w:val="008B51D0"/>
    <w:rsid w:val="008C0970"/>
    <w:rsid w:val="008D2CF7"/>
    <w:rsid w:val="008E1FF1"/>
    <w:rsid w:val="008E793E"/>
    <w:rsid w:val="00900C26"/>
    <w:rsid w:val="0090197F"/>
    <w:rsid w:val="0090498E"/>
    <w:rsid w:val="00906DDC"/>
    <w:rsid w:val="00934E09"/>
    <w:rsid w:val="00936253"/>
    <w:rsid w:val="00970FED"/>
    <w:rsid w:val="00973AF6"/>
    <w:rsid w:val="00995BB7"/>
    <w:rsid w:val="00997029"/>
    <w:rsid w:val="009A40AE"/>
    <w:rsid w:val="009D0DE5"/>
    <w:rsid w:val="009D690D"/>
    <w:rsid w:val="009E3869"/>
    <w:rsid w:val="009E65B6"/>
    <w:rsid w:val="00A22970"/>
    <w:rsid w:val="00A42AC3"/>
    <w:rsid w:val="00A430CF"/>
    <w:rsid w:val="00A54309"/>
    <w:rsid w:val="00A60312"/>
    <w:rsid w:val="00A6198A"/>
    <w:rsid w:val="00AB2B93"/>
    <w:rsid w:val="00AB7765"/>
    <w:rsid w:val="00AE0EF1"/>
    <w:rsid w:val="00AF3EBC"/>
    <w:rsid w:val="00B07301"/>
    <w:rsid w:val="00B224DE"/>
    <w:rsid w:val="00B22706"/>
    <w:rsid w:val="00B74071"/>
    <w:rsid w:val="00B84BBD"/>
    <w:rsid w:val="00BA43FB"/>
    <w:rsid w:val="00BC127D"/>
    <w:rsid w:val="00BC1FE6"/>
    <w:rsid w:val="00BD4C24"/>
    <w:rsid w:val="00BE0DF1"/>
    <w:rsid w:val="00C061B6"/>
    <w:rsid w:val="00C2446C"/>
    <w:rsid w:val="00C36AE5"/>
    <w:rsid w:val="00C41F17"/>
    <w:rsid w:val="00C5791C"/>
    <w:rsid w:val="00C66290"/>
    <w:rsid w:val="00C71887"/>
    <w:rsid w:val="00C72B7A"/>
    <w:rsid w:val="00C973F2"/>
    <w:rsid w:val="00CA774A"/>
    <w:rsid w:val="00CB5CA8"/>
    <w:rsid w:val="00CC11B0"/>
    <w:rsid w:val="00CF7E36"/>
    <w:rsid w:val="00D24210"/>
    <w:rsid w:val="00D3708D"/>
    <w:rsid w:val="00D40426"/>
    <w:rsid w:val="00D57C96"/>
    <w:rsid w:val="00D91203"/>
    <w:rsid w:val="00D95174"/>
    <w:rsid w:val="00DA6F36"/>
    <w:rsid w:val="00DC00EA"/>
    <w:rsid w:val="00E078BD"/>
    <w:rsid w:val="00E72D49"/>
    <w:rsid w:val="00E7593C"/>
    <w:rsid w:val="00E7678A"/>
    <w:rsid w:val="00E935F1"/>
    <w:rsid w:val="00E94A81"/>
    <w:rsid w:val="00EA1FFB"/>
    <w:rsid w:val="00EB048E"/>
    <w:rsid w:val="00EB3EFA"/>
    <w:rsid w:val="00EE2526"/>
    <w:rsid w:val="00EF2F89"/>
    <w:rsid w:val="00F04DEB"/>
    <w:rsid w:val="00F1237A"/>
    <w:rsid w:val="00F22CBD"/>
    <w:rsid w:val="00F6334D"/>
    <w:rsid w:val="00F70D9D"/>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415898"/>
    <w:pPr>
      <w:keepNext/>
      <w:jc w:val="both"/>
      <w:outlineLvl w:val="0"/>
    </w:pPr>
    <w:rPr>
      <w:rFonts w:ascii="Arial" w:hAnsi="Arial"/>
      <w:caps/>
      <w:snapToGrid w:val="0"/>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Style1">
    <w:name w:val="Style1"/>
    <w:basedOn w:val="Normal"/>
    <w:rsid w:val="0076337A"/>
    <w:pPr>
      <w:tabs>
        <w:tab w:val="decimal" w:pos="907"/>
        <w:tab w:val="left" w:pos="1077"/>
      </w:tabs>
    </w:pPr>
    <w:rPr>
      <w:rFonts w:ascii="Times New Roman" w:hAnsi="Times New Roman"/>
      <w:sz w:val="24"/>
    </w:rPr>
  </w:style>
  <w:style w:type="paragraph" w:customStyle="1" w:styleId="dec">
    <w:name w:val="dec"/>
    <w:basedOn w:val="Normal"/>
    <w:link w:val="decChar"/>
    <w:qFormat/>
    <w:rsid w:val="0076337A"/>
    <w:pPr>
      <w:keepNext/>
      <w:tabs>
        <w:tab w:val="left" w:pos="5245"/>
      </w:tabs>
      <w:ind w:left="4678"/>
    </w:pPr>
    <w:rPr>
      <w:i/>
      <w:iCs/>
    </w:rPr>
  </w:style>
  <w:style w:type="character" w:customStyle="1" w:styleId="decChar">
    <w:name w:val="dec Char"/>
    <w:basedOn w:val="DefaultParagraphFont"/>
    <w:link w:val="dec"/>
    <w:rsid w:val="0076337A"/>
    <w:rPr>
      <w:rFonts w:ascii="Arial" w:hAnsi="Arial"/>
      <w:i/>
      <w:iCs/>
    </w:rPr>
  </w:style>
  <w:style w:type="paragraph" w:styleId="ListParagraph">
    <w:name w:val="List Paragraph"/>
    <w:basedOn w:val="Normal"/>
    <w:qFormat/>
    <w:rsid w:val="00C71887"/>
    <w:pPr>
      <w:spacing w:after="200" w:line="276" w:lineRule="auto"/>
      <w:ind w:left="720"/>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415898"/>
    <w:pPr>
      <w:keepNext/>
      <w:jc w:val="both"/>
      <w:outlineLvl w:val="0"/>
    </w:pPr>
    <w:rPr>
      <w:rFonts w:ascii="Arial" w:hAnsi="Arial"/>
      <w:caps/>
      <w:snapToGrid w:val="0"/>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Style1">
    <w:name w:val="Style1"/>
    <w:basedOn w:val="Normal"/>
    <w:rsid w:val="0076337A"/>
    <w:pPr>
      <w:tabs>
        <w:tab w:val="decimal" w:pos="907"/>
        <w:tab w:val="left" w:pos="1077"/>
      </w:tabs>
    </w:pPr>
    <w:rPr>
      <w:rFonts w:ascii="Times New Roman" w:hAnsi="Times New Roman"/>
      <w:sz w:val="24"/>
    </w:rPr>
  </w:style>
  <w:style w:type="paragraph" w:customStyle="1" w:styleId="dec">
    <w:name w:val="dec"/>
    <w:basedOn w:val="Normal"/>
    <w:link w:val="decChar"/>
    <w:qFormat/>
    <w:rsid w:val="0076337A"/>
    <w:pPr>
      <w:keepNext/>
      <w:tabs>
        <w:tab w:val="left" w:pos="5245"/>
      </w:tabs>
      <w:ind w:left="4678"/>
    </w:pPr>
    <w:rPr>
      <w:i/>
      <w:iCs/>
    </w:rPr>
  </w:style>
  <w:style w:type="character" w:customStyle="1" w:styleId="decChar">
    <w:name w:val="dec Char"/>
    <w:basedOn w:val="DefaultParagraphFont"/>
    <w:link w:val="dec"/>
    <w:rsid w:val="0076337A"/>
    <w:rPr>
      <w:rFonts w:ascii="Arial" w:hAnsi="Arial"/>
      <w:i/>
      <w:iCs/>
    </w:rPr>
  </w:style>
  <w:style w:type="paragraph" w:styleId="ListParagraph">
    <w:name w:val="List Paragraph"/>
    <w:basedOn w:val="Normal"/>
    <w:qFormat/>
    <w:rsid w:val="00C71887"/>
    <w:pPr>
      <w:spacing w:after="200" w:line="276" w:lineRule="auto"/>
      <w:ind w:left="72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85CCC-9A3D-4ACE-AB77-039E7C47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88</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BESSE Ariane</cp:lastModifiedBy>
  <cp:revision>32</cp:revision>
  <cp:lastPrinted>2013-10-08T15:05:00Z</cp:lastPrinted>
  <dcterms:created xsi:type="dcterms:W3CDTF">2013-05-13T08:37:00Z</dcterms:created>
  <dcterms:modified xsi:type="dcterms:W3CDTF">2013-10-08T15:05:00Z</dcterms:modified>
</cp:coreProperties>
</file>