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41" w:rsidRDefault="00920D36" w:rsidP="001B4741">
      <w:pPr>
        <w:pStyle w:val="TitleofDoc"/>
        <w:spacing w:before="0"/>
      </w:pPr>
      <w:r>
        <w:t>[Extract from document CAJ/47/18 “REPORT”, ANNEX III, without revision mode]</w:t>
      </w:r>
    </w:p>
    <w:p w:rsidR="00920D36" w:rsidRDefault="00920D36" w:rsidP="001B4741">
      <w:pPr>
        <w:pStyle w:val="TitleofDoc"/>
        <w:spacing w:before="0"/>
      </w:pPr>
    </w:p>
    <w:p w:rsidR="00920D36" w:rsidRDefault="00920D36" w:rsidP="001B4741">
      <w:pPr>
        <w:pStyle w:val="TitleofDoc"/>
        <w:spacing w:before="0"/>
      </w:pPr>
    </w:p>
    <w:p w:rsidR="00920D36" w:rsidRDefault="00920D36" w:rsidP="001B4741">
      <w:pPr>
        <w:pStyle w:val="TitleofDoc"/>
        <w:spacing w:before="0"/>
      </w:pPr>
    </w:p>
    <w:p w:rsidR="001B4741" w:rsidRDefault="001B4741" w:rsidP="001B4741">
      <w:pPr>
        <w:pStyle w:val="TitleofDoc"/>
        <w:spacing w:before="0"/>
      </w:pPr>
      <w:r>
        <w:t>The notion of “essentially derived variety”</w:t>
      </w:r>
      <w:r>
        <w:br/>
        <w:t>in CERTAIN breeding ACTIVITIES</w:t>
      </w:r>
    </w:p>
    <w:p w:rsidR="001B4741" w:rsidRPr="00920D36" w:rsidRDefault="001B4741" w:rsidP="001B4741">
      <w:pPr>
        <w:pStyle w:val="preparedby0"/>
        <w:rPr>
          <w:rFonts w:ascii="Arial" w:hAnsi="Arial" w:cs="Arial"/>
          <w:sz w:val="20"/>
        </w:rPr>
      </w:pPr>
      <w:r>
        <w:t xml:space="preserve"> </w:t>
      </w:r>
      <w:r w:rsidRPr="00920D36">
        <w:rPr>
          <w:rFonts w:ascii="Arial" w:hAnsi="Arial" w:cs="Arial"/>
          <w:sz w:val="20"/>
        </w:rPr>
        <w:t>Document approved by the CAJ at its forty-seventh session on April 10, 2003</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w:t>
      </w:r>
      <w:r w:rsidRPr="00920D36">
        <w:rPr>
          <w:rFonts w:ascii="Arial" w:hAnsi="Arial" w:cs="Arial"/>
          <w:sz w:val="20"/>
        </w:rPr>
        <w:tab/>
        <w:t>The purpose of this document is, in response to a request from the Technical Committee (hereinafter referred to as “</w:t>
      </w:r>
      <w:proofErr w:type="gramStart"/>
      <w:r w:rsidRPr="00920D36">
        <w:rPr>
          <w:rFonts w:ascii="Arial" w:hAnsi="Arial" w:cs="Arial"/>
          <w:sz w:val="20"/>
        </w:rPr>
        <w:t>the  TC</w:t>
      </w:r>
      <w:proofErr w:type="gramEnd"/>
      <w:r w:rsidRPr="00920D36">
        <w:rPr>
          <w:rFonts w:ascii="Arial" w:hAnsi="Arial" w:cs="Arial"/>
          <w:sz w:val="20"/>
        </w:rPr>
        <w:t xml:space="preserve">”), to consider the possibility that a breeder who develops a “changed </w:t>
      </w:r>
      <w:proofErr w:type="spellStart"/>
      <w:r w:rsidRPr="00920D36">
        <w:rPr>
          <w:rFonts w:ascii="Arial" w:hAnsi="Arial" w:cs="Arial"/>
          <w:sz w:val="20"/>
        </w:rPr>
        <w:t>form</w:t>
      </w:r>
      <w:proofErr w:type="spellEnd"/>
      <w:r w:rsidRPr="00920D36">
        <w:rPr>
          <w:rFonts w:ascii="Arial" w:hAnsi="Arial" w:cs="Arial"/>
          <w:sz w:val="20"/>
        </w:rPr>
        <w:t>” of his own protected variety would, under the terms of the 1991 Act of the UPOV Convention, have protection for his “changed form,” if it was considered to be an essentially derived variety.</w:t>
      </w:r>
    </w:p>
    <w:p w:rsidR="001B4741" w:rsidRPr="00920D36" w:rsidRDefault="001B4741" w:rsidP="001B4741">
      <w:pPr>
        <w:rPr>
          <w:rFonts w:ascii="Arial" w:hAnsi="Arial" w:cs="Arial"/>
          <w:sz w:val="20"/>
        </w:rPr>
      </w:pPr>
    </w:p>
    <w:p w:rsidR="001B4741" w:rsidRPr="00920D36" w:rsidRDefault="001B4741" w:rsidP="001B4741">
      <w:pPr>
        <w:pStyle w:val="Heading6"/>
        <w:rPr>
          <w:rFonts w:cs="Arial"/>
          <w:i/>
          <w:lang w:val="en-US"/>
        </w:rPr>
      </w:pPr>
      <w:r w:rsidRPr="00920D36">
        <w:rPr>
          <w:rFonts w:cs="Arial"/>
          <w:i/>
          <w:lang w:val="en-US"/>
        </w:rPr>
        <w:t>“Changed forms” of varieties</w:t>
      </w:r>
    </w:p>
    <w:p w:rsidR="001B4741" w:rsidRPr="00920D36" w:rsidRDefault="001B4741" w:rsidP="001B4741">
      <w:pPr>
        <w:rPr>
          <w:rFonts w:ascii="Arial" w:hAnsi="Arial" w:cs="Arial"/>
          <w:i/>
          <w:sz w:val="20"/>
        </w:rPr>
      </w:pPr>
    </w:p>
    <w:p w:rsidR="001B4741" w:rsidRPr="00920D36" w:rsidRDefault="001B4741" w:rsidP="001B4741">
      <w:pPr>
        <w:rPr>
          <w:rFonts w:ascii="Arial" w:hAnsi="Arial" w:cs="Arial"/>
          <w:sz w:val="20"/>
        </w:rPr>
      </w:pPr>
      <w:r w:rsidRPr="00920D36">
        <w:rPr>
          <w:rFonts w:ascii="Arial" w:hAnsi="Arial" w:cs="Arial"/>
          <w:sz w:val="20"/>
        </w:rPr>
        <w:t>2.</w:t>
      </w:r>
      <w:r w:rsidRPr="00920D36">
        <w:rPr>
          <w:rFonts w:ascii="Arial" w:hAnsi="Arial" w:cs="Arial"/>
          <w:sz w:val="20"/>
        </w:rPr>
        <w:tab/>
        <w:t xml:space="preserve">It is first necessary to seek to clarify what is understood by the term “changed form.”  However, it must be emphasized that this is not a recognized term.  It is only used in this document as a convenient generic term, because it is a term already used in the industry as a starting point to explore the situation for protection of varieties which arise out of a breeding activity of particular interest for the ornamental sector. </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3.</w:t>
      </w:r>
      <w:r w:rsidRPr="00920D36">
        <w:rPr>
          <w:rFonts w:ascii="Arial" w:hAnsi="Arial" w:cs="Arial"/>
          <w:sz w:val="20"/>
        </w:rPr>
        <w:tab/>
        <w:t>For the purpose of this document, a</w:t>
      </w:r>
      <w:r w:rsidR="00920D36" w:rsidRPr="00920D36">
        <w:rPr>
          <w:rFonts w:ascii="Arial" w:hAnsi="Arial" w:cs="Arial"/>
          <w:sz w:val="20"/>
        </w:rPr>
        <w:t xml:space="preserve"> </w:t>
      </w:r>
      <w:r w:rsidRPr="00920D36">
        <w:rPr>
          <w:rFonts w:ascii="Arial" w:hAnsi="Arial" w:cs="Arial"/>
          <w:sz w:val="20"/>
        </w:rPr>
        <w:t xml:space="preserve">“changed </w:t>
      </w:r>
      <w:proofErr w:type="spellStart"/>
      <w:r w:rsidRPr="00920D36">
        <w:rPr>
          <w:rFonts w:ascii="Arial" w:hAnsi="Arial" w:cs="Arial"/>
          <w:sz w:val="20"/>
        </w:rPr>
        <w:t>form</w:t>
      </w:r>
      <w:proofErr w:type="spellEnd"/>
      <w:r w:rsidRPr="00920D36">
        <w:rPr>
          <w:rFonts w:ascii="Arial" w:hAnsi="Arial" w:cs="Arial"/>
          <w:sz w:val="20"/>
        </w:rPr>
        <w:t xml:space="preserve">” of a variety is understood to be one developed from an existing variety, which has resulted in slightly different performance, e.g. slightly different flower color or slightly different growth rate, but in all other respects is unchanged from the existing variety.  Immediately, it becomes apparent that some of these changes (e.g. flower color) might be changes in the expression of characteristics used for the examination of distinctness, uniformity and stability (“DUS”), whereas others (e.g. slightly improved growth rate) may not be directly examined for DUS.  Therefore, it is probably more useful to consider different possible situations which can arise from the breeding activity of selection from within existing varieties. </w:t>
      </w:r>
    </w:p>
    <w:p w:rsidR="001B4741" w:rsidRPr="00920D36" w:rsidRDefault="001B4741" w:rsidP="001B4741">
      <w:pPr>
        <w:rPr>
          <w:rFonts w:ascii="Arial" w:hAnsi="Arial" w:cs="Arial"/>
          <w:sz w:val="20"/>
        </w:rPr>
      </w:pPr>
    </w:p>
    <w:p w:rsidR="001B4741" w:rsidRPr="00920D36" w:rsidRDefault="001B4741" w:rsidP="001B4741">
      <w:pPr>
        <w:pStyle w:val="Heading6"/>
        <w:rPr>
          <w:rFonts w:cs="Arial"/>
          <w:i/>
          <w:lang w:val="en-US"/>
        </w:rPr>
      </w:pPr>
      <w:r w:rsidRPr="00920D36">
        <w:rPr>
          <w:rFonts w:cs="Arial"/>
          <w:i/>
          <w:lang w:val="en-US"/>
        </w:rPr>
        <w:t>Selection from within existing varieties</w:t>
      </w:r>
    </w:p>
    <w:p w:rsidR="001B4741" w:rsidRPr="00920D36" w:rsidRDefault="001B4741" w:rsidP="001B4741">
      <w:pPr>
        <w:rPr>
          <w:rFonts w:ascii="Arial" w:hAnsi="Arial" w:cs="Arial"/>
          <w:i/>
          <w:sz w:val="20"/>
        </w:rPr>
      </w:pPr>
      <w:bookmarkStart w:id="0" w:name="_GoBack"/>
      <w:bookmarkEnd w:id="0"/>
    </w:p>
    <w:p w:rsidR="001B4741" w:rsidRPr="00920D36" w:rsidRDefault="001B4741" w:rsidP="001B4741">
      <w:pPr>
        <w:rPr>
          <w:rFonts w:ascii="Arial" w:hAnsi="Arial" w:cs="Arial"/>
          <w:sz w:val="20"/>
        </w:rPr>
      </w:pPr>
      <w:r w:rsidRPr="00920D36">
        <w:rPr>
          <w:rFonts w:ascii="Arial" w:hAnsi="Arial" w:cs="Arial"/>
          <w:sz w:val="20"/>
        </w:rPr>
        <w:t>4.</w:t>
      </w:r>
      <w:r w:rsidRPr="00920D36">
        <w:rPr>
          <w:rFonts w:ascii="Arial" w:hAnsi="Arial" w:cs="Arial"/>
          <w:sz w:val="20"/>
        </w:rPr>
        <w:tab/>
        <w:t xml:space="preserve">The process of selecting varieties from within existing variation, including the variation which exists in the form of protected varieties, is recognized and accepted within UPOV.  This issue is considered in depth in document </w:t>
      </w:r>
      <w:proofErr w:type="gramStart"/>
      <w:r w:rsidRPr="00920D36">
        <w:rPr>
          <w:rFonts w:ascii="Arial" w:hAnsi="Arial" w:cs="Arial"/>
          <w:sz w:val="20"/>
        </w:rPr>
        <w:t>C(</w:t>
      </w:r>
      <w:proofErr w:type="spellStart"/>
      <w:proofErr w:type="gramEnd"/>
      <w:r w:rsidRPr="00920D36">
        <w:rPr>
          <w:rFonts w:ascii="Arial" w:hAnsi="Arial" w:cs="Arial"/>
          <w:sz w:val="20"/>
        </w:rPr>
        <w:t>Extr</w:t>
      </w:r>
      <w:proofErr w:type="spellEnd"/>
      <w:r w:rsidRPr="00920D36">
        <w:rPr>
          <w:rFonts w:ascii="Arial" w:hAnsi="Arial" w:cs="Arial"/>
          <w:sz w:val="20"/>
        </w:rPr>
        <w:t>.)</w:t>
      </w:r>
      <w:proofErr w:type="gramStart"/>
      <w:r w:rsidRPr="00920D36">
        <w:rPr>
          <w:rFonts w:ascii="Arial" w:hAnsi="Arial" w:cs="Arial"/>
          <w:sz w:val="20"/>
        </w:rPr>
        <w:t>/19/2 Rev. “Notion of Breeder and Common Knowledge,” which was adopted as a position paper by the Council of UPOV in April 2002.</w:t>
      </w:r>
      <w:proofErr w:type="gramEnd"/>
      <w:r w:rsidRPr="00920D36">
        <w:rPr>
          <w:rFonts w:ascii="Arial" w:hAnsi="Arial" w:cs="Arial"/>
          <w:sz w:val="20"/>
        </w:rPr>
        <w:t xml:space="preserve"> </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5.</w:t>
      </w:r>
      <w:r w:rsidRPr="00920D36">
        <w:rPr>
          <w:rFonts w:ascii="Arial" w:hAnsi="Arial" w:cs="Arial"/>
          <w:sz w:val="20"/>
        </w:rPr>
        <w:tab/>
        <w:t xml:space="preserve">This document considers the situation where a breeder selects a “changed </w:t>
      </w:r>
      <w:proofErr w:type="spellStart"/>
      <w:r w:rsidRPr="00920D36">
        <w:rPr>
          <w:rFonts w:ascii="Arial" w:hAnsi="Arial" w:cs="Arial"/>
          <w:sz w:val="20"/>
        </w:rPr>
        <w:t>form</w:t>
      </w:r>
      <w:proofErr w:type="spellEnd"/>
      <w:r w:rsidRPr="00920D36">
        <w:rPr>
          <w:rFonts w:ascii="Arial" w:hAnsi="Arial" w:cs="Arial"/>
          <w:sz w:val="20"/>
        </w:rPr>
        <w:t xml:space="preserve">” from within </w:t>
      </w:r>
      <w:r w:rsidRPr="00920D36">
        <w:rPr>
          <w:rFonts w:ascii="Arial" w:hAnsi="Arial" w:cs="Arial"/>
          <w:i/>
          <w:sz w:val="20"/>
        </w:rPr>
        <w:t>his own protected variety, where the protected variety is not itself an essentially derived variety from the viewpoint of the breeder concerned</w:t>
      </w:r>
      <w:r w:rsidRPr="00920D36">
        <w:rPr>
          <w:rFonts w:ascii="Arial" w:hAnsi="Arial" w:cs="Arial"/>
          <w:sz w:val="20"/>
        </w:rPr>
        <w:t xml:space="preserve">.  In addition, it is assumed that the “changed </w:t>
      </w:r>
      <w:proofErr w:type="spellStart"/>
      <w:r w:rsidRPr="00920D36">
        <w:rPr>
          <w:rFonts w:ascii="Arial" w:hAnsi="Arial" w:cs="Arial"/>
          <w:sz w:val="20"/>
        </w:rPr>
        <w:t>form</w:t>
      </w:r>
      <w:proofErr w:type="spellEnd"/>
      <w:r w:rsidRPr="00920D36">
        <w:rPr>
          <w:rFonts w:ascii="Arial" w:hAnsi="Arial" w:cs="Arial"/>
          <w:sz w:val="20"/>
        </w:rPr>
        <w:t xml:space="preserve">” is </w:t>
      </w:r>
      <w:r w:rsidRPr="00920D36">
        <w:rPr>
          <w:rFonts w:ascii="Arial" w:hAnsi="Arial" w:cs="Arial"/>
          <w:i/>
          <w:sz w:val="20"/>
        </w:rPr>
        <w:t>uniform and stable</w:t>
      </w:r>
      <w:r w:rsidRPr="00920D36">
        <w:rPr>
          <w:rFonts w:ascii="Arial" w:hAnsi="Arial" w:cs="Arial"/>
          <w:sz w:val="20"/>
        </w:rPr>
        <w:t xml:space="preserve">.  Furthermore, it will only address the situation in terms of the </w:t>
      </w:r>
      <w:r w:rsidRPr="00920D36">
        <w:rPr>
          <w:rFonts w:ascii="Arial" w:hAnsi="Arial" w:cs="Arial"/>
          <w:i/>
          <w:sz w:val="20"/>
        </w:rPr>
        <w:t>1991 Act of the UPOV Convention</w:t>
      </w:r>
      <w:r w:rsidRPr="00920D36">
        <w:rPr>
          <w:rFonts w:ascii="Arial" w:hAnsi="Arial" w:cs="Arial"/>
          <w:sz w:val="20"/>
        </w:rPr>
        <w:t xml:space="preserve">. </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6.</w:t>
      </w:r>
      <w:r w:rsidRPr="00920D36">
        <w:rPr>
          <w:rFonts w:ascii="Arial" w:hAnsi="Arial" w:cs="Arial"/>
          <w:sz w:val="20"/>
        </w:rPr>
        <w:tab/>
        <w:t xml:space="preserve">The cases below are intended to identify the situations which can occur and the consequences for the breeder.  In particular, it considers whether the breeder’s authorization will be required for exploitation of the “changed form.”  However, it also considers the possibility of a breeder, other than the breeder of the original variety and its “changed form,” being able to obtain protection on the “changed form.”  Although it is unlikely to occur often, this latter situation might occur, for example, if the “changed </w:t>
      </w:r>
      <w:proofErr w:type="spellStart"/>
      <w:r w:rsidRPr="00920D36">
        <w:rPr>
          <w:rFonts w:ascii="Arial" w:hAnsi="Arial" w:cs="Arial"/>
          <w:sz w:val="20"/>
        </w:rPr>
        <w:t>form</w:t>
      </w:r>
      <w:proofErr w:type="spellEnd"/>
      <w:r w:rsidRPr="00920D36">
        <w:rPr>
          <w:rFonts w:ascii="Arial" w:hAnsi="Arial" w:cs="Arial"/>
          <w:sz w:val="20"/>
        </w:rPr>
        <w:t>” is the result of a simple mutation which occurs from time to time in the population of the variety.  In this circumstance, the same type of mutant plant might be found by both the original breeder and independently by another breeder with plants of the variety.</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7.</w:t>
      </w:r>
      <w:r w:rsidRPr="00920D36">
        <w:rPr>
          <w:rFonts w:ascii="Arial" w:hAnsi="Arial" w:cs="Arial"/>
          <w:sz w:val="20"/>
        </w:rPr>
        <w:tab/>
        <w:t xml:space="preserve">On the basis of the assumptions in paragraph 5, the situations which can arise from selection of a “changed </w:t>
      </w:r>
      <w:proofErr w:type="spellStart"/>
      <w:r w:rsidRPr="00920D36">
        <w:rPr>
          <w:rFonts w:ascii="Arial" w:hAnsi="Arial" w:cs="Arial"/>
          <w:sz w:val="20"/>
        </w:rPr>
        <w:t>form</w:t>
      </w:r>
      <w:proofErr w:type="spellEnd"/>
      <w:r w:rsidRPr="00920D36">
        <w:rPr>
          <w:rFonts w:ascii="Arial" w:hAnsi="Arial" w:cs="Arial"/>
          <w:sz w:val="20"/>
        </w:rPr>
        <w:t>” of an existing protected variety “X” are the following:</w:t>
      </w:r>
    </w:p>
    <w:p w:rsidR="001B4741" w:rsidRPr="00920D36" w:rsidRDefault="001B4741" w:rsidP="001B4741">
      <w:pPr>
        <w:rPr>
          <w:rFonts w:ascii="Arial" w:hAnsi="Arial" w:cs="Arial"/>
          <w:sz w:val="20"/>
        </w:rPr>
      </w:pPr>
    </w:p>
    <w:p w:rsidR="001B4741" w:rsidRPr="00920D36" w:rsidRDefault="001B4741" w:rsidP="001B4741">
      <w:pPr>
        <w:pStyle w:val="Heading7"/>
        <w:ind w:left="851" w:hanging="851"/>
        <w:rPr>
          <w:rFonts w:cs="Arial"/>
          <w:i/>
          <w:szCs w:val="20"/>
        </w:rPr>
      </w:pPr>
      <w:r w:rsidRPr="00920D36">
        <w:rPr>
          <w:rFonts w:cs="Arial"/>
          <w:i/>
          <w:szCs w:val="20"/>
        </w:rPr>
        <w:t xml:space="preserve">Case 1:  The “changed </w:t>
      </w:r>
      <w:proofErr w:type="spellStart"/>
      <w:r w:rsidRPr="00920D36">
        <w:rPr>
          <w:rFonts w:cs="Arial"/>
          <w:i/>
          <w:szCs w:val="20"/>
        </w:rPr>
        <w:t>form</w:t>
      </w:r>
      <w:proofErr w:type="spellEnd"/>
      <w:r w:rsidRPr="00920D36">
        <w:rPr>
          <w:rFonts w:cs="Arial"/>
          <w:i/>
          <w:szCs w:val="20"/>
        </w:rPr>
        <w:t xml:space="preserve">” is distinct and is not an essentially derived variety </w:t>
      </w:r>
    </w:p>
    <w:p w:rsidR="001B4741" w:rsidRPr="00920D36" w:rsidRDefault="001B4741" w:rsidP="001B4741">
      <w:pPr>
        <w:ind w:left="567"/>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lastRenderedPageBreak/>
        <w:t>8.</w:t>
      </w:r>
      <w:r w:rsidRPr="00920D36">
        <w:rPr>
          <w:rFonts w:ascii="Arial" w:hAnsi="Arial" w:cs="Arial"/>
          <w:sz w:val="20"/>
        </w:rPr>
        <w:tab/>
        <w:t xml:space="preserve">The “changed </w:t>
      </w:r>
      <w:proofErr w:type="spellStart"/>
      <w:r w:rsidRPr="00920D36">
        <w:rPr>
          <w:rFonts w:ascii="Arial" w:hAnsi="Arial" w:cs="Arial"/>
          <w:sz w:val="20"/>
        </w:rPr>
        <w:t>form</w:t>
      </w:r>
      <w:proofErr w:type="spellEnd"/>
      <w:r w:rsidRPr="00920D36">
        <w:rPr>
          <w:rFonts w:ascii="Arial" w:hAnsi="Arial" w:cs="Arial"/>
          <w:sz w:val="20"/>
        </w:rPr>
        <w:t>” will be distinct, but in accordance with Article 14(5) of the 1991 Act of the Convention, will not be an essentially derived variety and, therefore, will not be covered by the scope of protection of variety X if:</w:t>
      </w:r>
    </w:p>
    <w:p w:rsidR="001B4741" w:rsidRPr="00920D36" w:rsidRDefault="001B4741" w:rsidP="001B4741">
      <w:pPr>
        <w:ind w:left="567"/>
        <w:rPr>
          <w:rFonts w:ascii="Arial" w:hAnsi="Arial" w:cs="Arial"/>
          <w:sz w:val="20"/>
        </w:rPr>
      </w:pPr>
    </w:p>
    <w:p w:rsidR="001B4741" w:rsidRPr="00920D36" w:rsidRDefault="001B4741" w:rsidP="001B4741">
      <w:pPr>
        <w:spacing w:before="120" w:after="120"/>
        <w:ind w:left="567"/>
        <w:rPr>
          <w:rFonts w:ascii="Arial" w:hAnsi="Arial" w:cs="Arial"/>
          <w:sz w:val="20"/>
        </w:rPr>
      </w:pPr>
      <w:r w:rsidRPr="00920D36">
        <w:rPr>
          <w:rFonts w:ascii="Arial" w:hAnsi="Arial" w:cs="Arial"/>
          <w:sz w:val="20"/>
        </w:rPr>
        <w:t>(a)</w:t>
      </w:r>
      <w:r w:rsidRPr="00920D36">
        <w:rPr>
          <w:rFonts w:ascii="Arial" w:hAnsi="Arial" w:cs="Arial"/>
          <w:sz w:val="20"/>
        </w:rPr>
        <w:tab/>
      </w:r>
      <w:proofErr w:type="gramStart"/>
      <w:r w:rsidRPr="00920D36">
        <w:rPr>
          <w:rFonts w:ascii="Arial" w:hAnsi="Arial" w:cs="Arial"/>
          <w:sz w:val="20"/>
        </w:rPr>
        <w:t>it</w:t>
      </w:r>
      <w:proofErr w:type="gramEnd"/>
      <w:r w:rsidRPr="00920D36">
        <w:rPr>
          <w:rFonts w:ascii="Arial" w:hAnsi="Arial" w:cs="Arial"/>
          <w:sz w:val="20"/>
        </w:rPr>
        <w:t xml:space="preserve"> is clearly distinguishable from variety X </w:t>
      </w:r>
      <w:r w:rsidRPr="00920D36">
        <w:rPr>
          <w:rFonts w:ascii="Arial" w:hAnsi="Arial" w:cs="Arial"/>
          <w:i/>
          <w:sz w:val="20"/>
        </w:rPr>
        <w:t>and</w:t>
      </w:r>
      <w:r w:rsidRPr="00920D36">
        <w:rPr>
          <w:rFonts w:ascii="Arial" w:hAnsi="Arial" w:cs="Arial"/>
          <w:sz w:val="20"/>
        </w:rPr>
        <w:t>,</w:t>
      </w:r>
    </w:p>
    <w:p w:rsidR="001B4741" w:rsidRPr="00920D36" w:rsidRDefault="001B4741" w:rsidP="001B4741">
      <w:pPr>
        <w:spacing w:before="120" w:after="120"/>
        <w:ind w:left="567" w:firstLine="567"/>
        <w:rPr>
          <w:rFonts w:ascii="Arial" w:hAnsi="Arial" w:cs="Arial"/>
          <w:sz w:val="20"/>
          <w:u w:val="single"/>
        </w:rPr>
      </w:pPr>
      <w:proofErr w:type="gramStart"/>
      <w:r w:rsidRPr="00920D36">
        <w:rPr>
          <w:rFonts w:ascii="Arial" w:hAnsi="Arial" w:cs="Arial"/>
          <w:sz w:val="20"/>
        </w:rPr>
        <w:t>either</w:t>
      </w:r>
      <w:proofErr w:type="gramEnd"/>
      <w:r w:rsidRPr="00920D36">
        <w:rPr>
          <w:rFonts w:ascii="Arial" w:hAnsi="Arial" w:cs="Arial"/>
          <w:sz w:val="20"/>
        </w:rPr>
        <w:t>,</w:t>
      </w:r>
    </w:p>
    <w:p w:rsidR="001B4741" w:rsidRPr="00920D36" w:rsidRDefault="001B4741" w:rsidP="001B4741">
      <w:pPr>
        <w:spacing w:before="120" w:after="120"/>
        <w:ind w:left="567"/>
        <w:rPr>
          <w:rFonts w:ascii="Arial" w:hAnsi="Arial" w:cs="Arial"/>
          <w:sz w:val="20"/>
        </w:rPr>
      </w:pPr>
      <w:r w:rsidRPr="00920D36">
        <w:rPr>
          <w:rFonts w:ascii="Arial" w:hAnsi="Arial" w:cs="Arial"/>
          <w:sz w:val="20"/>
        </w:rPr>
        <w:t>(b)</w:t>
      </w:r>
      <w:r w:rsidRPr="00920D36">
        <w:rPr>
          <w:rFonts w:ascii="Arial" w:hAnsi="Arial" w:cs="Arial"/>
          <w:sz w:val="20"/>
        </w:rPr>
        <w:tab/>
      </w:r>
      <w:proofErr w:type="gramStart"/>
      <w:r w:rsidRPr="00920D36">
        <w:rPr>
          <w:rFonts w:ascii="Arial" w:hAnsi="Arial" w:cs="Arial"/>
          <w:sz w:val="20"/>
        </w:rPr>
        <w:t>it</w:t>
      </w:r>
      <w:proofErr w:type="gramEnd"/>
      <w:r w:rsidRPr="00920D36">
        <w:rPr>
          <w:rFonts w:ascii="Arial" w:hAnsi="Arial" w:cs="Arial"/>
          <w:sz w:val="20"/>
        </w:rPr>
        <w:t xml:space="preserve"> is </w:t>
      </w:r>
      <w:r w:rsidRPr="00920D36">
        <w:rPr>
          <w:rFonts w:ascii="Arial" w:hAnsi="Arial" w:cs="Arial"/>
          <w:i/>
          <w:sz w:val="20"/>
        </w:rPr>
        <w:t xml:space="preserve">not </w:t>
      </w:r>
      <w:r w:rsidRPr="00920D36">
        <w:rPr>
          <w:rFonts w:ascii="Arial" w:hAnsi="Arial" w:cs="Arial"/>
          <w:sz w:val="20"/>
        </w:rPr>
        <w:t xml:space="preserve">predominantly derived from variety X, </w:t>
      </w:r>
    </w:p>
    <w:p w:rsidR="001B4741" w:rsidRPr="00920D36" w:rsidRDefault="001B4741" w:rsidP="001B4741">
      <w:pPr>
        <w:spacing w:before="120" w:after="120"/>
        <w:ind w:left="567" w:firstLine="567"/>
        <w:rPr>
          <w:rFonts w:ascii="Arial" w:hAnsi="Arial" w:cs="Arial"/>
          <w:sz w:val="20"/>
          <w:u w:val="single"/>
        </w:rPr>
      </w:pPr>
      <w:proofErr w:type="gramStart"/>
      <w:r w:rsidRPr="00920D36">
        <w:rPr>
          <w:rFonts w:ascii="Arial" w:hAnsi="Arial" w:cs="Arial"/>
          <w:sz w:val="20"/>
        </w:rPr>
        <w:t>or</w:t>
      </w:r>
      <w:proofErr w:type="gramEnd"/>
      <w:r w:rsidRPr="00920D36">
        <w:rPr>
          <w:rFonts w:ascii="Arial" w:hAnsi="Arial" w:cs="Arial"/>
          <w:sz w:val="20"/>
        </w:rPr>
        <w:t>,</w:t>
      </w:r>
    </w:p>
    <w:p w:rsidR="001B4741" w:rsidRPr="00920D36" w:rsidRDefault="001B4741" w:rsidP="001B4741">
      <w:pPr>
        <w:spacing w:before="120" w:after="120"/>
        <w:ind w:firstLine="567"/>
        <w:rPr>
          <w:rFonts w:ascii="Arial" w:hAnsi="Arial" w:cs="Arial"/>
          <w:sz w:val="20"/>
        </w:rPr>
      </w:pPr>
      <w:r w:rsidRPr="00920D36">
        <w:rPr>
          <w:rFonts w:ascii="Arial" w:hAnsi="Arial" w:cs="Arial"/>
          <w:sz w:val="20"/>
        </w:rPr>
        <w:t>(c)</w:t>
      </w:r>
      <w:r w:rsidRPr="00920D36">
        <w:rPr>
          <w:rFonts w:ascii="Arial" w:hAnsi="Arial" w:cs="Arial"/>
          <w:sz w:val="20"/>
        </w:rPr>
        <w:tab/>
      </w:r>
      <w:proofErr w:type="gramStart"/>
      <w:r w:rsidRPr="00920D36">
        <w:rPr>
          <w:rFonts w:ascii="Arial" w:hAnsi="Arial" w:cs="Arial"/>
          <w:sz w:val="20"/>
        </w:rPr>
        <w:t>it</w:t>
      </w:r>
      <w:proofErr w:type="gramEnd"/>
      <w:r w:rsidRPr="00920D36">
        <w:rPr>
          <w:rFonts w:ascii="Arial" w:hAnsi="Arial" w:cs="Arial"/>
          <w:sz w:val="20"/>
        </w:rPr>
        <w:t xml:space="preserve"> </w:t>
      </w:r>
      <w:r w:rsidRPr="00920D36">
        <w:rPr>
          <w:rFonts w:ascii="Arial" w:hAnsi="Arial" w:cs="Arial"/>
          <w:i/>
          <w:sz w:val="20"/>
        </w:rPr>
        <w:t xml:space="preserve">does not </w:t>
      </w:r>
      <w:r w:rsidRPr="00920D36">
        <w:rPr>
          <w:rFonts w:ascii="Arial" w:hAnsi="Arial" w:cs="Arial"/>
          <w:sz w:val="20"/>
        </w:rPr>
        <w:t>conform to variety X in the expression of the essential characteristics that result from the genotype or combination of genotypes of the variety X.</w:t>
      </w:r>
    </w:p>
    <w:p w:rsidR="001B4741" w:rsidRPr="00920D36" w:rsidRDefault="001B4741" w:rsidP="001B4741">
      <w:pPr>
        <w:ind w:left="567"/>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9.</w:t>
      </w:r>
      <w:r w:rsidRPr="00920D36">
        <w:rPr>
          <w:rFonts w:ascii="Arial" w:hAnsi="Arial" w:cs="Arial"/>
          <w:sz w:val="20"/>
        </w:rPr>
        <w:tab/>
        <w:t xml:space="preserve">In this case, the “changed </w:t>
      </w:r>
      <w:proofErr w:type="spellStart"/>
      <w:r w:rsidRPr="00920D36">
        <w:rPr>
          <w:rFonts w:ascii="Arial" w:hAnsi="Arial" w:cs="Arial"/>
          <w:sz w:val="20"/>
        </w:rPr>
        <w:t>form</w:t>
      </w:r>
      <w:proofErr w:type="spellEnd"/>
      <w:r w:rsidRPr="00920D36">
        <w:rPr>
          <w:rFonts w:ascii="Arial" w:hAnsi="Arial" w:cs="Arial"/>
          <w:sz w:val="20"/>
        </w:rPr>
        <w:t xml:space="preserve">” can be commercially exploited without the authorization of the breeder of variety X, unless protection is obtained on the “changed </w:t>
      </w:r>
      <w:proofErr w:type="spellStart"/>
      <w:r w:rsidRPr="00920D36">
        <w:rPr>
          <w:rFonts w:ascii="Arial" w:hAnsi="Arial" w:cs="Arial"/>
          <w:sz w:val="20"/>
        </w:rPr>
        <w:t>form</w:t>
      </w:r>
      <w:proofErr w:type="spellEnd"/>
      <w:r w:rsidRPr="00920D36">
        <w:rPr>
          <w:rFonts w:ascii="Arial" w:hAnsi="Arial" w:cs="Arial"/>
          <w:sz w:val="20"/>
        </w:rPr>
        <w:t xml:space="preserve">” itself.  If the conditions are fulfilled, the possibility of obtaining protection of the “changed </w:t>
      </w:r>
      <w:proofErr w:type="spellStart"/>
      <w:r w:rsidRPr="00920D36">
        <w:rPr>
          <w:rFonts w:ascii="Arial" w:hAnsi="Arial" w:cs="Arial"/>
          <w:sz w:val="20"/>
        </w:rPr>
        <w:t>form</w:t>
      </w:r>
      <w:proofErr w:type="spellEnd"/>
      <w:r w:rsidRPr="00920D36">
        <w:rPr>
          <w:rFonts w:ascii="Arial" w:hAnsi="Arial" w:cs="Arial"/>
          <w:sz w:val="20"/>
        </w:rPr>
        <w:t>” is open to any person, and not just the breeder of variety X, who has independently bred the “changed form.”  In such a situation, the novelty condition would be of particular relevance.</w:t>
      </w:r>
    </w:p>
    <w:p w:rsidR="001B4741" w:rsidRPr="00920D36" w:rsidRDefault="001B4741" w:rsidP="001B4741">
      <w:pPr>
        <w:rPr>
          <w:rFonts w:ascii="Arial" w:hAnsi="Arial" w:cs="Arial"/>
          <w:sz w:val="20"/>
        </w:rPr>
      </w:pPr>
    </w:p>
    <w:p w:rsidR="001B4741" w:rsidRPr="00920D36" w:rsidRDefault="001B4741" w:rsidP="001B4741">
      <w:pPr>
        <w:pStyle w:val="Heading7"/>
        <w:ind w:left="851" w:hanging="851"/>
        <w:rPr>
          <w:rFonts w:cs="Arial"/>
          <w:i/>
          <w:szCs w:val="20"/>
        </w:rPr>
      </w:pPr>
      <w:r w:rsidRPr="00920D36">
        <w:rPr>
          <w:rFonts w:cs="Arial"/>
          <w:i/>
          <w:szCs w:val="20"/>
        </w:rPr>
        <w:t xml:space="preserve">Case 2:  The “changed </w:t>
      </w:r>
      <w:proofErr w:type="spellStart"/>
      <w:r w:rsidRPr="00920D36">
        <w:rPr>
          <w:rFonts w:cs="Arial"/>
          <w:i/>
          <w:szCs w:val="20"/>
        </w:rPr>
        <w:t>form</w:t>
      </w:r>
      <w:proofErr w:type="spellEnd"/>
      <w:r w:rsidRPr="00920D36">
        <w:rPr>
          <w:rFonts w:cs="Arial"/>
          <w:i/>
          <w:szCs w:val="20"/>
        </w:rPr>
        <w:t xml:space="preserve">” is an essentially derived variety </w:t>
      </w:r>
    </w:p>
    <w:p w:rsidR="001B4741" w:rsidRPr="00920D36" w:rsidRDefault="001B4741" w:rsidP="001B4741">
      <w:pPr>
        <w:ind w:left="567"/>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10.</w:t>
      </w:r>
      <w:r w:rsidRPr="00920D36">
        <w:rPr>
          <w:rFonts w:ascii="Arial" w:hAnsi="Arial" w:cs="Arial"/>
          <w:sz w:val="20"/>
        </w:rPr>
        <w:tab/>
        <w:t xml:space="preserve">The “changed </w:t>
      </w:r>
      <w:proofErr w:type="spellStart"/>
      <w:r w:rsidRPr="00920D36">
        <w:rPr>
          <w:rFonts w:ascii="Arial" w:hAnsi="Arial" w:cs="Arial"/>
          <w:sz w:val="20"/>
        </w:rPr>
        <w:t>form</w:t>
      </w:r>
      <w:proofErr w:type="spellEnd"/>
      <w:r w:rsidRPr="00920D36">
        <w:rPr>
          <w:rFonts w:ascii="Arial" w:hAnsi="Arial" w:cs="Arial"/>
          <w:sz w:val="20"/>
        </w:rPr>
        <w:t>” will, in accordance with Article 14(5) of the 1991 Act of the Convention, be a variety essentially derived from variety X and covered by the scope of protection of variety X if:</w:t>
      </w:r>
    </w:p>
    <w:p w:rsidR="001B4741" w:rsidRPr="00920D36" w:rsidRDefault="001B4741" w:rsidP="001B4741">
      <w:pPr>
        <w:ind w:left="567"/>
        <w:rPr>
          <w:rFonts w:ascii="Arial" w:hAnsi="Arial" w:cs="Arial"/>
          <w:sz w:val="20"/>
        </w:rPr>
      </w:pPr>
    </w:p>
    <w:p w:rsidR="001B4741" w:rsidRPr="00920D36" w:rsidRDefault="001B4741" w:rsidP="001B4741">
      <w:pPr>
        <w:ind w:firstLine="567"/>
        <w:rPr>
          <w:rFonts w:ascii="Arial" w:hAnsi="Arial" w:cs="Arial"/>
          <w:sz w:val="20"/>
        </w:rPr>
      </w:pPr>
      <w:r w:rsidRPr="00920D36">
        <w:rPr>
          <w:rFonts w:ascii="Arial" w:hAnsi="Arial" w:cs="Arial"/>
          <w:sz w:val="20"/>
        </w:rPr>
        <w:t>(a)</w:t>
      </w:r>
      <w:r w:rsidRPr="00920D36">
        <w:rPr>
          <w:rFonts w:ascii="Arial" w:hAnsi="Arial" w:cs="Arial"/>
          <w:sz w:val="20"/>
        </w:rPr>
        <w:tab/>
      </w:r>
      <w:proofErr w:type="gramStart"/>
      <w:r w:rsidRPr="00920D36">
        <w:rPr>
          <w:rFonts w:ascii="Arial" w:hAnsi="Arial" w:cs="Arial"/>
          <w:sz w:val="20"/>
        </w:rPr>
        <w:t>it</w:t>
      </w:r>
      <w:proofErr w:type="gramEnd"/>
      <w:r w:rsidRPr="00920D36">
        <w:rPr>
          <w:rFonts w:ascii="Arial" w:hAnsi="Arial" w:cs="Arial"/>
          <w:sz w:val="20"/>
        </w:rPr>
        <w:t xml:space="preserve"> is clearly distinguishable from variety X</w:t>
      </w:r>
    </w:p>
    <w:p w:rsidR="001B4741" w:rsidRPr="00920D36" w:rsidRDefault="001B4741" w:rsidP="001B4741">
      <w:pPr>
        <w:ind w:firstLine="567"/>
        <w:rPr>
          <w:rFonts w:ascii="Arial" w:hAnsi="Arial" w:cs="Arial"/>
          <w:sz w:val="20"/>
        </w:rPr>
      </w:pPr>
      <w:r w:rsidRPr="00920D36">
        <w:rPr>
          <w:rFonts w:ascii="Arial" w:hAnsi="Arial" w:cs="Arial"/>
          <w:sz w:val="20"/>
        </w:rPr>
        <w:t xml:space="preserve"> </w:t>
      </w:r>
    </w:p>
    <w:p w:rsidR="001B4741" w:rsidRPr="00920D36" w:rsidRDefault="001B4741" w:rsidP="001B4741">
      <w:pPr>
        <w:ind w:left="567" w:firstLine="567"/>
        <w:rPr>
          <w:rFonts w:ascii="Arial" w:hAnsi="Arial" w:cs="Arial"/>
          <w:sz w:val="20"/>
        </w:rPr>
      </w:pPr>
      <w:proofErr w:type="gramStart"/>
      <w:r w:rsidRPr="00920D36">
        <w:rPr>
          <w:rFonts w:ascii="Arial" w:hAnsi="Arial" w:cs="Arial"/>
          <w:sz w:val="20"/>
        </w:rPr>
        <w:t>and</w:t>
      </w:r>
      <w:proofErr w:type="gramEnd"/>
    </w:p>
    <w:p w:rsidR="001B4741" w:rsidRPr="00920D36" w:rsidRDefault="001B4741" w:rsidP="001B4741">
      <w:pPr>
        <w:ind w:left="567" w:firstLine="567"/>
        <w:rPr>
          <w:rFonts w:ascii="Arial" w:hAnsi="Arial" w:cs="Arial"/>
          <w:sz w:val="20"/>
          <w:u w:val="single"/>
        </w:rPr>
      </w:pPr>
    </w:p>
    <w:p w:rsidR="001B4741" w:rsidRPr="00920D36" w:rsidRDefault="001B4741" w:rsidP="001B4741">
      <w:pPr>
        <w:pStyle w:val="BodyTextIndent2"/>
        <w:rPr>
          <w:rFonts w:ascii="Arial" w:hAnsi="Arial" w:cs="Arial"/>
          <w:sz w:val="20"/>
        </w:rPr>
      </w:pPr>
      <w:r w:rsidRPr="00920D36">
        <w:rPr>
          <w:rFonts w:ascii="Arial" w:hAnsi="Arial" w:cs="Arial"/>
          <w:sz w:val="20"/>
        </w:rPr>
        <w:t>(b)</w:t>
      </w:r>
      <w:r w:rsidRPr="00920D36">
        <w:rPr>
          <w:rFonts w:ascii="Arial" w:hAnsi="Arial" w:cs="Arial"/>
          <w:sz w:val="20"/>
        </w:rPr>
        <w:tab/>
      </w:r>
      <w:proofErr w:type="gramStart"/>
      <w:r w:rsidRPr="00920D36">
        <w:rPr>
          <w:rFonts w:ascii="Arial" w:hAnsi="Arial" w:cs="Arial"/>
          <w:sz w:val="20"/>
        </w:rPr>
        <w:t>it</w:t>
      </w:r>
      <w:proofErr w:type="gramEnd"/>
      <w:r w:rsidRPr="00920D36">
        <w:rPr>
          <w:rFonts w:ascii="Arial" w:hAnsi="Arial" w:cs="Arial"/>
          <w:sz w:val="20"/>
        </w:rPr>
        <w:t xml:space="preserve"> is predominantly derived from variety X, while retaining the essential characteristics that result from the genotype or combination of genotypes of the initial variety </w:t>
      </w:r>
    </w:p>
    <w:p w:rsidR="001B4741" w:rsidRPr="00920D36" w:rsidRDefault="001B4741" w:rsidP="001B4741">
      <w:pPr>
        <w:pStyle w:val="BodyTextIndent2"/>
        <w:rPr>
          <w:rFonts w:ascii="Arial" w:hAnsi="Arial" w:cs="Arial"/>
          <w:sz w:val="20"/>
        </w:rPr>
      </w:pPr>
    </w:p>
    <w:p w:rsidR="001B4741" w:rsidRPr="00920D36" w:rsidRDefault="001B4741" w:rsidP="001B4741">
      <w:pPr>
        <w:ind w:left="567" w:firstLine="567"/>
        <w:rPr>
          <w:rFonts w:ascii="Arial" w:hAnsi="Arial" w:cs="Arial"/>
          <w:sz w:val="20"/>
        </w:rPr>
      </w:pPr>
      <w:proofErr w:type="gramStart"/>
      <w:r w:rsidRPr="00920D36">
        <w:rPr>
          <w:rFonts w:ascii="Arial" w:hAnsi="Arial" w:cs="Arial"/>
          <w:sz w:val="20"/>
        </w:rPr>
        <w:t>and</w:t>
      </w:r>
      <w:proofErr w:type="gramEnd"/>
    </w:p>
    <w:p w:rsidR="001B4741" w:rsidRPr="00920D36" w:rsidRDefault="001B4741" w:rsidP="001B4741">
      <w:pPr>
        <w:ind w:left="567" w:firstLine="567"/>
        <w:rPr>
          <w:rFonts w:ascii="Arial" w:hAnsi="Arial" w:cs="Arial"/>
          <w:sz w:val="20"/>
          <w:u w:val="single"/>
        </w:rPr>
      </w:pPr>
    </w:p>
    <w:p w:rsidR="001B4741" w:rsidRPr="00920D36" w:rsidRDefault="001B4741" w:rsidP="001B4741">
      <w:pPr>
        <w:ind w:firstLine="567"/>
        <w:rPr>
          <w:rFonts w:ascii="Arial" w:hAnsi="Arial" w:cs="Arial"/>
          <w:sz w:val="20"/>
        </w:rPr>
      </w:pPr>
      <w:r w:rsidRPr="00920D36">
        <w:rPr>
          <w:rFonts w:ascii="Arial" w:hAnsi="Arial" w:cs="Arial"/>
          <w:sz w:val="20"/>
        </w:rPr>
        <w:t>(c)</w:t>
      </w:r>
      <w:r w:rsidRPr="00920D36">
        <w:rPr>
          <w:rFonts w:ascii="Arial" w:hAnsi="Arial" w:cs="Arial"/>
          <w:sz w:val="20"/>
        </w:rPr>
        <w:tab/>
      </w:r>
      <w:proofErr w:type="gramStart"/>
      <w:r w:rsidRPr="00920D36">
        <w:rPr>
          <w:rFonts w:ascii="Arial" w:hAnsi="Arial" w:cs="Arial"/>
          <w:sz w:val="20"/>
        </w:rPr>
        <w:t>except</w:t>
      </w:r>
      <w:proofErr w:type="gramEnd"/>
      <w:r w:rsidRPr="00920D36">
        <w:rPr>
          <w:rFonts w:ascii="Arial" w:hAnsi="Arial" w:cs="Arial"/>
          <w:sz w:val="20"/>
        </w:rPr>
        <w:t xml:space="preserve"> for the differences which result from the act of derivation, it conforms to variety X in the expression of the essential characteristics that result from the genotype or combination of genotypes of variety X.</w:t>
      </w:r>
    </w:p>
    <w:p w:rsidR="001B4741" w:rsidRPr="00920D36" w:rsidRDefault="001B4741" w:rsidP="001B4741">
      <w:pPr>
        <w:ind w:left="567"/>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11.</w:t>
      </w:r>
      <w:r w:rsidRPr="00920D36">
        <w:rPr>
          <w:rFonts w:ascii="Arial" w:hAnsi="Arial" w:cs="Arial"/>
          <w:sz w:val="20"/>
        </w:rPr>
        <w:tab/>
        <w:t xml:space="preserve">In this case, commercialization of the “changed </w:t>
      </w:r>
      <w:proofErr w:type="spellStart"/>
      <w:r w:rsidRPr="00920D36">
        <w:rPr>
          <w:rFonts w:ascii="Arial" w:hAnsi="Arial" w:cs="Arial"/>
          <w:sz w:val="20"/>
        </w:rPr>
        <w:t>form</w:t>
      </w:r>
      <w:proofErr w:type="spellEnd"/>
      <w:r w:rsidRPr="00920D36">
        <w:rPr>
          <w:rFonts w:ascii="Arial" w:hAnsi="Arial" w:cs="Arial"/>
          <w:sz w:val="20"/>
        </w:rPr>
        <w:t xml:space="preserve">” requires the authorization of the breeder of variety X.  It would be possible for another breeder, who had obtained the “changed </w:t>
      </w:r>
      <w:proofErr w:type="spellStart"/>
      <w:r w:rsidRPr="00920D36">
        <w:rPr>
          <w:rFonts w:ascii="Arial" w:hAnsi="Arial" w:cs="Arial"/>
          <w:sz w:val="20"/>
        </w:rPr>
        <w:t>form</w:t>
      </w:r>
      <w:proofErr w:type="spellEnd"/>
      <w:r w:rsidRPr="00920D36">
        <w:rPr>
          <w:rFonts w:ascii="Arial" w:hAnsi="Arial" w:cs="Arial"/>
          <w:sz w:val="20"/>
        </w:rPr>
        <w:t xml:space="preserve">” independently, to obtain protection of the “changed </w:t>
      </w:r>
      <w:proofErr w:type="spellStart"/>
      <w:r w:rsidRPr="00920D36">
        <w:rPr>
          <w:rFonts w:ascii="Arial" w:hAnsi="Arial" w:cs="Arial"/>
          <w:sz w:val="20"/>
        </w:rPr>
        <w:t>form</w:t>
      </w:r>
      <w:proofErr w:type="spellEnd"/>
      <w:r w:rsidRPr="00920D36">
        <w:rPr>
          <w:rFonts w:ascii="Arial" w:hAnsi="Arial" w:cs="Arial"/>
          <w:sz w:val="20"/>
        </w:rPr>
        <w:t>” as a new variety, if all the conditions were fulfilled, but this other breeder would still require the authorization of the breeder of variety X to be able to commercially exploit the variety.</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12.</w:t>
      </w:r>
      <w:r w:rsidRPr="00920D36">
        <w:rPr>
          <w:rFonts w:ascii="Arial" w:hAnsi="Arial" w:cs="Arial"/>
          <w:sz w:val="20"/>
        </w:rPr>
        <w:tab/>
        <w:t xml:space="preserve">The benefit for the breeder of variety X of using the provision for essentially derived varieties is that, for as long as variety X is protected, he has control of the “changed </w:t>
      </w:r>
      <w:proofErr w:type="spellStart"/>
      <w:r w:rsidRPr="00920D36">
        <w:rPr>
          <w:rFonts w:ascii="Arial" w:hAnsi="Arial" w:cs="Arial"/>
          <w:sz w:val="20"/>
        </w:rPr>
        <w:t>form</w:t>
      </w:r>
      <w:proofErr w:type="spellEnd"/>
      <w:r w:rsidRPr="00920D36">
        <w:rPr>
          <w:rFonts w:ascii="Arial" w:hAnsi="Arial" w:cs="Arial"/>
          <w:sz w:val="20"/>
        </w:rPr>
        <w:t xml:space="preserve">” without the cost of seeking protection for the new variety.  However, there are certain aspects which should be considered by this breeder before deciding not to protect the “changed </w:t>
      </w:r>
      <w:proofErr w:type="spellStart"/>
      <w:r w:rsidRPr="00920D36">
        <w:rPr>
          <w:rFonts w:ascii="Arial" w:hAnsi="Arial" w:cs="Arial"/>
          <w:sz w:val="20"/>
        </w:rPr>
        <w:t>form</w:t>
      </w:r>
      <w:proofErr w:type="spellEnd"/>
      <w:r w:rsidRPr="00920D36">
        <w:rPr>
          <w:rFonts w:ascii="Arial" w:hAnsi="Arial" w:cs="Arial"/>
          <w:sz w:val="20"/>
        </w:rPr>
        <w:t>” itself.</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13.</w:t>
      </w:r>
      <w:r w:rsidRPr="00920D36">
        <w:rPr>
          <w:rFonts w:ascii="Arial" w:hAnsi="Arial" w:cs="Arial"/>
          <w:sz w:val="20"/>
        </w:rPr>
        <w:tab/>
        <w:t xml:space="preserve">Firstly, it is important to note that the control of the “changed </w:t>
      </w:r>
      <w:proofErr w:type="spellStart"/>
      <w:r w:rsidRPr="00920D36">
        <w:rPr>
          <w:rFonts w:ascii="Arial" w:hAnsi="Arial" w:cs="Arial"/>
          <w:sz w:val="20"/>
        </w:rPr>
        <w:t>form</w:t>
      </w:r>
      <w:proofErr w:type="spellEnd"/>
      <w:r w:rsidRPr="00920D36">
        <w:rPr>
          <w:rFonts w:ascii="Arial" w:hAnsi="Arial" w:cs="Arial"/>
          <w:sz w:val="20"/>
        </w:rPr>
        <w:t xml:space="preserve">” only exists for as long as the protection on variety X exists.  As soon as the protection on variety X expires, the control over the “changed </w:t>
      </w:r>
      <w:proofErr w:type="spellStart"/>
      <w:r w:rsidRPr="00920D36">
        <w:rPr>
          <w:rFonts w:ascii="Arial" w:hAnsi="Arial" w:cs="Arial"/>
          <w:sz w:val="20"/>
        </w:rPr>
        <w:t>form</w:t>
      </w:r>
      <w:proofErr w:type="spellEnd"/>
      <w:r w:rsidRPr="00920D36">
        <w:rPr>
          <w:rFonts w:ascii="Arial" w:hAnsi="Arial" w:cs="Arial"/>
          <w:sz w:val="20"/>
        </w:rPr>
        <w:t>” also expires.  This is particularly relevant because the breeder may start to maintain only the “changed form” and discontinue maintenance of variety X.  In this situation, the authority may decide to cancel the breeder’s right for variety X, on the basis that the breeder could not “… provide the authority with the information, documents or material deemed necessary for verifying the maintenance of the variety,” (Article 22(1)(b)(</w:t>
      </w:r>
      <w:proofErr w:type="spellStart"/>
      <w:r w:rsidRPr="00920D36">
        <w:rPr>
          <w:rFonts w:ascii="Arial" w:hAnsi="Arial" w:cs="Arial"/>
          <w:sz w:val="20"/>
        </w:rPr>
        <w:t>i</w:t>
      </w:r>
      <w:proofErr w:type="spellEnd"/>
      <w:r w:rsidRPr="00920D36">
        <w:rPr>
          <w:rFonts w:ascii="Arial" w:hAnsi="Arial" w:cs="Arial"/>
          <w:sz w:val="20"/>
        </w:rPr>
        <w:t>) of the 1991 Act of the Convention).</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14.</w:t>
      </w:r>
      <w:r w:rsidRPr="00920D36">
        <w:rPr>
          <w:rFonts w:ascii="Arial" w:hAnsi="Arial" w:cs="Arial"/>
          <w:sz w:val="20"/>
        </w:rPr>
        <w:tab/>
        <w:t xml:space="preserve">Secondly, the risk for the breeder of variety X is that, whilst he may consider the “changed </w:t>
      </w:r>
      <w:proofErr w:type="spellStart"/>
      <w:r w:rsidRPr="00920D36">
        <w:rPr>
          <w:rFonts w:ascii="Arial" w:hAnsi="Arial" w:cs="Arial"/>
          <w:sz w:val="20"/>
        </w:rPr>
        <w:t>form</w:t>
      </w:r>
      <w:proofErr w:type="spellEnd"/>
      <w:r w:rsidRPr="00920D36">
        <w:rPr>
          <w:rFonts w:ascii="Arial" w:hAnsi="Arial" w:cs="Arial"/>
          <w:sz w:val="20"/>
        </w:rPr>
        <w:t xml:space="preserve">” to be essentially derived from variety X, this may be challenged by someone wishing to exploit the “changed </w:t>
      </w:r>
      <w:proofErr w:type="spellStart"/>
      <w:r w:rsidRPr="00920D36">
        <w:rPr>
          <w:rFonts w:ascii="Arial" w:hAnsi="Arial" w:cs="Arial"/>
          <w:sz w:val="20"/>
        </w:rPr>
        <w:t>form</w:t>
      </w:r>
      <w:proofErr w:type="spellEnd"/>
      <w:r w:rsidRPr="00920D36">
        <w:rPr>
          <w:rFonts w:ascii="Arial" w:hAnsi="Arial" w:cs="Arial"/>
          <w:sz w:val="20"/>
        </w:rPr>
        <w:t xml:space="preserve">” without the authorization of the breeder.  It may also be challenged by another breeder </w:t>
      </w:r>
      <w:r w:rsidRPr="00920D36">
        <w:rPr>
          <w:rFonts w:ascii="Arial" w:hAnsi="Arial" w:cs="Arial"/>
          <w:sz w:val="20"/>
        </w:rPr>
        <w:lastRenderedPageBreak/>
        <w:t xml:space="preserve">who, having obtained the “changed </w:t>
      </w:r>
      <w:proofErr w:type="spellStart"/>
      <w:r w:rsidRPr="00920D36">
        <w:rPr>
          <w:rFonts w:ascii="Arial" w:hAnsi="Arial" w:cs="Arial"/>
          <w:sz w:val="20"/>
        </w:rPr>
        <w:t>form</w:t>
      </w:r>
      <w:proofErr w:type="spellEnd"/>
      <w:r w:rsidRPr="00920D36">
        <w:rPr>
          <w:rFonts w:ascii="Arial" w:hAnsi="Arial" w:cs="Arial"/>
          <w:sz w:val="20"/>
        </w:rPr>
        <w:t xml:space="preserve">” independently, wishes to obtain protection of the “changed </w:t>
      </w:r>
      <w:proofErr w:type="spellStart"/>
      <w:r w:rsidRPr="00920D36">
        <w:rPr>
          <w:rFonts w:ascii="Arial" w:hAnsi="Arial" w:cs="Arial"/>
          <w:sz w:val="20"/>
        </w:rPr>
        <w:t>form</w:t>
      </w:r>
      <w:proofErr w:type="spellEnd"/>
      <w:r w:rsidRPr="00920D36">
        <w:rPr>
          <w:rFonts w:ascii="Arial" w:hAnsi="Arial" w:cs="Arial"/>
          <w:sz w:val="20"/>
        </w:rPr>
        <w:t>” subject to being able to satisfy the conditions.</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15.</w:t>
      </w:r>
      <w:r w:rsidRPr="00920D36">
        <w:rPr>
          <w:rFonts w:ascii="Arial" w:hAnsi="Arial" w:cs="Arial"/>
          <w:sz w:val="20"/>
        </w:rPr>
        <w:tab/>
        <w:t xml:space="preserve">The balance of risks and benefits in choosing whether to protect the “changed </w:t>
      </w:r>
      <w:proofErr w:type="spellStart"/>
      <w:r w:rsidRPr="00920D36">
        <w:rPr>
          <w:rFonts w:ascii="Arial" w:hAnsi="Arial" w:cs="Arial"/>
          <w:sz w:val="20"/>
        </w:rPr>
        <w:t>form</w:t>
      </w:r>
      <w:proofErr w:type="spellEnd"/>
      <w:r w:rsidRPr="00920D36">
        <w:rPr>
          <w:rFonts w:ascii="Arial" w:hAnsi="Arial" w:cs="Arial"/>
          <w:sz w:val="20"/>
        </w:rPr>
        <w:t>” will be a matter for the breeder to decide according to his own circumstances.</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16.</w:t>
      </w:r>
      <w:r w:rsidRPr="00920D36">
        <w:rPr>
          <w:rFonts w:ascii="Arial" w:hAnsi="Arial" w:cs="Arial"/>
          <w:sz w:val="20"/>
        </w:rPr>
        <w:tab/>
        <w:t xml:space="preserve">If the breeder decides, on the balance of benefits and risks, that it would be better to protect the “changed </w:t>
      </w:r>
      <w:proofErr w:type="spellStart"/>
      <w:r w:rsidRPr="00920D36">
        <w:rPr>
          <w:rFonts w:ascii="Arial" w:hAnsi="Arial" w:cs="Arial"/>
          <w:sz w:val="20"/>
        </w:rPr>
        <w:t>form</w:t>
      </w:r>
      <w:proofErr w:type="spellEnd"/>
      <w:r w:rsidRPr="00920D36">
        <w:rPr>
          <w:rFonts w:ascii="Arial" w:hAnsi="Arial" w:cs="Arial"/>
          <w:sz w:val="20"/>
        </w:rPr>
        <w:t xml:space="preserve">” as a new variety, he can do so, if the conditions for protection are fulfilled.  However, it should be noted that if the “changed </w:t>
      </w:r>
      <w:proofErr w:type="spellStart"/>
      <w:r w:rsidRPr="00920D36">
        <w:rPr>
          <w:rFonts w:ascii="Arial" w:hAnsi="Arial" w:cs="Arial"/>
          <w:sz w:val="20"/>
        </w:rPr>
        <w:t>form</w:t>
      </w:r>
      <w:proofErr w:type="spellEnd"/>
      <w:r w:rsidRPr="00920D36">
        <w:rPr>
          <w:rFonts w:ascii="Arial" w:hAnsi="Arial" w:cs="Arial"/>
          <w:sz w:val="20"/>
        </w:rPr>
        <w:t xml:space="preserve">” of variety X is protected, say as variety Y, this variety Y will still be an essentially derived variety.  Therefore, any “changed </w:t>
      </w:r>
      <w:proofErr w:type="spellStart"/>
      <w:r w:rsidRPr="00920D36">
        <w:rPr>
          <w:rFonts w:ascii="Arial" w:hAnsi="Arial" w:cs="Arial"/>
          <w:sz w:val="20"/>
        </w:rPr>
        <w:t>form</w:t>
      </w:r>
      <w:proofErr w:type="spellEnd"/>
      <w:r w:rsidRPr="00920D36">
        <w:rPr>
          <w:rFonts w:ascii="Arial" w:hAnsi="Arial" w:cs="Arial"/>
          <w:sz w:val="20"/>
        </w:rPr>
        <w:t xml:space="preserve">” of variety Y which is considered to be essentially derived from variety Y, will </w:t>
      </w:r>
      <w:r w:rsidRPr="00920D36">
        <w:rPr>
          <w:rFonts w:ascii="Arial" w:hAnsi="Arial" w:cs="Arial"/>
          <w:i/>
          <w:sz w:val="20"/>
        </w:rPr>
        <w:t xml:space="preserve">not </w:t>
      </w:r>
      <w:r w:rsidRPr="00920D36">
        <w:rPr>
          <w:rFonts w:ascii="Arial" w:hAnsi="Arial" w:cs="Arial"/>
          <w:sz w:val="20"/>
        </w:rPr>
        <w:t>be covered by the scope of protection of variety Y.  This is because, according to Article 14(5</w:t>
      </w:r>
      <w:proofErr w:type="gramStart"/>
      <w:r w:rsidRPr="00920D36">
        <w:rPr>
          <w:rFonts w:ascii="Arial" w:hAnsi="Arial" w:cs="Arial"/>
          <w:sz w:val="20"/>
        </w:rPr>
        <w:t>)(</w:t>
      </w:r>
      <w:proofErr w:type="gramEnd"/>
      <w:r w:rsidRPr="00920D36">
        <w:rPr>
          <w:rFonts w:ascii="Arial" w:hAnsi="Arial" w:cs="Arial"/>
          <w:sz w:val="20"/>
        </w:rPr>
        <w:t>a)(</w:t>
      </w:r>
      <w:proofErr w:type="spellStart"/>
      <w:r w:rsidRPr="00920D36">
        <w:rPr>
          <w:rFonts w:ascii="Arial" w:hAnsi="Arial" w:cs="Arial"/>
          <w:sz w:val="20"/>
        </w:rPr>
        <w:t>i</w:t>
      </w:r>
      <w:proofErr w:type="spellEnd"/>
      <w:r w:rsidRPr="00920D36">
        <w:rPr>
          <w:rFonts w:ascii="Arial" w:hAnsi="Arial" w:cs="Arial"/>
          <w:sz w:val="20"/>
        </w:rPr>
        <w:t xml:space="preserve">) of the 1991 Act of the Convention, the scope of protection of varieties, which are essentially derived from a protected variety, only applies “where the protected variety is not itself an essentially derived variety”.  It is possible that a “changed </w:t>
      </w:r>
      <w:proofErr w:type="spellStart"/>
      <w:r w:rsidRPr="00920D36">
        <w:rPr>
          <w:rFonts w:ascii="Arial" w:hAnsi="Arial" w:cs="Arial"/>
          <w:sz w:val="20"/>
        </w:rPr>
        <w:t>form</w:t>
      </w:r>
      <w:proofErr w:type="spellEnd"/>
      <w:r w:rsidRPr="00920D36">
        <w:rPr>
          <w:rFonts w:ascii="Arial" w:hAnsi="Arial" w:cs="Arial"/>
          <w:sz w:val="20"/>
        </w:rPr>
        <w:t xml:space="preserve">” of variety Y might also </w:t>
      </w:r>
      <w:proofErr w:type="spellStart"/>
      <w:r w:rsidRPr="00920D36">
        <w:rPr>
          <w:rFonts w:ascii="Arial" w:hAnsi="Arial" w:cs="Arial"/>
          <w:sz w:val="20"/>
        </w:rPr>
        <w:t>fulfil</w:t>
      </w:r>
      <w:proofErr w:type="spellEnd"/>
      <w:r w:rsidRPr="00920D36">
        <w:rPr>
          <w:rFonts w:ascii="Arial" w:hAnsi="Arial" w:cs="Arial"/>
          <w:sz w:val="20"/>
        </w:rPr>
        <w:t xml:space="preserve"> the conditions required to be considered to be essentially derived from variety X and would then be covered by the scope of protection of variety X. </w:t>
      </w:r>
    </w:p>
    <w:p w:rsidR="001B4741" w:rsidRPr="00920D36" w:rsidRDefault="001B4741" w:rsidP="001B4741">
      <w:pPr>
        <w:rPr>
          <w:rFonts w:ascii="Arial" w:hAnsi="Arial" w:cs="Arial"/>
          <w:sz w:val="20"/>
        </w:rPr>
      </w:pPr>
    </w:p>
    <w:p w:rsidR="001B4741" w:rsidRPr="00920D36" w:rsidRDefault="001B4741" w:rsidP="00920D36">
      <w:pPr>
        <w:pStyle w:val="BodyTextIndent"/>
        <w:keepNext/>
        <w:ind w:left="0"/>
        <w:rPr>
          <w:rFonts w:cs="Arial"/>
          <w:i/>
          <w:lang w:val="en-US"/>
        </w:rPr>
      </w:pPr>
      <w:r w:rsidRPr="00920D36">
        <w:rPr>
          <w:rFonts w:cs="Arial"/>
          <w:i/>
          <w:lang w:val="en-US"/>
        </w:rPr>
        <w:t xml:space="preserve">Case 3:  The “changed </w:t>
      </w:r>
      <w:proofErr w:type="spellStart"/>
      <w:r w:rsidRPr="00920D36">
        <w:rPr>
          <w:rFonts w:cs="Arial"/>
          <w:i/>
          <w:lang w:val="en-US"/>
        </w:rPr>
        <w:t>form</w:t>
      </w:r>
      <w:proofErr w:type="spellEnd"/>
      <w:r w:rsidRPr="00920D36">
        <w:rPr>
          <w:rFonts w:cs="Arial"/>
          <w:i/>
          <w:lang w:val="en-US"/>
        </w:rPr>
        <w:t xml:space="preserve">” is not distinct </w:t>
      </w:r>
    </w:p>
    <w:p w:rsidR="001B4741" w:rsidRPr="00920D36" w:rsidRDefault="001B4741" w:rsidP="001B4741">
      <w:pPr>
        <w:keepNext/>
        <w:rPr>
          <w:rFonts w:ascii="Arial" w:hAnsi="Arial" w:cs="Arial"/>
          <w:i/>
          <w:sz w:val="20"/>
        </w:rPr>
      </w:pPr>
    </w:p>
    <w:p w:rsidR="001B4741" w:rsidRPr="00920D36" w:rsidRDefault="001B4741" w:rsidP="001B4741">
      <w:pPr>
        <w:keepNext/>
        <w:rPr>
          <w:rFonts w:ascii="Arial" w:hAnsi="Arial" w:cs="Arial"/>
          <w:snapToGrid w:val="0"/>
          <w:sz w:val="20"/>
        </w:rPr>
      </w:pPr>
      <w:r w:rsidRPr="00920D36">
        <w:rPr>
          <w:rFonts w:ascii="Arial" w:hAnsi="Arial" w:cs="Arial"/>
          <w:sz w:val="20"/>
        </w:rPr>
        <w:t>17.</w:t>
      </w:r>
      <w:r w:rsidRPr="00920D36">
        <w:rPr>
          <w:rFonts w:ascii="Arial" w:hAnsi="Arial" w:cs="Arial"/>
          <w:sz w:val="20"/>
        </w:rPr>
        <w:tab/>
        <w:t>In accordance with Article 14(5) of the 1991 Act of the Convention, t</w:t>
      </w:r>
      <w:r w:rsidRPr="00920D36">
        <w:rPr>
          <w:rFonts w:ascii="Arial" w:hAnsi="Arial" w:cs="Arial"/>
          <w:snapToGrid w:val="0"/>
          <w:sz w:val="20"/>
        </w:rPr>
        <w:t xml:space="preserve">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will be covered by the scope of protection of variety X if it is not clearly distinguishable (Article 7 of the 1991 Act of the Convention) from variety X.</w:t>
      </w:r>
    </w:p>
    <w:p w:rsidR="001B4741" w:rsidRPr="00920D36" w:rsidRDefault="001B4741" w:rsidP="001B4741">
      <w:pPr>
        <w:ind w:left="1134"/>
        <w:rPr>
          <w:rFonts w:ascii="Arial" w:hAnsi="Arial" w:cs="Arial"/>
          <w:snapToGrid w:val="0"/>
          <w:sz w:val="20"/>
        </w:rPr>
      </w:pPr>
    </w:p>
    <w:p w:rsidR="001B4741" w:rsidRPr="00920D36" w:rsidRDefault="001B4741" w:rsidP="001B4741">
      <w:pPr>
        <w:rPr>
          <w:rFonts w:ascii="Arial" w:hAnsi="Arial" w:cs="Arial"/>
          <w:snapToGrid w:val="0"/>
          <w:sz w:val="20"/>
        </w:rPr>
      </w:pPr>
      <w:r w:rsidRPr="00920D36">
        <w:rPr>
          <w:rFonts w:ascii="Arial" w:hAnsi="Arial" w:cs="Arial"/>
          <w:snapToGrid w:val="0"/>
          <w:sz w:val="20"/>
        </w:rPr>
        <w:t>18.</w:t>
      </w:r>
      <w:r w:rsidRPr="00920D36">
        <w:rPr>
          <w:rFonts w:ascii="Arial" w:hAnsi="Arial" w:cs="Arial"/>
          <w:snapToGrid w:val="0"/>
          <w:sz w:val="20"/>
        </w:rPr>
        <w:tab/>
        <w:t xml:space="preserve">If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xml:space="preserve">” is not distinct, it is covered by the scope of protection of variety X and anyone wishing to exploit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xml:space="preserve">” would require the authorization of the breeder.  No other breeder would be able to obtain protection of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as a new variety because it would not be distinct.</w:t>
      </w:r>
    </w:p>
    <w:p w:rsidR="001B4741" w:rsidRPr="00920D36" w:rsidRDefault="001B4741" w:rsidP="001B4741">
      <w:pPr>
        <w:rPr>
          <w:rFonts w:ascii="Arial" w:hAnsi="Arial" w:cs="Arial"/>
          <w:snapToGrid w:val="0"/>
          <w:sz w:val="20"/>
        </w:rPr>
      </w:pPr>
    </w:p>
    <w:p w:rsidR="001B4741" w:rsidRPr="00920D36" w:rsidRDefault="001B4741" w:rsidP="001B4741">
      <w:pPr>
        <w:rPr>
          <w:rFonts w:ascii="Arial" w:hAnsi="Arial" w:cs="Arial"/>
          <w:snapToGrid w:val="0"/>
          <w:sz w:val="20"/>
        </w:rPr>
      </w:pPr>
      <w:r w:rsidRPr="00920D36">
        <w:rPr>
          <w:rFonts w:ascii="Arial" w:hAnsi="Arial" w:cs="Arial"/>
          <w:snapToGrid w:val="0"/>
          <w:sz w:val="20"/>
        </w:rPr>
        <w:t>19.</w:t>
      </w:r>
      <w:r w:rsidRPr="00920D36">
        <w:rPr>
          <w:rFonts w:ascii="Arial" w:hAnsi="Arial" w:cs="Arial"/>
          <w:snapToGrid w:val="0"/>
          <w:sz w:val="20"/>
        </w:rPr>
        <w:tab/>
        <w:t xml:space="preserve">This situation might occur if the breeder applies for protection of the “changed form,” but is refused on the basis that the variety is not distinct.  In this case, the situation is clearly as explained in paragraph 18.  </w:t>
      </w:r>
    </w:p>
    <w:p w:rsidR="001B4741" w:rsidRPr="00920D36" w:rsidRDefault="001B4741" w:rsidP="001B4741">
      <w:pPr>
        <w:rPr>
          <w:rFonts w:ascii="Arial" w:hAnsi="Arial" w:cs="Arial"/>
          <w:snapToGrid w:val="0"/>
          <w:sz w:val="20"/>
        </w:rPr>
      </w:pPr>
    </w:p>
    <w:p w:rsidR="001B4741" w:rsidRPr="00920D36" w:rsidRDefault="001B4741" w:rsidP="001B4741">
      <w:pPr>
        <w:rPr>
          <w:rFonts w:ascii="Arial" w:hAnsi="Arial" w:cs="Arial"/>
          <w:sz w:val="20"/>
        </w:rPr>
      </w:pPr>
      <w:r w:rsidRPr="00920D36">
        <w:rPr>
          <w:rFonts w:ascii="Arial" w:hAnsi="Arial" w:cs="Arial"/>
          <w:snapToGrid w:val="0"/>
          <w:sz w:val="20"/>
        </w:rPr>
        <w:t>20.</w:t>
      </w:r>
      <w:r w:rsidRPr="00920D36">
        <w:rPr>
          <w:rFonts w:ascii="Arial" w:hAnsi="Arial" w:cs="Arial"/>
          <w:snapToGrid w:val="0"/>
          <w:sz w:val="20"/>
        </w:rPr>
        <w:tab/>
        <w:t xml:space="preserve">However, it may be the breeder who considers that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xml:space="preserve">” is very similar to variety X and does not consider it to be distinct.  In this case, which may be the result of an unintended drift in the maintenance of the variety </w:t>
      </w:r>
      <w:proofErr w:type="gramStart"/>
      <w:r w:rsidRPr="00920D36">
        <w:rPr>
          <w:rFonts w:ascii="Arial" w:hAnsi="Arial" w:cs="Arial"/>
          <w:snapToGrid w:val="0"/>
          <w:sz w:val="20"/>
        </w:rPr>
        <w:t>X,</w:t>
      </w:r>
      <w:proofErr w:type="gramEnd"/>
      <w:r w:rsidRPr="00920D36">
        <w:rPr>
          <w:rFonts w:ascii="Arial" w:hAnsi="Arial" w:cs="Arial"/>
          <w:snapToGrid w:val="0"/>
          <w:sz w:val="20"/>
        </w:rPr>
        <w:t xml:space="preserve"> there is the risk that the view of the breeder that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xml:space="preserve">” is not distinct might be challenged.  If the authority decides that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is distinct and variety X is no longer being maintained it may decide</w:t>
      </w:r>
      <w:r w:rsidRPr="00920D36">
        <w:rPr>
          <w:rFonts w:ascii="Arial" w:hAnsi="Arial" w:cs="Arial"/>
          <w:sz w:val="20"/>
        </w:rPr>
        <w:t xml:space="preserve"> to cancel the breeder’s right for variety X on the basis that the breeder could not “… provide the authority with the information, documents or material deemed necessary for verifying the maintenance of the variety” (Article 22(1</w:t>
      </w:r>
      <w:proofErr w:type="gramStart"/>
      <w:r w:rsidRPr="00920D36">
        <w:rPr>
          <w:rFonts w:ascii="Arial" w:hAnsi="Arial" w:cs="Arial"/>
          <w:sz w:val="20"/>
        </w:rPr>
        <w:t>)(</w:t>
      </w:r>
      <w:proofErr w:type="gramEnd"/>
      <w:r w:rsidRPr="00920D36">
        <w:rPr>
          <w:rFonts w:ascii="Arial" w:hAnsi="Arial" w:cs="Arial"/>
          <w:sz w:val="20"/>
        </w:rPr>
        <w:t>b)(</w:t>
      </w:r>
      <w:proofErr w:type="spellStart"/>
      <w:r w:rsidRPr="00920D36">
        <w:rPr>
          <w:rFonts w:ascii="Arial" w:hAnsi="Arial" w:cs="Arial"/>
          <w:sz w:val="20"/>
        </w:rPr>
        <w:t>i</w:t>
      </w:r>
      <w:proofErr w:type="spellEnd"/>
      <w:r w:rsidRPr="00920D36">
        <w:rPr>
          <w:rFonts w:ascii="Arial" w:hAnsi="Arial" w:cs="Arial"/>
          <w:sz w:val="20"/>
        </w:rPr>
        <w:t xml:space="preserve">) of the 1991 Act of the Convention).  The breeder would then have no protection for variety X and may not be able to obtain protection of the “changed </w:t>
      </w:r>
      <w:proofErr w:type="spellStart"/>
      <w:r w:rsidRPr="00920D36">
        <w:rPr>
          <w:rFonts w:ascii="Arial" w:hAnsi="Arial" w:cs="Arial"/>
          <w:sz w:val="20"/>
        </w:rPr>
        <w:t>form</w:t>
      </w:r>
      <w:proofErr w:type="spellEnd"/>
      <w:r w:rsidRPr="00920D36">
        <w:rPr>
          <w:rFonts w:ascii="Arial" w:hAnsi="Arial" w:cs="Arial"/>
          <w:sz w:val="20"/>
        </w:rPr>
        <w:t xml:space="preserve">” on the grounds of lack of novelty.  In the absence of protection of variety X, regardless of whether the “changed </w:t>
      </w:r>
      <w:proofErr w:type="spellStart"/>
      <w:r w:rsidRPr="00920D36">
        <w:rPr>
          <w:rFonts w:ascii="Arial" w:hAnsi="Arial" w:cs="Arial"/>
          <w:sz w:val="20"/>
        </w:rPr>
        <w:t>form</w:t>
      </w:r>
      <w:proofErr w:type="spellEnd"/>
      <w:r w:rsidRPr="00920D36">
        <w:rPr>
          <w:rFonts w:ascii="Arial" w:hAnsi="Arial" w:cs="Arial"/>
          <w:sz w:val="20"/>
        </w:rPr>
        <w:t xml:space="preserve">” is essentially derived from variety X, the “changed </w:t>
      </w:r>
      <w:proofErr w:type="spellStart"/>
      <w:r w:rsidRPr="00920D36">
        <w:rPr>
          <w:rFonts w:ascii="Arial" w:hAnsi="Arial" w:cs="Arial"/>
          <w:sz w:val="20"/>
        </w:rPr>
        <w:t>form</w:t>
      </w:r>
      <w:proofErr w:type="spellEnd"/>
      <w:r w:rsidRPr="00920D36">
        <w:rPr>
          <w:rFonts w:ascii="Arial" w:hAnsi="Arial" w:cs="Arial"/>
          <w:sz w:val="20"/>
        </w:rPr>
        <w:t>” could be commercially exploited without the authorization of the breeder.</w:t>
      </w:r>
    </w:p>
    <w:p w:rsidR="001B4741" w:rsidRPr="00920D36" w:rsidRDefault="001B4741" w:rsidP="001B4741">
      <w:pPr>
        <w:rPr>
          <w:rFonts w:ascii="Arial" w:hAnsi="Arial" w:cs="Arial"/>
          <w:sz w:val="20"/>
        </w:rPr>
      </w:pPr>
    </w:p>
    <w:p w:rsidR="001B4741" w:rsidRPr="00920D36" w:rsidRDefault="001B4741" w:rsidP="001B4741">
      <w:pPr>
        <w:rPr>
          <w:rFonts w:ascii="Arial" w:hAnsi="Arial" w:cs="Arial"/>
          <w:sz w:val="20"/>
        </w:rPr>
      </w:pPr>
      <w:r w:rsidRPr="00920D36">
        <w:rPr>
          <w:rFonts w:ascii="Arial" w:hAnsi="Arial" w:cs="Arial"/>
          <w:sz w:val="20"/>
        </w:rPr>
        <w:t>21.</w:t>
      </w:r>
      <w:r w:rsidRPr="00920D36">
        <w:rPr>
          <w:rFonts w:ascii="Arial" w:hAnsi="Arial" w:cs="Arial"/>
          <w:sz w:val="20"/>
        </w:rPr>
        <w:tab/>
        <w:t xml:space="preserve">It will be a matter for each breeder to ensure that his “changed </w:t>
      </w:r>
      <w:proofErr w:type="spellStart"/>
      <w:r w:rsidRPr="00920D36">
        <w:rPr>
          <w:rFonts w:ascii="Arial" w:hAnsi="Arial" w:cs="Arial"/>
          <w:sz w:val="20"/>
        </w:rPr>
        <w:t>form</w:t>
      </w:r>
      <w:proofErr w:type="spellEnd"/>
      <w:r w:rsidRPr="00920D36">
        <w:rPr>
          <w:rFonts w:ascii="Arial" w:hAnsi="Arial" w:cs="Arial"/>
          <w:sz w:val="20"/>
        </w:rPr>
        <w:t>” does not become distinct from variety X.</w:t>
      </w:r>
    </w:p>
    <w:p w:rsidR="001B4741" w:rsidRPr="00920D36" w:rsidRDefault="001B4741" w:rsidP="001B4741">
      <w:pPr>
        <w:rPr>
          <w:rFonts w:ascii="Arial" w:hAnsi="Arial" w:cs="Arial"/>
          <w:snapToGrid w:val="0"/>
          <w:sz w:val="20"/>
        </w:rPr>
      </w:pPr>
    </w:p>
    <w:p w:rsidR="001B4741" w:rsidRPr="00920D36" w:rsidRDefault="001B4741" w:rsidP="001B4741">
      <w:pPr>
        <w:pStyle w:val="Heading6"/>
        <w:rPr>
          <w:rFonts w:cs="Arial"/>
          <w:i/>
          <w:snapToGrid w:val="0"/>
          <w:lang w:val="en-US"/>
        </w:rPr>
      </w:pPr>
      <w:r w:rsidRPr="00920D36">
        <w:rPr>
          <w:rFonts w:cs="Arial"/>
          <w:i/>
          <w:snapToGrid w:val="0"/>
          <w:lang w:val="en-US"/>
        </w:rPr>
        <w:t>Summary</w:t>
      </w:r>
    </w:p>
    <w:p w:rsidR="001B4741" w:rsidRPr="00920D36" w:rsidRDefault="001B4741" w:rsidP="001B4741">
      <w:pPr>
        <w:rPr>
          <w:rFonts w:ascii="Arial" w:hAnsi="Arial" w:cs="Arial"/>
          <w:i/>
          <w:snapToGrid w:val="0"/>
          <w:sz w:val="20"/>
        </w:rPr>
      </w:pPr>
    </w:p>
    <w:p w:rsidR="001B4741" w:rsidRPr="00920D36" w:rsidRDefault="001B4741" w:rsidP="001B4741">
      <w:pPr>
        <w:rPr>
          <w:rFonts w:ascii="Arial" w:hAnsi="Arial" w:cs="Arial"/>
          <w:snapToGrid w:val="0"/>
          <w:sz w:val="20"/>
        </w:rPr>
      </w:pPr>
      <w:r w:rsidRPr="00920D36">
        <w:rPr>
          <w:rFonts w:ascii="Arial" w:hAnsi="Arial" w:cs="Arial"/>
          <w:snapToGrid w:val="0"/>
          <w:sz w:val="20"/>
        </w:rPr>
        <w:t>22.</w:t>
      </w:r>
      <w:r w:rsidRPr="00920D36">
        <w:rPr>
          <w:rFonts w:ascii="Arial" w:hAnsi="Arial" w:cs="Arial"/>
          <w:snapToGrid w:val="0"/>
          <w:sz w:val="20"/>
        </w:rPr>
        <w:tab/>
        <w:t>The three cases explained above are summarized in the form of a table in the Appendix to this document.</w:t>
      </w:r>
    </w:p>
    <w:p w:rsidR="001B4741" w:rsidRPr="00920D36" w:rsidRDefault="001B4741" w:rsidP="001B4741">
      <w:pPr>
        <w:rPr>
          <w:rFonts w:ascii="Arial" w:hAnsi="Arial" w:cs="Arial"/>
          <w:snapToGrid w:val="0"/>
          <w:sz w:val="20"/>
        </w:rPr>
      </w:pPr>
    </w:p>
    <w:p w:rsidR="001B4741" w:rsidRPr="00920D36" w:rsidRDefault="001B4741" w:rsidP="001B4741">
      <w:pPr>
        <w:rPr>
          <w:rFonts w:ascii="Arial" w:hAnsi="Arial" w:cs="Arial"/>
          <w:snapToGrid w:val="0"/>
          <w:sz w:val="20"/>
        </w:rPr>
      </w:pPr>
    </w:p>
    <w:p w:rsidR="001B4741" w:rsidRPr="00920D36" w:rsidRDefault="001B4741" w:rsidP="001B4741">
      <w:pPr>
        <w:jc w:val="right"/>
        <w:rPr>
          <w:rFonts w:ascii="Arial" w:hAnsi="Arial" w:cs="Arial"/>
          <w:snapToGrid w:val="0"/>
          <w:sz w:val="20"/>
        </w:rPr>
      </w:pPr>
      <w:r w:rsidRPr="00920D36">
        <w:rPr>
          <w:rFonts w:ascii="Arial" w:hAnsi="Arial" w:cs="Arial"/>
          <w:snapToGrid w:val="0"/>
          <w:sz w:val="20"/>
        </w:rPr>
        <w:t>[Appendix follows]</w:t>
      </w:r>
    </w:p>
    <w:p w:rsidR="001B4741" w:rsidRPr="00920D36" w:rsidRDefault="001B4741" w:rsidP="001B4741">
      <w:pPr>
        <w:rPr>
          <w:rFonts w:ascii="Arial" w:hAnsi="Arial" w:cs="Arial"/>
          <w:snapToGrid w:val="0"/>
          <w:sz w:val="20"/>
        </w:rPr>
        <w:sectPr w:rsidR="001B4741" w:rsidRPr="00920D36">
          <w:headerReference w:type="default" r:id="rId8"/>
          <w:pgSz w:w="11907" w:h="16840" w:code="9"/>
          <w:pgMar w:top="510" w:right="1361" w:bottom="1418" w:left="1361" w:header="510" w:footer="1021" w:gutter="0"/>
          <w:pgNumType w:start="1"/>
          <w:cols w:space="720"/>
          <w:titlePg/>
        </w:sectPr>
      </w:pPr>
    </w:p>
    <w:p w:rsidR="001B4741" w:rsidRPr="00920D36" w:rsidRDefault="001B4741" w:rsidP="001B4741">
      <w:pPr>
        <w:rPr>
          <w:rFonts w:ascii="Arial" w:hAnsi="Arial" w:cs="Arial"/>
          <w:sz w:val="20"/>
        </w:rPr>
      </w:pPr>
    </w:p>
    <w:p w:rsidR="001B4741" w:rsidRPr="00920D36" w:rsidRDefault="001B4741" w:rsidP="001B4741">
      <w:pPr>
        <w:pStyle w:val="Heading8"/>
        <w:rPr>
          <w:rFonts w:cs="Arial"/>
        </w:rPr>
      </w:pPr>
      <w:r w:rsidRPr="00920D36">
        <w:rPr>
          <w:rFonts w:cs="Arial"/>
        </w:rPr>
        <w:t>Summary of Situations Which Can Arise from the Selection of a “Changed Form” of Variety X</w:t>
      </w:r>
    </w:p>
    <w:p w:rsidR="001B4741" w:rsidRPr="00920D36" w:rsidRDefault="001B4741" w:rsidP="001B4741">
      <w:pPr>
        <w:jc w:val="center"/>
        <w:rPr>
          <w:rFonts w:ascii="Arial" w:hAnsi="Arial" w:cs="Arial"/>
          <w:snapToGrid w:val="0"/>
          <w:sz w:val="20"/>
          <w:u w:val="single"/>
        </w:rPr>
      </w:pPr>
    </w:p>
    <w:p w:rsidR="001B4741" w:rsidRPr="00920D36" w:rsidRDefault="001B4741" w:rsidP="001B4741">
      <w:pPr>
        <w:jc w:val="center"/>
        <w:rPr>
          <w:rFonts w:ascii="Arial" w:hAnsi="Arial" w:cs="Arial"/>
          <w:snapToGrid w:val="0"/>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551"/>
        <w:gridCol w:w="2268"/>
        <w:gridCol w:w="2268"/>
        <w:gridCol w:w="4111"/>
      </w:tblGrid>
      <w:tr w:rsidR="001B4741" w:rsidRPr="00920D36" w:rsidTr="00920D36">
        <w:trPr>
          <w:gridAfter w:val="1"/>
          <w:wAfter w:w="4111" w:type="dxa"/>
          <w:cantSplit/>
          <w:jc w:val="center"/>
        </w:trPr>
        <w:tc>
          <w:tcPr>
            <w:tcW w:w="1242" w:type="dxa"/>
            <w:tcBorders>
              <w:top w:val="nil"/>
              <w:left w:val="nil"/>
              <w:bottom w:val="nil"/>
              <w:right w:val="nil"/>
            </w:tcBorders>
          </w:tcPr>
          <w:p w:rsidR="001B4741" w:rsidRPr="00920D36" w:rsidRDefault="001B4741" w:rsidP="00920D36">
            <w:pPr>
              <w:jc w:val="left"/>
              <w:rPr>
                <w:rFonts w:ascii="Arial" w:hAnsi="Arial" w:cs="Arial"/>
                <w:snapToGrid w:val="0"/>
                <w:sz w:val="20"/>
              </w:rPr>
            </w:pPr>
          </w:p>
        </w:tc>
        <w:tc>
          <w:tcPr>
            <w:tcW w:w="9072" w:type="dxa"/>
            <w:gridSpan w:val="4"/>
            <w:tcBorders>
              <w:left w:val="single" w:sz="4" w:space="0" w:color="auto"/>
            </w:tcBorders>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“Changed Form” of Variety X</w:t>
            </w:r>
          </w:p>
        </w:tc>
      </w:tr>
      <w:tr w:rsidR="001B4741" w:rsidRPr="00920D36" w:rsidTr="00920D36">
        <w:trPr>
          <w:jc w:val="center"/>
        </w:trPr>
        <w:tc>
          <w:tcPr>
            <w:tcW w:w="1242" w:type="dxa"/>
            <w:tcBorders>
              <w:top w:val="single" w:sz="4" w:space="0" w:color="auto"/>
            </w:tcBorders>
            <w:shd w:val="pct15" w:color="auto" w:fill="FFFFFF"/>
          </w:tcPr>
          <w:p w:rsidR="001B4741" w:rsidRPr="00920D36" w:rsidRDefault="001B4741" w:rsidP="00920D36">
            <w:pPr>
              <w:jc w:val="left"/>
              <w:rPr>
                <w:rFonts w:ascii="Arial" w:hAnsi="Arial" w:cs="Arial"/>
                <w:snapToGrid w:val="0"/>
                <w:sz w:val="20"/>
              </w:rPr>
            </w:pPr>
          </w:p>
        </w:tc>
        <w:tc>
          <w:tcPr>
            <w:tcW w:w="1985" w:type="dxa"/>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Distinct?</w:t>
            </w:r>
          </w:p>
        </w:tc>
        <w:tc>
          <w:tcPr>
            <w:tcW w:w="2551" w:type="dxa"/>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Essentially Derived?</w:t>
            </w:r>
          </w:p>
        </w:tc>
        <w:tc>
          <w:tcPr>
            <w:tcW w:w="2268" w:type="dxa"/>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Can be Protected by Another Breeder?</w:t>
            </w:r>
          </w:p>
        </w:tc>
        <w:tc>
          <w:tcPr>
            <w:tcW w:w="2268" w:type="dxa"/>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Can be Commercially Exploited Without the Authorization of the Breeder of Variety X?</w:t>
            </w:r>
          </w:p>
        </w:tc>
        <w:tc>
          <w:tcPr>
            <w:tcW w:w="4111" w:type="dxa"/>
            <w:shd w:val="pct15" w:color="auto" w:fill="FFFFFF"/>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Comment</w:t>
            </w:r>
          </w:p>
        </w:tc>
      </w:tr>
      <w:tr w:rsidR="001B4741" w:rsidRPr="00920D36" w:rsidTr="00920D36">
        <w:trPr>
          <w:jc w:val="center"/>
        </w:trPr>
        <w:tc>
          <w:tcPr>
            <w:tcW w:w="1242" w:type="dxa"/>
          </w:tcPr>
          <w:p w:rsidR="001B4741" w:rsidRPr="00920D36" w:rsidRDefault="001B4741" w:rsidP="00920D36">
            <w:pPr>
              <w:jc w:val="left"/>
              <w:rPr>
                <w:rFonts w:ascii="Arial" w:hAnsi="Arial" w:cs="Arial"/>
                <w:snapToGrid w:val="0"/>
                <w:sz w:val="20"/>
              </w:rPr>
            </w:pPr>
            <w:r w:rsidRPr="00920D36">
              <w:rPr>
                <w:rFonts w:ascii="Arial" w:hAnsi="Arial" w:cs="Arial"/>
                <w:snapToGrid w:val="0"/>
                <w:sz w:val="20"/>
              </w:rPr>
              <w:t>Case 1</w:t>
            </w:r>
          </w:p>
        </w:tc>
        <w:tc>
          <w:tcPr>
            <w:tcW w:w="1985"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Yes</w:t>
            </w:r>
          </w:p>
        </w:tc>
        <w:tc>
          <w:tcPr>
            <w:tcW w:w="2551"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No</w:t>
            </w:r>
          </w:p>
        </w:tc>
        <w:tc>
          <w:tcPr>
            <w:tcW w:w="2268"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Yes</w:t>
            </w:r>
            <w:r w:rsidRPr="00920D36">
              <w:rPr>
                <w:rStyle w:val="FootnoteReference"/>
                <w:rFonts w:ascii="Arial" w:hAnsi="Arial" w:cs="Arial"/>
                <w:snapToGrid w:val="0"/>
                <w:sz w:val="20"/>
              </w:rPr>
              <w:footnoteReference w:customMarkFollows="1" w:id="1"/>
              <w:t>*</w:t>
            </w:r>
          </w:p>
        </w:tc>
        <w:tc>
          <w:tcPr>
            <w:tcW w:w="2268"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Yes</w:t>
            </w:r>
          </w:p>
        </w:tc>
        <w:tc>
          <w:tcPr>
            <w:tcW w:w="4111" w:type="dxa"/>
          </w:tcPr>
          <w:p w:rsidR="001B4741" w:rsidRPr="00920D36" w:rsidRDefault="001B4741" w:rsidP="00920D36">
            <w:pPr>
              <w:jc w:val="left"/>
              <w:rPr>
                <w:rFonts w:ascii="Arial" w:hAnsi="Arial" w:cs="Arial"/>
                <w:snapToGrid w:val="0"/>
                <w:sz w:val="20"/>
              </w:rPr>
            </w:pPr>
          </w:p>
        </w:tc>
      </w:tr>
      <w:tr w:rsidR="001B4741" w:rsidRPr="00920D36" w:rsidTr="00920D36">
        <w:trPr>
          <w:jc w:val="center"/>
        </w:trPr>
        <w:tc>
          <w:tcPr>
            <w:tcW w:w="1242" w:type="dxa"/>
          </w:tcPr>
          <w:p w:rsidR="001B4741" w:rsidRPr="00920D36" w:rsidRDefault="001B4741" w:rsidP="00920D36">
            <w:pPr>
              <w:jc w:val="left"/>
              <w:rPr>
                <w:rFonts w:ascii="Arial" w:hAnsi="Arial" w:cs="Arial"/>
                <w:snapToGrid w:val="0"/>
                <w:sz w:val="20"/>
              </w:rPr>
            </w:pPr>
            <w:r w:rsidRPr="00920D36">
              <w:rPr>
                <w:rFonts w:ascii="Arial" w:hAnsi="Arial" w:cs="Arial"/>
                <w:snapToGrid w:val="0"/>
                <w:sz w:val="20"/>
              </w:rPr>
              <w:t>Case 2</w:t>
            </w:r>
          </w:p>
        </w:tc>
        <w:tc>
          <w:tcPr>
            <w:tcW w:w="1985"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Yes</w:t>
            </w:r>
          </w:p>
        </w:tc>
        <w:tc>
          <w:tcPr>
            <w:tcW w:w="2551" w:type="dxa"/>
          </w:tcPr>
          <w:p w:rsidR="001B4741" w:rsidRPr="00920D36" w:rsidRDefault="001B4741" w:rsidP="00920D36">
            <w:pPr>
              <w:jc w:val="center"/>
              <w:rPr>
                <w:rFonts w:ascii="Arial" w:hAnsi="Arial" w:cs="Arial"/>
                <w:snapToGrid w:val="0"/>
                <w:sz w:val="20"/>
                <w:vertAlign w:val="superscript"/>
              </w:rPr>
            </w:pPr>
            <w:r w:rsidRPr="00920D36">
              <w:rPr>
                <w:rFonts w:ascii="Arial" w:hAnsi="Arial" w:cs="Arial"/>
                <w:snapToGrid w:val="0"/>
                <w:sz w:val="20"/>
              </w:rPr>
              <w:t>Yes</w:t>
            </w:r>
            <w:r w:rsidRPr="00920D36">
              <w:rPr>
                <w:rFonts w:ascii="Arial" w:hAnsi="Arial" w:cs="Arial"/>
                <w:snapToGrid w:val="0"/>
                <w:sz w:val="20"/>
                <w:vertAlign w:val="superscript"/>
              </w:rPr>
              <w:t>1</w:t>
            </w:r>
          </w:p>
        </w:tc>
        <w:tc>
          <w:tcPr>
            <w:tcW w:w="2268" w:type="dxa"/>
          </w:tcPr>
          <w:p w:rsidR="001B4741" w:rsidRPr="00920D36" w:rsidRDefault="001B4741" w:rsidP="00920D36">
            <w:pPr>
              <w:jc w:val="center"/>
              <w:rPr>
                <w:rFonts w:ascii="Arial" w:hAnsi="Arial" w:cs="Arial"/>
                <w:snapToGrid w:val="0"/>
                <w:sz w:val="20"/>
                <w:vertAlign w:val="superscript"/>
              </w:rPr>
            </w:pPr>
            <w:r w:rsidRPr="00920D36">
              <w:rPr>
                <w:rFonts w:ascii="Arial" w:hAnsi="Arial" w:cs="Arial"/>
                <w:snapToGrid w:val="0"/>
                <w:sz w:val="20"/>
              </w:rPr>
              <w:t>Yes</w:t>
            </w:r>
            <w:r w:rsidRPr="00920D36">
              <w:rPr>
                <w:rStyle w:val="FootnoteReference"/>
                <w:rFonts w:ascii="Arial" w:hAnsi="Arial" w:cs="Arial"/>
                <w:sz w:val="20"/>
              </w:rPr>
              <w:t>*</w:t>
            </w:r>
          </w:p>
        </w:tc>
        <w:tc>
          <w:tcPr>
            <w:tcW w:w="2268" w:type="dxa"/>
          </w:tcPr>
          <w:p w:rsidR="001B4741" w:rsidRPr="00920D36" w:rsidRDefault="001B4741" w:rsidP="00920D36">
            <w:pPr>
              <w:jc w:val="center"/>
              <w:rPr>
                <w:rFonts w:ascii="Arial" w:hAnsi="Arial" w:cs="Arial"/>
                <w:snapToGrid w:val="0"/>
                <w:sz w:val="20"/>
                <w:vertAlign w:val="superscript"/>
              </w:rPr>
            </w:pPr>
            <w:r w:rsidRPr="00920D36">
              <w:rPr>
                <w:rFonts w:ascii="Arial" w:hAnsi="Arial" w:cs="Arial"/>
                <w:snapToGrid w:val="0"/>
                <w:sz w:val="20"/>
              </w:rPr>
              <w:t>No</w:t>
            </w:r>
            <w:r w:rsidRPr="00920D36">
              <w:rPr>
                <w:rFonts w:ascii="Arial" w:hAnsi="Arial" w:cs="Arial"/>
                <w:snapToGrid w:val="0"/>
                <w:sz w:val="20"/>
                <w:vertAlign w:val="superscript"/>
              </w:rPr>
              <w:t>2</w:t>
            </w:r>
          </w:p>
        </w:tc>
        <w:tc>
          <w:tcPr>
            <w:tcW w:w="4111" w:type="dxa"/>
          </w:tcPr>
          <w:p w:rsidR="001B4741" w:rsidRPr="00920D36" w:rsidRDefault="001B4741" w:rsidP="00920D36">
            <w:pPr>
              <w:ind w:left="176" w:hanging="284"/>
              <w:jc w:val="left"/>
              <w:rPr>
                <w:rFonts w:ascii="Arial" w:hAnsi="Arial" w:cs="Arial"/>
                <w:snapToGrid w:val="0"/>
                <w:sz w:val="20"/>
              </w:rPr>
            </w:pPr>
            <w:r w:rsidRPr="00920D36">
              <w:rPr>
                <w:rFonts w:ascii="Arial" w:hAnsi="Arial" w:cs="Arial"/>
                <w:snapToGrid w:val="0"/>
                <w:sz w:val="20"/>
                <w:vertAlign w:val="superscript"/>
              </w:rPr>
              <w:t>1.</w:t>
            </w:r>
            <w:r w:rsidRPr="00920D36">
              <w:rPr>
                <w:rFonts w:ascii="Arial" w:hAnsi="Arial" w:cs="Arial"/>
                <w:snapToGrid w:val="0"/>
                <w:sz w:val="20"/>
              </w:rPr>
              <w:t xml:space="preserve">  No guarantee that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will be accepted as an essentially derived variety</w:t>
            </w:r>
          </w:p>
          <w:p w:rsidR="001B4741" w:rsidRPr="00920D36" w:rsidRDefault="001B4741" w:rsidP="00920D36">
            <w:pPr>
              <w:ind w:left="176" w:hanging="284"/>
              <w:jc w:val="left"/>
              <w:rPr>
                <w:rFonts w:ascii="Arial" w:hAnsi="Arial" w:cs="Arial"/>
                <w:snapToGrid w:val="0"/>
                <w:sz w:val="20"/>
              </w:rPr>
            </w:pPr>
            <w:r w:rsidRPr="00920D36">
              <w:rPr>
                <w:rFonts w:ascii="Arial" w:hAnsi="Arial" w:cs="Arial"/>
                <w:snapToGrid w:val="0"/>
                <w:sz w:val="20"/>
                <w:vertAlign w:val="superscript"/>
              </w:rPr>
              <w:t>2.</w:t>
            </w:r>
            <w:r w:rsidRPr="00920D36">
              <w:rPr>
                <w:rFonts w:ascii="Arial" w:hAnsi="Arial" w:cs="Arial"/>
                <w:snapToGrid w:val="0"/>
                <w:sz w:val="20"/>
              </w:rPr>
              <w:t xml:space="preserve">  Only for as long as variety X is protected</w:t>
            </w:r>
          </w:p>
        </w:tc>
      </w:tr>
      <w:tr w:rsidR="001B4741" w:rsidRPr="00920D36" w:rsidTr="00920D36">
        <w:trPr>
          <w:jc w:val="center"/>
        </w:trPr>
        <w:tc>
          <w:tcPr>
            <w:tcW w:w="1242" w:type="dxa"/>
          </w:tcPr>
          <w:p w:rsidR="001B4741" w:rsidRPr="00920D36" w:rsidRDefault="001B4741" w:rsidP="00920D36">
            <w:pPr>
              <w:jc w:val="left"/>
              <w:rPr>
                <w:rFonts w:ascii="Arial" w:hAnsi="Arial" w:cs="Arial"/>
                <w:snapToGrid w:val="0"/>
                <w:sz w:val="20"/>
              </w:rPr>
            </w:pPr>
            <w:r w:rsidRPr="00920D36">
              <w:rPr>
                <w:rFonts w:ascii="Arial" w:hAnsi="Arial" w:cs="Arial"/>
                <w:snapToGrid w:val="0"/>
                <w:sz w:val="20"/>
              </w:rPr>
              <w:t>Case 3</w:t>
            </w:r>
          </w:p>
        </w:tc>
        <w:tc>
          <w:tcPr>
            <w:tcW w:w="1985" w:type="dxa"/>
          </w:tcPr>
          <w:p w:rsidR="001B4741" w:rsidRPr="00920D36" w:rsidRDefault="001B4741" w:rsidP="00920D36">
            <w:pPr>
              <w:jc w:val="center"/>
              <w:rPr>
                <w:rFonts w:ascii="Arial" w:hAnsi="Arial" w:cs="Arial"/>
                <w:snapToGrid w:val="0"/>
                <w:sz w:val="20"/>
                <w:vertAlign w:val="superscript"/>
              </w:rPr>
            </w:pPr>
            <w:r w:rsidRPr="00920D36">
              <w:rPr>
                <w:rFonts w:ascii="Arial" w:hAnsi="Arial" w:cs="Arial"/>
                <w:snapToGrid w:val="0"/>
                <w:sz w:val="20"/>
              </w:rPr>
              <w:t>No</w:t>
            </w:r>
            <w:r w:rsidRPr="00920D36">
              <w:rPr>
                <w:rFonts w:ascii="Arial" w:hAnsi="Arial" w:cs="Arial"/>
                <w:snapToGrid w:val="0"/>
                <w:sz w:val="20"/>
                <w:vertAlign w:val="superscript"/>
              </w:rPr>
              <w:t>3</w:t>
            </w:r>
          </w:p>
        </w:tc>
        <w:tc>
          <w:tcPr>
            <w:tcW w:w="2551"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No</w:t>
            </w:r>
          </w:p>
        </w:tc>
        <w:tc>
          <w:tcPr>
            <w:tcW w:w="2268"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No</w:t>
            </w:r>
          </w:p>
        </w:tc>
        <w:tc>
          <w:tcPr>
            <w:tcW w:w="2268" w:type="dxa"/>
          </w:tcPr>
          <w:p w:rsidR="001B4741" w:rsidRPr="00920D36" w:rsidRDefault="001B4741" w:rsidP="00920D36">
            <w:pPr>
              <w:jc w:val="center"/>
              <w:rPr>
                <w:rFonts w:ascii="Arial" w:hAnsi="Arial" w:cs="Arial"/>
                <w:snapToGrid w:val="0"/>
                <w:sz w:val="20"/>
              </w:rPr>
            </w:pPr>
            <w:r w:rsidRPr="00920D36">
              <w:rPr>
                <w:rFonts w:ascii="Arial" w:hAnsi="Arial" w:cs="Arial"/>
                <w:snapToGrid w:val="0"/>
                <w:sz w:val="20"/>
              </w:rPr>
              <w:t>No</w:t>
            </w:r>
            <w:r w:rsidRPr="00920D36">
              <w:rPr>
                <w:rFonts w:ascii="Arial" w:hAnsi="Arial" w:cs="Arial"/>
                <w:snapToGrid w:val="0"/>
                <w:sz w:val="20"/>
                <w:vertAlign w:val="superscript"/>
              </w:rPr>
              <w:t>2</w:t>
            </w:r>
          </w:p>
        </w:tc>
        <w:tc>
          <w:tcPr>
            <w:tcW w:w="4111" w:type="dxa"/>
          </w:tcPr>
          <w:p w:rsidR="001B4741" w:rsidRPr="00920D36" w:rsidRDefault="001B4741" w:rsidP="00920D36">
            <w:pPr>
              <w:ind w:left="176" w:hanging="284"/>
              <w:jc w:val="left"/>
              <w:rPr>
                <w:rFonts w:ascii="Arial" w:hAnsi="Arial" w:cs="Arial"/>
                <w:snapToGrid w:val="0"/>
                <w:sz w:val="20"/>
              </w:rPr>
            </w:pPr>
            <w:r w:rsidRPr="00920D36">
              <w:rPr>
                <w:rFonts w:ascii="Arial" w:hAnsi="Arial" w:cs="Arial"/>
                <w:snapToGrid w:val="0"/>
                <w:sz w:val="20"/>
                <w:vertAlign w:val="superscript"/>
              </w:rPr>
              <w:t xml:space="preserve">3.   </w:t>
            </w:r>
            <w:r w:rsidRPr="00920D36">
              <w:rPr>
                <w:rFonts w:ascii="Arial" w:hAnsi="Arial" w:cs="Arial"/>
                <w:snapToGrid w:val="0"/>
                <w:sz w:val="20"/>
              </w:rPr>
              <w:t xml:space="preserve">Dependent on whether the competent authority accepts the “changed </w:t>
            </w:r>
            <w:proofErr w:type="spellStart"/>
            <w:r w:rsidRPr="00920D36">
              <w:rPr>
                <w:rFonts w:ascii="Arial" w:hAnsi="Arial" w:cs="Arial"/>
                <w:snapToGrid w:val="0"/>
                <w:sz w:val="20"/>
              </w:rPr>
              <w:t>form</w:t>
            </w:r>
            <w:proofErr w:type="spellEnd"/>
            <w:r w:rsidRPr="00920D36">
              <w:rPr>
                <w:rFonts w:ascii="Arial" w:hAnsi="Arial" w:cs="Arial"/>
                <w:snapToGrid w:val="0"/>
                <w:sz w:val="20"/>
              </w:rPr>
              <w:t>” is not distinct</w:t>
            </w:r>
          </w:p>
        </w:tc>
      </w:tr>
      <w:tr w:rsidR="001B4741" w:rsidRPr="00920D36" w:rsidTr="00920D36">
        <w:trPr>
          <w:jc w:val="center"/>
        </w:trPr>
        <w:tc>
          <w:tcPr>
            <w:tcW w:w="1242" w:type="dxa"/>
          </w:tcPr>
          <w:p w:rsidR="001B4741" w:rsidRPr="00920D36" w:rsidRDefault="001B4741" w:rsidP="00920D36">
            <w:pPr>
              <w:jc w:val="left"/>
              <w:rPr>
                <w:rFonts w:ascii="Arial" w:hAnsi="Arial" w:cs="Arial"/>
                <w:snapToGrid w:val="0"/>
                <w:sz w:val="20"/>
              </w:rPr>
            </w:pPr>
          </w:p>
        </w:tc>
        <w:tc>
          <w:tcPr>
            <w:tcW w:w="1985" w:type="dxa"/>
          </w:tcPr>
          <w:p w:rsidR="001B4741" w:rsidRPr="00920D36" w:rsidRDefault="001B4741" w:rsidP="00920D36">
            <w:pPr>
              <w:jc w:val="center"/>
              <w:rPr>
                <w:rFonts w:ascii="Arial" w:hAnsi="Arial" w:cs="Arial"/>
                <w:snapToGrid w:val="0"/>
                <w:sz w:val="20"/>
              </w:rPr>
            </w:pPr>
          </w:p>
        </w:tc>
        <w:tc>
          <w:tcPr>
            <w:tcW w:w="2551" w:type="dxa"/>
          </w:tcPr>
          <w:p w:rsidR="001B4741" w:rsidRPr="00920D36" w:rsidRDefault="001B4741" w:rsidP="00920D36">
            <w:pPr>
              <w:jc w:val="center"/>
              <w:rPr>
                <w:rFonts w:ascii="Arial" w:hAnsi="Arial" w:cs="Arial"/>
                <w:snapToGrid w:val="0"/>
                <w:sz w:val="20"/>
              </w:rPr>
            </w:pPr>
          </w:p>
        </w:tc>
        <w:tc>
          <w:tcPr>
            <w:tcW w:w="2268" w:type="dxa"/>
          </w:tcPr>
          <w:p w:rsidR="001B4741" w:rsidRPr="00920D36" w:rsidRDefault="001B4741" w:rsidP="00920D36">
            <w:pPr>
              <w:jc w:val="center"/>
              <w:rPr>
                <w:rFonts w:ascii="Arial" w:hAnsi="Arial" w:cs="Arial"/>
                <w:snapToGrid w:val="0"/>
                <w:sz w:val="20"/>
              </w:rPr>
            </w:pPr>
          </w:p>
        </w:tc>
        <w:tc>
          <w:tcPr>
            <w:tcW w:w="2268" w:type="dxa"/>
          </w:tcPr>
          <w:p w:rsidR="001B4741" w:rsidRPr="00920D36" w:rsidRDefault="001B4741" w:rsidP="00920D36">
            <w:pPr>
              <w:jc w:val="center"/>
              <w:rPr>
                <w:rFonts w:ascii="Arial" w:hAnsi="Arial" w:cs="Arial"/>
                <w:snapToGrid w:val="0"/>
                <w:sz w:val="20"/>
              </w:rPr>
            </w:pPr>
          </w:p>
        </w:tc>
        <w:tc>
          <w:tcPr>
            <w:tcW w:w="4111" w:type="dxa"/>
          </w:tcPr>
          <w:p w:rsidR="001B4741" w:rsidRPr="00920D36" w:rsidRDefault="001B4741" w:rsidP="00920D36">
            <w:pPr>
              <w:ind w:left="176" w:hanging="284"/>
              <w:jc w:val="left"/>
              <w:rPr>
                <w:rFonts w:ascii="Arial" w:hAnsi="Arial" w:cs="Arial"/>
                <w:snapToGrid w:val="0"/>
                <w:sz w:val="20"/>
                <w:vertAlign w:val="superscript"/>
              </w:rPr>
            </w:pPr>
          </w:p>
        </w:tc>
      </w:tr>
    </w:tbl>
    <w:p w:rsidR="001B4741" w:rsidRPr="00920D36" w:rsidRDefault="001B4741" w:rsidP="001B4741">
      <w:pPr>
        <w:jc w:val="left"/>
        <w:rPr>
          <w:rFonts w:ascii="Arial" w:hAnsi="Arial" w:cs="Arial"/>
          <w:snapToGrid w:val="0"/>
          <w:sz w:val="20"/>
          <w:u w:val="single"/>
        </w:rPr>
      </w:pPr>
      <w:r w:rsidRPr="00920D36">
        <w:rPr>
          <w:rFonts w:ascii="Arial" w:hAnsi="Arial" w:cs="Arial"/>
          <w:snapToGrid w:val="0"/>
          <w:sz w:val="20"/>
          <w:u w:val="single"/>
        </w:rPr>
        <w:t xml:space="preserve"> </w:t>
      </w:r>
    </w:p>
    <w:p w:rsidR="001B4741" w:rsidRPr="00920D36" w:rsidRDefault="001B4741" w:rsidP="001B4741">
      <w:pPr>
        <w:jc w:val="left"/>
        <w:rPr>
          <w:rFonts w:ascii="Arial" w:hAnsi="Arial" w:cs="Arial"/>
          <w:snapToGrid w:val="0"/>
          <w:sz w:val="20"/>
          <w:u w:val="single"/>
        </w:rPr>
      </w:pPr>
    </w:p>
    <w:p w:rsidR="001B4741" w:rsidRPr="00920D36" w:rsidRDefault="001B4741" w:rsidP="001B4741">
      <w:pPr>
        <w:pStyle w:val="DecisionParagraphs"/>
        <w:jc w:val="right"/>
        <w:rPr>
          <w:rFonts w:ascii="Arial" w:hAnsi="Arial" w:cs="Arial"/>
          <w:i w:val="0"/>
          <w:sz w:val="20"/>
        </w:rPr>
      </w:pPr>
      <w:r w:rsidRPr="00920D36">
        <w:rPr>
          <w:rFonts w:ascii="Arial" w:hAnsi="Arial" w:cs="Arial"/>
          <w:i w:val="0"/>
          <w:snapToGrid w:val="0"/>
          <w:sz w:val="20"/>
        </w:rPr>
        <w:t xml:space="preserve">[End of Annex III </w:t>
      </w:r>
      <w:r w:rsidRPr="00920D36">
        <w:rPr>
          <w:rFonts w:ascii="Arial" w:hAnsi="Arial" w:cs="Arial"/>
          <w:i w:val="0"/>
          <w:sz w:val="20"/>
        </w:rPr>
        <w:t>and of document]</w:t>
      </w:r>
    </w:p>
    <w:p w:rsidR="001B4741" w:rsidRPr="00920D36" w:rsidRDefault="001B4741" w:rsidP="001B4741">
      <w:pPr>
        <w:pStyle w:val="Header"/>
        <w:rPr>
          <w:rFonts w:cs="Arial"/>
          <w:lang w:val="en-US"/>
        </w:rPr>
      </w:pPr>
    </w:p>
    <w:p w:rsidR="001B4741" w:rsidRPr="00920D36" w:rsidRDefault="001B4741" w:rsidP="001B4741">
      <w:pPr>
        <w:rPr>
          <w:rFonts w:ascii="Arial" w:hAnsi="Arial" w:cs="Arial"/>
          <w:sz w:val="20"/>
        </w:rPr>
      </w:pPr>
    </w:p>
    <w:p w:rsidR="00F15E56" w:rsidRPr="00920D36" w:rsidRDefault="00F15E56" w:rsidP="007E7836">
      <w:pPr>
        <w:rPr>
          <w:rFonts w:ascii="Arial" w:hAnsi="Arial" w:cs="Arial"/>
          <w:sz w:val="20"/>
        </w:rPr>
      </w:pPr>
    </w:p>
    <w:sectPr w:rsidR="00F15E56" w:rsidRPr="00920D36">
      <w:headerReference w:type="first" r:id="rId9"/>
      <w:footerReference w:type="first" r:id="rId10"/>
      <w:pgSz w:w="16840" w:h="11907" w:orient="landscape" w:code="9"/>
      <w:pgMar w:top="1418" w:right="1418" w:bottom="1418" w:left="510"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36" w:rsidRDefault="00920D36" w:rsidP="001B4741">
      <w:r>
        <w:separator/>
      </w:r>
    </w:p>
  </w:endnote>
  <w:endnote w:type="continuationSeparator" w:id="0">
    <w:p w:rsidR="00920D36" w:rsidRDefault="00920D36" w:rsidP="001B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36" w:rsidRDefault="0092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36" w:rsidRDefault="00920D36" w:rsidP="001B4741">
      <w:r>
        <w:separator/>
      </w:r>
    </w:p>
  </w:footnote>
  <w:footnote w:type="continuationSeparator" w:id="0">
    <w:p w:rsidR="00920D36" w:rsidRDefault="00920D36" w:rsidP="001B4741">
      <w:r>
        <w:continuationSeparator/>
      </w:r>
    </w:p>
  </w:footnote>
  <w:footnote w:id="1">
    <w:p w:rsidR="00920D36" w:rsidRDefault="00920D36" w:rsidP="001B4741">
      <w:pPr>
        <w:pStyle w:val="FootnoteText"/>
      </w:pPr>
      <w:r>
        <w:rPr>
          <w:rStyle w:val="FootnoteReference"/>
          <w:sz w:val="24"/>
        </w:rPr>
        <w:t>*</w:t>
      </w:r>
      <w:r>
        <w:rPr>
          <w:sz w:val="24"/>
        </w:rPr>
        <w:t xml:space="preserve"> </w:t>
      </w:r>
      <w:r>
        <w:tab/>
      </w:r>
      <w:proofErr w:type="gramStart"/>
      <w:r>
        <w:t>Subject to satisfying all other conditions for protection.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36" w:rsidRPr="00920D36" w:rsidRDefault="00920D36">
    <w:pPr>
      <w:jc w:val="center"/>
      <w:rPr>
        <w:rFonts w:ascii="Arial" w:hAnsi="Arial" w:cs="Arial"/>
        <w:sz w:val="20"/>
      </w:rPr>
    </w:pPr>
    <w:proofErr w:type="gramStart"/>
    <w:r w:rsidRPr="00920D36">
      <w:rPr>
        <w:rFonts w:ascii="Arial" w:hAnsi="Arial" w:cs="Arial"/>
        <w:sz w:val="20"/>
      </w:rPr>
      <w:t>page</w:t>
    </w:r>
    <w:proofErr w:type="gramEnd"/>
    <w:r w:rsidRPr="00920D36">
      <w:rPr>
        <w:rFonts w:ascii="Arial" w:hAnsi="Arial" w:cs="Arial"/>
        <w:sz w:val="20"/>
      </w:rPr>
      <w:t xml:space="preserve"> </w:t>
    </w:r>
    <w:r w:rsidRPr="00920D36">
      <w:rPr>
        <w:rFonts w:ascii="Arial" w:hAnsi="Arial" w:cs="Arial"/>
        <w:sz w:val="20"/>
      </w:rPr>
      <w:fldChar w:fldCharType="begin"/>
    </w:r>
    <w:r w:rsidRPr="00920D36">
      <w:rPr>
        <w:rFonts w:ascii="Arial" w:hAnsi="Arial" w:cs="Arial"/>
        <w:sz w:val="20"/>
      </w:rPr>
      <w:instrText xml:space="preserve"> PAGE  \* MERGEFORMAT </w:instrText>
    </w:r>
    <w:r w:rsidRPr="00920D36">
      <w:rPr>
        <w:rFonts w:ascii="Arial" w:hAnsi="Arial" w:cs="Arial"/>
        <w:sz w:val="20"/>
      </w:rPr>
      <w:fldChar w:fldCharType="separate"/>
    </w:r>
    <w:r w:rsidR="001978CD">
      <w:rPr>
        <w:rFonts w:ascii="Arial" w:hAnsi="Arial" w:cs="Arial"/>
        <w:noProof/>
        <w:sz w:val="20"/>
      </w:rPr>
      <w:t>3</w:t>
    </w:r>
    <w:r w:rsidRPr="00920D36">
      <w:rPr>
        <w:rFonts w:ascii="Arial" w:hAnsi="Arial" w:cs="Arial"/>
        <w:sz w:val="20"/>
      </w:rPr>
      <w:fldChar w:fldCharType="end"/>
    </w:r>
  </w:p>
  <w:p w:rsidR="00920D36" w:rsidRDefault="00920D3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36" w:rsidRDefault="00920D36">
    <w:pPr>
      <w:pStyle w:val="Header"/>
    </w:pPr>
    <w:r>
      <w:t>CAJ/47/8</w:t>
    </w:r>
  </w:p>
  <w:p w:rsidR="00920D36" w:rsidRDefault="00920D36">
    <w:pPr>
      <w:pStyle w:val="Header"/>
    </w:pPr>
  </w:p>
  <w:p w:rsidR="00920D36" w:rsidRDefault="00920D36">
    <w:pPr>
      <w:pStyle w:val="Header"/>
    </w:pPr>
    <w:r w:rsidRPr="001B4741">
      <w:rPr>
        <w:u w:val="single"/>
      </w:rPr>
      <w:t>APPENDIX TO</w:t>
    </w:r>
    <w:r>
      <w:t xml:space="preserve"> ANNEX </w:t>
    </w:r>
    <w:r w:rsidRPr="001B4741">
      <w:rPr>
        <w:u w:val="single"/>
      </w:rPr>
      <w:t>III</w:t>
    </w:r>
  </w:p>
  <w:p w:rsidR="00920D36" w:rsidRDefault="00920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41"/>
    <w:rsid w:val="00000531"/>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70B"/>
    <w:rsid w:val="00035D04"/>
    <w:rsid w:val="00036210"/>
    <w:rsid w:val="000362B4"/>
    <w:rsid w:val="0003732E"/>
    <w:rsid w:val="00040547"/>
    <w:rsid w:val="0004179D"/>
    <w:rsid w:val="00044035"/>
    <w:rsid w:val="00045EE0"/>
    <w:rsid w:val="00046148"/>
    <w:rsid w:val="00047094"/>
    <w:rsid w:val="000476B5"/>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2D"/>
    <w:rsid w:val="00104864"/>
    <w:rsid w:val="001051F1"/>
    <w:rsid w:val="00105420"/>
    <w:rsid w:val="00106091"/>
    <w:rsid w:val="00111C96"/>
    <w:rsid w:val="00113AE2"/>
    <w:rsid w:val="001166FC"/>
    <w:rsid w:val="00120461"/>
    <w:rsid w:val="00122F6C"/>
    <w:rsid w:val="0013000A"/>
    <w:rsid w:val="00130571"/>
    <w:rsid w:val="00131413"/>
    <w:rsid w:val="00131973"/>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978CD"/>
    <w:rsid w:val="001A0105"/>
    <w:rsid w:val="001A08A2"/>
    <w:rsid w:val="001A1679"/>
    <w:rsid w:val="001A1940"/>
    <w:rsid w:val="001A387A"/>
    <w:rsid w:val="001A4181"/>
    <w:rsid w:val="001A44D2"/>
    <w:rsid w:val="001A59D0"/>
    <w:rsid w:val="001B22CC"/>
    <w:rsid w:val="001B2D4A"/>
    <w:rsid w:val="001B370C"/>
    <w:rsid w:val="001B4741"/>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3C8"/>
    <w:rsid w:val="00240860"/>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5EE"/>
    <w:rsid w:val="00466F95"/>
    <w:rsid w:val="00470205"/>
    <w:rsid w:val="00472A58"/>
    <w:rsid w:val="00473812"/>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4A61"/>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406E"/>
    <w:rsid w:val="0075571A"/>
    <w:rsid w:val="00757526"/>
    <w:rsid w:val="007623E3"/>
    <w:rsid w:val="00766AAD"/>
    <w:rsid w:val="00766F6F"/>
    <w:rsid w:val="00767D20"/>
    <w:rsid w:val="00770A36"/>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835"/>
    <w:rsid w:val="00840A4A"/>
    <w:rsid w:val="00840B87"/>
    <w:rsid w:val="00841060"/>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4"/>
    <w:rsid w:val="008926B9"/>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D36"/>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2C23"/>
    <w:rsid w:val="00A9313D"/>
    <w:rsid w:val="00A94A1A"/>
    <w:rsid w:val="00A94C29"/>
    <w:rsid w:val="00A95126"/>
    <w:rsid w:val="00AA271B"/>
    <w:rsid w:val="00AA2C95"/>
    <w:rsid w:val="00AA3949"/>
    <w:rsid w:val="00AA39B0"/>
    <w:rsid w:val="00AA4720"/>
    <w:rsid w:val="00AA55F7"/>
    <w:rsid w:val="00AA5ECB"/>
    <w:rsid w:val="00AA6D37"/>
    <w:rsid w:val="00AA7159"/>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26C8"/>
    <w:rsid w:val="00B44B25"/>
    <w:rsid w:val="00B4518D"/>
    <w:rsid w:val="00B451EF"/>
    <w:rsid w:val="00B473E7"/>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C1"/>
    <w:rsid w:val="00B82F2F"/>
    <w:rsid w:val="00B86C64"/>
    <w:rsid w:val="00B87546"/>
    <w:rsid w:val="00B87757"/>
    <w:rsid w:val="00B878BF"/>
    <w:rsid w:val="00B90C15"/>
    <w:rsid w:val="00B911F8"/>
    <w:rsid w:val="00B91610"/>
    <w:rsid w:val="00B92748"/>
    <w:rsid w:val="00B93F7B"/>
    <w:rsid w:val="00B95D55"/>
    <w:rsid w:val="00B960FB"/>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662C"/>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53A"/>
    <w:rsid w:val="00D31D97"/>
    <w:rsid w:val="00D320C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6285"/>
    <w:rsid w:val="00F96CB3"/>
    <w:rsid w:val="00FA07DA"/>
    <w:rsid w:val="00FA3CC3"/>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741"/>
    <w:pPr>
      <w:jc w:val="both"/>
    </w:pPr>
    <w:rPr>
      <w:sz w:val="24"/>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rFonts w:ascii="Arial" w:hAnsi="Arial"/>
      <w:sz w:val="20"/>
      <w:lang w:val="es-ES_tradnl"/>
    </w:rPr>
  </w:style>
  <w:style w:type="paragraph" w:styleId="Heading7">
    <w:name w:val="heading 7"/>
    <w:basedOn w:val="Normal"/>
    <w:next w:val="Normal"/>
    <w:qFormat/>
    <w:rsid w:val="004C0802"/>
    <w:pPr>
      <w:spacing w:before="240" w:after="60"/>
      <w:outlineLvl w:val="6"/>
    </w:pPr>
    <w:rPr>
      <w:rFonts w:ascii="Arial" w:hAnsi="Arial"/>
      <w:sz w:val="20"/>
      <w:szCs w:val="24"/>
    </w:rPr>
  </w:style>
  <w:style w:type="paragraph" w:styleId="Heading8">
    <w:name w:val="heading 8"/>
    <w:basedOn w:val="Normal"/>
    <w:next w:val="Normal"/>
    <w:qFormat/>
    <w:rsid w:val="004C0802"/>
    <w:pPr>
      <w:keepNext/>
      <w:jc w:val="center"/>
      <w:outlineLvl w:val="7"/>
    </w:pPr>
    <w:rPr>
      <w:rFonts w:ascii="Arial" w:hAnsi="Arial"/>
      <w:sz w:val="20"/>
      <w:u w:val="single"/>
    </w:rPr>
  </w:style>
  <w:style w:type="paragraph" w:styleId="Heading9">
    <w:name w:val="heading 9"/>
    <w:basedOn w:val="Normal"/>
    <w:next w:val="Normal"/>
    <w:qFormat/>
    <w:rsid w:val="000E253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rFonts w:ascii="Arial" w:hAnsi="Arial"/>
      <w:sz w:val="20"/>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rFonts w:ascii="Arial" w:hAnsi="Arial"/>
      <w:color w:val="800000"/>
      <w:sz w:val="20"/>
      <w:u w:val="words"/>
    </w:rPr>
  </w:style>
  <w:style w:type="paragraph" w:customStyle="1" w:styleId="Draft">
    <w:name w:val="Draft"/>
    <w:basedOn w:val="Normal"/>
    <w:next w:val="preparedby"/>
    <w:rsid w:val="000E2537"/>
    <w:pPr>
      <w:spacing w:before="720" w:after="480"/>
      <w:jc w:val="center"/>
    </w:pPr>
    <w:rPr>
      <w:rFonts w:ascii="Arial" w:hAnsi="Arial"/>
      <w:caps/>
      <w:sz w:val="28"/>
    </w:rPr>
  </w:style>
  <w:style w:type="paragraph" w:customStyle="1" w:styleId="preparedby">
    <w:name w:val="preparedby"/>
    <w:basedOn w:val="Normal"/>
    <w:next w:val="Normal"/>
    <w:rsid w:val="000E2537"/>
    <w:pPr>
      <w:spacing w:after="600"/>
      <w:jc w:val="center"/>
    </w:pPr>
    <w:rPr>
      <w:rFonts w:ascii="Arial" w:hAnsi="Arial"/>
      <w:i/>
      <w:sz w:val="20"/>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rFonts w:ascii="Arial" w:hAnsi="Arial"/>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rPr>
      <w:rFonts w:ascii="Arial" w:hAnsi="Arial"/>
      <w:sz w:val="20"/>
    </w:rPr>
  </w:style>
  <w:style w:type="paragraph" w:styleId="TOC1">
    <w:name w:val="toc 1"/>
    <w:basedOn w:val="Normal"/>
    <w:next w:val="Normal"/>
    <w:autoRedefine/>
    <w:semiHidden/>
    <w:rsid w:val="00230491"/>
    <w:pPr>
      <w:tabs>
        <w:tab w:val="right" w:leader="dot" w:pos="9639"/>
      </w:tabs>
      <w:spacing w:before="60" w:after="120"/>
      <w:ind w:right="851"/>
      <w:jc w:val="left"/>
    </w:pPr>
    <w:rPr>
      <w:rFonts w:ascii="Arial" w:hAnsi="Arial"/>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rPr>
      <w:rFonts w:ascii="Arial" w:hAnsi="Arial"/>
      <w:sz w:val="20"/>
    </w:r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rFonts w:ascii="Arial" w:hAnsi="Arial"/>
      <w:b/>
      <w:sz w:val="22"/>
    </w:rPr>
  </w:style>
  <w:style w:type="paragraph" w:customStyle="1" w:styleId="Original">
    <w:name w:val="Original"/>
    <w:basedOn w:val="Normal"/>
    <w:rsid w:val="000E2537"/>
    <w:pPr>
      <w:spacing w:before="60"/>
      <w:ind w:left="1276"/>
    </w:pPr>
    <w:rPr>
      <w:rFonts w:ascii="Arial" w:hAnsi="Arial"/>
      <w:b/>
      <w:sz w:val="22"/>
    </w:rPr>
  </w:style>
  <w:style w:type="paragraph" w:styleId="BodyTextIndent">
    <w:name w:val="Body Text Indent"/>
    <w:basedOn w:val="Normal"/>
    <w:rsid w:val="004A6ADF"/>
    <w:pPr>
      <w:ind w:left="567"/>
    </w:pPr>
    <w:rPr>
      <w:rFonts w:ascii="Arial" w:hAnsi="Arial"/>
      <w:sz w:val="20"/>
      <w:lang w:val="es-ES_tradnl"/>
    </w:rPr>
  </w:style>
  <w:style w:type="paragraph" w:customStyle="1" w:styleId="twpcheck">
    <w:name w:val="twpcheck"/>
    <w:basedOn w:val="Normal"/>
    <w:rsid w:val="004C0802"/>
    <w:pPr>
      <w:spacing w:before="80" w:after="80"/>
      <w:jc w:val="left"/>
    </w:pPr>
    <w:rPr>
      <w:rFonts w:ascii="Arial" w:hAnsi="Arial" w:cs="Arial"/>
      <w:snapToGrid w:val="0"/>
      <w:sz w:val="16"/>
      <w:szCs w:val="16"/>
    </w:rPr>
  </w:style>
  <w:style w:type="paragraph" w:customStyle="1" w:styleId="DecisionInvitingPara">
    <w:name w:val="Decision Inviting Para."/>
    <w:basedOn w:val="Normal"/>
    <w:rsid w:val="004A6ADF"/>
    <w:pPr>
      <w:ind w:left="4536"/>
    </w:pPr>
    <w:rPr>
      <w:rFonts w:ascii="Arial" w:hAnsi="Arial"/>
      <w:i/>
      <w:sz w:val="20"/>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rFonts w:ascii="Arial" w:hAnsi="Arial"/>
      <w:i/>
      <w:sz w:val="18"/>
    </w:rPr>
  </w:style>
  <w:style w:type="paragraph" w:customStyle="1" w:styleId="Enttepair">
    <w:name w:val="Entête_pair"/>
    <w:basedOn w:val="Normal"/>
    <w:next w:val="Normal"/>
    <w:rsid w:val="004C0802"/>
    <w:pPr>
      <w:pBdr>
        <w:bottom w:val="single" w:sz="4" w:space="1" w:color="auto"/>
      </w:pBdr>
      <w:jc w:val="left"/>
    </w:pPr>
    <w:rPr>
      <w:rFonts w:ascii="Arial" w:hAnsi="Arial"/>
      <w:sz w:val="20"/>
      <w:szCs w:val="24"/>
    </w:rPr>
  </w:style>
  <w:style w:type="paragraph" w:customStyle="1" w:styleId="Entteimpair">
    <w:name w:val="Entête_impair"/>
    <w:basedOn w:val="Normal"/>
    <w:next w:val="Normal"/>
    <w:rsid w:val="004C0802"/>
    <w:pPr>
      <w:pBdr>
        <w:bottom w:val="single" w:sz="4" w:space="1" w:color="auto"/>
      </w:pBdr>
      <w:jc w:val="right"/>
    </w:pPr>
    <w:rPr>
      <w:rFonts w:ascii="Arial" w:hAnsi="Arial"/>
      <w:sz w:val="20"/>
    </w:r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rFonts w:ascii="Arial" w:hAnsi="Arial"/>
      <w:b/>
      <w:sz w:val="30"/>
    </w:rPr>
  </w:style>
  <w:style w:type="paragraph" w:styleId="Signature">
    <w:name w:val="Signature"/>
    <w:basedOn w:val="Normal"/>
    <w:rsid w:val="000E2537"/>
    <w:pPr>
      <w:ind w:left="4536"/>
      <w:jc w:val="center"/>
    </w:pPr>
    <w:rPr>
      <w:rFonts w:ascii="Arial" w:hAnsi="Arial"/>
      <w:sz w:val="20"/>
    </w:r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rPr>
      <w:rFonts w:ascii="Arial" w:hAnsi="Arial"/>
      <w:sz w:val="20"/>
    </w:rPr>
  </w:style>
  <w:style w:type="paragraph" w:styleId="Closing">
    <w:name w:val="Closing"/>
    <w:basedOn w:val="Normal"/>
    <w:rsid w:val="000E2537"/>
    <w:pPr>
      <w:ind w:left="4536"/>
      <w:jc w:val="center"/>
    </w:pPr>
    <w:rPr>
      <w:rFonts w:ascii="Arial" w:hAnsi="Arial"/>
      <w:sz w:val="20"/>
    </w:rPr>
  </w:style>
  <w:style w:type="paragraph" w:styleId="E-mailSignature">
    <w:name w:val="E-mail Signature"/>
    <w:basedOn w:val="Normal"/>
    <w:semiHidden/>
    <w:rsid w:val="000E2537"/>
    <w:rPr>
      <w:rFonts w:ascii="Arial" w:hAnsi="Arial"/>
      <w:sz w:val="20"/>
    </w:rPr>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ascii="Arial" w:hAnsi="Arial" w:cs="Arial"/>
      <w:sz w:val="20"/>
      <w:szCs w:val="24"/>
    </w:rPr>
  </w:style>
  <w:style w:type="paragraph" w:styleId="EnvelopeReturn">
    <w:name w:val="envelope return"/>
    <w:basedOn w:val="Normal"/>
    <w:semiHidden/>
    <w:rsid w:val="000E2537"/>
    <w:rPr>
      <w:rFonts w:ascii="Arial" w:hAnsi="Arial" w:cs="Arial"/>
      <w:sz w:val="20"/>
    </w:rPr>
  </w:style>
  <w:style w:type="character" w:styleId="HTMLAcronym">
    <w:name w:val="HTML Acronym"/>
    <w:basedOn w:val="DefaultParagraphFont"/>
    <w:semiHidden/>
    <w:rsid w:val="004C0802"/>
  </w:style>
  <w:style w:type="paragraph" w:styleId="HTMLAddress">
    <w:name w:val="HTML Address"/>
    <w:basedOn w:val="Normal"/>
    <w:semiHidden/>
    <w:rsid w:val="004C0802"/>
    <w:rPr>
      <w:rFonts w:ascii="Arial" w:hAnsi="Arial"/>
      <w:i/>
      <w:iCs/>
      <w:sz w:val="20"/>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sz w:val="20"/>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rPr>
      <w:rFonts w:ascii="Arial" w:hAnsi="Arial"/>
      <w:sz w:val="20"/>
    </w:rPr>
  </w:style>
  <w:style w:type="paragraph" w:styleId="List2">
    <w:name w:val="List 2"/>
    <w:basedOn w:val="Normal"/>
    <w:semiHidden/>
    <w:rsid w:val="004C0802"/>
    <w:pPr>
      <w:ind w:left="720" w:hanging="360"/>
    </w:pPr>
    <w:rPr>
      <w:rFonts w:ascii="Arial" w:hAnsi="Arial"/>
      <w:sz w:val="20"/>
    </w:rPr>
  </w:style>
  <w:style w:type="paragraph" w:styleId="List3">
    <w:name w:val="List 3"/>
    <w:basedOn w:val="Normal"/>
    <w:semiHidden/>
    <w:rsid w:val="004C0802"/>
    <w:pPr>
      <w:ind w:left="1080" w:hanging="360"/>
    </w:pPr>
    <w:rPr>
      <w:rFonts w:ascii="Arial" w:hAnsi="Arial"/>
      <w:sz w:val="20"/>
    </w:rPr>
  </w:style>
  <w:style w:type="paragraph" w:styleId="List4">
    <w:name w:val="List 4"/>
    <w:basedOn w:val="Normal"/>
    <w:semiHidden/>
    <w:rsid w:val="004C0802"/>
    <w:pPr>
      <w:ind w:left="1440" w:hanging="360"/>
    </w:pPr>
    <w:rPr>
      <w:rFonts w:ascii="Arial" w:hAnsi="Arial"/>
      <w:sz w:val="20"/>
    </w:rPr>
  </w:style>
  <w:style w:type="paragraph" w:styleId="List5">
    <w:name w:val="List 5"/>
    <w:basedOn w:val="Normal"/>
    <w:semiHidden/>
    <w:rsid w:val="004C0802"/>
    <w:pPr>
      <w:ind w:left="1800" w:hanging="360"/>
    </w:pPr>
    <w:rPr>
      <w:rFonts w:ascii="Arial" w:hAnsi="Arial"/>
      <w:sz w:val="20"/>
    </w:rPr>
  </w:style>
  <w:style w:type="paragraph" w:styleId="ListBullet">
    <w:name w:val="List Bullet"/>
    <w:basedOn w:val="Normal"/>
    <w:autoRedefine/>
    <w:rsid w:val="000E2537"/>
    <w:pPr>
      <w:tabs>
        <w:tab w:val="num" w:pos="360"/>
      </w:tabs>
      <w:ind w:left="360" w:hanging="360"/>
    </w:pPr>
    <w:rPr>
      <w:rFonts w:ascii="Arial" w:hAnsi="Arial"/>
      <w:bCs/>
      <w:sz w:val="20"/>
      <w:szCs w:val="24"/>
      <w:lang w:val="es-ES" w:eastAsia="zh-CN"/>
    </w:rPr>
  </w:style>
  <w:style w:type="paragraph" w:styleId="ListBullet2">
    <w:name w:val="List Bullet 2"/>
    <w:basedOn w:val="Normal"/>
    <w:semiHidden/>
    <w:rsid w:val="004C0802"/>
    <w:pPr>
      <w:tabs>
        <w:tab w:val="num" w:pos="720"/>
      </w:tabs>
      <w:ind w:left="720" w:hanging="360"/>
    </w:pPr>
    <w:rPr>
      <w:rFonts w:ascii="Arial" w:hAnsi="Arial"/>
      <w:sz w:val="20"/>
    </w:rPr>
  </w:style>
  <w:style w:type="paragraph" w:styleId="ListBullet3">
    <w:name w:val="List Bullet 3"/>
    <w:basedOn w:val="Normal"/>
    <w:semiHidden/>
    <w:rsid w:val="004C0802"/>
    <w:pPr>
      <w:tabs>
        <w:tab w:val="num" w:pos="1080"/>
      </w:tabs>
      <w:ind w:left="1080" w:hanging="360"/>
    </w:pPr>
    <w:rPr>
      <w:rFonts w:ascii="Arial" w:hAnsi="Arial"/>
      <w:sz w:val="20"/>
    </w:rPr>
  </w:style>
  <w:style w:type="paragraph" w:styleId="ListBullet4">
    <w:name w:val="List Bullet 4"/>
    <w:basedOn w:val="Normal"/>
    <w:semiHidden/>
    <w:rsid w:val="004C0802"/>
    <w:pPr>
      <w:tabs>
        <w:tab w:val="num" w:pos="1440"/>
      </w:tabs>
      <w:ind w:left="1440" w:hanging="360"/>
    </w:pPr>
    <w:rPr>
      <w:rFonts w:ascii="Arial" w:hAnsi="Arial"/>
      <w:sz w:val="20"/>
    </w:rPr>
  </w:style>
  <w:style w:type="paragraph" w:styleId="ListBullet5">
    <w:name w:val="List Bullet 5"/>
    <w:basedOn w:val="Normal"/>
    <w:semiHidden/>
    <w:rsid w:val="004C0802"/>
    <w:pPr>
      <w:tabs>
        <w:tab w:val="num" w:pos="1800"/>
      </w:tabs>
      <w:ind w:left="1800" w:hanging="360"/>
    </w:pPr>
    <w:rPr>
      <w:rFonts w:ascii="Arial" w:hAnsi="Arial"/>
      <w:sz w:val="20"/>
    </w:rPr>
  </w:style>
  <w:style w:type="paragraph" w:styleId="ListContinue">
    <w:name w:val="List Continue"/>
    <w:basedOn w:val="Normal"/>
    <w:semiHidden/>
    <w:rsid w:val="004C0802"/>
    <w:pPr>
      <w:spacing w:after="120"/>
      <w:ind w:left="360"/>
    </w:pPr>
    <w:rPr>
      <w:rFonts w:ascii="Arial" w:hAnsi="Arial"/>
      <w:sz w:val="20"/>
    </w:rPr>
  </w:style>
  <w:style w:type="paragraph" w:styleId="ListContinue2">
    <w:name w:val="List Continue 2"/>
    <w:basedOn w:val="Normal"/>
    <w:semiHidden/>
    <w:rsid w:val="004C0802"/>
    <w:pPr>
      <w:spacing w:after="120"/>
      <w:ind w:left="720"/>
    </w:pPr>
    <w:rPr>
      <w:rFonts w:ascii="Arial" w:hAnsi="Arial"/>
      <w:sz w:val="20"/>
    </w:rPr>
  </w:style>
  <w:style w:type="paragraph" w:styleId="ListContinue3">
    <w:name w:val="List Continue 3"/>
    <w:basedOn w:val="Normal"/>
    <w:semiHidden/>
    <w:rsid w:val="004C0802"/>
    <w:pPr>
      <w:spacing w:after="120"/>
      <w:ind w:left="1080"/>
    </w:pPr>
    <w:rPr>
      <w:rFonts w:ascii="Arial" w:hAnsi="Arial"/>
      <w:sz w:val="20"/>
    </w:rPr>
  </w:style>
  <w:style w:type="paragraph" w:styleId="ListContinue4">
    <w:name w:val="List Continue 4"/>
    <w:basedOn w:val="Normal"/>
    <w:semiHidden/>
    <w:rsid w:val="004C0802"/>
    <w:pPr>
      <w:spacing w:after="120"/>
      <w:ind w:left="1440"/>
    </w:pPr>
    <w:rPr>
      <w:rFonts w:ascii="Arial" w:hAnsi="Arial"/>
      <w:sz w:val="20"/>
    </w:rPr>
  </w:style>
  <w:style w:type="paragraph" w:styleId="ListContinue5">
    <w:name w:val="List Continue 5"/>
    <w:basedOn w:val="Normal"/>
    <w:semiHidden/>
    <w:rsid w:val="004C0802"/>
    <w:pPr>
      <w:spacing w:after="120"/>
      <w:ind w:left="1800"/>
    </w:pPr>
    <w:rPr>
      <w:rFonts w:ascii="Arial" w:hAnsi="Arial"/>
      <w:sz w:val="20"/>
    </w:rPr>
  </w:style>
  <w:style w:type="paragraph" w:styleId="ListNumber">
    <w:name w:val="List Number"/>
    <w:basedOn w:val="Normal"/>
    <w:semiHidden/>
    <w:rsid w:val="004C0802"/>
    <w:pPr>
      <w:tabs>
        <w:tab w:val="num" w:pos="360"/>
      </w:tabs>
      <w:ind w:left="360" w:hanging="360"/>
    </w:pPr>
    <w:rPr>
      <w:rFonts w:ascii="Arial" w:hAnsi="Arial"/>
      <w:sz w:val="20"/>
    </w:rPr>
  </w:style>
  <w:style w:type="paragraph" w:styleId="ListNumber2">
    <w:name w:val="List Number 2"/>
    <w:basedOn w:val="Normal"/>
    <w:semiHidden/>
    <w:rsid w:val="004C0802"/>
    <w:pPr>
      <w:tabs>
        <w:tab w:val="num" w:pos="720"/>
      </w:tabs>
      <w:ind w:left="720" w:hanging="360"/>
    </w:pPr>
    <w:rPr>
      <w:rFonts w:ascii="Arial" w:hAnsi="Arial"/>
      <w:sz w:val="20"/>
    </w:rPr>
  </w:style>
  <w:style w:type="paragraph" w:styleId="ListNumber3">
    <w:name w:val="List Number 3"/>
    <w:basedOn w:val="Normal"/>
    <w:semiHidden/>
    <w:rsid w:val="004C0802"/>
    <w:pPr>
      <w:tabs>
        <w:tab w:val="num" w:pos="1080"/>
      </w:tabs>
      <w:ind w:left="1080" w:hanging="360"/>
    </w:pPr>
    <w:rPr>
      <w:rFonts w:ascii="Arial" w:hAnsi="Arial"/>
      <w:sz w:val="20"/>
    </w:rPr>
  </w:style>
  <w:style w:type="paragraph" w:styleId="ListNumber4">
    <w:name w:val="List Number 4"/>
    <w:basedOn w:val="Normal"/>
    <w:semiHidden/>
    <w:rsid w:val="004C0802"/>
    <w:pPr>
      <w:tabs>
        <w:tab w:val="num" w:pos="1440"/>
      </w:tabs>
      <w:ind w:left="1440" w:hanging="360"/>
    </w:pPr>
    <w:rPr>
      <w:rFonts w:ascii="Arial" w:hAnsi="Arial"/>
      <w:sz w:val="20"/>
    </w:rPr>
  </w:style>
  <w:style w:type="paragraph" w:styleId="ListNumber5">
    <w:name w:val="List Number 5"/>
    <w:basedOn w:val="Normal"/>
    <w:semiHidden/>
    <w:rsid w:val="004C0802"/>
    <w:pPr>
      <w:tabs>
        <w:tab w:val="num" w:pos="1800"/>
      </w:tabs>
      <w:ind w:left="1800" w:hanging="360"/>
    </w:pPr>
    <w:rPr>
      <w:rFonts w:ascii="Arial" w:hAnsi="Arial"/>
      <w:sz w:val="20"/>
    </w:r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0"/>
      <w:szCs w:val="24"/>
    </w:rPr>
  </w:style>
  <w:style w:type="paragraph" w:styleId="NoteHeading">
    <w:name w:val="Note Heading"/>
    <w:basedOn w:val="Normal"/>
    <w:next w:val="Normal"/>
    <w:semiHidden/>
    <w:rsid w:val="004C0802"/>
    <w:rPr>
      <w:rFonts w:ascii="Arial" w:hAnsi="Arial"/>
      <w:sz w:val="20"/>
    </w:rPr>
  </w:style>
  <w:style w:type="paragraph" w:styleId="Salutation">
    <w:name w:val="Salutation"/>
    <w:basedOn w:val="Normal"/>
    <w:next w:val="Normal"/>
    <w:semiHidden/>
    <w:rsid w:val="004C0802"/>
    <w:rPr>
      <w:rFonts w:ascii="Arial" w:hAnsi="Arial"/>
      <w:sz w:val="20"/>
    </w:rPr>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ascii="Arial" w:hAnsi="Arial" w:cs="Arial"/>
      <w:sz w:val="20"/>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rPr>
      <w:rFonts w:ascii="Arial" w:hAnsi="Arial"/>
      <w:sz w:val="20"/>
    </w:rPr>
  </w:style>
  <w:style w:type="paragraph" w:styleId="TOC8">
    <w:name w:val="toc 8"/>
    <w:basedOn w:val="Normal"/>
    <w:next w:val="Normal"/>
    <w:autoRedefine/>
    <w:semiHidden/>
    <w:rsid w:val="000E2537"/>
    <w:pPr>
      <w:ind w:left="1680"/>
    </w:pPr>
    <w:rPr>
      <w:rFonts w:ascii="Arial" w:hAnsi="Arial"/>
      <w:sz w:val="20"/>
    </w:rPr>
  </w:style>
  <w:style w:type="paragraph" w:styleId="TOC9">
    <w:name w:val="toc 9"/>
    <w:basedOn w:val="Normal"/>
    <w:next w:val="Normal"/>
    <w:autoRedefine/>
    <w:semiHidden/>
    <w:rsid w:val="000E2537"/>
    <w:pPr>
      <w:ind w:left="1920"/>
    </w:pPr>
    <w:rPr>
      <w:rFonts w:ascii="Arial" w:hAnsi="Arial"/>
      <w:sz w:val="20"/>
    </w:r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rFonts w:ascii="Arial" w:hAnsi="Arial"/>
      <w:sz w:val="22"/>
    </w:rPr>
  </w:style>
  <w:style w:type="paragraph" w:styleId="Caption">
    <w:name w:val="caption"/>
    <w:basedOn w:val="Normal"/>
    <w:next w:val="Normal"/>
    <w:qFormat/>
    <w:rsid w:val="004C0802"/>
    <w:pPr>
      <w:framePr w:w="11102" w:hSpace="181" w:wrap="around" w:vAnchor="page" w:hAnchor="page" w:x="438" w:y="15985" w:anchorLock="1"/>
      <w:jc w:val="center"/>
    </w:pPr>
    <w:rPr>
      <w:rFonts w:ascii="Arial" w:hAnsi="Arial"/>
      <w:b/>
      <w:snapToGrid w:val="0"/>
      <w:sz w:val="20"/>
    </w:rPr>
  </w:style>
  <w:style w:type="paragraph" w:styleId="CommentText">
    <w:name w:val="annotation text"/>
    <w:basedOn w:val="Normal"/>
    <w:semiHidden/>
    <w:rsid w:val="004A6ADF"/>
    <w:rPr>
      <w:rFonts w:ascii="Arial" w:hAnsi="Arial"/>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rFonts w:ascii="Arial" w:hAnsi="Arial"/>
      <w:b/>
      <w:caps/>
      <w:kern w:val="28"/>
      <w:sz w:val="30"/>
    </w:rPr>
  </w:style>
  <w:style w:type="paragraph" w:styleId="Index1">
    <w:name w:val="index 1"/>
    <w:basedOn w:val="Normal"/>
    <w:next w:val="Normal"/>
    <w:semiHidden/>
    <w:rsid w:val="000E2537"/>
    <w:pPr>
      <w:tabs>
        <w:tab w:val="right" w:leader="dot" w:pos="9071"/>
      </w:tabs>
      <w:ind w:left="284" w:hanging="284"/>
    </w:pPr>
    <w:rPr>
      <w:rFonts w:ascii="Arial" w:hAnsi="Arial"/>
      <w:sz w:val="20"/>
    </w:rPr>
  </w:style>
  <w:style w:type="paragraph" w:styleId="Index2">
    <w:name w:val="index 2"/>
    <w:basedOn w:val="Normal"/>
    <w:next w:val="Normal"/>
    <w:semiHidden/>
    <w:rsid w:val="000E2537"/>
    <w:pPr>
      <w:tabs>
        <w:tab w:val="right" w:leader="dot" w:pos="9071"/>
      </w:tabs>
      <w:ind w:left="568" w:hanging="284"/>
    </w:pPr>
    <w:rPr>
      <w:rFonts w:ascii="Arial" w:hAnsi="Arial"/>
      <w:sz w:val="20"/>
    </w:rPr>
  </w:style>
  <w:style w:type="paragraph" w:styleId="Index3">
    <w:name w:val="index 3"/>
    <w:basedOn w:val="Normal"/>
    <w:next w:val="Normal"/>
    <w:semiHidden/>
    <w:rsid w:val="000E2537"/>
    <w:pPr>
      <w:tabs>
        <w:tab w:val="right" w:leader="dot" w:pos="9071"/>
      </w:tabs>
      <w:ind w:left="851" w:hanging="284"/>
    </w:pPr>
    <w:rPr>
      <w:rFonts w:ascii="Arial" w:hAnsi="Arial"/>
      <w:sz w:val="20"/>
    </w:r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rFonts w:ascii="Arial" w:hAnsi="Arial"/>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rFonts w:ascii="Arial" w:hAnsi="Arial"/>
      <w:noProof/>
      <w:snapToGrid w:val="0"/>
      <w:sz w:val="20"/>
      <w:szCs w:val="24"/>
    </w:rPr>
  </w:style>
  <w:style w:type="paragraph" w:customStyle="1" w:styleId="TitleofDoc">
    <w:name w:val="Title of Doc"/>
    <w:basedOn w:val="Normal"/>
    <w:rsid w:val="000E2537"/>
    <w:pPr>
      <w:spacing w:before="1200"/>
      <w:jc w:val="center"/>
    </w:pPr>
    <w:rPr>
      <w:rFonts w:ascii="Arial" w:hAnsi="Arial"/>
      <w:caps/>
      <w:sz w:val="20"/>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rFonts w:ascii="Arial" w:hAnsi="Arial"/>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sz w:val="20"/>
      <w:lang w:eastAsia="fr-FR"/>
    </w:rPr>
  </w:style>
  <w:style w:type="paragraph" w:customStyle="1" w:styleId="DecisionParagraphs">
    <w:name w:val="DecisionParagraphs"/>
    <w:basedOn w:val="Normal"/>
    <w:rsid w:val="001B4741"/>
    <w:pPr>
      <w:ind w:left="4536"/>
    </w:pPr>
    <w:rPr>
      <w:i/>
    </w:rPr>
  </w:style>
  <w:style w:type="paragraph" w:customStyle="1" w:styleId="preparedby0">
    <w:name w:val="prepared by"/>
    <w:basedOn w:val="Normal"/>
    <w:rsid w:val="001B4741"/>
    <w:pPr>
      <w:spacing w:before="600" w:after="600"/>
      <w:jc w:val="center"/>
    </w:pPr>
    <w:rPr>
      <w:i/>
    </w:rPr>
  </w:style>
  <w:style w:type="paragraph" w:styleId="BodyTextIndent2">
    <w:name w:val="Body Text Indent 2"/>
    <w:basedOn w:val="Normal"/>
    <w:link w:val="BodyTextIndent2Char"/>
    <w:rsid w:val="001B4741"/>
    <w:pPr>
      <w:ind w:firstLine="567"/>
    </w:pPr>
  </w:style>
  <w:style w:type="character" w:customStyle="1" w:styleId="BodyTextIndent2Char">
    <w:name w:val="Body Text Indent 2 Char"/>
    <w:basedOn w:val="DefaultParagraphFont"/>
    <w:link w:val="BodyTextIndent2"/>
    <w:rsid w:val="001B474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741"/>
    <w:pPr>
      <w:jc w:val="both"/>
    </w:pPr>
    <w:rPr>
      <w:sz w:val="24"/>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rFonts w:ascii="Arial" w:hAnsi="Arial"/>
      <w:sz w:val="20"/>
      <w:lang w:val="es-ES_tradnl"/>
    </w:rPr>
  </w:style>
  <w:style w:type="paragraph" w:styleId="Heading7">
    <w:name w:val="heading 7"/>
    <w:basedOn w:val="Normal"/>
    <w:next w:val="Normal"/>
    <w:qFormat/>
    <w:rsid w:val="004C0802"/>
    <w:pPr>
      <w:spacing w:before="240" w:after="60"/>
      <w:outlineLvl w:val="6"/>
    </w:pPr>
    <w:rPr>
      <w:rFonts w:ascii="Arial" w:hAnsi="Arial"/>
      <w:sz w:val="20"/>
      <w:szCs w:val="24"/>
    </w:rPr>
  </w:style>
  <w:style w:type="paragraph" w:styleId="Heading8">
    <w:name w:val="heading 8"/>
    <w:basedOn w:val="Normal"/>
    <w:next w:val="Normal"/>
    <w:qFormat/>
    <w:rsid w:val="004C0802"/>
    <w:pPr>
      <w:keepNext/>
      <w:jc w:val="center"/>
      <w:outlineLvl w:val="7"/>
    </w:pPr>
    <w:rPr>
      <w:rFonts w:ascii="Arial" w:hAnsi="Arial"/>
      <w:sz w:val="20"/>
      <w:u w:val="single"/>
    </w:rPr>
  </w:style>
  <w:style w:type="paragraph" w:styleId="Heading9">
    <w:name w:val="heading 9"/>
    <w:basedOn w:val="Normal"/>
    <w:next w:val="Normal"/>
    <w:qFormat/>
    <w:rsid w:val="000E253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rFonts w:ascii="Arial" w:hAnsi="Arial"/>
      <w:sz w:val="20"/>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rFonts w:ascii="Arial" w:hAnsi="Arial"/>
      <w:color w:val="800000"/>
      <w:sz w:val="20"/>
      <w:u w:val="words"/>
    </w:rPr>
  </w:style>
  <w:style w:type="paragraph" w:customStyle="1" w:styleId="Draft">
    <w:name w:val="Draft"/>
    <w:basedOn w:val="Normal"/>
    <w:next w:val="preparedby"/>
    <w:rsid w:val="000E2537"/>
    <w:pPr>
      <w:spacing w:before="720" w:after="480"/>
      <w:jc w:val="center"/>
    </w:pPr>
    <w:rPr>
      <w:rFonts w:ascii="Arial" w:hAnsi="Arial"/>
      <w:caps/>
      <w:sz w:val="28"/>
    </w:rPr>
  </w:style>
  <w:style w:type="paragraph" w:customStyle="1" w:styleId="preparedby">
    <w:name w:val="preparedby"/>
    <w:basedOn w:val="Normal"/>
    <w:next w:val="Normal"/>
    <w:rsid w:val="000E2537"/>
    <w:pPr>
      <w:spacing w:after="600"/>
      <w:jc w:val="center"/>
    </w:pPr>
    <w:rPr>
      <w:rFonts w:ascii="Arial" w:hAnsi="Arial"/>
      <w:i/>
      <w:sz w:val="20"/>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rFonts w:ascii="Arial" w:hAnsi="Arial"/>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rPr>
      <w:rFonts w:ascii="Arial" w:hAnsi="Arial"/>
      <w:sz w:val="20"/>
    </w:rPr>
  </w:style>
  <w:style w:type="paragraph" w:styleId="TOC1">
    <w:name w:val="toc 1"/>
    <w:basedOn w:val="Normal"/>
    <w:next w:val="Normal"/>
    <w:autoRedefine/>
    <w:semiHidden/>
    <w:rsid w:val="00230491"/>
    <w:pPr>
      <w:tabs>
        <w:tab w:val="right" w:leader="dot" w:pos="9639"/>
      </w:tabs>
      <w:spacing w:before="60" w:after="120"/>
      <w:ind w:right="851"/>
      <w:jc w:val="left"/>
    </w:pPr>
    <w:rPr>
      <w:rFonts w:ascii="Arial" w:hAnsi="Arial"/>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rPr>
      <w:rFonts w:ascii="Arial" w:hAnsi="Arial"/>
      <w:sz w:val="20"/>
    </w:r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rFonts w:ascii="Arial" w:hAnsi="Arial"/>
      <w:b/>
      <w:sz w:val="22"/>
    </w:rPr>
  </w:style>
  <w:style w:type="paragraph" w:customStyle="1" w:styleId="Original">
    <w:name w:val="Original"/>
    <w:basedOn w:val="Normal"/>
    <w:rsid w:val="000E2537"/>
    <w:pPr>
      <w:spacing w:before="60"/>
      <w:ind w:left="1276"/>
    </w:pPr>
    <w:rPr>
      <w:rFonts w:ascii="Arial" w:hAnsi="Arial"/>
      <w:b/>
      <w:sz w:val="22"/>
    </w:rPr>
  </w:style>
  <w:style w:type="paragraph" w:styleId="BodyTextIndent">
    <w:name w:val="Body Text Indent"/>
    <w:basedOn w:val="Normal"/>
    <w:rsid w:val="004A6ADF"/>
    <w:pPr>
      <w:ind w:left="567"/>
    </w:pPr>
    <w:rPr>
      <w:rFonts w:ascii="Arial" w:hAnsi="Arial"/>
      <w:sz w:val="20"/>
      <w:lang w:val="es-ES_tradnl"/>
    </w:rPr>
  </w:style>
  <w:style w:type="paragraph" w:customStyle="1" w:styleId="twpcheck">
    <w:name w:val="twpcheck"/>
    <w:basedOn w:val="Normal"/>
    <w:rsid w:val="004C0802"/>
    <w:pPr>
      <w:spacing w:before="80" w:after="80"/>
      <w:jc w:val="left"/>
    </w:pPr>
    <w:rPr>
      <w:rFonts w:ascii="Arial" w:hAnsi="Arial" w:cs="Arial"/>
      <w:snapToGrid w:val="0"/>
      <w:sz w:val="16"/>
      <w:szCs w:val="16"/>
    </w:rPr>
  </w:style>
  <w:style w:type="paragraph" w:customStyle="1" w:styleId="DecisionInvitingPara">
    <w:name w:val="Decision Inviting Para."/>
    <w:basedOn w:val="Normal"/>
    <w:rsid w:val="004A6ADF"/>
    <w:pPr>
      <w:ind w:left="4536"/>
    </w:pPr>
    <w:rPr>
      <w:rFonts w:ascii="Arial" w:hAnsi="Arial"/>
      <w:i/>
      <w:sz w:val="20"/>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rFonts w:ascii="Arial" w:hAnsi="Arial"/>
      <w:i/>
      <w:sz w:val="18"/>
    </w:rPr>
  </w:style>
  <w:style w:type="paragraph" w:customStyle="1" w:styleId="Enttepair">
    <w:name w:val="Entête_pair"/>
    <w:basedOn w:val="Normal"/>
    <w:next w:val="Normal"/>
    <w:rsid w:val="004C0802"/>
    <w:pPr>
      <w:pBdr>
        <w:bottom w:val="single" w:sz="4" w:space="1" w:color="auto"/>
      </w:pBdr>
      <w:jc w:val="left"/>
    </w:pPr>
    <w:rPr>
      <w:rFonts w:ascii="Arial" w:hAnsi="Arial"/>
      <w:sz w:val="20"/>
      <w:szCs w:val="24"/>
    </w:rPr>
  </w:style>
  <w:style w:type="paragraph" w:customStyle="1" w:styleId="Entteimpair">
    <w:name w:val="Entête_impair"/>
    <w:basedOn w:val="Normal"/>
    <w:next w:val="Normal"/>
    <w:rsid w:val="004C0802"/>
    <w:pPr>
      <w:pBdr>
        <w:bottom w:val="single" w:sz="4" w:space="1" w:color="auto"/>
      </w:pBdr>
      <w:jc w:val="right"/>
    </w:pPr>
    <w:rPr>
      <w:rFonts w:ascii="Arial" w:hAnsi="Arial"/>
      <w:sz w:val="20"/>
    </w:r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rFonts w:ascii="Arial" w:hAnsi="Arial"/>
      <w:b/>
      <w:sz w:val="30"/>
    </w:rPr>
  </w:style>
  <w:style w:type="paragraph" w:styleId="Signature">
    <w:name w:val="Signature"/>
    <w:basedOn w:val="Normal"/>
    <w:rsid w:val="000E2537"/>
    <w:pPr>
      <w:ind w:left="4536"/>
      <w:jc w:val="center"/>
    </w:pPr>
    <w:rPr>
      <w:rFonts w:ascii="Arial" w:hAnsi="Arial"/>
      <w:sz w:val="20"/>
    </w:r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rPr>
      <w:rFonts w:ascii="Arial" w:hAnsi="Arial"/>
      <w:sz w:val="20"/>
    </w:rPr>
  </w:style>
  <w:style w:type="paragraph" w:styleId="Closing">
    <w:name w:val="Closing"/>
    <w:basedOn w:val="Normal"/>
    <w:rsid w:val="000E2537"/>
    <w:pPr>
      <w:ind w:left="4536"/>
      <w:jc w:val="center"/>
    </w:pPr>
    <w:rPr>
      <w:rFonts w:ascii="Arial" w:hAnsi="Arial"/>
      <w:sz w:val="20"/>
    </w:rPr>
  </w:style>
  <w:style w:type="paragraph" w:styleId="E-mailSignature">
    <w:name w:val="E-mail Signature"/>
    <w:basedOn w:val="Normal"/>
    <w:semiHidden/>
    <w:rsid w:val="000E2537"/>
    <w:rPr>
      <w:rFonts w:ascii="Arial" w:hAnsi="Arial"/>
      <w:sz w:val="20"/>
    </w:rPr>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ascii="Arial" w:hAnsi="Arial" w:cs="Arial"/>
      <w:sz w:val="20"/>
      <w:szCs w:val="24"/>
    </w:rPr>
  </w:style>
  <w:style w:type="paragraph" w:styleId="EnvelopeReturn">
    <w:name w:val="envelope return"/>
    <w:basedOn w:val="Normal"/>
    <w:semiHidden/>
    <w:rsid w:val="000E2537"/>
    <w:rPr>
      <w:rFonts w:ascii="Arial" w:hAnsi="Arial" w:cs="Arial"/>
      <w:sz w:val="20"/>
    </w:rPr>
  </w:style>
  <w:style w:type="character" w:styleId="HTMLAcronym">
    <w:name w:val="HTML Acronym"/>
    <w:basedOn w:val="DefaultParagraphFont"/>
    <w:semiHidden/>
    <w:rsid w:val="004C0802"/>
  </w:style>
  <w:style w:type="paragraph" w:styleId="HTMLAddress">
    <w:name w:val="HTML Address"/>
    <w:basedOn w:val="Normal"/>
    <w:semiHidden/>
    <w:rsid w:val="004C0802"/>
    <w:rPr>
      <w:rFonts w:ascii="Arial" w:hAnsi="Arial"/>
      <w:i/>
      <w:iCs/>
      <w:sz w:val="20"/>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sz w:val="20"/>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rPr>
      <w:rFonts w:ascii="Arial" w:hAnsi="Arial"/>
      <w:sz w:val="20"/>
    </w:rPr>
  </w:style>
  <w:style w:type="paragraph" w:styleId="List2">
    <w:name w:val="List 2"/>
    <w:basedOn w:val="Normal"/>
    <w:semiHidden/>
    <w:rsid w:val="004C0802"/>
    <w:pPr>
      <w:ind w:left="720" w:hanging="360"/>
    </w:pPr>
    <w:rPr>
      <w:rFonts w:ascii="Arial" w:hAnsi="Arial"/>
      <w:sz w:val="20"/>
    </w:rPr>
  </w:style>
  <w:style w:type="paragraph" w:styleId="List3">
    <w:name w:val="List 3"/>
    <w:basedOn w:val="Normal"/>
    <w:semiHidden/>
    <w:rsid w:val="004C0802"/>
    <w:pPr>
      <w:ind w:left="1080" w:hanging="360"/>
    </w:pPr>
    <w:rPr>
      <w:rFonts w:ascii="Arial" w:hAnsi="Arial"/>
      <w:sz w:val="20"/>
    </w:rPr>
  </w:style>
  <w:style w:type="paragraph" w:styleId="List4">
    <w:name w:val="List 4"/>
    <w:basedOn w:val="Normal"/>
    <w:semiHidden/>
    <w:rsid w:val="004C0802"/>
    <w:pPr>
      <w:ind w:left="1440" w:hanging="360"/>
    </w:pPr>
    <w:rPr>
      <w:rFonts w:ascii="Arial" w:hAnsi="Arial"/>
      <w:sz w:val="20"/>
    </w:rPr>
  </w:style>
  <w:style w:type="paragraph" w:styleId="List5">
    <w:name w:val="List 5"/>
    <w:basedOn w:val="Normal"/>
    <w:semiHidden/>
    <w:rsid w:val="004C0802"/>
    <w:pPr>
      <w:ind w:left="1800" w:hanging="360"/>
    </w:pPr>
    <w:rPr>
      <w:rFonts w:ascii="Arial" w:hAnsi="Arial"/>
      <w:sz w:val="20"/>
    </w:rPr>
  </w:style>
  <w:style w:type="paragraph" w:styleId="ListBullet">
    <w:name w:val="List Bullet"/>
    <w:basedOn w:val="Normal"/>
    <w:autoRedefine/>
    <w:rsid w:val="000E2537"/>
    <w:pPr>
      <w:tabs>
        <w:tab w:val="num" w:pos="360"/>
      </w:tabs>
      <w:ind w:left="360" w:hanging="360"/>
    </w:pPr>
    <w:rPr>
      <w:rFonts w:ascii="Arial" w:hAnsi="Arial"/>
      <w:bCs/>
      <w:sz w:val="20"/>
      <w:szCs w:val="24"/>
      <w:lang w:val="es-ES" w:eastAsia="zh-CN"/>
    </w:rPr>
  </w:style>
  <w:style w:type="paragraph" w:styleId="ListBullet2">
    <w:name w:val="List Bullet 2"/>
    <w:basedOn w:val="Normal"/>
    <w:semiHidden/>
    <w:rsid w:val="004C0802"/>
    <w:pPr>
      <w:tabs>
        <w:tab w:val="num" w:pos="720"/>
      </w:tabs>
      <w:ind w:left="720" w:hanging="360"/>
    </w:pPr>
    <w:rPr>
      <w:rFonts w:ascii="Arial" w:hAnsi="Arial"/>
      <w:sz w:val="20"/>
    </w:rPr>
  </w:style>
  <w:style w:type="paragraph" w:styleId="ListBullet3">
    <w:name w:val="List Bullet 3"/>
    <w:basedOn w:val="Normal"/>
    <w:semiHidden/>
    <w:rsid w:val="004C0802"/>
    <w:pPr>
      <w:tabs>
        <w:tab w:val="num" w:pos="1080"/>
      </w:tabs>
      <w:ind w:left="1080" w:hanging="360"/>
    </w:pPr>
    <w:rPr>
      <w:rFonts w:ascii="Arial" w:hAnsi="Arial"/>
      <w:sz w:val="20"/>
    </w:rPr>
  </w:style>
  <w:style w:type="paragraph" w:styleId="ListBullet4">
    <w:name w:val="List Bullet 4"/>
    <w:basedOn w:val="Normal"/>
    <w:semiHidden/>
    <w:rsid w:val="004C0802"/>
    <w:pPr>
      <w:tabs>
        <w:tab w:val="num" w:pos="1440"/>
      </w:tabs>
      <w:ind w:left="1440" w:hanging="360"/>
    </w:pPr>
    <w:rPr>
      <w:rFonts w:ascii="Arial" w:hAnsi="Arial"/>
      <w:sz w:val="20"/>
    </w:rPr>
  </w:style>
  <w:style w:type="paragraph" w:styleId="ListBullet5">
    <w:name w:val="List Bullet 5"/>
    <w:basedOn w:val="Normal"/>
    <w:semiHidden/>
    <w:rsid w:val="004C0802"/>
    <w:pPr>
      <w:tabs>
        <w:tab w:val="num" w:pos="1800"/>
      </w:tabs>
      <w:ind w:left="1800" w:hanging="360"/>
    </w:pPr>
    <w:rPr>
      <w:rFonts w:ascii="Arial" w:hAnsi="Arial"/>
      <w:sz w:val="20"/>
    </w:rPr>
  </w:style>
  <w:style w:type="paragraph" w:styleId="ListContinue">
    <w:name w:val="List Continue"/>
    <w:basedOn w:val="Normal"/>
    <w:semiHidden/>
    <w:rsid w:val="004C0802"/>
    <w:pPr>
      <w:spacing w:after="120"/>
      <w:ind w:left="360"/>
    </w:pPr>
    <w:rPr>
      <w:rFonts w:ascii="Arial" w:hAnsi="Arial"/>
      <w:sz w:val="20"/>
    </w:rPr>
  </w:style>
  <w:style w:type="paragraph" w:styleId="ListContinue2">
    <w:name w:val="List Continue 2"/>
    <w:basedOn w:val="Normal"/>
    <w:semiHidden/>
    <w:rsid w:val="004C0802"/>
    <w:pPr>
      <w:spacing w:after="120"/>
      <w:ind w:left="720"/>
    </w:pPr>
    <w:rPr>
      <w:rFonts w:ascii="Arial" w:hAnsi="Arial"/>
      <w:sz w:val="20"/>
    </w:rPr>
  </w:style>
  <w:style w:type="paragraph" w:styleId="ListContinue3">
    <w:name w:val="List Continue 3"/>
    <w:basedOn w:val="Normal"/>
    <w:semiHidden/>
    <w:rsid w:val="004C0802"/>
    <w:pPr>
      <w:spacing w:after="120"/>
      <w:ind w:left="1080"/>
    </w:pPr>
    <w:rPr>
      <w:rFonts w:ascii="Arial" w:hAnsi="Arial"/>
      <w:sz w:val="20"/>
    </w:rPr>
  </w:style>
  <w:style w:type="paragraph" w:styleId="ListContinue4">
    <w:name w:val="List Continue 4"/>
    <w:basedOn w:val="Normal"/>
    <w:semiHidden/>
    <w:rsid w:val="004C0802"/>
    <w:pPr>
      <w:spacing w:after="120"/>
      <w:ind w:left="1440"/>
    </w:pPr>
    <w:rPr>
      <w:rFonts w:ascii="Arial" w:hAnsi="Arial"/>
      <w:sz w:val="20"/>
    </w:rPr>
  </w:style>
  <w:style w:type="paragraph" w:styleId="ListContinue5">
    <w:name w:val="List Continue 5"/>
    <w:basedOn w:val="Normal"/>
    <w:semiHidden/>
    <w:rsid w:val="004C0802"/>
    <w:pPr>
      <w:spacing w:after="120"/>
      <w:ind w:left="1800"/>
    </w:pPr>
    <w:rPr>
      <w:rFonts w:ascii="Arial" w:hAnsi="Arial"/>
      <w:sz w:val="20"/>
    </w:rPr>
  </w:style>
  <w:style w:type="paragraph" w:styleId="ListNumber">
    <w:name w:val="List Number"/>
    <w:basedOn w:val="Normal"/>
    <w:semiHidden/>
    <w:rsid w:val="004C0802"/>
    <w:pPr>
      <w:tabs>
        <w:tab w:val="num" w:pos="360"/>
      </w:tabs>
      <w:ind w:left="360" w:hanging="360"/>
    </w:pPr>
    <w:rPr>
      <w:rFonts w:ascii="Arial" w:hAnsi="Arial"/>
      <w:sz w:val="20"/>
    </w:rPr>
  </w:style>
  <w:style w:type="paragraph" w:styleId="ListNumber2">
    <w:name w:val="List Number 2"/>
    <w:basedOn w:val="Normal"/>
    <w:semiHidden/>
    <w:rsid w:val="004C0802"/>
    <w:pPr>
      <w:tabs>
        <w:tab w:val="num" w:pos="720"/>
      </w:tabs>
      <w:ind w:left="720" w:hanging="360"/>
    </w:pPr>
    <w:rPr>
      <w:rFonts w:ascii="Arial" w:hAnsi="Arial"/>
      <w:sz w:val="20"/>
    </w:rPr>
  </w:style>
  <w:style w:type="paragraph" w:styleId="ListNumber3">
    <w:name w:val="List Number 3"/>
    <w:basedOn w:val="Normal"/>
    <w:semiHidden/>
    <w:rsid w:val="004C0802"/>
    <w:pPr>
      <w:tabs>
        <w:tab w:val="num" w:pos="1080"/>
      </w:tabs>
      <w:ind w:left="1080" w:hanging="360"/>
    </w:pPr>
    <w:rPr>
      <w:rFonts w:ascii="Arial" w:hAnsi="Arial"/>
      <w:sz w:val="20"/>
    </w:rPr>
  </w:style>
  <w:style w:type="paragraph" w:styleId="ListNumber4">
    <w:name w:val="List Number 4"/>
    <w:basedOn w:val="Normal"/>
    <w:semiHidden/>
    <w:rsid w:val="004C0802"/>
    <w:pPr>
      <w:tabs>
        <w:tab w:val="num" w:pos="1440"/>
      </w:tabs>
      <w:ind w:left="1440" w:hanging="360"/>
    </w:pPr>
    <w:rPr>
      <w:rFonts w:ascii="Arial" w:hAnsi="Arial"/>
      <w:sz w:val="20"/>
    </w:rPr>
  </w:style>
  <w:style w:type="paragraph" w:styleId="ListNumber5">
    <w:name w:val="List Number 5"/>
    <w:basedOn w:val="Normal"/>
    <w:semiHidden/>
    <w:rsid w:val="004C0802"/>
    <w:pPr>
      <w:tabs>
        <w:tab w:val="num" w:pos="1800"/>
      </w:tabs>
      <w:ind w:left="1800" w:hanging="360"/>
    </w:pPr>
    <w:rPr>
      <w:rFonts w:ascii="Arial" w:hAnsi="Arial"/>
      <w:sz w:val="20"/>
    </w:r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0"/>
      <w:szCs w:val="24"/>
    </w:rPr>
  </w:style>
  <w:style w:type="paragraph" w:styleId="NoteHeading">
    <w:name w:val="Note Heading"/>
    <w:basedOn w:val="Normal"/>
    <w:next w:val="Normal"/>
    <w:semiHidden/>
    <w:rsid w:val="004C0802"/>
    <w:rPr>
      <w:rFonts w:ascii="Arial" w:hAnsi="Arial"/>
      <w:sz w:val="20"/>
    </w:rPr>
  </w:style>
  <w:style w:type="paragraph" w:styleId="Salutation">
    <w:name w:val="Salutation"/>
    <w:basedOn w:val="Normal"/>
    <w:next w:val="Normal"/>
    <w:semiHidden/>
    <w:rsid w:val="004C0802"/>
    <w:rPr>
      <w:rFonts w:ascii="Arial" w:hAnsi="Arial"/>
      <w:sz w:val="20"/>
    </w:rPr>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ascii="Arial" w:hAnsi="Arial" w:cs="Arial"/>
      <w:sz w:val="20"/>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rPr>
      <w:rFonts w:ascii="Arial" w:hAnsi="Arial"/>
      <w:sz w:val="20"/>
    </w:rPr>
  </w:style>
  <w:style w:type="paragraph" w:styleId="TOC8">
    <w:name w:val="toc 8"/>
    <w:basedOn w:val="Normal"/>
    <w:next w:val="Normal"/>
    <w:autoRedefine/>
    <w:semiHidden/>
    <w:rsid w:val="000E2537"/>
    <w:pPr>
      <w:ind w:left="1680"/>
    </w:pPr>
    <w:rPr>
      <w:rFonts w:ascii="Arial" w:hAnsi="Arial"/>
      <w:sz w:val="20"/>
    </w:rPr>
  </w:style>
  <w:style w:type="paragraph" w:styleId="TOC9">
    <w:name w:val="toc 9"/>
    <w:basedOn w:val="Normal"/>
    <w:next w:val="Normal"/>
    <w:autoRedefine/>
    <w:semiHidden/>
    <w:rsid w:val="000E2537"/>
    <w:pPr>
      <w:ind w:left="1920"/>
    </w:pPr>
    <w:rPr>
      <w:rFonts w:ascii="Arial" w:hAnsi="Arial"/>
      <w:sz w:val="20"/>
    </w:r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rFonts w:ascii="Arial" w:hAnsi="Arial"/>
      <w:sz w:val="22"/>
    </w:rPr>
  </w:style>
  <w:style w:type="paragraph" w:styleId="Caption">
    <w:name w:val="caption"/>
    <w:basedOn w:val="Normal"/>
    <w:next w:val="Normal"/>
    <w:qFormat/>
    <w:rsid w:val="004C0802"/>
    <w:pPr>
      <w:framePr w:w="11102" w:hSpace="181" w:wrap="around" w:vAnchor="page" w:hAnchor="page" w:x="438" w:y="15985" w:anchorLock="1"/>
      <w:jc w:val="center"/>
    </w:pPr>
    <w:rPr>
      <w:rFonts w:ascii="Arial" w:hAnsi="Arial"/>
      <w:b/>
      <w:snapToGrid w:val="0"/>
      <w:sz w:val="20"/>
    </w:rPr>
  </w:style>
  <w:style w:type="paragraph" w:styleId="CommentText">
    <w:name w:val="annotation text"/>
    <w:basedOn w:val="Normal"/>
    <w:semiHidden/>
    <w:rsid w:val="004A6ADF"/>
    <w:rPr>
      <w:rFonts w:ascii="Arial" w:hAnsi="Arial"/>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rFonts w:ascii="Arial" w:hAnsi="Arial"/>
      <w:b/>
      <w:caps/>
      <w:kern w:val="28"/>
      <w:sz w:val="30"/>
    </w:rPr>
  </w:style>
  <w:style w:type="paragraph" w:styleId="Index1">
    <w:name w:val="index 1"/>
    <w:basedOn w:val="Normal"/>
    <w:next w:val="Normal"/>
    <w:semiHidden/>
    <w:rsid w:val="000E2537"/>
    <w:pPr>
      <w:tabs>
        <w:tab w:val="right" w:leader="dot" w:pos="9071"/>
      </w:tabs>
      <w:ind w:left="284" w:hanging="284"/>
    </w:pPr>
    <w:rPr>
      <w:rFonts w:ascii="Arial" w:hAnsi="Arial"/>
      <w:sz w:val="20"/>
    </w:rPr>
  </w:style>
  <w:style w:type="paragraph" w:styleId="Index2">
    <w:name w:val="index 2"/>
    <w:basedOn w:val="Normal"/>
    <w:next w:val="Normal"/>
    <w:semiHidden/>
    <w:rsid w:val="000E2537"/>
    <w:pPr>
      <w:tabs>
        <w:tab w:val="right" w:leader="dot" w:pos="9071"/>
      </w:tabs>
      <w:ind w:left="568" w:hanging="284"/>
    </w:pPr>
    <w:rPr>
      <w:rFonts w:ascii="Arial" w:hAnsi="Arial"/>
      <w:sz w:val="20"/>
    </w:rPr>
  </w:style>
  <w:style w:type="paragraph" w:styleId="Index3">
    <w:name w:val="index 3"/>
    <w:basedOn w:val="Normal"/>
    <w:next w:val="Normal"/>
    <w:semiHidden/>
    <w:rsid w:val="000E2537"/>
    <w:pPr>
      <w:tabs>
        <w:tab w:val="right" w:leader="dot" w:pos="9071"/>
      </w:tabs>
      <w:ind w:left="851" w:hanging="284"/>
    </w:pPr>
    <w:rPr>
      <w:rFonts w:ascii="Arial" w:hAnsi="Arial"/>
      <w:sz w:val="20"/>
    </w:r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rFonts w:ascii="Arial" w:hAnsi="Arial"/>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rFonts w:ascii="Arial" w:hAnsi="Arial"/>
      <w:noProof/>
      <w:snapToGrid w:val="0"/>
      <w:sz w:val="20"/>
      <w:szCs w:val="24"/>
    </w:rPr>
  </w:style>
  <w:style w:type="paragraph" w:customStyle="1" w:styleId="TitleofDoc">
    <w:name w:val="Title of Doc"/>
    <w:basedOn w:val="Normal"/>
    <w:rsid w:val="000E2537"/>
    <w:pPr>
      <w:spacing w:before="1200"/>
      <w:jc w:val="center"/>
    </w:pPr>
    <w:rPr>
      <w:rFonts w:ascii="Arial" w:hAnsi="Arial"/>
      <w:caps/>
      <w:sz w:val="20"/>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rFonts w:ascii="Arial" w:hAnsi="Arial"/>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sz w:val="20"/>
      <w:lang w:eastAsia="fr-FR"/>
    </w:rPr>
  </w:style>
  <w:style w:type="paragraph" w:customStyle="1" w:styleId="DecisionParagraphs">
    <w:name w:val="DecisionParagraphs"/>
    <w:basedOn w:val="Normal"/>
    <w:rsid w:val="001B4741"/>
    <w:pPr>
      <w:ind w:left="4536"/>
    </w:pPr>
    <w:rPr>
      <w:i/>
    </w:rPr>
  </w:style>
  <w:style w:type="paragraph" w:customStyle="1" w:styleId="preparedby0">
    <w:name w:val="prepared by"/>
    <w:basedOn w:val="Normal"/>
    <w:rsid w:val="001B4741"/>
    <w:pPr>
      <w:spacing w:before="600" w:after="600"/>
      <w:jc w:val="center"/>
    </w:pPr>
    <w:rPr>
      <w:i/>
    </w:rPr>
  </w:style>
  <w:style w:type="paragraph" w:styleId="BodyTextIndent2">
    <w:name w:val="Body Text Indent 2"/>
    <w:basedOn w:val="Normal"/>
    <w:link w:val="BodyTextIndent2Char"/>
    <w:rsid w:val="001B4741"/>
    <w:pPr>
      <w:ind w:firstLine="567"/>
    </w:pPr>
  </w:style>
  <w:style w:type="character" w:customStyle="1" w:styleId="BodyTextIndent2Char">
    <w:name w:val="Body Text Indent 2 Char"/>
    <w:basedOn w:val="DefaultParagraphFont"/>
    <w:link w:val="BodyTextIndent2"/>
    <w:rsid w:val="001B47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1913</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HUERTA-CASADO Yolanda</cp:lastModifiedBy>
  <cp:revision>2</cp:revision>
  <cp:lastPrinted>2008-06-18T15:37:00Z</cp:lastPrinted>
  <dcterms:created xsi:type="dcterms:W3CDTF">2013-10-11T16:27:00Z</dcterms:created>
  <dcterms:modified xsi:type="dcterms:W3CDTF">2013-10-12T21:12:00Z</dcterms:modified>
</cp:coreProperties>
</file>