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07B06" w14:paraId="744EBB8A" w14:textId="77777777" w:rsidTr="00EB4E9C">
        <w:tc>
          <w:tcPr>
            <w:tcW w:w="6522" w:type="dxa"/>
          </w:tcPr>
          <w:p w14:paraId="2DC0A08B" w14:textId="77777777" w:rsidR="00DC3802" w:rsidRPr="00F07B06" w:rsidRDefault="00DC3802" w:rsidP="00AC2883">
            <w:r w:rsidRPr="00F07B06">
              <w:rPr>
                <w:noProof/>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F07B06" w:rsidRDefault="00DC3802" w:rsidP="00AC2883">
            <w:pPr>
              <w:pStyle w:val="Lettrine"/>
            </w:pPr>
            <w:r w:rsidRPr="00F07B06">
              <w:t>E</w:t>
            </w:r>
          </w:p>
        </w:tc>
      </w:tr>
      <w:tr w:rsidR="00DC3802" w:rsidRPr="00F07B06" w14:paraId="2E52EA0A" w14:textId="77777777" w:rsidTr="00645CA8">
        <w:trPr>
          <w:trHeight w:val="219"/>
        </w:trPr>
        <w:tc>
          <w:tcPr>
            <w:tcW w:w="6522" w:type="dxa"/>
          </w:tcPr>
          <w:p w14:paraId="0B7D8583" w14:textId="77777777" w:rsidR="00DC3802" w:rsidRPr="00F07B06" w:rsidRDefault="00DC3802" w:rsidP="00AC2883">
            <w:pPr>
              <w:pStyle w:val="upove"/>
            </w:pPr>
            <w:r w:rsidRPr="00F07B06">
              <w:t>International Union for the Protection of New Varieties of Plants</w:t>
            </w:r>
          </w:p>
        </w:tc>
        <w:tc>
          <w:tcPr>
            <w:tcW w:w="3117" w:type="dxa"/>
          </w:tcPr>
          <w:p w14:paraId="6977A71D" w14:textId="77777777" w:rsidR="00DC3802" w:rsidRPr="00F07B06" w:rsidRDefault="00DC3802" w:rsidP="00DA4973"/>
        </w:tc>
      </w:tr>
    </w:tbl>
    <w:p w14:paraId="3DE947B1" w14:textId="77777777" w:rsidR="00DC3802" w:rsidRPr="00F07B06" w:rsidRDefault="00DC3802" w:rsidP="00DC3802"/>
    <w:p w14:paraId="397024C6" w14:textId="77777777" w:rsidR="00B22ED6" w:rsidRPr="00F07B06"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F07B06" w14:paraId="5431E896" w14:textId="77777777" w:rsidTr="00D7425C">
        <w:tc>
          <w:tcPr>
            <w:tcW w:w="6512" w:type="dxa"/>
          </w:tcPr>
          <w:p w14:paraId="1E3F80BF" w14:textId="77777777" w:rsidR="00B22ED6" w:rsidRPr="00C14398" w:rsidRDefault="00B22ED6" w:rsidP="00D7425C">
            <w:pPr>
              <w:pStyle w:val="Sessiontwp"/>
            </w:pPr>
            <w:r w:rsidRPr="00C14398">
              <w:t>Technical Committee</w:t>
            </w:r>
          </w:p>
          <w:p w14:paraId="053AD770" w14:textId="77777777" w:rsidR="00B22ED6" w:rsidRPr="00C14398" w:rsidRDefault="00B22ED6" w:rsidP="00D7425C">
            <w:pPr>
              <w:pStyle w:val="Sessiontwpplacedate"/>
            </w:pPr>
            <w:r w:rsidRPr="00C14398">
              <w:t>Sixtieth Session</w:t>
            </w:r>
          </w:p>
          <w:p w14:paraId="3D679212" w14:textId="77777777" w:rsidR="00B22ED6" w:rsidRPr="00C14398" w:rsidRDefault="00B22ED6" w:rsidP="00D7425C">
            <w:r w:rsidRPr="00C14398">
              <w:t>Geneva, October 21 and 22, 2024</w:t>
            </w:r>
          </w:p>
          <w:p w14:paraId="495B80B9" w14:textId="77777777" w:rsidR="00B22ED6" w:rsidRPr="00C14398" w:rsidRDefault="00B22ED6" w:rsidP="00D7425C"/>
          <w:p w14:paraId="56661E49" w14:textId="77777777" w:rsidR="00B22ED6" w:rsidRPr="00C14398" w:rsidRDefault="00B22ED6" w:rsidP="00D7425C">
            <w:pPr>
              <w:pStyle w:val="Sessiontwp"/>
            </w:pPr>
            <w:r w:rsidRPr="00C14398">
              <w:t>Administrative and Legal Committee</w:t>
            </w:r>
          </w:p>
          <w:p w14:paraId="26A4B1A2" w14:textId="77777777" w:rsidR="00B22ED6" w:rsidRPr="00C14398" w:rsidRDefault="00B22ED6" w:rsidP="00D7425C">
            <w:pPr>
              <w:pStyle w:val="Sessiontwp"/>
              <w:rPr>
                <w:b w:val="0"/>
              </w:rPr>
            </w:pPr>
            <w:r w:rsidRPr="00C14398">
              <w:rPr>
                <w:b w:val="0"/>
              </w:rPr>
              <w:t>Eighty-First Session</w:t>
            </w:r>
          </w:p>
          <w:p w14:paraId="1EAC1B76" w14:textId="189EFC5D" w:rsidR="00B22ED6" w:rsidRPr="00C14398" w:rsidRDefault="00B22ED6" w:rsidP="00E20F65">
            <w:pPr>
              <w:pStyle w:val="Sessiontwpplacedate"/>
            </w:pPr>
            <w:r w:rsidRPr="00C14398">
              <w:t>Geneva, October 23, 2024</w:t>
            </w:r>
          </w:p>
        </w:tc>
        <w:tc>
          <w:tcPr>
            <w:tcW w:w="3127" w:type="dxa"/>
          </w:tcPr>
          <w:p w14:paraId="4BA62DBF" w14:textId="0EA61FC2" w:rsidR="00B22ED6" w:rsidRPr="00C14398" w:rsidRDefault="00B22ED6" w:rsidP="00D7425C">
            <w:pPr>
              <w:pStyle w:val="Doccode"/>
            </w:pPr>
            <w:r w:rsidRPr="00C14398">
              <w:t>SESSIONS/</w:t>
            </w:r>
            <w:r w:rsidR="002A12E1" w:rsidRPr="00C14398">
              <w:t>2024/6</w:t>
            </w:r>
          </w:p>
          <w:p w14:paraId="4135D4D9" w14:textId="77777777" w:rsidR="00B22ED6" w:rsidRPr="00C14398" w:rsidRDefault="00B22ED6" w:rsidP="00D7425C">
            <w:pPr>
              <w:pStyle w:val="Docoriginal"/>
            </w:pPr>
            <w:r w:rsidRPr="00C14398">
              <w:t>Original:</w:t>
            </w:r>
            <w:r w:rsidRPr="00C14398">
              <w:rPr>
                <w:b w:val="0"/>
                <w:spacing w:val="0"/>
              </w:rPr>
              <w:t xml:space="preserve">  English</w:t>
            </w:r>
          </w:p>
          <w:p w14:paraId="49336837" w14:textId="13F7F6A7" w:rsidR="00B22ED6" w:rsidRPr="00F07B06" w:rsidRDefault="00B22ED6" w:rsidP="00D7425C">
            <w:pPr>
              <w:pStyle w:val="Docoriginal"/>
            </w:pPr>
            <w:r w:rsidRPr="00C14398">
              <w:t>Date:</w:t>
            </w:r>
            <w:r w:rsidRPr="00C14398">
              <w:rPr>
                <w:b w:val="0"/>
                <w:spacing w:val="0"/>
              </w:rPr>
              <w:t xml:space="preserve">  </w:t>
            </w:r>
            <w:r w:rsidR="00F5305E" w:rsidRPr="00C14398">
              <w:rPr>
                <w:b w:val="0"/>
                <w:spacing w:val="0"/>
              </w:rPr>
              <w:t>September 2</w:t>
            </w:r>
            <w:r w:rsidR="00C14398" w:rsidRPr="00C14398">
              <w:rPr>
                <w:b w:val="0"/>
                <w:spacing w:val="0"/>
              </w:rPr>
              <w:t>5</w:t>
            </w:r>
            <w:r w:rsidRPr="00C14398">
              <w:rPr>
                <w:b w:val="0"/>
                <w:spacing w:val="0"/>
              </w:rPr>
              <w:t>, 2024</w:t>
            </w:r>
          </w:p>
        </w:tc>
      </w:tr>
    </w:tbl>
    <w:p w14:paraId="19B49DD5" w14:textId="5975D39E" w:rsidR="007B73A9" w:rsidRPr="00F07B06" w:rsidRDefault="002A12E1" w:rsidP="007B73A9">
      <w:pPr>
        <w:pStyle w:val="Titleofdoc0"/>
      </w:pPr>
      <w:r w:rsidRPr="00F07B06">
        <w:t>Molecular techniques</w:t>
      </w:r>
    </w:p>
    <w:p w14:paraId="4117B7F7" w14:textId="77777777" w:rsidR="001D736D" w:rsidRPr="00F07B06" w:rsidRDefault="001D736D" w:rsidP="001D736D">
      <w:pPr>
        <w:pStyle w:val="preparedby1"/>
        <w:jc w:val="left"/>
      </w:pPr>
      <w:r w:rsidRPr="00F07B06">
        <w:t>Document prepared by the Office of the Union</w:t>
      </w:r>
    </w:p>
    <w:p w14:paraId="45F9526D" w14:textId="77777777" w:rsidR="001D736D" w:rsidRPr="00F07B06" w:rsidRDefault="001D736D" w:rsidP="001D736D">
      <w:pPr>
        <w:pStyle w:val="Disclaimer"/>
      </w:pPr>
      <w:r w:rsidRPr="00F07B06">
        <w:t>Disclaimer:  this document does not represent UPOV policies or guidance</w:t>
      </w:r>
    </w:p>
    <w:p w14:paraId="0FD86AF0" w14:textId="77777777" w:rsidR="00EF4B00" w:rsidRPr="00F07B06" w:rsidRDefault="00EF4B00" w:rsidP="00EF4B00">
      <w:pPr>
        <w:keepNext/>
        <w:outlineLvl w:val="0"/>
        <w:rPr>
          <w:caps/>
          <w:snapToGrid w:val="0"/>
          <w:lang w:eastAsia="ja-JP"/>
        </w:rPr>
      </w:pPr>
      <w:bookmarkStart w:id="0" w:name="_Toc177773938"/>
      <w:bookmarkStart w:id="1" w:name="_Toc84413225"/>
      <w:bookmarkStart w:id="2" w:name="_Toc97892774"/>
      <w:r w:rsidRPr="00F07B06">
        <w:rPr>
          <w:caps/>
          <w:snapToGrid w:val="0"/>
          <w:lang w:eastAsia="ja-JP"/>
        </w:rPr>
        <w:t>Executive summary</w:t>
      </w:r>
      <w:bookmarkEnd w:id="0"/>
    </w:p>
    <w:p w14:paraId="7C8B2385" w14:textId="77777777" w:rsidR="00EF4B00" w:rsidRPr="00F07B06" w:rsidRDefault="00EF4B00" w:rsidP="00EF4B00">
      <w:pPr>
        <w:rPr>
          <w:lang w:eastAsia="ja-JP"/>
        </w:rPr>
      </w:pPr>
    </w:p>
    <w:p w14:paraId="00DE9736" w14:textId="6B06D93D" w:rsidR="00EF4B00" w:rsidRPr="00F07B06" w:rsidRDefault="00EF4B00" w:rsidP="00EF4B00">
      <w:r w:rsidRPr="00F07B06">
        <w:fldChar w:fldCharType="begin"/>
      </w:r>
      <w:r w:rsidRPr="00F07B06">
        <w:instrText xml:space="preserve"> AUTONUM  </w:instrText>
      </w:r>
      <w:r w:rsidRPr="00F07B06">
        <w:fldChar w:fldCharType="end"/>
      </w:r>
      <w:r w:rsidRPr="00F07B06">
        <w:tab/>
        <w:t xml:space="preserve">The purpose of this document is to report to the </w:t>
      </w:r>
      <w:r w:rsidR="00752F0F" w:rsidRPr="00F07B06">
        <w:t>Technical Committee (</w:t>
      </w:r>
      <w:r w:rsidRPr="00F07B06">
        <w:t>TC</w:t>
      </w:r>
      <w:r w:rsidR="00752F0F" w:rsidRPr="00F07B06">
        <w:t>)</w:t>
      </w:r>
      <w:r w:rsidRPr="00F07B06">
        <w:t xml:space="preserve"> and the </w:t>
      </w:r>
      <w:r w:rsidR="00752F0F" w:rsidRPr="00F07B06">
        <w:t>Administrative and Legal Committee (</w:t>
      </w:r>
      <w:r w:rsidRPr="00F07B06">
        <w:t>CAJ</w:t>
      </w:r>
      <w:r w:rsidR="00752F0F" w:rsidRPr="00F07B06">
        <w:t>)</w:t>
      </w:r>
      <w:r w:rsidRPr="00F07B06">
        <w:t xml:space="preserve"> </w:t>
      </w:r>
      <w:r w:rsidR="00752F0F" w:rsidRPr="00F07B06">
        <w:t xml:space="preserve">on </w:t>
      </w:r>
      <w:r w:rsidRPr="00F07B06">
        <w:t>developments concerning molecular techniques</w:t>
      </w:r>
      <w:r w:rsidRPr="00F07B06">
        <w:rPr>
          <w:iCs/>
          <w:snapToGrid w:val="0"/>
          <w:lang w:eastAsia="ja-JP"/>
        </w:rPr>
        <w:t>.</w:t>
      </w:r>
    </w:p>
    <w:p w14:paraId="765BA9B0" w14:textId="77777777" w:rsidR="00EF4B00" w:rsidRPr="00F07B06" w:rsidRDefault="00EF4B00" w:rsidP="00EF4B00"/>
    <w:p w14:paraId="3589B22F" w14:textId="77777777" w:rsidR="00EF4B00" w:rsidRPr="00F07B06" w:rsidRDefault="00EF4B00" w:rsidP="00EF4B00">
      <w:pPr>
        <w:tabs>
          <w:tab w:val="left" w:pos="567"/>
          <w:tab w:val="left" w:pos="1134"/>
          <w:tab w:val="left" w:pos="5387"/>
          <w:tab w:val="left" w:pos="5954"/>
        </w:tabs>
      </w:pPr>
      <w:r w:rsidRPr="00F07B06">
        <w:fldChar w:fldCharType="begin"/>
      </w:r>
      <w:r w:rsidRPr="00F07B06">
        <w:instrText xml:space="preserve"> AUTONUM  </w:instrText>
      </w:r>
      <w:r w:rsidRPr="00F07B06">
        <w:fldChar w:fldCharType="end"/>
      </w:r>
      <w:r w:rsidRPr="00F07B06">
        <w:tab/>
        <w:t>The TC is invited to:</w:t>
      </w:r>
    </w:p>
    <w:p w14:paraId="7E859401" w14:textId="77777777" w:rsidR="00EF4B00" w:rsidRPr="00F07B06" w:rsidRDefault="00EF4B00" w:rsidP="00EF4B00">
      <w:pPr>
        <w:keepNext/>
        <w:keepLines/>
        <w:tabs>
          <w:tab w:val="left" w:pos="567"/>
          <w:tab w:val="left" w:pos="1134"/>
          <w:tab w:val="left" w:pos="5387"/>
          <w:tab w:val="left" w:pos="5954"/>
        </w:tabs>
      </w:pPr>
    </w:p>
    <w:p w14:paraId="574E7FB5" w14:textId="4D472752" w:rsidR="00D447A6" w:rsidRPr="00F07B06" w:rsidRDefault="00EF4B00" w:rsidP="00F509D3">
      <w:pPr>
        <w:tabs>
          <w:tab w:val="left" w:pos="567"/>
          <w:tab w:val="left" w:pos="1134"/>
          <w:tab w:val="left" w:pos="5387"/>
          <w:tab w:val="left" w:pos="5954"/>
        </w:tabs>
        <w:rPr>
          <w:iCs/>
          <w:snapToGrid w:val="0"/>
          <w:lang w:eastAsia="ja-JP"/>
        </w:rPr>
      </w:pPr>
      <w:r w:rsidRPr="00F07B06">
        <w:rPr>
          <w:iCs/>
          <w:snapToGrid w:val="0"/>
          <w:lang w:eastAsia="ja-JP"/>
        </w:rPr>
        <w:tab/>
        <w:t>(a)</w:t>
      </w:r>
      <w:r w:rsidRPr="00F07B06">
        <w:rPr>
          <w:iCs/>
          <w:snapToGrid w:val="0"/>
          <w:lang w:eastAsia="ja-JP"/>
        </w:rPr>
        <w:tab/>
      </w:r>
      <w:r w:rsidR="00110AC8" w:rsidRPr="00F07B06">
        <w:rPr>
          <w:iCs/>
          <w:snapToGrid w:val="0"/>
          <w:lang w:eastAsia="ja-JP"/>
        </w:rPr>
        <w:t xml:space="preserve">request </w:t>
      </w:r>
      <w:r w:rsidR="00F509D3" w:rsidRPr="00F07B06">
        <w:rPr>
          <w:iCs/>
          <w:snapToGrid w:val="0"/>
          <w:lang w:eastAsia="ja-JP"/>
        </w:rPr>
        <w:t xml:space="preserve">the </w:t>
      </w:r>
      <w:r w:rsidR="00752F0F" w:rsidRPr="00F07B06">
        <w:rPr>
          <w:iCs/>
          <w:snapToGrid w:val="0"/>
          <w:lang w:eastAsia="ja-JP"/>
        </w:rPr>
        <w:t>Technical Working Parties (</w:t>
      </w:r>
      <w:r w:rsidR="00F509D3" w:rsidRPr="00F07B06">
        <w:rPr>
          <w:iCs/>
          <w:snapToGrid w:val="0"/>
          <w:lang w:eastAsia="ja-JP"/>
        </w:rPr>
        <w:t>TWPs</w:t>
      </w:r>
      <w:r w:rsidR="00752F0F" w:rsidRPr="00F07B06">
        <w:rPr>
          <w:iCs/>
          <w:snapToGrid w:val="0"/>
          <w:lang w:eastAsia="ja-JP"/>
        </w:rPr>
        <w:t>)</w:t>
      </w:r>
      <w:r w:rsidR="00F509D3" w:rsidRPr="00F07B06">
        <w:rPr>
          <w:iCs/>
          <w:snapToGrid w:val="0"/>
          <w:lang w:eastAsia="ja-JP"/>
        </w:rPr>
        <w:t>, at their sessions in 2025, to consider the proposal for guidelines for the validation of new characteristic-specific molecular marker protocol for DUS examination, as provided in the Annex to this document</w:t>
      </w:r>
      <w:r w:rsidRPr="00F07B06">
        <w:rPr>
          <w:iCs/>
          <w:snapToGrid w:val="0"/>
          <w:lang w:eastAsia="ja-JP"/>
        </w:rPr>
        <w:t xml:space="preserve">; </w:t>
      </w:r>
    </w:p>
    <w:p w14:paraId="28432D8F" w14:textId="77777777" w:rsidR="00D447A6" w:rsidRPr="00F07B06" w:rsidRDefault="00D447A6" w:rsidP="00F509D3">
      <w:pPr>
        <w:tabs>
          <w:tab w:val="left" w:pos="567"/>
          <w:tab w:val="left" w:pos="1134"/>
          <w:tab w:val="left" w:pos="5387"/>
          <w:tab w:val="left" w:pos="5954"/>
        </w:tabs>
        <w:rPr>
          <w:iCs/>
          <w:snapToGrid w:val="0"/>
          <w:lang w:eastAsia="ja-JP"/>
        </w:rPr>
      </w:pPr>
    </w:p>
    <w:p w14:paraId="62C381AE" w14:textId="32506153" w:rsidR="00EF4B00" w:rsidRPr="00F07B06" w:rsidRDefault="00D447A6" w:rsidP="00F509D3">
      <w:pPr>
        <w:tabs>
          <w:tab w:val="left" w:pos="567"/>
          <w:tab w:val="left" w:pos="1134"/>
          <w:tab w:val="left" w:pos="5387"/>
          <w:tab w:val="left" w:pos="5954"/>
        </w:tabs>
        <w:rPr>
          <w:iCs/>
          <w:snapToGrid w:val="0"/>
          <w:lang w:eastAsia="ja-JP"/>
        </w:rPr>
      </w:pPr>
      <w:r w:rsidRPr="00F07B06">
        <w:rPr>
          <w:iCs/>
          <w:snapToGrid w:val="0"/>
          <w:lang w:eastAsia="ja-JP"/>
        </w:rPr>
        <w:tab/>
        <w:t>(b)</w:t>
      </w:r>
      <w:r w:rsidRPr="00F07B06">
        <w:rPr>
          <w:iCs/>
          <w:snapToGrid w:val="0"/>
          <w:lang w:eastAsia="ja-JP"/>
        </w:rPr>
        <w:tab/>
        <w:t xml:space="preserve">note the request from breeders’ organizations for the development of guidance in UPOV on confidentiality of molecular data and the offer to propose a draft model agreement template, to be presented at the third session of the </w:t>
      </w:r>
      <w:r w:rsidR="00752F0F" w:rsidRPr="00F07B06">
        <w:rPr>
          <w:iCs/>
          <w:snapToGrid w:val="0"/>
          <w:lang w:eastAsia="ja-JP"/>
        </w:rPr>
        <w:t>Technical Working Party on Testing Methods and Techniques (</w:t>
      </w:r>
      <w:r w:rsidRPr="00F07B06">
        <w:rPr>
          <w:iCs/>
          <w:snapToGrid w:val="0"/>
          <w:lang w:eastAsia="ja-JP"/>
        </w:rPr>
        <w:t>TWM</w:t>
      </w:r>
      <w:r w:rsidR="00752F0F" w:rsidRPr="00F07B06">
        <w:rPr>
          <w:iCs/>
          <w:snapToGrid w:val="0"/>
          <w:lang w:eastAsia="ja-JP"/>
        </w:rPr>
        <w:t>)</w:t>
      </w:r>
      <w:r w:rsidRPr="00F07B06">
        <w:rPr>
          <w:iCs/>
          <w:snapToGrid w:val="0"/>
          <w:lang w:eastAsia="ja-JP"/>
        </w:rPr>
        <w:t>;</w:t>
      </w:r>
      <w:r w:rsidR="00752F0F" w:rsidRPr="00F07B06">
        <w:rPr>
          <w:iCs/>
          <w:snapToGrid w:val="0"/>
          <w:lang w:eastAsia="ja-JP"/>
        </w:rPr>
        <w:t xml:space="preserve"> </w:t>
      </w:r>
      <w:r w:rsidR="00EF4B00" w:rsidRPr="00F07B06">
        <w:rPr>
          <w:iCs/>
          <w:snapToGrid w:val="0"/>
          <w:lang w:eastAsia="ja-JP"/>
        </w:rPr>
        <w:t>and</w:t>
      </w:r>
    </w:p>
    <w:p w14:paraId="0152D658" w14:textId="77777777" w:rsidR="00EF4B00" w:rsidRPr="00F07B06" w:rsidRDefault="00EF4B00" w:rsidP="00EF4B00">
      <w:pPr>
        <w:tabs>
          <w:tab w:val="left" w:pos="567"/>
          <w:tab w:val="left" w:pos="1134"/>
          <w:tab w:val="left" w:pos="5387"/>
          <w:tab w:val="left" w:pos="5954"/>
        </w:tabs>
        <w:rPr>
          <w:iCs/>
          <w:snapToGrid w:val="0"/>
          <w:lang w:eastAsia="ja-JP"/>
        </w:rPr>
      </w:pPr>
    </w:p>
    <w:p w14:paraId="61F5912F" w14:textId="4B7FDFBF" w:rsidR="00EF4B00" w:rsidRPr="00F07B06" w:rsidRDefault="00EF4B00" w:rsidP="00EF4B00">
      <w:pPr>
        <w:tabs>
          <w:tab w:val="left" w:pos="567"/>
          <w:tab w:val="left" w:pos="1134"/>
          <w:tab w:val="left" w:pos="5387"/>
          <w:tab w:val="left" w:pos="5954"/>
        </w:tabs>
        <w:rPr>
          <w:iCs/>
          <w:snapToGrid w:val="0"/>
          <w:lang w:eastAsia="ja-JP"/>
        </w:rPr>
      </w:pPr>
      <w:r w:rsidRPr="00F07B06">
        <w:rPr>
          <w:iCs/>
          <w:snapToGrid w:val="0"/>
          <w:lang w:eastAsia="ja-JP"/>
        </w:rPr>
        <w:tab/>
        <w:t>(</w:t>
      </w:r>
      <w:r w:rsidR="00D447A6" w:rsidRPr="00F07B06">
        <w:rPr>
          <w:iCs/>
          <w:snapToGrid w:val="0"/>
          <w:lang w:eastAsia="ja-JP"/>
        </w:rPr>
        <w:t>c</w:t>
      </w:r>
      <w:r w:rsidRPr="00F07B06">
        <w:rPr>
          <w:iCs/>
          <w:snapToGrid w:val="0"/>
          <w:lang w:eastAsia="ja-JP"/>
        </w:rPr>
        <w:t>)</w:t>
      </w:r>
      <w:r w:rsidRPr="00F07B06">
        <w:rPr>
          <w:iCs/>
          <w:snapToGrid w:val="0"/>
          <w:lang w:eastAsia="ja-JP"/>
        </w:rPr>
        <w:tab/>
      </w:r>
      <w:r w:rsidRPr="00F07B06">
        <w:rPr>
          <w:lang w:eastAsia="ja-JP"/>
        </w:rPr>
        <w:t>note the matters for information provided in this document.</w:t>
      </w:r>
    </w:p>
    <w:p w14:paraId="24CFA027" w14:textId="77777777" w:rsidR="00EF4B00" w:rsidRPr="00F07B06" w:rsidRDefault="00EF4B00" w:rsidP="00EF4B00">
      <w:pPr>
        <w:tabs>
          <w:tab w:val="left" w:pos="567"/>
          <w:tab w:val="left" w:pos="1134"/>
          <w:tab w:val="left" w:pos="5387"/>
          <w:tab w:val="left" w:pos="5954"/>
        </w:tabs>
      </w:pPr>
    </w:p>
    <w:p w14:paraId="4C3FC292" w14:textId="77777777" w:rsidR="00EF4B00" w:rsidRPr="00F07B06" w:rsidRDefault="00EF4B00" w:rsidP="00EF4B00">
      <w:r w:rsidRPr="00F07B06">
        <w:fldChar w:fldCharType="begin"/>
      </w:r>
      <w:r w:rsidRPr="00F07B06">
        <w:instrText xml:space="preserve"> AUTONUM  </w:instrText>
      </w:r>
      <w:r w:rsidRPr="00F07B06">
        <w:fldChar w:fldCharType="end"/>
      </w:r>
      <w:r w:rsidRPr="00F07B06">
        <w:tab/>
        <w:t>The following abbreviations are used in this document:</w:t>
      </w:r>
    </w:p>
    <w:p w14:paraId="4518430A" w14:textId="77777777" w:rsidR="00EF4B00" w:rsidRPr="00F07B06" w:rsidRDefault="00EF4B00" w:rsidP="00EF4B00"/>
    <w:p w14:paraId="37BB5BDF" w14:textId="77777777" w:rsidR="00EF4B00" w:rsidRPr="00F07B06" w:rsidRDefault="00EF4B00" w:rsidP="00EF4B00">
      <w:pPr>
        <w:keepNext/>
        <w:tabs>
          <w:tab w:val="left" w:pos="567"/>
        </w:tabs>
        <w:ind w:left="1701" w:hanging="1134"/>
        <w:rPr>
          <w:sz w:val="18"/>
        </w:rPr>
      </w:pPr>
      <w:r w:rsidRPr="00F07B06">
        <w:rPr>
          <w:sz w:val="18"/>
        </w:rPr>
        <w:t xml:space="preserve">CAJ: </w:t>
      </w:r>
      <w:r w:rsidRPr="00F07B06">
        <w:rPr>
          <w:sz w:val="18"/>
        </w:rPr>
        <w:tab/>
        <w:t xml:space="preserve">Administrative and Legal Committee  </w:t>
      </w:r>
    </w:p>
    <w:p w14:paraId="29C04252" w14:textId="77777777" w:rsidR="00EF4B00" w:rsidRPr="00F07B06" w:rsidRDefault="00EF4B00" w:rsidP="00EF4B00">
      <w:pPr>
        <w:ind w:left="1701" w:hanging="1134"/>
        <w:rPr>
          <w:rFonts w:cs="Arial"/>
          <w:snapToGrid w:val="0"/>
          <w:sz w:val="18"/>
          <w:szCs w:val="24"/>
          <w:lang w:eastAsia="ja-JP"/>
        </w:rPr>
      </w:pPr>
      <w:r w:rsidRPr="00F07B06">
        <w:rPr>
          <w:rFonts w:eastAsia="PMingLiU" w:cs="Arial"/>
          <w:snapToGrid w:val="0"/>
          <w:sz w:val="18"/>
          <w:szCs w:val="24"/>
          <w:lang w:eastAsia="fr-FR"/>
        </w:rPr>
        <w:t xml:space="preserve">ISTA: </w:t>
      </w:r>
      <w:r w:rsidRPr="00F07B06">
        <w:rPr>
          <w:rFonts w:eastAsia="PMingLiU" w:cs="Arial"/>
          <w:snapToGrid w:val="0"/>
          <w:sz w:val="18"/>
          <w:szCs w:val="24"/>
          <w:lang w:eastAsia="fr-FR"/>
        </w:rPr>
        <w:tab/>
        <w:t>International Seed Testing Association</w:t>
      </w:r>
    </w:p>
    <w:p w14:paraId="4FBD0221" w14:textId="77777777" w:rsidR="00EF4B00" w:rsidRPr="00F07B06" w:rsidRDefault="00EF4B00" w:rsidP="00EF4B00">
      <w:pPr>
        <w:ind w:left="1701" w:hanging="1134"/>
        <w:rPr>
          <w:rFonts w:eastAsia="PMingLiU" w:cs="Arial"/>
          <w:snapToGrid w:val="0"/>
          <w:sz w:val="18"/>
          <w:szCs w:val="24"/>
        </w:rPr>
      </w:pPr>
      <w:r w:rsidRPr="00F07B06">
        <w:rPr>
          <w:rFonts w:eastAsia="PMingLiU" w:cs="Arial"/>
          <w:sz w:val="18"/>
          <w:szCs w:val="24"/>
        </w:rPr>
        <w:t>OECD:</w:t>
      </w:r>
      <w:r w:rsidRPr="00F07B06">
        <w:rPr>
          <w:rFonts w:eastAsia="PMingLiU" w:cs="Arial"/>
          <w:sz w:val="18"/>
          <w:szCs w:val="24"/>
        </w:rPr>
        <w:tab/>
      </w:r>
      <w:r w:rsidRPr="00F07B06">
        <w:rPr>
          <w:rFonts w:eastAsia="PMingLiU" w:cs="Arial"/>
          <w:snapToGrid w:val="0"/>
          <w:sz w:val="18"/>
          <w:szCs w:val="24"/>
        </w:rPr>
        <w:t>Organization for Economic Co-operation and Development</w:t>
      </w:r>
    </w:p>
    <w:p w14:paraId="21078AA0" w14:textId="77777777" w:rsidR="00EF4B00" w:rsidRPr="00F07B06" w:rsidRDefault="00EF4B00" w:rsidP="00EF4B00">
      <w:pPr>
        <w:keepNext/>
        <w:tabs>
          <w:tab w:val="left" w:pos="567"/>
        </w:tabs>
        <w:ind w:left="1701" w:hanging="1134"/>
        <w:rPr>
          <w:sz w:val="18"/>
        </w:rPr>
      </w:pPr>
      <w:r w:rsidRPr="00F07B06">
        <w:rPr>
          <w:sz w:val="18"/>
        </w:rPr>
        <w:t>TC:</w:t>
      </w:r>
      <w:r w:rsidRPr="00F07B06">
        <w:rPr>
          <w:sz w:val="18"/>
        </w:rPr>
        <w:tab/>
        <w:t>Technical Committee</w:t>
      </w:r>
    </w:p>
    <w:p w14:paraId="395DDF69"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TWA:</w:t>
      </w:r>
      <w:r w:rsidRPr="00F07B06">
        <w:rPr>
          <w:rFonts w:eastAsia="PMingLiU" w:cs="Arial"/>
          <w:sz w:val="18"/>
          <w:szCs w:val="24"/>
        </w:rPr>
        <w:tab/>
        <w:t>Technical Working Party for Agricultural Crops</w:t>
      </w:r>
    </w:p>
    <w:p w14:paraId="61509D5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TWF:</w:t>
      </w:r>
      <w:r w:rsidRPr="00F07B06">
        <w:rPr>
          <w:rFonts w:eastAsia="PMingLiU" w:cs="Arial"/>
          <w:sz w:val="18"/>
          <w:szCs w:val="24"/>
        </w:rPr>
        <w:tab/>
        <w:t>Technical Working Party on Fruit Crops</w:t>
      </w:r>
    </w:p>
    <w:p w14:paraId="6CB085B7"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TWM:</w:t>
      </w:r>
      <w:r w:rsidRPr="00F07B06">
        <w:rPr>
          <w:rFonts w:eastAsia="PMingLiU" w:cs="Arial"/>
          <w:sz w:val="18"/>
          <w:szCs w:val="24"/>
        </w:rPr>
        <w:tab/>
        <w:t>Technical Working Party on Testing Methods and Techniques</w:t>
      </w:r>
    </w:p>
    <w:p w14:paraId="4B06B46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TWO:</w:t>
      </w:r>
      <w:r w:rsidRPr="00F07B06">
        <w:rPr>
          <w:rFonts w:eastAsia="PMingLiU" w:cs="Arial"/>
          <w:sz w:val="18"/>
          <w:szCs w:val="24"/>
        </w:rPr>
        <w:tab/>
        <w:t>Technical Working Party on Ornamental Plants and Forest Trees</w:t>
      </w:r>
    </w:p>
    <w:p w14:paraId="5B43445B"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TWPs:</w:t>
      </w:r>
      <w:r w:rsidRPr="00F07B06">
        <w:rPr>
          <w:rFonts w:eastAsia="PMingLiU" w:cs="Arial"/>
          <w:sz w:val="18"/>
          <w:szCs w:val="24"/>
        </w:rPr>
        <w:tab/>
        <w:t>Technical Working Parties</w:t>
      </w:r>
    </w:p>
    <w:p w14:paraId="3EA243B4" w14:textId="77777777" w:rsidR="00EF4B00" w:rsidRPr="00F07B06" w:rsidRDefault="00EF4B00" w:rsidP="00EF4B00">
      <w:pPr>
        <w:ind w:left="1701" w:hanging="1134"/>
        <w:rPr>
          <w:rFonts w:eastAsia="PMingLiU" w:cs="Arial"/>
          <w:sz w:val="18"/>
          <w:szCs w:val="24"/>
        </w:rPr>
      </w:pPr>
      <w:r w:rsidRPr="00F07B06">
        <w:rPr>
          <w:rFonts w:eastAsia="PMingLiU" w:cs="Arial"/>
          <w:sz w:val="18"/>
          <w:szCs w:val="24"/>
        </w:rPr>
        <w:t>TWV:</w:t>
      </w:r>
      <w:r w:rsidRPr="00F07B06">
        <w:rPr>
          <w:rFonts w:eastAsia="PMingLiU" w:cs="Arial"/>
          <w:sz w:val="18"/>
          <w:szCs w:val="24"/>
        </w:rPr>
        <w:tab/>
        <w:t>Technical Working Party for Vegetables</w:t>
      </w:r>
    </w:p>
    <w:p w14:paraId="720C38C3" w14:textId="77777777" w:rsidR="00EF4B00" w:rsidRPr="00F07B06" w:rsidRDefault="00EF4B00" w:rsidP="00EF4B00">
      <w:pPr>
        <w:jc w:val="left"/>
        <w:rPr>
          <w:rFonts w:cs="Arial"/>
          <w:snapToGrid w:val="0"/>
          <w:sz w:val="18"/>
          <w:szCs w:val="24"/>
          <w:lang w:eastAsia="ja-JP"/>
        </w:rPr>
      </w:pPr>
    </w:p>
    <w:p w14:paraId="698DBADA" w14:textId="77777777" w:rsidR="0068528F" w:rsidRDefault="0068528F">
      <w:pPr>
        <w:jc w:val="left"/>
      </w:pPr>
      <w:r>
        <w:br w:type="page"/>
      </w:r>
    </w:p>
    <w:p w14:paraId="59EA9204" w14:textId="7039841A" w:rsidR="00EF4B00" w:rsidRPr="00F07B06" w:rsidRDefault="00EF4B00" w:rsidP="00C3093B">
      <w:r w:rsidRPr="00F07B06">
        <w:lastRenderedPageBreak/>
        <w:fldChar w:fldCharType="begin"/>
      </w:r>
      <w:r w:rsidRPr="00F07B06">
        <w:instrText xml:space="preserve"> AUTONUM  </w:instrText>
      </w:r>
      <w:r w:rsidRPr="00F07B06">
        <w:fldChar w:fldCharType="end"/>
      </w:r>
      <w:r w:rsidRPr="00F07B06">
        <w:tab/>
        <w:t>The structure of this document is as follows:</w:t>
      </w:r>
    </w:p>
    <w:p w14:paraId="16F082FD" w14:textId="77777777" w:rsidR="00EF4B00" w:rsidRPr="00F07B06" w:rsidRDefault="00EF4B00" w:rsidP="00C3093B">
      <w:pPr>
        <w:rPr>
          <w:rFonts w:cs="Arial"/>
          <w:caps/>
          <w:szCs w:val="18"/>
        </w:rPr>
      </w:pPr>
    </w:p>
    <w:p w14:paraId="5A2FF133" w14:textId="6884F9BA" w:rsidR="00C3093B" w:rsidRDefault="00047CF1" w:rsidP="00CE6618">
      <w:pPr>
        <w:pStyle w:val="TOC1"/>
        <w:rPr>
          <w:rFonts w:asciiTheme="minorHAnsi" w:eastAsiaTheme="minorEastAsia" w:hAnsiTheme="minorHAnsi" w:cstheme="minorBidi"/>
          <w:noProof/>
          <w:kern w:val="2"/>
          <w:sz w:val="24"/>
          <w:szCs w:val="24"/>
          <w:lang w:val="en-GB" w:eastAsia="en-GB"/>
          <w14:ligatures w14:val="standardContextual"/>
        </w:rPr>
      </w:pPr>
      <w:r>
        <w:rPr>
          <w:rFonts w:cs="Arial"/>
          <w:bCs/>
          <w:szCs w:val="18"/>
        </w:rPr>
        <w:fldChar w:fldCharType="begin"/>
      </w:r>
      <w:r>
        <w:rPr>
          <w:rFonts w:cs="Arial"/>
          <w:bCs/>
          <w:szCs w:val="18"/>
        </w:rPr>
        <w:instrText xml:space="preserve"> TOC \t "Heading 1,1,Heading 2,2,Heading 3,3" </w:instrText>
      </w:r>
      <w:r>
        <w:rPr>
          <w:rFonts w:cs="Arial"/>
          <w:bCs/>
          <w:szCs w:val="18"/>
        </w:rPr>
        <w:fldChar w:fldCharType="separate"/>
      </w:r>
      <w:r w:rsidR="00C3093B">
        <w:rPr>
          <w:noProof/>
        </w:rPr>
        <w:t>Guidelines for the validation of a new characteristic-specific molecular marker protocol as an alternative method for observation</w:t>
      </w:r>
      <w:r w:rsidR="00C3093B">
        <w:rPr>
          <w:noProof/>
        </w:rPr>
        <w:tab/>
      </w:r>
      <w:r w:rsidR="00C3093B">
        <w:rPr>
          <w:noProof/>
        </w:rPr>
        <w:fldChar w:fldCharType="begin"/>
      </w:r>
      <w:r w:rsidR="00C3093B">
        <w:rPr>
          <w:noProof/>
        </w:rPr>
        <w:instrText xml:space="preserve"> PAGEREF _Toc178069532 \h </w:instrText>
      </w:r>
      <w:r w:rsidR="00C3093B">
        <w:rPr>
          <w:noProof/>
        </w:rPr>
      </w:r>
      <w:r w:rsidR="00C3093B">
        <w:rPr>
          <w:noProof/>
        </w:rPr>
        <w:fldChar w:fldCharType="separate"/>
      </w:r>
      <w:r w:rsidR="00C3093B">
        <w:rPr>
          <w:noProof/>
        </w:rPr>
        <w:t>2</w:t>
      </w:r>
      <w:r w:rsidR="00C3093B">
        <w:rPr>
          <w:noProof/>
        </w:rPr>
        <w:fldChar w:fldCharType="end"/>
      </w:r>
    </w:p>
    <w:p w14:paraId="7C4511A8" w14:textId="5F07356C"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_Toc178069533 \h </w:instrText>
      </w:r>
      <w:r>
        <w:rPr>
          <w:noProof/>
        </w:rPr>
      </w:r>
      <w:r>
        <w:rPr>
          <w:noProof/>
        </w:rPr>
        <w:fldChar w:fldCharType="separate"/>
      </w:r>
      <w:r>
        <w:rPr>
          <w:noProof/>
        </w:rPr>
        <w:t>3</w:t>
      </w:r>
      <w:r>
        <w:rPr>
          <w:noProof/>
        </w:rPr>
        <w:fldChar w:fldCharType="end"/>
      </w:r>
    </w:p>
    <w:p w14:paraId="00C35BF6" w14:textId="7A48C738"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lang w:eastAsia="ja-JP"/>
        </w:rPr>
        <w:t>Developments at the Technical Working Parties at their sessions in 2024</w:t>
      </w:r>
      <w:r>
        <w:rPr>
          <w:noProof/>
        </w:rPr>
        <w:tab/>
      </w:r>
      <w:r>
        <w:rPr>
          <w:noProof/>
        </w:rPr>
        <w:fldChar w:fldCharType="begin"/>
      </w:r>
      <w:r>
        <w:rPr>
          <w:noProof/>
        </w:rPr>
        <w:instrText xml:space="preserve"> PAGEREF _Toc178069534 \h </w:instrText>
      </w:r>
      <w:r>
        <w:rPr>
          <w:noProof/>
        </w:rPr>
      </w:r>
      <w:r>
        <w:rPr>
          <w:noProof/>
        </w:rPr>
        <w:fldChar w:fldCharType="separate"/>
      </w:r>
      <w:r>
        <w:rPr>
          <w:noProof/>
        </w:rPr>
        <w:t>3</w:t>
      </w:r>
      <w:r>
        <w:rPr>
          <w:noProof/>
        </w:rPr>
        <w:fldChar w:fldCharType="end"/>
      </w:r>
    </w:p>
    <w:p w14:paraId="61AB9EA4" w14:textId="131924B9"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Technical Working Party on Testing Methods and Techniques (TWM)</w:t>
      </w:r>
      <w:r>
        <w:rPr>
          <w:noProof/>
        </w:rPr>
        <w:tab/>
      </w:r>
      <w:r>
        <w:rPr>
          <w:noProof/>
        </w:rPr>
        <w:fldChar w:fldCharType="begin"/>
      </w:r>
      <w:r>
        <w:rPr>
          <w:noProof/>
        </w:rPr>
        <w:instrText xml:space="preserve"> PAGEREF _Toc178069535 \h </w:instrText>
      </w:r>
      <w:r>
        <w:rPr>
          <w:noProof/>
        </w:rPr>
      </w:r>
      <w:r>
        <w:rPr>
          <w:noProof/>
        </w:rPr>
        <w:fldChar w:fldCharType="separate"/>
      </w:r>
      <w:r>
        <w:rPr>
          <w:noProof/>
        </w:rPr>
        <w:t>3</w:t>
      </w:r>
      <w:r>
        <w:rPr>
          <w:noProof/>
        </w:rPr>
        <w:fldChar w:fldCharType="end"/>
      </w:r>
    </w:p>
    <w:p w14:paraId="0FF1F537" w14:textId="3422E78E"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sidRPr="005403A7">
        <w:rPr>
          <w:noProof/>
          <w:snapToGrid w:val="0"/>
          <w:lang w:eastAsia="ja-JP"/>
        </w:rPr>
        <w:t>Matters for information</w:t>
      </w:r>
      <w:r>
        <w:rPr>
          <w:noProof/>
        </w:rPr>
        <w:tab/>
      </w:r>
      <w:r>
        <w:rPr>
          <w:noProof/>
        </w:rPr>
        <w:fldChar w:fldCharType="begin"/>
      </w:r>
      <w:r>
        <w:rPr>
          <w:noProof/>
        </w:rPr>
        <w:instrText xml:space="preserve"> PAGEREF _Toc178069536 \h </w:instrText>
      </w:r>
      <w:r>
        <w:rPr>
          <w:noProof/>
        </w:rPr>
      </w:r>
      <w:r>
        <w:rPr>
          <w:noProof/>
        </w:rPr>
        <w:fldChar w:fldCharType="separate"/>
      </w:r>
      <w:r>
        <w:rPr>
          <w:noProof/>
        </w:rPr>
        <w:t>4</w:t>
      </w:r>
      <w:r>
        <w:rPr>
          <w:noProof/>
        </w:rPr>
        <w:fldChar w:fldCharType="end"/>
      </w:r>
    </w:p>
    <w:p w14:paraId="5058F2AE" w14:textId="68B309CF"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Developments at the second session of the Technical Working Party on Testing Methods and Techniques (TWM)</w:t>
      </w:r>
      <w:r>
        <w:rPr>
          <w:noProof/>
        </w:rPr>
        <w:tab/>
      </w:r>
      <w:r>
        <w:rPr>
          <w:noProof/>
        </w:rPr>
        <w:fldChar w:fldCharType="begin"/>
      </w:r>
      <w:r>
        <w:rPr>
          <w:noProof/>
        </w:rPr>
        <w:instrText xml:space="preserve"> PAGEREF _Toc178069537 \h </w:instrText>
      </w:r>
      <w:r>
        <w:rPr>
          <w:noProof/>
        </w:rPr>
      </w:r>
      <w:r>
        <w:rPr>
          <w:noProof/>
        </w:rPr>
        <w:fldChar w:fldCharType="separate"/>
      </w:r>
      <w:r>
        <w:rPr>
          <w:noProof/>
        </w:rPr>
        <w:t>4</w:t>
      </w:r>
      <w:r>
        <w:rPr>
          <w:noProof/>
        </w:rPr>
        <w:fldChar w:fldCharType="end"/>
      </w:r>
    </w:p>
    <w:p w14:paraId="7F62E3C9" w14:textId="728BF97C"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Developments in molecular techniques and bioinformatics</w:t>
      </w:r>
      <w:r>
        <w:rPr>
          <w:noProof/>
        </w:rPr>
        <w:tab/>
      </w:r>
      <w:r>
        <w:rPr>
          <w:noProof/>
        </w:rPr>
        <w:fldChar w:fldCharType="begin"/>
      </w:r>
      <w:r>
        <w:rPr>
          <w:noProof/>
        </w:rPr>
        <w:instrText xml:space="preserve"> PAGEREF _Toc178069538 \h </w:instrText>
      </w:r>
      <w:r>
        <w:rPr>
          <w:noProof/>
        </w:rPr>
      </w:r>
      <w:r>
        <w:rPr>
          <w:noProof/>
        </w:rPr>
        <w:fldChar w:fldCharType="separate"/>
      </w:r>
      <w:r>
        <w:rPr>
          <w:noProof/>
        </w:rPr>
        <w:t>4</w:t>
      </w:r>
      <w:r>
        <w:rPr>
          <w:noProof/>
        </w:rPr>
        <w:fldChar w:fldCharType="end"/>
      </w:r>
    </w:p>
    <w:p w14:paraId="0FC9896A" w14:textId="36CC1DE5"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Latest developments in molecular techniques and bioinformatics</w:t>
      </w:r>
      <w:r>
        <w:rPr>
          <w:noProof/>
        </w:rPr>
        <w:tab/>
      </w:r>
      <w:r>
        <w:rPr>
          <w:noProof/>
        </w:rPr>
        <w:fldChar w:fldCharType="begin"/>
      </w:r>
      <w:r>
        <w:rPr>
          <w:noProof/>
        </w:rPr>
        <w:instrText xml:space="preserve"> PAGEREF _Toc178069539 \h </w:instrText>
      </w:r>
      <w:r>
        <w:rPr>
          <w:noProof/>
        </w:rPr>
      </w:r>
      <w:r>
        <w:rPr>
          <w:noProof/>
        </w:rPr>
        <w:fldChar w:fldCharType="separate"/>
      </w:r>
      <w:r>
        <w:rPr>
          <w:noProof/>
        </w:rPr>
        <w:t>4</w:t>
      </w:r>
      <w:r>
        <w:rPr>
          <w:noProof/>
        </w:rPr>
        <w:fldChar w:fldCharType="end"/>
      </w:r>
    </w:p>
    <w:p w14:paraId="41A9507E" w14:textId="4AAD1175"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Cooperation between international organizations</w:t>
      </w:r>
      <w:r>
        <w:rPr>
          <w:noProof/>
        </w:rPr>
        <w:tab/>
      </w:r>
      <w:r>
        <w:rPr>
          <w:noProof/>
        </w:rPr>
        <w:fldChar w:fldCharType="begin"/>
      </w:r>
      <w:r>
        <w:rPr>
          <w:noProof/>
        </w:rPr>
        <w:instrText xml:space="preserve"> PAGEREF _Toc178069540 \h </w:instrText>
      </w:r>
      <w:r>
        <w:rPr>
          <w:noProof/>
        </w:rPr>
      </w:r>
      <w:r>
        <w:rPr>
          <w:noProof/>
        </w:rPr>
        <w:fldChar w:fldCharType="separate"/>
      </w:r>
      <w:r>
        <w:rPr>
          <w:noProof/>
        </w:rPr>
        <w:t>4</w:t>
      </w:r>
      <w:r>
        <w:rPr>
          <w:noProof/>
        </w:rPr>
        <w:fldChar w:fldCharType="end"/>
      </w:r>
    </w:p>
    <w:p w14:paraId="1781D954" w14:textId="784D778C"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Report on the work on molecular techniques in relation to DUS examination</w:t>
      </w:r>
      <w:r>
        <w:rPr>
          <w:noProof/>
        </w:rPr>
        <w:tab/>
      </w:r>
      <w:r>
        <w:rPr>
          <w:noProof/>
        </w:rPr>
        <w:fldChar w:fldCharType="begin"/>
      </w:r>
      <w:r>
        <w:rPr>
          <w:noProof/>
        </w:rPr>
        <w:instrText xml:space="preserve"> PAGEREF _Toc178069541 \h </w:instrText>
      </w:r>
      <w:r>
        <w:rPr>
          <w:noProof/>
        </w:rPr>
      </w:r>
      <w:r>
        <w:rPr>
          <w:noProof/>
        </w:rPr>
        <w:fldChar w:fldCharType="separate"/>
      </w:r>
      <w:r>
        <w:rPr>
          <w:noProof/>
        </w:rPr>
        <w:t>4</w:t>
      </w:r>
      <w:r>
        <w:rPr>
          <w:noProof/>
        </w:rPr>
        <w:fldChar w:fldCharType="end"/>
      </w:r>
    </w:p>
    <w:p w14:paraId="6B7B200A" w14:textId="682029F8"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The use of molecular techniques in variety identification</w:t>
      </w:r>
      <w:r>
        <w:rPr>
          <w:noProof/>
        </w:rPr>
        <w:tab/>
      </w:r>
      <w:r>
        <w:rPr>
          <w:noProof/>
        </w:rPr>
        <w:fldChar w:fldCharType="begin"/>
      </w:r>
      <w:r>
        <w:rPr>
          <w:noProof/>
        </w:rPr>
        <w:instrText xml:space="preserve"> PAGEREF _Toc178069542 \h </w:instrText>
      </w:r>
      <w:r>
        <w:rPr>
          <w:noProof/>
        </w:rPr>
      </w:r>
      <w:r>
        <w:rPr>
          <w:noProof/>
        </w:rPr>
        <w:fldChar w:fldCharType="separate"/>
      </w:r>
      <w:r>
        <w:rPr>
          <w:noProof/>
        </w:rPr>
        <w:t>5</w:t>
      </w:r>
      <w:r>
        <w:rPr>
          <w:noProof/>
        </w:rPr>
        <w:fldChar w:fldCharType="end"/>
      </w:r>
    </w:p>
    <w:p w14:paraId="05761C05" w14:textId="380F2BF7" w:rsidR="00342001" w:rsidRPr="00F07B06" w:rsidRDefault="00047CF1" w:rsidP="008A52E0">
      <w:pPr>
        <w:keepNext/>
        <w:tabs>
          <w:tab w:val="center" w:pos="4479"/>
        </w:tabs>
        <w:spacing w:before="120"/>
        <w:ind w:left="851" w:right="851" w:hanging="851"/>
        <w:contextualSpacing/>
        <w:rPr>
          <w:sz w:val="18"/>
          <w:szCs w:val="18"/>
        </w:rPr>
      </w:pPr>
      <w:r>
        <w:rPr>
          <w:rFonts w:cs="Arial"/>
          <w:bCs/>
          <w:sz w:val="18"/>
          <w:szCs w:val="18"/>
        </w:rPr>
        <w:fldChar w:fldCharType="end"/>
      </w:r>
      <w:r w:rsidR="00F509D3" w:rsidRPr="00F07B06">
        <w:rPr>
          <w:rFonts w:cs="Arial"/>
          <w:bCs/>
          <w:caps/>
          <w:sz w:val="18"/>
          <w:szCs w:val="18"/>
        </w:rPr>
        <w:t>Annex:</w:t>
      </w:r>
      <w:r w:rsidR="008A52E0" w:rsidRPr="00F07B06">
        <w:rPr>
          <w:rFonts w:cs="Arial"/>
          <w:bCs/>
          <w:caps/>
          <w:sz w:val="18"/>
          <w:szCs w:val="18"/>
        </w:rPr>
        <w:tab/>
      </w:r>
      <w:r w:rsidR="00F509D3" w:rsidRPr="00F07B06">
        <w:rPr>
          <w:sz w:val="18"/>
          <w:szCs w:val="18"/>
        </w:rPr>
        <w:t>Guidelines for the validation of a new characteristic-specific molecular marker protocol for DUS studies as an alternative method for observation</w:t>
      </w:r>
    </w:p>
    <w:p w14:paraId="4E9D101B" w14:textId="77777777" w:rsidR="00342001" w:rsidRPr="00F07B06" w:rsidRDefault="00342001" w:rsidP="00342001">
      <w:pPr>
        <w:jc w:val="left"/>
      </w:pPr>
    </w:p>
    <w:p w14:paraId="43AC56C6" w14:textId="77777777" w:rsidR="008A52E0" w:rsidRDefault="008A52E0" w:rsidP="00342001">
      <w:pPr>
        <w:jc w:val="left"/>
      </w:pPr>
    </w:p>
    <w:p w14:paraId="5B099308" w14:textId="77777777" w:rsidR="00047CF1" w:rsidRPr="00F07B06" w:rsidRDefault="00047CF1" w:rsidP="00342001">
      <w:pPr>
        <w:jc w:val="left"/>
      </w:pPr>
    </w:p>
    <w:p w14:paraId="7A7FC83A" w14:textId="77777777" w:rsidR="00342001" w:rsidRPr="00F07B06" w:rsidRDefault="00342001" w:rsidP="00383D5A">
      <w:pPr>
        <w:pStyle w:val="Heading1"/>
      </w:pPr>
      <w:bookmarkStart w:id="3" w:name="_Toc177773940"/>
      <w:bookmarkStart w:id="4" w:name="_Toc178069532"/>
      <w:r w:rsidRPr="00F07B06">
        <w:t>Guidelines for the validation of a new characteristic-specific molecular marker protocol as an alternative method for observation</w:t>
      </w:r>
      <w:bookmarkEnd w:id="3"/>
      <w:bookmarkEnd w:id="4"/>
    </w:p>
    <w:p w14:paraId="133152E8" w14:textId="77777777" w:rsidR="00342001" w:rsidRPr="00F07B06" w:rsidRDefault="00342001" w:rsidP="00342001"/>
    <w:p w14:paraId="72161E2A" w14:textId="20399AAA" w:rsidR="00A655A8" w:rsidRPr="00F07B06" w:rsidRDefault="00A655A8" w:rsidP="00342001">
      <w:r w:rsidRPr="00F07B06">
        <w:fldChar w:fldCharType="begin"/>
      </w:r>
      <w:r w:rsidRPr="00F07B06">
        <w:instrText xml:space="preserve"> AUTONUM  </w:instrText>
      </w:r>
      <w:r w:rsidRPr="00F07B06">
        <w:fldChar w:fldCharType="end"/>
      </w:r>
      <w:r w:rsidRPr="00F07B06">
        <w:tab/>
        <w:t>The TWM</w:t>
      </w:r>
      <w:r w:rsidRPr="00F07B06">
        <w:rPr>
          <w:rStyle w:val="FootnoteReference"/>
          <w:lang w:eastAsia="ja-JP"/>
        </w:rPr>
        <w:footnoteReference w:id="2"/>
      </w:r>
      <w:r w:rsidRPr="00F07B06">
        <w:t xml:space="preserve">, at its second session, received a presentation from Ms. Amandine LeVan (France) on “Guidelines for the validation of a new characteristic-specific molecular marker protocol for DUS studies as an alternative method for observation”, a copy of </w:t>
      </w:r>
      <w:r w:rsidR="00825360" w:rsidRPr="00F07B06">
        <w:t>which</w:t>
      </w:r>
      <w:r w:rsidRPr="00F07B06">
        <w:t xml:space="preserve"> is provided in document TWM/2/17.  The TWM noted that the proposal</w:t>
      </w:r>
      <w:r w:rsidR="004D217B">
        <w:t xml:space="preserve">s made during the presentation </w:t>
      </w:r>
      <w:r w:rsidRPr="00F07B06">
        <w:t>would be considered by the TWV and reported to the TC, at their sessions in 2024.</w:t>
      </w:r>
    </w:p>
    <w:p w14:paraId="16537E60" w14:textId="77777777" w:rsidR="00A655A8" w:rsidRPr="00F07B06" w:rsidRDefault="00A655A8" w:rsidP="00342001"/>
    <w:p w14:paraId="66464F3E" w14:textId="536B3604" w:rsidR="00342001" w:rsidRPr="00F07B06" w:rsidRDefault="00342001" w:rsidP="00342001">
      <w:r w:rsidRPr="00F07B06">
        <w:fldChar w:fldCharType="begin"/>
      </w:r>
      <w:r w:rsidRPr="00F07B06">
        <w:instrText xml:space="preserve"> AUTONUM  </w:instrText>
      </w:r>
      <w:r w:rsidRPr="00F07B06">
        <w:fldChar w:fldCharType="end"/>
      </w:r>
      <w:r w:rsidRPr="00F07B06">
        <w:tab/>
        <w:t>The TWV</w:t>
      </w:r>
      <w:r w:rsidR="00A655A8" w:rsidRPr="00F07B06">
        <w:rPr>
          <w:rStyle w:val="FootnoteReference"/>
        </w:rPr>
        <w:footnoteReference w:id="3"/>
      </w:r>
      <w:r w:rsidR="00A655A8" w:rsidRPr="00F07B06">
        <w:t>, at its fifty-eighth session,</w:t>
      </w:r>
      <w:r w:rsidRPr="00F07B06">
        <w:t xml:space="preserve"> considered document TWV/58/9, presented by an expert from the </w:t>
      </w:r>
      <w:r w:rsidRPr="00C3093B">
        <w:t xml:space="preserve">Netherlands (Kingdom of). </w:t>
      </w:r>
      <w:r w:rsidR="00383D5A" w:rsidRPr="00C3093B">
        <w:t xml:space="preserve"> Document TWV/58/9 is reproduced </w:t>
      </w:r>
      <w:r w:rsidR="00825360" w:rsidRPr="00C3093B">
        <w:t xml:space="preserve">in </w:t>
      </w:r>
      <w:r w:rsidR="00383D5A" w:rsidRPr="00C3093B">
        <w:t>the Annex to this document.</w:t>
      </w:r>
    </w:p>
    <w:p w14:paraId="325AE9DF" w14:textId="77777777" w:rsidR="00342001" w:rsidRPr="00F07B06" w:rsidRDefault="00342001" w:rsidP="00342001"/>
    <w:p w14:paraId="64CADC83" w14:textId="094A0DDD" w:rsidR="00342001" w:rsidRPr="00F07B06" w:rsidRDefault="00342001" w:rsidP="00342001">
      <w:r w:rsidRPr="00F07B06">
        <w:fldChar w:fldCharType="begin"/>
      </w:r>
      <w:r w:rsidRPr="00F07B06">
        <w:instrText xml:space="preserve"> AUTONUM  </w:instrText>
      </w:r>
      <w:r w:rsidRPr="00F07B06">
        <w:fldChar w:fldCharType="end"/>
      </w:r>
      <w:r w:rsidRPr="00F07B06">
        <w:tab/>
        <w:t xml:space="preserve">The TWV agreed that guidance on the assessment of characteristics using the molecular markers presented in Test Guidelines would benefit </w:t>
      </w:r>
      <w:r w:rsidR="00825360" w:rsidRPr="00F07B06">
        <w:t xml:space="preserve">from </w:t>
      </w:r>
      <w:r w:rsidRPr="00F07B06">
        <w:t>international harmonization.</w:t>
      </w:r>
    </w:p>
    <w:p w14:paraId="557A78E3" w14:textId="77777777" w:rsidR="00342001" w:rsidRPr="00F07B06" w:rsidRDefault="00342001" w:rsidP="00342001"/>
    <w:p w14:paraId="567C7A80" w14:textId="77777777" w:rsidR="00342001" w:rsidRPr="00F07B06" w:rsidRDefault="00342001" w:rsidP="00342001">
      <w:pPr>
        <w:pStyle w:val="pldetails"/>
        <w:keepLines w:val="0"/>
        <w:spacing w:before="0" w:after="0"/>
        <w:jc w:val="both"/>
        <w:rPr>
          <w:noProof w:val="0"/>
          <w:snapToGrid/>
        </w:rPr>
      </w:pPr>
      <w:r w:rsidRPr="00F07B06">
        <w:rPr>
          <w:noProof w:val="0"/>
          <w:snapToGrid/>
        </w:rPr>
        <w:fldChar w:fldCharType="begin"/>
      </w:r>
      <w:r w:rsidRPr="00F07B06">
        <w:rPr>
          <w:noProof w:val="0"/>
          <w:snapToGrid/>
        </w:rPr>
        <w:instrText xml:space="preserve"> AUTONUM  </w:instrText>
      </w:r>
      <w:r w:rsidRPr="00F07B06">
        <w:rPr>
          <w:noProof w:val="0"/>
          <w:snapToGrid/>
        </w:rPr>
        <w:fldChar w:fldCharType="end"/>
      </w:r>
      <w:r w:rsidRPr="00F07B06">
        <w:rPr>
          <w:noProof w:val="0"/>
          <w:snapToGrid/>
        </w:rPr>
        <w:tab/>
        <w:t>The TWV agreed to propose the deletion of the last sentence in paragraph 5 and the inclusion of reference to the respective UPOV guidance applicable to the ISO standards mentioned.</w:t>
      </w:r>
    </w:p>
    <w:p w14:paraId="007458C5" w14:textId="77777777" w:rsidR="00342001" w:rsidRPr="00F07B06" w:rsidRDefault="00342001" w:rsidP="00342001"/>
    <w:p w14:paraId="0A7E2FFF" w14:textId="77777777" w:rsidR="00342001" w:rsidRPr="00F07B06" w:rsidRDefault="00342001" w:rsidP="008A52E0">
      <w:pPr>
        <w:pStyle w:val="pldetails"/>
        <w:spacing w:before="0" w:after="0"/>
        <w:jc w:val="both"/>
        <w:rPr>
          <w:noProof w:val="0"/>
          <w:snapToGrid/>
        </w:rPr>
      </w:pPr>
      <w:r w:rsidRPr="00F07B06">
        <w:rPr>
          <w:noProof w:val="0"/>
          <w:snapToGrid/>
        </w:rPr>
        <w:fldChar w:fldCharType="begin"/>
      </w:r>
      <w:r w:rsidRPr="00F07B06">
        <w:rPr>
          <w:noProof w:val="0"/>
          <w:snapToGrid/>
        </w:rPr>
        <w:instrText xml:space="preserve"> AUTONUM  </w:instrText>
      </w:r>
      <w:r w:rsidRPr="00F07B06">
        <w:rPr>
          <w:noProof w:val="0"/>
          <w:snapToGrid/>
        </w:rPr>
        <w:fldChar w:fldCharType="end"/>
      </w:r>
      <w:r w:rsidRPr="00F07B06">
        <w:rPr>
          <w:noProof w:val="0"/>
          <w:snapToGrid/>
        </w:rPr>
        <w:tab/>
        <w:t>The TWV agreed to propose amending the information provided in the protocol table, item 8, to clarify that “in case the DNA marker test result does not confirm the declaration in the Technical Questionnaire, a field trial or bio-assay should be performed to assess the correctness of the declaration in the Technical Questionnaire.”</w:t>
      </w:r>
    </w:p>
    <w:p w14:paraId="2604067B" w14:textId="77777777" w:rsidR="00342001" w:rsidRPr="00F07B06" w:rsidRDefault="00342001" w:rsidP="00342001"/>
    <w:p w14:paraId="03796E8C" w14:textId="2ABE337F" w:rsidR="00342001" w:rsidRPr="00F07B06" w:rsidRDefault="00342001" w:rsidP="00342001">
      <w:r w:rsidRPr="00F07B06">
        <w:fldChar w:fldCharType="begin"/>
      </w:r>
      <w:r w:rsidRPr="00F07B06">
        <w:instrText xml:space="preserve"> AUTONUM  </w:instrText>
      </w:r>
      <w:r w:rsidRPr="00F07B06">
        <w:fldChar w:fldCharType="end"/>
      </w:r>
      <w:r w:rsidRPr="00F07B06">
        <w:tab/>
        <w:t xml:space="preserve">The TWV noted that characteristic-specific molecular markers could be used by the breeders and agreed that they were entitled to inform the examiner on the method of assessment used to assess characteristics in the Technical Questionnaire, in cases where a molecular marker was available as alternative to the one indicated in the Technical Questionnaire. </w:t>
      </w:r>
    </w:p>
    <w:p w14:paraId="264DA7CA" w14:textId="77777777" w:rsidR="00342001" w:rsidRPr="00F07B06" w:rsidRDefault="00342001" w:rsidP="00EF4B00"/>
    <w:p w14:paraId="64369D8B" w14:textId="41EC1D16" w:rsidR="00342001" w:rsidRPr="00F07B06" w:rsidRDefault="00BD5CF7" w:rsidP="00B43A2A">
      <w:pPr>
        <w:tabs>
          <w:tab w:val="left" w:pos="5387"/>
        </w:tabs>
        <w:ind w:left="4820"/>
        <w:rPr>
          <w:i/>
          <w:iCs/>
        </w:rPr>
      </w:pPr>
      <w:r w:rsidRPr="00F07B06">
        <w:rPr>
          <w:i/>
          <w:iCs/>
        </w:rPr>
        <w:fldChar w:fldCharType="begin"/>
      </w:r>
      <w:r w:rsidRPr="00F07B06">
        <w:rPr>
          <w:i/>
          <w:iCs/>
        </w:rPr>
        <w:instrText xml:space="preserve"> AUTONUM  </w:instrText>
      </w:r>
      <w:r w:rsidRPr="00F07B06">
        <w:rPr>
          <w:i/>
          <w:iCs/>
        </w:rPr>
        <w:fldChar w:fldCharType="end"/>
      </w:r>
      <w:r w:rsidRPr="00F07B06">
        <w:rPr>
          <w:i/>
          <w:iCs/>
        </w:rPr>
        <w:tab/>
      </w:r>
      <w:bookmarkStart w:id="5" w:name="_Hlk177776751"/>
      <w:r w:rsidRPr="00F07B06">
        <w:rPr>
          <w:i/>
          <w:iCs/>
        </w:rPr>
        <w:t xml:space="preserve">The TC is invited to </w:t>
      </w:r>
      <w:r w:rsidR="00825360" w:rsidRPr="00F07B06">
        <w:rPr>
          <w:i/>
          <w:iCs/>
        </w:rPr>
        <w:t xml:space="preserve">request </w:t>
      </w:r>
      <w:r w:rsidRPr="00F07B06">
        <w:rPr>
          <w:i/>
          <w:iCs/>
        </w:rPr>
        <w:t xml:space="preserve">the TWPs, at their sessions in 2025, to consider the proposal for </w:t>
      </w:r>
      <w:r w:rsidR="00B43A2A" w:rsidRPr="00F07B06">
        <w:rPr>
          <w:i/>
          <w:iCs/>
        </w:rPr>
        <w:t xml:space="preserve">guidelines for the validation of new characteristic-specific molecular marker protocol for DUS examination, as provided in the Annex to this document. </w:t>
      </w:r>
    </w:p>
    <w:bookmarkEnd w:id="5"/>
    <w:p w14:paraId="63787A44" w14:textId="77777777" w:rsidR="00550FF9" w:rsidRPr="00F07B06" w:rsidRDefault="00550FF9" w:rsidP="00EF4B00"/>
    <w:p w14:paraId="5A101B3D" w14:textId="77777777" w:rsidR="00550FF9" w:rsidRPr="00F07B06" w:rsidRDefault="00550FF9" w:rsidP="00EF4B00"/>
    <w:p w14:paraId="048EE061" w14:textId="1B762434" w:rsidR="00EF4B00" w:rsidRPr="00F07B06" w:rsidRDefault="00EF4B00" w:rsidP="00975B88">
      <w:pPr>
        <w:keepNext/>
        <w:outlineLvl w:val="0"/>
        <w:rPr>
          <w:caps/>
        </w:rPr>
      </w:pPr>
      <w:bookmarkStart w:id="6" w:name="_Toc177773941"/>
      <w:r w:rsidRPr="00F07B06">
        <w:rPr>
          <w:caps/>
        </w:rPr>
        <w:lastRenderedPageBreak/>
        <w:t xml:space="preserve">Confidentiality </w:t>
      </w:r>
      <w:r w:rsidR="00825360" w:rsidRPr="00F07B06">
        <w:rPr>
          <w:caps/>
        </w:rPr>
        <w:t>and</w:t>
      </w:r>
      <w:r w:rsidRPr="00F07B06">
        <w:rPr>
          <w:caps/>
        </w:rPr>
        <w:t xml:space="preserve"> Ownership of Molecular Information</w:t>
      </w:r>
      <w:bookmarkEnd w:id="1"/>
      <w:bookmarkEnd w:id="2"/>
      <w:bookmarkEnd w:id="6"/>
    </w:p>
    <w:p w14:paraId="784293B8" w14:textId="77777777" w:rsidR="00EF4B00" w:rsidRPr="00F07B06" w:rsidRDefault="00EF4B00" w:rsidP="00975B88">
      <w:pPr>
        <w:keepNext/>
      </w:pPr>
    </w:p>
    <w:p w14:paraId="2D29F9AC" w14:textId="77777777" w:rsidR="00EF4B00" w:rsidRPr="00F07B06" w:rsidRDefault="00EF4B00" w:rsidP="00975B88">
      <w:pPr>
        <w:pStyle w:val="Heading2"/>
      </w:pPr>
      <w:bookmarkStart w:id="7" w:name="_Toc177773942"/>
      <w:bookmarkStart w:id="8" w:name="_Toc178069533"/>
      <w:r w:rsidRPr="00F07B06">
        <w:t>Background</w:t>
      </w:r>
      <w:bookmarkEnd w:id="7"/>
      <w:bookmarkEnd w:id="8"/>
    </w:p>
    <w:p w14:paraId="3E5C10D4" w14:textId="77777777" w:rsidR="00EF4B00" w:rsidRPr="00F07B06" w:rsidRDefault="00EF4B00" w:rsidP="00975B88">
      <w:pPr>
        <w:keepNext/>
        <w:keepLines/>
      </w:pPr>
    </w:p>
    <w:p w14:paraId="40004238" w14:textId="6275E9A2" w:rsidR="00EF4B00" w:rsidRPr="00F07B06" w:rsidRDefault="00EF4B00" w:rsidP="00825360">
      <w:r w:rsidRPr="00F07B06">
        <w:fldChar w:fldCharType="begin"/>
      </w:r>
      <w:r w:rsidRPr="00F07B06">
        <w:instrText xml:space="preserve"> AUTONUM  </w:instrText>
      </w:r>
      <w:r w:rsidRPr="00F07B06">
        <w:fldChar w:fldCharType="end"/>
      </w:r>
      <w:r w:rsidRPr="00F07B06">
        <w:tab/>
        <w:t>The TC, at its fifty-eighth session</w:t>
      </w:r>
      <w:r w:rsidRPr="00F07B06">
        <w:rPr>
          <w:vertAlign w:val="superscript"/>
        </w:rPr>
        <w:footnoteReference w:id="4"/>
      </w:r>
      <w:r w:rsidRPr="00F07B06">
        <w:t xml:space="preserve">, noted discussions held at the TWPs, at their sessions in 2022, on “Confidentiality </w:t>
      </w:r>
      <w:r w:rsidR="00825360" w:rsidRPr="00F07B06">
        <w:t>and</w:t>
      </w:r>
      <w:r w:rsidRPr="00F07B06">
        <w:t xml:space="preserve"> Ownership of Molecular Information”</w:t>
      </w:r>
      <w:r w:rsidR="006A263B" w:rsidRPr="00F07B06">
        <w:t xml:space="preserve">.  </w:t>
      </w:r>
      <w:r w:rsidRPr="00F07B06">
        <w:t xml:space="preserve">The TC noted the concerns expressed by breeders’ organizations at the TWM that molecular information </w:t>
      </w:r>
      <w:r w:rsidR="00A02C6D">
        <w:t>used during</w:t>
      </w:r>
      <w:r w:rsidR="00A02C6D" w:rsidRPr="00F07B06">
        <w:t xml:space="preserve"> the examination</w:t>
      </w:r>
      <w:r w:rsidRPr="00F07B06">
        <w:t xml:space="preserve"> of a variety should not be </w:t>
      </w:r>
      <w:r w:rsidR="00986E0C">
        <w:t xml:space="preserve">shared by </w:t>
      </w:r>
      <w:r w:rsidRPr="00F07B06">
        <w:t>the authority that received the application without the permission of the breeder.</w:t>
      </w:r>
      <w:r w:rsidR="006A263B" w:rsidRPr="00F07B06">
        <w:t xml:space="preserve">  </w:t>
      </w:r>
      <w:r w:rsidRPr="00F07B06">
        <w:t xml:space="preserve">The TC agreed to invite members and observers to report </w:t>
      </w:r>
      <w:r w:rsidR="00986E0C">
        <w:t xml:space="preserve">on </w:t>
      </w:r>
      <w:r w:rsidRPr="00F07B06">
        <w:t>existing policies on confidentiality of molecular information at the TWPs, at their sessions in 2023</w:t>
      </w:r>
      <w:r w:rsidR="006A263B" w:rsidRPr="00F07B06">
        <w:t xml:space="preserve"> (see document TC/58/31 “Report”, paragraphs</w:t>
      </w:r>
      <w:r w:rsidR="00825360" w:rsidRPr="00F07B06">
        <w:t> </w:t>
      </w:r>
      <w:r w:rsidR="006A263B" w:rsidRPr="00F07B06">
        <w:t>48 to 50).</w:t>
      </w:r>
      <w:r w:rsidR="00986E0C">
        <w:t xml:space="preserve"> </w:t>
      </w:r>
    </w:p>
    <w:p w14:paraId="64F93E2D" w14:textId="77777777" w:rsidR="00EF4B00" w:rsidRPr="00F07B06" w:rsidRDefault="00EF4B00" w:rsidP="00EF4B00"/>
    <w:p w14:paraId="08B2AE32" w14:textId="64DABD05" w:rsidR="001A0DD8" w:rsidRPr="00F07B06" w:rsidRDefault="001A0DD8" w:rsidP="00EF4B00">
      <w:r w:rsidRPr="00F07B06">
        <w:fldChar w:fldCharType="begin"/>
      </w:r>
      <w:r w:rsidRPr="00F07B06">
        <w:instrText xml:space="preserve"> AUTONUM  </w:instrText>
      </w:r>
      <w:r w:rsidRPr="00F07B06">
        <w:fldChar w:fldCharType="end"/>
      </w:r>
      <w:r w:rsidRPr="00F07B06">
        <w:tab/>
      </w:r>
      <w:r w:rsidR="006A263B" w:rsidRPr="00F07B06">
        <w:t>The TC, at its fifty-ninth session</w:t>
      </w:r>
      <w:r w:rsidR="006A263B" w:rsidRPr="00F07B06">
        <w:rPr>
          <w:vertAlign w:val="superscript"/>
        </w:rPr>
        <w:footnoteReference w:id="5"/>
      </w:r>
      <w:r w:rsidR="006A263B" w:rsidRPr="00F07B06">
        <w:t xml:space="preserve">, </w:t>
      </w:r>
      <w:r w:rsidRPr="00F07B06">
        <w:t xml:space="preserve">noted the policies reported </w:t>
      </w:r>
      <w:r w:rsidR="00986E0C">
        <w:t xml:space="preserve">on </w:t>
      </w:r>
      <w:r w:rsidRPr="00F07B06">
        <w:t xml:space="preserve">and discussions on confidentiality of molecular information at the TWP sessions in 2023. The TC agreed to repeat the invitation for members and observers to report </w:t>
      </w:r>
      <w:r w:rsidR="00825360" w:rsidRPr="00F07B06">
        <w:t xml:space="preserve">on </w:t>
      </w:r>
      <w:r w:rsidRPr="00F07B06">
        <w:t>existing policies on confidentiality of molecular information at the TWPs, at their sessions in 2024.</w:t>
      </w:r>
    </w:p>
    <w:p w14:paraId="4E6539D4" w14:textId="77777777" w:rsidR="0010001A" w:rsidRPr="00F07B06" w:rsidRDefault="0010001A" w:rsidP="00EF4B00"/>
    <w:p w14:paraId="48D32A66" w14:textId="33511DC3" w:rsidR="00EF4B00" w:rsidRPr="00F07B06" w:rsidRDefault="00EF4B00" w:rsidP="00EF4B00">
      <w:r w:rsidRPr="00F07B06">
        <w:fldChar w:fldCharType="begin"/>
      </w:r>
      <w:r w:rsidRPr="00F07B06">
        <w:instrText xml:space="preserve"> AUTONUM  </w:instrText>
      </w:r>
      <w:r w:rsidRPr="00F07B06">
        <w:fldChar w:fldCharType="end"/>
      </w:r>
      <w:r w:rsidRPr="00F07B06">
        <w:tab/>
        <w:t xml:space="preserve">Further background to this matter is provided in document </w:t>
      </w:r>
      <w:r w:rsidR="001A0DD8" w:rsidRPr="00F07B06">
        <w:t>SESSIONS/2023/5</w:t>
      </w:r>
      <w:r w:rsidRPr="00F07B06">
        <w:t xml:space="preserve"> “Molecular Techniques”.</w:t>
      </w:r>
    </w:p>
    <w:p w14:paraId="6A2A8338" w14:textId="77777777" w:rsidR="007C0689" w:rsidRPr="00F07B06" w:rsidRDefault="007C0689" w:rsidP="00EF4B00">
      <w:pPr>
        <w:rPr>
          <w:lang w:eastAsia="ja-JP"/>
        </w:rPr>
      </w:pPr>
    </w:p>
    <w:p w14:paraId="0D861CBE" w14:textId="50721434" w:rsidR="00EF4B00" w:rsidRPr="00F07B06" w:rsidRDefault="00EF4B00" w:rsidP="00EF4B00">
      <w:pPr>
        <w:pStyle w:val="Heading2"/>
        <w:rPr>
          <w:lang w:eastAsia="ja-JP"/>
        </w:rPr>
      </w:pPr>
      <w:bookmarkStart w:id="9" w:name="_Toc177773944"/>
      <w:bookmarkStart w:id="10" w:name="_Toc178069534"/>
      <w:r w:rsidRPr="00F07B06">
        <w:rPr>
          <w:lang w:eastAsia="ja-JP"/>
        </w:rPr>
        <w:t xml:space="preserve">Developments at the Technical Working Parties at their </w:t>
      </w:r>
      <w:r w:rsidR="00825360" w:rsidRPr="00F07B06">
        <w:rPr>
          <w:lang w:eastAsia="ja-JP"/>
        </w:rPr>
        <w:t>s</w:t>
      </w:r>
      <w:r w:rsidRPr="00F07B06">
        <w:rPr>
          <w:lang w:eastAsia="ja-JP"/>
        </w:rPr>
        <w:t>essions in 202</w:t>
      </w:r>
      <w:bookmarkEnd w:id="9"/>
      <w:r w:rsidR="005B6C70" w:rsidRPr="00F07B06">
        <w:rPr>
          <w:lang w:eastAsia="ja-JP"/>
        </w:rPr>
        <w:t>4</w:t>
      </w:r>
      <w:bookmarkEnd w:id="10"/>
    </w:p>
    <w:p w14:paraId="6D096396" w14:textId="77777777" w:rsidR="00EF4B00" w:rsidRPr="00F07B06" w:rsidRDefault="00EF4B00" w:rsidP="00EF4B00">
      <w:pPr>
        <w:jc w:val="left"/>
      </w:pPr>
    </w:p>
    <w:p w14:paraId="1C3E6509" w14:textId="036C4E66" w:rsidR="00EF4B00" w:rsidRPr="00F07B06" w:rsidRDefault="00EF4B00" w:rsidP="00EF4B00">
      <w:r w:rsidRPr="00F07B06">
        <w:fldChar w:fldCharType="begin"/>
      </w:r>
      <w:r w:rsidRPr="00F07B06">
        <w:instrText xml:space="preserve"> AUTONUM  </w:instrText>
      </w:r>
      <w:r w:rsidRPr="00F07B06">
        <w:fldChar w:fldCharType="end"/>
      </w:r>
      <w:r w:rsidRPr="00F07B06">
        <w:tab/>
        <w:t>At their sessions in 202</w:t>
      </w:r>
      <w:r w:rsidR="0010001A" w:rsidRPr="00F07B06">
        <w:t>4</w:t>
      </w:r>
      <w:r w:rsidRPr="00F07B06">
        <w:t xml:space="preserve">, </w:t>
      </w:r>
      <w:r w:rsidRPr="00F07B06">
        <w:rPr>
          <w:rFonts w:eastAsia="PMingLiU"/>
          <w:szCs w:val="24"/>
        </w:rPr>
        <w:t>the</w:t>
      </w:r>
      <w:r w:rsidR="0010001A" w:rsidRPr="00F07B06">
        <w:rPr>
          <w:rFonts w:eastAsia="PMingLiU"/>
          <w:szCs w:val="24"/>
        </w:rPr>
        <w:t xml:space="preserve"> TWPs</w:t>
      </w:r>
      <w:r w:rsidRPr="00F07B06">
        <w:rPr>
          <w:rFonts w:eastAsia="PMingLiU"/>
          <w:szCs w:val="24"/>
        </w:rPr>
        <w:t xml:space="preserve"> </w:t>
      </w:r>
      <w:r w:rsidR="0010001A" w:rsidRPr="00F07B06">
        <w:rPr>
          <w:rFonts w:eastAsia="PMingLiU"/>
          <w:szCs w:val="24"/>
        </w:rPr>
        <w:t xml:space="preserve">were invited to make presentations and report </w:t>
      </w:r>
      <w:r w:rsidR="00825360" w:rsidRPr="00F07B06">
        <w:rPr>
          <w:rFonts w:eastAsia="PMingLiU"/>
          <w:szCs w:val="24"/>
        </w:rPr>
        <w:t xml:space="preserve">on </w:t>
      </w:r>
      <w:r w:rsidR="0010001A" w:rsidRPr="00F07B06">
        <w:rPr>
          <w:rFonts w:eastAsia="PMingLiU"/>
          <w:szCs w:val="24"/>
        </w:rPr>
        <w:t>examples of policies on confidentiality and access to molecular data.</w:t>
      </w:r>
      <w:r w:rsidR="0014482F" w:rsidRPr="00F07B06">
        <w:rPr>
          <w:rFonts w:eastAsia="PMingLiU"/>
          <w:szCs w:val="24"/>
        </w:rPr>
        <w:t xml:space="preserve"> No reports on existing policies on confidentiality </w:t>
      </w:r>
      <w:r w:rsidR="00D632F1" w:rsidRPr="00F07B06">
        <w:rPr>
          <w:rFonts w:eastAsia="PMingLiU"/>
          <w:szCs w:val="24"/>
        </w:rPr>
        <w:t>were reported at the TWA, TWF, TWO and TWV</w:t>
      </w:r>
      <w:r w:rsidR="0014482F" w:rsidRPr="00F07B06">
        <w:rPr>
          <w:rFonts w:eastAsia="PMingLiU"/>
          <w:szCs w:val="24"/>
        </w:rPr>
        <w:t>.</w:t>
      </w:r>
    </w:p>
    <w:p w14:paraId="285764D4" w14:textId="77777777" w:rsidR="005B6C70" w:rsidRPr="00F07B06" w:rsidRDefault="005B6C70" w:rsidP="00EF4B00">
      <w:pPr>
        <w:rPr>
          <w:i/>
        </w:rPr>
      </w:pPr>
    </w:p>
    <w:p w14:paraId="44971BF4" w14:textId="263386B9" w:rsidR="005B6C70" w:rsidRPr="00F07B06" w:rsidRDefault="005B6C70" w:rsidP="005B6C70">
      <w:pPr>
        <w:pStyle w:val="Heading3"/>
      </w:pPr>
      <w:bookmarkStart w:id="11" w:name="_Toc178069535"/>
      <w:r w:rsidRPr="00F07B06">
        <w:t>Technical Working Party on Testing Methods and Techniques (TWM)</w:t>
      </w:r>
      <w:bookmarkEnd w:id="11"/>
    </w:p>
    <w:p w14:paraId="72301553" w14:textId="77777777" w:rsidR="005B6C70" w:rsidRPr="00F07B06" w:rsidRDefault="005B6C70" w:rsidP="00EF4B00">
      <w:pPr>
        <w:rPr>
          <w:iCs/>
        </w:rPr>
      </w:pPr>
    </w:p>
    <w:p w14:paraId="52B6548A" w14:textId="77B88FC4" w:rsidR="005B6C70" w:rsidRPr="00F07B06" w:rsidRDefault="008A52E0" w:rsidP="00EF4B00">
      <w:pPr>
        <w:rPr>
          <w:lang w:eastAsia="ja-JP"/>
        </w:rPr>
      </w:pPr>
      <w:r w:rsidRPr="00F07B06">
        <w:fldChar w:fldCharType="begin"/>
      </w:r>
      <w:r w:rsidRPr="00F07B06">
        <w:instrText xml:space="preserve"> AUTONUM  </w:instrText>
      </w:r>
      <w:r w:rsidRPr="00F07B06">
        <w:fldChar w:fldCharType="end"/>
      </w:r>
      <w:r w:rsidRPr="00F07B06">
        <w:tab/>
      </w:r>
      <w:r w:rsidR="005B6C70" w:rsidRPr="00F07B06">
        <w:rPr>
          <w:lang w:eastAsia="ja-JP"/>
        </w:rPr>
        <w:t>The TWM</w:t>
      </w:r>
      <w:r w:rsidR="00A655A8" w:rsidRPr="00F07B06">
        <w:rPr>
          <w:rStyle w:val="FootnoteReference"/>
          <w:lang w:eastAsia="ja-JP"/>
        </w:rPr>
        <w:footnoteReference w:id="6"/>
      </w:r>
      <w:r w:rsidR="005B6C70" w:rsidRPr="00F07B06">
        <w:rPr>
          <w:lang w:eastAsia="ja-JP"/>
        </w:rPr>
        <w:t xml:space="preserve"> received a presentation on “Confidentiality of Molecular Information” from Mr. Marcel Bruins, CropLife International, on behalf of the African Seed Trade Association (AFSTA), the Asia and Pacific Seed Association (APSA), the International Community of Breeders of Asexually Reproduced Horticultural Plants (CIOPORA), CropLife International, </w:t>
      </w:r>
      <w:proofErr w:type="spellStart"/>
      <w:r w:rsidR="005B6C70" w:rsidRPr="00F07B06">
        <w:rPr>
          <w:lang w:eastAsia="ja-JP"/>
        </w:rPr>
        <w:t>Euroseeds</w:t>
      </w:r>
      <w:proofErr w:type="spellEnd"/>
      <w:r w:rsidR="005B6C70" w:rsidRPr="00F07B06">
        <w:rPr>
          <w:lang w:eastAsia="ja-JP"/>
        </w:rPr>
        <w:t xml:space="preserve">, the International Seed Federation (ISF) and the </w:t>
      </w:r>
      <w:bookmarkStart w:id="12" w:name="_Hlk178238619"/>
      <w:r w:rsidR="005B6C70" w:rsidRPr="00F07B06">
        <w:rPr>
          <w:lang w:eastAsia="ja-JP"/>
        </w:rPr>
        <w:t>Seed Association of the Americas</w:t>
      </w:r>
      <w:bookmarkEnd w:id="12"/>
      <w:r w:rsidR="005B6C70" w:rsidRPr="00F07B06">
        <w:rPr>
          <w:lang w:eastAsia="ja-JP"/>
        </w:rPr>
        <w:t xml:space="preserve"> (SAA) (“breeders’ organizations”). A copy of the presentation is provided in document TWM/2/7. </w:t>
      </w:r>
    </w:p>
    <w:p w14:paraId="2917A6D2" w14:textId="77777777" w:rsidR="005B6C70" w:rsidRPr="00F07B06" w:rsidRDefault="005B6C70" w:rsidP="00EF4B00">
      <w:pPr>
        <w:rPr>
          <w:lang w:eastAsia="ja-JP"/>
        </w:rPr>
      </w:pPr>
    </w:p>
    <w:p w14:paraId="14E1E946" w14:textId="5AEE6AEB" w:rsidR="005B6C70" w:rsidRPr="00F07B06" w:rsidRDefault="008A52E0" w:rsidP="00EF4B00">
      <w:pPr>
        <w:rPr>
          <w:lang w:eastAsia="ja-JP"/>
        </w:rPr>
      </w:pPr>
      <w:r w:rsidRPr="00F07B06">
        <w:fldChar w:fldCharType="begin"/>
      </w:r>
      <w:r w:rsidRPr="00F07B06">
        <w:instrText xml:space="preserve"> AUTONUM  </w:instrText>
      </w:r>
      <w:r w:rsidRPr="00F07B06">
        <w:fldChar w:fldCharType="end"/>
      </w:r>
      <w:r w:rsidRPr="00F07B06">
        <w:tab/>
      </w:r>
      <w:r w:rsidR="005B6C70" w:rsidRPr="00F07B06">
        <w:rPr>
          <w:lang w:eastAsia="ja-JP"/>
        </w:rPr>
        <w:t xml:space="preserve">The TWM noted the request from breeders’ organizations for the development of guidance in UPOV on confidentiality of molecular data and the offer to propose a draft model agreement template, to be presented at its third session. </w:t>
      </w:r>
    </w:p>
    <w:p w14:paraId="698B522A" w14:textId="77777777" w:rsidR="005B6C70" w:rsidRPr="00F07B06" w:rsidRDefault="005B6C70" w:rsidP="00EF4B00">
      <w:pPr>
        <w:rPr>
          <w:lang w:eastAsia="ja-JP"/>
        </w:rPr>
      </w:pPr>
    </w:p>
    <w:p w14:paraId="72FF4736" w14:textId="2C40A9DE" w:rsidR="005B6C70" w:rsidRPr="00F07B06" w:rsidRDefault="005B6C70" w:rsidP="00F07B06">
      <w:pPr>
        <w:pStyle w:val="Heading4"/>
        <w:rPr>
          <w:lang w:val="en-US" w:eastAsia="ja-JP"/>
        </w:rPr>
      </w:pPr>
      <w:r w:rsidRPr="00F07B06">
        <w:rPr>
          <w:lang w:val="en-US" w:eastAsia="ja-JP"/>
        </w:rPr>
        <w:t xml:space="preserve">Examples of policies on confidentiality and access to molecular information data </w:t>
      </w:r>
    </w:p>
    <w:p w14:paraId="29FA66A4" w14:textId="77777777" w:rsidR="005B6C70" w:rsidRPr="00F07B06" w:rsidRDefault="005B6C70" w:rsidP="008A52E0">
      <w:pPr>
        <w:keepNext/>
        <w:rPr>
          <w:lang w:eastAsia="ja-JP"/>
        </w:rPr>
      </w:pPr>
    </w:p>
    <w:p w14:paraId="364440A2" w14:textId="1B5F46DD" w:rsidR="005B6C70" w:rsidRPr="00F07B06" w:rsidRDefault="008A52E0" w:rsidP="00EF4B00">
      <w:pPr>
        <w:rPr>
          <w:lang w:eastAsia="ja-JP"/>
        </w:rPr>
      </w:pPr>
      <w:r w:rsidRPr="00F07B06">
        <w:fldChar w:fldCharType="begin"/>
      </w:r>
      <w:r w:rsidRPr="00F07B06">
        <w:instrText xml:space="preserve"> AUTONUM  </w:instrText>
      </w:r>
      <w:r w:rsidRPr="00F07B06">
        <w:fldChar w:fldCharType="end"/>
      </w:r>
      <w:r w:rsidRPr="00F07B06">
        <w:tab/>
      </w:r>
      <w:r w:rsidR="005B6C70" w:rsidRPr="00F07B06">
        <w:rPr>
          <w:lang w:eastAsia="ja-JP"/>
        </w:rPr>
        <w:t xml:space="preserve">The TWM noted that the European Union was expected to adopt a policy on access to plant variety samples, including DNA samples, which would be reported at the TWPs in 2024. </w:t>
      </w:r>
    </w:p>
    <w:p w14:paraId="3A960853" w14:textId="77777777" w:rsidR="005B6C70" w:rsidRPr="00F07B06" w:rsidRDefault="005B6C70" w:rsidP="00EF4B00">
      <w:pPr>
        <w:rPr>
          <w:lang w:eastAsia="ja-JP"/>
        </w:rPr>
      </w:pPr>
    </w:p>
    <w:p w14:paraId="471E5B41" w14:textId="57E63B47" w:rsidR="00EF4B00" w:rsidRPr="00F07B06" w:rsidRDefault="008A52E0" w:rsidP="00EF4B00">
      <w:pPr>
        <w:rPr>
          <w:lang w:eastAsia="ja-JP"/>
        </w:rPr>
      </w:pPr>
      <w:r w:rsidRPr="00F07B06">
        <w:fldChar w:fldCharType="begin"/>
      </w:r>
      <w:r w:rsidRPr="00F07B06">
        <w:instrText xml:space="preserve"> AUTONUM  </w:instrText>
      </w:r>
      <w:r w:rsidRPr="00F07B06">
        <w:fldChar w:fldCharType="end"/>
      </w:r>
      <w:r w:rsidRPr="00F07B06">
        <w:tab/>
      </w:r>
      <w:r w:rsidR="005B6C70" w:rsidRPr="00F07B06">
        <w:rPr>
          <w:lang w:eastAsia="ja-JP"/>
        </w:rPr>
        <w:t>The TWM agreed to invite UPOV members to report on existing policies on confidentiality of molecular information at its third session.</w:t>
      </w:r>
    </w:p>
    <w:p w14:paraId="6DFCE4E4" w14:textId="77777777" w:rsidR="0010001A" w:rsidRPr="00F07B06" w:rsidRDefault="0010001A" w:rsidP="00EF4B00">
      <w:pPr>
        <w:rPr>
          <w:lang w:eastAsia="ja-JP"/>
        </w:rPr>
      </w:pPr>
    </w:p>
    <w:bookmarkStart w:id="13" w:name="_Toc460313637"/>
    <w:p w14:paraId="5411397E" w14:textId="2372C90D" w:rsidR="00EF4B00" w:rsidRPr="00F07B06" w:rsidRDefault="00EF4B00" w:rsidP="00E33B89">
      <w:pPr>
        <w:tabs>
          <w:tab w:val="left" w:pos="5387"/>
        </w:tabs>
        <w:ind w:left="4820"/>
        <w:rPr>
          <w:i/>
          <w:snapToGrid w:val="0"/>
          <w:lang w:eastAsia="ja-JP"/>
        </w:rPr>
      </w:pPr>
      <w:r w:rsidRPr="00F07B06">
        <w:rPr>
          <w:i/>
          <w:snapToGrid w:val="0"/>
          <w:lang w:eastAsia="ja-JP"/>
        </w:rPr>
        <w:fldChar w:fldCharType="begin"/>
      </w:r>
      <w:r w:rsidRPr="00F07B06">
        <w:rPr>
          <w:i/>
          <w:snapToGrid w:val="0"/>
          <w:lang w:eastAsia="ja-JP"/>
        </w:rPr>
        <w:instrText xml:space="preserve"> AUTONUM  </w:instrText>
      </w:r>
      <w:r w:rsidRPr="00F07B06">
        <w:rPr>
          <w:i/>
          <w:snapToGrid w:val="0"/>
          <w:lang w:eastAsia="ja-JP"/>
        </w:rPr>
        <w:fldChar w:fldCharType="end"/>
      </w:r>
      <w:r w:rsidRPr="00F07B06">
        <w:rPr>
          <w:i/>
          <w:snapToGrid w:val="0"/>
          <w:lang w:eastAsia="ja-JP"/>
        </w:rPr>
        <w:tab/>
        <w:t>The TC is invited to</w:t>
      </w:r>
      <w:r w:rsidR="00E33B89" w:rsidRPr="00F07B06">
        <w:rPr>
          <w:i/>
          <w:snapToGrid w:val="0"/>
          <w:lang w:eastAsia="ja-JP"/>
        </w:rPr>
        <w:t xml:space="preserve"> note the request from breeders’ organizations for the development of guidance in UPOV on confidentiality of molecular data and the offer to propose a draft model agreement template, to be presented at the third session of the</w:t>
      </w:r>
      <w:r w:rsidR="00825360" w:rsidRPr="00F07B06">
        <w:rPr>
          <w:i/>
          <w:snapToGrid w:val="0"/>
          <w:lang w:eastAsia="ja-JP"/>
        </w:rPr>
        <w:t> </w:t>
      </w:r>
      <w:r w:rsidR="00E33B89" w:rsidRPr="00F07B06">
        <w:rPr>
          <w:i/>
          <w:snapToGrid w:val="0"/>
          <w:lang w:eastAsia="ja-JP"/>
        </w:rPr>
        <w:t>TWM.</w:t>
      </w:r>
    </w:p>
    <w:p w14:paraId="0F20EC14" w14:textId="77777777" w:rsidR="003012FA" w:rsidRPr="00F07B06" w:rsidRDefault="003012FA" w:rsidP="00EF4B00">
      <w:pPr>
        <w:rPr>
          <w:snapToGrid w:val="0"/>
          <w:lang w:eastAsia="ja-JP"/>
        </w:rPr>
      </w:pPr>
    </w:p>
    <w:p w14:paraId="15A37244" w14:textId="77777777" w:rsidR="00825360" w:rsidRPr="00F07B06" w:rsidRDefault="00825360" w:rsidP="00EF4B00">
      <w:pPr>
        <w:rPr>
          <w:snapToGrid w:val="0"/>
          <w:lang w:eastAsia="ja-JP"/>
        </w:rPr>
      </w:pPr>
    </w:p>
    <w:p w14:paraId="38D9EA8D" w14:textId="77777777" w:rsidR="00EF4B00" w:rsidRPr="00F07B06" w:rsidRDefault="00EF4B00" w:rsidP="00975B88">
      <w:pPr>
        <w:pStyle w:val="Heading1"/>
        <w:rPr>
          <w:snapToGrid w:val="0"/>
          <w:lang w:eastAsia="ja-JP"/>
        </w:rPr>
      </w:pPr>
      <w:bookmarkStart w:id="14" w:name="_Toc177773948"/>
      <w:bookmarkStart w:id="15" w:name="_Toc178069536"/>
      <w:r w:rsidRPr="00F07B06">
        <w:rPr>
          <w:snapToGrid w:val="0"/>
          <w:lang w:eastAsia="ja-JP"/>
        </w:rPr>
        <w:lastRenderedPageBreak/>
        <w:t>Matters for information</w:t>
      </w:r>
      <w:bookmarkEnd w:id="14"/>
      <w:bookmarkEnd w:id="15"/>
    </w:p>
    <w:bookmarkEnd w:id="13"/>
    <w:p w14:paraId="1E2FDAD2" w14:textId="77777777" w:rsidR="00EF4B00" w:rsidRPr="00F07B06" w:rsidRDefault="00EF4B00" w:rsidP="00975B88">
      <w:pPr>
        <w:keepNext/>
        <w:jc w:val="left"/>
      </w:pPr>
    </w:p>
    <w:p w14:paraId="2CEA7585" w14:textId="3370DB74" w:rsidR="00EF4B00" w:rsidRPr="00F07B06" w:rsidRDefault="0046537A" w:rsidP="00975B88">
      <w:pPr>
        <w:pStyle w:val="Heading2"/>
      </w:pPr>
      <w:bookmarkStart w:id="16" w:name="_Toc178069537"/>
      <w:r w:rsidRPr="00F07B06">
        <w:t xml:space="preserve">Developments at the second session of the Technical </w:t>
      </w:r>
      <w:r w:rsidR="00E44C4F" w:rsidRPr="00F07B06">
        <w:t xml:space="preserve">Working </w:t>
      </w:r>
      <w:r w:rsidRPr="00F07B06">
        <w:t>Party on Testing Methods and Techniques (</w:t>
      </w:r>
      <w:r w:rsidR="00E44C4F" w:rsidRPr="00F07B06">
        <w:t>TWM)</w:t>
      </w:r>
      <w:bookmarkEnd w:id="16"/>
    </w:p>
    <w:p w14:paraId="41B95F77" w14:textId="77777777" w:rsidR="00EF4B00" w:rsidRPr="00F07B06" w:rsidRDefault="00EF4B00" w:rsidP="00975B88">
      <w:pPr>
        <w:keepNext/>
        <w:jc w:val="left"/>
      </w:pPr>
    </w:p>
    <w:p w14:paraId="4F60587D" w14:textId="5920EAAF" w:rsidR="00EF4B00" w:rsidRPr="00F07B06" w:rsidRDefault="00A33FD0" w:rsidP="00825360">
      <w:r w:rsidRPr="00F07B06">
        <w:fldChar w:fldCharType="begin"/>
      </w:r>
      <w:r w:rsidRPr="00F07B06">
        <w:instrText xml:space="preserve"> AUTONUM  </w:instrText>
      </w:r>
      <w:r w:rsidRPr="00F07B06">
        <w:fldChar w:fldCharType="end"/>
      </w:r>
      <w:r w:rsidRPr="00F07B06">
        <w:tab/>
        <w:t xml:space="preserve">The TWM held its second session via virtual means from April 8 to 11, 2024. </w:t>
      </w:r>
      <w:r w:rsidR="00825360" w:rsidRPr="00F07B06">
        <w:t xml:space="preserve"> </w:t>
      </w:r>
      <w:r w:rsidRPr="00F07B06">
        <w:t>The following sections report developments on molecular techniques.</w:t>
      </w:r>
    </w:p>
    <w:p w14:paraId="0E6C8259" w14:textId="77777777" w:rsidR="00A33FD0" w:rsidRPr="00F07B06" w:rsidRDefault="00A33FD0" w:rsidP="00EF4B00"/>
    <w:p w14:paraId="3E2F9F62" w14:textId="77777777" w:rsidR="00EF4B00" w:rsidRPr="00F07B06" w:rsidRDefault="00EF4B00" w:rsidP="00EF4B00">
      <w:pPr>
        <w:pStyle w:val="Heading2"/>
      </w:pPr>
      <w:bookmarkStart w:id="17" w:name="_Toc177773954"/>
      <w:bookmarkStart w:id="18" w:name="_Toc178069538"/>
      <w:r w:rsidRPr="00F07B06">
        <w:t>Developments in molecular techniques and bioinformatics</w:t>
      </w:r>
      <w:bookmarkEnd w:id="17"/>
      <w:bookmarkEnd w:id="18"/>
    </w:p>
    <w:p w14:paraId="44024E17" w14:textId="77777777" w:rsidR="00EF4B00" w:rsidRPr="00F07B06" w:rsidRDefault="00EF4B00" w:rsidP="00EF4B00">
      <w:pPr>
        <w:pStyle w:val="Heading3"/>
      </w:pPr>
    </w:p>
    <w:p w14:paraId="277A99E1" w14:textId="1DAB4931" w:rsidR="00EF4B00" w:rsidRPr="00F07B06" w:rsidRDefault="00EF4B00" w:rsidP="00EF4B00">
      <w:pPr>
        <w:pStyle w:val="Heading3"/>
      </w:pPr>
      <w:bookmarkStart w:id="19" w:name="_Toc177773955"/>
      <w:bookmarkStart w:id="20" w:name="_Toc178069539"/>
      <w:r w:rsidRPr="00F07B06">
        <w:t>Latest developments in molecular techniques and bioinformatics</w:t>
      </w:r>
      <w:bookmarkEnd w:id="19"/>
      <w:bookmarkEnd w:id="20"/>
      <w:r w:rsidRPr="00F07B06">
        <w:t xml:space="preserve"> </w:t>
      </w:r>
    </w:p>
    <w:p w14:paraId="256E1831" w14:textId="77777777" w:rsidR="00EF4B00" w:rsidRPr="00F07B06" w:rsidRDefault="00EF4B00" w:rsidP="00EF4B00">
      <w:pPr>
        <w:keepNext/>
      </w:pPr>
    </w:p>
    <w:p w14:paraId="0BA2E646" w14:textId="77777777" w:rsidR="00EF4B00" w:rsidRPr="00F07B06" w:rsidRDefault="00EF4B00" w:rsidP="00F07B06">
      <w:pPr>
        <w:pStyle w:val="Heading4"/>
        <w:rPr>
          <w:lang w:val="en-US"/>
        </w:rPr>
      </w:pPr>
      <w:r w:rsidRPr="00F07B06">
        <w:rPr>
          <w:lang w:val="en-US"/>
        </w:rPr>
        <w:t>WIPO Standard ST.26 - WIPO Sequence</w:t>
      </w:r>
    </w:p>
    <w:p w14:paraId="0368B013" w14:textId="77777777" w:rsidR="00EF4B00" w:rsidRPr="00F07B06" w:rsidRDefault="00EF4B00" w:rsidP="00EF4B00">
      <w:pPr>
        <w:keepNext/>
      </w:pPr>
    </w:p>
    <w:p w14:paraId="6237758F" w14:textId="79E90BFD" w:rsidR="00EF4B00" w:rsidRPr="00F07B06" w:rsidRDefault="008A52E0" w:rsidP="00263789">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Emma Francis, World Intellectual Property Organization (WIPO) on “WIPO Standard ST.26 - WIPO Sequence”, a copy of </w:t>
      </w:r>
      <w:r w:rsidR="00825360" w:rsidRPr="00F07B06">
        <w:t>which</w:t>
      </w:r>
      <w:r w:rsidR="00EF4B00" w:rsidRPr="00F07B06">
        <w:t xml:space="preserve"> is provided in document TWM/2/15.  </w:t>
      </w:r>
    </w:p>
    <w:p w14:paraId="04A5D2AF" w14:textId="77777777" w:rsidR="00EF4B00" w:rsidRPr="00F07B06" w:rsidRDefault="00EF4B00" w:rsidP="00EF4B00">
      <w:pPr>
        <w:pStyle w:val="ListParagraph"/>
        <w:ind w:left="0"/>
        <w:jc w:val="both"/>
      </w:pPr>
    </w:p>
    <w:p w14:paraId="68902DFB" w14:textId="256821FB"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that search algorithms could be developed for databases containing nucleotide or amino acid information using the WIPO Standard ST.26 data format, including plant variety data.</w:t>
      </w:r>
    </w:p>
    <w:p w14:paraId="33D8D93D" w14:textId="77777777" w:rsidR="0028168A" w:rsidRPr="00F07B06" w:rsidRDefault="0028168A" w:rsidP="00EF4B00"/>
    <w:p w14:paraId="1C1F5250" w14:textId="77777777" w:rsidR="00EF4B00" w:rsidRPr="00F07B06" w:rsidRDefault="00EF4B00" w:rsidP="00EF4B00">
      <w:pPr>
        <w:pStyle w:val="Heading3"/>
      </w:pPr>
      <w:bookmarkStart w:id="21" w:name="_Toc177773956"/>
      <w:bookmarkStart w:id="22" w:name="_Toc178069540"/>
      <w:r w:rsidRPr="00F07B06">
        <w:t>Cooperation between international organizations</w:t>
      </w:r>
      <w:bookmarkEnd w:id="21"/>
      <w:bookmarkEnd w:id="22"/>
    </w:p>
    <w:p w14:paraId="78A58E51" w14:textId="77777777" w:rsidR="00EF4B00" w:rsidRPr="00F07B06" w:rsidRDefault="00EF4B00" w:rsidP="00EF4B00">
      <w:pPr>
        <w:keepNext/>
      </w:pPr>
    </w:p>
    <w:p w14:paraId="0251AFAB" w14:textId="77777777" w:rsidR="00EF4B00" w:rsidRPr="00F07B06" w:rsidRDefault="00EF4B00" w:rsidP="00F07B06">
      <w:pPr>
        <w:pStyle w:val="Heading4"/>
        <w:rPr>
          <w:lang w:val="en-US"/>
        </w:rPr>
      </w:pPr>
      <w:r w:rsidRPr="00F07B06">
        <w:rPr>
          <w:lang w:val="en-US"/>
        </w:rPr>
        <w:t>OECD</w:t>
      </w:r>
    </w:p>
    <w:p w14:paraId="12CCD883" w14:textId="77777777" w:rsidR="00EF4B00" w:rsidRPr="00F07B06" w:rsidRDefault="00EF4B00" w:rsidP="00EF4B00">
      <w:pPr>
        <w:keepNext/>
      </w:pPr>
    </w:p>
    <w:p w14:paraId="579AE592" w14:textId="70F1A830" w:rsidR="00EF4B00" w:rsidRPr="00F07B06" w:rsidRDefault="008A52E0" w:rsidP="008A52E0">
      <w:pPr>
        <w:keepNext/>
      </w:pPr>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Mr. Csaba Gaspar, </w:t>
      </w:r>
      <w:proofErr w:type="spellStart"/>
      <w:r w:rsidR="00EF4B00" w:rsidRPr="00F07B06">
        <w:t>Organisation</w:t>
      </w:r>
      <w:proofErr w:type="spellEnd"/>
      <w:r w:rsidR="00EF4B00" w:rsidRPr="00F07B06">
        <w:t xml:space="preserve"> for Economic Co-operation and Development (OECD), on “Latest developments in the application of BMT under the OECD Seed Schemes”, a copy of </w:t>
      </w:r>
      <w:r w:rsidR="00F07B06" w:rsidRPr="00F07B06">
        <w:t>which</w:t>
      </w:r>
      <w:r w:rsidR="00EF4B00" w:rsidRPr="00F07B06">
        <w:t xml:space="preserve"> is provided in document TWM/2/19. </w:t>
      </w:r>
    </w:p>
    <w:p w14:paraId="6C65E38F" w14:textId="77777777" w:rsidR="00EF4B00" w:rsidRPr="00F07B06" w:rsidRDefault="00EF4B00" w:rsidP="00EF4B00">
      <w:pPr>
        <w:pStyle w:val="ListParagraph"/>
        <w:ind w:left="0"/>
        <w:jc w:val="both"/>
      </w:pPr>
    </w:p>
    <w:p w14:paraId="1BD7D6C5" w14:textId="4C547599"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the use of molecular techniques in the OECD Seed Schemes as a supplementary procedure for variety identification in field trials.</w:t>
      </w:r>
    </w:p>
    <w:p w14:paraId="4256F3BF" w14:textId="77777777" w:rsidR="00EF4B00" w:rsidRPr="00F07B06" w:rsidRDefault="00EF4B00" w:rsidP="00EF4B00">
      <w:pPr>
        <w:pStyle w:val="ListParagraph"/>
        <w:ind w:left="0"/>
        <w:jc w:val="both"/>
      </w:pPr>
    </w:p>
    <w:p w14:paraId="1CD1B85C" w14:textId="58A1BA11"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noted that OECD was considering the assessment of characteristics using image analysis and that the use of artificial intelligence algorithms was anticipated to be considered in the future. </w:t>
      </w:r>
    </w:p>
    <w:p w14:paraId="349A7053" w14:textId="77777777" w:rsidR="00EF4B00" w:rsidRPr="00F07B06" w:rsidRDefault="00EF4B00" w:rsidP="00EF4B00"/>
    <w:p w14:paraId="23D3DDE5" w14:textId="77777777" w:rsidR="00EF4B00" w:rsidRPr="00F07B06" w:rsidRDefault="00EF4B00" w:rsidP="00F07B06">
      <w:pPr>
        <w:pStyle w:val="Heading4"/>
        <w:rPr>
          <w:lang w:val="en-US"/>
        </w:rPr>
      </w:pPr>
      <w:r w:rsidRPr="00F07B06">
        <w:rPr>
          <w:lang w:val="en-US"/>
        </w:rPr>
        <w:t>ISTA</w:t>
      </w:r>
    </w:p>
    <w:p w14:paraId="11F46772" w14:textId="77777777" w:rsidR="00EF4B00" w:rsidRPr="00F07B06" w:rsidRDefault="00EF4B00" w:rsidP="00EF4B00"/>
    <w:p w14:paraId="68313E4D" w14:textId="3460D958"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Ana Laura Vicario, International Seed Testing Association (ISTA), on “ISTA report on the use of molecular techniques”, a copy of </w:t>
      </w:r>
      <w:r w:rsidR="00F07B06" w:rsidRPr="00F07B06">
        <w:t>which</w:t>
      </w:r>
      <w:r w:rsidR="00EF4B00" w:rsidRPr="00F07B06">
        <w:t xml:space="preserve"> is provided in document TWM/2/18. </w:t>
      </w:r>
    </w:p>
    <w:p w14:paraId="44301186" w14:textId="77777777" w:rsidR="00EF4B00" w:rsidRPr="00F07B06" w:rsidRDefault="00EF4B00" w:rsidP="00EF4B00">
      <w:pPr>
        <w:pStyle w:val="ListParagraph"/>
        <w:ind w:left="0"/>
        <w:jc w:val="both"/>
      </w:pPr>
    </w:p>
    <w:p w14:paraId="031D1DB2" w14:textId="71C3D6A1"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the invitation for interested experts to join the activities of the ISTA Variety Committee.</w:t>
      </w:r>
    </w:p>
    <w:p w14:paraId="0F08EB3E" w14:textId="77777777" w:rsidR="00EF4B00" w:rsidRPr="00F07B06" w:rsidRDefault="00EF4B00" w:rsidP="00EF4B00">
      <w:pPr>
        <w:pStyle w:val="ListParagraph"/>
        <w:ind w:left="0"/>
        <w:jc w:val="both"/>
      </w:pPr>
    </w:p>
    <w:p w14:paraId="64355821" w14:textId="5F002305"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thanked OECD and ISTA for reporting </w:t>
      </w:r>
      <w:r w:rsidR="00F07B06" w:rsidRPr="00F07B06">
        <w:t xml:space="preserve">on </w:t>
      </w:r>
      <w:r w:rsidR="00EF4B00" w:rsidRPr="00F07B06">
        <w:t>developments on the use of molecular techniques in their respective organizations.</w:t>
      </w:r>
    </w:p>
    <w:p w14:paraId="6D82DA14" w14:textId="77777777" w:rsidR="00EF4B00" w:rsidRPr="00F07B06" w:rsidRDefault="00EF4B00" w:rsidP="00EF4B00">
      <w:pPr>
        <w:pStyle w:val="ListParagraph"/>
        <w:ind w:left="0"/>
        <w:jc w:val="both"/>
      </w:pPr>
    </w:p>
    <w:p w14:paraId="4FF52747" w14:textId="5A293A46"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the invitation from UPOV for the joint organization of an OECD, ISTA and UPOV workshop in the future to discuss the use of molecular techniques in each organization and explore further collaboration in this area.</w:t>
      </w:r>
    </w:p>
    <w:p w14:paraId="74B68EA5" w14:textId="77777777" w:rsidR="007C0689" w:rsidRPr="00F07B06" w:rsidRDefault="007C0689" w:rsidP="00EF4B00">
      <w:pPr>
        <w:pStyle w:val="ListParagraph"/>
        <w:ind w:left="0"/>
        <w:jc w:val="both"/>
      </w:pPr>
    </w:p>
    <w:p w14:paraId="4E009AD5" w14:textId="490EDF63" w:rsidR="00EF4B00" w:rsidRPr="00F07B06" w:rsidRDefault="00EF4B00" w:rsidP="00EF4B00">
      <w:pPr>
        <w:pStyle w:val="Heading3"/>
      </w:pPr>
      <w:bookmarkStart w:id="23" w:name="_Toc177773957"/>
      <w:bookmarkStart w:id="24" w:name="_Toc178069541"/>
      <w:r w:rsidRPr="00F07B06">
        <w:t xml:space="preserve">Report </w:t>
      </w:r>
      <w:r w:rsidR="00F07B06">
        <w:t>on</w:t>
      </w:r>
      <w:r w:rsidR="00263789">
        <w:t xml:space="preserve"> the</w:t>
      </w:r>
      <w:r w:rsidRPr="00F07B06">
        <w:t xml:space="preserve"> work on molecular techniques in relation to DUS examination</w:t>
      </w:r>
      <w:bookmarkEnd w:id="23"/>
      <w:bookmarkEnd w:id="24"/>
    </w:p>
    <w:p w14:paraId="0840C143" w14:textId="77777777" w:rsidR="00EF4B00" w:rsidRPr="00F07B06" w:rsidRDefault="00EF4B00" w:rsidP="00EF4B00"/>
    <w:p w14:paraId="3742DFB0" w14:textId="77777777" w:rsidR="00EF4B00" w:rsidRPr="00F07B06" w:rsidRDefault="00EF4B00" w:rsidP="00F07B06">
      <w:pPr>
        <w:pStyle w:val="Heading4"/>
        <w:rPr>
          <w:lang w:val="en-US"/>
        </w:rPr>
      </w:pPr>
      <w:r w:rsidRPr="00F07B06">
        <w:rPr>
          <w:lang w:val="en-US"/>
        </w:rPr>
        <w:t>Reference collection management using molecular markers: a new approach based on genomic prediction</w:t>
      </w:r>
    </w:p>
    <w:p w14:paraId="1B8C2D32" w14:textId="77777777" w:rsidR="00EF4B00" w:rsidRPr="00F07B06" w:rsidRDefault="00EF4B00" w:rsidP="00EF4B00"/>
    <w:p w14:paraId="6BAE8ADD" w14:textId="32C41374"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considered document TWM/2/4 and received a presentation from Mr. Adrian Roberts (United Kingdom) on “Genomic prediction for reference collection management”, </w:t>
      </w:r>
      <w:r w:rsidR="00EF4B00" w:rsidRPr="00F07B06">
        <w:rPr>
          <w:rFonts w:cs="Arial"/>
          <w:iCs/>
        </w:rPr>
        <w:t>a copy of which is reproduced in document </w:t>
      </w:r>
      <w:r w:rsidR="00EF4B00" w:rsidRPr="00F07B06">
        <w:t>TWM/2/4 Add.</w:t>
      </w:r>
    </w:p>
    <w:p w14:paraId="221226DD" w14:textId="77777777" w:rsidR="00EF4B00" w:rsidRPr="00F07B06" w:rsidRDefault="00EF4B00" w:rsidP="00EF4B00">
      <w:pPr>
        <w:pStyle w:val="ListParagraph"/>
        <w:ind w:left="0"/>
        <w:jc w:val="both"/>
      </w:pPr>
    </w:p>
    <w:p w14:paraId="2D69B963" w14:textId="4B153EA4"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that the genomic prediction method was aimed at establishing links between molecular markers and phenotypic expression of characteristics in ryegrass varieties, and that it might potentially assist in the management of variety collections.</w:t>
      </w:r>
    </w:p>
    <w:p w14:paraId="4BF9E148" w14:textId="77777777" w:rsidR="00EF4B00" w:rsidRPr="00F07B06" w:rsidRDefault="00EF4B00" w:rsidP="00EF4B00">
      <w:pPr>
        <w:pStyle w:val="ListParagraph"/>
        <w:ind w:left="0"/>
        <w:jc w:val="both"/>
      </w:pPr>
    </w:p>
    <w:p w14:paraId="4C446A96" w14:textId="226A3910"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noted that the genomic prediction method had been developed using data from a single trial location and would be further evaluated on other crops where data was available from different locations. </w:t>
      </w:r>
    </w:p>
    <w:p w14:paraId="77B9D7C0" w14:textId="77777777" w:rsidR="00EF4B00" w:rsidRPr="00F07B06" w:rsidRDefault="00EF4B00" w:rsidP="00EF4B00"/>
    <w:p w14:paraId="2F96EA18" w14:textId="77777777" w:rsidR="00EF4B00" w:rsidRPr="00F07B06" w:rsidRDefault="00EF4B00" w:rsidP="00F07B06">
      <w:pPr>
        <w:pStyle w:val="Heading4"/>
        <w:rPr>
          <w:lang w:val="en-US"/>
        </w:rPr>
      </w:pPr>
      <w:r w:rsidRPr="00F07B06">
        <w:rPr>
          <w:lang w:val="en-US"/>
        </w:rPr>
        <w:t>Uniformity assessment using molecular markers</w:t>
      </w:r>
    </w:p>
    <w:p w14:paraId="4B9F729C" w14:textId="77777777" w:rsidR="00EF4B00" w:rsidRPr="00F07B06" w:rsidRDefault="00EF4B00" w:rsidP="00EF4B00"/>
    <w:p w14:paraId="3EFCA6FC" w14:textId="4DADF747"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 xml:space="preserve">The TWM considered document TWM/2/5 and received a presentation from Mr. Adrian Roberts (United Kingdom) on “Uniformity assessment using molecular markers”, </w:t>
      </w:r>
      <w:r w:rsidR="00EF4B00" w:rsidRPr="00F07B06">
        <w:rPr>
          <w:rFonts w:cs="Arial"/>
          <w:iCs/>
        </w:rPr>
        <w:t>a copy of which is reproduced in document </w:t>
      </w:r>
      <w:r w:rsidR="00EF4B00" w:rsidRPr="00F07B06">
        <w:t>TWM/2/5 Add.</w:t>
      </w:r>
    </w:p>
    <w:p w14:paraId="7D9EE2FE" w14:textId="77777777" w:rsidR="00EF4B00" w:rsidRPr="00F07B06" w:rsidRDefault="00EF4B00" w:rsidP="00EF4B00">
      <w:pPr>
        <w:pStyle w:val="ListParagraph"/>
        <w:ind w:left="0"/>
        <w:jc w:val="both"/>
      </w:pPr>
    </w:p>
    <w:p w14:paraId="5377151F" w14:textId="2E44AB21"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that the research had been conducted assessing the genetic variability of a cross</w:t>
      </w:r>
      <w:r w:rsidR="00F07B06">
        <w:t>-</w:t>
      </w:r>
      <w:r w:rsidR="00EF4B00" w:rsidRPr="00F07B06">
        <w:t>pollinated crop (ryegrass) with measured characteristics and not tested on pseudo-qualitative characteristics.</w:t>
      </w:r>
    </w:p>
    <w:p w14:paraId="1A722101" w14:textId="77777777" w:rsidR="00EF4B00" w:rsidRPr="00F07B06" w:rsidRDefault="00EF4B00" w:rsidP="00EF4B00">
      <w:pPr>
        <w:pStyle w:val="ListParagraph"/>
        <w:ind w:left="0"/>
        <w:jc w:val="both"/>
      </w:pPr>
    </w:p>
    <w:p w14:paraId="2768D591" w14:textId="3B2AFC6F" w:rsidR="00EF4B00" w:rsidRPr="00F07B06" w:rsidRDefault="008A52E0" w:rsidP="008A52E0">
      <w:r w:rsidRPr="00F07B06">
        <w:fldChar w:fldCharType="begin"/>
      </w:r>
      <w:r w:rsidRPr="00F07B06">
        <w:instrText xml:space="preserve"> AUTONUM  </w:instrText>
      </w:r>
      <w:r w:rsidRPr="00F07B06">
        <w:fldChar w:fldCharType="end"/>
      </w:r>
      <w:r w:rsidRPr="00F07B06">
        <w:tab/>
      </w:r>
      <w:r w:rsidR="00EF4B00" w:rsidRPr="00F07B06">
        <w:t>The TWM noted that next steps of the research could investigate measurement error associated with the sequencing methodology through independent runs with the same pooled sample.</w:t>
      </w:r>
    </w:p>
    <w:p w14:paraId="7BD5E9F9" w14:textId="77777777" w:rsidR="00EF4B00" w:rsidRPr="00F07B06" w:rsidRDefault="00EF4B00" w:rsidP="00EF4B00"/>
    <w:p w14:paraId="587DEE8A" w14:textId="77777777" w:rsidR="00EF4B00" w:rsidRPr="00F07B06" w:rsidRDefault="00EF4B00" w:rsidP="00F07B06">
      <w:pPr>
        <w:pStyle w:val="Heading4"/>
        <w:rPr>
          <w:lang w:val="en-US"/>
        </w:rPr>
      </w:pPr>
      <w:r w:rsidRPr="00F07B06">
        <w:rPr>
          <w:lang w:val="en-US"/>
        </w:rPr>
        <w:t>Molecular approaches to support DUS testing</w:t>
      </w:r>
    </w:p>
    <w:p w14:paraId="72351259" w14:textId="77777777" w:rsidR="00EF4B00" w:rsidRPr="00F07B06" w:rsidRDefault="00EF4B00" w:rsidP="00EF4B00"/>
    <w:p w14:paraId="790DE7F3" w14:textId="74F1D613"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considered document TWM/2/6 and received a presentation from Ms. Vanessa McMillan (United Kingdom) on “Molecular approaches to support DUS testing”, </w:t>
      </w:r>
      <w:r w:rsidR="00EF4B00" w:rsidRPr="00F07B06">
        <w:rPr>
          <w:rFonts w:cs="Arial"/>
          <w:iCs/>
        </w:rPr>
        <w:t>a copy of which is reproduced in document </w:t>
      </w:r>
      <w:r w:rsidR="00EF4B00" w:rsidRPr="00F07B06">
        <w:t>TWM/2/6 Add.</w:t>
      </w:r>
    </w:p>
    <w:p w14:paraId="25884CCA" w14:textId="77777777" w:rsidR="00EF4B00" w:rsidRPr="00F07B06" w:rsidRDefault="00EF4B00" w:rsidP="00EF4B00">
      <w:pPr>
        <w:pStyle w:val="ListParagraph"/>
        <w:ind w:left="0"/>
        <w:jc w:val="both"/>
      </w:pPr>
    </w:p>
    <w:p w14:paraId="78F6B06E" w14:textId="4287AC14"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The TWM noted that up to 75% of marker-trait correlation had been achieved in barley varieties, although not in relation to DUS characteristics.  The TWM noted the intention to publish the molecular markers identified in the project, which could also be used for authenticating new seedstock of varieties.  The TWM agreed to invite the expert from the United Kingdom to report on progress at its third session.</w:t>
      </w:r>
    </w:p>
    <w:p w14:paraId="2ADB5E01" w14:textId="77777777" w:rsidR="00EF4B00" w:rsidRPr="00F07B06" w:rsidRDefault="00EF4B00" w:rsidP="00EF4B00"/>
    <w:p w14:paraId="3CB21186" w14:textId="77777777" w:rsidR="00EF4B00" w:rsidRPr="00F07B06" w:rsidRDefault="00EF4B00" w:rsidP="00F07B06">
      <w:pPr>
        <w:pStyle w:val="Heading4"/>
        <w:rPr>
          <w:lang w:val="en-US"/>
        </w:rPr>
      </w:pPr>
      <w:r w:rsidRPr="00F07B06">
        <w:rPr>
          <w:lang w:val="en-US"/>
        </w:rPr>
        <w:t>CPVO R&amp;D activities</w:t>
      </w:r>
    </w:p>
    <w:p w14:paraId="16570E42" w14:textId="77777777" w:rsidR="00EF4B00" w:rsidRPr="00F07B06" w:rsidRDefault="00EF4B00" w:rsidP="00EF4B00">
      <w:pPr>
        <w:keepNext/>
      </w:pPr>
    </w:p>
    <w:p w14:paraId="24CAC5E2" w14:textId="46DEB1D2" w:rsidR="00EF4B00" w:rsidRPr="00F07B06" w:rsidRDefault="00F07B06" w:rsidP="00F07B06">
      <w:pPr>
        <w:keepNext/>
      </w:pPr>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Cécile </w:t>
      </w:r>
      <w:proofErr w:type="spellStart"/>
      <w:r w:rsidR="00EF4B00" w:rsidRPr="00F07B06">
        <w:t>Collonnier</w:t>
      </w:r>
      <w:proofErr w:type="spellEnd"/>
      <w:r w:rsidR="00EF4B00" w:rsidRPr="00F07B06">
        <w:t xml:space="preserve"> (European Union) on “CPVO R&amp;D activities”, a copy of </w:t>
      </w:r>
      <w:r>
        <w:t>which</w:t>
      </w:r>
      <w:r w:rsidR="00EF4B00" w:rsidRPr="00F07B06">
        <w:t xml:space="preserve"> is provided in document TWM/2/12. </w:t>
      </w:r>
    </w:p>
    <w:p w14:paraId="121622A8" w14:textId="77777777" w:rsidR="00EF4B00" w:rsidRPr="00F07B06" w:rsidRDefault="00EF4B00" w:rsidP="00EF4B00">
      <w:pPr>
        <w:pStyle w:val="ListParagraph"/>
        <w:ind w:left="0"/>
        <w:jc w:val="both"/>
      </w:pPr>
    </w:p>
    <w:p w14:paraId="763C394E" w14:textId="6BEE5EEB"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noted the contributions of the various projects presented, in particular the INVITE project, which would end in 2024. </w:t>
      </w:r>
    </w:p>
    <w:p w14:paraId="7F6F60F7" w14:textId="77777777" w:rsidR="00EF4B00" w:rsidRPr="00F07B06" w:rsidRDefault="00EF4B00" w:rsidP="00EF4B00"/>
    <w:p w14:paraId="6EE7D8D7" w14:textId="77777777" w:rsidR="00EF4B00" w:rsidRPr="00F07B06" w:rsidRDefault="00EF4B00" w:rsidP="00F07B06">
      <w:pPr>
        <w:pStyle w:val="Heading4"/>
        <w:rPr>
          <w:lang w:val="en-US"/>
        </w:rPr>
      </w:pPr>
      <w:r w:rsidRPr="00F07B06">
        <w:rPr>
          <w:lang w:val="en-US"/>
        </w:rPr>
        <w:t>Maize6H-60K: A genome-wide single nucleotide polymorphism array and its application</w:t>
      </w:r>
    </w:p>
    <w:p w14:paraId="4F76ACB6" w14:textId="77777777" w:rsidR="00EF4B00" w:rsidRPr="00F07B06" w:rsidRDefault="00EF4B00" w:rsidP="00EF4B00"/>
    <w:p w14:paraId="16CC9EA8" w14:textId="6E5687D9"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w:t>
      </w:r>
      <w:proofErr w:type="spellStart"/>
      <w:r w:rsidR="00EF4B00" w:rsidRPr="00F07B06">
        <w:t>Hongli</w:t>
      </w:r>
      <w:proofErr w:type="spellEnd"/>
      <w:r w:rsidR="00EF4B00" w:rsidRPr="00F07B06">
        <w:t xml:space="preserve"> Tian (China) on “Maize6H-60K: A genome-wide single nucleotide polymorphism array and its application”, a copy of </w:t>
      </w:r>
      <w:r>
        <w:t>which</w:t>
      </w:r>
      <w:r w:rsidR="00EF4B00" w:rsidRPr="00F07B06">
        <w:t xml:space="preserve"> is provided in document TWM/2/16. </w:t>
      </w:r>
    </w:p>
    <w:p w14:paraId="42EF5305" w14:textId="77777777" w:rsidR="00EF4B00" w:rsidRPr="00F07B06" w:rsidRDefault="00EF4B00" w:rsidP="00EF4B00">
      <w:pPr>
        <w:pStyle w:val="ListParagraph"/>
        <w:ind w:left="0"/>
        <w:contextualSpacing w:val="0"/>
        <w:jc w:val="both"/>
      </w:pPr>
    </w:p>
    <w:p w14:paraId="7250C54C" w14:textId="521179D2" w:rsidR="00EF4B00" w:rsidRPr="00F07B06" w:rsidRDefault="00F07B06" w:rsidP="00F07B06">
      <w:pPr>
        <w:spacing w:before="60" w:after="60"/>
      </w:pPr>
      <w:r w:rsidRPr="00F07B06">
        <w:fldChar w:fldCharType="begin"/>
      </w:r>
      <w:r w:rsidRPr="00F07B06">
        <w:instrText xml:space="preserve"> AUTONUM  </w:instrText>
      </w:r>
      <w:r w:rsidRPr="00F07B06">
        <w:fldChar w:fldCharType="end"/>
      </w:r>
      <w:r w:rsidRPr="00F07B06">
        <w:tab/>
      </w:r>
      <w:r w:rsidR="00EF4B00" w:rsidRPr="00F07B06">
        <w:t xml:space="preserve">The TWM noted that 21% of SNPs in the array were located in coding regions of the genome although their link with the expression of characteristics had not yet been identified. </w:t>
      </w:r>
    </w:p>
    <w:p w14:paraId="1FADF6B0" w14:textId="77777777" w:rsidR="00EF4B00" w:rsidRPr="00F07B06" w:rsidRDefault="00EF4B00" w:rsidP="00EF4B00"/>
    <w:p w14:paraId="6FDD7E00" w14:textId="77777777" w:rsidR="00EF4B00" w:rsidRPr="00F07B06" w:rsidRDefault="00EF4B00" w:rsidP="00F07B06">
      <w:pPr>
        <w:pStyle w:val="Heading4"/>
        <w:rPr>
          <w:lang w:val="en-US"/>
        </w:rPr>
      </w:pPr>
      <w:r w:rsidRPr="00F07B06">
        <w:rPr>
          <w:lang w:val="en-US"/>
        </w:rPr>
        <w:t>Guidelines for the validation of a new characteristic-specific molecular marker protocol for DUS studies as an alternative method for observation</w:t>
      </w:r>
    </w:p>
    <w:p w14:paraId="1F37AB75" w14:textId="77777777" w:rsidR="00EF4B00" w:rsidRPr="00F07B06" w:rsidRDefault="00EF4B00" w:rsidP="00F07B06">
      <w:pPr>
        <w:keepNext/>
      </w:pPr>
    </w:p>
    <w:p w14:paraId="35B958E2" w14:textId="33DAB103"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Amandine LeVan (France) on “Guidelines for the validation of a new characteristic-specific molecular marker protocol for DUS studies as an alternative method for observation”, a copy of </w:t>
      </w:r>
      <w:r w:rsidR="00143B09">
        <w:t>which</w:t>
      </w:r>
      <w:r w:rsidR="00EF4B00" w:rsidRPr="00F07B06">
        <w:t xml:space="preserve"> is provided in document TWM/2/17. </w:t>
      </w:r>
    </w:p>
    <w:p w14:paraId="2293A47B" w14:textId="77777777" w:rsidR="00EF4B00" w:rsidRPr="00F07B06" w:rsidRDefault="00EF4B00" w:rsidP="00EF4B00">
      <w:pPr>
        <w:pStyle w:val="ListParagraph"/>
        <w:ind w:left="0"/>
        <w:jc w:val="both"/>
      </w:pPr>
    </w:p>
    <w:p w14:paraId="1519B603" w14:textId="6F546547"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The TWM noted that the proposal would be considered by the TWV and reported to the TC, at their sessions in 2024.</w:t>
      </w:r>
    </w:p>
    <w:p w14:paraId="1ADC647F" w14:textId="77777777" w:rsidR="00795BFF" w:rsidRPr="00F07B06" w:rsidRDefault="00795BFF" w:rsidP="00EF4B00">
      <w:pPr>
        <w:pStyle w:val="ListParagraph"/>
        <w:ind w:left="0"/>
        <w:jc w:val="both"/>
      </w:pPr>
    </w:p>
    <w:p w14:paraId="743D4DF5" w14:textId="77777777" w:rsidR="00EF4B00" w:rsidRPr="00F07B06" w:rsidRDefault="00EF4B00" w:rsidP="00EF4B00">
      <w:pPr>
        <w:pStyle w:val="Heading3"/>
      </w:pPr>
      <w:bookmarkStart w:id="25" w:name="_Toc177773958"/>
      <w:bookmarkStart w:id="26" w:name="_Toc178069542"/>
      <w:r w:rsidRPr="00F07B06">
        <w:t>The use of molecular techniques in variety identification</w:t>
      </w:r>
      <w:bookmarkEnd w:id="25"/>
      <w:bookmarkEnd w:id="26"/>
    </w:p>
    <w:p w14:paraId="6EE4AF61" w14:textId="77777777" w:rsidR="00EF4B00" w:rsidRPr="00F07B06" w:rsidRDefault="00EF4B00" w:rsidP="00EF4B00">
      <w:pPr>
        <w:keepNext/>
      </w:pPr>
    </w:p>
    <w:p w14:paraId="56291459" w14:textId="77777777" w:rsidR="00EF4B00" w:rsidRPr="00F07B06" w:rsidRDefault="00EF4B00" w:rsidP="00F07B06">
      <w:pPr>
        <w:pStyle w:val="Heading4"/>
        <w:rPr>
          <w:lang w:val="en-US"/>
        </w:rPr>
      </w:pPr>
      <w:r w:rsidRPr="00F07B06">
        <w:rPr>
          <w:lang w:val="en-US"/>
        </w:rPr>
        <w:t>Use of Artificial Intelligence-based Markers for Variety Traceability</w:t>
      </w:r>
    </w:p>
    <w:p w14:paraId="00FE7AC5" w14:textId="77777777" w:rsidR="00EF4B00" w:rsidRPr="00F07B06" w:rsidRDefault="00EF4B00" w:rsidP="00EF4B00">
      <w:pPr>
        <w:keepNext/>
      </w:pPr>
    </w:p>
    <w:p w14:paraId="3DB88247" w14:textId="491BDEE2" w:rsidR="00EF4B00" w:rsidRPr="00F07B06" w:rsidRDefault="00F07B06" w:rsidP="00F07B06">
      <w:pPr>
        <w:keepNext/>
      </w:pPr>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Ms. Ana Laura Vicario (Argentina) on “Use of Artificial Intelligence-based Markers for Variety Traceability”, a copy </w:t>
      </w:r>
      <w:r w:rsidR="00143B09">
        <w:t>which</w:t>
      </w:r>
      <w:r w:rsidR="00EF4B00" w:rsidRPr="00F07B06">
        <w:t xml:space="preserve"> is provided in document TWM/2/9. </w:t>
      </w:r>
    </w:p>
    <w:p w14:paraId="6A6AA5CC" w14:textId="77777777" w:rsidR="00EF4B00" w:rsidRPr="00F07B06" w:rsidRDefault="00EF4B00" w:rsidP="00EF4B00">
      <w:pPr>
        <w:pStyle w:val="ListParagraph"/>
        <w:ind w:left="0"/>
        <w:jc w:val="both"/>
      </w:pPr>
    </w:p>
    <w:p w14:paraId="18677DC5" w14:textId="5291DE8D"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The TWM noted that the technology was used in routine procedures for market control and traceability of barley and wheat varieties in Argentina.  The TWM noted that the technology was being developed for soybean varieties.</w:t>
      </w:r>
    </w:p>
    <w:p w14:paraId="5550AF4E" w14:textId="77777777" w:rsidR="00EF4B00" w:rsidRPr="00F07B06" w:rsidRDefault="00EF4B00" w:rsidP="00EF4B00">
      <w:pPr>
        <w:pStyle w:val="ListParagraph"/>
        <w:ind w:left="0"/>
        <w:jc w:val="both"/>
      </w:pPr>
    </w:p>
    <w:p w14:paraId="13621AC8" w14:textId="5FB402BD" w:rsidR="00EF4B00" w:rsidRPr="00F07B06" w:rsidRDefault="00F07B06" w:rsidP="00F07B06">
      <w:r w:rsidRPr="00F07B06">
        <w:lastRenderedPageBreak/>
        <w:fldChar w:fldCharType="begin"/>
      </w:r>
      <w:r w:rsidRPr="00F07B06">
        <w:instrText xml:space="preserve"> AUTONUM  </w:instrText>
      </w:r>
      <w:r w:rsidRPr="00F07B06">
        <w:fldChar w:fldCharType="end"/>
      </w:r>
      <w:r w:rsidRPr="00F07B06">
        <w:tab/>
      </w:r>
      <w:r w:rsidR="00EF4B00" w:rsidRPr="00F07B06">
        <w:t>The TWM noted that the algorithm used established unique patterns for each variety based on seed morphology.  The TWM noted that the thresholds for decision making and accepted error could be adjusted to enable the analysis of variety purity.</w:t>
      </w:r>
    </w:p>
    <w:p w14:paraId="35AA1D29" w14:textId="77777777" w:rsidR="00EF4B00" w:rsidRPr="00F07B06" w:rsidRDefault="00EF4B00" w:rsidP="00EF4B00"/>
    <w:p w14:paraId="5A2D71B4" w14:textId="77777777" w:rsidR="00EF4B00" w:rsidRPr="00F07B06" w:rsidRDefault="00EF4B00" w:rsidP="00F07B06">
      <w:pPr>
        <w:pStyle w:val="Heading4"/>
        <w:rPr>
          <w:lang w:val="en-US"/>
        </w:rPr>
      </w:pPr>
      <w:proofErr w:type="spellStart"/>
      <w:r w:rsidRPr="00F07B06">
        <w:rPr>
          <w:lang w:val="en-US"/>
        </w:rPr>
        <w:t>LociScan</w:t>
      </w:r>
      <w:proofErr w:type="spellEnd"/>
      <w:r w:rsidRPr="00F07B06">
        <w:rPr>
          <w:lang w:val="en-US"/>
        </w:rPr>
        <w:t>, a tool for screening genetic marker combinations for plant variety discrimination</w:t>
      </w:r>
    </w:p>
    <w:p w14:paraId="1C6FEEFE" w14:textId="77777777" w:rsidR="00EF4B00" w:rsidRPr="00F07B06" w:rsidRDefault="00EF4B00" w:rsidP="00EF4B00"/>
    <w:p w14:paraId="0D304FA2" w14:textId="0FDA58F5"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received a presentation from Mr. Yang </w:t>
      </w:r>
      <w:proofErr w:type="spellStart"/>
      <w:r w:rsidR="00EF4B00" w:rsidRPr="00F07B06">
        <w:t>Yang</w:t>
      </w:r>
      <w:proofErr w:type="spellEnd"/>
      <w:r w:rsidR="00EF4B00" w:rsidRPr="00F07B06">
        <w:t xml:space="preserve"> (China) on “</w:t>
      </w:r>
      <w:proofErr w:type="spellStart"/>
      <w:r w:rsidR="00EF4B00" w:rsidRPr="00F07B06">
        <w:t>LociScan</w:t>
      </w:r>
      <w:proofErr w:type="spellEnd"/>
      <w:r w:rsidR="00EF4B00" w:rsidRPr="00F07B06">
        <w:t xml:space="preserve">, a tool for screening genetic marker combinations for plant variety discrimination”, a copy of </w:t>
      </w:r>
      <w:r w:rsidR="00DB0627">
        <w:t>which</w:t>
      </w:r>
      <w:r w:rsidR="00EF4B00" w:rsidRPr="00F07B06">
        <w:t xml:space="preserve"> is provided in document TWM/2/14. </w:t>
      </w:r>
    </w:p>
    <w:p w14:paraId="116BA6A9" w14:textId="77777777" w:rsidR="00EF4B00" w:rsidRPr="00F07B06" w:rsidRDefault="00EF4B00" w:rsidP="00EF4B00"/>
    <w:p w14:paraId="69E56CB2" w14:textId="64DAB164"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noted that the software tool </w:t>
      </w:r>
      <w:proofErr w:type="spellStart"/>
      <w:r w:rsidR="00EF4B00" w:rsidRPr="00F07B06">
        <w:t>LociScan</w:t>
      </w:r>
      <w:proofErr w:type="spellEnd"/>
      <w:r w:rsidR="00EF4B00" w:rsidRPr="00F07B06">
        <w:t xml:space="preserve"> identified marker set combinations to optimize the number of markers required to discriminate varieties.  The TWM noted that the time of analysis required by the tool would be influenced by the number of samples processed and not by the number of markers used.</w:t>
      </w:r>
    </w:p>
    <w:p w14:paraId="2187D78F" w14:textId="77777777" w:rsidR="00EF4B00" w:rsidRPr="00F07B06" w:rsidRDefault="00EF4B00" w:rsidP="00EF4B00"/>
    <w:p w14:paraId="73655C31" w14:textId="53D36130" w:rsidR="00EF4B00" w:rsidRPr="00F07B06" w:rsidRDefault="00F07B06" w:rsidP="00F07B06">
      <w:r w:rsidRPr="00F07B06">
        <w:fldChar w:fldCharType="begin"/>
      </w:r>
      <w:r w:rsidRPr="00F07B06">
        <w:instrText xml:space="preserve"> AUTONUM  </w:instrText>
      </w:r>
      <w:r w:rsidRPr="00F07B06">
        <w:fldChar w:fldCharType="end"/>
      </w:r>
      <w:r w:rsidRPr="00F07B06">
        <w:tab/>
      </w:r>
      <w:r w:rsidR="00EF4B00" w:rsidRPr="00F07B06">
        <w:t xml:space="preserve">The TWM noted that the software tool </w:t>
      </w:r>
      <w:proofErr w:type="spellStart"/>
      <w:r w:rsidR="00EF4B00" w:rsidRPr="00F07B06">
        <w:t>LociScan</w:t>
      </w:r>
      <w:proofErr w:type="spellEnd"/>
      <w:r w:rsidR="00EF4B00" w:rsidRPr="00F07B06">
        <w:t xml:space="preserve"> was available for testing and agreed to invite interested experts to test the tool and report results to the expert from China.</w:t>
      </w:r>
    </w:p>
    <w:p w14:paraId="24FEEDE4" w14:textId="77777777" w:rsidR="00EF4B00" w:rsidRPr="00F07B06" w:rsidRDefault="00EF4B00" w:rsidP="00EF4B00">
      <w:pPr>
        <w:rPr>
          <w:u w:val="single"/>
        </w:rPr>
      </w:pPr>
    </w:p>
    <w:p w14:paraId="79292DB6" w14:textId="0722F50B" w:rsidR="00E37133" w:rsidRPr="00F07B06" w:rsidRDefault="00E37133" w:rsidP="00E37133">
      <w:pPr>
        <w:tabs>
          <w:tab w:val="left" w:pos="5387"/>
        </w:tabs>
        <w:ind w:left="4820"/>
        <w:rPr>
          <w:i/>
          <w:iCs/>
          <w:lang w:eastAsia="ja-JP"/>
        </w:rPr>
      </w:pPr>
      <w:r w:rsidRPr="00F07B06">
        <w:rPr>
          <w:i/>
          <w:iCs/>
          <w:lang w:eastAsia="ja-JP"/>
        </w:rPr>
        <w:fldChar w:fldCharType="begin"/>
      </w:r>
      <w:r w:rsidRPr="00F07B06">
        <w:rPr>
          <w:i/>
          <w:iCs/>
          <w:lang w:eastAsia="ja-JP"/>
        </w:rPr>
        <w:instrText xml:space="preserve"> AUTONUM  </w:instrText>
      </w:r>
      <w:r w:rsidRPr="00F07B06">
        <w:rPr>
          <w:i/>
          <w:iCs/>
          <w:lang w:eastAsia="ja-JP"/>
        </w:rPr>
        <w:fldChar w:fldCharType="end"/>
      </w:r>
      <w:r w:rsidRPr="00F07B06">
        <w:rPr>
          <w:i/>
          <w:iCs/>
          <w:lang w:eastAsia="ja-JP"/>
        </w:rPr>
        <w:tab/>
        <w:t>The TC and CAJ are invited to note the matters for information provided in this document.</w:t>
      </w:r>
    </w:p>
    <w:p w14:paraId="3BCBA889" w14:textId="77777777" w:rsidR="00E37133" w:rsidRPr="00F07B06" w:rsidRDefault="00E37133" w:rsidP="00E37133"/>
    <w:p w14:paraId="794CBA51" w14:textId="77777777" w:rsidR="00BA1D85" w:rsidRPr="00F07B06" w:rsidRDefault="00BA1D85" w:rsidP="00EF4B00">
      <w:pPr>
        <w:rPr>
          <w:u w:val="single"/>
        </w:rPr>
      </w:pPr>
    </w:p>
    <w:p w14:paraId="4D5501E8" w14:textId="77777777" w:rsidR="00795BFF" w:rsidRPr="00F07B06" w:rsidRDefault="00795BFF" w:rsidP="00EF4B00"/>
    <w:p w14:paraId="032D972A" w14:textId="7A6390FA" w:rsidR="00F16D33" w:rsidRPr="00F07B06" w:rsidRDefault="00F16D33" w:rsidP="00F16D33">
      <w:pPr>
        <w:jc w:val="right"/>
      </w:pPr>
      <w:r w:rsidRPr="00F07B06">
        <w:t>[Annex follows]</w:t>
      </w:r>
    </w:p>
    <w:p w14:paraId="0BF81B3E" w14:textId="77777777" w:rsidR="00EF4B00" w:rsidRPr="00F07B06" w:rsidRDefault="00EF4B00" w:rsidP="00F16D33">
      <w:pPr>
        <w:pStyle w:val="ListParagraph"/>
        <w:ind w:left="360"/>
        <w:jc w:val="right"/>
      </w:pPr>
    </w:p>
    <w:p w14:paraId="4839E0EE" w14:textId="77777777" w:rsidR="00EF4B00" w:rsidRPr="00F07B06" w:rsidRDefault="00EF4B00" w:rsidP="00EF4B00">
      <w:pPr>
        <w:pStyle w:val="ListParagraph"/>
        <w:ind w:left="360"/>
        <w:jc w:val="both"/>
      </w:pPr>
    </w:p>
    <w:p w14:paraId="40A56936" w14:textId="77777777" w:rsidR="00550FF9" w:rsidRPr="00F07B06" w:rsidRDefault="00550FF9" w:rsidP="00EF4B00">
      <w:pPr>
        <w:sectPr w:rsidR="00550FF9" w:rsidRPr="00F07B06" w:rsidSect="0004198B">
          <w:headerReference w:type="default" r:id="rId9"/>
          <w:pgSz w:w="11907" w:h="16840" w:code="9"/>
          <w:pgMar w:top="510" w:right="1134" w:bottom="1134" w:left="1134" w:header="510" w:footer="680" w:gutter="0"/>
          <w:pgNumType w:start="1"/>
          <w:cols w:space="720"/>
          <w:titlePg/>
        </w:sectPr>
      </w:pPr>
    </w:p>
    <w:p w14:paraId="519A9852" w14:textId="64FF48FF" w:rsidR="00550FF9" w:rsidRDefault="005C3343" w:rsidP="005C3343">
      <w:pPr>
        <w:jc w:val="center"/>
      </w:pPr>
      <w:r w:rsidRPr="005C3343">
        <w:lastRenderedPageBreak/>
        <w:t>EXTRACT FROM DOCUMENT TWV/58/9</w:t>
      </w:r>
    </w:p>
    <w:p w14:paraId="6F17CB0E" w14:textId="77777777" w:rsidR="005C3343" w:rsidRPr="005C3343" w:rsidRDefault="005C3343" w:rsidP="005C3343">
      <w:pPr>
        <w:jc w:val="center"/>
      </w:pPr>
    </w:p>
    <w:p w14:paraId="42F3C837" w14:textId="58958C37" w:rsidR="00550FF9" w:rsidRPr="005C3343" w:rsidRDefault="005C3343" w:rsidP="005C3343">
      <w:pPr>
        <w:jc w:val="center"/>
      </w:pPr>
      <w:r w:rsidRPr="005C3343">
        <w:t>GUIDELINES FOR THE VALIDATION OF A NEW CHARACTERISTIC-SPECIFIC MOLECULAR MARKER PROTOCOL AS AN ALTERNATIVE METHOD FOR OBSERVATION</w:t>
      </w:r>
    </w:p>
    <w:p w14:paraId="06669B5C" w14:textId="77777777" w:rsidR="005C3343" w:rsidRDefault="005C3343" w:rsidP="005C3343">
      <w:pPr>
        <w:jc w:val="center"/>
      </w:pPr>
      <w:bookmarkStart w:id="27" w:name="Prepared"/>
      <w:bookmarkEnd w:id="27"/>
    </w:p>
    <w:p w14:paraId="1D54C631" w14:textId="101EBDDE" w:rsidR="00550FF9" w:rsidRPr="005C3343" w:rsidRDefault="00550FF9" w:rsidP="005C3343">
      <w:pPr>
        <w:jc w:val="center"/>
        <w:rPr>
          <w:i/>
          <w:iCs/>
        </w:rPr>
      </w:pPr>
      <w:r w:rsidRPr="005C3343">
        <w:rPr>
          <w:i/>
          <w:iCs/>
        </w:rPr>
        <w:t>Document prepared by experts from France, Italy and the Kingdom of the Netherlands</w:t>
      </w:r>
    </w:p>
    <w:p w14:paraId="22E97114" w14:textId="77777777" w:rsidR="005C3343" w:rsidRDefault="005C3343" w:rsidP="005C3343">
      <w:pPr>
        <w:jc w:val="center"/>
      </w:pPr>
    </w:p>
    <w:p w14:paraId="584401F8" w14:textId="6FF847DA" w:rsidR="00550FF9" w:rsidRPr="005C3343" w:rsidRDefault="00550FF9" w:rsidP="005C3343">
      <w:pPr>
        <w:jc w:val="center"/>
        <w:rPr>
          <w:i/>
          <w:iCs/>
          <w:color w:val="A6A6A6" w:themeColor="background1" w:themeShade="A6"/>
        </w:rPr>
      </w:pPr>
      <w:r w:rsidRPr="005C3343">
        <w:rPr>
          <w:i/>
          <w:iCs/>
          <w:color w:val="A6A6A6" w:themeColor="background1" w:themeShade="A6"/>
        </w:rPr>
        <w:t>Disclaimer:  this document does not represent UPOV policies or guidance</w:t>
      </w:r>
    </w:p>
    <w:p w14:paraId="65781921" w14:textId="77777777" w:rsidR="005C3343" w:rsidRDefault="005C3343" w:rsidP="005C3343"/>
    <w:p w14:paraId="2DEB71A4" w14:textId="77777777" w:rsidR="005C3343" w:rsidRPr="005C3343" w:rsidRDefault="005C3343" w:rsidP="005C3343"/>
    <w:p w14:paraId="191E83D2" w14:textId="799C551F" w:rsidR="00C3093B" w:rsidRDefault="00263789" w:rsidP="00CE6618">
      <w:pPr>
        <w:pStyle w:val="TOC1"/>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\u \t "Heading 1 Annex,1,Heading 2 Annex,2,Heading 3 Annex,3" </w:instrText>
      </w:r>
      <w:r>
        <w:fldChar w:fldCharType="separate"/>
      </w:r>
      <w:r w:rsidR="00C3093B">
        <w:rPr>
          <w:noProof/>
        </w:rPr>
        <w:t>Associated documents</w:t>
      </w:r>
      <w:r w:rsidR="00C3093B">
        <w:rPr>
          <w:noProof/>
        </w:rPr>
        <w:tab/>
      </w:r>
      <w:r w:rsidR="00C3093B">
        <w:rPr>
          <w:noProof/>
        </w:rPr>
        <w:fldChar w:fldCharType="begin"/>
      </w:r>
      <w:r w:rsidR="00C3093B">
        <w:rPr>
          <w:noProof/>
        </w:rPr>
        <w:instrText xml:space="preserve"> PAGEREF _Toc178069504 \h </w:instrText>
      </w:r>
      <w:r w:rsidR="00C3093B">
        <w:rPr>
          <w:noProof/>
        </w:rPr>
      </w:r>
      <w:r w:rsidR="00C3093B">
        <w:rPr>
          <w:noProof/>
        </w:rPr>
        <w:fldChar w:fldCharType="separate"/>
      </w:r>
      <w:r w:rsidR="00C3093B">
        <w:rPr>
          <w:noProof/>
        </w:rPr>
        <w:t>1</w:t>
      </w:r>
      <w:r w:rsidR="00C3093B">
        <w:rPr>
          <w:noProof/>
        </w:rPr>
        <w:fldChar w:fldCharType="end"/>
      </w:r>
    </w:p>
    <w:p w14:paraId="42B3CE14" w14:textId="7812C18C"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I.</w:t>
      </w:r>
      <w:r>
        <w:rPr>
          <w:rFonts w:asciiTheme="minorHAnsi" w:eastAsiaTheme="minorEastAsia" w:hAnsiTheme="minorHAnsi" w:cstheme="minorBidi"/>
          <w:noProof/>
          <w:kern w:val="2"/>
          <w:sz w:val="24"/>
          <w:szCs w:val="24"/>
          <w:lang w:val="en-GB" w:eastAsia="en-GB"/>
          <w14:ligatures w14:val="standardContextual"/>
        </w:rPr>
        <w:tab/>
      </w:r>
      <w:r>
        <w:rPr>
          <w:noProof/>
        </w:rPr>
        <w:t>Objectives of these guidelines</w:t>
      </w:r>
      <w:r>
        <w:rPr>
          <w:noProof/>
        </w:rPr>
        <w:tab/>
      </w:r>
      <w:r>
        <w:rPr>
          <w:noProof/>
        </w:rPr>
        <w:fldChar w:fldCharType="begin"/>
      </w:r>
      <w:r>
        <w:rPr>
          <w:noProof/>
        </w:rPr>
        <w:instrText xml:space="preserve"> PAGEREF _Toc178069505 \h </w:instrText>
      </w:r>
      <w:r>
        <w:rPr>
          <w:noProof/>
        </w:rPr>
      </w:r>
      <w:r>
        <w:rPr>
          <w:noProof/>
        </w:rPr>
        <w:fldChar w:fldCharType="separate"/>
      </w:r>
      <w:r>
        <w:rPr>
          <w:noProof/>
        </w:rPr>
        <w:t>2</w:t>
      </w:r>
      <w:r>
        <w:rPr>
          <w:noProof/>
        </w:rPr>
        <w:fldChar w:fldCharType="end"/>
      </w:r>
    </w:p>
    <w:p w14:paraId="06F5B75A" w14:textId="61325179"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II.</w:t>
      </w:r>
      <w:r>
        <w:rPr>
          <w:rFonts w:asciiTheme="minorHAnsi" w:eastAsiaTheme="minorEastAsia" w:hAnsiTheme="minorHAnsi" w:cstheme="minorBidi"/>
          <w:noProof/>
          <w:kern w:val="2"/>
          <w:sz w:val="24"/>
          <w:szCs w:val="24"/>
          <w:lang w:val="en-GB" w:eastAsia="en-GB"/>
          <w14:ligatures w14:val="standardContextual"/>
        </w:rPr>
        <w:tab/>
      </w:r>
      <w:r>
        <w:rPr>
          <w:noProof/>
        </w:rPr>
        <w:t>Scope of these guidelines</w:t>
      </w:r>
      <w:r>
        <w:rPr>
          <w:noProof/>
        </w:rPr>
        <w:tab/>
      </w:r>
      <w:r>
        <w:rPr>
          <w:noProof/>
        </w:rPr>
        <w:fldChar w:fldCharType="begin"/>
      </w:r>
      <w:r>
        <w:rPr>
          <w:noProof/>
        </w:rPr>
        <w:instrText xml:space="preserve"> PAGEREF _Toc178069506 \h </w:instrText>
      </w:r>
      <w:r>
        <w:rPr>
          <w:noProof/>
        </w:rPr>
      </w:r>
      <w:r>
        <w:rPr>
          <w:noProof/>
        </w:rPr>
        <w:fldChar w:fldCharType="separate"/>
      </w:r>
      <w:r>
        <w:rPr>
          <w:noProof/>
        </w:rPr>
        <w:t>2</w:t>
      </w:r>
      <w:r>
        <w:rPr>
          <w:noProof/>
        </w:rPr>
        <w:fldChar w:fldCharType="end"/>
      </w:r>
    </w:p>
    <w:p w14:paraId="1B87A242" w14:textId="3C0529F4"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III.</w:t>
      </w:r>
      <w:r>
        <w:rPr>
          <w:rFonts w:asciiTheme="minorHAnsi" w:eastAsiaTheme="minorEastAsia" w:hAnsiTheme="minorHAnsi" w:cstheme="minorBidi"/>
          <w:noProof/>
          <w:kern w:val="2"/>
          <w:sz w:val="24"/>
          <w:szCs w:val="24"/>
          <w:lang w:val="en-GB" w:eastAsia="en-GB"/>
          <w14:ligatures w14:val="standardContextual"/>
        </w:rPr>
        <w:tab/>
      </w:r>
      <w:r>
        <w:rPr>
          <w:noProof/>
        </w:rPr>
        <w:t>Performance criteria for a new molecular marker based protocol</w:t>
      </w:r>
      <w:r>
        <w:rPr>
          <w:noProof/>
        </w:rPr>
        <w:tab/>
      </w:r>
      <w:r>
        <w:rPr>
          <w:noProof/>
        </w:rPr>
        <w:fldChar w:fldCharType="begin"/>
      </w:r>
      <w:r>
        <w:rPr>
          <w:noProof/>
        </w:rPr>
        <w:instrText xml:space="preserve"> PAGEREF _Toc178069507 \h </w:instrText>
      </w:r>
      <w:r>
        <w:rPr>
          <w:noProof/>
        </w:rPr>
      </w:r>
      <w:r>
        <w:rPr>
          <w:noProof/>
        </w:rPr>
        <w:fldChar w:fldCharType="separate"/>
      </w:r>
      <w:r>
        <w:rPr>
          <w:noProof/>
        </w:rPr>
        <w:t>2</w:t>
      </w:r>
      <w:r>
        <w:rPr>
          <w:noProof/>
        </w:rPr>
        <w:fldChar w:fldCharType="end"/>
      </w:r>
    </w:p>
    <w:p w14:paraId="3D68780C" w14:textId="773EF6A2"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Specificity</w:t>
      </w:r>
      <w:r>
        <w:rPr>
          <w:noProof/>
        </w:rPr>
        <w:tab/>
      </w:r>
      <w:r>
        <w:rPr>
          <w:noProof/>
        </w:rPr>
        <w:fldChar w:fldCharType="begin"/>
      </w:r>
      <w:r>
        <w:rPr>
          <w:noProof/>
        </w:rPr>
        <w:instrText xml:space="preserve"> PAGEREF _Toc178069508 \h </w:instrText>
      </w:r>
      <w:r>
        <w:rPr>
          <w:noProof/>
        </w:rPr>
      </w:r>
      <w:r>
        <w:rPr>
          <w:noProof/>
        </w:rPr>
        <w:fldChar w:fldCharType="separate"/>
      </w:r>
      <w:r>
        <w:rPr>
          <w:noProof/>
        </w:rPr>
        <w:t>2</w:t>
      </w:r>
      <w:r>
        <w:rPr>
          <w:noProof/>
        </w:rPr>
        <w:fldChar w:fldCharType="end"/>
      </w:r>
    </w:p>
    <w:p w14:paraId="6BD2356E" w14:textId="3B4C5DC2"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Definition</w:t>
      </w:r>
      <w:r>
        <w:rPr>
          <w:noProof/>
        </w:rPr>
        <w:tab/>
      </w:r>
      <w:r>
        <w:rPr>
          <w:noProof/>
        </w:rPr>
        <w:fldChar w:fldCharType="begin"/>
      </w:r>
      <w:r>
        <w:rPr>
          <w:noProof/>
        </w:rPr>
        <w:instrText xml:space="preserve"> PAGEREF _Toc178069509 \h </w:instrText>
      </w:r>
      <w:r>
        <w:rPr>
          <w:noProof/>
        </w:rPr>
      </w:r>
      <w:r>
        <w:rPr>
          <w:noProof/>
        </w:rPr>
        <w:fldChar w:fldCharType="separate"/>
      </w:r>
      <w:r>
        <w:rPr>
          <w:noProof/>
        </w:rPr>
        <w:t>2</w:t>
      </w:r>
      <w:r>
        <w:rPr>
          <w:noProof/>
        </w:rPr>
        <w:fldChar w:fldCharType="end"/>
      </w:r>
    </w:p>
    <w:p w14:paraId="7A58AB54" w14:textId="358E07E3"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_Toc178069510 \h </w:instrText>
      </w:r>
      <w:r>
        <w:rPr>
          <w:noProof/>
        </w:rPr>
      </w:r>
      <w:r>
        <w:rPr>
          <w:noProof/>
        </w:rPr>
        <w:fldChar w:fldCharType="separate"/>
      </w:r>
      <w:r>
        <w:rPr>
          <w:noProof/>
        </w:rPr>
        <w:t>2</w:t>
      </w:r>
      <w:r>
        <w:rPr>
          <w:noProof/>
        </w:rPr>
        <w:fldChar w:fldCharType="end"/>
      </w:r>
    </w:p>
    <w:p w14:paraId="36B1A4C9" w14:textId="37B2BB17"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_Toc178069511 \h </w:instrText>
      </w:r>
      <w:r>
        <w:rPr>
          <w:noProof/>
        </w:rPr>
      </w:r>
      <w:r>
        <w:rPr>
          <w:noProof/>
        </w:rPr>
        <w:fldChar w:fldCharType="separate"/>
      </w:r>
      <w:r>
        <w:rPr>
          <w:noProof/>
        </w:rPr>
        <w:t>2</w:t>
      </w:r>
      <w:r>
        <w:rPr>
          <w:noProof/>
        </w:rPr>
        <w:fldChar w:fldCharType="end"/>
      </w:r>
    </w:p>
    <w:p w14:paraId="580B82D1" w14:textId="1227BE00"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Sensitivity and limit of detection</w:t>
      </w:r>
      <w:r>
        <w:rPr>
          <w:noProof/>
        </w:rPr>
        <w:tab/>
      </w:r>
      <w:r>
        <w:rPr>
          <w:noProof/>
        </w:rPr>
        <w:fldChar w:fldCharType="begin"/>
      </w:r>
      <w:r>
        <w:rPr>
          <w:noProof/>
        </w:rPr>
        <w:instrText xml:space="preserve"> PAGEREF _Toc178069512 \h </w:instrText>
      </w:r>
      <w:r>
        <w:rPr>
          <w:noProof/>
        </w:rPr>
      </w:r>
      <w:r>
        <w:rPr>
          <w:noProof/>
        </w:rPr>
        <w:fldChar w:fldCharType="separate"/>
      </w:r>
      <w:r>
        <w:rPr>
          <w:noProof/>
        </w:rPr>
        <w:t>2</w:t>
      </w:r>
      <w:r>
        <w:rPr>
          <w:noProof/>
        </w:rPr>
        <w:fldChar w:fldCharType="end"/>
      </w:r>
    </w:p>
    <w:p w14:paraId="4CA676EC" w14:textId="05527AFF"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Definition</w:t>
      </w:r>
      <w:r>
        <w:rPr>
          <w:noProof/>
        </w:rPr>
        <w:tab/>
      </w:r>
      <w:r>
        <w:rPr>
          <w:noProof/>
        </w:rPr>
        <w:fldChar w:fldCharType="begin"/>
      </w:r>
      <w:r>
        <w:rPr>
          <w:noProof/>
        </w:rPr>
        <w:instrText xml:space="preserve"> PAGEREF _Toc178069513 \h </w:instrText>
      </w:r>
      <w:r>
        <w:rPr>
          <w:noProof/>
        </w:rPr>
      </w:r>
      <w:r>
        <w:rPr>
          <w:noProof/>
        </w:rPr>
        <w:fldChar w:fldCharType="separate"/>
      </w:r>
      <w:r>
        <w:rPr>
          <w:noProof/>
        </w:rPr>
        <w:t>2</w:t>
      </w:r>
      <w:r>
        <w:rPr>
          <w:noProof/>
        </w:rPr>
        <w:fldChar w:fldCharType="end"/>
      </w:r>
    </w:p>
    <w:p w14:paraId="292D2443" w14:textId="3977343E"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_Toc178069514 \h </w:instrText>
      </w:r>
      <w:r>
        <w:rPr>
          <w:noProof/>
        </w:rPr>
      </w:r>
      <w:r>
        <w:rPr>
          <w:noProof/>
        </w:rPr>
        <w:fldChar w:fldCharType="separate"/>
      </w:r>
      <w:r>
        <w:rPr>
          <w:noProof/>
        </w:rPr>
        <w:t>3</w:t>
      </w:r>
      <w:r>
        <w:rPr>
          <w:noProof/>
        </w:rPr>
        <w:fldChar w:fldCharType="end"/>
      </w:r>
    </w:p>
    <w:p w14:paraId="43D4E0BA" w14:textId="423B1BD2"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Repeatability</w:t>
      </w:r>
      <w:r>
        <w:rPr>
          <w:noProof/>
        </w:rPr>
        <w:tab/>
      </w:r>
      <w:r>
        <w:rPr>
          <w:noProof/>
        </w:rPr>
        <w:fldChar w:fldCharType="begin"/>
      </w:r>
      <w:r>
        <w:rPr>
          <w:noProof/>
        </w:rPr>
        <w:instrText xml:space="preserve"> PAGEREF _Toc178069515 \h </w:instrText>
      </w:r>
      <w:r>
        <w:rPr>
          <w:noProof/>
        </w:rPr>
      </w:r>
      <w:r>
        <w:rPr>
          <w:noProof/>
        </w:rPr>
        <w:fldChar w:fldCharType="separate"/>
      </w:r>
      <w:r>
        <w:rPr>
          <w:noProof/>
        </w:rPr>
        <w:t>3</w:t>
      </w:r>
      <w:r>
        <w:rPr>
          <w:noProof/>
        </w:rPr>
        <w:fldChar w:fldCharType="end"/>
      </w:r>
    </w:p>
    <w:p w14:paraId="58BE16DC" w14:textId="7BD1B07C"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 xml:space="preserve">Definition </w:t>
      </w:r>
      <w:r w:rsidRPr="00991733">
        <w:rPr>
          <w:noProof/>
          <w:highlight w:val="yellow"/>
        </w:rPr>
        <w:t>(based on ISO 16 577:2016)</w:t>
      </w:r>
      <w:r>
        <w:rPr>
          <w:noProof/>
        </w:rPr>
        <w:tab/>
      </w:r>
      <w:r>
        <w:rPr>
          <w:noProof/>
        </w:rPr>
        <w:fldChar w:fldCharType="begin"/>
      </w:r>
      <w:r>
        <w:rPr>
          <w:noProof/>
        </w:rPr>
        <w:instrText xml:space="preserve"> PAGEREF _Toc178069516 \h </w:instrText>
      </w:r>
      <w:r>
        <w:rPr>
          <w:noProof/>
        </w:rPr>
      </w:r>
      <w:r>
        <w:rPr>
          <w:noProof/>
        </w:rPr>
        <w:fldChar w:fldCharType="separate"/>
      </w:r>
      <w:r>
        <w:rPr>
          <w:noProof/>
        </w:rPr>
        <w:t>3</w:t>
      </w:r>
      <w:r>
        <w:rPr>
          <w:noProof/>
        </w:rPr>
        <w:fldChar w:fldCharType="end"/>
      </w:r>
    </w:p>
    <w:p w14:paraId="0F7FE737" w14:textId="0BCC6048"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_Toc178069517 \h </w:instrText>
      </w:r>
      <w:r>
        <w:rPr>
          <w:noProof/>
        </w:rPr>
      </w:r>
      <w:r>
        <w:rPr>
          <w:noProof/>
        </w:rPr>
        <w:fldChar w:fldCharType="separate"/>
      </w:r>
      <w:r>
        <w:rPr>
          <w:noProof/>
        </w:rPr>
        <w:t>3</w:t>
      </w:r>
      <w:r>
        <w:rPr>
          <w:noProof/>
        </w:rPr>
        <w:fldChar w:fldCharType="end"/>
      </w:r>
    </w:p>
    <w:p w14:paraId="38D5F509" w14:textId="33193FF4"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_Toc178069518 \h </w:instrText>
      </w:r>
      <w:r>
        <w:rPr>
          <w:noProof/>
        </w:rPr>
      </w:r>
      <w:r>
        <w:rPr>
          <w:noProof/>
        </w:rPr>
        <w:fldChar w:fldCharType="separate"/>
      </w:r>
      <w:r>
        <w:rPr>
          <w:noProof/>
        </w:rPr>
        <w:t>3</w:t>
      </w:r>
      <w:r>
        <w:rPr>
          <w:noProof/>
        </w:rPr>
        <w:fldChar w:fldCharType="end"/>
      </w:r>
    </w:p>
    <w:p w14:paraId="03261BC3" w14:textId="70806CC7"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Reproducibility</w:t>
      </w:r>
      <w:r>
        <w:rPr>
          <w:noProof/>
        </w:rPr>
        <w:tab/>
      </w:r>
      <w:r>
        <w:rPr>
          <w:noProof/>
        </w:rPr>
        <w:fldChar w:fldCharType="begin"/>
      </w:r>
      <w:r>
        <w:rPr>
          <w:noProof/>
        </w:rPr>
        <w:instrText xml:space="preserve"> PAGEREF _Toc178069519 \h </w:instrText>
      </w:r>
      <w:r>
        <w:rPr>
          <w:noProof/>
        </w:rPr>
      </w:r>
      <w:r>
        <w:rPr>
          <w:noProof/>
        </w:rPr>
        <w:fldChar w:fldCharType="separate"/>
      </w:r>
      <w:r>
        <w:rPr>
          <w:noProof/>
        </w:rPr>
        <w:t>3</w:t>
      </w:r>
      <w:r>
        <w:rPr>
          <w:noProof/>
        </w:rPr>
        <w:fldChar w:fldCharType="end"/>
      </w:r>
    </w:p>
    <w:p w14:paraId="6803B1DF" w14:textId="6AEFD509"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 xml:space="preserve">Definition </w:t>
      </w:r>
      <w:r w:rsidRPr="00991733">
        <w:rPr>
          <w:noProof/>
          <w:highlight w:val="yellow"/>
        </w:rPr>
        <w:t>(based on ISO 16 577:2016)</w:t>
      </w:r>
      <w:r>
        <w:rPr>
          <w:noProof/>
        </w:rPr>
        <w:tab/>
      </w:r>
      <w:r>
        <w:rPr>
          <w:noProof/>
        </w:rPr>
        <w:fldChar w:fldCharType="begin"/>
      </w:r>
      <w:r>
        <w:rPr>
          <w:noProof/>
        </w:rPr>
        <w:instrText xml:space="preserve"> PAGEREF _Toc178069520 \h </w:instrText>
      </w:r>
      <w:r>
        <w:rPr>
          <w:noProof/>
        </w:rPr>
      </w:r>
      <w:r>
        <w:rPr>
          <w:noProof/>
        </w:rPr>
        <w:fldChar w:fldCharType="separate"/>
      </w:r>
      <w:r>
        <w:rPr>
          <w:noProof/>
        </w:rPr>
        <w:t>3</w:t>
      </w:r>
      <w:r>
        <w:rPr>
          <w:noProof/>
        </w:rPr>
        <w:fldChar w:fldCharType="end"/>
      </w:r>
    </w:p>
    <w:p w14:paraId="70CBB464" w14:textId="5E3BBFAF"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_Toc178069521 \h </w:instrText>
      </w:r>
      <w:r>
        <w:rPr>
          <w:noProof/>
        </w:rPr>
      </w:r>
      <w:r>
        <w:rPr>
          <w:noProof/>
        </w:rPr>
        <w:fldChar w:fldCharType="separate"/>
      </w:r>
      <w:r>
        <w:rPr>
          <w:noProof/>
        </w:rPr>
        <w:t>3</w:t>
      </w:r>
      <w:r>
        <w:rPr>
          <w:noProof/>
        </w:rPr>
        <w:fldChar w:fldCharType="end"/>
      </w:r>
    </w:p>
    <w:p w14:paraId="51D46540" w14:textId="69561411"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_Toc178069522 \h </w:instrText>
      </w:r>
      <w:r>
        <w:rPr>
          <w:noProof/>
        </w:rPr>
      </w:r>
      <w:r>
        <w:rPr>
          <w:noProof/>
        </w:rPr>
        <w:fldChar w:fldCharType="separate"/>
      </w:r>
      <w:r>
        <w:rPr>
          <w:noProof/>
        </w:rPr>
        <w:t>3</w:t>
      </w:r>
      <w:r>
        <w:rPr>
          <w:noProof/>
        </w:rPr>
        <w:fldChar w:fldCharType="end"/>
      </w:r>
    </w:p>
    <w:p w14:paraId="5C3D2B14" w14:textId="3C4E3811"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Robustness</w:t>
      </w:r>
      <w:r>
        <w:rPr>
          <w:noProof/>
        </w:rPr>
        <w:tab/>
      </w:r>
      <w:r>
        <w:rPr>
          <w:noProof/>
        </w:rPr>
        <w:fldChar w:fldCharType="begin"/>
      </w:r>
      <w:r>
        <w:rPr>
          <w:noProof/>
        </w:rPr>
        <w:instrText xml:space="preserve"> PAGEREF _Toc178069523 \h </w:instrText>
      </w:r>
      <w:r>
        <w:rPr>
          <w:noProof/>
        </w:rPr>
      </w:r>
      <w:r>
        <w:rPr>
          <w:noProof/>
        </w:rPr>
        <w:fldChar w:fldCharType="separate"/>
      </w:r>
      <w:r>
        <w:rPr>
          <w:noProof/>
        </w:rPr>
        <w:t>4</w:t>
      </w:r>
      <w:r>
        <w:rPr>
          <w:noProof/>
        </w:rPr>
        <w:fldChar w:fldCharType="end"/>
      </w:r>
    </w:p>
    <w:p w14:paraId="31AA8E82" w14:textId="03E53904"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Definition</w:t>
      </w:r>
      <w:r>
        <w:rPr>
          <w:noProof/>
        </w:rPr>
        <w:tab/>
      </w:r>
      <w:r>
        <w:rPr>
          <w:noProof/>
        </w:rPr>
        <w:fldChar w:fldCharType="begin"/>
      </w:r>
      <w:r>
        <w:rPr>
          <w:noProof/>
        </w:rPr>
        <w:instrText xml:space="preserve"> PAGEREF _Toc178069524 \h </w:instrText>
      </w:r>
      <w:r>
        <w:rPr>
          <w:noProof/>
        </w:rPr>
      </w:r>
      <w:r>
        <w:rPr>
          <w:noProof/>
        </w:rPr>
        <w:fldChar w:fldCharType="separate"/>
      </w:r>
      <w:r>
        <w:rPr>
          <w:noProof/>
        </w:rPr>
        <w:t>4</w:t>
      </w:r>
      <w:r>
        <w:rPr>
          <w:noProof/>
        </w:rPr>
        <w:fldChar w:fldCharType="end"/>
      </w:r>
    </w:p>
    <w:p w14:paraId="7729EECF" w14:textId="03D314B3"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Requirement</w:t>
      </w:r>
      <w:r>
        <w:rPr>
          <w:noProof/>
        </w:rPr>
        <w:tab/>
      </w:r>
      <w:r>
        <w:rPr>
          <w:noProof/>
        </w:rPr>
        <w:fldChar w:fldCharType="begin"/>
      </w:r>
      <w:r>
        <w:rPr>
          <w:noProof/>
        </w:rPr>
        <w:instrText xml:space="preserve"> PAGEREF _Toc178069525 \h </w:instrText>
      </w:r>
      <w:r>
        <w:rPr>
          <w:noProof/>
        </w:rPr>
      </w:r>
      <w:r>
        <w:rPr>
          <w:noProof/>
        </w:rPr>
        <w:fldChar w:fldCharType="separate"/>
      </w:r>
      <w:r>
        <w:rPr>
          <w:noProof/>
        </w:rPr>
        <w:t>4</w:t>
      </w:r>
      <w:r>
        <w:rPr>
          <w:noProof/>
        </w:rPr>
        <w:fldChar w:fldCharType="end"/>
      </w:r>
    </w:p>
    <w:p w14:paraId="1EBB7662" w14:textId="186931E2" w:rsidR="00C3093B" w:rsidRDefault="00C3093B">
      <w:pPr>
        <w:pStyle w:val="TOC3"/>
        <w:rPr>
          <w:rFonts w:asciiTheme="minorHAnsi" w:eastAsiaTheme="minorEastAsia" w:hAnsiTheme="minorHAnsi" w:cstheme="minorBidi"/>
          <w:i w:val="0"/>
          <w:noProof/>
          <w:kern w:val="2"/>
          <w:sz w:val="24"/>
          <w:szCs w:val="24"/>
          <w:lang w:val="en-GB" w:eastAsia="en-GB"/>
          <w14:ligatures w14:val="standardContextual"/>
        </w:rPr>
      </w:pPr>
      <w:r>
        <w:rPr>
          <w:noProof/>
        </w:rPr>
        <w:t>How to evaluate it?</w:t>
      </w:r>
      <w:r>
        <w:rPr>
          <w:noProof/>
        </w:rPr>
        <w:tab/>
      </w:r>
      <w:r>
        <w:rPr>
          <w:noProof/>
        </w:rPr>
        <w:fldChar w:fldCharType="begin"/>
      </w:r>
      <w:r>
        <w:rPr>
          <w:noProof/>
        </w:rPr>
        <w:instrText xml:space="preserve"> PAGEREF _Toc178069526 \h </w:instrText>
      </w:r>
      <w:r>
        <w:rPr>
          <w:noProof/>
        </w:rPr>
      </w:r>
      <w:r>
        <w:rPr>
          <w:noProof/>
        </w:rPr>
        <w:fldChar w:fldCharType="separate"/>
      </w:r>
      <w:r>
        <w:rPr>
          <w:noProof/>
        </w:rPr>
        <w:t>4</w:t>
      </w:r>
      <w:r>
        <w:rPr>
          <w:noProof/>
        </w:rPr>
        <w:fldChar w:fldCharType="end"/>
      </w:r>
    </w:p>
    <w:p w14:paraId="18B958C2" w14:textId="7441019F"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IV.</w:t>
      </w:r>
      <w:r>
        <w:rPr>
          <w:rFonts w:asciiTheme="minorHAnsi" w:eastAsiaTheme="minorEastAsia" w:hAnsiTheme="minorHAnsi" w:cstheme="minorBidi"/>
          <w:noProof/>
          <w:kern w:val="2"/>
          <w:sz w:val="24"/>
          <w:szCs w:val="24"/>
          <w:lang w:val="en-GB" w:eastAsia="en-GB"/>
          <w14:ligatures w14:val="standardContextual"/>
        </w:rPr>
        <w:tab/>
      </w:r>
      <w:r>
        <w:rPr>
          <w:noProof/>
        </w:rPr>
        <w:t>Validation report</w:t>
      </w:r>
      <w:r>
        <w:rPr>
          <w:noProof/>
        </w:rPr>
        <w:tab/>
      </w:r>
      <w:r>
        <w:rPr>
          <w:noProof/>
        </w:rPr>
        <w:fldChar w:fldCharType="begin"/>
      </w:r>
      <w:r>
        <w:rPr>
          <w:noProof/>
        </w:rPr>
        <w:instrText xml:space="preserve"> PAGEREF _Toc178069527 \h </w:instrText>
      </w:r>
      <w:r>
        <w:rPr>
          <w:noProof/>
        </w:rPr>
      </w:r>
      <w:r>
        <w:rPr>
          <w:noProof/>
        </w:rPr>
        <w:fldChar w:fldCharType="separate"/>
      </w:r>
      <w:r>
        <w:rPr>
          <w:noProof/>
        </w:rPr>
        <w:t>4</w:t>
      </w:r>
      <w:r>
        <w:rPr>
          <w:noProof/>
        </w:rPr>
        <w:fldChar w:fldCharType="end"/>
      </w:r>
    </w:p>
    <w:p w14:paraId="198EC513" w14:textId="2612C570"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Content of the validation report</w:t>
      </w:r>
      <w:r>
        <w:rPr>
          <w:noProof/>
        </w:rPr>
        <w:tab/>
      </w:r>
      <w:r>
        <w:rPr>
          <w:noProof/>
        </w:rPr>
        <w:fldChar w:fldCharType="begin"/>
      </w:r>
      <w:r>
        <w:rPr>
          <w:noProof/>
        </w:rPr>
        <w:instrText xml:space="preserve"> PAGEREF _Toc178069528 \h </w:instrText>
      </w:r>
      <w:r>
        <w:rPr>
          <w:noProof/>
        </w:rPr>
      </w:r>
      <w:r>
        <w:rPr>
          <w:noProof/>
        </w:rPr>
        <w:fldChar w:fldCharType="separate"/>
      </w:r>
      <w:r>
        <w:rPr>
          <w:noProof/>
        </w:rPr>
        <w:t>4</w:t>
      </w:r>
      <w:r>
        <w:rPr>
          <w:noProof/>
        </w:rPr>
        <w:fldChar w:fldCharType="end"/>
      </w:r>
    </w:p>
    <w:p w14:paraId="152B1F08" w14:textId="137533FB" w:rsidR="00C3093B" w:rsidRDefault="00C3093B" w:rsidP="00C3093B">
      <w:pPr>
        <w:pStyle w:val="TOC2"/>
        <w:rPr>
          <w:rFonts w:asciiTheme="minorHAnsi" w:eastAsiaTheme="minorEastAsia" w:hAnsiTheme="minorHAnsi" w:cstheme="minorBidi"/>
          <w:noProof/>
          <w:kern w:val="2"/>
          <w:sz w:val="24"/>
          <w:szCs w:val="24"/>
          <w:lang w:val="en-GB" w:eastAsia="en-GB"/>
          <w14:ligatures w14:val="standardContextual"/>
        </w:rPr>
      </w:pPr>
      <w:r>
        <w:rPr>
          <w:noProof/>
        </w:rPr>
        <w:t>Publicity</w:t>
      </w:r>
      <w:r>
        <w:rPr>
          <w:noProof/>
        </w:rPr>
        <w:tab/>
      </w:r>
      <w:r>
        <w:rPr>
          <w:noProof/>
        </w:rPr>
        <w:fldChar w:fldCharType="begin"/>
      </w:r>
      <w:r>
        <w:rPr>
          <w:noProof/>
        </w:rPr>
        <w:instrText xml:space="preserve"> PAGEREF _Toc178069529 \h </w:instrText>
      </w:r>
      <w:r>
        <w:rPr>
          <w:noProof/>
        </w:rPr>
      </w:r>
      <w:r>
        <w:rPr>
          <w:noProof/>
        </w:rPr>
        <w:fldChar w:fldCharType="separate"/>
      </w:r>
      <w:r>
        <w:rPr>
          <w:noProof/>
        </w:rPr>
        <w:t>4</w:t>
      </w:r>
      <w:r>
        <w:rPr>
          <w:noProof/>
        </w:rPr>
        <w:fldChar w:fldCharType="end"/>
      </w:r>
    </w:p>
    <w:p w14:paraId="32522111" w14:textId="417A1424"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V.</w:t>
      </w:r>
      <w:r>
        <w:rPr>
          <w:rFonts w:asciiTheme="minorHAnsi" w:eastAsiaTheme="minorEastAsia" w:hAnsiTheme="minorHAnsi" w:cstheme="minorBidi"/>
          <w:noProof/>
          <w:kern w:val="2"/>
          <w:sz w:val="24"/>
          <w:szCs w:val="24"/>
          <w:lang w:val="en-GB" w:eastAsia="en-GB"/>
          <w14:ligatures w14:val="standardContextual"/>
        </w:rPr>
        <w:tab/>
      </w:r>
      <w:r>
        <w:rPr>
          <w:noProof/>
        </w:rPr>
        <w:t>Standard Protocol for characteristic-specific molecular marker protocol</w:t>
      </w:r>
      <w:r>
        <w:rPr>
          <w:noProof/>
        </w:rPr>
        <w:tab/>
      </w:r>
      <w:r>
        <w:rPr>
          <w:noProof/>
        </w:rPr>
        <w:fldChar w:fldCharType="begin"/>
      </w:r>
      <w:r>
        <w:rPr>
          <w:noProof/>
        </w:rPr>
        <w:instrText xml:space="preserve"> PAGEREF _Toc178069530 \h </w:instrText>
      </w:r>
      <w:r>
        <w:rPr>
          <w:noProof/>
        </w:rPr>
      </w:r>
      <w:r>
        <w:rPr>
          <w:noProof/>
        </w:rPr>
        <w:fldChar w:fldCharType="separate"/>
      </w:r>
      <w:r>
        <w:rPr>
          <w:noProof/>
        </w:rPr>
        <w:t>4</w:t>
      </w:r>
      <w:r>
        <w:rPr>
          <w:noProof/>
        </w:rPr>
        <w:fldChar w:fldCharType="end"/>
      </w:r>
    </w:p>
    <w:p w14:paraId="13CB54A2" w14:textId="52FCAA38" w:rsidR="00C3093B" w:rsidRDefault="00C3093B" w:rsidP="00CE6618">
      <w:pPr>
        <w:pStyle w:val="TOC1"/>
        <w:rPr>
          <w:rFonts w:asciiTheme="minorHAnsi" w:eastAsiaTheme="minorEastAsia" w:hAnsiTheme="minorHAnsi" w:cstheme="minorBidi"/>
          <w:noProof/>
          <w:kern w:val="2"/>
          <w:sz w:val="24"/>
          <w:szCs w:val="24"/>
          <w:lang w:val="en-GB" w:eastAsia="en-GB"/>
          <w14:ligatures w14:val="standardContextual"/>
        </w:rPr>
      </w:pPr>
      <w:r>
        <w:rPr>
          <w:noProof/>
        </w:rPr>
        <w:t>VI.</w:t>
      </w:r>
      <w:r>
        <w:rPr>
          <w:rFonts w:asciiTheme="minorHAnsi" w:eastAsiaTheme="minorEastAsia" w:hAnsiTheme="minorHAnsi" w:cstheme="minorBidi"/>
          <w:noProof/>
          <w:kern w:val="2"/>
          <w:sz w:val="24"/>
          <w:szCs w:val="24"/>
          <w:lang w:val="en-GB" w:eastAsia="en-GB"/>
          <w14:ligatures w14:val="standardContextual"/>
        </w:rPr>
        <w:tab/>
      </w:r>
      <w:r>
        <w:rPr>
          <w:noProof/>
        </w:rPr>
        <w:t>Follow-up survey after approval</w:t>
      </w:r>
      <w:r>
        <w:rPr>
          <w:noProof/>
        </w:rPr>
        <w:tab/>
      </w:r>
      <w:r>
        <w:rPr>
          <w:noProof/>
        </w:rPr>
        <w:fldChar w:fldCharType="begin"/>
      </w:r>
      <w:r>
        <w:rPr>
          <w:noProof/>
        </w:rPr>
        <w:instrText xml:space="preserve"> PAGEREF _Toc178069531 \h </w:instrText>
      </w:r>
      <w:r>
        <w:rPr>
          <w:noProof/>
        </w:rPr>
      </w:r>
      <w:r>
        <w:rPr>
          <w:noProof/>
        </w:rPr>
        <w:fldChar w:fldCharType="separate"/>
      </w:r>
      <w:r>
        <w:rPr>
          <w:noProof/>
        </w:rPr>
        <w:t>7</w:t>
      </w:r>
      <w:r>
        <w:rPr>
          <w:noProof/>
        </w:rPr>
        <w:fldChar w:fldCharType="end"/>
      </w:r>
    </w:p>
    <w:p w14:paraId="680E3C9F" w14:textId="7A7A7AF4" w:rsidR="00550FF9" w:rsidRPr="00F07B06" w:rsidRDefault="00263789" w:rsidP="00550FF9">
      <w:r>
        <w:fldChar w:fldCharType="end"/>
      </w:r>
    </w:p>
    <w:p w14:paraId="05388A63" w14:textId="77777777" w:rsidR="00550FF9" w:rsidRPr="00F07B06" w:rsidRDefault="00550FF9" w:rsidP="00550FF9"/>
    <w:p w14:paraId="5A75604C" w14:textId="77777777" w:rsidR="00550FF9" w:rsidRPr="00F07B06" w:rsidRDefault="00550FF9" w:rsidP="00A21829">
      <w:pPr>
        <w:pStyle w:val="Heading1Annex"/>
      </w:pPr>
      <w:bookmarkStart w:id="28" w:name="_Toc178069504"/>
      <w:r w:rsidRPr="00F07B06">
        <w:t>Associated documents</w:t>
      </w:r>
      <w:bookmarkEnd w:id="28"/>
    </w:p>
    <w:p w14:paraId="63FC1907" w14:textId="77777777" w:rsidR="00550FF9" w:rsidRPr="00F07B06" w:rsidRDefault="00550FF9" w:rsidP="00550FF9">
      <w:pPr>
        <w:rPr>
          <w:lang w:eastAsia="fr-FR"/>
        </w:rPr>
      </w:pPr>
    </w:p>
    <w:p w14:paraId="5958FE14" w14:textId="30D03AF5" w:rsidR="00550FF9" w:rsidRPr="00F07B06" w:rsidRDefault="00B74B71" w:rsidP="00550FF9">
      <w:pPr>
        <w:rPr>
          <w:rFonts w:cs="Arial"/>
        </w:rPr>
      </w:pPr>
      <w:r>
        <w:fldChar w:fldCharType="begin"/>
      </w:r>
      <w:r>
        <w:instrText xml:space="preserve"> LISTNUM  LegalDefault \l 1 \s 1 </w:instrText>
      </w:r>
      <w:r>
        <w:fldChar w:fldCharType="end">
          <w:numberingChange w:id="29" w:author="SANCHEZ VIZCAINO GOMEZ Rosa Maria" w:date="2024-09-23T14:37:00Z" w16du:dateUtc="2024-09-23T12:37:00Z" w:original="1."/>
        </w:fldChar>
      </w:r>
      <w:r w:rsidR="00550FF9" w:rsidRPr="00F07B06">
        <w:rPr>
          <w:rFonts w:cs="Arial"/>
        </w:rPr>
        <w:tab/>
        <w:t>Please note that the parts highlighted indicate text quoted from the documents below:</w:t>
      </w:r>
    </w:p>
    <w:p w14:paraId="46182B9E" w14:textId="77777777" w:rsidR="00550FF9" w:rsidRPr="00F07B06" w:rsidRDefault="00550FF9" w:rsidP="00550FF9">
      <w:pPr>
        <w:rPr>
          <w:rFonts w:cs="Arial"/>
          <w:lang w:eastAsia="fr-FR"/>
        </w:rPr>
      </w:pPr>
    </w:p>
    <w:p w14:paraId="284E2AE3" w14:textId="77777777" w:rsidR="00550FF9" w:rsidRPr="00F07B06" w:rsidRDefault="00550FF9" w:rsidP="00550FF9">
      <w:pPr>
        <w:numPr>
          <w:ilvl w:val="0"/>
          <w:numId w:val="16"/>
        </w:numPr>
        <w:tabs>
          <w:tab w:val="left" w:pos="567"/>
        </w:tabs>
        <w:spacing w:after="60"/>
        <w:ind w:left="2127" w:hanging="1770"/>
        <w:rPr>
          <w:rFonts w:eastAsia="Calibri" w:cs="Arial"/>
        </w:rPr>
      </w:pPr>
      <w:r w:rsidRPr="00F07B06">
        <w:rPr>
          <w:rFonts w:eastAsia="Calibri" w:cs="Arial"/>
        </w:rPr>
        <w:t>TG/1/3:</w:t>
      </w:r>
      <w:r w:rsidRPr="00F07B06">
        <w:rPr>
          <w:rFonts w:eastAsia="Calibri" w:cs="Arial"/>
        </w:rPr>
        <w:tab/>
        <w:t>General Introduction to the Examination of Distinctness, Uniformity and Stability and the Development of Harmonized Descriptions of new Varieties of Plants</w:t>
      </w:r>
    </w:p>
    <w:p w14:paraId="59CFFBD0" w14:textId="77777777" w:rsidR="00550FF9" w:rsidRPr="00F07B06" w:rsidRDefault="00550FF9" w:rsidP="00550FF9">
      <w:pPr>
        <w:numPr>
          <w:ilvl w:val="0"/>
          <w:numId w:val="16"/>
        </w:numPr>
        <w:tabs>
          <w:tab w:val="left" w:pos="567"/>
        </w:tabs>
        <w:spacing w:after="60"/>
        <w:ind w:left="2127" w:hanging="1770"/>
        <w:rPr>
          <w:rFonts w:eastAsia="Calibri" w:cs="Arial"/>
        </w:rPr>
      </w:pPr>
      <w:r w:rsidRPr="00F07B06">
        <w:rPr>
          <w:rFonts w:eastAsia="Calibri" w:cs="Arial"/>
        </w:rPr>
        <w:t>TG/44:</w:t>
      </w:r>
      <w:r w:rsidRPr="00F07B06">
        <w:rPr>
          <w:rFonts w:eastAsia="Calibri" w:cs="Arial"/>
        </w:rPr>
        <w:tab/>
        <w:t>Guidelines for the conduct of tests for distinctness, uniformity and stability for Tomato</w:t>
      </w:r>
    </w:p>
    <w:p w14:paraId="1AFC40FE" w14:textId="77777777" w:rsidR="00550FF9" w:rsidRPr="00F07B06" w:rsidRDefault="00550FF9" w:rsidP="00550FF9">
      <w:pPr>
        <w:numPr>
          <w:ilvl w:val="0"/>
          <w:numId w:val="16"/>
        </w:numPr>
        <w:tabs>
          <w:tab w:val="left" w:pos="567"/>
        </w:tabs>
        <w:spacing w:after="60"/>
        <w:ind w:left="2127" w:hanging="1770"/>
        <w:rPr>
          <w:rFonts w:eastAsia="Calibri" w:cs="Arial"/>
        </w:rPr>
      </w:pPr>
      <w:r w:rsidRPr="00F07B06">
        <w:rPr>
          <w:rFonts w:eastAsia="Calibri" w:cs="Arial"/>
        </w:rPr>
        <w:t>TGP/12:</w:t>
      </w:r>
      <w:r w:rsidRPr="00F07B06">
        <w:rPr>
          <w:rFonts w:eastAsia="Calibri" w:cs="Arial"/>
        </w:rPr>
        <w:tab/>
        <w:t>Guidance on Certain Physiological Characteristics</w:t>
      </w:r>
    </w:p>
    <w:p w14:paraId="5A560F5D" w14:textId="77777777" w:rsidR="00550FF9" w:rsidRPr="00F07B06" w:rsidRDefault="00550FF9" w:rsidP="00550FF9">
      <w:pPr>
        <w:numPr>
          <w:ilvl w:val="0"/>
          <w:numId w:val="16"/>
        </w:numPr>
        <w:tabs>
          <w:tab w:val="left" w:pos="567"/>
        </w:tabs>
        <w:spacing w:after="60"/>
        <w:ind w:left="2127" w:hanging="1770"/>
        <w:rPr>
          <w:rFonts w:eastAsia="Calibri" w:cs="Arial"/>
          <w:b/>
          <w:bCs/>
        </w:rPr>
      </w:pPr>
      <w:r w:rsidRPr="00F07B06">
        <w:rPr>
          <w:rFonts w:eastAsia="Calibri" w:cs="Arial"/>
        </w:rPr>
        <w:t>TGP/15:</w:t>
      </w:r>
      <w:r w:rsidRPr="00F07B06">
        <w:rPr>
          <w:rFonts w:eastAsia="Calibri" w:cs="Arial"/>
        </w:rPr>
        <w:tab/>
        <w:t>Guidance on the Use of Biochemical and Molecular Markers in the Examination of Distinctness, Uniformity and Stability (DUS)</w:t>
      </w:r>
    </w:p>
    <w:p w14:paraId="32983A61" w14:textId="77777777" w:rsidR="00550FF9" w:rsidRPr="00F07B06" w:rsidRDefault="00550FF9" w:rsidP="00550FF9">
      <w:pPr>
        <w:numPr>
          <w:ilvl w:val="0"/>
          <w:numId w:val="16"/>
        </w:numPr>
        <w:tabs>
          <w:tab w:val="left" w:pos="567"/>
        </w:tabs>
        <w:spacing w:after="60"/>
        <w:ind w:left="2127" w:hanging="1770"/>
        <w:rPr>
          <w:rFonts w:eastAsia="Calibri" w:cs="Arial"/>
          <w:highlight w:val="yellow"/>
        </w:rPr>
      </w:pPr>
      <w:r w:rsidRPr="00F07B06">
        <w:rPr>
          <w:rFonts w:eastAsia="Calibri" w:cs="Arial"/>
          <w:highlight w:val="yellow"/>
        </w:rPr>
        <w:t>UPOV/INF/17</w:t>
      </w:r>
      <w:r w:rsidRPr="00F07B06">
        <w:rPr>
          <w:rFonts w:eastAsia="Calibri" w:cs="Arial"/>
          <w:highlight w:val="yellow"/>
        </w:rPr>
        <w:tab/>
        <w:t xml:space="preserve">Guidelines for DNA-Profiling: Molecular Marker Selection and Database Construction </w:t>
      </w:r>
    </w:p>
    <w:p w14:paraId="15045BAE" w14:textId="77777777" w:rsidR="00550FF9" w:rsidRPr="00F07B06" w:rsidRDefault="00550FF9" w:rsidP="00550FF9">
      <w:pPr>
        <w:numPr>
          <w:ilvl w:val="0"/>
          <w:numId w:val="16"/>
        </w:numPr>
        <w:tabs>
          <w:tab w:val="left" w:pos="567"/>
        </w:tabs>
        <w:spacing w:after="60"/>
        <w:ind w:left="2127" w:hanging="1770"/>
        <w:rPr>
          <w:rFonts w:eastAsia="Calibri" w:cs="Arial"/>
          <w:b/>
          <w:bCs/>
        </w:rPr>
      </w:pPr>
      <w:r w:rsidRPr="00F07B06">
        <w:rPr>
          <w:rFonts w:eastAsia="Calibri" w:cs="Arial"/>
        </w:rPr>
        <w:t>UPOV/INF/18</w:t>
      </w:r>
      <w:r w:rsidRPr="00F07B06">
        <w:rPr>
          <w:rFonts w:eastAsia="Calibri" w:cs="Arial"/>
        </w:rPr>
        <w:tab/>
        <w:t>Possible use of Molecular Markers in the Examination of Distinctness, Uniformity and Stability (DUS)</w:t>
      </w:r>
    </w:p>
    <w:p w14:paraId="633DDDC7" w14:textId="77777777" w:rsidR="00550FF9" w:rsidRPr="00F07B06" w:rsidRDefault="00550FF9" w:rsidP="00550FF9">
      <w:pPr>
        <w:numPr>
          <w:ilvl w:val="0"/>
          <w:numId w:val="16"/>
        </w:numPr>
        <w:tabs>
          <w:tab w:val="left" w:pos="567"/>
        </w:tabs>
        <w:spacing w:after="200" w:line="276" w:lineRule="auto"/>
        <w:ind w:left="2127" w:hanging="1770"/>
        <w:contextualSpacing/>
        <w:rPr>
          <w:rFonts w:eastAsia="Calibri" w:cs="Arial"/>
        </w:rPr>
      </w:pPr>
      <w:r w:rsidRPr="00F07B06">
        <w:rPr>
          <w:rFonts w:eastAsia="Calibri" w:cs="Arial"/>
        </w:rPr>
        <w:t>TWV/54/7 + Add</w:t>
      </w:r>
      <w:r w:rsidRPr="00F07B06">
        <w:rPr>
          <w:rFonts w:eastAsia="Calibri" w:cs="Arial"/>
        </w:rPr>
        <w:tab/>
        <w:t>Use of molecular techniques in DUS examination</w:t>
      </w:r>
    </w:p>
    <w:p w14:paraId="577204A4" w14:textId="77777777" w:rsidR="00550FF9" w:rsidRPr="00F07B06" w:rsidRDefault="00550FF9" w:rsidP="00550FF9">
      <w:pPr>
        <w:rPr>
          <w:rFonts w:eastAsia="Calibri"/>
          <w:highlight w:val="darkCyan"/>
        </w:rPr>
      </w:pPr>
    </w:p>
    <w:p w14:paraId="4C28F041" w14:textId="77777777" w:rsidR="00550FF9" w:rsidRPr="00F07B06" w:rsidRDefault="00550FF9" w:rsidP="00550FF9">
      <w:pPr>
        <w:rPr>
          <w:rFonts w:eastAsia="Calibri"/>
          <w:highlight w:val="darkCyan"/>
        </w:rPr>
      </w:pPr>
    </w:p>
    <w:p w14:paraId="5995BDEF" w14:textId="77777777" w:rsidR="00550FF9" w:rsidRPr="00F07B06" w:rsidRDefault="00550FF9" w:rsidP="00A21829">
      <w:pPr>
        <w:pStyle w:val="Heading1Annex"/>
      </w:pPr>
      <w:bookmarkStart w:id="30" w:name="_Toc178069505"/>
      <w:r w:rsidRPr="00F07B06">
        <w:lastRenderedPageBreak/>
        <w:t>I.</w:t>
      </w:r>
      <w:r w:rsidRPr="00F07B06">
        <w:tab/>
        <w:t>Objectives of these guidelines</w:t>
      </w:r>
      <w:bookmarkEnd w:id="30"/>
    </w:p>
    <w:p w14:paraId="60A46F3C" w14:textId="77777777" w:rsidR="00550FF9" w:rsidRPr="00F07B06" w:rsidRDefault="00550FF9" w:rsidP="00550FF9">
      <w:pPr>
        <w:keepNext/>
        <w:rPr>
          <w:lang w:eastAsia="fr-FR"/>
        </w:rPr>
      </w:pPr>
    </w:p>
    <w:p w14:paraId="1F4C42D7" w14:textId="3D882238" w:rsidR="00550FF9" w:rsidRPr="00F07B06" w:rsidRDefault="00B74B71" w:rsidP="00550FF9">
      <w:pPr>
        <w:rPr>
          <w:lang w:eastAsia="fr-FR"/>
        </w:rPr>
      </w:pPr>
      <w:r>
        <w:fldChar w:fldCharType="begin"/>
      </w:r>
      <w:r>
        <w:instrText xml:space="preserve"> LISTNUM  LegalDefault \l 1 </w:instrText>
      </w:r>
      <w:r>
        <w:fldChar w:fldCharType="end">
          <w:numberingChange w:id="31" w:author="SANCHEZ VIZCAINO GOMEZ Rosa Maria" w:date="2024-09-23T14:37:00Z" w16du:dateUtc="2024-09-23T12:37:00Z" w:original="2."/>
        </w:fldChar>
      </w:r>
      <w:r w:rsidR="00550FF9" w:rsidRPr="00F07B06">
        <w:rPr>
          <w:lang w:eastAsia="fr-FR"/>
        </w:rPr>
        <w:tab/>
        <w:t>The purpose of these guidelines is to elaborate the principles contained in the General Introduction (document TG/1/3), and its associated TGP documents, into detailed practical guidance for the harmonized validation of a new method based on molecular marker before its use as an alternative test.  Performance criteria required for the validation are described and guidance on their assessment is given. These guidelines also describe a standard protocol with mandatory and optional chapters. Survey after acceptance is also described.</w:t>
      </w:r>
    </w:p>
    <w:p w14:paraId="4BACF71D" w14:textId="77777777" w:rsidR="00550FF9" w:rsidRPr="00F07B06" w:rsidRDefault="00550FF9" w:rsidP="00550FF9">
      <w:pPr>
        <w:rPr>
          <w:lang w:eastAsia="fr-FR"/>
        </w:rPr>
      </w:pPr>
    </w:p>
    <w:p w14:paraId="4590F88A" w14:textId="4C49B880" w:rsidR="00550FF9" w:rsidRPr="00F07B06" w:rsidRDefault="00B74B71" w:rsidP="00550FF9">
      <w:pPr>
        <w:rPr>
          <w:lang w:eastAsia="fr-FR"/>
        </w:rPr>
      </w:pPr>
      <w:r>
        <w:fldChar w:fldCharType="begin"/>
      </w:r>
      <w:r>
        <w:instrText xml:space="preserve"> LISTNUM  LegalDefault \l 1 </w:instrText>
      </w:r>
      <w:r>
        <w:fldChar w:fldCharType="end">
          <w:numberingChange w:id="32" w:author="SANCHEZ VIZCAINO GOMEZ Rosa Maria" w:date="2024-09-23T14:37:00Z" w16du:dateUtc="2024-09-23T12:37:00Z" w:original="3."/>
        </w:fldChar>
      </w:r>
      <w:r w:rsidR="00550FF9" w:rsidRPr="00F07B06">
        <w:rPr>
          <w:lang w:eastAsia="fr-FR"/>
        </w:rPr>
        <w:tab/>
        <w:t>If a different technique is used, the laboratory must validate its method in comparison to the reference method (to show that the alternative technique gives the same results).</w:t>
      </w:r>
    </w:p>
    <w:p w14:paraId="659B9A46" w14:textId="77777777" w:rsidR="00550FF9" w:rsidRPr="00F07B06" w:rsidRDefault="00550FF9" w:rsidP="00550FF9">
      <w:pPr>
        <w:rPr>
          <w:lang w:eastAsia="fr-FR"/>
        </w:rPr>
      </w:pPr>
    </w:p>
    <w:p w14:paraId="1D7A6EF6" w14:textId="77777777" w:rsidR="00550FF9" w:rsidRPr="00F07B06" w:rsidRDefault="00550FF9" w:rsidP="00550FF9">
      <w:pPr>
        <w:rPr>
          <w:lang w:eastAsia="fr-FR"/>
        </w:rPr>
      </w:pPr>
    </w:p>
    <w:p w14:paraId="7CFF8CAF" w14:textId="77777777" w:rsidR="00550FF9" w:rsidRPr="00F07B06" w:rsidRDefault="00550FF9" w:rsidP="00A21829">
      <w:pPr>
        <w:pStyle w:val="Heading1Annex"/>
      </w:pPr>
      <w:bookmarkStart w:id="33" w:name="_Toc178069506"/>
      <w:r w:rsidRPr="00F07B06">
        <w:t>II.</w:t>
      </w:r>
      <w:r w:rsidRPr="00F07B06">
        <w:tab/>
        <w:t>Scope of these guidelines</w:t>
      </w:r>
      <w:bookmarkEnd w:id="33"/>
    </w:p>
    <w:p w14:paraId="72C5140D" w14:textId="77777777" w:rsidR="00550FF9" w:rsidRPr="00F07B06" w:rsidRDefault="00550FF9" w:rsidP="00550FF9">
      <w:pPr>
        <w:rPr>
          <w:lang w:eastAsia="fr-FR"/>
        </w:rPr>
      </w:pPr>
    </w:p>
    <w:p w14:paraId="0D9F27F1" w14:textId="77777777" w:rsidR="00550FF9" w:rsidRPr="00F07B06" w:rsidRDefault="00550FF9" w:rsidP="00550FF9">
      <w:pPr>
        <w:rPr>
          <w:lang w:eastAsia="fr-FR"/>
        </w:rPr>
      </w:pPr>
      <w:r w:rsidRPr="00F07B06">
        <w:rPr>
          <w:lang w:eastAsia="fr-FR"/>
        </w:rPr>
        <w:t>All crops</w:t>
      </w:r>
    </w:p>
    <w:p w14:paraId="2DCC0DB6" w14:textId="77777777" w:rsidR="00550FF9" w:rsidRPr="00F07B06" w:rsidRDefault="00550FF9" w:rsidP="00550FF9">
      <w:pPr>
        <w:rPr>
          <w:lang w:eastAsia="fr-FR"/>
        </w:rPr>
      </w:pPr>
      <w:r w:rsidRPr="00F07B06">
        <w:rPr>
          <w:lang w:eastAsia="fr-FR"/>
        </w:rPr>
        <w:t>Characteristic-Specific Molecular Markers</w:t>
      </w:r>
    </w:p>
    <w:p w14:paraId="0836CBB3" w14:textId="77777777" w:rsidR="00550FF9" w:rsidRPr="00F07B06" w:rsidRDefault="00550FF9" w:rsidP="00550FF9">
      <w:pPr>
        <w:rPr>
          <w:lang w:eastAsia="fr-FR"/>
        </w:rPr>
      </w:pPr>
      <w:r w:rsidRPr="00F07B06">
        <w:rPr>
          <w:lang w:eastAsia="fr-FR"/>
        </w:rPr>
        <w:t>For the examination of Distinctness, Uniformity, and Stability (DUS).</w:t>
      </w:r>
    </w:p>
    <w:p w14:paraId="39313791" w14:textId="77777777" w:rsidR="00550FF9" w:rsidRPr="00F07B06" w:rsidRDefault="00550FF9" w:rsidP="00550FF9">
      <w:pPr>
        <w:rPr>
          <w:lang w:eastAsia="fr-FR"/>
        </w:rPr>
      </w:pPr>
    </w:p>
    <w:p w14:paraId="302D8F97" w14:textId="77777777" w:rsidR="00550FF9" w:rsidRPr="00F07B06" w:rsidRDefault="00550FF9" w:rsidP="00550FF9">
      <w:pPr>
        <w:rPr>
          <w:lang w:eastAsia="fr-FR"/>
        </w:rPr>
      </w:pPr>
    </w:p>
    <w:p w14:paraId="5EEA6C7E" w14:textId="77777777" w:rsidR="00550FF9" w:rsidRPr="00F07B06" w:rsidRDefault="00550FF9" w:rsidP="00A21829">
      <w:pPr>
        <w:pStyle w:val="Heading1Annex"/>
      </w:pPr>
      <w:bookmarkStart w:id="34" w:name="_Toc178069507"/>
      <w:r w:rsidRPr="00F07B06">
        <w:t>III.</w:t>
      </w:r>
      <w:r w:rsidRPr="00F07B06">
        <w:tab/>
        <w:t>Performance criteria for a new molecular marker based protocol</w:t>
      </w:r>
      <w:bookmarkEnd w:id="34"/>
    </w:p>
    <w:p w14:paraId="62511967" w14:textId="77777777" w:rsidR="00550FF9" w:rsidRPr="00F07B06" w:rsidRDefault="00550FF9" w:rsidP="00550FF9">
      <w:pPr>
        <w:rPr>
          <w:lang w:eastAsia="fr-FR"/>
        </w:rPr>
      </w:pPr>
    </w:p>
    <w:p w14:paraId="5C487961" w14:textId="77777777" w:rsidR="00550FF9" w:rsidRPr="00F07B06" w:rsidRDefault="00550FF9" w:rsidP="00FE6528">
      <w:pPr>
        <w:pStyle w:val="Heading2Annex"/>
      </w:pPr>
      <w:bookmarkStart w:id="35" w:name="_Toc178069508"/>
      <w:r w:rsidRPr="00F07B06">
        <w:t>Specificity</w:t>
      </w:r>
      <w:bookmarkEnd w:id="35"/>
    </w:p>
    <w:p w14:paraId="63656CD5" w14:textId="77777777" w:rsidR="00550FF9" w:rsidRPr="00F07B06" w:rsidRDefault="00550FF9" w:rsidP="00550FF9">
      <w:pPr>
        <w:rPr>
          <w:lang w:eastAsia="fr-FR"/>
        </w:rPr>
      </w:pPr>
    </w:p>
    <w:p w14:paraId="450D051D" w14:textId="77777777" w:rsidR="00550FF9" w:rsidRPr="00F07B06" w:rsidRDefault="00550FF9" w:rsidP="00FE6528">
      <w:pPr>
        <w:pStyle w:val="Heading3Annex"/>
      </w:pPr>
      <w:bookmarkStart w:id="36" w:name="_Toc178069509"/>
      <w:r w:rsidRPr="00F07B06">
        <w:t>Definition</w:t>
      </w:r>
      <w:bookmarkEnd w:id="36"/>
    </w:p>
    <w:p w14:paraId="1F8A0C4B" w14:textId="77777777" w:rsidR="00550FF9" w:rsidRPr="00F07B06" w:rsidRDefault="00550FF9" w:rsidP="00550FF9">
      <w:pPr>
        <w:rPr>
          <w:u w:val="single"/>
          <w:lang w:eastAsia="fr-FR"/>
        </w:rPr>
      </w:pPr>
    </w:p>
    <w:p w14:paraId="0E065C29" w14:textId="52B922F2" w:rsidR="00550FF9" w:rsidRPr="00F07B06" w:rsidRDefault="00E75B60" w:rsidP="00550FF9">
      <w:pPr>
        <w:rPr>
          <w:lang w:eastAsia="fr-FR"/>
        </w:rPr>
      </w:pPr>
      <w:r>
        <w:fldChar w:fldCharType="begin"/>
      </w:r>
      <w:r>
        <w:instrText xml:space="preserve"> LISTNUM  LegalDefault \l 1 </w:instrText>
      </w:r>
      <w:r>
        <w:fldChar w:fldCharType="end">
          <w:numberingChange w:id="37" w:author="SANCHEZ VIZCAINO GOMEZ Rosa Maria" w:date="2024-09-23T14:37:00Z" w16du:dateUtc="2024-09-23T12:37:00Z" w:original="4."/>
        </w:fldChar>
      </w:r>
      <w:r w:rsidR="00550FF9" w:rsidRPr="00F07B06">
        <w:rPr>
          <w:lang w:eastAsia="fr-FR"/>
        </w:rPr>
        <w:tab/>
        <w:t xml:space="preserve">Correlation between the genotype and the phenotype, </w:t>
      </w:r>
      <w:r w:rsidR="00550FF9" w:rsidRPr="00F07B06">
        <w:rPr>
          <w:i/>
          <w:iCs/>
          <w:lang w:eastAsia="fr-FR"/>
        </w:rPr>
        <w:t xml:space="preserve">i.e. </w:t>
      </w:r>
      <w:r w:rsidR="00550FF9" w:rsidRPr="00F07B06">
        <w:rPr>
          <w:lang w:eastAsia="fr-FR"/>
        </w:rPr>
        <w:t>reliability of the link between the marker and the characteristic.</w:t>
      </w:r>
    </w:p>
    <w:p w14:paraId="250A4C3D" w14:textId="77777777" w:rsidR="00550FF9" w:rsidRPr="00F07B06" w:rsidRDefault="00550FF9" w:rsidP="00550FF9">
      <w:pPr>
        <w:rPr>
          <w:lang w:eastAsia="fr-FR"/>
        </w:rPr>
      </w:pPr>
    </w:p>
    <w:p w14:paraId="171B949B" w14:textId="77777777" w:rsidR="00550FF9" w:rsidRPr="00F07B06" w:rsidRDefault="00550FF9" w:rsidP="00FE6528">
      <w:pPr>
        <w:pStyle w:val="Heading3Annex"/>
      </w:pPr>
      <w:bookmarkStart w:id="38" w:name="_Toc178069510"/>
      <w:r w:rsidRPr="00F07B06">
        <w:t>Requirement</w:t>
      </w:r>
      <w:bookmarkEnd w:id="38"/>
    </w:p>
    <w:p w14:paraId="1820CCFC" w14:textId="77777777" w:rsidR="00550FF9" w:rsidRPr="00F07B06" w:rsidRDefault="00550FF9" w:rsidP="00550FF9">
      <w:pPr>
        <w:rPr>
          <w:u w:val="single"/>
          <w:lang w:eastAsia="fr-FR"/>
        </w:rPr>
      </w:pPr>
    </w:p>
    <w:p w14:paraId="3D64AEBF" w14:textId="03419D7B" w:rsidR="00550FF9" w:rsidRPr="00F07B06" w:rsidRDefault="00E75B60" w:rsidP="00550FF9">
      <w:pPr>
        <w:rPr>
          <w:lang w:eastAsia="fr-FR"/>
        </w:rPr>
      </w:pPr>
      <w:r>
        <w:fldChar w:fldCharType="begin"/>
      </w:r>
      <w:r>
        <w:instrText xml:space="preserve"> LISTNUM  LegalDefault \l 1 </w:instrText>
      </w:r>
      <w:r>
        <w:fldChar w:fldCharType="end">
          <w:numberingChange w:id="39" w:author="SANCHEZ VIZCAINO GOMEZ Rosa Maria" w:date="2024-09-23T14:37:00Z" w16du:dateUtc="2024-09-23T12:37:00Z" w:original="5."/>
        </w:fldChar>
      </w:r>
      <w:r w:rsidR="00550FF9" w:rsidRPr="00F07B06">
        <w:rPr>
          <w:lang w:eastAsia="fr-FR"/>
        </w:rPr>
        <w:tab/>
        <w:t>In principle 100% of correlation between the genotype and the phenotype. If the correlation is less than 100% a follow-up test(s) should be performed to ensure the reliability of the results. A decision rule can be used in that case. Less than 100% correlation can be caused by other genetics. It can also suggest that the non-correlation is caused not by the marker but by external factors in the phenotypical observations (</w:t>
      </w:r>
      <w:r w:rsidR="00550FF9" w:rsidRPr="00F07B06">
        <w:rPr>
          <w:i/>
          <w:lang w:eastAsia="fr-FR"/>
        </w:rPr>
        <w:t>e.g.</w:t>
      </w:r>
      <w:r w:rsidR="00550FF9" w:rsidRPr="00F07B06">
        <w:rPr>
          <w:lang w:eastAsia="fr-FR"/>
        </w:rPr>
        <w:t xml:space="preserve"> biotest for a disease resistance).  </w:t>
      </w:r>
    </w:p>
    <w:p w14:paraId="5A90AF00" w14:textId="77777777" w:rsidR="00550FF9" w:rsidRPr="00F07B06" w:rsidRDefault="00550FF9" w:rsidP="00550FF9">
      <w:pPr>
        <w:rPr>
          <w:lang w:eastAsia="fr-FR"/>
        </w:rPr>
      </w:pPr>
    </w:p>
    <w:p w14:paraId="7B967620" w14:textId="77777777" w:rsidR="00550FF9" w:rsidRPr="00F07B06" w:rsidRDefault="00550FF9" w:rsidP="00FE6528">
      <w:pPr>
        <w:pStyle w:val="Heading2Annex"/>
      </w:pPr>
      <w:bookmarkStart w:id="40" w:name="_Toc178069511"/>
      <w:r w:rsidRPr="00F07B06">
        <w:t>How to evaluate it</w:t>
      </w:r>
      <w:bookmarkEnd w:id="40"/>
    </w:p>
    <w:p w14:paraId="563EB5BD" w14:textId="77777777" w:rsidR="00550FF9" w:rsidRPr="00F07B06" w:rsidRDefault="00550FF9" w:rsidP="00550FF9">
      <w:pPr>
        <w:rPr>
          <w:u w:val="single"/>
          <w:lang w:eastAsia="fr-FR"/>
        </w:rPr>
      </w:pPr>
    </w:p>
    <w:p w14:paraId="3ECF0746" w14:textId="10FFEF9A" w:rsidR="00550FF9" w:rsidRPr="00F07B06" w:rsidRDefault="00E75B60" w:rsidP="00550FF9">
      <w:pPr>
        <w:rPr>
          <w:lang w:eastAsia="fr-FR"/>
        </w:rPr>
      </w:pPr>
      <w:r>
        <w:fldChar w:fldCharType="begin"/>
      </w:r>
      <w:r>
        <w:instrText xml:space="preserve"> LISTNUM  LegalDefault \l 1 </w:instrText>
      </w:r>
      <w:r>
        <w:fldChar w:fldCharType="end">
          <w:numberingChange w:id="41" w:author="SANCHEZ VIZCAINO GOMEZ Rosa Maria" w:date="2024-09-23T14:37:00Z" w16du:dateUtc="2024-09-23T12:37:00Z" w:original="6."/>
        </w:fldChar>
      </w:r>
      <w:r w:rsidR="00550FF9" w:rsidRPr="00F07B06">
        <w:rPr>
          <w:lang w:eastAsia="fr-FR"/>
        </w:rPr>
        <w:tab/>
        <w:t>Number of varieties: “</w:t>
      </w:r>
      <w:r w:rsidR="00550FF9" w:rsidRPr="00F07B06">
        <w:rPr>
          <w:i/>
          <w:iCs/>
          <w:highlight w:val="yellow"/>
          <w:lang w:eastAsia="fr-FR"/>
        </w:rPr>
        <w:t>To start the marker selection process an appropriate number of varieties (development set) is needed to reflect at the most the diversity observed within the group/crop/species/type for which the markers are intended to be discriminative</w:t>
      </w:r>
      <w:r w:rsidR="00550FF9" w:rsidRPr="00F07B06">
        <w:rPr>
          <w:highlight w:val="yellow"/>
          <w:lang w:eastAsia="fr-FR"/>
        </w:rPr>
        <w:t>.</w:t>
      </w:r>
      <w:r w:rsidR="00550FF9" w:rsidRPr="00F07B06">
        <w:rPr>
          <w:lang w:eastAsia="fr-FR"/>
        </w:rPr>
        <w:t xml:space="preserve">” </w:t>
      </w:r>
    </w:p>
    <w:p w14:paraId="2756ECB0" w14:textId="77777777" w:rsidR="00550FF9" w:rsidRPr="00F07B06" w:rsidRDefault="00550FF9" w:rsidP="00550FF9">
      <w:pPr>
        <w:rPr>
          <w:lang w:eastAsia="fr-FR"/>
        </w:rPr>
      </w:pPr>
    </w:p>
    <w:p w14:paraId="4CC2D0C3" w14:textId="48C65EC6" w:rsidR="00550FF9" w:rsidRPr="00F07B06" w:rsidRDefault="00E75B60" w:rsidP="00550FF9">
      <w:pPr>
        <w:keepLines/>
        <w:rPr>
          <w:lang w:eastAsia="fr-FR"/>
        </w:rPr>
      </w:pPr>
      <w:r>
        <w:fldChar w:fldCharType="begin"/>
      </w:r>
      <w:r>
        <w:instrText xml:space="preserve"> LISTNUM  LegalDefault \l 1 </w:instrText>
      </w:r>
      <w:r>
        <w:fldChar w:fldCharType="end">
          <w:numberingChange w:id="42" w:author="SANCHEZ VIZCAINO GOMEZ Rosa Maria" w:date="2024-09-23T14:37:00Z" w16du:dateUtc="2024-09-23T12:37:00Z" w:original="7."/>
        </w:fldChar>
      </w:r>
      <w:r w:rsidR="00550FF9" w:rsidRPr="00F07B06">
        <w:rPr>
          <w:lang w:eastAsia="fr-FR"/>
        </w:rPr>
        <w:tab/>
        <w:t>Varieties should represent the different states of expression (if known varieties with heterozygous and homozygous state), coming from different seed companies, with different genetic background of the characteristic and different types. Well phenotypically characterized varieties for the trait of interest should be used when available.</w:t>
      </w:r>
    </w:p>
    <w:p w14:paraId="68CFA4DA" w14:textId="77777777" w:rsidR="00550FF9" w:rsidRPr="00F07B06" w:rsidRDefault="00550FF9" w:rsidP="00550FF9">
      <w:pPr>
        <w:rPr>
          <w:lang w:eastAsia="fr-FR"/>
        </w:rPr>
      </w:pPr>
    </w:p>
    <w:p w14:paraId="00F41B23" w14:textId="1E5E285F" w:rsidR="00550FF9" w:rsidRPr="00F07B06" w:rsidRDefault="00E75B60" w:rsidP="00550FF9">
      <w:pPr>
        <w:rPr>
          <w:lang w:eastAsia="fr-FR"/>
        </w:rPr>
      </w:pPr>
      <w:r>
        <w:fldChar w:fldCharType="begin"/>
      </w:r>
      <w:r>
        <w:instrText xml:space="preserve"> LISTNUM  LegalDefault \l 1 </w:instrText>
      </w:r>
      <w:r>
        <w:fldChar w:fldCharType="end">
          <w:numberingChange w:id="43" w:author="SANCHEZ VIZCAINO GOMEZ Rosa Maria" w:date="2024-09-23T14:37:00Z" w16du:dateUtc="2024-09-23T12:37:00Z" w:original="8."/>
        </w:fldChar>
      </w:r>
      <w:r w:rsidR="00550FF9" w:rsidRPr="00F07B06">
        <w:rPr>
          <w:lang w:eastAsia="fr-FR"/>
        </w:rPr>
        <w:tab/>
        <w:t>Number of plants per variety: At least one plant per variety if there is available well phenotypically characterized varieties. If not, the number of plants must be the same as for the morphological observation described in the UPOV guideline.</w:t>
      </w:r>
    </w:p>
    <w:p w14:paraId="2FC1BC52" w14:textId="77777777" w:rsidR="00550FF9" w:rsidRPr="00F07B06" w:rsidRDefault="00550FF9" w:rsidP="00550FF9">
      <w:pPr>
        <w:rPr>
          <w:lang w:eastAsia="fr-FR"/>
        </w:rPr>
      </w:pPr>
    </w:p>
    <w:p w14:paraId="36626EE2" w14:textId="4E5239F9" w:rsidR="00550FF9" w:rsidRPr="00F07B06" w:rsidRDefault="00E75B60" w:rsidP="00550FF9">
      <w:pPr>
        <w:rPr>
          <w:lang w:eastAsia="fr-FR"/>
        </w:rPr>
      </w:pPr>
      <w:r>
        <w:fldChar w:fldCharType="begin"/>
      </w:r>
      <w:r>
        <w:instrText xml:space="preserve"> LISTNUM  LegalDefault \l 1 </w:instrText>
      </w:r>
      <w:r>
        <w:fldChar w:fldCharType="end">
          <w:numberingChange w:id="44" w:author="SANCHEZ VIZCAINO GOMEZ Rosa Maria" w:date="2024-09-23T14:37:00Z" w16du:dateUtc="2024-09-23T12:37:00Z" w:original="9."/>
        </w:fldChar>
      </w:r>
      <w:r w:rsidR="00550FF9" w:rsidRPr="00F07B06">
        <w:rPr>
          <w:lang w:eastAsia="fr-FR"/>
        </w:rPr>
        <w:tab/>
        <w:t>The specificity can be assessed within one laboratory.</w:t>
      </w:r>
    </w:p>
    <w:p w14:paraId="794491F4" w14:textId="77777777" w:rsidR="00550FF9" w:rsidRPr="00F07B06" w:rsidRDefault="00550FF9" w:rsidP="00550FF9">
      <w:pPr>
        <w:rPr>
          <w:lang w:eastAsia="fr-FR"/>
        </w:rPr>
      </w:pPr>
    </w:p>
    <w:p w14:paraId="56A0287D" w14:textId="77777777" w:rsidR="00550FF9" w:rsidRPr="00F07B06" w:rsidRDefault="00550FF9" w:rsidP="00FE6528">
      <w:pPr>
        <w:pStyle w:val="Heading2Annex"/>
      </w:pPr>
      <w:bookmarkStart w:id="45" w:name="_Toc178069512"/>
      <w:r w:rsidRPr="00F07B06">
        <w:t>Sensitivity and limit of detection</w:t>
      </w:r>
      <w:bookmarkEnd w:id="45"/>
    </w:p>
    <w:p w14:paraId="593E1E26" w14:textId="77777777" w:rsidR="00550FF9" w:rsidRPr="00F07B06" w:rsidRDefault="00550FF9" w:rsidP="00550FF9">
      <w:pPr>
        <w:rPr>
          <w:lang w:eastAsia="fr-FR"/>
        </w:rPr>
      </w:pPr>
    </w:p>
    <w:p w14:paraId="3F17705F" w14:textId="77777777" w:rsidR="00550FF9" w:rsidRPr="00F07B06" w:rsidRDefault="00550FF9" w:rsidP="00FE6528">
      <w:pPr>
        <w:pStyle w:val="Heading3Annex"/>
      </w:pPr>
      <w:bookmarkStart w:id="46" w:name="_Toc178069513"/>
      <w:r w:rsidRPr="00F07B06">
        <w:t>Definition</w:t>
      </w:r>
      <w:bookmarkEnd w:id="46"/>
    </w:p>
    <w:p w14:paraId="013EBAD1" w14:textId="77777777" w:rsidR="00550FF9" w:rsidRPr="00F07B06" w:rsidRDefault="00550FF9" w:rsidP="00550FF9">
      <w:pPr>
        <w:rPr>
          <w:u w:val="single"/>
          <w:lang w:eastAsia="fr-FR"/>
        </w:rPr>
      </w:pPr>
    </w:p>
    <w:p w14:paraId="5E919048" w14:textId="22892C5D" w:rsidR="00550FF9" w:rsidRPr="00F07B06" w:rsidRDefault="00E75B60" w:rsidP="00550FF9">
      <w:pPr>
        <w:rPr>
          <w:lang w:eastAsia="fr-FR"/>
        </w:rPr>
      </w:pPr>
      <w:r>
        <w:fldChar w:fldCharType="begin"/>
      </w:r>
      <w:r>
        <w:instrText xml:space="preserve"> LISTNUM  LegalDefault \l 1 </w:instrText>
      </w:r>
      <w:r>
        <w:fldChar w:fldCharType="end">
          <w:numberingChange w:id="47" w:author="SANCHEZ VIZCAINO GOMEZ Rosa Maria" w:date="2024-09-23T14:37:00Z" w16du:dateUtc="2024-09-23T12:37:00Z" w:original="10."/>
        </w:fldChar>
      </w:r>
      <w:r w:rsidR="00550FF9" w:rsidRPr="00F07B06">
        <w:rPr>
          <w:lang w:eastAsia="fr-FR"/>
        </w:rPr>
        <w:tab/>
        <w:t>The limit of detection is defined as the minimal quantity of the target that can be reliably detected.</w:t>
      </w:r>
    </w:p>
    <w:p w14:paraId="11590861" w14:textId="77777777" w:rsidR="00550FF9" w:rsidRPr="00F07B06" w:rsidRDefault="00550FF9" w:rsidP="00550FF9">
      <w:pPr>
        <w:rPr>
          <w:lang w:eastAsia="fr-FR"/>
        </w:rPr>
      </w:pPr>
    </w:p>
    <w:p w14:paraId="1FA33799" w14:textId="105EE139" w:rsidR="00550FF9" w:rsidRPr="00F07B06" w:rsidRDefault="00E75B60" w:rsidP="00550FF9">
      <w:pPr>
        <w:rPr>
          <w:lang w:eastAsia="fr-FR"/>
        </w:rPr>
      </w:pPr>
      <w:r>
        <w:fldChar w:fldCharType="begin"/>
      </w:r>
      <w:r>
        <w:instrText xml:space="preserve"> LISTNUM  LegalDefault \l 1 </w:instrText>
      </w:r>
      <w:r>
        <w:fldChar w:fldCharType="end">
          <w:numberingChange w:id="48" w:author="SANCHEZ VIZCAINO GOMEZ Rosa Maria" w:date="2024-09-23T14:37:00Z" w16du:dateUtc="2024-09-23T12:37:00Z" w:original="11."/>
        </w:fldChar>
      </w:r>
      <w:r w:rsidR="00550FF9" w:rsidRPr="00F07B06">
        <w:rPr>
          <w:lang w:eastAsia="fr-FR"/>
        </w:rPr>
        <w:tab/>
        <w:t>In case of analyses performed on bulk samples (</w:t>
      </w:r>
      <w:r w:rsidR="00550FF9" w:rsidRPr="00F07B06">
        <w:rPr>
          <w:i/>
          <w:iCs/>
          <w:lang w:eastAsia="fr-FR"/>
        </w:rPr>
        <w:t>e.g.</w:t>
      </w:r>
      <w:r w:rsidR="00550FF9" w:rsidRPr="00F07B06">
        <w:rPr>
          <w:lang w:eastAsia="fr-FR"/>
        </w:rPr>
        <w:t xml:space="preserve"> pool of different plants of the same variety) the sensitivity is critical and must be assessed. For the use on individual plants, the quantity of the target is not critical and this performance criterium is optional.</w:t>
      </w:r>
    </w:p>
    <w:p w14:paraId="5398B190" w14:textId="77777777" w:rsidR="00550FF9" w:rsidRPr="00F07B06" w:rsidRDefault="00550FF9" w:rsidP="00550FF9">
      <w:pPr>
        <w:rPr>
          <w:lang w:eastAsia="fr-FR"/>
        </w:rPr>
      </w:pPr>
    </w:p>
    <w:p w14:paraId="23E0B802" w14:textId="77777777" w:rsidR="00550FF9" w:rsidRPr="00F07B06" w:rsidRDefault="00550FF9" w:rsidP="00FE6528">
      <w:pPr>
        <w:pStyle w:val="Heading3Annex"/>
      </w:pPr>
      <w:bookmarkStart w:id="49" w:name="_Toc178069514"/>
      <w:r w:rsidRPr="00F07B06">
        <w:t>Requirement</w:t>
      </w:r>
      <w:bookmarkEnd w:id="49"/>
    </w:p>
    <w:p w14:paraId="7EFFDE45" w14:textId="77777777" w:rsidR="00550FF9" w:rsidRPr="00F07B06" w:rsidRDefault="00550FF9" w:rsidP="00550FF9">
      <w:pPr>
        <w:rPr>
          <w:lang w:eastAsia="fr-FR"/>
        </w:rPr>
      </w:pPr>
    </w:p>
    <w:p w14:paraId="38FEEA16" w14:textId="682A5D98" w:rsidR="00550FF9" w:rsidRPr="00F07B06" w:rsidRDefault="00E75B60" w:rsidP="00550FF9">
      <w:pPr>
        <w:rPr>
          <w:lang w:eastAsia="fr-FR"/>
        </w:rPr>
      </w:pPr>
      <w:r>
        <w:fldChar w:fldCharType="begin"/>
      </w:r>
      <w:r>
        <w:instrText xml:space="preserve"> LISTNUM  LegalDefault \l 1 </w:instrText>
      </w:r>
      <w:r>
        <w:fldChar w:fldCharType="end">
          <w:numberingChange w:id="50" w:author="SANCHEZ VIZCAINO GOMEZ Rosa Maria" w:date="2024-09-23T14:37:00Z" w16du:dateUtc="2024-09-23T12:37:00Z" w:original="12."/>
        </w:fldChar>
      </w:r>
      <w:r w:rsidR="00550FF9" w:rsidRPr="00F07B06">
        <w:rPr>
          <w:lang w:eastAsia="fr-FR"/>
        </w:rPr>
        <w:tab/>
        <w:t>In the case of the pool, the requirement would be to detect at least one off-type in the pool.</w:t>
      </w:r>
    </w:p>
    <w:p w14:paraId="266732EC" w14:textId="77777777" w:rsidR="00550FF9" w:rsidRPr="00F07B06" w:rsidRDefault="00550FF9" w:rsidP="00550FF9">
      <w:pPr>
        <w:rPr>
          <w:lang w:eastAsia="fr-FR"/>
        </w:rPr>
      </w:pPr>
    </w:p>
    <w:p w14:paraId="601954E9" w14:textId="77777777" w:rsidR="00550FF9" w:rsidRPr="00F07B06" w:rsidRDefault="00550FF9" w:rsidP="00550FF9">
      <w:pPr>
        <w:keepNext/>
        <w:outlineLvl w:val="2"/>
        <w:rPr>
          <w:i/>
          <w:lang w:eastAsia="fr-FR"/>
        </w:rPr>
      </w:pPr>
      <w:r w:rsidRPr="00F07B06">
        <w:rPr>
          <w:i/>
          <w:lang w:eastAsia="fr-FR"/>
        </w:rPr>
        <w:t>How to evaluate it?</w:t>
      </w:r>
    </w:p>
    <w:p w14:paraId="46DB4BEE" w14:textId="77777777" w:rsidR="00550FF9" w:rsidRPr="00F07B06" w:rsidRDefault="00550FF9" w:rsidP="00550FF9">
      <w:pPr>
        <w:rPr>
          <w:lang w:eastAsia="fr-FR"/>
        </w:rPr>
      </w:pPr>
    </w:p>
    <w:p w14:paraId="65FCC8C5" w14:textId="17A4560D" w:rsidR="00550FF9" w:rsidRPr="00F07B06" w:rsidRDefault="00E75B60" w:rsidP="00550FF9">
      <w:pPr>
        <w:rPr>
          <w:lang w:eastAsia="fr-FR"/>
        </w:rPr>
      </w:pPr>
      <w:r>
        <w:fldChar w:fldCharType="begin"/>
      </w:r>
      <w:r>
        <w:instrText xml:space="preserve"> LISTNUM  LegalDefault \l 1 </w:instrText>
      </w:r>
      <w:r>
        <w:fldChar w:fldCharType="end">
          <w:numberingChange w:id="51" w:author="SANCHEZ VIZCAINO GOMEZ Rosa Maria" w:date="2024-09-23T14:37:00Z" w16du:dateUtc="2024-09-23T12:37:00Z" w:original="13."/>
        </w:fldChar>
      </w:r>
      <w:r w:rsidR="00550FF9" w:rsidRPr="00F07B06">
        <w:rPr>
          <w:lang w:eastAsia="fr-FR"/>
        </w:rPr>
        <w:tab/>
        <w:t xml:space="preserve">To use artificial samples by mixing one off-type to a pool to check the sensitivity of the detection. </w:t>
      </w:r>
    </w:p>
    <w:p w14:paraId="2DAF0935" w14:textId="77777777" w:rsidR="00550FF9" w:rsidRPr="00F07B06" w:rsidRDefault="00550FF9" w:rsidP="00550FF9">
      <w:pPr>
        <w:rPr>
          <w:lang w:eastAsia="fr-FR"/>
        </w:rPr>
      </w:pPr>
    </w:p>
    <w:p w14:paraId="2F00EF5A" w14:textId="77777777" w:rsidR="00550FF9" w:rsidRPr="00F07B06" w:rsidRDefault="00550FF9" w:rsidP="00FE6528">
      <w:pPr>
        <w:pStyle w:val="Heading2Annex"/>
      </w:pPr>
      <w:bookmarkStart w:id="52" w:name="_Toc178069515"/>
      <w:r w:rsidRPr="00F07B06">
        <w:t>Repeatability</w:t>
      </w:r>
      <w:bookmarkEnd w:id="52"/>
    </w:p>
    <w:p w14:paraId="51EB12E8" w14:textId="77777777" w:rsidR="00550FF9" w:rsidRPr="00F07B06" w:rsidRDefault="00550FF9" w:rsidP="00550FF9">
      <w:pPr>
        <w:keepNext/>
        <w:rPr>
          <w:lang w:eastAsia="fr-FR"/>
        </w:rPr>
      </w:pPr>
    </w:p>
    <w:p w14:paraId="4241257F" w14:textId="77777777" w:rsidR="00550FF9" w:rsidRPr="00F07B06" w:rsidRDefault="00550FF9" w:rsidP="00FE6528">
      <w:pPr>
        <w:pStyle w:val="Heading3Annex"/>
      </w:pPr>
      <w:bookmarkStart w:id="53" w:name="_Toc178069516"/>
      <w:r w:rsidRPr="00F07B06">
        <w:t xml:space="preserve">Definition </w:t>
      </w:r>
      <w:r w:rsidRPr="00F07B06">
        <w:rPr>
          <w:highlight w:val="yellow"/>
        </w:rPr>
        <w:t>(based on ISO 16 577:2016)</w:t>
      </w:r>
      <w:bookmarkEnd w:id="53"/>
    </w:p>
    <w:p w14:paraId="58486375" w14:textId="77777777" w:rsidR="00550FF9" w:rsidRPr="00F07B06" w:rsidRDefault="00550FF9" w:rsidP="00550FF9">
      <w:pPr>
        <w:rPr>
          <w:highlight w:val="yellow"/>
          <w:lang w:eastAsia="fr-FR"/>
        </w:rPr>
      </w:pPr>
    </w:p>
    <w:p w14:paraId="6C1C760A" w14:textId="0DAA8070" w:rsidR="00550FF9" w:rsidRPr="00F07B06" w:rsidRDefault="00E75B60" w:rsidP="00550FF9">
      <w:pPr>
        <w:rPr>
          <w:lang w:eastAsia="fr-FR"/>
        </w:rPr>
      </w:pPr>
      <w:r>
        <w:fldChar w:fldCharType="begin"/>
      </w:r>
      <w:r>
        <w:instrText xml:space="preserve"> LISTNUM  LegalDefault \l 1 </w:instrText>
      </w:r>
      <w:r>
        <w:fldChar w:fldCharType="end">
          <w:numberingChange w:id="54" w:author="SANCHEZ VIZCAINO GOMEZ Rosa Maria" w:date="2024-09-23T14:37:00Z" w16du:dateUtc="2024-09-23T12:37:00Z" w:original="14."/>
        </w:fldChar>
      </w:r>
      <w:r w:rsidR="00550FF9" w:rsidRPr="00F07B06">
        <w:rPr>
          <w:lang w:eastAsia="fr-FR"/>
        </w:rPr>
        <w:tab/>
        <w:t>“</w:t>
      </w:r>
      <w:r w:rsidR="00550FF9" w:rsidRPr="00F07B06">
        <w:rPr>
          <w:i/>
          <w:iCs/>
          <w:highlight w:val="yellow"/>
          <w:lang w:eastAsia="fr-FR"/>
        </w:rPr>
        <w:t>Repeatability;</w:t>
      </w:r>
      <w:r w:rsidR="00550FF9" w:rsidRPr="00F07B06" w:rsidDel="00102729">
        <w:rPr>
          <w:i/>
          <w:iCs/>
          <w:highlight w:val="yellow"/>
          <w:lang w:eastAsia="fr-FR"/>
        </w:rPr>
        <w:t xml:space="preserve"> </w:t>
      </w:r>
      <w:r w:rsidR="00550FF9" w:rsidRPr="00F07B06">
        <w:rPr>
          <w:i/>
          <w:iCs/>
          <w:highlight w:val="yellow"/>
          <w:lang w:eastAsia="fr-FR"/>
        </w:rPr>
        <w:t>where identical test results are obtained with the same method, on identical test items, in the same laboratory, by the same operator, using the same equipment within short intervals of time.</w:t>
      </w:r>
      <w:r w:rsidR="00550FF9" w:rsidRPr="00F07B06">
        <w:rPr>
          <w:i/>
          <w:iCs/>
          <w:lang w:eastAsia="fr-FR"/>
        </w:rPr>
        <w:t>”</w:t>
      </w:r>
    </w:p>
    <w:p w14:paraId="1AE9451D" w14:textId="77777777" w:rsidR="00550FF9" w:rsidRPr="00F07B06" w:rsidRDefault="00550FF9" w:rsidP="00550FF9">
      <w:pPr>
        <w:rPr>
          <w:lang w:eastAsia="fr-FR"/>
        </w:rPr>
      </w:pPr>
    </w:p>
    <w:p w14:paraId="020D172C" w14:textId="3298658E" w:rsidR="00550FF9" w:rsidRPr="00F07B06" w:rsidRDefault="00E75B60" w:rsidP="00550FF9">
      <w:pPr>
        <w:rPr>
          <w:lang w:eastAsia="fr-FR"/>
        </w:rPr>
      </w:pPr>
      <w:r>
        <w:fldChar w:fldCharType="begin"/>
      </w:r>
      <w:r>
        <w:instrText xml:space="preserve"> LISTNUM  LegalDefault \l 1 </w:instrText>
      </w:r>
      <w:r>
        <w:fldChar w:fldCharType="end">
          <w:numberingChange w:id="55" w:author="SANCHEZ VIZCAINO GOMEZ Rosa Maria" w:date="2024-09-23T14:37:00Z" w16du:dateUtc="2024-09-23T12:37:00Z" w:original="15."/>
        </w:fldChar>
      </w:r>
      <w:r w:rsidR="00550FF9" w:rsidRPr="00F07B06">
        <w:rPr>
          <w:lang w:eastAsia="fr-FR"/>
        </w:rPr>
        <w:tab/>
        <w:t xml:space="preserve">For qualitative methods, accordance is equivalent to the repeatability of quantitative methods (Langton </w:t>
      </w:r>
      <w:r w:rsidR="00550FF9" w:rsidRPr="00F07B06">
        <w:rPr>
          <w:i/>
          <w:iCs/>
          <w:lang w:eastAsia="fr-FR"/>
        </w:rPr>
        <w:t>et al</w:t>
      </w:r>
      <w:r w:rsidR="00550FF9" w:rsidRPr="00F07B06">
        <w:rPr>
          <w:lang w:eastAsia="fr-FR"/>
        </w:rPr>
        <w:t>., 2002).</w:t>
      </w:r>
    </w:p>
    <w:p w14:paraId="4B3E97D9" w14:textId="77777777" w:rsidR="00550FF9" w:rsidRPr="00F07B06" w:rsidRDefault="00550FF9" w:rsidP="00550FF9">
      <w:pPr>
        <w:rPr>
          <w:u w:val="single"/>
          <w:lang w:eastAsia="fr-FR"/>
        </w:rPr>
      </w:pPr>
    </w:p>
    <w:p w14:paraId="3B5447C3" w14:textId="77777777" w:rsidR="00550FF9" w:rsidRPr="00F07B06" w:rsidRDefault="00550FF9" w:rsidP="00FE6528">
      <w:pPr>
        <w:pStyle w:val="Heading3Annex"/>
      </w:pPr>
      <w:bookmarkStart w:id="56" w:name="_Toc178069517"/>
      <w:r w:rsidRPr="00F07B06">
        <w:t>Requirement</w:t>
      </w:r>
      <w:bookmarkEnd w:id="56"/>
    </w:p>
    <w:p w14:paraId="2B51CBD9" w14:textId="77777777" w:rsidR="00550FF9" w:rsidRPr="00F07B06" w:rsidRDefault="00550FF9" w:rsidP="00550FF9">
      <w:pPr>
        <w:rPr>
          <w:lang w:eastAsia="fr-FR"/>
        </w:rPr>
      </w:pPr>
    </w:p>
    <w:p w14:paraId="7C060CA9" w14:textId="24903784" w:rsidR="00550FF9" w:rsidRPr="00F07B06" w:rsidRDefault="00E75B60" w:rsidP="00550FF9">
      <w:pPr>
        <w:rPr>
          <w:lang w:eastAsia="fr-FR"/>
        </w:rPr>
      </w:pPr>
      <w:r>
        <w:fldChar w:fldCharType="begin"/>
      </w:r>
      <w:r>
        <w:instrText xml:space="preserve"> LISTNUM  LegalDefault \l 1 </w:instrText>
      </w:r>
      <w:r>
        <w:fldChar w:fldCharType="end">
          <w:numberingChange w:id="57" w:author="SANCHEZ VIZCAINO GOMEZ Rosa Maria" w:date="2024-09-23T14:37:00Z" w16du:dateUtc="2024-09-23T12:37:00Z" w:original="16."/>
        </w:fldChar>
      </w:r>
      <w:r w:rsidR="00550FF9" w:rsidRPr="00F07B06">
        <w:rPr>
          <w:lang w:eastAsia="fr-FR"/>
        </w:rPr>
        <w:tab/>
        <w:t xml:space="preserve">Ideally 100%, a performance ≥90% is generally accepted. If the repeatability of the reference method is published the repeatability of the alternative method should be at least equivalent. </w:t>
      </w:r>
    </w:p>
    <w:p w14:paraId="0F209E84" w14:textId="77777777" w:rsidR="00550FF9" w:rsidRPr="00F07B06" w:rsidRDefault="00550FF9" w:rsidP="00550FF9">
      <w:pPr>
        <w:rPr>
          <w:lang w:eastAsia="fr-FR"/>
        </w:rPr>
      </w:pPr>
    </w:p>
    <w:p w14:paraId="716DEFD0" w14:textId="77777777" w:rsidR="00550FF9" w:rsidRPr="00F07B06" w:rsidRDefault="00550FF9" w:rsidP="00FE6528">
      <w:pPr>
        <w:pStyle w:val="Heading3Annex"/>
      </w:pPr>
      <w:bookmarkStart w:id="58" w:name="_Toc178069518"/>
      <w:r w:rsidRPr="00F07B06">
        <w:t>How to evaluate it?</w:t>
      </w:r>
      <w:bookmarkEnd w:id="58"/>
    </w:p>
    <w:p w14:paraId="2195F1CE" w14:textId="77777777" w:rsidR="00550FF9" w:rsidRPr="00F07B06" w:rsidRDefault="00550FF9" w:rsidP="00550FF9">
      <w:pPr>
        <w:rPr>
          <w:lang w:eastAsia="fr-FR"/>
        </w:rPr>
      </w:pPr>
    </w:p>
    <w:p w14:paraId="106A2D67" w14:textId="436D966C" w:rsidR="00550FF9" w:rsidRPr="00F07B06" w:rsidRDefault="00E75B60" w:rsidP="00550FF9">
      <w:pPr>
        <w:rPr>
          <w:lang w:eastAsia="fr-FR"/>
        </w:rPr>
      </w:pPr>
      <w:r>
        <w:fldChar w:fldCharType="begin"/>
      </w:r>
      <w:r>
        <w:instrText xml:space="preserve"> LISTNUM  LegalDefault \l 1 </w:instrText>
      </w:r>
      <w:r>
        <w:fldChar w:fldCharType="end">
          <w:numberingChange w:id="59" w:author="SANCHEZ VIZCAINO GOMEZ Rosa Maria" w:date="2024-09-23T14:37:00Z" w16du:dateUtc="2024-09-23T12:37:00Z" w:original="17."/>
        </w:fldChar>
      </w:r>
      <w:r w:rsidR="00550FF9" w:rsidRPr="00F07B06">
        <w:rPr>
          <w:lang w:eastAsia="fr-FR"/>
        </w:rPr>
        <w:tab/>
        <w:t>The repeatability can be evaluated within one laboratory.</w:t>
      </w:r>
    </w:p>
    <w:p w14:paraId="545C796C" w14:textId="77777777" w:rsidR="00550FF9" w:rsidRPr="00F07B06" w:rsidRDefault="00550FF9" w:rsidP="00550FF9">
      <w:pPr>
        <w:rPr>
          <w:lang w:eastAsia="fr-FR"/>
        </w:rPr>
      </w:pPr>
    </w:p>
    <w:p w14:paraId="7AAAF621" w14:textId="3E690134" w:rsidR="00550FF9" w:rsidRPr="00F07B06" w:rsidRDefault="00E75B60" w:rsidP="00550FF9">
      <w:pPr>
        <w:rPr>
          <w:lang w:eastAsia="fr-FR"/>
        </w:rPr>
      </w:pPr>
      <w:r>
        <w:fldChar w:fldCharType="begin"/>
      </w:r>
      <w:r>
        <w:instrText xml:space="preserve"> LISTNUM  LegalDefault \l 1 </w:instrText>
      </w:r>
      <w:r>
        <w:fldChar w:fldCharType="end">
          <w:numberingChange w:id="60" w:author="SANCHEZ VIZCAINO GOMEZ Rosa Maria" w:date="2024-09-23T14:37:00Z" w16du:dateUtc="2024-09-23T12:37:00Z" w:original="18."/>
        </w:fldChar>
      </w:r>
      <w:r w:rsidR="00550FF9" w:rsidRPr="00F07B06">
        <w:rPr>
          <w:lang w:eastAsia="fr-FR"/>
        </w:rPr>
        <w:tab/>
        <w:t>At least three technical replicates drawn from a same plant (three independent DNA extractions). To include at least all expected types of genotype.</w:t>
      </w:r>
    </w:p>
    <w:p w14:paraId="0BB13E49" w14:textId="77777777" w:rsidR="00550FF9" w:rsidRPr="00F07B06" w:rsidRDefault="00550FF9" w:rsidP="00550FF9">
      <w:pPr>
        <w:rPr>
          <w:lang w:eastAsia="fr-FR"/>
        </w:rPr>
      </w:pPr>
    </w:p>
    <w:p w14:paraId="29AF3862" w14:textId="77777777" w:rsidR="00550FF9" w:rsidRPr="00F07B06" w:rsidRDefault="00550FF9" w:rsidP="00FE6528">
      <w:pPr>
        <w:pStyle w:val="Heading2Annex"/>
      </w:pPr>
      <w:bookmarkStart w:id="61" w:name="_Toc178069519"/>
      <w:r w:rsidRPr="00F07B06">
        <w:t>Reproducibility</w:t>
      </w:r>
      <w:bookmarkEnd w:id="61"/>
    </w:p>
    <w:p w14:paraId="4212D47A" w14:textId="77777777" w:rsidR="00550FF9" w:rsidRPr="00F07B06" w:rsidRDefault="00550FF9" w:rsidP="00550FF9">
      <w:pPr>
        <w:rPr>
          <w:lang w:eastAsia="fr-FR"/>
        </w:rPr>
      </w:pPr>
    </w:p>
    <w:p w14:paraId="676E3418" w14:textId="77777777" w:rsidR="00550FF9" w:rsidRPr="00F07B06" w:rsidRDefault="00550FF9" w:rsidP="00FE6528">
      <w:pPr>
        <w:pStyle w:val="Heading3Annex"/>
      </w:pPr>
      <w:bookmarkStart w:id="62" w:name="_Toc178069520"/>
      <w:r w:rsidRPr="00F07B06">
        <w:t xml:space="preserve">Definition </w:t>
      </w:r>
      <w:r w:rsidRPr="00F07B06">
        <w:rPr>
          <w:highlight w:val="yellow"/>
        </w:rPr>
        <w:t>(based on ISO 16 577:2016)</w:t>
      </w:r>
      <w:bookmarkEnd w:id="62"/>
    </w:p>
    <w:p w14:paraId="09D16C84" w14:textId="77777777" w:rsidR="00550FF9" w:rsidRPr="00F07B06" w:rsidRDefault="00550FF9" w:rsidP="00550FF9">
      <w:pPr>
        <w:rPr>
          <w:highlight w:val="yellow"/>
          <w:lang w:eastAsia="fr-FR"/>
        </w:rPr>
      </w:pPr>
    </w:p>
    <w:p w14:paraId="423CB7BB" w14:textId="02AAB096" w:rsidR="00550FF9" w:rsidRPr="00F07B06" w:rsidRDefault="00E75B60" w:rsidP="00550FF9">
      <w:pPr>
        <w:rPr>
          <w:lang w:eastAsia="fr-FR"/>
        </w:rPr>
      </w:pPr>
      <w:r w:rsidRPr="00E75B60">
        <w:rPr>
          <w:highlight w:val="yellow"/>
        </w:rPr>
        <w:fldChar w:fldCharType="begin"/>
      </w:r>
      <w:r w:rsidRPr="00E75B60">
        <w:rPr>
          <w:highlight w:val="yellow"/>
        </w:rPr>
        <w:instrText xml:space="preserve"> LISTNUM  LegalDefault \l 1 </w:instrText>
      </w:r>
      <w:r w:rsidRPr="00E75B60">
        <w:rPr>
          <w:highlight w:val="yellow"/>
        </w:rPr>
        <w:fldChar w:fldCharType="end">
          <w:numberingChange w:id="63" w:author="SANCHEZ VIZCAINO GOMEZ Rosa Maria" w:date="2024-09-23T14:37:00Z" w16du:dateUtc="2024-09-23T12:37:00Z" w:original="19."/>
        </w:fldChar>
      </w:r>
      <w:r w:rsidR="00550FF9" w:rsidRPr="00F07B06">
        <w:rPr>
          <w:highlight w:val="yellow"/>
          <w:lang w:eastAsia="fr-FR"/>
        </w:rPr>
        <w:tab/>
        <w:t>“</w:t>
      </w:r>
      <w:r w:rsidR="00550FF9" w:rsidRPr="00F07B06">
        <w:rPr>
          <w:i/>
          <w:iCs/>
          <w:highlight w:val="yellow"/>
          <w:lang w:eastAsia="fr-FR"/>
        </w:rPr>
        <w:t>Reproducibility; where test results are obtained with the same method, on identical test items, within the same laboratory or between different laboratories, with different operators, using different equipment</w:t>
      </w:r>
      <w:r w:rsidR="00550FF9" w:rsidRPr="00F07B06">
        <w:rPr>
          <w:highlight w:val="yellow"/>
          <w:lang w:eastAsia="fr-FR"/>
        </w:rPr>
        <w:t xml:space="preserve">” </w:t>
      </w:r>
      <w:r w:rsidR="00550FF9" w:rsidRPr="00F07B06">
        <w:rPr>
          <w:lang w:eastAsia="fr-FR"/>
        </w:rPr>
        <w:t>at different times.</w:t>
      </w:r>
    </w:p>
    <w:p w14:paraId="2E61481E" w14:textId="77777777" w:rsidR="00550FF9" w:rsidRPr="00F07B06" w:rsidRDefault="00550FF9" w:rsidP="00550FF9">
      <w:pPr>
        <w:rPr>
          <w:lang w:eastAsia="fr-FR"/>
        </w:rPr>
      </w:pPr>
    </w:p>
    <w:p w14:paraId="65186FCD" w14:textId="32435E3F" w:rsidR="00550FF9" w:rsidRPr="00F07B06" w:rsidRDefault="00E75B60" w:rsidP="00550FF9">
      <w:pPr>
        <w:rPr>
          <w:lang w:eastAsia="fr-FR"/>
        </w:rPr>
      </w:pPr>
      <w:r>
        <w:fldChar w:fldCharType="begin"/>
      </w:r>
      <w:r>
        <w:instrText xml:space="preserve"> LISTNUM  LegalDefault \l 1 </w:instrText>
      </w:r>
      <w:r>
        <w:fldChar w:fldCharType="end">
          <w:numberingChange w:id="64" w:author="SANCHEZ VIZCAINO GOMEZ Rosa Maria" w:date="2024-09-23T14:37:00Z" w16du:dateUtc="2024-09-23T12:37:00Z" w:original="20."/>
        </w:fldChar>
      </w:r>
      <w:r w:rsidR="00550FF9" w:rsidRPr="00F07B06">
        <w:rPr>
          <w:lang w:eastAsia="fr-FR"/>
        </w:rPr>
        <w:tab/>
        <w:t xml:space="preserve">For qualitative methods, concordance is equivalent to the reproducibility of quantitative methods (Langton </w:t>
      </w:r>
      <w:r w:rsidR="00550FF9" w:rsidRPr="00F07B06">
        <w:rPr>
          <w:i/>
          <w:iCs/>
          <w:lang w:eastAsia="fr-FR"/>
        </w:rPr>
        <w:t>et al</w:t>
      </w:r>
      <w:r w:rsidR="00550FF9" w:rsidRPr="00F07B06">
        <w:rPr>
          <w:lang w:eastAsia="fr-FR"/>
        </w:rPr>
        <w:t>., 2002).</w:t>
      </w:r>
    </w:p>
    <w:p w14:paraId="7586018F" w14:textId="77777777" w:rsidR="00550FF9" w:rsidRPr="00F07B06" w:rsidRDefault="00550FF9" w:rsidP="00550FF9">
      <w:pPr>
        <w:rPr>
          <w:u w:val="single"/>
          <w:lang w:eastAsia="fr-FR"/>
        </w:rPr>
      </w:pPr>
    </w:p>
    <w:p w14:paraId="30F6AEFB" w14:textId="77777777" w:rsidR="00550FF9" w:rsidRPr="00F07B06" w:rsidRDefault="00550FF9" w:rsidP="00FE6528">
      <w:pPr>
        <w:pStyle w:val="Heading3Annex"/>
      </w:pPr>
      <w:bookmarkStart w:id="65" w:name="_Toc178069521"/>
      <w:r w:rsidRPr="00F07B06">
        <w:t>Requirement</w:t>
      </w:r>
      <w:bookmarkEnd w:id="65"/>
    </w:p>
    <w:p w14:paraId="02A3998C" w14:textId="77777777" w:rsidR="00550FF9" w:rsidRPr="00F07B06" w:rsidRDefault="00550FF9" w:rsidP="00550FF9">
      <w:pPr>
        <w:keepNext/>
        <w:rPr>
          <w:lang w:eastAsia="fr-FR"/>
        </w:rPr>
      </w:pPr>
    </w:p>
    <w:p w14:paraId="5946327A" w14:textId="26FF19B9" w:rsidR="00550FF9" w:rsidRPr="00F07B06" w:rsidRDefault="00E75B60" w:rsidP="00550FF9">
      <w:pPr>
        <w:keepNext/>
        <w:rPr>
          <w:lang w:eastAsia="fr-FR"/>
        </w:rPr>
      </w:pPr>
      <w:r>
        <w:fldChar w:fldCharType="begin"/>
      </w:r>
      <w:r>
        <w:instrText xml:space="preserve"> LISTNUM  LegalDefault \l 1 </w:instrText>
      </w:r>
      <w:r>
        <w:fldChar w:fldCharType="end">
          <w:numberingChange w:id="66" w:author="SANCHEZ VIZCAINO GOMEZ Rosa Maria" w:date="2024-09-23T14:37:00Z" w16du:dateUtc="2024-09-23T12:37:00Z" w:original="21."/>
        </w:fldChar>
      </w:r>
      <w:r w:rsidR="00550FF9" w:rsidRPr="00F07B06">
        <w:rPr>
          <w:lang w:eastAsia="fr-FR"/>
        </w:rPr>
        <w:tab/>
        <w:t xml:space="preserve">Ideally 100%, a performance ≥90% is generally accepted. If the reproducibility of the reference method is published the reproducibility of the alternative method should be at least equivalent. </w:t>
      </w:r>
    </w:p>
    <w:p w14:paraId="750B4903" w14:textId="77777777" w:rsidR="00550FF9" w:rsidRPr="00F07B06" w:rsidRDefault="00550FF9" w:rsidP="00550FF9">
      <w:pPr>
        <w:rPr>
          <w:lang w:eastAsia="fr-FR"/>
        </w:rPr>
      </w:pPr>
    </w:p>
    <w:p w14:paraId="4CFCEF00" w14:textId="77777777" w:rsidR="00550FF9" w:rsidRPr="00F07B06" w:rsidRDefault="00550FF9" w:rsidP="00FE6528">
      <w:pPr>
        <w:pStyle w:val="Heading3Annex"/>
      </w:pPr>
      <w:bookmarkStart w:id="67" w:name="_Toc178069522"/>
      <w:r w:rsidRPr="00F07B06">
        <w:t>How to evaluate it?</w:t>
      </w:r>
      <w:bookmarkEnd w:id="67"/>
    </w:p>
    <w:p w14:paraId="1E69B708" w14:textId="77777777" w:rsidR="00550FF9" w:rsidRPr="00F07B06" w:rsidRDefault="00550FF9" w:rsidP="00550FF9">
      <w:pPr>
        <w:rPr>
          <w:lang w:eastAsia="fr-FR"/>
        </w:rPr>
      </w:pPr>
    </w:p>
    <w:p w14:paraId="589F7430" w14:textId="240AD275" w:rsidR="00550FF9" w:rsidRPr="00F07B06" w:rsidRDefault="00E75B60" w:rsidP="00550FF9">
      <w:pPr>
        <w:rPr>
          <w:lang w:eastAsia="fr-FR"/>
        </w:rPr>
      </w:pPr>
      <w:r>
        <w:fldChar w:fldCharType="begin"/>
      </w:r>
      <w:r>
        <w:instrText xml:space="preserve"> LISTNUM  LegalDefault \l 1 </w:instrText>
      </w:r>
      <w:r>
        <w:fldChar w:fldCharType="end">
          <w:numberingChange w:id="68" w:author="SANCHEZ VIZCAINO GOMEZ Rosa Maria" w:date="2024-09-23T14:37:00Z" w16du:dateUtc="2024-09-23T12:37:00Z" w:original="22."/>
        </w:fldChar>
      </w:r>
      <w:r w:rsidR="00550FF9" w:rsidRPr="00F07B06">
        <w:rPr>
          <w:lang w:eastAsia="fr-FR"/>
        </w:rPr>
        <w:tab/>
        <w:t>Reproducibility should be assessed between different laboratories by an interlaboratory validation study (Ring-test) with coded samples of known genotypes. All expected types of genotype should be included.</w:t>
      </w:r>
    </w:p>
    <w:p w14:paraId="78393DCF" w14:textId="77777777" w:rsidR="00550FF9" w:rsidRPr="00F07B06" w:rsidRDefault="00550FF9" w:rsidP="00550FF9">
      <w:pPr>
        <w:rPr>
          <w:lang w:eastAsia="fr-FR"/>
        </w:rPr>
      </w:pPr>
    </w:p>
    <w:p w14:paraId="47052F60" w14:textId="0BA2111E" w:rsidR="00550FF9" w:rsidRPr="00F07B06" w:rsidRDefault="00E75B60" w:rsidP="00550FF9">
      <w:pPr>
        <w:rPr>
          <w:lang w:eastAsia="fr-FR"/>
        </w:rPr>
      </w:pPr>
      <w:r>
        <w:fldChar w:fldCharType="begin"/>
      </w:r>
      <w:r>
        <w:instrText xml:space="preserve"> LISTNUM  LegalDefault \l 1 </w:instrText>
      </w:r>
      <w:r>
        <w:fldChar w:fldCharType="end">
          <w:numberingChange w:id="69" w:author="SANCHEZ VIZCAINO GOMEZ Rosa Maria" w:date="2024-09-23T14:37:00Z" w16du:dateUtc="2024-09-23T12:37:00Z" w:original="23."/>
        </w:fldChar>
      </w:r>
      <w:r w:rsidR="00550FF9" w:rsidRPr="00F07B06">
        <w:rPr>
          <w:lang w:eastAsia="fr-FR"/>
        </w:rPr>
        <w:tab/>
        <w:t>The ring-test should involve at least, three different laboratories including at least two different examination offices (</w:t>
      </w:r>
      <w:r w:rsidR="00550FF9" w:rsidRPr="00F07B06">
        <w:rPr>
          <w:i/>
          <w:iCs/>
          <w:lang w:eastAsia="fr-FR"/>
        </w:rPr>
        <w:t>e.g.</w:t>
      </w:r>
      <w:r w:rsidR="00550FF9" w:rsidRPr="00F07B06">
        <w:rPr>
          <w:lang w:eastAsia="fr-FR"/>
        </w:rPr>
        <w:t xml:space="preserve"> in the INVITE project 3 examination offices were involved in the validation test). If possible, experienced laboratories familiar with the species and the technique should be involved. If not, a training can be organized ahead of the ring-test with un-coded samples. Laboratories can participate in a ring</w:t>
      </w:r>
      <w:r w:rsidR="00550FF9" w:rsidRPr="00F07B06">
        <w:rPr>
          <w:lang w:eastAsia="fr-FR"/>
        </w:rPr>
        <w:noBreakHyphen/>
        <w:t>test on voluntary basis. In case there are no volunteers, the reproducibility can be determined within one laboratory.</w:t>
      </w:r>
    </w:p>
    <w:p w14:paraId="2CF75569" w14:textId="77777777" w:rsidR="00550FF9" w:rsidRPr="00F07B06" w:rsidRDefault="00550FF9" w:rsidP="00550FF9">
      <w:pPr>
        <w:rPr>
          <w:lang w:eastAsia="fr-FR"/>
        </w:rPr>
      </w:pPr>
    </w:p>
    <w:p w14:paraId="27946753" w14:textId="185D09A6" w:rsidR="00550FF9" w:rsidRPr="00F07B06" w:rsidRDefault="00E75B60" w:rsidP="00550FF9">
      <w:pPr>
        <w:rPr>
          <w:lang w:eastAsia="fr-FR"/>
        </w:rPr>
      </w:pPr>
      <w:r>
        <w:fldChar w:fldCharType="begin"/>
      </w:r>
      <w:r>
        <w:instrText xml:space="preserve"> LISTNUM  LegalDefault \l 1 </w:instrText>
      </w:r>
      <w:r>
        <w:fldChar w:fldCharType="end">
          <w:numberingChange w:id="70" w:author="SANCHEZ VIZCAINO GOMEZ Rosa Maria" w:date="2024-09-23T14:37:00Z" w16du:dateUtc="2024-09-23T12:37:00Z" w:original="24."/>
        </w:fldChar>
      </w:r>
      <w:r w:rsidR="00550FF9" w:rsidRPr="00F07B06">
        <w:rPr>
          <w:lang w:eastAsia="fr-FR"/>
        </w:rPr>
        <w:tab/>
        <w:t>All laboratories must follow the protocol to be validated. In the protocol compulsory and optional parts can be defined by the validation team. For example, see the protocol CPVO/TP-044/4-Rev. where compulsory and optional steps were defined.</w:t>
      </w:r>
    </w:p>
    <w:p w14:paraId="034CAE40" w14:textId="77777777" w:rsidR="00550FF9" w:rsidRPr="00F07B06" w:rsidRDefault="00550FF9" w:rsidP="00550FF9">
      <w:pPr>
        <w:rPr>
          <w:lang w:eastAsia="fr-FR"/>
        </w:rPr>
      </w:pPr>
    </w:p>
    <w:p w14:paraId="2FC59196" w14:textId="7EED2C91" w:rsidR="00550FF9" w:rsidRPr="00F07B06" w:rsidRDefault="00E75B60" w:rsidP="00550FF9">
      <w:pPr>
        <w:rPr>
          <w:lang w:eastAsia="fr-FR"/>
        </w:rPr>
      </w:pPr>
      <w:r>
        <w:lastRenderedPageBreak/>
        <w:fldChar w:fldCharType="begin"/>
      </w:r>
      <w:r>
        <w:instrText xml:space="preserve"> LISTNUM  LegalDefault \l 1 </w:instrText>
      </w:r>
      <w:r>
        <w:fldChar w:fldCharType="end">
          <w:numberingChange w:id="71" w:author="SANCHEZ VIZCAINO GOMEZ Rosa Maria" w:date="2024-09-23T14:37:00Z" w16du:dateUtc="2024-09-23T12:37:00Z" w:original="25."/>
        </w:fldChar>
      </w:r>
      <w:r w:rsidR="00550FF9" w:rsidRPr="00F07B06">
        <w:rPr>
          <w:lang w:eastAsia="fr-FR"/>
        </w:rPr>
        <w:tab/>
        <w:t>Number of varieties: To include at least all expected types of genotype.</w:t>
      </w:r>
    </w:p>
    <w:p w14:paraId="496EF425" w14:textId="77777777" w:rsidR="00550FF9" w:rsidRPr="00F07B06" w:rsidRDefault="00550FF9" w:rsidP="00550FF9">
      <w:pPr>
        <w:rPr>
          <w:rFonts w:cs="Arial"/>
          <w:lang w:eastAsia="fr-FR"/>
        </w:rPr>
      </w:pPr>
    </w:p>
    <w:p w14:paraId="40991951" w14:textId="6BEA7EEB" w:rsidR="00550FF9" w:rsidRPr="00F07B06" w:rsidRDefault="00E75B60" w:rsidP="00550FF9">
      <w:pPr>
        <w:rPr>
          <w:rFonts w:cs="Arial"/>
          <w:lang w:eastAsia="fr-FR"/>
        </w:rPr>
      </w:pPr>
      <w:r>
        <w:fldChar w:fldCharType="begin"/>
      </w:r>
      <w:r>
        <w:instrText xml:space="preserve"> LISTNUM  LegalDefault \l 1 </w:instrText>
      </w:r>
      <w:r>
        <w:fldChar w:fldCharType="end">
          <w:numberingChange w:id="72" w:author="SANCHEZ VIZCAINO GOMEZ Rosa Maria" w:date="2024-09-23T14:37:00Z" w16du:dateUtc="2024-09-23T12:37:00Z" w:original="26."/>
        </w:fldChar>
      </w:r>
      <w:r w:rsidR="00550FF9" w:rsidRPr="00F07B06">
        <w:rPr>
          <w:rFonts w:cs="Arial"/>
          <w:lang w:eastAsia="fr-FR"/>
        </w:rPr>
        <w:tab/>
        <w:t xml:space="preserve">Guidelines/Norms on interlaboratory studies can be followed: ISO 13495 </w:t>
      </w:r>
      <w:r w:rsidR="00550FF9" w:rsidRPr="00F07B06">
        <w:rPr>
          <w:rFonts w:cs="Arial"/>
          <w:i/>
          <w:iCs/>
          <w:lang w:eastAsia="fr-FR"/>
        </w:rPr>
        <w:t>Foodstuffs - Principles of selection and criteria of validation for varietal identification methods using specific nucleic acid</w:t>
      </w:r>
      <w:r w:rsidR="00550FF9" w:rsidRPr="00F07B06">
        <w:rPr>
          <w:rFonts w:cs="Arial"/>
          <w:lang w:eastAsia="fr-FR"/>
        </w:rPr>
        <w:t xml:space="preserve">, ISO 17043 </w:t>
      </w:r>
      <w:r w:rsidR="00550FF9" w:rsidRPr="00F07B06">
        <w:rPr>
          <w:rFonts w:cs="Arial"/>
          <w:i/>
          <w:iCs/>
          <w:lang w:eastAsia="fr-FR"/>
        </w:rPr>
        <w:t>Conformity assessment - General requirements for proficiency testing</w:t>
      </w:r>
      <w:r w:rsidR="00550FF9" w:rsidRPr="00F07B06">
        <w:rPr>
          <w:rFonts w:cs="Arial"/>
          <w:lang w:eastAsia="fr-FR"/>
        </w:rPr>
        <w:t xml:space="preserve">, EPPO pm7-122-2 </w:t>
      </w:r>
      <w:r w:rsidR="00550FF9" w:rsidRPr="00F07B06">
        <w:rPr>
          <w:rFonts w:cs="Arial"/>
          <w:i/>
          <w:iCs/>
          <w:lang w:eastAsia="fr-FR"/>
        </w:rPr>
        <w:t>Guidelines for the organization of interlaboratory comparisons by plant pest diagnostic laboratories</w:t>
      </w:r>
      <w:r w:rsidR="00550FF9" w:rsidRPr="00F07B06">
        <w:rPr>
          <w:rFonts w:cs="Arial"/>
          <w:lang w:eastAsia="fr-FR"/>
        </w:rPr>
        <w:t>, ISTA TCOM-P-10-</w:t>
      </w:r>
      <w:r w:rsidR="00550FF9" w:rsidRPr="00F07B06">
        <w:rPr>
          <w:rFonts w:cs="Arial"/>
          <w:i/>
          <w:iCs/>
          <w:lang w:eastAsia="fr-FR"/>
        </w:rPr>
        <w:t>Validation of seed health methods and organization and analysis of interlaboratory comparative tests (CT)</w:t>
      </w:r>
      <w:r w:rsidR="00550FF9" w:rsidRPr="00F07B06">
        <w:rPr>
          <w:rFonts w:cs="Arial"/>
          <w:lang w:eastAsia="fr-FR"/>
        </w:rPr>
        <w:t>… The validation team can cite the followed guidelines in its report.</w:t>
      </w:r>
    </w:p>
    <w:p w14:paraId="4C6D0527" w14:textId="77777777" w:rsidR="00550FF9" w:rsidRPr="00F07B06" w:rsidRDefault="00550FF9" w:rsidP="00550FF9">
      <w:pPr>
        <w:rPr>
          <w:lang w:eastAsia="fr-FR"/>
        </w:rPr>
      </w:pPr>
    </w:p>
    <w:p w14:paraId="0D6B8303" w14:textId="77777777" w:rsidR="00550FF9" w:rsidRPr="00F07B06" w:rsidRDefault="00550FF9" w:rsidP="00FE6528">
      <w:pPr>
        <w:pStyle w:val="Heading2Annex"/>
      </w:pPr>
      <w:bookmarkStart w:id="73" w:name="_Toc178069523"/>
      <w:r w:rsidRPr="00F07B06">
        <w:t>Robustness</w:t>
      </w:r>
      <w:bookmarkEnd w:id="73"/>
    </w:p>
    <w:p w14:paraId="708DB565" w14:textId="77777777" w:rsidR="00550FF9" w:rsidRPr="00F07B06" w:rsidRDefault="00550FF9" w:rsidP="00550FF9">
      <w:pPr>
        <w:rPr>
          <w:lang w:eastAsia="fr-FR"/>
        </w:rPr>
      </w:pPr>
    </w:p>
    <w:p w14:paraId="0774E373" w14:textId="77777777" w:rsidR="00550FF9" w:rsidRPr="00F07B06" w:rsidRDefault="00550FF9" w:rsidP="00FE6528">
      <w:pPr>
        <w:pStyle w:val="Heading3Annex"/>
      </w:pPr>
      <w:bookmarkStart w:id="74" w:name="_Toc178069524"/>
      <w:r w:rsidRPr="00F07B06">
        <w:t>Definition</w:t>
      </w:r>
      <w:bookmarkEnd w:id="74"/>
    </w:p>
    <w:p w14:paraId="2A465AB7" w14:textId="77777777" w:rsidR="00550FF9" w:rsidRPr="00F07B06" w:rsidRDefault="00550FF9" w:rsidP="00550FF9">
      <w:pPr>
        <w:rPr>
          <w:highlight w:val="yellow"/>
          <w:lang w:eastAsia="fr-FR"/>
        </w:rPr>
      </w:pPr>
    </w:p>
    <w:p w14:paraId="6812F133" w14:textId="64FC9B4E" w:rsidR="00550FF9" w:rsidRPr="00F07B06" w:rsidRDefault="00E75B60" w:rsidP="00550FF9">
      <w:pPr>
        <w:rPr>
          <w:lang w:eastAsia="fr-FR"/>
        </w:rPr>
      </w:pPr>
      <w:r w:rsidRPr="00E75B60">
        <w:rPr>
          <w:highlight w:val="yellow"/>
        </w:rPr>
        <w:fldChar w:fldCharType="begin"/>
      </w:r>
      <w:r w:rsidRPr="00E75B60">
        <w:rPr>
          <w:highlight w:val="yellow"/>
        </w:rPr>
        <w:instrText xml:space="preserve"> LISTNUM  LegalDefault \l 1 </w:instrText>
      </w:r>
      <w:r w:rsidRPr="00E75B60">
        <w:rPr>
          <w:highlight w:val="yellow"/>
        </w:rPr>
        <w:fldChar w:fldCharType="end">
          <w:numberingChange w:id="75" w:author="SANCHEZ VIZCAINO GOMEZ Rosa Maria" w:date="2024-09-23T14:37:00Z" w16du:dateUtc="2024-09-23T12:37:00Z" w:original="27."/>
        </w:fldChar>
      </w:r>
      <w:r w:rsidR="00550FF9" w:rsidRPr="00E75B60">
        <w:rPr>
          <w:highlight w:val="yellow"/>
          <w:lang w:eastAsia="fr-FR"/>
        </w:rPr>
        <w:tab/>
        <w:t>“</w:t>
      </w:r>
      <w:r w:rsidR="00550FF9" w:rsidRPr="00E75B60">
        <w:rPr>
          <w:i/>
          <w:iCs/>
          <w:highlight w:val="yellow"/>
          <w:lang w:eastAsia="fr-FR"/>
        </w:rPr>
        <w:t>Rob</w:t>
      </w:r>
      <w:r w:rsidR="00550FF9" w:rsidRPr="00F07B06">
        <w:rPr>
          <w:i/>
          <w:iCs/>
          <w:highlight w:val="yellow"/>
          <w:lang w:eastAsia="fr-FR"/>
        </w:rPr>
        <w:t>ustness;</w:t>
      </w:r>
      <w:r w:rsidR="00550FF9" w:rsidRPr="00F07B06" w:rsidDel="0038405F">
        <w:rPr>
          <w:i/>
          <w:iCs/>
          <w:highlight w:val="yellow"/>
          <w:lang w:eastAsia="fr-FR"/>
        </w:rPr>
        <w:t xml:space="preserve"> </w:t>
      </w:r>
      <w:r w:rsidR="00550FF9" w:rsidRPr="00F07B06">
        <w:rPr>
          <w:i/>
          <w:iCs/>
          <w:highlight w:val="yellow"/>
          <w:lang w:eastAsia="fr-FR"/>
        </w:rPr>
        <w:t>a measure of its capacity to remain unaffected by small, but deliberate deviations from the experimental conditions described in the procedure parameters and provides an indication of its reliability during normal usage”</w:t>
      </w:r>
      <w:r w:rsidR="00550FF9" w:rsidRPr="00F07B06" w:rsidDel="00D90DCE">
        <w:rPr>
          <w:lang w:eastAsia="fr-FR"/>
        </w:rPr>
        <w:t xml:space="preserve"> </w:t>
      </w:r>
      <w:r w:rsidR="00550FF9" w:rsidRPr="00F07B06">
        <w:rPr>
          <w:lang w:eastAsia="fr-FR"/>
        </w:rPr>
        <w:t>(</w:t>
      </w:r>
      <w:r w:rsidR="00550FF9" w:rsidRPr="00F07B06">
        <w:rPr>
          <w:i/>
          <w:iCs/>
          <w:lang w:eastAsia="fr-FR"/>
        </w:rPr>
        <w:t>e.g.</w:t>
      </w:r>
      <w:r w:rsidR="00550FF9" w:rsidRPr="00F07B06">
        <w:rPr>
          <w:lang w:eastAsia="fr-FR"/>
        </w:rPr>
        <w:t xml:space="preserve"> change of DNA extraction method or change of real time machine).</w:t>
      </w:r>
    </w:p>
    <w:p w14:paraId="39BC1FBF" w14:textId="77777777" w:rsidR="00550FF9" w:rsidRPr="00F07B06" w:rsidRDefault="00550FF9" w:rsidP="00550FF9">
      <w:pPr>
        <w:rPr>
          <w:lang w:eastAsia="fr-FR"/>
        </w:rPr>
      </w:pPr>
    </w:p>
    <w:p w14:paraId="011AC3A6" w14:textId="77777777" w:rsidR="00550FF9" w:rsidRPr="00F07B06" w:rsidRDefault="00550FF9" w:rsidP="00FE6528">
      <w:pPr>
        <w:pStyle w:val="Heading3Annex"/>
      </w:pPr>
      <w:bookmarkStart w:id="76" w:name="_Toc178069525"/>
      <w:r w:rsidRPr="00F07B06">
        <w:t>Requirement</w:t>
      </w:r>
      <w:bookmarkEnd w:id="76"/>
    </w:p>
    <w:p w14:paraId="7AD061F0" w14:textId="77777777" w:rsidR="00550FF9" w:rsidRPr="00F07B06" w:rsidRDefault="00550FF9" w:rsidP="00550FF9">
      <w:pPr>
        <w:rPr>
          <w:lang w:eastAsia="fr-FR"/>
        </w:rPr>
      </w:pPr>
    </w:p>
    <w:p w14:paraId="274A1B97" w14:textId="7CB02A54" w:rsidR="00550FF9" w:rsidRPr="00F07B06" w:rsidRDefault="00E75B60" w:rsidP="00550FF9">
      <w:pPr>
        <w:rPr>
          <w:lang w:eastAsia="fr-FR"/>
        </w:rPr>
      </w:pPr>
      <w:r>
        <w:fldChar w:fldCharType="begin"/>
      </w:r>
      <w:r>
        <w:instrText xml:space="preserve"> LISTNUM  LegalDefault \l 1 </w:instrText>
      </w:r>
      <w:r>
        <w:fldChar w:fldCharType="end">
          <w:numberingChange w:id="77" w:author="SANCHEZ VIZCAINO GOMEZ Rosa Maria" w:date="2024-09-23T14:37:00Z" w16du:dateUtc="2024-09-23T12:37:00Z" w:original="28."/>
        </w:fldChar>
      </w:r>
      <w:r w:rsidR="00550FF9" w:rsidRPr="00F07B06">
        <w:rPr>
          <w:lang w:eastAsia="fr-FR"/>
        </w:rPr>
        <w:tab/>
        <w:t>Ideally 100%, if less that means that the method is not robust to a change of one parameter and this should be indicated in the protocol as a mandatory step (</w:t>
      </w:r>
      <w:r w:rsidR="00550FF9" w:rsidRPr="00F07B06">
        <w:rPr>
          <w:i/>
          <w:iCs/>
          <w:lang w:eastAsia="fr-FR"/>
        </w:rPr>
        <w:t>e.g.</w:t>
      </w:r>
      <w:r w:rsidR="00550FF9" w:rsidRPr="00F07B06">
        <w:rPr>
          <w:lang w:eastAsia="fr-FR"/>
        </w:rPr>
        <w:t xml:space="preserve"> a change of a </w:t>
      </w:r>
      <w:proofErr w:type="spellStart"/>
      <w:r w:rsidR="00550FF9" w:rsidRPr="00F07B06">
        <w:rPr>
          <w:lang w:eastAsia="fr-FR"/>
        </w:rPr>
        <w:t>mastermix</w:t>
      </w:r>
      <w:proofErr w:type="spellEnd"/>
      <w:r w:rsidR="00550FF9" w:rsidRPr="00F07B06">
        <w:rPr>
          <w:lang w:eastAsia="fr-FR"/>
        </w:rPr>
        <w:t xml:space="preserve"> that would be critical).</w:t>
      </w:r>
    </w:p>
    <w:p w14:paraId="61114858" w14:textId="77777777" w:rsidR="00550FF9" w:rsidRPr="00F07B06" w:rsidRDefault="00550FF9" w:rsidP="00550FF9">
      <w:pPr>
        <w:rPr>
          <w:lang w:eastAsia="fr-FR"/>
        </w:rPr>
      </w:pPr>
    </w:p>
    <w:p w14:paraId="6F1145A9" w14:textId="77777777" w:rsidR="00550FF9" w:rsidRPr="00F07B06" w:rsidRDefault="00550FF9" w:rsidP="00FE6528">
      <w:pPr>
        <w:pStyle w:val="Heading3Annex"/>
      </w:pPr>
      <w:bookmarkStart w:id="78" w:name="_Toc178069526"/>
      <w:r w:rsidRPr="00F07B06">
        <w:t>How to evaluate it?</w:t>
      </w:r>
      <w:bookmarkEnd w:id="78"/>
    </w:p>
    <w:p w14:paraId="04AA619B" w14:textId="77777777" w:rsidR="00550FF9" w:rsidRPr="00F07B06" w:rsidRDefault="00550FF9" w:rsidP="00550FF9">
      <w:pPr>
        <w:rPr>
          <w:lang w:eastAsia="fr-FR"/>
        </w:rPr>
      </w:pPr>
    </w:p>
    <w:p w14:paraId="176F1881" w14:textId="079EFCD8" w:rsidR="00550FF9" w:rsidRPr="00F07B06" w:rsidRDefault="00E75B60" w:rsidP="00550FF9">
      <w:pPr>
        <w:rPr>
          <w:lang w:eastAsia="fr-FR"/>
        </w:rPr>
      </w:pPr>
      <w:r>
        <w:fldChar w:fldCharType="begin"/>
      </w:r>
      <w:r>
        <w:instrText xml:space="preserve"> LISTNUM  LegalDefault \l 1 </w:instrText>
      </w:r>
      <w:r>
        <w:fldChar w:fldCharType="end">
          <w:numberingChange w:id="79" w:author="SANCHEZ VIZCAINO GOMEZ Rosa Maria" w:date="2024-09-23T14:37:00Z" w16du:dateUtc="2024-09-23T12:37:00Z" w:original="29."/>
        </w:fldChar>
      </w:r>
      <w:r w:rsidR="00550FF9" w:rsidRPr="00F07B06">
        <w:rPr>
          <w:lang w:eastAsia="fr-FR"/>
        </w:rPr>
        <w:tab/>
        <w:t>It is optional to assess, and robustness is evaluated partially during the ring test (reproducibility), (different laboratories, equipment, machinery, persons, etc.).</w:t>
      </w:r>
    </w:p>
    <w:p w14:paraId="1C0BD240" w14:textId="77777777" w:rsidR="00550FF9" w:rsidRPr="00F07B06" w:rsidRDefault="00550FF9" w:rsidP="00550FF9">
      <w:pPr>
        <w:rPr>
          <w:lang w:eastAsia="fr-FR"/>
        </w:rPr>
      </w:pPr>
    </w:p>
    <w:p w14:paraId="0C8D9C5F" w14:textId="77777777" w:rsidR="00550FF9" w:rsidRPr="00F07B06" w:rsidRDefault="00550FF9" w:rsidP="00550FF9">
      <w:pPr>
        <w:rPr>
          <w:lang w:eastAsia="fr-FR"/>
        </w:rPr>
      </w:pPr>
    </w:p>
    <w:p w14:paraId="2FB4A80D" w14:textId="77777777" w:rsidR="00550FF9" w:rsidRPr="00F07B06" w:rsidRDefault="00550FF9" w:rsidP="00FE6528">
      <w:pPr>
        <w:pStyle w:val="Heading1Annex"/>
      </w:pPr>
      <w:bookmarkStart w:id="80" w:name="_Toc178069527"/>
      <w:r w:rsidRPr="00F07B06">
        <w:t>IV.</w:t>
      </w:r>
      <w:r w:rsidRPr="00F07B06">
        <w:tab/>
        <w:t>Validation report</w:t>
      </w:r>
      <w:bookmarkEnd w:id="80"/>
    </w:p>
    <w:p w14:paraId="409FD5C3" w14:textId="77777777" w:rsidR="00550FF9" w:rsidRPr="00F07B06" w:rsidRDefault="00550FF9" w:rsidP="00550FF9">
      <w:pPr>
        <w:rPr>
          <w:lang w:eastAsia="fr-FR"/>
        </w:rPr>
      </w:pPr>
    </w:p>
    <w:p w14:paraId="4ED867EA" w14:textId="33B04CBF" w:rsidR="00550FF9" w:rsidRPr="00F07B06" w:rsidRDefault="00E75B60" w:rsidP="00550FF9">
      <w:pPr>
        <w:rPr>
          <w:rFonts w:eastAsia="Arial"/>
        </w:rPr>
      </w:pPr>
      <w:r>
        <w:fldChar w:fldCharType="begin"/>
      </w:r>
      <w:r>
        <w:instrText xml:space="preserve"> LISTNUM  LegalDefault \l 1 </w:instrText>
      </w:r>
      <w:r>
        <w:fldChar w:fldCharType="end">
          <w:numberingChange w:id="81" w:author="SANCHEZ VIZCAINO GOMEZ Rosa Maria" w:date="2024-09-23T14:37:00Z" w16du:dateUtc="2024-09-23T12:37:00Z" w:original="30."/>
        </w:fldChar>
      </w:r>
      <w:r w:rsidR="00550FF9" w:rsidRPr="00F07B06">
        <w:rPr>
          <w:szCs w:val="24"/>
          <w:lang w:eastAsia="fr-FR"/>
        </w:rPr>
        <w:tab/>
        <w:t xml:space="preserve">The validation report </w:t>
      </w:r>
      <w:r w:rsidR="00550FF9" w:rsidRPr="00F07B06">
        <w:rPr>
          <w:rFonts w:eastAsia="Arial"/>
        </w:rPr>
        <w:t>and results must be peer-reviewed by two (preferably 3 if the reproducibility was done within one laboratory) of the examination offices. Reviewing is on voluntary basis but preferably perform review by laboratory familiar with the species and the method.</w:t>
      </w:r>
    </w:p>
    <w:p w14:paraId="5F17602F" w14:textId="77777777" w:rsidR="00550FF9" w:rsidRPr="00F07B06" w:rsidRDefault="00550FF9" w:rsidP="00550FF9">
      <w:pPr>
        <w:rPr>
          <w:rFonts w:eastAsia="Arial"/>
        </w:rPr>
      </w:pPr>
    </w:p>
    <w:p w14:paraId="1ED1E5A9" w14:textId="7C9B0233" w:rsidR="00550FF9" w:rsidRPr="00F07B06" w:rsidRDefault="00E75B60" w:rsidP="00550FF9">
      <w:pPr>
        <w:rPr>
          <w:rFonts w:eastAsia="Arial"/>
        </w:rPr>
      </w:pPr>
      <w:r>
        <w:fldChar w:fldCharType="begin"/>
      </w:r>
      <w:r>
        <w:instrText xml:space="preserve"> LISTNUM  LegalDefault \l 1 </w:instrText>
      </w:r>
      <w:r>
        <w:fldChar w:fldCharType="end">
          <w:numberingChange w:id="82" w:author="SANCHEZ VIZCAINO GOMEZ Rosa Maria" w:date="2024-09-23T14:37:00Z" w16du:dateUtc="2024-09-23T12:37:00Z" w:original="31."/>
        </w:fldChar>
      </w:r>
      <w:r w:rsidR="00550FF9" w:rsidRPr="00F07B06">
        <w:rPr>
          <w:rFonts w:eastAsia="Arial"/>
        </w:rPr>
        <w:tab/>
        <w:t>During the reviewing process, the reviewers can require extra validation data in concertation with the validation team.</w:t>
      </w:r>
    </w:p>
    <w:p w14:paraId="75643E29" w14:textId="77777777" w:rsidR="00550FF9" w:rsidRPr="00F07B06" w:rsidRDefault="00550FF9" w:rsidP="00550FF9">
      <w:pPr>
        <w:rPr>
          <w:szCs w:val="24"/>
          <w:u w:val="single"/>
          <w:lang w:eastAsia="fr-FR"/>
        </w:rPr>
      </w:pPr>
    </w:p>
    <w:p w14:paraId="21B1ACD3" w14:textId="77777777" w:rsidR="00550FF9" w:rsidRPr="00F07B06" w:rsidRDefault="00550FF9" w:rsidP="00FE6528">
      <w:pPr>
        <w:pStyle w:val="Heading2Annex"/>
      </w:pPr>
      <w:bookmarkStart w:id="83" w:name="_Toc178069528"/>
      <w:r w:rsidRPr="00F07B06">
        <w:t>Content of the validation report</w:t>
      </w:r>
      <w:bookmarkEnd w:id="83"/>
    </w:p>
    <w:p w14:paraId="383FCCEE" w14:textId="77777777" w:rsidR="00550FF9" w:rsidRPr="00F07B06" w:rsidRDefault="00550FF9" w:rsidP="00550FF9">
      <w:pPr>
        <w:keepNext/>
        <w:rPr>
          <w:u w:val="single"/>
          <w:lang w:eastAsia="fr-FR"/>
        </w:rPr>
      </w:pPr>
    </w:p>
    <w:p w14:paraId="02A59BBC" w14:textId="77777777" w:rsidR="00550FF9" w:rsidRPr="00F07B06" w:rsidRDefault="00550FF9" w:rsidP="00550FF9">
      <w:pPr>
        <w:keepNext/>
        <w:numPr>
          <w:ilvl w:val="0"/>
          <w:numId w:val="15"/>
        </w:numPr>
        <w:spacing w:after="200" w:line="276" w:lineRule="auto"/>
        <w:contextualSpacing/>
        <w:rPr>
          <w:rFonts w:eastAsia="Calibri" w:cs="Arial"/>
        </w:rPr>
      </w:pPr>
      <w:r w:rsidRPr="00F07B06">
        <w:rPr>
          <w:rFonts w:eastAsia="Calibri" w:cs="Arial"/>
        </w:rPr>
        <w:t>Raw data generated during the different steps of the validation process</w:t>
      </w:r>
    </w:p>
    <w:p w14:paraId="26542389" w14:textId="77777777" w:rsidR="00550FF9" w:rsidRPr="00F07B06" w:rsidRDefault="00550FF9" w:rsidP="00550FF9">
      <w:pPr>
        <w:keepNext/>
        <w:numPr>
          <w:ilvl w:val="0"/>
          <w:numId w:val="15"/>
        </w:numPr>
        <w:spacing w:after="200" w:line="276" w:lineRule="auto"/>
        <w:contextualSpacing/>
        <w:rPr>
          <w:rFonts w:eastAsia="Calibri" w:cs="Arial"/>
        </w:rPr>
      </w:pPr>
      <w:r w:rsidRPr="00F07B06">
        <w:rPr>
          <w:rFonts w:eastAsia="Calibri" w:cs="Arial"/>
        </w:rPr>
        <w:t>Detail protocol with optional and compulsory steps defined</w:t>
      </w:r>
    </w:p>
    <w:p w14:paraId="04E40702" w14:textId="77777777" w:rsidR="00550FF9" w:rsidRPr="00F07B06" w:rsidRDefault="00550FF9" w:rsidP="00550FF9">
      <w:pPr>
        <w:numPr>
          <w:ilvl w:val="0"/>
          <w:numId w:val="15"/>
        </w:numPr>
        <w:spacing w:after="200" w:line="276" w:lineRule="auto"/>
        <w:contextualSpacing/>
        <w:rPr>
          <w:rFonts w:eastAsia="Calibri" w:cs="Arial"/>
        </w:rPr>
      </w:pPr>
      <w:r w:rsidRPr="00F07B06">
        <w:rPr>
          <w:rFonts w:eastAsia="Calibri" w:cs="Arial"/>
        </w:rPr>
        <w:t>Performance criteria assessment</w:t>
      </w:r>
    </w:p>
    <w:p w14:paraId="3AED7FBD" w14:textId="77777777" w:rsidR="00550FF9" w:rsidRPr="00F07B06" w:rsidRDefault="00550FF9" w:rsidP="00550FF9">
      <w:pPr>
        <w:numPr>
          <w:ilvl w:val="0"/>
          <w:numId w:val="15"/>
        </w:numPr>
        <w:spacing w:after="200" w:line="276" w:lineRule="auto"/>
        <w:contextualSpacing/>
        <w:rPr>
          <w:rFonts w:eastAsia="Calibri" w:cs="Arial"/>
        </w:rPr>
      </w:pPr>
      <w:r w:rsidRPr="00F07B06">
        <w:rPr>
          <w:rFonts w:eastAsia="Calibri" w:cs="Arial"/>
        </w:rPr>
        <w:t>Conclusion</w:t>
      </w:r>
    </w:p>
    <w:p w14:paraId="444A4F59" w14:textId="77777777" w:rsidR="00550FF9" w:rsidRPr="00F07B06" w:rsidRDefault="00550FF9" w:rsidP="00550FF9">
      <w:pPr>
        <w:rPr>
          <w:rFonts w:eastAsia="Calibri"/>
        </w:rPr>
      </w:pPr>
    </w:p>
    <w:p w14:paraId="71D2F36E" w14:textId="77777777" w:rsidR="00550FF9" w:rsidRPr="00F07B06" w:rsidRDefault="00550FF9" w:rsidP="00FE6528">
      <w:pPr>
        <w:pStyle w:val="Heading2Annex"/>
      </w:pPr>
      <w:bookmarkStart w:id="84" w:name="_Toc178069529"/>
      <w:r w:rsidRPr="00F07B06">
        <w:t>Publicity</w:t>
      </w:r>
      <w:bookmarkEnd w:id="84"/>
    </w:p>
    <w:p w14:paraId="44D1A498" w14:textId="77777777" w:rsidR="00550FF9" w:rsidRPr="00F07B06" w:rsidRDefault="00550FF9" w:rsidP="00550FF9">
      <w:pPr>
        <w:keepNext/>
        <w:rPr>
          <w:lang w:eastAsia="fr-FR"/>
        </w:rPr>
      </w:pPr>
    </w:p>
    <w:p w14:paraId="39A428C5" w14:textId="2174046A" w:rsidR="00550FF9" w:rsidRPr="00F07B06" w:rsidRDefault="00E75B60" w:rsidP="00550FF9">
      <w:pPr>
        <w:rPr>
          <w:lang w:eastAsia="fr-FR"/>
        </w:rPr>
      </w:pPr>
      <w:r>
        <w:fldChar w:fldCharType="begin"/>
      </w:r>
      <w:r>
        <w:instrText xml:space="preserve"> LISTNUM  LegalDefault \l 1 </w:instrText>
      </w:r>
      <w:r>
        <w:fldChar w:fldCharType="end">
          <w:numberingChange w:id="85" w:author="SANCHEZ VIZCAINO GOMEZ Rosa Maria" w:date="2024-09-23T14:37:00Z" w16du:dateUtc="2024-09-23T12:37:00Z" w:original="32."/>
        </w:fldChar>
      </w:r>
      <w:r w:rsidR="00550FF9" w:rsidRPr="00F07B06">
        <w:rPr>
          <w:lang w:eastAsia="fr-FR"/>
        </w:rPr>
        <w:tab/>
        <w:t xml:space="preserve">The validation report should be available upon request. In the new protocol the validation process should be mentioned with the contact examination office. In some particular cases, </w:t>
      </w:r>
      <w:r w:rsidR="00550FF9" w:rsidRPr="00F07B06">
        <w:rPr>
          <w:i/>
          <w:lang w:eastAsia="fr-FR"/>
        </w:rPr>
        <w:t>e.g.</w:t>
      </w:r>
      <w:r w:rsidR="00550FF9" w:rsidRPr="00F07B06">
        <w:rPr>
          <w:lang w:eastAsia="fr-FR"/>
        </w:rPr>
        <w:t xml:space="preserve"> a “trade secret protocol” (cytoplasmic male sterility in cabbage), the protocol and the validation report could not be shared outside of the examination offices.</w:t>
      </w:r>
    </w:p>
    <w:p w14:paraId="69BCE754" w14:textId="77777777" w:rsidR="00550FF9" w:rsidRPr="00F07B06" w:rsidRDefault="00550FF9" w:rsidP="00550FF9">
      <w:pPr>
        <w:rPr>
          <w:lang w:eastAsia="fr-FR"/>
        </w:rPr>
      </w:pPr>
    </w:p>
    <w:p w14:paraId="0F037296" w14:textId="77777777" w:rsidR="00550FF9" w:rsidRPr="00F07B06" w:rsidRDefault="00550FF9" w:rsidP="00550FF9">
      <w:pPr>
        <w:rPr>
          <w:lang w:eastAsia="fr-FR"/>
        </w:rPr>
      </w:pPr>
    </w:p>
    <w:p w14:paraId="124F9BA4" w14:textId="77777777" w:rsidR="00550FF9" w:rsidRPr="00F07B06" w:rsidRDefault="00550FF9" w:rsidP="00FE6528">
      <w:pPr>
        <w:pStyle w:val="Heading1Annex"/>
      </w:pPr>
      <w:bookmarkStart w:id="86" w:name="_Toc178069530"/>
      <w:r w:rsidRPr="00F07B06">
        <w:t>V.</w:t>
      </w:r>
      <w:r w:rsidRPr="00F07B06">
        <w:tab/>
        <w:t>Standard Protocol for characteristic-specific molecular marker protocol</w:t>
      </w:r>
      <w:bookmarkEnd w:id="86"/>
    </w:p>
    <w:p w14:paraId="1312B06F" w14:textId="77777777" w:rsidR="00550FF9" w:rsidRPr="00F07B06" w:rsidRDefault="00550FF9" w:rsidP="00550FF9">
      <w:pPr>
        <w:rPr>
          <w:lang w:eastAsia="fr-FR"/>
        </w:rPr>
      </w:pPr>
    </w:p>
    <w:p w14:paraId="4F073B3C" w14:textId="5F61A3FC" w:rsidR="00550FF9" w:rsidRPr="00F07B06" w:rsidRDefault="00E75B60" w:rsidP="00550FF9">
      <w:pPr>
        <w:rPr>
          <w:lang w:eastAsia="fr-FR"/>
        </w:rPr>
      </w:pPr>
      <w:r>
        <w:fldChar w:fldCharType="begin"/>
      </w:r>
      <w:r>
        <w:instrText xml:space="preserve"> LISTNUM  LegalDefault \l 1 </w:instrText>
      </w:r>
      <w:r>
        <w:fldChar w:fldCharType="end">
          <w:numberingChange w:id="87" w:author="SANCHEZ VIZCAINO GOMEZ Rosa Maria" w:date="2024-09-23T14:37:00Z" w16du:dateUtc="2024-09-23T12:37:00Z" w:original="33."/>
        </w:fldChar>
      </w:r>
      <w:r w:rsidR="00550FF9" w:rsidRPr="00F07B06">
        <w:rPr>
          <w:lang w:eastAsia="fr-FR"/>
        </w:rPr>
        <w:tab/>
        <w:t>Compulsory elements are indicated in the column “essential information”, the other elements may be used depending on the characteristic test protocol. If a laboratory wants to adapt/modify/change a mandatory chapter or element of a mandatory chapter it must validate its method in comparison to the reference method (to show that you obtain the same results as the published method).</w:t>
      </w:r>
    </w:p>
    <w:p w14:paraId="63784D61" w14:textId="77777777" w:rsidR="00550FF9" w:rsidRPr="00F07B06" w:rsidRDefault="00550FF9" w:rsidP="00550FF9">
      <w:pPr>
        <w:rPr>
          <w:lang w:eastAsia="fr-FR"/>
        </w:rPr>
      </w:pPr>
    </w:p>
    <w:p w14:paraId="193D6140" w14:textId="77777777" w:rsidR="00550FF9" w:rsidRPr="00F07B06" w:rsidRDefault="00550FF9" w:rsidP="00550FF9">
      <w:pPr>
        <w:keepNext/>
        <w:jc w:val="center"/>
        <w:rPr>
          <w:lang w:eastAsia="fr-FR"/>
        </w:rPr>
      </w:pPr>
      <w:r w:rsidRPr="00F07B06">
        <w:rPr>
          <w:rFonts w:eastAsia="Calibri" w:cs="Arial"/>
        </w:rPr>
        <w:lastRenderedPageBreak/>
        <w:t>Table 1</w:t>
      </w:r>
      <w:r w:rsidRPr="00F07B06">
        <w:rPr>
          <w:lang w:eastAsia="fr-FR"/>
        </w:rPr>
        <w:t xml:space="preserve">: Standard characteristic-specific molecular marker protocol (see document TWV/54/7 “Use of molecular techniques in DUS examination”. Modifications are </w:t>
      </w:r>
      <w:r w:rsidRPr="00F07B06">
        <w:rPr>
          <w:highlight w:val="lightGray"/>
          <w:lang w:eastAsia="fr-FR"/>
        </w:rPr>
        <w:t>highlighted in grey</w:t>
      </w:r>
      <w:r w:rsidRPr="00F07B06">
        <w:rPr>
          <w:lang w:eastAsia="fr-FR"/>
        </w:rPr>
        <w:t>)</w:t>
      </w:r>
    </w:p>
    <w:p w14:paraId="62C89403" w14:textId="77777777" w:rsidR="00550FF9" w:rsidRPr="00F07B06" w:rsidRDefault="00550FF9" w:rsidP="00550FF9">
      <w:pPr>
        <w:keepNext/>
        <w:rPr>
          <w:lang w:eastAsia="fr-FR"/>
        </w:rPr>
      </w:pPr>
    </w:p>
    <w:tbl>
      <w:tblPr>
        <w:tblW w:w="5078" w:type="pct"/>
        <w:tblLayout w:type="fixed"/>
        <w:tblCellMar>
          <w:top w:w="15" w:type="dxa"/>
          <w:left w:w="28" w:type="dxa"/>
          <w:right w:w="28" w:type="dxa"/>
        </w:tblCellMar>
        <w:tblLook w:val="04A0" w:firstRow="1" w:lastRow="0" w:firstColumn="1" w:lastColumn="0" w:noHBand="0" w:noVBand="1"/>
      </w:tblPr>
      <w:tblGrid>
        <w:gridCol w:w="700"/>
        <w:gridCol w:w="1563"/>
        <w:gridCol w:w="2413"/>
        <w:gridCol w:w="1127"/>
        <w:gridCol w:w="3808"/>
        <w:gridCol w:w="158"/>
      </w:tblGrid>
      <w:tr w:rsidR="00550FF9" w:rsidRPr="00F07B06" w14:paraId="549C82E4" w14:textId="77777777" w:rsidTr="00E75B60">
        <w:trPr>
          <w:gridAfter w:val="1"/>
          <w:wAfter w:w="82" w:type="pct"/>
          <w:trHeight w:val="810"/>
          <w:tblHeader/>
        </w:trPr>
        <w:tc>
          <w:tcPr>
            <w:tcW w:w="35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3E32708"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Chapter</w:t>
            </w:r>
          </w:p>
        </w:tc>
        <w:tc>
          <w:tcPr>
            <w:tcW w:w="800" w:type="pct"/>
            <w:tcBorders>
              <w:top w:val="single" w:sz="8" w:space="0" w:color="auto"/>
              <w:left w:val="nil"/>
              <w:bottom w:val="single" w:sz="8" w:space="0" w:color="auto"/>
              <w:right w:val="single" w:sz="8" w:space="0" w:color="auto"/>
            </w:tcBorders>
            <w:shd w:val="clear" w:color="000000" w:fill="BFBFBF"/>
            <w:vAlign w:val="center"/>
            <w:hideMark/>
          </w:tcPr>
          <w:p w14:paraId="7C5D45F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Elements in a Standard characteristic-specific molecular marker protocol</w:t>
            </w:r>
          </w:p>
        </w:tc>
        <w:tc>
          <w:tcPr>
            <w:tcW w:w="1235" w:type="pct"/>
            <w:tcBorders>
              <w:top w:val="single" w:sz="8" w:space="0" w:color="auto"/>
              <w:left w:val="nil"/>
              <w:bottom w:val="single" w:sz="8" w:space="0" w:color="auto"/>
              <w:right w:val="single" w:sz="8" w:space="0" w:color="auto"/>
            </w:tcBorders>
            <w:shd w:val="clear" w:color="000000" w:fill="BFBFBF"/>
            <w:vAlign w:val="center"/>
            <w:hideMark/>
          </w:tcPr>
          <w:p w14:paraId="2152937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Example</w:t>
            </w:r>
          </w:p>
        </w:tc>
        <w:tc>
          <w:tcPr>
            <w:tcW w:w="577" w:type="pct"/>
            <w:tcBorders>
              <w:top w:val="single" w:sz="8" w:space="0" w:color="auto"/>
              <w:left w:val="nil"/>
              <w:bottom w:val="single" w:sz="8" w:space="0" w:color="auto"/>
              <w:right w:val="single" w:sz="8" w:space="0" w:color="auto"/>
            </w:tcBorders>
            <w:shd w:val="clear" w:color="000000" w:fill="BFBFBF"/>
            <w:vAlign w:val="center"/>
            <w:hideMark/>
          </w:tcPr>
          <w:p w14:paraId="77F0EC10"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Essential information for </w:t>
            </w:r>
            <w:proofErr w:type="spellStart"/>
            <w:r w:rsidRPr="00E75B60">
              <w:rPr>
                <w:rFonts w:cs="Arial"/>
                <w:color w:val="000000"/>
                <w:sz w:val="18"/>
                <w:szCs w:val="18"/>
                <w:lang w:eastAsia="nl-NL"/>
              </w:rPr>
              <w:t>harmoni-zation</w:t>
            </w:r>
            <w:proofErr w:type="spellEnd"/>
          </w:p>
        </w:tc>
        <w:tc>
          <w:tcPr>
            <w:tcW w:w="1949" w:type="pct"/>
            <w:tcBorders>
              <w:top w:val="single" w:sz="8" w:space="0" w:color="auto"/>
              <w:left w:val="nil"/>
              <w:bottom w:val="single" w:sz="8" w:space="0" w:color="auto"/>
              <w:right w:val="single" w:sz="8" w:space="0" w:color="auto"/>
            </w:tcBorders>
            <w:shd w:val="clear" w:color="000000" w:fill="BFBFBF"/>
            <w:vAlign w:val="center"/>
            <w:hideMark/>
          </w:tcPr>
          <w:p w14:paraId="709D10D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Remark</w:t>
            </w:r>
          </w:p>
        </w:tc>
      </w:tr>
      <w:tr w:rsidR="00550FF9" w:rsidRPr="00F07B06" w14:paraId="42269165" w14:textId="77777777" w:rsidTr="00E75B60">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3563CD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E69FAE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characteristic</w:t>
            </w:r>
          </w:p>
        </w:tc>
        <w:tc>
          <w:tcPr>
            <w:tcW w:w="1235" w:type="pct"/>
            <w:tcBorders>
              <w:top w:val="nil"/>
              <w:left w:val="nil"/>
              <w:bottom w:val="nil"/>
              <w:right w:val="single" w:sz="8" w:space="0" w:color="auto"/>
            </w:tcBorders>
            <w:shd w:val="clear" w:color="auto" w:fill="auto"/>
            <w:vAlign w:val="center"/>
            <w:hideMark/>
          </w:tcPr>
          <w:p w14:paraId="72CB12C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Resistance to Tomato mosaic virus (</w:t>
            </w:r>
            <w:proofErr w:type="spellStart"/>
            <w:r w:rsidRPr="00E75B60">
              <w:rPr>
                <w:rFonts w:cs="Arial"/>
                <w:color w:val="000000"/>
                <w:sz w:val="18"/>
                <w:szCs w:val="18"/>
                <w:lang w:eastAsia="nl-NL"/>
              </w:rPr>
              <w:t>ToMV</w:t>
            </w:r>
            <w:proofErr w:type="spellEnd"/>
            <w:r w:rsidRPr="00E75B60">
              <w:rPr>
                <w:rFonts w:cs="Arial"/>
                <w:color w:val="000000"/>
                <w:sz w:val="18"/>
                <w:szCs w:val="18"/>
                <w:lang w:eastAsia="nl-NL"/>
              </w:rPr>
              <w:t>)</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739B882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hideMark/>
          </w:tcPr>
          <w:p w14:paraId="30C2F46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r>
      <w:tr w:rsidR="00550FF9" w:rsidRPr="00F07B06" w14:paraId="2C4F9654" w14:textId="77777777" w:rsidTr="00E75B60">
        <w:trPr>
          <w:gridAfter w:val="1"/>
          <w:wAfter w:w="82" w:type="pct"/>
          <w:cantSplit/>
          <w:trHeight w:val="315"/>
        </w:trPr>
        <w:tc>
          <w:tcPr>
            <w:tcW w:w="358" w:type="pct"/>
            <w:vMerge/>
            <w:tcBorders>
              <w:top w:val="nil"/>
              <w:left w:val="single" w:sz="8" w:space="0" w:color="auto"/>
              <w:bottom w:val="single" w:sz="8" w:space="0" w:color="000000"/>
              <w:right w:val="single" w:sz="8" w:space="0" w:color="auto"/>
            </w:tcBorders>
            <w:vAlign w:val="center"/>
            <w:hideMark/>
          </w:tcPr>
          <w:p w14:paraId="5CA4AD33"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49571BE"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6439554C"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fr-FR"/>
              </w:rPr>
              <w:t xml:space="preserve">See TG/44/11/rev3 – Ad 51: ii DNA marker test </w:t>
            </w:r>
          </w:p>
        </w:tc>
        <w:tc>
          <w:tcPr>
            <w:tcW w:w="577" w:type="pct"/>
            <w:vMerge/>
            <w:tcBorders>
              <w:top w:val="nil"/>
              <w:left w:val="single" w:sz="8" w:space="0" w:color="auto"/>
              <w:bottom w:val="single" w:sz="8" w:space="0" w:color="000000"/>
              <w:right w:val="single" w:sz="8" w:space="0" w:color="auto"/>
            </w:tcBorders>
            <w:vAlign w:val="center"/>
            <w:hideMark/>
          </w:tcPr>
          <w:p w14:paraId="068A2532" w14:textId="77777777" w:rsidR="00550FF9" w:rsidRPr="00E75B60" w:rsidRDefault="00550FF9" w:rsidP="00550FF9">
            <w:pPr>
              <w:jc w:val="left"/>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hideMark/>
          </w:tcPr>
          <w:p w14:paraId="7CC1A7CE" w14:textId="77777777" w:rsidR="00550FF9" w:rsidRPr="00E75B60" w:rsidRDefault="00550FF9" w:rsidP="00550FF9">
            <w:pPr>
              <w:jc w:val="left"/>
              <w:rPr>
                <w:rFonts w:cs="Arial"/>
                <w:color w:val="000000"/>
                <w:sz w:val="18"/>
                <w:szCs w:val="18"/>
                <w:lang w:eastAsia="fr-FR"/>
              </w:rPr>
            </w:pPr>
          </w:p>
        </w:tc>
      </w:tr>
      <w:tr w:rsidR="00550FF9" w:rsidRPr="00F07B06" w14:paraId="70A2FF75" w14:textId="77777777" w:rsidTr="00E75B60">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446DE2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2</w:t>
            </w:r>
          </w:p>
        </w:tc>
        <w:tc>
          <w:tcPr>
            <w:tcW w:w="800" w:type="pct"/>
            <w:tcBorders>
              <w:top w:val="nil"/>
              <w:left w:val="nil"/>
              <w:bottom w:val="single" w:sz="8" w:space="0" w:color="auto"/>
              <w:right w:val="single" w:sz="8" w:space="0" w:color="auto"/>
            </w:tcBorders>
            <w:shd w:val="clear" w:color="auto" w:fill="auto"/>
            <w:vAlign w:val="center"/>
            <w:hideMark/>
          </w:tcPr>
          <w:p w14:paraId="2DC606A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Genes and alleles</w:t>
            </w:r>
          </w:p>
        </w:tc>
        <w:tc>
          <w:tcPr>
            <w:tcW w:w="1235" w:type="pct"/>
            <w:tcBorders>
              <w:top w:val="nil"/>
              <w:left w:val="nil"/>
              <w:bottom w:val="single" w:sz="8" w:space="0" w:color="auto"/>
              <w:right w:val="single" w:sz="8" w:space="0" w:color="auto"/>
            </w:tcBorders>
            <w:shd w:val="clear" w:color="auto" w:fill="auto"/>
            <w:vAlign w:val="center"/>
            <w:hideMark/>
          </w:tcPr>
          <w:p w14:paraId="20FA88F1"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fr-FR"/>
              </w:rPr>
              <w:t>See TG/44/11/rev3 – Ad 51: ii DNA marker test add 2</w:t>
            </w:r>
          </w:p>
        </w:tc>
        <w:tc>
          <w:tcPr>
            <w:tcW w:w="577" w:type="pct"/>
            <w:tcBorders>
              <w:top w:val="nil"/>
              <w:left w:val="nil"/>
              <w:bottom w:val="single" w:sz="8" w:space="0" w:color="auto"/>
              <w:right w:val="single" w:sz="8" w:space="0" w:color="auto"/>
            </w:tcBorders>
            <w:shd w:val="clear" w:color="auto" w:fill="auto"/>
            <w:vAlign w:val="center"/>
            <w:hideMark/>
          </w:tcPr>
          <w:p w14:paraId="46644F9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114DCC4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Need to avoid dominant marker or presence/absence marker otherwise the robustness should be assessed</w:t>
            </w:r>
          </w:p>
        </w:tc>
      </w:tr>
      <w:tr w:rsidR="00550FF9" w:rsidRPr="00F07B06" w14:paraId="1EED0AA4" w14:textId="77777777" w:rsidTr="00E75B60">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382F1DC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2.1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295E88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Targeted gene(s)</w:t>
            </w:r>
          </w:p>
        </w:tc>
        <w:tc>
          <w:tcPr>
            <w:tcW w:w="1235" w:type="pct"/>
            <w:tcBorders>
              <w:top w:val="nil"/>
              <w:left w:val="nil"/>
              <w:bottom w:val="nil"/>
              <w:right w:val="single" w:sz="8" w:space="0" w:color="auto"/>
            </w:tcBorders>
            <w:shd w:val="clear" w:color="auto" w:fill="auto"/>
            <w:vAlign w:val="center"/>
            <w:hideMark/>
          </w:tcPr>
          <w:p w14:paraId="4C076F3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Resistance Gene Tm2</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5441A250"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nil"/>
              <w:right w:val="single" w:sz="8" w:space="0" w:color="auto"/>
            </w:tcBorders>
            <w:shd w:val="clear" w:color="auto" w:fill="auto"/>
            <w:vAlign w:val="center"/>
            <w:hideMark/>
          </w:tcPr>
          <w:p w14:paraId="74FCBD09"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a) file(s) containing the DNA sequence information (order of nucleotides) </w:t>
            </w:r>
          </w:p>
        </w:tc>
      </w:tr>
      <w:tr w:rsidR="00550FF9" w:rsidRPr="00F07B06" w14:paraId="5FAD66F9" w14:textId="77777777" w:rsidTr="00E75B60">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06BDFF89"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200E8F6"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37F5F61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fr-FR"/>
              </w:rPr>
              <w:t>Arens, P. et al (2010)</w:t>
            </w:r>
          </w:p>
        </w:tc>
        <w:tc>
          <w:tcPr>
            <w:tcW w:w="577" w:type="pct"/>
            <w:vMerge/>
            <w:tcBorders>
              <w:top w:val="nil"/>
              <w:left w:val="single" w:sz="8" w:space="0" w:color="auto"/>
              <w:bottom w:val="single" w:sz="8" w:space="0" w:color="000000"/>
              <w:right w:val="single" w:sz="8" w:space="0" w:color="auto"/>
            </w:tcBorders>
            <w:vAlign w:val="center"/>
            <w:hideMark/>
          </w:tcPr>
          <w:p w14:paraId="71EDB5B3"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476097D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b) reference to DNA information in public databases (like </w:t>
            </w:r>
            <w:proofErr w:type="spellStart"/>
            <w:r w:rsidRPr="00E75B60">
              <w:rPr>
                <w:rFonts w:cs="Arial"/>
                <w:color w:val="000000"/>
                <w:sz w:val="18"/>
                <w:szCs w:val="18"/>
                <w:lang w:eastAsia="nl-NL"/>
              </w:rPr>
              <w:t>GeneBank</w:t>
            </w:r>
            <w:proofErr w:type="spellEnd"/>
            <w:r w:rsidRPr="00E75B60">
              <w:rPr>
                <w:rFonts w:cs="Arial"/>
                <w:color w:val="000000"/>
                <w:sz w:val="18"/>
                <w:szCs w:val="18"/>
                <w:lang w:eastAsia="nl-NL"/>
              </w:rPr>
              <w:t>)</w:t>
            </w:r>
          </w:p>
        </w:tc>
      </w:tr>
      <w:tr w:rsidR="00550FF9" w:rsidRPr="00F07B06" w14:paraId="211FB7B6" w14:textId="77777777" w:rsidTr="00E75B60">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1A5438D3"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C14AC61"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3025C1C8"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nl-NL"/>
              </w:rPr>
              <w:t> </w:t>
            </w:r>
          </w:p>
        </w:tc>
        <w:tc>
          <w:tcPr>
            <w:tcW w:w="577" w:type="pct"/>
            <w:vMerge/>
            <w:tcBorders>
              <w:top w:val="nil"/>
              <w:left w:val="single" w:sz="8" w:space="0" w:color="auto"/>
              <w:bottom w:val="single" w:sz="8" w:space="0" w:color="000000"/>
              <w:right w:val="single" w:sz="8" w:space="0" w:color="auto"/>
            </w:tcBorders>
            <w:vAlign w:val="center"/>
            <w:hideMark/>
          </w:tcPr>
          <w:p w14:paraId="3387E681"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7FA2BC5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c) reference to (scientific) publications in which the DNA sequence information of the states of expression of the characteristic is revealed.</w:t>
            </w:r>
          </w:p>
        </w:tc>
      </w:tr>
      <w:tr w:rsidR="00550FF9" w:rsidRPr="00F07B06" w14:paraId="09A2D635" w14:textId="77777777" w:rsidTr="00E75B60">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58D788D3"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FA8D9F9"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6BBEFEB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fr-FR"/>
              </w:rPr>
              <w:t> </w:t>
            </w:r>
          </w:p>
        </w:tc>
        <w:tc>
          <w:tcPr>
            <w:tcW w:w="577" w:type="pct"/>
            <w:vMerge/>
            <w:tcBorders>
              <w:top w:val="nil"/>
              <w:left w:val="single" w:sz="8" w:space="0" w:color="auto"/>
              <w:bottom w:val="single" w:sz="8" w:space="0" w:color="000000"/>
              <w:right w:val="single" w:sz="8" w:space="0" w:color="auto"/>
            </w:tcBorders>
            <w:vAlign w:val="center"/>
            <w:hideMark/>
          </w:tcPr>
          <w:p w14:paraId="193DD952"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single" w:sz="8" w:space="0" w:color="auto"/>
              <w:right w:val="single" w:sz="8" w:space="0" w:color="auto"/>
            </w:tcBorders>
            <w:shd w:val="clear" w:color="auto" w:fill="auto"/>
            <w:vAlign w:val="center"/>
            <w:hideMark/>
          </w:tcPr>
          <w:p w14:paraId="74C6CC9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 reference to a particular position on the published reference genome version.</w:t>
            </w:r>
          </w:p>
        </w:tc>
      </w:tr>
      <w:tr w:rsidR="00550FF9" w:rsidRPr="00F07B06" w14:paraId="058E0289" w14:textId="77777777" w:rsidTr="00E75B60">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470068B9"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2.2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75BE674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Allele corresponding to state 1 </w:t>
            </w:r>
          </w:p>
        </w:tc>
        <w:tc>
          <w:tcPr>
            <w:tcW w:w="1235" w:type="pct"/>
            <w:tcBorders>
              <w:top w:val="nil"/>
              <w:left w:val="nil"/>
              <w:bottom w:val="nil"/>
              <w:right w:val="single" w:sz="8" w:space="0" w:color="auto"/>
            </w:tcBorders>
            <w:shd w:val="clear" w:color="auto" w:fill="auto"/>
            <w:vAlign w:val="center"/>
            <w:hideMark/>
          </w:tcPr>
          <w:p w14:paraId="248C37F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Tm2 and Tm2</w:t>
            </w:r>
            <w:r w:rsidRPr="00E75B60">
              <w:rPr>
                <w:rFonts w:cs="Arial"/>
                <w:color w:val="000000"/>
                <w:sz w:val="18"/>
                <w:szCs w:val="18"/>
                <w:vertAlign w:val="superscript"/>
                <w:lang w:eastAsia="nl-NL"/>
              </w:rPr>
              <w:t>2</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324B518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nil"/>
              <w:right w:val="single" w:sz="8" w:space="0" w:color="auto"/>
            </w:tcBorders>
            <w:shd w:val="clear" w:color="auto" w:fill="auto"/>
            <w:vAlign w:val="center"/>
            <w:hideMark/>
          </w:tcPr>
          <w:p w14:paraId="0E8453C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a) file(s) containing the DNA sequence information (order of nucleotides) </w:t>
            </w:r>
          </w:p>
        </w:tc>
      </w:tr>
      <w:tr w:rsidR="00550FF9" w:rsidRPr="00F07B06" w14:paraId="09519890" w14:textId="77777777" w:rsidTr="00E75B60">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3403F911"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776DCF7"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4607B6C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fr-FR"/>
              </w:rPr>
              <w:t>Arens, P. et al (2010)</w:t>
            </w:r>
          </w:p>
        </w:tc>
        <w:tc>
          <w:tcPr>
            <w:tcW w:w="577" w:type="pct"/>
            <w:vMerge/>
            <w:tcBorders>
              <w:top w:val="nil"/>
              <w:left w:val="single" w:sz="8" w:space="0" w:color="auto"/>
              <w:bottom w:val="single" w:sz="8" w:space="0" w:color="000000"/>
              <w:right w:val="single" w:sz="8" w:space="0" w:color="auto"/>
            </w:tcBorders>
            <w:vAlign w:val="center"/>
            <w:hideMark/>
          </w:tcPr>
          <w:p w14:paraId="30FB382C"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30A6C7F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b) reference to DNA information in public databases (like </w:t>
            </w:r>
            <w:proofErr w:type="spellStart"/>
            <w:r w:rsidRPr="00E75B60">
              <w:rPr>
                <w:rFonts w:cs="Arial"/>
                <w:color w:val="000000"/>
                <w:sz w:val="18"/>
                <w:szCs w:val="18"/>
                <w:lang w:eastAsia="nl-NL"/>
              </w:rPr>
              <w:t>GeneBank</w:t>
            </w:r>
            <w:proofErr w:type="spellEnd"/>
            <w:r w:rsidRPr="00E75B60">
              <w:rPr>
                <w:rFonts w:cs="Arial"/>
                <w:color w:val="000000"/>
                <w:sz w:val="18"/>
                <w:szCs w:val="18"/>
                <w:lang w:eastAsia="nl-NL"/>
              </w:rPr>
              <w:t>)</w:t>
            </w:r>
          </w:p>
        </w:tc>
      </w:tr>
      <w:tr w:rsidR="00550FF9" w:rsidRPr="00F07B06" w14:paraId="3196C1DA" w14:textId="77777777" w:rsidTr="00E75B60">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1A567347"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1912FA8"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39DDF0BC"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577" w:type="pct"/>
            <w:vMerge/>
            <w:tcBorders>
              <w:top w:val="nil"/>
              <w:left w:val="single" w:sz="8" w:space="0" w:color="auto"/>
              <w:bottom w:val="single" w:sz="8" w:space="0" w:color="000000"/>
              <w:right w:val="single" w:sz="8" w:space="0" w:color="auto"/>
            </w:tcBorders>
            <w:vAlign w:val="center"/>
            <w:hideMark/>
          </w:tcPr>
          <w:p w14:paraId="126938B0"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69B0757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c) reference to (scientific) publications in which the DNA sequence information of the states of expression of the characteristic is revealed.</w:t>
            </w:r>
          </w:p>
        </w:tc>
      </w:tr>
      <w:tr w:rsidR="00550FF9" w:rsidRPr="00F07B06" w14:paraId="64A520F6" w14:textId="77777777" w:rsidTr="00E75B60">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7F979272"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4DA1FD7"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6F0461D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fr-FR"/>
              </w:rPr>
              <w:t> </w:t>
            </w:r>
          </w:p>
        </w:tc>
        <w:tc>
          <w:tcPr>
            <w:tcW w:w="577" w:type="pct"/>
            <w:vMerge/>
            <w:tcBorders>
              <w:top w:val="nil"/>
              <w:left w:val="single" w:sz="8" w:space="0" w:color="auto"/>
              <w:bottom w:val="single" w:sz="8" w:space="0" w:color="000000"/>
              <w:right w:val="single" w:sz="8" w:space="0" w:color="auto"/>
            </w:tcBorders>
            <w:vAlign w:val="center"/>
            <w:hideMark/>
          </w:tcPr>
          <w:p w14:paraId="162A036B"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single" w:sz="8" w:space="0" w:color="auto"/>
              <w:right w:val="single" w:sz="8" w:space="0" w:color="auto"/>
            </w:tcBorders>
            <w:shd w:val="clear" w:color="auto" w:fill="auto"/>
            <w:vAlign w:val="center"/>
            <w:hideMark/>
          </w:tcPr>
          <w:p w14:paraId="64D1EE0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 reference to a particular position on the published reference genome version in combination with the SNP or INDEL that is responsible for the state of expression.</w:t>
            </w:r>
          </w:p>
        </w:tc>
      </w:tr>
      <w:tr w:rsidR="00550FF9" w:rsidRPr="00F07B06" w14:paraId="2EAB8A56" w14:textId="77777777" w:rsidTr="00E75B60">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2DEE73D5"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2.3</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2FDE6C86"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 xml:space="preserve">Allele corresponding to expression state n </w:t>
            </w:r>
          </w:p>
        </w:tc>
        <w:tc>
          <w:tcPr>
            <w:tcW w:w="1235" w:type="pct"/>
            <w:tcBorders>
              <w:top w:val="nil"/>
              <w:left w:val="nil"/>
              <w:bottom w:val="nil"/>
              <w:right w:val="single" w:sz="8" w:space="0" w:color="auto"/>
            </w:tcBorders>
            <w:shd w:val="clear" w:color="auto" w:fill="auto"/>
            <w:vAlign w:val="center"/>
            <w:hideMark/>
          </w:tcPr>
          <w:p w14:paraId="02F628B9"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tm2</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38850518"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nil"/>
              <w:right w:val="single" w:sz="8" w:space="0" w:color="auto"/>
            </w:tcBorders>
            <w:shd w:val="clear" w:color="auto" w:fill="auto"/>
            <w:vAlign w:val="center"/>
            <w:hideMark/>
          </w:tcPr>
          <w:p w14:paraId="622132ED"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 xml:space="preserve">a) file(s) containing the DNA sequence information (order of nucleotides) </w:t>
            </w:r>
          </w:p>
        </w:tc>
      </w:tr>
      <w:tr w:rsidR="00550FF9" w:rsidRPr="00F07B06" w14:paraId="5EC0CBEC" w14:textId="77777777" w:rsidTr="00E75B60">
        <w:trPr>
          <w:gridAfter w:val="1"/>
          <w:wAfter w:w="82"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05E6CFBA" w14:textId="77777777" w:rsidR="00550FF9" w:rsidRPr="00E75B60" w:rsidRDefault="00550FF9" w:rsidP="00550FF9">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2BBB4D1" w14:textId="77777777" w:rsidR="00550FF9" w:rsidRPr="00E75B60" w:rsidRDefault="00550FF9" w:rsidP="00550FF9">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761469C6"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fr-FR"/>
              </w:rPr>
              <w:t>Arens, P. et al (2010)</w:t>
            </w:r>
          </w:p>
        </w:tc>
        <w:tc>
          <w:tcPr>
            <w:tcW w:w="577" w:type="pct"/>
            <w:vMerge/>
            <w:tcBorders>
              <w:top w:val="nil"/>
              <w:left w:val="single" w:sz="8" w:space="0" w:color="auto"/>
              <w:bottom w:val="single" w:sz="8" w:space="0" w:color="000000"/>
              <w:right w:val="single" w:sz="8" w:space="0" w:color="auto"/>
            </w:tcBorders>
            <w:vAlign w:val="center"/>
            <w:hideMark/>
          </w:tcPr>
          <w:p w14:paraId="082AC573" w14:textId="77777777" w:rsidR="00550FF9" w:rsidRPr="00E75B60" w:rsidRDefault="00550FF9" w:rsidP="00550FF9">
            <w:pPr>
              <w:keepNext/>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6BE58233"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 xml:space="preserve">b) reference to DNA information in public databases (like </w:t>
            </w:r>
            <w:proofErr w:type="spellStart"/>
            <w:r w:rsidRPr="00E75B60">
              <w:rPr>
                <w:rFonts w:cs="Arial"/>
                <w:color w:val="000000"/>
                <w:sz w:val="18"/>
                <w:szCs w:val="18"/>
                <w:lang w:eastAsia="nl-NL"/>
              </w:rPr>
              <w:t>GeneBank</w:t>
            </w:r>
            <w:proofErr w:type="spellEnd"/>
            <w:r w:rsidRPr="00E75B60">
              <w:rPr>
                <w:rFonts w:cs="Arial"/>
                <w:color w:val="000000"/>
                <w:sz w:val="18"/>
                <w:szCs w:val="18"/>
                <w:lang w:eastAsia="nl-NL"/>
              </w:rPr>
              <w:t>)</w:t>
            </w:r>
          </w:p>
        </w:tc>
      </w:tr>
      <w:tr w:rsidR="00550FF9" w:rsidRPr="00F07B06" w14:paraId="2F6F51BD" w14:textId="77777777" w:rsidTr="00E75B60">
        <w:trPr>
          <w:gridAfter w:val="1"/>
          <w:wAfter w:w="82"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255BFE11" w14:textId="77777777" w:rsidR="00550FF9" w:rsidRPr="00E75B60" w:rsidRDefault="00550FF9" w:rsidP="00550FF9">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52EAA24" w14:textId="77777777" w:rsidR="00550FF9" w:rsidRPr="00E75B60" w:rsidRDefault="00550FF9" w:rsidP="00550FF9">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7A420A5B"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 </w:t>
            </w:r>
          </w:p>
        </w:tc>
        <w:tc>
          <w:tcPr>
            <w:tcW w:w="577" w:type="pct"/>
            <w:vMerge/>
            <w:tcBorders>
              <w:top w:val="nil"/>
              <w:left w:val="single" w:sz="8" w:space="0" w:color="auto"/>
              <w:bottom w:val="single" w:sz="8" w:space="0" w:color="000000"/>
              <w:right w:val="single" w:sz="8" w:space="0" w:color="auto"/>
            </w:tcBorders>
            <w:vAlign w:val="center"/>
            <w:hideMark/>
          </w:tcPr>
          <w:p w14:paraId="529438BF" w14:textId="77777777" w:rsidR="00550FF9" w:rsidRPr="00E75B60" w:rsidRDefault="00550FF9" w:rsidP="00550FF9">
            <w:pPr>
              <w:keepNext/>
              <w:jc w:val="left"/>
              <w:rPr>
                <w:rFonts w:cs="Arial"/>
                <w:color w:val="000000"/>
                <w:sz w:val="18"/>
                <w:szCs w:val="18"/>
                <w:lang w:eastAsia="fr-FR"/>
              </w:rPr>
            </w:pPr>
          </w:p>
        </w:tc>
        <w:tc>
          <w:tcPr>
            <w:tcW w:w="1949" w:type="pct"/>
            <w:tcBorders>
              <w:top w:val="nil"/>
              <w:left w:val="nil"/>
              <w:bottom w:val="nil"/>
              <w:right w:val="single" w:sz="8" w:space="0" w:color="auto"/>
            </w:tcBorders>
            <w:shd w:val="clear" w:color="auto" w:fill="auto"/>
            <w:vAlign w:val="center"/>
            <w:hideMark/>
          </w:tcPr>
          <w:p w14:paraId="1B51E29D" w14:textId="77777777" w:rsidR="00550FF9" w:rsidRPr="00E75B60" w:rsidRDefault="00550FF9" w:rsidP="00550FF9">
            <w:pPr>
              <w:keepNext/>
              <w:jc w:val="left"/>
              <w:rPr>
                <w:rFonts w:cs="Arial"/>
                <w:color w:val="000000"/>
                <w:sz w:val="18"/>
                <w:szCs w:val="18"/>
                <w:lang w:eastAsia="fr-FR"/>
              </w:rPr>
            </w:pPr>
            <w:r w:rsidRPr="00E75B60">
              <w:rPr>
                <w:rFonts w:cs="Arial"/>
                <w:color w:val="000000"/>
                <w:sz w:val="18"/>
                <w:szCs w:val="18"/>
                <w:lang w:eastAsia="nl-NL"/>
              </w:rPr>
              <w:t>c) reference to (scientific) publications in which the DNA sequence information of the states of expression of the characteristic is revealed.</w:t>
            </w:r>
          </w:p>
        </w:tc>
      </w:tr>
      <w:tr w:rsidR="00550FF9" w:rsidRPr="00F07B06" w14:paraId="32B25D37" w14:textId="77777777" w:rsidTr="00E75B60">
        <w:trPr>
          <w:gridAfter w:val="1"/>
          <w:wAfter w:w="82"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5C9F9C0C"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23250C6"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0F51A2A9"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fr-FR"/>
              </w:rPr>
              <w:t> </w:t>
            </w:r>
          </w:p>
        </w:tc>
        <w:tc>
          <w:tcPr>
            <w:tcW w:w="577" w:type="pct"/>
            <w:vMerge/>
            <w:tcBorders>
              <w:top w:val="nil"/>
              <w:left w:val="single" w:sz="8" w:space="0" w:color="auto"/>
              <w:bottom w:val="single" w:sz="8" w:space="0" w:color="000000"/>
              <w:right w:val="single" w:sz="8" w:space="0" w:color="auto"/>
            </w:tcBorders>
            <w:vAlign w:val="center"/>
            <w:hideMark/>
          </w:tcPr>
          <w:p w14:paraId="49D9E212"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single" w:sz="8" w:space="0" w:color="auto"/>
              <w:right w:val="single" w:sz="8" w:space="0" w:color="auto"/>
            </w:tcBorders>
            <w:shd w:val="clear" w:color="auto" w:fill="auto"/>
            <w:vAlign w:val="center"/>
            <w:hideMark/>
          </w:tcPr>
          <w:p w14:paraId="46C29A9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 reference to a particular position on the published reference genome version in combination with the SNP or INDEL that is responsible for the state of expression.</w:t>
            </w:r>
          </w:p>
        </w:tc>
      </w:tr>
      <w:tr w:rsidR="00550FF9" w:rsidRPr="00F07B06" w14:paraId="5BB56F87" w14:textId="77777777" w:rsidTr="00E75B60">
        <w:trPr>
          <w:gridAfter w:val="1"/>
          <w:wAfter w:w="82" w:type="pct"/>
          <w:cantSplit/>
          <w:trHeight w:val="78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7FAEDB3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3</w:t>
            </w:r>
          </w:p>
        </w:tc>
        <w:tc>
          <w:tcPr>
            <w:tcW w:w="800" w:type="pct"/>
            <w:tcBorders>
              <w:top w:val="nil"/>
              <w:left w:val="nil"/>
              <w:bottom w:val="single" w:sz="8" w:space="0" w:color="auto"/>
              <w:right w:val="single" w:sz="8" w:space="0" w:color="auto"/>
            </w:tcBorders>
            <w:shd w:val="clear" w:color="auto" w:fill="auto"/>
            <w:vAlign w:val="center"/>
            <w:hideMark/>
          </w:tcPr>
          <w:p w14:paraId="721C13A8"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Primers (and probes)</w:t>
            </w:r>
          </w:p>
        </w:tc>
        <w:tc>
          <w:tcPr>
            <w:tcW w:w="1235" w:type="pct"/>
            <w:tcBorders>
              <w:top w:val="nil"/>
              <w:left w:val="nil"/>
              <w:bottom w:val="single" w:sz="8" w:space="0" w:color="auto"/>
              <w:right w:val="single" w:sz="8" w:space="0" w:color="auto"/>
            </w:tcBorders>
            <w:shd w:val="clear" w:color="auto" w:fill="auto"/>
            <w:vAlign w:val="center"/>
            <w:hideMark/>
          </w:tcPr>
          <w:p w14:paraId="3A2B1608"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fr-FR"/>
              </w:rPr>
              <w:t>See TG/44/11/rev3 – Ad 51: ii DNA marker test add 3, 3.1 and 3.2</w:t>
            </w:r>
          </w:p>
        </w:tc>
        <w:tc>
          <w:tcPr>
            <w:tcW w:w="577" w:type="pct"/>
            <w:tcBorders>
              <w:top w:val="nil"/>
              <w:left w:val="nil"/>
              <w:bottom w:val="single" w:sz="8" w:space="0" w:color="auto"/>
              <w:right w:val="single" w:sz="8" w:space="0" w:color="auto"/>
            </w:tcBorders>
            <w:shd w:val="clear" w:color="auto" w:fill="auto"/>
            <w:vAlign w:val="center"/>
            <w:hideMark/>
          </w:tcPr>
          <w:p w14:paraId="21F9107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6AF8893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Primer and probe sequences, reference to accessions and sequences in public databases (</w:t>
            </w:r>
            <w:proofErr w:type="spellStart"/>
            <w:r w:rsidRPr="00E75B60">
              <w:rPr>
                <w:rFonts w:cs="Arial"/>
                <w:color w:val="000000"/>
                <w:sz w:val="18"/>
                <w:szCs w:val="18"/>
                <w:lang w:eastAsia="nl-NL"/>
              </w:rPr>
              <w:t>Genebank</w:t>
            </w:r>
            <w:proofErr w:type="spellEnd"/>
            <w:r w:rsidRPr="00E75B60">
              <w:rPr>
                <w:rFonts w:cs="Arial"/>
                <w:color w:val="000000"/>
                <w:sz w:val="18"/>
                <w:szCs w:val="18"/>
                <w:lang w:eastAsia="nl-NL"/>
              </w:rPr>
              <w:t xml:space="preserve"> numbers), literature</w:t>
            </w:r>
          </w:p>
        </w:tc>
      </w:tr>
      <w:tr w:rsidR="00550FF9" w:rsidRPr="00F07B06" w14:paraId="4E22E9D4" w14:textId="77777777" w:rsidTr="00E75B60">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A8478D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3.1</w:t>
            </w:r>
          </w:p>
        </w:tc>
        <w:tc>
          <w:tcPr>
            <w:tcW w:w="800" w:type="pct"/>
            <w:tcBorders>
              <w:top w:val="nil"/>
              <w:left w:val="nil"/>
              <w:bottom w:val="single" w:sz="8" w:space="0" w:color="auto"/>
              <w:right w:val="single" w:sz="8" w:space="0" w:color="auto"/>
            </w:tcBorders>
            <w:shd w:val="clear" w:color="auto" w:fill="auto"/>
            <w:vAlign w:val="center"/>
            <w:hideMark/>
          </w:tcPr>
          <w:p w14:paraId="271BBD8C"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Primers </w:t>
            </w:r>
            <w:r w:rsidRPr="00E75B60">
              <w:rPr>
                <w:rFonts w:cs="Arial"/>
                <w:color w:val="000000"/>
                <w:sz w:val="18"/>
                <w:szCs w:val="18"/>
                <w:highlight w:val="lightGray"/>
                <w:lang w:eastAsia="nl-NL"/>
              </w:rPr>
              <w:t>(and probes)</w:t>
            </w:r>
            <w:r w:rsidRPr="00E75B60">
              <w:rPr>
                <w:rFonts w:cs="Arial"/>
                <w:color w:val="000000"/>
                <w:sz w:val="18"/>
                <w:szCs w:val="18"/>
                <w:lang w:eastAsia="nl-NL"/>
              </w:rPr>
              <w:t xml:space="preserve"> to detect allele ‘9’</w:t>
            </w:r>
          </w:p>
        </w:tc>
        <w:tc>
          <w:tcPr>
            <w:tcW w:w="1235" w:type="pct"/>
            <w:tcBorders>
              <w:top w:val="nil"/>
              <w:left w:val="nil"/>
              <w:bottom w:val="single" w:sz="8" w:space="0" w:color="auto"/>
              <w:right w:val="single" w:sz="8" w:space="0" w:color="auto"/>
            </w:tcBorders>
            <w:shd w:val="clear" w:color="auto" w:fill="auto"/>
            <w:vAlign w:val="center"/>
            <w:hideMark/>
          </w:tcPr>
          <w:p w14:paraId="6E43729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577" w:type="pct"/>
            <w:tcBorders>
              <w:top w:val="nil"/>
              <w:left w:val="nil"/>
              <w:bottom w:val="single" w:sz="8" w:space="0" w:color="auto"/>
              <w:right w:val="single" w:sz="8" w:space="0" w:color="auto"/>
            </w:tcBorders>
            <w:shd w:val="clear" w:color="auto" w:fill="auto"/>
            <w:vAlign w:val="center"/>
            <w:hideMark/>
          </w:tcPr>
          <w:p w14:paraId="2C90A0D7"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43772DC0"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Primer Sequences corresponding to allele(s) for expression ‘9’ (resistance)</w:t>
            </w:r>
          </w:p>
        </w:tc>
      </w:tr>
      <w:tr w:rsidR="00550FF9" w:rsidRPr="00F07B06" w14:paraId="7AB3208F" w14:textId="77777777" w:rsidTr="00E75B60">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2C71440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3.2</w:t>
            </w:r>
          </w:p>
        </w:tc>
        <w:tc>
          <w:tcPr>
            <w:tcW w:w="800" w:type="pct"/>
            <w:tcBorders>
              <w:top w:val="nil"/>
              <w:left w:val="nil"/>
              <w:bottom w:val="single" w:sz="8" w:space="0" w:color="auto"/>
              <w:right w:val="single" w:sz="8" w:space="0" w:color="auto"/>
            </w:tcBorders>
            <w:shd w:val="clear" w:color="auto" w:fill="auto"/>
            <w:vAlign w:val="center"/>
            <w:hideMark/>
          </w:tcPr>
          <w:p w14:paraId="104AB9F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Primers </w:t>
            </w:r>
            <w:r w:rsidRPr="00E75B60">
              <w:rPr>
                <w:rFonts w:cs="Arial"/>
                <w:color w:val="000000"/>
                <w:sz w:val="18"/>
                <w:szCs w:val="18"/>
                <w:highlight w:val="lightGray"/>
                <w:lang w:eastAsia="nl-NL"/>
              </w:rPr>
              <w:t>(and probes)</w:t>
            </w:r>
            <w:r w:rsidRPr="00E75B60">
              <w:rPr>
                <w:rFonts w:cs="Arial"/>
                <w:color w:val="000000"/>
                <w:sz w:val="18"/>
                <w:szCs w:val="18"/>
                <w:lang w:eastAsia="nl-NL"/>
              </w:rPr>
              <w:t xml:space="preserve"> to detect allele ‘1’</w:t>
            </w:r>
          </w:p>
        </w:tc>
        <w:tc>
          <w:tcPr>
            <w:tcW w:w="1235" w:type="pct"/>
            <w:tcBorders>
              <w:top w:val="nil"/>
              <w:left w:val="nil"/>
              <w:bottom w:val="single" w:sz="8" w:space="0" w:color="auto"/>
              <w:right w:val="single" w:sz="8" w:space="0" w:color="auto"/>
            </w:tcBorders>
            <w:shd w:val="clear" w:color="auto" w:fill="auto"/>
            <w:vAlign w:val="center"/>
            <w:hideMark/>
          </w:tcPr>
          <w:p w14:paraId="1DCD569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577" w:type="pct"/>
            <w:tcBorders>
              <w:top w:val="nil"/>
              <w:left w:val="nil"/>
              <w:bottom w:val="single" w:sz="8" w:space="0" w:color="auto"/>
              <w:right w:val="single" w:sz="8" w:space="0" w:color="auto"/>
            </w:tcBorders>
            <w:shd w:val="clear" w:color="auto" w:fill="auto"/>
            <w:vAlign w:val="center"/>
            <w:hideMark/>
          </w:tcPr>
          <w:p w14:paraId="69804748"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793B803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Primer Sequences corresponding to allele(s) for expression ‘1’ (susceptibility)</w:t>
            </w:r>
          </w:p>
        </w:tc>
      </w:tr>
      <w:tr w:rsidR="00550FF9" w:rsidRPr="00F07B06" w14:paraId="70472D01" w14:textId="77777777" w:rsidTr="00E75B60">
        <w:trPr>
          <w:gridAfter w:val="1"/>
          <w:wAfter w:w="82"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44F518F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3.3</w:t>
            </w:r>
          </w:p>
        </w:tc>
        <w:tc>
          <w:tcPr>
            <w:tcW w:w="800" w:type="pct"/>
            <w:tcBorders>
              <w:top w:val="nil"/>
              <w:left w:val="nil"/>
              <w:bottom w:val="single" w:sz="8" w:space="0" w:color="auto"/>
              <w:right w:val="single" w:sz="8" w:space="0" w:color="auto"/>
            </w:tcBorders>
            <w:shd w:val="clear" w:color="auto" w:fill="auto"/>
            <w:vAlign w:val="center"/>
            <w:hideMark/>
          </w:tcPr>
          <w:p w14:paraId="09CAAD4C"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Primers (</w:t>
            </w:r>
            <w:r w:rsidRPr="00E75B60">
              <w:rPr>
                <w:rFonts w:cs="Arial"/>
                <w:color w:val="000000"/>
                <w:sz w:val="18"/>
                <w:szCs w:val="18"/>
                <w:highlight w:val="lightGray"/>
                <w:lang w:eastAsia="nl-NL"/>
              </w:rPr>
              <w:t>and probes</w:t>
            </w:r>
            <w:r w:rsidRPr="00E75B60">
              <w:rPr>
                <w:rFonts w:cs="Arial"/>
                <w:color w:val="000000"/>
                <w:sz w:val="18"/>
                <w:szCs w:val="18"/>
                <w:lang w:eastAsia="nl-NL"/>
              </w:rPr>
              <w:t>) to detect allele ‘x’</w:t>
            </w:r>
          </w:p>
        </w:tc>
        <w:tc>
          <w:tcPr>
            <w:tcW w:w="1235" w:type="pct"/>
            <w:tcBorders>
              <w:top w:val="nil"/>
              <w:left w:val="nil"/>
              <w:bottom w:val="single" w:sz="8" w:space="0" w:color="auto"/>
              <w:right w:val="single" w:sz="8" w:space="0" w:color="auto"/>
            </w:tcBorders>
            <w:shd w:val="clear" w:color="auto" w:fill="auto"/>
            <w:vAlign w:val="center"/>
            <w:hideMark/>
          </w:tcPr>
          <w:p w14:paraId="3F66E49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577" w:type="pct"/>
            <w:tcBorders>
              <w:top w:val="nil"/>
              <w:left w:val="nil"/>
              <w:bottom w:val="single" w:sz="8" w:space="0" w:color="auto"/>
              <w:right w:val="single" w:sz="8" w:space="0" w:color="auto"/>
            </w:tcBorders>
            <w:shd w:val="clear" w:color="auto" w:fill="auto"/>
            <w:vAlign w:val="center"/>
            <w:hideMark/>
          </w:tcPr>
          <w:p w14:paraId="695D817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433C02E0"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Primer Sequences corresponding to allele(s) for expression ‘x’ </w:t>
            </w:r>
          </w:p>
        </w:tc>
      </w:tr>
      <w:tr w:rsidR="00550FF9" w:rsidRPr="00F07B06" w14:paraId="2B91699F" w14:textId="77777777" w:rsidTr="00E75B60">
        <w:trPr>
          <w:gridAfter w:val="1"/>
          <w:wAfter w:w="82" w:type="pct"/>
          <w:cantSplit/>
          <w:trHeight w:val="31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7596733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lastRenderedPageBreak/>
              <w:t>4</w:t>
            </w:r>
          </w:p>
        </w:tc>
        <w:tc>
          <w:tcPr>
            <w:tcW w:w="800" w:type="pct"/>
            <w:tcBorders>
              <w:top w:val="nil"/>
              <w:left w:val="nil"/>
              <w:bottom w:val="single" w:sz="8" w:space="0" w:color="auto"/>
              <w:right w:val="single" w:sz="8" w:space="0" w:color="auto"/>
            </w:tcBorders>
            <w:shd w:val="clear" w:color="auto" w:fill="auto"/>
            <w:vAlign w:val="center"/>
            <w:hideMark/>
          </w:tcPr>
          <w:p w14:paraId="27CE64D7"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Format of the test</w:t>
            </w:r>
          </w:p>
        </w:tc>
        <w:tc>
          <w:tcPr>
            <w:tcW w:w="1235" w:type="pct"/>
            <w:tcBorders>
              <w:top w:val="nil"/>
              <w:left w:val="nil"/>
              <w:bottom w:val="single" w:sz="8" w:space="0" w:color="auto"/>
              <w:right w:val="single" w:sz="8" w:space="0" w:color="auto"/>
            </w:tcBorders>
            <w:shd w:val="clear" w:color="auto" w:fill="auto"/>
            <w:vAlign w:val="center"/>
            <w:hideMark/>
          </w:tcPr>
          <w:p w14:paraId="33FF429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577" w:type="pct"/>
            <w:tcBorders>
              <w:top w:val="nil"/>
              <w:left w:val="nil"/>
              <w:bottom w:val="single" w:sz="8" w:space="0" w:color="auto"/>
              <w:right w:val="single" w:sz="8" w:space="0" w:color="auto"/>
            </w:tcBorders>
            <w:shd w:val="clear" w:color="auto" w:fill="auto"/>
            <w:vAlign w:val="center"/>
            <w:hideMark/>
          </w:tcPr>
          <w:p w14:paraId="62AA03A0"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c>
          <w:tcPr>
            <w:tcW w:w="1949" w:type="pct"/>
            <w:tcBorders>
              <w:top w:val="nil"/>
              <w:left w:val="nil"/>
              <w:bottom w:val="single" w:sz="8" w:space="0" w:color="auto"/>
              <w:right w:val="single" w:sz="8" w:space="0" w:color="auto"/>
            </w:tcBorders>
            <w:shd w:val="clear" w:color="auto" w:fill="auto"/>
            <w:vAlign w:val="center"/>
            <w:hideMark/>
          </w:tcPr>
          <w:p w14:paraId="2F5A057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p>
        </w:tc>
      </w:tr>
      <w:tr w:rsidR="00550FF9" w:rsidRPr="00F07B06" w14:paraId="51FFCB72" w14:textId="77777777" w:rsidTr="00E75B60">
        <w:trPr>
          <w:gridAfter w:val="1"/>
          <w:wAfter w:w="82" w:type="pct"/>
          <w:cantSplit/>
          <w:trHeight w:val="17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48DD11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4.1</w:t>
            </w:r>
          </w:p>
        </w:tc>
        <w:tc>
          <w:tcPr>
            <w:tcW w:w="800" w:type="pct"/>
            <w:tcBorders>
              <w:top w:val="nil"/>
              <w:left w:val="nil"/>
              <w:bottom w:val="single" w:sz="8" w:space="0" w:color="auto"/>
              <w:right w:val="single" w:sz="8" w:space="0" w:color="auto"/>
            </w:tcBorders>
            <w:shd w:val="clear" w:color="auto" w:fill="auto"/>
            <w:vAlign w:val="center"/>
            <w:hideMark/>
          </w:tcPr>
          <w:p w14:paraId="4F9BB234"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Number of plants </w:t>
            </w:r>
            <w:r w:rsidRPr="00E75B60">
              <w:rPr>
                <w:rFonts w:cs="Arial"/>
                <w:color w:val="000000"/>
                <w:sz w:val="18"/>
                <w:szCs w:val="18"/>
                <w:highlight w:val="lightGray"/>
                <w:lang w:eastAsia="nl-NL"/>
              </w:rPr>
              <w:t>per genotype</w:t>
            </w:r>
          </w:p>
        </w:tc>
        <w:tc>
          <w:tcPr>
            <w:tcW w:w="1235" w:type="pct"/>
            <w:tcBorders>
              <w:top w:val="nil"/>
              <w:left w:val="nil"/>
              <w:bottom w:val="single" w:sz="8" w:space="0" w:color="auto"/>
              <w:right w:val="single" w:sz="8" w:space="0" w:color="auto"/>
            </w:tcBorders>
            <w:shd w:val="clear" w:color="auto" w:fill="auto"/>
            <w:vAlign w:val="center"/>
            <w:hideMark/>
          </w:tcPr>
          <w:p w14:paraId="231053F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&gt;=20</w:t>
            </w:r>
          </w:p>
        </w:tc>
        <w:tc>
          <w:tcPr>
            <w:tcW w:w="577" w:type="pct"/>
            <w:tcBorders>
              <w:top w:val="nil"/>
              <w:left w:val="nil"/>
              <w:bottom w:val="single" w:sz="8" w:space="0" w:color="auto"/>
              <w:right w:val="single" w:sz="8" w:space="0" w:color="auto"/>
            </w:tcBorders>
            <w:shd w:val="clear" w:color="auto" w:fill="auto"/>
            <w:vAlign w:val="center"/>
            <w:hideMark/>
          </w:tcPr>
          <w:p w14:paraId="4472648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7388610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A minimal number of individual plants required (see 5.2.1a) the test for the marker is conducted on the same number of individual plants, with the same criteria for distinctness, uniformity and stability as for the examination of the characteristic by an observation assay (TGP 15)</w:t>
            </w:r>
          </w:p>
        </w:tc>
      </w:tr>
      <w:tr w:rsidR="00550FF9" w:rsidRPr="00F07B06" w14:paraId="6C033D13" w14:textId="77777777" w:rsidTr="00E75B60">
        <w:trPr>
          <w:gridAfter w:val="1"/>
          <w:wAfter w:w="82" w:type="pct"/>
          <w:cantSplit/>
          <w:trHeight w:val="300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D2CB658"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4.2</w:t>
            </w:r>
          </w:p>
        </w:tc>
        <w:tc>
          <w:tcPr>
            <w:tcW w:w="800" w:type="pct"/>
            <w:tcBorders>
              <w:top w:val="nil"/>
              <w:left w:val="nil"/>
              <w:bottom w:val="single" w:sz="8" w:space="0" w:color="auto"/>
              <w:right w:val="single" w:sz="8" w:space="0" w:color="auto"/>
            </w:tcBorders>
            <w:shd w:val="clear" w:color="auto" w:fill="auto"/>
            <w:vAlign w:val="center"/>
            <w:hideMark/>
          </w:tcPr>
          <w:p w14:paraId="175C375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Control varieties</w:t>
            </w:r>
          </w:p>
        </w:tc>
        <w:tc>
          <w:tcPr>
            <w:tcW w:w="1235" w:type="pct"/>
            <w:tcBorders>
              <w:top w:val="nil"/>
              <w:left w:val="nil"/>
              <w:bottom w:val="single" w:sz="8" w:space="0" w:color="auto"/>
              <w:right w:val="single" w:sz="8" w:space="0" w:color="auto"/>
            </w:tcBorders>
            <w:shd w:val="clear" w:color="auto" w:fill="auto"/>
            <w:vAlign w:val="center"/>
            <w:hideMark/>
          </w:tcPr>
          <w:p w14:paraId="47C3071A"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fr-FR"/>
              </w:rPr>
              <w:t>See TG/44/11/rev3 – Ad 51: ii DNA marker test add 4.2</w:t>
            </w:r>
          </w:p>
        </w:tc>
        <w:tc>
          <w:tcPr>
            <w:tcW w:w="577" w:type="pct"/>
            <w:tcBorders>
              <w:top w:val="nil"/>
              <w:left w:val="nil"/>
              <w:bottom w:val="single" w:sz="8" w:space="0" w:color="auto"/>
              <w:right w:val="single" w:sz="8" w:space="0" w:color="auto"/>
            </w:tcBorders>
            <w:shd w:val="clear" w:color="auto" w:fill="auto"/>
            <w:vAlign w:val="center"/>
            <w:hideMark/>
          </w:tcPr>
          <w:p w14:paraId="1FF440C5"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YES</w:t>
            </w:r>
          </w:p>
        </w:tc>
        <w:tc>
          <w:tcPr>
            <w:tcW w:w="1949" w:type="pct"/>
            <w:tcBorders>
              <w:top w:val="nil"/>
              <w:left w:val="nil"/>
              <w:bottom w:val="single" w:sz="8" w:space="0" w:color="auto"/>
              <w:right w:val="single" w:sz="8" w:space="0" w:color="auto"/>
            </w:tcBorders>
            <w:shd w:val="clear" w:color="auto" w:fill="auto"/>
            <w:vAlign w:val="center"/>
            <w:hideMark/>
          </w:tcPr>
          <w:p w14:paraId="7865949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Control varieties (same as in observation assay) as standards representing all relevant combination of alleles. For example homozygous for Allele corresponding to expression state 9 (present), homozygous for allele corresponding to expression state 1 (susceptible) and heterozygous (both alleles are present in a diploid) corresponding to either resistant, susceptible or intermediate state of expression (depending on gene function; dominant - recessive). </w:t>
            </w:r>
            <w:r w:rsidRPr="00E75B60">
              <w:rPr>
                <w:rFonts w:cs="Arial"/>
                <w:color w:val="000000"/>
                <w:sz w:val="18"/>
                <w:szCs w:val="18"/>
                <w:highlight w:val="lightGray"/>
                <w:lang w:eastAsia="nl-NL"/>
              </w:rPr>
              <w:t>DNA controls can be directly used</w:t>
            </w:r>
            <w:r w:rsidRPr="00E75B60">
              <w:rPr>
                <w:rFonts w:cs="Arial"/>
                <w:color w:val="000000"/>
                <w:sz w:val="18"/>
                <w:szCs w:val="18"/>
                <w:lang w:eastAsia="nl-NL"/>
              </w:rPr>
              <w:t>.</w:t>
            </w:r>
          </w:p>
        </w:tc>
      </w:tr>
      <w:tr w:rsidR="00550FF9" w:rsidRPr="00F07B06" w14:paraId="38ADF26C" w14:textId="77777777" w:rsidTr="00E75B60">
        <w:trPr>
          <w:gridAfter w:val="1"/>
          <w:wAfter w:w="82" w:type="pct"/>
          <w:cantSplit/>
          <w:trHeight w:val="1770"/>
        </w:trPr>
        <w:tc>
          <w:tcPr>
            <w:tcW w:w="358" w:type="pct"/>
            <w:tcBorders>
              <w:top w:val="nil"/>
              <w:left w:val="single" w:sz="8" w:space="0" w:color="auto"/>
              <w:bottom w:val="single" w:sz="8" w:space="0" w:color="auto"/>
              <w:right w:val="single" w:sz="8" w:space="0" w:color="auto"/>
            </w:tcBorders>
            <w:shd w:val="clear" w:color="auto" w:fill="auto"/>
          </w:tcPr>
          <w:p w14:paraId="534AED6C" w14:textId="77777777" w:rsidR="00550FF9" w:rsidRPr="00E75B60" w:rsidRDefault="00550FF9" w:rsidP="00550FF9">
            <w:pPr>
              <w:jc w:val="left"/>
              <w:rPr>
                <w:rFonts w:cs="Arial"/>
                <w:color w:val="000000"/>
                <w:sz w:val="18"/>
                <w:szCs w:val="18"/>
                <w:lang w:eastAsia="nl-NL"/>
              </w:rPr>
            </w:pPr>
            <w:r w:rsidRPr="00E75B60">
              <w:rPr>
                <w:rFonts w:cs="Arial"/>
                <w:color w:val="000000"/>
                <w:sz w:val="18"/>
                <w:szCs w:val="18"/>
                <w:highlight w:val="lightGray"/>
                <w:lang w:eastAsia="nl-NL"/>
              </w:rPr>
              <w:t>4.3</w:t>
            </w:r>
          </w:p>
        </w:tc>
        <w:tc>
          <w:tcPr>
            <w:tcW w:w="800" w:type="pct"/>
            <w:tcBorders>
              <w:top w:val="nil"/>
              <w:left w:val="nil"/>
              <w:bottom w:val="single" w:sz="8" w:space="0" w:color="auto"/>
              <w:right w:val="single" w:sz="8" w:space="0" w:color="auto"/>
            </w:tcBorders>
            <w:shd w:val="clear" w:color="auto" w:fill="auto"/>
          </w:tcPr>
          <w:p w14:paraId="7C833B3F" w14:textId="77777777" w:rsidR="00550FF9" w:rsidRPr="00E75B60" w:rsidRDefault="00550FF9" w:rsidP="00550FF9">
            <w:pPr>
              <w:jc w:val="left"/>
              <w:rPr>
                <w:rFonts w:cs="Arial"/>
                <w:color w:val="000000"/>
                <w:sz w:val="18"/>
                <w:szCs w:val="18"/>
                <w:lang w:eastAsia="nl-NL"/>
              </w:rPr>
            </w:pPr>
            <w:r w:rsidRPr="00E75B60">
              <w:rPr>
                <w:rFonts w:cs="Arial"/>
                <w:color w:val="000000"/>
                <w:sz w:val="18"/>
                <w:szCs w:val="18"/>
                <w:highlight w:val="lightGray"/>
                <w:lang w:eastAsia="nl-NL"/>
              </w:rPr>
              <w:t>Process controls</w:t>
            </w:r>
          </w:p>
        </w:tc>
        <w:tc>
          <w:tcPr>
            <w:tcW w:w="1235" w:type="pct"/>
            <w:tcBorders>
              <w:top w:val="nil"/>
              <w:left w:val="nil"/>
              <w:bottom w:val="single" w:sz="8" w:space="0" w:color="auto"/>
              <w:right w:val="single" w:sz="8" w:space="0" w:color="auto"/>
            </w:tcBorders>
            <w:shd w:val="clear" w:color="auto" w:fill="auto"/>
          </w:tcPr>
          <w:p w14:paraId="5184D91F" w14:textId="77777777" w:rsidR="00550FF9" w:rsidRPr="00E75B60" w:rsidRDefault="00550FF9" w:rsidP="00550FF9">
            <w:pPr>
              <w:jc w:val="left"/>
              <w:rPr>
                <w:rFonts w:cs="Arial"/>
                <w:i/>
                <w:iCs/>
                <w:color w:val="000000"/>
                <w:sz w:val="18"/>
                <w:szCs w:val="18"/>
                <w:lang w:eastAsia="fr-FR"/>
              </w:rPr>
            </w:pPr>
            <w:r w:rsidRPr="00E75B60">
              <w:rPr>
                <w:rFonts w:cs="Arial"/>
                <w:i/>
                <w:iCs/>
                <w:sz w:val="18"/>
                <w:szCs w:val="18"/>
                <w:highlight w:val="lightGray"/>
              </w:rPr>
              <w:t>e.g. buffer used for extraction; a marker targeting the cytochrome oxidase gene as an internal amplification marker</w:t>
            </w:r>
          </w:p>
        </w:tc>
        <w:tc>
          <w:tcPr>
            <w:tcW w:w="577" w:type="pct"/>
            <w:tcBorders>
              <w:top w:val="nil"/>
              <w:left w:val="nil"/>
              <w:bottom w:val="single" w:sz="8" w:space="0" w:color="auto"/>
              <w:right w:val="single" w:sz="8" w:space="0" w:color="auto"/>
            </w:tcBorders>
            <w:shd w:val="clear" w:color="auto" w:fill="auto"/>
          </w:tcPr>
          <w:p w14:paraId="708A5034"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nl-NL"/>
              </w:rPr>
              <w:t>YES</w:t>
            </w:r>
          </w:p>
        </w:tc>
        <w:tc>
          <w:tcPr>
            <w:tcW w:w="1949" w:type="pct"/>
            <w:tcBorders>
              <w:top w:val="nil"/>
              <w:left w:val="nil"/>
              <w:bottom w:val="single" w:sz="8" w:space="0" w:color="auto"/>
              <w:right w:val="single" w:sz="8" w:space="0" w:color="auto"/>
            </w:tcBorders>
            <w:shd w:val="clear" w:color="auto" w:fill="auto"/>
          </w:tcPr>
          <w:p w14:paraId="0533C1D9" w14:textId="77777777" w:rsidR="00550FF9" w:rsidRPr="00E75B60" w:rsidRDefault="00550FF9" w:rsidP="00550FF9">
            <w:pPr>
              <w:numPr>
                <w:ilvl w:val="0"/>
                <w:numId w:val="17"/>
              </w:numPr>
              <w:spacing w:after="200" w:line="276" w:lineRule="auto"/>
              <w:contextualSpacing/>
              <w:jc w:val="left"/>
              <w:rPr>
                <w:rFonts w:eastAsia="Calibri" w:cs="Arial"/>
                <w:color w:val="000000"/>
                <w:sz w:val="18"/>
                <w:szCs w:val="18"/>
                <w:highlight w:val="lightGray"/>
                <w:lang w:eastAsia="nl-NL"/>
              </w:rPr>
            </w:pPr>
            <w:r w:rsidRPr="00E75B60">
              <w:rPr>
                <w:rFonts w:eastAsia="Calibri" w:cs="Arial"/>
                <w:color w:val="000000"/>
                <w:sz w:val="18"/>
                <w:szCs w:val="18"/>
                <w:highlight w:val="lightGray"/>
                <w:lang w:eastAsia="nl-NL"/>
              </w:rPr>
              <w:t>Negative process control(s)</w:t>
            </w:r>
          </w:p>
          <w:p w14:paraId="2DA04520" w14:textId="77777777" w:rsidR="00550FF9" w:rsidRPr="00E75B60" w:rsidRDefault="00550FF9" w:rsidP="00550FF9">
            <w:pPr>
              <w:numPr>
                <w:ilvl w:val="0"/>
                <w:numId w:val="17"/>
              </w:numPr>
              <w:spacing w:after="200" w:line="276" w:lineRule="auto"/>
              <w:contextualSpacing/>
              <w:jc w:val="left"/>
              <w:rPr>
                <w:rFonts w:eastAsia="Calibri" w:cs="Arial"/>
                <w:color w:val="000000"/>
                <w:sz w:val="18"/>
                <w:szCs w:val="18"/>
                <w:highlight w:val="lightGray"/>
                <w:lang w:eastAsia="nl-NL"/>
              </w:rPr>
            </w:pPr>
            <w:r w:rsidRPr="00E75B60">
              <w:rPr>
                <w:rFonts w:eastAsia="Calibri" w:cs="Arial"/>
                <w:color w:val="000000"/>
                <w:sz w:val="18"/>
                <w:szCs w:val="18"/>
                <w:highlight w:val="lightGray"/>
                <w:lang w:eastAsia="nl-NL"/>
              </w:rPr>
              <w:t>Positive DNA control(s) that can be the control varieties</w:t>
            </w:r>
          </w:p>
          <w:p w14:paraId="2D3A8285" w14:textId="76A78FE9" w:rsidR="00550FF9" w:rsidRPr="00E75B60" w:rsidRDefault="00550FF9" w:rsidP="00E75B60">
            <w:pPr>
              <w:numPr>
                <w:ilvl w:val="0"/>
                <w:numId w:val="17"/>
              </w:numPr>
              <w:spacing w:after="200" w:line="276" w:lineRule="auto"/>
              <w:contextualSpacing/>
              <w:jc w:val="left"/>
              <w:rPr>
                <w:rFonts w:eastAsia="Calibri" w:cs="Arial"/>
                <w:color w:val="000000"/>
                <w:sz w:val="18"/>
                <w:szCs w:val="18"/>
                <w:highlight w:val="lightGray"/>
                <w:lang w:eastAsia="nl-NL"/>
              </w:rPr>
            </w:pPr>
            <w:r w:rsidRPr="00E75B60">
              <w:rPr>
                <w:rFonts w:eastAsia="Calibri" w:cs="Arial"/>
                <w:color w:val="000000"/>
                <w:sz w:val="18"/>
                <w:szCs w:val="18"/>
                <w:highlight w:val="lightGray"/>
                <w:lang w:eastAsia="nl-NL"/>
              </w:rPr>
              <w:t xml:space="preserve"> Internal amplification control in case of a presence/absence marker</w:t>
            </w:r>
          </w:p>
        </w:tc>
      </w:tr>
      <w:tr w:rsidR="00550FF9" w:rsidRPr="00F07B06" w14:paraId="1E541DB8" w14:textId="77777777" w:rsidTr="00E75B60">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0439E55E"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5</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3C20E93E"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Preparations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55A0BBC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w:t>
            </w:r>
            <w:r w:rsidRPr="00E75B60">
              <w:rPr>
                <w:rFonts w:cs="Arial"/>
                <w:i/>
                <w:color w:val="000000"/>
                <w:sz w:val="18"/>
                <w:szCs w:val="18"/>
                <w:lang w:eastAsia="nl-NL"/>
              </w:rPr>
              <w:t>e.g.</w:t>
            </w:r>
            <w:r w:rsidRPr="00E75B60">
              <w:rPr>
                <w:rFonts w:cs="Arial"/>
                <w:color w:val="000000"/>
                <w:sz w:val="18"/>
                <w:szCs w:val="18"/>
                <w:lang w:eastAsia="nl-NL"/>
              </w:rPr>
              <w:t xml:space="preserve"> Sampling of seedlings 4 days old followed by DNA extraction using CTAB method</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12517DDE"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NO</w:t>
            </w:r>
          </w:p>
        </w:tc>
        <w:tc>
          <w:tcPr>
            <w:tcW w:w="1949" w:type="pct"/>
            <w:tcBorders>
              <w:top w:val="nil"/>
              <w:left w:val="nil"/>
              <w:bottom w:val="nil"/>
              <w:right w:val="single" w:sz="8" w:space="0" w:color="auto"/>
            </w:tcBorders>
            <w:shd w:val="clear" w:color="auto" w:fill="auto"/>
            <w:vAlign w:val="center"/>
            <w:hideMark/>
          </w:tcPr>
          <w:p w14:paraId="5B5671A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Depending on the method used. Not in the Test Guideline. Detailed protocol(s) can be provided as an example in annex or available on request from the institute that developed the marker</w:t>
            </w:r>
          </w:p>
        </w:tc>
      </w:tr>
      <w:tr w:rsidR="00550FF9" w:rsidRPr="00F07B06" w14:paraId="7E3F1952" w14:textId="77777777" w:rsidTr="00E75B60">
        <w:trPr>
          <w:gridAfter w:val="1"/>
          <w:wAfter w:w="82" w:type="pct"/>
          <w:cantSplit/>
          <w:trHeight w:val="50"/>
        </w:trPr>
        <w:tc>
          <w:tcPr>
            <w:tcW w:w="358" w:type="pct"/>
            <w:vMerge/>
            <w:tcBorders>
              <w:top w:val="nil"/>
              <w:left w:val="single" w:sz="8" w:space="0" w:color="auto"/>
              <w:bottom w:val="single" w:sz="8" w:space="0" w:color="000000"/>
              <w:right w:val="single" w:sz="8" w:space="0" w:color="auto"/>
            </w:tcBorders>
            <w:vAlign w:val="center"/>
            <w:hideMark/>
          </w:tcPr>
          <w:p w14:paraId="1C04D8D7"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00FF5E0A" w14:textId="77777777" w:rsidR="00550FF9" w:rsidRPr="00E75B6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5FC7665F" w14:textId="77777777" w:rsidR="00550FF9" w:rsidRPr="00E75B60" w:rsidRDefault="00550FF9" w:rsidP="00550FF9">
            <w:pPr>
              <w:jc w:val="left"/>
              <w:rPr>
                <w:rFonts w:cs="Arial"/>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vAlign w:val="center"/>
            <w:hideMark/>
          </w:tcPr>
          <w:p w14:paraId="7FAF21F3" w14:textId="77777777" w:rsidR="00550FF9" w:rsidRPr="00E75B60" w:rsidRDefault="00550FF9" w:rsidP="00550FF9">
            <w:pPr>
              <w:jc w:val="left"/>
              <w:rPr>
                <w:rFonts w:cs="Arial"/>
                <w:color w:val="000000"/>
                <w:sz w:val="18"/>
                <w:szCs w:val="18"/>
                <w:lang w:eastAsia="fr-FR"/>
              </w:rPr>
            </w:pPr>
          </w:p>
        </w:tc>
        <w:tc>
          <w:tcPr>
            <w:tcW w:w="1949" w:type="pct"/>
            <w:tcBorders>
              <w:top w:val="nil"/>
              <w:left w:val="nil"/>
              <w:bottom w:val="single" w:sz="8" w:space="0" w:color="auto"/>
              <w:right w:val="single" w:sz="8" w:space="0" w:color="auto"/>
            </w:tcBorders>
            <w:shd w:val="clear" w:color="auto" w:fill="auto"/>
            <w:vAlign w:val="center"/>
            <w:hideMark/>
          </w:tcPr>
          <w:p w14:paraId="7CB671F7" w14:textId="77777777" w:rsidR="00550FF9" w:rsidRPr="00E75B60" w:rsidRDefault="00550FF9" w:rsidP="00550FF9">
            <w:pPr>
              <w:jc w:val="left"/>
              <w:rPr>
                <w:rFonts w:cs="Arial"/>
                <w:color w:val="000000"/>
                <w:sz w:val="18"/>
                <w:szCs w:val="18"/>
                <w:lang w:eastAsia="fr-FR"/>
              </w:rPr>
            </w:pPr>
          </w:p>
        </w:tc>
      </w:tr>
      <w:tr w:rsidR="00550FF9" w:rsidRPr="00F07B06" w14:paraId="26040B29" w14:textId="77777777" w:rsidTr="00E75B60">
        <w:trPr>
          <w:gridAfter w:val="1"/>
          <w:wAfter w:w="82"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5BB6416"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6</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0FB7F3B" w14:textId="77777777" w:rsidR="00550FF9" w:rsidRPr="00E75B60" w:rsidRDefault="00550FF9" w:rsidP="00550FF9">
            <w:pPr>
              <w:jc w:val="left"/>
              <w:rPr>
                <w:rFonts w:cs="Arial"/>
                <w:color w:val="000000"/>
                <w:sz w:val="18"/>
                <w:szCs w:val="18"/>
                <w:lang w:eastAsia="fr-FR"/>
              </w:rPr>
            </w:pPr>
            <w:r w:rsidRPr="00E75B60">
              <w:rPr>
                <w:rFonts w:cs="Arial"/>
                <w:strike/>
                <w:color w:val="000000"/>
                <w:sz w:val="18"/>
                <w:szCs w:val="18"/>
                <w:highlight w:val="lightGray"/>
                <w:lang w:eastAsia="nl-NL"/>
              </w:rPr>
              <w:t>Performance or</w:t>
            </w:r>
            <w:r w:rsidRPr="00E75B60">
              <w:rPr>
                <w:rFonts w:cs="Arial"/>
                <w:color w:val="000000"/>
                <w:sz w:val="18"/>
                <w:szCs w:val="18"/>
                <w:lang w:eastAsia="nl-NL"/>
              </w:rPr>
              <w:t xml:space="preserve"> Technique of the method</w:t>
            </w:r>
          </w:p>
        </w:tc>
        <w:tc>
          <w:tcPr>
            <w:tcW w:w="1235" w:type="pct"/>
            <w:tcBorders>
              <w:top w:val="nil"/>
              <w:left w:val="nil"/>
              <w:bottom w:val="nil"/>
              <w:right w:val="single" w:sz="8" w:space="0" w:color="auto"/>
            </w:tcBorders>
            <w:shd w:val="clear" w:color="auto" w:fill="auto"/>
            <w:vAlign w:val="center"/>
            <w:hideMark/>
          </w:tcPr>
          <w:p w14:paraId="1B4CA8BE" w14:textId="77777777" w:rsidR="00550FF9" w:rsidRPr="00E75B60" w:rsidRDefault="00550FF9" w:rsidP="00550FF9">
            <w:pPr>
              <w:jc w:val="left"/>
              <w:rPr>
                <w:rFonts w:cs="Arial"/>
                <w:color w:val="000000"/>
                <w:sz w:val="18"/>
                <w:szCs w:val="18"/>
                <w:lang w:eastAsia="fr-FR"/>
              </w:rPr>
            </w:pPr>
            <w:r w:rsidRPr="00E75B60">
              <w:rPr>
                <w:rFonts w:cs="Arial"/>
                <w:i/>
                <w:color w:val="000000"/>
                <w:sz w:val="18"/>
                <w:szCs w:val="18"/>
                <w:lang w:eastAsia="nl-NL"/>
              </w:rPr>
              <w:t>e.g.</w:t>
            </w:r>
            <w:r w:rsidRPr="00E75B60">
              <w:rPr>
                <w:rFonts w:cs="Arial"/>
                <w:color w:val="000000"/>
                <w:sz w:val="18"/>
                <w:szCs w:val="18"/>
                <w:lang w:eastAsia="nl-NL"/>
              </w:rPr>
              <w:t xml:space="preserve"> conventional PCR, TETRA-ARMS, qPCR, KASP, amplicon sequencing </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66F23E3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highlight w:val="lightGray"/>
                <w:lang w:eastAsia="nl-NL"/>
              </w:rPr>
              <w:t>YES</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hideMark/>
          </w:tcPr>
          <w:p w14:paraId="764A935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 xml:space="preserve">. </w:t>
            </w:r>
          </w:p>
        </w:tc>
      </w:tr>
      <w:tr w:rsidR="00550FF9" w:rsidRPr="00F07B06" w14:paraId="70BCBD8C" w14:textId="77777777" w:rsidTr="00E75B60">
        <w:trPr>
          <w:gridAfter w:val="1"/>
          <w:wAfter w:w="82"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042CFC8A"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CE0E90A" w14:textId="77777777" w:rsidR="00550FF9" w:rsidRPr="00E75B6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6B58F33B" w14:textId="77777777" w:rsidR="00550FF9" w:rsidRPr="00E75B60" w:rsidRDefault="00550FF9" w:rsidP="00550FF9">
            <w:pPr>
              <w:jc w:val="left"/>
              <w:rPr>
                <w:rFonts w:cs="Arial"/>
                <w:i/>
                <w:iCs/>
                <w:color w:val="000000"/>
                <w:sz w:val="18"/>
                <w:szCs w:val="18"/>
                <w:lang w:eastAsia="fr-FR"/>
              </w:rPr>
            </w:pPr>
            <w:r w:rsidRPr="00E75B60">
              <w:rPr>
                <w:rFonts w:cs="Arial"/>
                <w:i/>
                <w:iCs/>
                <w:color w:val="000000"/>
                <w:sz w:val="18"/>
                <w:szCs w:val="18"/>
                <w:lang w:eastAsia="fr-FR"/>
              </w:rPr>
              <w:t>See TG/44/11/rev3 – Ad 51: ii DNA marker test add 6</w:t>
            </w:r>
          </w:p>
        </w:tc>
        <w:tc>
          <w:tcPr>
            <w:tcW w:w="577" w:type="pct"/>
            <w:vMerge/>
            <w:tcBorders>
              <w:top w:val="nil"/>
              <w:left w:val="single" w:sz="8" w:space="0" w:color="auto"/>
              <w:bottom w:val="single" w:sz="8" w:space="0" w:color="000000"/>
              <w:right w:val="single" w:sz="8" w:space="0" w:color="auto"/>
            </w:tcBorders>
            <w:vAlign w:val="center"/>
            <w:hideMark/>
          </w:tcPr>
          <w:p w14:paraId="4E780D07" w14:textId="77777777" w:rsidR="00550FF9" w:rsidRPr="00E75B60" w:rsidRDefault="00550FF9" w:rsidP="00550FF9">
            <w:pPr>
              <w:jc w:val="left"/>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hideMark/>
          </w:tcPr>
          <w:p w14:paraId="6E98A347" w14:textId="77777777" w:rsidR="00550FF9" w:rsidRPr="00E75B60" w:rsidRDefault="00550FF9" w:rsidP="00550FF9">
            <w:pPr>
              <w:jc w:val="left"/>
              <w:rPr>
                <w:rFonts w:cs="Arial"/>
                <w:color w:val="000000"/>
                <w:sz w:val="18"/>
                <w:szCs w:val="18"/>
                <w:lang w:eastAsia="fr-FR"/>
              </w:rPr>
            </w:pPr>
          </w:p>
        </w:tc>
      </w:tr>
      <w:tr w:rsidR="00550FF9" w:rsidRPr="00F07B06" w14:paraId="3F40FBA1" w14:textId="77777777" w:rsidTr="00E75B60">
        <w:trPr>
          <w:gridAfter w:val="1"/>
          <w:wAfter w:w="82"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3C08D49"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6.1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5CF8F2D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Particular conditions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558A4E8B" w14:textId="77777777" w:rsidR="00550FF9" w:rsidRPr="00E75B60" w:rsidRDefault="00550FF9" w:rsidP="00550FF9">
            <w:pPr>
              <w:jc w:val="left"/>
              <w:rPr>
                <w:rFonts w:cs="Arial"/>
                <w:color w:val="000000"/>
                <w:sz w:val="18"/>
                <w:szCs w:val="18"/>
                <w:lang w:eastAsia="fr-FR"/>
              </w:rPr>
            </w:pPr>
            <w:r w:rsidRPr="00E75B60">
              <w:rPr>
                <w:rFonts w:cs="Arial"/>
                <w:i/>
                <w:color w:val="000000"/>
                <w:sz w:val="18"/>
                <w:szCs w:val="18"/>
                <w:lang w:eastAsia="nl-NL"/>
              </w:rPr>
              <w:t>e.g.</w:t>
            </w:r>
            <w:r w:rsidRPr="00E75B60">
              <w:rPr>
                <w:rFonts w:cs="Arial"/>
                <w:color w:val="000000"/>
                <w:sz w:val="18"/>
                <w:szCs w:val="18"/>
                <w:lang w:eastAsia="nl-NL"/>
              </w:rPr>
              <w:t xml:space="preserve"> PCR protocol describing primer, enzyme, dNTP concentrations, PCR cycle scheme </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35F41C2A"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NO</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hideMark/>
          </w:tcPr>
          <w:p w14:paraId="70E93FC9"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Depending on the method used. Not in the Test Guideline. Detailed protocol(s) can be provided as an example in annex or available on request from the institute that developed the marker</w:t>
            </w:r>
          </w:p>
        </w:tc>
      </w:tr>
      <w:tr w:rsidR="00550FF9" w:rsidRPr="00F07B06" w14:paraId="05264202" w14:textId="77777777" w:rsidTr="00E75B60">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3B0221D6"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BD8DA1E" w14:textId="77777777" w:rsidR="00550FF9" w:rsidRPr="00E75B6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2934A6C3" w14:textId="77777777" w:rsidR="00550FF9" w:rsidRPr="00E75B60" w:rsidRDefault="00550FF9" w:rsidP="00550FF9">
            <w:pPr>
              <w:jc w:val="left"/>
              <w:rPr>
                <w:rFonts w:cs="Arial"/>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vAlign w:val="center"/>
            <w:hideMark/>
          </w:tcPr>
          <w:p w14:paraId="63EE55F6" w14:textId="77777777" w:rsidR="00550FF9" w:rsidRPr="00E75B60" w:rsidRDefault="00550FF9" w:rsidP="00550FF9">
            <w:pPr>
              <w:jc w:val="left"/>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hideMark/>
          </w:tcPr>
          <w:p w14:paraId="4964B760" w14:textId="77777777" w:rsidR="00550FF9" w:rsidRPr="00E75B60" w:rsidRDefault="00550FF9" w:rsidP="00550FF9">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37DBC521" w14:textId="77777777" w:rsidR="00550FF9" w:rsidRPr="00F07B06" w:rsidRDefault="00550FF9" w:rsidP="00550FF9">
            <w:pPr>
              <w:rPr>
                <w:rFonts w:cs="Arial"/>
                <w:color w:val="000000"/>
                <w:lang w:eastAsia="fr-FR"/>
              </w:rPr>
            </w:pPr>
          </w:p>
        </w:tc>
      </w:tr>
      <w:tr w:rsidR="00550FF9" w:rsidRPr="00F07B06" w14:paraId="02CF6468" w14:textId="77777777" w:rsidTr="00E75B60">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27BEF0FD"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6.2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32FDE78"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Particular hardware or infrastructure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E768327" w14:textId="77777777" w:rsidR="00550FF9" w:rsidRPr="00E75B60" w:rsidRDefault="00550FF9" w:rsidP="00550FF9">
            <w:pPr>
              <w:jc w:val="left"/>
              <w:rPr>
                <w:rFonts w:cs="Arial"/>
                <w:color w:val="000000"/>
                <w:sz w:val="18"/>
                <w:szCs w:val="18"/>
                <w:lang w:eastAsia="fr-FR"/>
              </w:rPr>
            </w:pPr>
            <w:r w:rsidRPr="00E75B60">
              <w:rPr>
                <w:rFonts w:cs="Arial"/>
                <w:i/>
                <w:color w:val="000000"/>
                <w:sz w:val="18"/>
                <w:szCs w:val="18"/>
                <w:lang w:eastAsia="nl-NL"/>
              </w:rPr>
              <w:t>e.g.</w:t>
            </w:r>
            <w:r w:rsidRPr="00E75B60">
              <w:rPr>
                <w:rFonts w:cs="Arial"/>
                <w:color w:val="000000"/>
                <w:sz w:val="18"/>
                <w:szCs w:val="18"/>
                <w:lang w:eastAsia="nl-NL"/>
              </w:rPr>
              <w:t xml:space="preserve"> machines, commercial kits, manufactures of components, lot numbers of chemicals </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639235AC"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NO</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hideMark/>
          </w:tcPr>
          <w:p w14:paraId="7B2204C3"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631DA1A7" w14:textId="77777777" w:rsidR="00550FF9" w:rsidRPr="00F07B06" w:rsidRDefault="00550FF9" w:rsidP="00550FF9">
            <w:pPr>
              <w:rPr>
                <w:rFonts w:ascii="Times New Roman" w:hAnsi="Times New Roman"/>
                <w:lang w:eastAsia="fr-FR"/>
              </w:rPr>
            </w:pPr>
          </w:p>
        </w:tc>
      </w:tr>
      <w:tr w:rsidR="00550FF9" w:rsidRPr="00F07B06" w14:paraId="12526248" w14:textId="77777777" w:rsidTr="00E75B60">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694B8A00"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1F9FFE4" w14:textId="77777777" w:rsidR="00550FF9" w:rsidRPr="00E75B6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3EDA88CC" w14:textId="77777777" w:rsidR="00550FF9" w:rsidRPr="00E75B60" w:rsidRDefault="00550FF9" w:rsidP="00550FF9">
            <w:pPr>
              <w:jc w:val="left"/>
              <w:rPr>
                <w:rFonts w:cs="Arial"/>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vAlign w:val="center"/>
            <w:hideMark/>
          </w:tcPr>
          <w:p w14:paraId="60BED213" w14:textId="77777777" w:rsidR="00550FF9" w:rsidRPr="00E75B60" w:rsidRDefault="00550FF9" w:rsidP="00550FF9">
            <w:pPr>
              <w:jc w:val="left"/>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hideMark/>
          </w:tcPr>
          <w:p w14:paraId="138E062F" w14:textId="77777777" w:rsidR="00550FF9" w:rsidRPr="00E75B60" w:rsidRDefault="00550FF9" w:rsidP="00550FF9">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4A900666" w14:textId="77777777" w:rsidR="00550FF9" w:rsidRPr="00F07B06" w:rsidRDefault="00550FF9" w:rsidP="00550FF9">
            <w:pPr>
              <w:rPr>
                <w:rFonts w:cs="Arial"/>
                <w:color w:val="000000"/>
                <w:lang w:eastAsia="fr-FR"/>
              </w:rPr>
            </w:pPr>
          </w:p>
        </w:tc>
      </w:tr>
      <w:tr w:rsidR="00550FF9" w:rsidRPr="00F07B06" w14:paraId="6DFD08DE" w14:textId="77777777" w:rsidTr="00E75B60">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D9114DB"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7</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1DA184F"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Observations</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66E36730" w14:textId="77777777" w:rsidR="00550FF9" w:rsidRPr="00E75B60" w:rsidRDefault="00550FF9" w:rsidP="00550FF9">
            <w:pPr>
              <w:jc w:val="left"/>
              <w:rPr>
                <w:rFonts w:cs="Arial"/>
                <w:color w:val="000000"/>
                <w:sz w:val="18"/>
                <w:szCs w:val="18"/>
                <w:lang w:eastAsia="fr-FR"/>
              </w:rPr>
            </w:pPr>
            <w:r w:rsidRPr="00E75B60">
              <w:rPr>
                <w:rFonts w:cs="Arial"/>
                <w:i/>
                <w:color w:val="000000"/>
                <w:sz w:val="18"/>
                <w:szCs w:val="18"/>
                <w:lang w:eastAsia="nl-NL"/>
              </w:rPr>
              <w:t>e.g.</w:t>
            </w:r>
            <w:r w:rsidRPr="00E75B60">
              <w:rPr>
                <w:rFonts w:cs="Arial"/>
                <w:color w:val="000000"/>
                <w:sz w:val="18"/>
                <w:szCs w:val="18"/>
                <w:lang w:eastAsia="nl-NL"/>
              </w:rPr>
              <w:t xml:space="preserve"> Bands on agarose gel (conventional PCR), Ct values (qPCR) Variant call based on sequencing reads </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hideMark/>
          </w:tcPr>
          <w:p w14:paraId="3CFA8A22"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NO</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hideMark/>
          </w:tcPr>
          <w:p w14:paraId="72921131" w14:textId="77777777" w:rsidR="00550FF9" w:rsidRPr="00E75B60" w:rsidRDefault="00550FF9" w:rsidP="00550FF9">
            <w:pPr>
              <w:jc w:val="left"/>
              <w:rPr>
                <w:rFonts w:cs="Arial"/>
                <w:color w:val="000000"/>
                <w:sz w:val="18"/>
                <w:szCs w:val="18"/>
                <w:lang w:eastAsia="fr-FR"/>
              </w:rPr>
            </w:pPr>
            <w:r w:rsidRPr="00E75B60">
              <w:rPr>
                <w:rFonts w:cs="Arial"/>
                <w:color w:val="000000"/>
                <w:sz w:val="18"/>
                <w:szCs w:val="18"/>
                <w:lang w:eastAsia="nl-NL"/>
              </w:rPr>
              <w:t>Depending on the method used. Not in the Test Guideline. Detailed protocol(s) can be provided as an example in annex or available on request from the institute that developed the marker</w:t>
            </w:r>
          </w:p>
        </w:tc>
        <w:tc>
          <w:tcPr>
            <w:tcW w:w="82" w:type="pct"/>
            <w:vAlign w:val="center"/>
            <w:hideMark/>
          </w:tcPr>
          <w:p w14:paraId="68AA72A5" w14:textId="77777777" w:rsidR="00550FF9" w:rsidRPr="00F07B06" w:rsidRDefault="00550FF9" w:rsidP="00550FF9">
            <w:pPr>
              <w:rPr>
                <w:rFonts w:ascii="Times New Roman" w:hAnsi="Times New Roman"/>
                <w:lang w:eastAsia="fr-FR"/>
              </w:rPr>
            </w:pPr>
          </w:p>
        </w:tc>
      </w:tr>
      <w:tr w:rsidR="00550FF9" w:rsidRPr="00F07B06" w14:paraId="5A76D5A6" w14:textId="77777777" w:rsidTr="00E75B60">
        <w:trPr>
          <w:cantSplit/>
          <w:trHeight w:val="945"/>
        </w:trPr>
        <w:tc>
          <w:tcPr>
            <w:tcW w:w="358" w:type="pct"/>
            <w:vMerge/>
            <w:tcBorders>
              <w:top w:val="nil"/>
              <w:left w:val="single" w:sz="8" w:space="0" w:color="auto"/>
              <w:bottom w:val="single" w:sz="8" w:space="0" w:color="000000"/>
              <w:right w:val="single" w:sz="8" w:space="0" w:color="auto"/>
            </w:tcBorders>
            <w:vAlign w:val="center"/>
            <w:hideMark/>
          </w:tcPr>
          <w:p w14:paraId="1F4A2031" w14:textId="77777777" w:rsidR="00550FF9" w:rsidRPr="00E75B6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9C1AEDF" w14:textId="77777777" w:rsidR="00550FF9" w:rsidRPr="00E75B6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165E8E43" w14:textId="77777777" w:rsidR="00550FF9" w:rsidRPr="00E75B60" w:rsidRDefault="00550FF9" w:rsidP="00550FF9">
            <w:pPr>
              <w:jc w:val="left"/>
              <w:rPr>
                <w:rFonts w:cs="Arial"/>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vAlign w:val="center"/>
            <w:hideMark/>
          </w:tcPr>
          <w:p w14:paraId="44844D86" w14:textId="77777777" w:rsidR="00550FF9" w:rsidRPr="00E75B60" w:rsidRDefault="00550FF9" w:rsidP="00550FF9">
            <w:pPr>
              <w:jc w:val="left"/>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hideMark/>
          </w:tcPr>
          <w:p w14:paraId="229ED577" w14:textId="77777777" w:rsidR="00550FF9" w:rsidRPr="00E75B60" w:rsidRDefault="00550FF9" w:rsidP="00550FF9">
            <w:pPr>
              <w:jc w:val="left"/>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426FEA28" w14:textId="77777777" w:rsidR="00550FF9" w:rsidRPr="00F07B06" w:rsidRDefault="00550FF9" w:rsidP="00550FF9">
            <w:pPr>
              <w:rPr>
                <w:rFonts w:cs="Arial"/>
                <w:color w:val="000000"/>
                <w:lang w:eastAsia="fr-FR"/>
              </w:rPr>
            </w:pPr>
          </w:p>
        </w:tc>
      </w:tr>
      <w:tr w:rsidR="00550FF9" w:rsidRPr="00F07B06" w14:paraId="60B7DA0B" w14:textId="77777777" w:rsidTr="00E75B60">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1BEF2855" w14:textId="77777777" w:rsidR="00550FF9" w:rsidRPr="00E75B60" w:rsidRDefault="00550FF9" w:rsidP="00550FF9">
            <w:pPr>
              <w:jc w:val="left"/>
              <w:rPr>
                <w:rFonts w:cs="Arial"/>
                <w:color w:val="000000"/>
                <w:sz w:val="18"/>
                <w:szCs w:val="18"/>
                <w:lang w:eastAsia="nl-NL"/>
              </w:rPr>
            </w:pPr>
            <w:r w:rsidRPr="00E75B60">
              <w:rPr>
                <w:rFonts w:cs="Arial"/>
                <w:color w:val="000000"/>
                <w:sz w:val="18"/>
                <w:szCs w:val="18"/>
                <w:highlight w:val="lightGray"/>
                <w:lang w:eastAsia="nl-NL"/>
              </w:rPr>
              <w:lastRenderedPageBreak/>
              <w:t>7.1</w:t>
            </w:r>
          </w:p>
        </w:tc>
        <w:tc>
          <w:tcPr>
            <w:tcW w:w="800" w:type="pct"/>
            <w:tcBorders>
              <w:top w:val="nil"/>
              <w:left w:val="single" w:sz="8" w:space="0" w:color="auto"/>
              <w:bottom w:val="single" w:sz="8" w:space="0" w:color="000000"/>
              <w:right w:val="single" w:sz="8" w:space="0" w:color="auto"/>
            </w:tcBorders>
            <w:shd w:val="clear" w:color="auto" w:fill="auto"/>
            <w:vAlign w:val="center"/>
          </w:tcPr>
          <w:p w14:paraId="40EB155A" w14:textId="77777777" w:rsidR="00550FF9" w:rsidRPr="00E75B60" w:rsidRDefault="00550FF9" w:rsidP="00550FF9">
            <w:pPr>
              <w:jc w:val="left"/>
              <w:rPr>
                <w:rFonts w:cs="Arial"/>
                <w:color w:val="000000"/>
                <w:sz w:val="18"/>
                <w:szCs w:val="18"/>
                <w:lang w:eastAsia="nl-NL"/>
              </w:rPr>
            </w:pPr>
            <w:r w:rsidRPr="00E75B60">
              <w:rPr>
                <w:rFonts w:cs="Arial"/>
                <w:color w:val="000000"/>
                <w:sz w:val="18"/>
                <w:szCs w:val="18"/>
                <w:highlight w:val="lightGray"/>
                <w:lang w:eastAsia="nl-NL"/>
              </w:rPr>
              <w:t>Validity of the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159EFAAF" w14:textId="77777777" w:rsidR="00550FF9" w:rsidRPr="00E75B60" w:rsidRDefault="00550FF9" w:rsidP="00550FF9">
            <w:pPr>
              <w:jc w:val="left"/>
              <w:rPr>
                <w:rFonts w:cs="Arial"/>
                <w:color w:val="000000"/>
                <w:sz w:val="18"/>
                <w:szCs w:val="18"/>
                <w:highlight w:val="lightGray"/>
                <w:lang w:eastAsia="fr-FR"/>
              </w:rPr>
            </w:pPr>
            <w:r w:rsidRPr="00E75B60">
              <w:rPr>
                <w:rFonts w:cs="Arial"/>
                <w:i/>
                <w:color w:val="000000"/>
                <w:sz w:val="18"/>
                <w:szCs w:val="18"/>
                <w:highlight w:val="lightGray"/>
                <w:lang w:eastAsia="fr-FR"/>
              </w:rPr>
              <w:t>e.g.</w:t>
            </w:r>
            <w:r w:rsidRPr="00E75B60">
              <w:rPr>
                <w:rFonts w:cs="Arial"/>
                <w:color w:val="000000"/>
                <w:sz w:val="18"/>
                <w:szCs w:val="18"/>
                <w:highlight w:val="lightGray"/>
                <w:lang w:eastAsia="fr-FR"/>
              </w:rPr>
              <w:t xml:space="preserve"> for qPCR, Check for typical exponential amplification curves. Check if the controls are as expected (negative controls = no signal; positive controls = shows expected signals for all fluorophores).</w:t>
            </w:r>
          </w:p>
        </w:tc>
        <w:tc>
          <w:tcPr>
            <w:tcW w:w="577" w:type="pct"/>
            <w:tcBorders>
              <w:top w:val="nil"/>
              <w:left w:val="single" w:sz="8" w:space="0" w:color="auto"/>
              <w:bottom w:val="single" w:sz="8" w:space="0" w:color="000000"/>
              <w:right w:val="single" w:sz="8" w:space="0" w:color="auto"/>
            </w:tcBorders>
            <w:shd w:val="clear" w:color="auto" w:fill="auto"/>
            <w:vAlign w:val="center"/>
          </w:tcPr>
          <w:p w14:paraId="0F03CF03"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nl-NL"/>
              </w:rPr>
              <w:t>YES</w:t>
            </w:r>
          </w:p>
        </w:tc>
        <w:tc>
          <w:tcPr>
            <w:tcW w:w="1949" w:type="pct"/>
            <w:tcBorders>
              <w:top w:val="nil"/>
              <w:left w:val="single" w:sz="8" w:space="0" w:color="auto"/>
              <w:bottom w:val="single" w:sz="8" w:space="0" w:color="000000"/>
              <w:right w:val="single" w:sz="8" w:space="0" w:color="auto"/>
            </w:tcBorders>
            <w:shd w:val="clear" w:color="auto" w:fill="auto"/>
            <w:vAlign w:val="center"/>
          </w:tcPr>
          <w:p w14:paraId="20296BDA"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nl-NL"/>
              </w:rPr>
              <w:t xml:space="preserve">Depending on the method used. </w:t>
            </w:r>
          </w:p>
        </w:tc>
        <w:tc>
          <w:tcPr>
            <w:tcW w:w="82" w:type="pct"/>
            <w:vAlign w:val="center"/>
          </w:tcPr>
          <w:p w14:paraId="701B41CA" w14:textId="77777777" w:rsidR="00550FF9" w:rsidRPr="00F07B06" w:rsidRDefault="00550FF9" w:rsidP="00550FF9">
            <w:pPr>
              <w:rPr>
                <w:rFonts w:ascii="Times New Roman" w:hAnsi="Times New Roman"/>
                <w:lang w:eastAsia="fr-FR"/>
              </w:rPr>
            </w:pPr>
          </w:p>
        </w:tc>
      </w:tr>
      <w:tr w:rsidR="00550FF9" w:rsidRPr="00F07B06" w14:paraId="670BCCA1" w14:textId="77777777" w:rsidTr="00E75B60">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0834B4FC"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lang w:eastAsia="nl-NL"/>
              </w:rPr>
              <w:t>8</w:t>
            </w:r>
          </w:p>
        </w:tc>
        <w:tc>
          <w:tcPr>
            <w:tcW w:w="800" w:type="pct"/>
            <w:tcBorders>
              <w:top w:val="nil"/>
              <w:left w:val="single" w:sz="8" w:space="0" w:color="auto"/>
              <w:bottom w:val="single" w:sz="8" w:space="0" w:color="000000"/>
              <w:right w:val="single" w:sz="8" w:space="0" w:color="auto"/>
            </w:tcBorders>
            <w:shd w:val="clear" w:color="auto" w:fill="auto"/>
            <w:vAlign w:val="center"/>
          </w:tcPr>
          <w:p w14:paraId="690FEAFB"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lang w:eastAsia="nl-NL"/>
              </w:rPr>
              <w:t>Interpretation of the test results</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2B68B4F" w14:textId="77777777" w:rsidR="00550FF9" w:rsidRPr="00E75B60" w:rsidRDefault="00550FF9" w:rsidP="00550FF9">
            <w:pPr>
              <w:jc w:val="left"/>
              <w:rPr>
                <w:rFonts w:cs="Arial"/>
                <w:color w:val="000000"/>
                <w:sz w:val="18"/>
                <w:szCs w:val="18"/>
                <w:highlight w:val="lightGray"/>
                <w:lang w:eastAsia="fr-FR"/>
              </w:rPr>
            </w:pPr>
            <w:r w:rsidRPr="00E75B60">
              <w:rPr>
                <w:rFonts w:cs="Arial"/>
                <w:i/>
                <w:iCs/>
                <w:color w:val="000000"/>
                <w:sz w:val="18"/>
                <w:szCs w:val="18"/>
                <w:lang w:eastAsia="fr-FR"/>
              </w:rPr>
              <w:t>See TG/44/11/rev3 – Ad 51: ii DNA marker test add 8</w:t>
            </w:r>
          </w:p>
        </w:tc>
        <w:tc>
          <w:tcPr>
            <w:tcW w:w="577" w:type="pct"/>
            <w:tcBorders>
              <w:top w:val="nil"/>
              <w:left w:val="single" w:sz="8" w:space="0" w:color="auto"/>
              <w:bottom w:val="single" w:sz="8" w:space="0" w:color="000000"/>
              <w:right w:val="single" w:sz="8" w:space="0" w:color="auto"/>
            </w:tcBorders>
            <w:shd w:val="clear" w:color="auto" w:fill="auto"/>
            <w:vAlign w:val="center"/>
          </w:tcPr>
          <w:p w14:paraId="500B0D4C"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lang w:eastAsia="nl-NL"/>
              </w:rPr>
              <w:t>YES</w:t>
            </w:r>
          </w:p>
        </w:tc>
        <w:tc>
          <w:tcPr>
            <w:tcW w:w="1949" w:type="pct"/>
            <w:tcBorders>
              <w:top w:val="nil"/>
              <w:left w:val="single" w:sz="8" w:space="0" w:color="auto"/>
              <w:bottom w:val="single" w:sz="8" w:space="0" w:color="000000"/>
              <w:right w:val="single" w:sz="8" w:space="0" w:color="auto"/>
            </w:tcBorders>
            <w:shd w:val="clear" w:color="auto" w:fill="auto"/>
            <w:vAlign w:val="center"/>
          </w:tcPr>
          <w:p w14:paraId="5309EDE8"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lang w:eastAsia="nl-NL"/>
              </w:rPr>
              <w:t>Relation between alleles and expressions (with its notes)</w:t>
            </w:r>
          </w:p>
        </w:tc>
        <w:tc>
          <w:tcPr>
            <w:tcW w:w="82" w:type="pct"/>
            <w:vAlign w:val="center"/>
          </w:tcPr>
          <w:p w14:paraId="3EF8BA31" w14:textId="77777777" w:rsidR="00550FF9" w:rsidRPr="00F07B06" w:rsidRDefault="00550FF9" w:rsidP="00550FF9">
            <w:pPr>
              <w:rPr>
                <w:rFonts w:ascii="Times New Roman" w:hAnsi="Times New Roman"/>
                <w:lang w:eastAsia="fr-FR"/>
              </w:rPr>
            </w:pPr>
          </w:p>
        </w:tc>
      </w:tr>
      <w:tr w:rsidR="00550FF9" w:rsidRPr="00F07B06" w14:paraId="349FE4B5" w14:textId="77777777" w:rsidTr="00E75B60">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4AB62CBB"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fr-FR"/>
              </w:rPr>
              <w:t>9</w:t>
            </w:r>
          </w:p>
        </w:tc>
        <w:tc>
          <w:tcPr>
            <w:tcW w:w="800" w:type="pct"/>
            <w:tcBorders>
              <w:top w:val="nil"/>
              <w:left w:val="single" w:sz="8" w:space="0" w:color="auto"/>
              <w:bottom w:val="single" w:sz="8" w:space="0" w:color="000000"/>
              <w:right w:val="single" w:sz="8" w:space="0" w:color="auto"/>
            </w:tcBorders>
            <w:shd w:val="clear" w:color="auto" w:fill="auto"/>
            <w:vAlign w:val="center"/>
          </w:tcPr>
          <w:p w14:paraId="49DEDF85"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fr-FR"/>
              </w:rPr>
              <w:t xml:space="preserve">Validation of the method, </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0631C624" w14:textId="77777777" w:rsidR="00550FF9" w:rsidRPr="00E75B60" w:rsidRDefault="00550FF9" w:rsidP="00550FF9">
            <w:pPr>
              <w:jc w:val="left"/>
              <w:rPr>
                <w:rFonts w:cs="Arial"/>
                <w:color w:val="000000"/>
                <w:sz w:val="18"/>
                <w:szCs w:val="18"/>
                <w:highlight w:val="lightGray"/>
                <w:lang w:eastAsia="fr-FR"/>
              </w:rPr>
            </w:pPr>
            <w:r w:rsidRPr="00E75B60">
              <w:rPr>
                <w:rFonts w:cs="Arial"/>
                <w:color w:val="000000"/>
                <w:sz w:val="18"/>
                <w:szCs w:val="18"/>
                <w:highlight w:val="lightGray"/>
                <w:lang w:eastAsia="fr-FR"/>
              </w:rPr>
              <w:t>This protocol was validated by a ring-test with different laboratories (</w:t>
            </w:r>
            <w:r w:rsidRPr="00E75B60">
              <w:rPr>
                <w:rFonts w:cs="Arial"/>
                <w:i/>
                <w:color w:val="000000"/>
                <w:sz w:val="18"/>
                <w:szCs w:val="18"/>
                <w:highlight w:val="lightGray"/>
                <w:lang w:eastAsia="fr-FR"/>
              </w:rPr>
              <w:t>e.g.</w:t>
            </w:r>
            <w:r w:rsidRPr="00E75B60">
              <w:rPr>
                <w:rFonts w:cs="Arial"/>
                <w:color w:val="000000"/>
                <w:sz w:val="18"/>
                <w:szCs w:val="18"/>
                <w:highlight w:val="lightGray"/>
                <w:lang w:eastAsia="fr-FR"/>
              </w:rPr>
              <w:t xml:space="preserve"> Interlaboratory Comparative Test Report, INVITE 2024).</w:t>
            </w:r>
          </w:p>
        </w:tc>
        <w:tc>
          <w:tcPr>
            <w:tcW w:w="577" w:type="pct"/>
            <w:tcBorders>
              <w:top w:val="nil"/>
              <w:left w:val="single" w:sz="8" w:space="0" w:color="auto"/>
              <w:bottom w:val="single" w:sz="8" w:space="0" w:color="000000"/>
              <w:right w:val="single" w:sz="8" w:space="0" w:color="auto"/>
            </w:tcBorders>
            <w:shd w:val="clear" w:color="auto" w:fill="auto"/>
            <w:vAlign w:val="center"/>
          </w:tcPr>
          <w:p w14:paraId="3E8AF7DE" w14:textId="77777777" w:rsidR="00550FF9" w:rsidRPr="00E75B60" w:rsidRDefault="00550FF9" w:rsidP="00550FF9">
            <w:pPr>
              <w:jc w:val="left"/>
              <w:rPr>
                <w:rFonts w:cs="Arial"/>
                <w:color w:val="000000"/>
                <w:sz w:val="18"/>
                <w:szCs w:val="18"/>
                <w:highlight w:val="lightGray"/>
                <w:lang w:eastAsia="nl-NL"/>
              </w:rPr>
            </w:pPr>
            <w:r w:rsidRPr="00E75B60">
              <w:rPr>
                <w:rFonts w:cs="Arial"/>
                <w:color w:val="000000"/>
                <w:sz w:val="18"/>
                <w:szCs w:val="18"/>
                <w:highlight w:val="lightGray"/>
                <w:lang w:eastAsia="nl-NL"/>
              </w:rPr>
              <w:t>YES</w:t>
            </w:r>
          </w:p>
        </w:tc>
        <w:tc>
          <w:tcPr>
            <w:tcW w:w="1949" w:type="pct"/>
            <w:tcBorders>
              <w:top w:val="nil"/>
              <w:left w:val="single" w:sz="8" w:space="0" w:color="auto"/>
              <w:bottom w:val="single" w:sz="8" w:space="0" w:color="000000"/>
              <w:right w:val="single" w:sz="8" w:space="0" w:color="auto"/>
            </w:tcBorders>
            <w:shd w:val="clear" w:color="auto" w:fill="auto"/>
            <w:vAlign w:val="center"/>
          </w:tcPr>
          <w:p w14:paraId="7453E09A" w14:textId="77777777" w:rsidR="00550FF9" w:rsidRPr="00E75B60" w:rsidRDefault="00550FF9" w:rsidP="00550FF9">
            <w:pPr>
              <w:jc w:val="left"/>
              <w:rPr>
                <w:rFonts w:cs="Arial"/>
                <w:color w:val="000000"/>
                <w:sz w:val="18"/>
                <w:szCs w:val="18"/>
                <w:highlight w:val="lightGray"/>
                <w:lang w:eastAsia="nl-NL"/>
              </w:rPr>
            </w:pPr>
          </w:p>
        </w:tc>
        <w:tc>
          <w:tcPr>
            <w:tcW w:w="82" w:type="pct"/>
            <w:vAlign w:val="center"/>
          </w:tcPr>
          <w:p w14:paraId="50DC75CC" w14:textId="77777777" w:rsidR="00550FF9" w:rsidRPr="00F07B06" w:rsidRDefault="00550FF9" w:rsidP="00550FF9">
            <w:pPr>
              <w:rPr>
                <w:rFonts w:ascii="Times New Roman" w:hAnsi="Times New Roman"/>
                <w:lang w:eastAsia="fr-FR"/>
              </w:rPr>
            </w:pPr>
          </w:p>
        </w:tc>
      </w:tr>
      <w:tr w:rsidR="00550FF9" w:rsidRPr="00F07B06" w14:paraId="2F95040A" w14:textId="77777777" w:rsidTr="00E75B60">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tcPr>
          <w:p w14:paraId="7515C62C" w14:textId="77777777" w:rsidR="00550FF9" w:rsidRPr="00E75B60" w:rsidRDefault="00550FF9" w:rsidP="00550FF9">
            <w:pPr>
              <w:jc w:val="left"/>
              <w:rPr>
                <w:rFonts w:cs="Arial"/>
                <w:color w:val="000000"/>
                <w:sz w:val="18"/>
                <w:szCs w:val="18"/>
                <w:highlight w:val="lightGray"/>
                <w:lang w:eastAsia="fr-FR"/>
              </w:rPr>
            </w:pPr>
            <w:r w:rsidRPr="00E75B60">
              <w:rPr>
                <w:rFonts w:cs="Arial"/>
                <w:color w:val="000000"/>
                <w:sz w:val="18"/>
                <w:szCs w:val="18"/>
                <w:highlight w:val="lightGray"/>
                <w:lang w:eastAsia="fr-FR"/>
              </w:rPr>
              <w:t>9.1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tcPr>
          <w:p w14:paraId="5F607EB1" w14:textId="77777777" w:rsidR="00550FF9" w:rsidRPr="00E75B60" w:rsidRDefault="00550FF9" w:rsidP="00550FF9">
            <w:pPr>
              <w:jc w:val="left"/>
              <w:rPr>
                <w:rFonts w:cs="Arial"/>
                <w:color w:val="000000"/>
                <w:sz w:val="18"/>
                <w:szCs w:val="18"/>
                <w:highlight w:val="lightGray"/>
                <w:lang w:eastAsia="fr-FR"/>
              </w:rPr>
            </w:pPr>
            <w:r w:rsidRPr="00E75B60">
              <w:rPr>
                <w:rFonts w:cs="Arial"/>
                <w:color w:val="000000"/>
                <w:sz w:val="18"/>
                <w:szCs w:val="18"/>
                <w:highlight w:val="lightGray"/>
                <w:lang w:eastAsia="fr-FR"/>
              </w:rPr>
              <w:t>Contact Examination Office</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tcPr>
          <w:p w14:paraId="13E93E1F" w14:textId="77777777" w:rsidR="00550FF9" w:rsidRPr="00E75B60" w:rsidRDefault="00550FF9" w:rsidP="00550FF9">
            <w:pPr>
              <w:jc w:val="left"/>
              <w:rPr>
                <w:rFonts w:cs="Arial"/>
                <w:color w:val="000000"/>
                <w:sz w:val="18"/>
                <w:szCs w:val="18"/>
                <w:highlight w:val="lightGray"/>
                <w:lang w:eastAsia="fr-FR"/>
              </w:rPr>
            </w:pPr>
            <w:r w:rsidRPr="00E75B60">
              <w:rPr>
                <w:rFonts w:cs="Arial"/>
                <w:i/>
                <w:color w:val="000000"/>
                <w:sz w:val="18"/>
                <w:szCs w:val="18"/>
                <w:highlight w:val="lightGray"/>
                <w:lang w:eastAsia="fr-FR"/>
              </w:rPr>
              <w:t>e.g.</w:t>
            </w:r>
            <w:r w:rsidRPr="00E75B60">
              <w:rPr>
                <w:rFonts w:cs="Arial"/>
                <w:color w:val="000000"/>
                <w:sz w:val="18"/>
                <w:szCs w:val="18"/>
                <w:highlight w:val="lightGray"/>
                <w:lang w:eastAsia="fr-FR"/>
              </w:rPr>
              <w:t xml:space="preserve"> Naktuinbouw</w:t>
            </w:r>
          </w:p>
        </w:tc>
        <w:tc>
          <w:tcPr>
            <w:tcW w:w="577" w:type="pct"/>
            <w:vMerge w:val="restart"/>
            <w:tcBorders>
              <w:top w:val="nil"/>
              <w:left w:val="single" w:sz="8" w:space="0" w:color="auto"/>
              <w:bottom w:val="single" w:sz="8" w:space="0" w:color="000000"/>
              <w:right w:val="single" w:sz="8" w:space="0" w:color="auto"/>
            </w:tcBorders>
            <w:shd w:val="clear" w:color="auto" w:fill="auto"/>
            <w:vAlign w:val="center"/>
          </w:tcPr>
          <w:p w14:paraId="7600DB5D" w14:textId="77777777" w:rsidR="00550FF9" w:rsidRPr="00E75B60" w:rsidRDefault="00550FF9" w:rsidP="00550FF9">
            <w:pPr>
              <w:jc w:val="left"/>
              <w:rPr>
                <w:rFonts w:cs="Arial"/>
                <w:color w:val="000000"/>
                <w:sz w:val="18"/>
                <w:szCs w:val="18"/>
                <w:highlight w:val="lightGray"/>
                <w:lang w:eastAsia="fr-FR"/>
              </w:rPr>
            </w:pPr>
            <w:r w:rsidRPr="00E75B60">
              <w:rPr>
                <w:rFonts w:cs="Arial"/>
                <w:color w:val="000000"/>
                <w:sz w:val="18"/>
                <w:szCs w:val="18"/>
                <w:highlight w:val="lightGray"/>
                <w:lang w:eastAsia="fr-FR"/>
              </w:rPr>
              <w:t>YES</w:t>
            </w:r>
          </w:p>
        </w:tc>
        <w:tc>
          <w:tcPr>
            <w:tcW w:w="1949" w:type="pct"/>
            <w:vMerge w:val="restart"/>
            <w:tcBorders>
              <w:top w:val="nil"/>
              <w:left w:val="single" w:sz="8" w:space="0" w:color="auto"/>
              <w:bottom w:val="single" w:sz="8" w:space="0" w:color="000000"/>
              <w:right w:val="single" w:sz="8" w:space="0" w:color="auto"/>
            </w:tcBorders>
            <w:shd w:val="clear" w:color="auto" w:fill="auto"/>
            <w:vAlign w:val="center"/>
          </w:tcPr>
          <w:p w14:paraId="19EC7028" w14:textId="77777777" w:rsidR="00550FF9" w:rsidRPr="00E75B60" w:rsidRDefault="00550FF9" w:rsidP="00550FF9">
            <w:pPr>
              <w:jc w:val="left"/>
              <w:rPr>
                <w:rFonts w:cs="Arial"/>
                <w:color w:val="000000"/>
                <w:sz w:val="18"/>
                <w:szCs w:val="18"/>
                <w:highlight w:val="lightGray"/>
                <w:lang w:eastAsia="fr-FR"/>
              </w:rPr>
            </w:pPr>
            <w:r w:rsidRPr="00E75B60">
              <w:rPr>
                <w:rFonts w:cs="Arial"/>
                <w:color w:val="000000"/>
                <w:sz w:val="18"/>
                <w:szCs w:val="18"/>
                <w:highlight w:val="lightGray"/>
                <w:lang w:eastAsia="fr-FR"/>
              </w:rPr>
              <w:t>Contact of the institute that developed this protocol, Name of the service.</w:t>
            </w:r>
          </w:p>
        </w:tc>
        <w:tc>
          <w:tcPr>
            <w:tcW w:w="82" w:type="pct"/>
            <w:vAlign w:val="center"/>
            <w:hideMark/>
          </w:tcPr>
          <w:p w14:paraId="1E975B44" w14:textId="77777777" w:rsidR="00550FF9" w:rsidRPr="00F07B06" w:rsidRDefault="00550FF9" w:rsidP="00550FF9">
            <w:pPr>
              <w:rPr>
                <w:rFonts w:ascii="Times New Roman" w:hAnsi="Times New Roman"/>
                <w:lang w:eastAsia="fr-FR"/>
              </w:rPr>
            </w:pPr>
          </w:p>
        </w:tc>
      </w:tr>
      <w:tr w:rsidR="00550FF9" w:rsidRPr="00F07B06" w14:paraId="1A7E7C21" w14:textId="77777777" w:rsidTr="00E75B60">
        <w:trPr>
          <w:trHeight w:val="300"/>
        </w:trPr>
        <w:tc>
          <w:tcPr>
            <w:tcW w:w="358" w:type="pct"/>
            <w:vMerge/>
            <w:tcBorders>
              <w:top w:val="nil"/>
              <w:left w:val="single" w:sz="8" w:space="0" w:color="auto"/>
              <w:bottom w:val="single" w:sz="8" w:space="0" w:color="000000"/>
              <w:right w:val="single" w:sz="8" w:space="0" w:color="auto"/>
            </w:tcBorders>
            <w:shd w:val="clear" w:color="auto" w:fill="auto"/>
            <w:vAlign w:val="center"/>
          </w:tcPr>
          <w:p w14:paraId="02C8C04A" w14:textId="77777777" w:rsidR="00550FF9" w:rsidRPr="00E75B60" w:rsidRDefault="00550FF9" w:rsidP="00550FF9">
            <w:pPr>
              <w:rPr>
                <w:rFonts w:cs="Arial"/>
                <w:color w:val="000000"/>
                <w:sz w:val="18"/>
                <w:szCs w:val="18"/>
                <w:lang w:eastAsia="nl-NL"/>
              </w:rPr>
            </w:pPr>
          </w:p>
        </w:tc>
        <w:tc>
          <w:tcPr>
            <w:tcW w:w="800" w:type="pct"/>
            <w:vMerge/>
            <w:tcBorders>
              <w:top w:val="nil"/>
              <w:left w:val="single" w:sz="8" w:space="0" w:color="auto"/>
              <w:bottom w:val="single" w:sz="8" w:space="0" w:color="000000"/>
              <w:right w:val="single" w:sz="8" w:space="0" w:color="auto"/>
            </w:tcBorders>
            <w:shd w:val="clear" w:color="auto" w:fill="auto"/>
            <w:vAlign w:val="center"/>
          </w:tcPr>
          <w:p w14:paraId="6A858363" w14:textId="77777777" w:rsidR="00550FF9" w:rsidRPr="00E75B60" w:rsidRDefault="00550FF9" w:rsidP="00550FF9">
            <w:pPr>
              <w:rPr>
                <w:rFonts w:cs="Arial"/>
                <w:color w:val="000000"/>
                <w:sz w:val="18"/>
                <w:szCs w:val="18"/>
                <w:lang w:eastAsia="nl-NL"/>
              </w:rPr>
            </w:pPr>
          </w:p>
        </w:tc>
        <w:tc>
          <w:tcPr>
            <w:tcW w:w="1235" w:type="pct"/>
            <w:vMerge/>
            <w:tcBorders>
              <w:top w:val="nil"/>
              <w:left w:val="single" w:sz="8" w:space="0" w:color="auto"/>
              <w:bottom w:val="single" w:sz="8" w:space="0" w:color="000000"/>
              <w:right w:val="single" w:sz="8" w:space="0" w:color="auto"/>
            </w:tcBorders>
            <w:shd w:val="clear" w:color="auto" w:fill="auto"/>
            <w:vAlign w:val="center"/>
          </w:tcPr>
          <w:p w14:paraId="1F0E6920" w14:textId="77777777" w:rsidR="00550FF9" w:rsidRPr="00E75B60" w:rsidRDefault="00550FF9" w:rsidP="00550FF9">
            <w:pPr>
              <w:rPr>
                <w:rFonts w:cs="Arial"/>
                <w:i/>
                <w:iCs/>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shd w:val="clear" w:color="auto" w:fill="auto"/>
            <w:vAlign w:val="center"/>
          </w:tcPr>
          <w:p w14:paraId="06E3BA49" w14:textId="77777777" w:rsidR="00550FF9" w:rsidRPr="00E75B60" w:rsidRDefault="00550FF9" w:rsidP="00550FF9">
            <w:pPr>
              <w:rPr>
                <w:rFonts w:cs="Arial"/>
                <w:color w:val="000000"/>
                <w:sz w:val="18"/>
                <w:szCs w:val="18"/>
                <w:lang w:eastAsia="nl-NL"/>
              </w:rPr>
            </w:pPr>
          </w:p>
        </w:tc>
        <w:tc>
          <w:tcPr>
            <w:tcW w:w="1949" w:type="pct"/>
            <w:vMerge/>
            <w:tcBorders>
              <w:top w:val="nil"/>
              <w:left w:val="single" w:sz="8" w:space="0" w:color="auto"/>
              <w:bottom w:val="single" w:sz="8" w:space="0" w:color="000000"/>
              <w:right w:val="single" w:sz="8" w:space="0" w:color="auto"/>
            </w:tcBorders>
            <w:shd w:val="clear" w:color="auto" w:fill="auto"/>
            <w:vAlign w:val="center"/>
          </w:tcPr>
          <w:p w14:paraId="696E24D6" w14:textId="77777777" w:rsidR="00550FF9" w:rsidRPr="00E75B60" w:rsidRDefault="00550FF9" w:rsidP="00550FF9">
            <w:pPr>
              <w:rPr>
                <w:rFonts w:cs="Arial"/>
                <w:color w:val="000000"/>
                <w:sz w:val="18"/>
                <w:szCs w:val="18"/>
                <w:lang w:eastAsia="nl-NL"/>
              </w:rPr>
            </w:pPr>
          </w:p>
        </w:tc>
        <w:tc>
          <w:tcPr>
            <w:tcW w:w="82" w:type="pct"/>
            <w:vAlign w:val="center"/>
          </w:tcPr>
          <w:p w14:paraId="418806ED" w14:textId="77777777" w:rsidR="00550FF9" w:rsidRPr="00F07B06" w:rsidRDefault="00550FF9" w:rsidP="00550FF9">
            <w:pPr>
              <w:rPr>
                <w:rFonts w:ascii="Times New Roman" w:hAnsi="Times New Roman"/>
                <w:lang w:eastAsia="fr-FR"/>
              </w:rPr>
            </w:pPr>
          </w:p>
        </w:tc>
      </w:tr>
      <w:tr w:rsidR="00550FF9" w:rsidRPr="00F07B06" w14:paraId="16312058" w14:textId="77777777" w:rsidTr="00E75B60">
        <w:trPr>
          <w:trHeight w:val="315"/>
        </w:trPr>
        <w:tc>
          <w:tcPr>
            <w:tcW w:w="358" w:type="pct"/>
            <w:vMerge/>
            <w:tcBorders>
              <w:top w:val="nil"/>
              <w:left w:val="single" w:sz="8" w:space="0" w:color="auto"/>
              <w:bottom w:val="single" w:sz="8" w:space="0" w:color="000000"/>
              <w:right w:val="single" w:sz="8" w:space="0" w:color="auto"/>
            </w:tcBorders>
            <w:vAlign w:val="center"/>
          </w:tcPr>
          <w:p w14:paraId="016CC327" w14:textId="77777777" w:rsidR="00550FF9" w:rsidRPr="00E75B60" w:rsidRDefault="00550FF9" w:rsidP="00550FF9">
            <w:pPr>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tcPr>
          <w:p w14:paraId="44875562" w14:textId="77777777" w:rsidR="00550FF9" w:rsidRPr="00E75B60" w:rsidRDefault="00550FF9" w:rsidP="00550FF9">
            <w:pPr>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tcPr>
          <w:p w14:paraId="16E35C82" w14:textId="77777777" w:rsidR="00550FF9" w:rsidRPr="00E75B60" w:rsidRDefault="00550FF9" w:rsidP="00550FF9">
            <w:pPr>
              <w:rPr>
                <w:rFonts w:cs="Arial"/>
                <w:i/>
                <w:iCs/>
                <w:color w:val="000000"/>
                <w:sz w:val="18"/>
                <w:szCs w:val="18"/>
                <w:lang w:eastAsia="fr-FR"/>
              </w:rPr>
            </w:pPr>
          </w:p>
        </w:tc>
        <w:tc>
          <w:tcPr>
            <w:tcW w:w="577" w:type="pct"/>
            <w:vMerge/>
            <w:tcBorders>
              <w:top w:val="nil"/>
              <w:left w:val="single" w:sz="8" w:space="0" w:color="auto"/>
              <w:bottom w:val="single" w:sz="8" w:space="0" w:color="000000"/>
              <w:right w:val="single" w:sz="8" w:space="0" w:color="auto"/>
            </w:tcBorders>
            <w:vAlign w:val="center"/>
          </w:tcPr>
          <w:p w14:paraId="2B60A63E" w14:textId="77777777" w:rsidR="00550FF9" w:rsidRPr="00E75B60" w:rsidRDefault="00550FF9" w:rsidP="00550FF9">
            <w:pPr>
              <w:rPr>
                <w:rFonts w:cs="Arial"/>
                <w:color w:val="000000"/>
                <w:sz w:val="18"/>
                <w:szCs w:val="18"/>
                <w:lang w:eastAsia="fr-FR"/>
              </w:rPr>
            </w:pPr>
          </w:p>
        </w:tc>
        <w:tc>
          <w:tcPr>
            <w:tcW w:w="1949" w:type="pct"/>
            <w:vMerge/>
            <w:tcBorders>
              <w:top w:val="nil"/>
              <w:left w:val="single" w:sz="8" w:space="0" w:color="auto"/>
              <w:bottom w:val="single" w:sz="8" w:space="0" w:color="000000"/>
              <w:right w:val="single" w:sz="8" w:space="0" w:color="auto"/>
            </w:tcBorders>
            <w:vAlign w:val="center"/>
          </w:tcPr>
          <w:p w14:paraId="35D66926" w14:textId="77777777" w:rsidR="00550FF9" w:rsidRPr="00E75B60" w:rsidRDefault="00550FF9" w:rsidP="00550FF9">
            <w:pPr>
              <w:rPr>
                <w:rFonts w:cs="Arial"/>
                <w:color w:val="000000"/>
                <w:sz w:val="18"/>
                <w:szCs w:val="18"/>
                <w:lang w:eastAsia="fr-FR"/>
              </w:rPr>
            </w:pPr>
          </w:p>
        </w:tc>
        <w:tc>
          <w:tcPr>
            <w:tcW w:w="82" w:type="pct"/>
            <w:tcBorders>
              <w:top w:val="nil"/>
              <w:left w:val="nil"/>
              <w:bottom w:val="nil"/>
              <w:right w:val="nil"/>
            </w:tcBorders>
            <w:shd w:val="clear" w:color="auto" w:fill="auto"/>
            <w:noWrap/>
            <w:vAlign w:val="bottom"/>
            <w:hideMark/>
          </w:tcPr>
          <w:p w14:paraId="7D8C9B5C" w14:textId="77777777" w:rsidR="00550FF9" w:rsidRPr="00F07B06" w:rsidRDefault="00550FF9" w:rsidP="00550FF9">
            <w:pPr>
              <w:rPr>
                <w:rFonts w:cs="Arial"/>
                <w:color w:val="000000"/>
                <w:lang w:eastAsia="fr-FR"/>
              </w:rPr>
            </w:pPr>
          </w:p>
        </w:tc>
      </w:tr>
    </w:tbl>
    <w:p w14:paraId="75B296A0" w14:textId="77777777" w:rsidR="00550FF9" w:rsidRPr="00F07B06" w:rsidRDefault="00550FF9" w:rsidP="00550FF9">
      <w:pPr>
        <w:rPr>
          <w:lang w:eastAsia="fr-FR"/>
        </w:rPr>
      </w:pPr>
    </w:p>
    <w:p w14:paraId="5F495CFA" w14:textId="77777777" w:rsidR="00550FF9" w:rsidRPr="00F07B06" w:rsidRDefault="00550FF9" w:rsidP="00550FF9">
      <w:pPr>
        <w:rPr>
          <w:lang w:eastAsia="fr-FR"/>
        </w:rPr>
      </w:pPr>
    </w:p>
    <w:p w14:paraId="1C80CF8B" w14:textId="77777777" w:rsidR="00550FF9" w:rsidRPr="00F07B06" w:rsidRDefault="00550FF9" w:rsidP="00FE6528">
      <w:pPr>
        <w:pStyle w:val="Heading1Annex"/>
      </w:pPr>
      <w:bookmarkStart w:id="88" w:name="_Toc178069531"/>
      <w:r w:rsidRPr="00F07B06">
        <w:t>VI.</w:t>
      </w:r>
      <w:r w:rsidRPr="00F07B06">
        <w:tab/>
        <w:t>Follow-up survey after approval</w:t>
      </w:r>
      <w:bookmarkEnd w:id="88"/>
    </w:p>
    <w:p w14:paraId="14A6D07B" w14:textId="77777777" w:rsidR="00550FF9" w:rsidRPr="00F07B06" w:rsidRDefault="00550FF9" w:rsidP="00550FF9">
      <w:pPr>
        <w:keepNext/>
        <w:rPr>
          <w:lang w:eastAsia="fr-FR"/>
        </w:rPr>
      </w:pPr>
    </w:p>
    <w:p w14:paraId="5E98AF03" w14:textId="3E9CD779" w:rsidR="00550FF9" w:rsidRPr="00F07B06" w:rsidRDefault="00E75B60" w:rsidP="00550FF9">
      <w:pPr>
        <w:rPr>
          <w:lang w:eastAsia="fr-FR"/>
        </w:rPr>
      </w:pPr>
      <w:r>
        <w:fldChar w:fldCharType="begin"/>
      </w:r>
      <w:r>
        <w:instrText xml:space="preserve"> LISTNUM  LegalDefault \l 1 </w:instrText>
      </w:r>
      <w:r>
        <w:fldChar w:fldCharType="end">
          <w:numberingChange w:id="89" w:author="SANCHEZ VIZCAINO GOMEZ Rosa Maria" w:date="2024-09-23T14:37:00Z" w16du:dateUtc="2024-09-23T12:37:00Z" w:original="34."/>
        </w:fldChar>
      </w:r>
      <w:r w:rsidR="00550FF9" w:rsidRPr="00F07B06">
        <w:rPr>
          <w:lang w:eastAsia="fr-FR"/>
        </w:rPr>
        <w:tab/>
        <w:t xml:space="preserve">Validation of the marker is not fixed as new genetics can arise from the market. This is a continuous evaluation process. Specificity should be re-assessed after validation acceptance using double testing at least during the first year with observation method. </w:t>
      </w:r>
    </w:p>
    <w:p w14:paraId="227EE600" w14:textId="77777777" w:rsidR="00550FF9" w:rsidRPr="00F07B06" w:rsidRDefault="00550FF9" w:rsidP="00550FF9">
      <w:pPr>
        <w:rPr>
          <w:lang w:eastAsia="fr-FR"/>
        </w:rPr>
      </w:pPr>
    </w:p>
    <w:p w14:paraId="794A54A7" w14:textId="7577F660" w:rsidR="00550FF9" w:rsidRPr="00F07B06" w:rsidRDefault="00E75B60" w:rsidP="00550FF9">
      <w:pPr>
        <w:rPr>
          <w:lang w:eastAsia="fr-FR"/>
        </w:rPr>
      </w:pPr>
      <w:r>
        <w:fldChar w:fldCharType="begin"/>
      </w:r>
      <w:r>
        <w:instrText xml:space="preserve"> LISTNUM  LegalDefault \l 1 </w:instrText>
      </w:r>
      <w:r>
        <w:fldChar w:fldCharType="end">
          <w:numberingChange w:id="90" w:author="SANCHEZ VIZCAINO GOMEZ Rosa Maria" w:date="2024-09-23T14:37:00Z" w16du:dateUtc="2024-09-23T12:37:00Z" w:original="35."/>
        </w:fldChar>
      </w:r>
      <w:r w:rsidR="00550FF9" w:rsidRPr="00F07B06">
        <w:rPr>
          <w:lang w:eastAsia="fr-FR"/>
        </w:rPr>
        <w:tab/>
        <w:t>After the first year of acceptance of the protocol, morphological checks on about 10% of the new varieties must be performed.</w:t>
      </w:r>
    </w:p>
    <w:p w14:paraId="339E95E3" w14:textId="77777777" w:rsidR="00550FF9" w:rsidRPr="00F07B06" w:rsidRDefault="00550FF9" w:rsidP="00550FF9">
      <w:pPr>
        <w:jc w:val="left"/>
      </w:pPr>
    </w:p>
    <w:p w14:paraId="3FB988CA" w14:textId="77777777" w:rsidR="00EF4B00" w:rsidRPr="00F07B06" w:rsidRDefault="00EF4B00" w:rsidP="00EF4B00"/>
    <w:p w14:paraId="465282EF" w14:textId="77777777" w:rsidR="003D7A73" w:rsidRPr="00F07B06" w:rsidRDefault="003D7A73" w:rsidP="00EF4B00"/>
    <w:p w14:paraId="530048DF" w14:textId="043B73C2" w:rsidR="003D7A73" w:rsidRPr="00F07B06" w:rsidRDefault="003D7A73" w:rsidP="003D7A73">
      <w:pPr>
        <w:jc w:val="right"/>
      </w:pPr>
      <w:r w:rsidRPr="00F07B06">
        <w:t>[End of Annex and of document]</w:t>
      </w:r>
    </w:p>
    <w:sectPr w:rsidR="003D7A73" w:rsidRPr="00F07B06"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FA08" w14:textId="77777777" w:rsidR="00DC51CA" w:rsidRDefault="00DC51CA" w:rsidP="006655D3">
      <w:r>
        <w:separator/>
      </w:r>
    </w:p>
    <w:p w14:paraId="11C0C44C" w14:textId="77777777" w:rsidR="00DC51CA" w:rsidRDefault="00DC51CA" w:rsidP="006655D3"/>
    <w:p w14:paraId="2B3764B6" w14:textId="77777777" w:rsidR="00DC51CA" w:rsidRDefault="00DC51CA" w:rsidP="006655D3"/>
  </w:endnote>
  <w:endnote w:type="continuationSeparator" w:id="0">
    <w:p w14:paraId="5C2935C1" w14:textId="77777777" w:rsidR="00DC51CA" w:rsidRDefault="00DC51CA" w:rsidP="006655D3">
      <w:r>
        <w:separator/>
      </w:r>
    </w:p>
    <w:p w14:paraId="34000861" w14:textId="77777777" w:rsidR="00DC51CA" w:rsidRPr="00294751" w:rsidRDefault="00DC51CA">
      <w:pPr>
        <w:pStyle w:val="Footer"/>
        <w:spacing w:after="60"/>
        <w:rPr>
          <w:sz w:val="18"/>
          <w:lang w:val="fr-FR"/>
        </w:rPr>
      </w:pPr>
      <w:r w:rsidRPr="00294751">
        <w:rPr>
          <w:sz w:val="18"/>
          <w:lang w:val="fr-FR"/>
        </w:rPr>
        <w:t>[Suite de la note de la page précédente]</w:t>
      </w:r>
    </w:p>
    <w:p w14:paraId="004E2DDC" w14:textId="77777777" w:rsidR="00DC51CA" w:rsidRPr="00294751" w:rsidRDefault="00DC51CA" w:rsidP="006655D3">
      <w:pPr>
        <w:rPr>
          <w:lang w:val="fr-FR"/>
        </w:rPr>
      </w:pPr>
    </w:p>
    <w:p w14:paraId="52420260" w14:textId="77777777" w:rsidR="00DC51CA" w:rsidRPr="00294751" w:rsidRDefault="00DC51CA" w:rsidP="006655D3">
      <w:pPr>
        <w:rPr>
          <w:lang w:val="fr-FR"/>
        </w:rPr>
      </w:pPr>
    </w:p>
  </w:endnote>
  <w:endnote w:type="continuationNotice" w:id="1">
    <w:p w14:paraId="4D96324C" w14:textId="77777777" w:rsidR="00DC51CA" w:rsidRPr="00294751" w:rsidRDefault="00DC51CA" w:rsidP="006655D3">
      <w:pPr>
        <w:rPr>
          <w:lang w:val="fr-FR"/>
        </w:rPr>
      </w:pPr>
      <w:r w:rsidRPr="00294751">
        <w:rPr>
          <w:lang w:val="fr-FR"/>
        </w:rPr>
        <w:t>[Suite de la note page suivante]</w:t>
      </w:r>
    </w:p>
    <w:p w14:paraId="1614734A" w14:textId="77777777" w:rsidR="00DC51CA" w:rsidRPr="00294751" w:rsidRDefault="00DC51CA" w:rsidP="006655D3">
      <w:pPr>
        <w:rPr>
          <w:lang w:val="fr-FR"/>
        </w:rPr>
      </w:pPr>
    </w:p>
    <w:p w14:paraId="2997A404"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43FF" w14:textId="77777777" w:rsidR="00DC51CA" w:rsidRDefault="00DC51CA" w:rsidP="006655D3">
      <w:r>
        <w:separator/>
      </w:r>
    </w:p>
  </w:footnote>
  <w:footnote w:type="continuationSeparator" w:id="0">
    <w:p w14:paraId="3F9899A1" w14:textId="77777777" w:rsidR="00DC51CA" w:rsidRDefault="00DC51CA" w:rsidP="006655D3">
      <w:r>
        <w:separator/>
      </w:r>
    </w:p>
  </w:footnote>
  <w:footnote w:type="continuationNotice" w:id="1">
    <w:p w14:paraId="31BD0E75" w14:textId="77777777" w:rsidR="00DC51CA" w:rsidRPr="00AB530F" w:rsidRDefault="00DC51CA" w:rsidP="00AB530F">
      <w:pPr>
        <w:pStyle w:val="Footer"/>
      </w:pPr>
    </w:p>
  </w:footnote>
  <w:footnote w:id="2">
    <w:p w14:paraId="08DCAB89" w14:textId="4589C9FD" w:rsidR="00A655A8" w:rsidRDefault="00A655A8" w:rsidP="008A52E0">
      <w:pPr>
        <w:pStyle w:val="FootnoteText"/>
      </w:pPr>
      <w:r>
        <w:rPr>
          <w:rStyle w:val="FootnoteReference"/>
        </w:rPr>
        <w:footnoteRef/>
      </w:r>
      <w:r>
        <w:t xml:space="preserve"> TWM, second session, held via electronic means, from April 8 to 11, 2024. See document TWM/2/21 “Report”, paragraphs 57 to 61</w:t>
      </w:r>
      <w:r w:rsidR="008A52E0">
        <w:t>.</w:t>
      </w:r>
    </w:p>
  </w:footnote>
  <w:footnote w:id="3">
    <w:p w14:paraId="6D3A256D" w14:textId="25A37275" w:rsidR="00A655A8" w:rsidRDefault="00A655A8" w:rsidP="008A52E0">
      <w:pPr>
        <w:pStyle w:val="FootnoteText"/>
      </w:pPr>
      <w:r>
        <w:rPr>
          <w:rStyle w:val="FootnoteReference"/>
        </w:rPr>
        <w:footnoteRef/>
      </w:r>
      <w:r>
        <w:t xml:space="preserve"> </w:t>
      </w:r>
      <w:r w:rsidRPr="008A52E0">
        <w:rPr>
          <w:spacing w:val="-2"/>
        </w:rPr>
        <w:t>TWV, fifty-eighth session, held via electronic means, from April 22 to 25, 2024. See document TWV//58/11 “Report”, paragraph</w:t>
      </w:r>
      <w:r w:rsidR="008A52E0" w:rsidRPr="008A52E0">
        <w:rPr>
          <w:spacing w:val="-2"/>
        </w:rPr>
        <w:t>s</w:t>
      </w:r>
      <w:r w:rsidRPr="008A52E0">
        <w:rPr>
          <w:spacing w:val="-2"/>
        </w:rPr>
        <w:t xml:space="preserve"> 54 to</w:t>
      </w:r>
      <w:r w:rsidR="008A52E0" w:rsidRPr="008A52E0">
        <w:rPr>
          <w:spacing w:val="-2"/>
        </w:rPr>
        <w:t> </w:t>
      </w:r>
      <w:r w:rsidRPr="008A52E0">
        <w:rPr>
          <w:spacing w:val="-2"/>
        </w:rPr>
        <w:t>58</w:t>
      </w:r>
      <w:r w:rsidR="008A52E0" w:rsidRPr="008A52E0">
        <w:rPr>
          <w:spacing w:val="-2"/>
        </w:rPr>
        <w:t>.</w:t>
      </w:r>
    </w:p>
  </w:footnote>
  <w:footnote w:id="4">
    <w:p w14:paraId="39AB30E1" w14:textId="0B0FA76C" w:rsidR="00EF4B00" w:rsidRPr="00A96C63" w:rsidRDefault="00EF4B00" w:rsidP="008A52E0">
      <w:pPr>
        <w:pStyle w:val="FootnoteText"/>
      </w:pPr>
      <w:r w:rsidRPr="00A96C63">
        <w:rPr>
          <w:rStyle w:val="FootnoteReference"/>
        </w:rPr>
        <w:footnoteRef/>
      </w:r>
      <w:r w:rsidRPr="00A96C63">
        <w:t xml:space="preserve"> </w:t>
      </w:r>
      <w:r>
        <w:t>TC, fifty-eighth session, h</w:t>
      </w:r>
      <w:r w:rsidRPr="00A96C63">
        <w:t>eld in Geneva, on October 24 and 25, 2022</w:t>
      </w:r>
      <w:r w:rsidR="00825360">
        <w:t>.</w:t>
      </w:r>
    </w:p>
  </w:footnote>
  <w:footnote w:id="5">
    <w:p w14:paraId="766D439C" w14:textId="58C1C476" w:rsidR="006A263B" w:rsidRPr="00A96C63" w:rsidRDefault="006A263B" w:rsidP="008A52E0">
      <w:pPr>
        <w:pStyle w:val="FootnoteText"/>
      </w:pPr>
      <w:r w:rsidRPr="00A96C63">
        <w:rPr>
          <w:rStyle w:val="FootnoteReference"/>
        </w:rPr>
        <w:footnoteRef/>
      </w:r>
      <w:r w:rsidRPr="00A96C63">
        <w:t xml:space="preserve"> </w:t>
      </w:r>
      <w:r>
        <w:t>TC, fifty-ninth session, h</w:t>
      </w:r>
      <w:r w:rsidRPr="00A96C63">
        <w:t>eld in Geneva, on October 2</w:t>
      </w:r>
      <w:r w:rsidR="0010001A">
        <w:t>3</w:t>
      </w:r>
      <w:r w:rsidRPr="00A96C63">
        <w:t xml:space="preserve"> and 2</w:t>
      </w:r>
      <w:r w:rsidR="0010001A">
        <w:t>4</w:t>
      </w:r>
      <w:r w:rsidRPr="00A96C63">
        <w:t>, 202</w:t>
      </w:r>
      <w:r w:rsidR="0010001A">
        <w:t>3</w:t>
      </w:r>
      <w:r w:rsidR="00825360">
        <w:t>.</w:t>
      </w:r>
    </w:p>
  </w:footnote>
  <w:footnote w:id="6">
    <w:p w14:paraId="0AAEB1AB" w14:textId="3A0E42B8" w:rsidR="00A655A8" w:rsidRDefault="00A655A8" w:rsidP="008A52E0">
      <w:pPr>
        <w:pStyle w:val="FootnoteText"/>
      </w:pPr>
      <w:r>
        <w:rPr>
          <w:rStyle w:val="FootnoteReference"/>
        </w:rPr>
        <w:footnoteRef/>
      </w:r>
      <w:r>
        <w:t xml:space="preserve"> TWM, second session, held via electronic means, from April 8 to 11, 2024. See document TWM/2/21 “Report”, paragraphs 57 to 61</w:t>
      </w:r>
      <w:r w:rsidR="0082536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73632502"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2A12E1">
      <w:rPr>
        <w:rStyle w:val="PageNumber"/>
        <w:lang w:val="en-US"/>
      </w:rPr>
      <w:t>2024/6</w:t>
    </w:r>
  </w:p>
  <w:p w14:paraId="757C8FA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6C33" w14:textId="77777777" w:rsidR="00550FF9" w:rsidRPr="00C5280D" w:rsidRDefault="00550FF9" w:rsidP="00EB048E">
    <w:pPr>
      <w:pStyle w:val="Header"/>
      <w:rPr>
        <w:rStyle w:val="PageNumber"/>
        <w:lang w:val="en-US"/>
      </w:rPr>
    </w:pPr>
    <w:r>
      <w:rPr>
        <w:rStyle w:val="PageNumber"/>
        <w:lang w:val="en-US"/>
      </w:rPr>
      <w:t>SESSIONS/2024/6</w:t>
    </w:r>
  </w:p>
  <w:p w14:paraId="2F93ACBB" w14:textId="18BCFE7B" w:rsidR="00550FF9" w:rsidRPr="00C5280D" w:rsidRDefault="00550FF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F56515B" w14:textId="77777777" w:rsidR="00550FF9" w:rsidRPr="00C5280D" w:rsidRDefault="00550FF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F377" w14:textId="77777777" w:rsidR="00550FF9" w:rsidRPr="00C5280D" w:rsidRDefault="00550FF9" w:rsidP="00550FF9">
    <w:pPr>
      <w:pStyle w:val="Header"/>
      <w:rPr>
        <w:rStyle w:val="PageNumber"/>
        <w:lang w:val="en-US"/>
      </w:rPr>
    </w:pPr>
    <w:r>
      <w:rPr>
        <w:rStyle w:val="PageNumber"/>
        <w:lang w:val="en-US"/>
      </w:rPr>
      <w:t>SESSIONS/2024/6</w:t>
    </w:r>
  </w:p>
  <w:p w14:paraId="3C5FC7EA" w14:textId="2DD73E5C" w:rsidR="00550FF9" w:rsidRDefault="00550FF9" w:rsidP="00550FF9">
    <w:pPr>
      <w:pStyle w:val="Header"/>
      <w:rPr>
        <w:lang w:val="en-US"/>
      </w:rPr>
    </w:pPr>
  </w:p>
  <w:p w14:paraId="0EE73618" w14:textId="289FAE55" w:rsidR="00550FF9" w:rsidRPr="00C5280D" w:rsidRDefault="00550FF9" w:rsidP="00550FF9">
    <w:pPr>
      <w:pStyle w:val="Header"/>
      <w:rPr>
        <w:lang w:val="en-US"/>
      </w:rPr>
    </w:pPr>
    <w:r>
      <w:rPr>
        <w:lang w:val="en-US"/>
      </w:rPr>
      <w:t>ANNEX</w:t>
    </w:r>
  </w:p>
  <w:p w14:paraId="3602BF50" w14:textId="77777777" w:rsidR="00550FF9" w:rsidRPr="0004198B"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2"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5"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9"/>
  </w:num>
  <w:num w:numId="2" w16cid:durableId="400761307">
    <w:abstractNumId w:val="8"/>
  </w:num>
  <w:num w:numId="3" w16cid:durableId="2101874822">
    <w:abstractNumId w:val="6"/>
  </w:num>
  <w:num w:numId="4" w16cid:durableId="408501716">
    <w:abstractNumId w:val="1"/>
  </w:num>
  <w:num w:numId="5" w16cid:durableId="937522431">
    <w:abstractNumId w:val="4"/>
  </w:num>
  <w:num w:numId="6" w16cid:durableId="484014185">
    <w:abstractNumId w:val="5"/>
  </w:num>
  <w:num w:numId="7" w16cid:durableId="1027028850">
    <w:abstractNumId w:val="5"/>
    <w:lvlOverride w:ilvl="0">
      <w:startOverride w:val="1"/>
    </w:lvlOverride>
  </w:num>
  <w:num w:numId="8" w16cid:durableId="748161896">
    <w:abstractNumId w:val="5"/>
    <w:lvlOverride w:ilvl="0">
      <w:startOverride w:val="1"/>
    </w:lvlOverride>
  </w:num>
  <w:num w:numId="9" w16cid:durableId="1246569638">
    <w:abstractNumId w:val="5"/>
    <w:lvlOverride w:ilvl="0">
      <w:startOverride w:val="1"/>
    </w:lvlOverride>
  </w:num>
  <w:num w:numId="10" w16cid:durableId="730927524">
    <w:abstractNumId w:val="5"/>
    <w:lvlOverride w:ilvl="0">
      <w:startOverride w:val="1"/>
    </w:lvlOverride>
  </w:num>
  <w:num w:numId="11" w16cid:durableId="1772823668">
    <w:abstractNumId w:val="1"/>
    <w:lvlOverride w:ilvl="0">
      <w:startOverride w:val="1"/>
    </w:lvlOverride>
  </w:num>
  <w:num w:numId="12" w16cid:durableId="1272204577">
    <w:abstractNumId w:val="5"/>
    <w:lvlOverride w:ilvl="0">
      <w:startOverride w:val="1"/>
    </w:lvlOverride>
  </w:num>
  <w:num w:numId="13" w16cid:durableId="1515454636">
    <w:abstractNumId w:val="5"/>
    <w:lvlOverride w:ilvl="0">
      <w:startOverride w:val="1"/>
    </w:lvlOverride>
  </w:num>
  <w:num w:numId="14" w16cid:durableId="465464437">
    <w:abstractNumId w:val="5"/>
    <w:lvlOverride w:ilvl="0">
      <w:startOverride w:val="1"/>
    </w:lvlOverride>
  </w:num>
  <w:num w:numId="15" w16cid:durableId="1802335823">
    <w:abstractNumId w:val="0"/>
  </w:num>
  <w:num w:numId="16" w16cid:durableId="14625678">
    <w:abstractNumId w:val="3"/>
  </w:num>
  <w:num w:numId="17" w16cid:durableId="532770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5884"/>
    <w:rsid w:val="00036028"/>
    <w:rsid w:val="0004198B"/>
    <w:rsid w:val="00044642"/>
    <w:rsid w:val="000446B9"/>
    <w:rsid w:val="00047CF1"/>
    <w:rsid w:val="00047E21"/>
    <w:rsid w:val="00050E16"/>
    <w:rsid w:val="00051ADC"/>
    <w:rsid w:val="00085505"/>
    <w:rsid w:val="000C4E25"/>
    <w:rsid w:val="000C7021"/>
    <w:rsid w:val="000D6BBC"/>
    <w:rsid w:val="000D7780"/>
    <w:rsid w:val="000E636A"/>
    <w:rsid w:val="000F2F11"/>
    <w:rsid w:val="0010001A"/>
    <w:rsid w:val="00100A5F"/>
    <w:rsid w:val="00105929"/>
    <w:rsid w:val="00110AC8"/>
    <w:rsid w:val="00110BED"/>
    <w:rsid w:val="00110C36"/>
    <w:rsid w:val="001131D5"/>
    <w:rsid w:val="00114547"/>
    <w:rsid w:val="00122C95"/>
    <w:rsid w:val="00124B80"/>
    <w:rsid w:val="00141DB8"/>
    <w:rsid w:val="00143B09"/>
    <w:rsid w:val="0014482F"/>
    <w:rsid w:val="00172084"/>
    <w:rsid w:val="0017474A"/>
    <w:rsid w:val="001758C6"/>
    <w:rsid w:val="00182B99"/>
    <w:rsid w:val="001A0DD8"/>
    <w:rsid w:val="001A621F"/>
    <w:rsid w:val="001B2365"/>
    <w:rsid w:val="001C1525"/>
    <w:rsid w:val="001C3B54"/>
    <w:rsid w:val="001D736D"/>
    <w:rsid w:val="001E26DD"/>
    <w:rsid w:val="0021332C"/>
    <w:rsid w:val="00213982"/>
    <w:rsid w:val="0024416D"/>
    <w:rsid w:val="00263789"/>
    <w:rsid w:val="00271911"/>
    <w:rsid w:val="00273187"/>
    <w:rsid w:val="002800A0"/>
    <w:rsid w:val="002801B3"/>
    <w:rsid w:val="00281060"/>
    <w:rsid w:val="0028168A"/>
    <w:rsid w:val="00285BD0"/>
    <w:rsid w:val="002940E8"/>
    <w:rsid w:val="00294751"/>
    <w:rsid w:val="002A12E1"/>
    <w:rsid w:val="002A6E50"/>
    <w:rsid w:val="002B4298"/>
    <w:rsid w:val="002B7A36"/>
    <w:rsid w:val="002C256A"/>
    <w:rsid w:val="002C5E60"/>
    <w:rsid w:val="002D5226"/>
    <w:rsid w:val="002F3B82"/>
    <w:rsid w:val="003012FA"/>
    <w:rsid w:val="00305A7F"/>
    <w:rsid w:val="003152FE"/>
    <w:rsid w:val="00327436"/>
    <w:rsid w:val="00342001"/>
    <w:rsid w:val="00344BD6"/>
    <w:rsid w:val="0035528D"/>
    <w:rsid w:val="00361821"/>
    <w:rsid w:val="00361E9E"/>
    <w:rsid w:val="003753EE"/>
    <w:rsid w:val="00383D5A"/>
    <w:rsid w:val="003A0835"/>
    <w:rsid w:val="003A2DA4"/>
    <w:rsid w:val="003A5AAF"/>
    <w:rsid w:val="003B700A"/>
    <w:rsid w:val="003C7FBE"/>
    <w:rsid w:val="003D227C"/>
    <w:rsid w:val="003D2B4D"/>
    <w:rsid w:val="003D7A73"/>
    <w:rsid w:val="003F37F5"/>
    <w:rsid w:val="00444A88"/>
    <w:rsid w:val="0046537A"/>
    <w:rsid w:val="00474DA4"/>
    <w:rsid w:val="00476B4D"/>
    <w:rsid w:val="004805FA"/>
    <w:rsid w:val="00487C4A"/>
    <w:rsid w:val="004935D2"/>
    <w:rsid w:val="004B1215"/>
    <w:rsid w:val="004D047D"/>
    <w:rsid w:val="004D217B"/>
    <w:rsid w:val="004D46E0"/>
    <w:rsid w:val="004F1E9E"/>
    <w:rsid w:val="004F305A"/>
    <w:rsid w:val="00512164"/>
    <w:rsid w:val="00512B0D"/>
    <w:rsid w:val="00520297"/>
    <w:rsid w:val="00522B64"/>
    <w:rsid w:val="005338F9"/>
    <w:rsid w:val="0054281C"/>
    <w:rsid w:val="00544581"/>
    <w:rsid w:val="00550FF9"/>
    <w:rsid w:val="0055268D"/>
    <w:rsid w:val="00575DE2"/>
    <w:rsid w:val="00576BE4"/>
    <w:rsid w:val="005779DB"/>
    <w:rsid w:val="005A400A"/>
    <w:rsid w:val="005B269D"/>
    <w:rsid w:val="005B6C70"/>
    <w:rsid w:val="005C3343"/>
    <w:rsid w:val="005F7B92"/>
    <w:rsid w:val="00612379"/>
    <w:rsid w:val="006153B6"/>
    <w:rsid w:val="0061555F"/>
    <w:rsid w:val="006245ED"/>
    <w:rsid w:val="006255E8"/>
    <w:rsid w:val="00636CA6"/>
    <w:rsid w:val="00641200"/>
    <w:rsid w:val="00645CA8"/>
    <w:rsid w:val="0064783F"/>
    <w:rsid w:val="006655D3"/>
    <w:rsid w:val="00667404"/>
    <w:rsid w:val="00676EFE"/>
    <w:rsid w:val="0068528F"/>
    <w:rsid w:val="006868F8"/>
    <w:rsid w:val="00687EB4"/>
    <w:rsid w:val="00695C56"/>
    <w:rsid w:val="006A263B"/>
    <w:rsid w:val="006A5CDE"/>
    <w:rsid w:val="006A644A"/>
    <w:rsid w:val="006B17D2"/>
    <w:rsid w:val="006C224E"/>
    <w:rsid w:val="006D3882"/>
    <w:rsid w:val="006D780A"/>
    <w:rsid w:val="006D7B49"/>
    <w:rsid w:val="006E4B7F"/>
    <w:rsid w:val="0071271E"/>
    <w:rsid w:val="007154FD"/>
    <w:rsid w:val="00732DEC"/>
    <w:rsid w:val="00735BD5"/>
    <w:rsid w:val="007451EC"/>
    <w:rsid w:val="00751613"/>
    <w:rsid w:val="00752F0F"/>
    <w:rsid w:val="00753EE9"/>
    <w:rsid w:val="007546B2"/>
    <w:rsid w:val="007556F6"/>
    <w:rsid w:val="00760EEF"/>
    <w:rsid w:val="00777EE5"/>
    <w:rsid w:val="00784836"/>
    <w:rsid w:val="0079023E"/>
    <w:rsid w:val="00795BFF"/>
    <w:rsid w:val="007A2854"/>
    <w:rsid w:val="007B73A9"/>
    <w:rsid w:val="007C01EB"/>
    <w:rsid w:val="007C0689"/>
    <w:rsid w:val="007C1D92"/>
    <w:rsid w:val="007C4CB9"/>
    <w:rsid w:val="007D0B9D"/>
    <w:rsid w:val="007D19B0"/>
    <w:rsid w:val="007F498F"/>
    <w:rsid w:val="0080679D"/>
    <w:rsid w:val="008108B0"/>
    <w:rsid w:val="00811B20"/>
    <w:rsid w:val="00812609"/>
    <w:rsid w:val="008211B5"/>
    <w:rsid w:val="0082296E"/>
    <w:rsid w:val="00824099"/>
    <w:rsid w:val="00825360"/>
    <w:rsid w:val="00831868"/>
    <w:rsid w:val="00843455"/>
    <w:rsid w:val="00846D7C"/>
    <w:rsid w:val="00867AC1"/>
    <w:rsid w:val="008751DE"/>
    <w:rsid w:val="00882BE8"/>
    <w:rsid w:val="00890DF8"/>
    <w:rsid w:val="008A0ADE"/>
    <w:rsid w:val="008A52E0"/>
    <w:rsid w:val="008A743F"/>
    <w:rsid w:val="008C0970"/>
    <w:rsid w:val="008D0BC5"/>
    <w:rsid w:val="008D2CF7"/>
    <w:rsid w:val="008F32FF"/>
    <w:rsid w:val="00900C26"/>
    <w:rsid w:val="0090197F"/>
    <w:rsid w:val="00903264"/>
    <w:rsid w:val="00906DDC"/>
    <w:rsid w:val="00934E09"/>
    <w:rsid w:val="00936253"/>
    <w:rsid w:val="00940D46"/>
    <w:rsid w:val="009413F1"/>
    <w:rsid w:val="00946401"/>
    <w:rsid w:val="00952DD4"/>
    <w:rsid w:val="009561F4"/>
    <w:rsid w:val="00965AE7"/>
    <w:rsid w:val="00970FED"/>
    <w:rsid w:val="00975B88"/>
    <w:rsid w:val="00986E0C"/>
    <w:rsid w:val="00992D82"/>
    <w:rsid w:val="00997029"/>
    <w:rsid w:val="009A7339"/>
    <w:rsid w:val="009B440E"/>
    <w:rsid w:val="009C1313"/>
    <w:rsid w:val="009C7353"/>
    <w:rsid w:val="009D690D"/>
    <w:rsid w:val="009E65B6"/>
    <w:rsid w:val="009F0A51"/>
    <w:rsid w:val="009F77CF"/>
    <w:rsid w:val="00A02C6D"/>
    <w:rsid w:val="00A21829"/>
    <w:rsid w:val="00A24C10"/>
    <w:rsid w:val="00A32BD8"/>
    <w:rsid w:val="00A33FD0"/>
    <w:rsid w:val="00A42AC3"/>
    <w:rsid w:val="00A430CF"/>
    <w:rsid w:val="00A54309"/>
    <w:rsid w:val="00A610A9"/>
    <w:rsid w:val="00A655A8"/>
    <w:rsid w:val="00A80F2A"/>
    <w:rsid w:val="00A83A48"/>
    <w:rsid w:val="00A96C33"/>
    <w:rsid w:val="00AA13A2"/>
    <w:rsid w:val="00AB2B93"/>
    <w:rsid w:val="00AB530F"/>
    <w:rsid w:val="00AB7E5B"/>
    <w:rsid w:val="00AC2883"/>
    <w:rsid w:val="00AE0EF1"/>
    <w:rsid w:val="00AE2937"/>
    <w:rsid w:val="00B047D9"/>
    <w:rsid w:val="00B07301"/>
    <w:rsid w:val="00B11F3E"/>
    <w:rsid w:val="00B224DE"/>
    <w:rsid w:val="00B22ED6"/>
    <w:rsid w:val="00B324D4"/>
    <w:rsid w:val="00B42CC2"/>
    <w:rsid w:val="00B43A2A"/>
    <w:rsid w:val="00B46575"/>
    <w:rsid w:val="00B61777"/>
    <w:rsid w:val="00B622E6"/>
    <w:rsid w:val="00B74B71"/>
    <w:rsid w:val="00B83E82"/>
    <w:rsid w:val="00B84BBD"/>
    <w:rsid w:val="00B91BD8"/>
    <w:rsid w:val="00BA1D85"/>
    <w:rsid w:val="00BA43FB"/>
    <w:rsid w:val="00BC127D"/>
    <w:rsid w:val="00BC1FE6"/>
    <w:rsid w:val="00BD5CF7"/>
    <w:rsid w:val="00BE6A55"/>
    <w:rsid w:val="00C047FC"/>
    <w:rsid w:val="00C061B6"/>
    <w:rsid w:val="00C14398"/>
    <w:rsid w:val="00C2446C"/>
    <w:rsid w:val="00C264ED"/>
    <w:rsid w:val="00C3093B"/>
    <w:rsid w:val="00C36AE5"/>
    <w:rsid w:val="00C41F17"/>
    <w:rsid w:val="00C527FA"/>
    <w:rsid w:val="00C5280D"/>
    <w:rsid w:val="00C53EB3"/>
    <w:rsid w:val="00C5791C"/>
    <w:rsid w:val="00C66290"/>
    <w:rsid w:val="00C72B7A"/>
    <w:rsid w:val="00C924B0"/>
    <w:rsid w:val="00C973F2"/>
    <w:rsid w:val="00CA304C"/>
    <w:rsid w:val="00CA774A"/>
    <w:rsid w:val="00CB4921"/>
    <w:rsid w:val="00CC11B0"/>
    <w:rsid w:val="00CC1E29"/>
    <w:rsid w:val="00CC2841"/>
    <w:rsid w:val="00CE6618"/>
    <w:rsid w:val="00CF1330"/>
    <w:rsid w:val="00CF7E36"/>
    <w:rsid w:val="00D173BC"/>
    <w:rsid w:val="00D3708D"/>
    <w:rsid w:val="00D40426"/>
    <w:rsid w:val="00D447A6"/>
    <w:rsid w:val="00D52F5C"/>
    <w:rsid w:val="00D57C96"/>
    <w:rsid w:val="00D57D18"/>
    <w:rsid w:val="00D632F1"/>
    <w:rsid w:val="00D65B8E"/>
    <w:rsid w:val="00D70E65"/>
    <w:rsid w:val="00D91203"/>
    <w:rsid w:val="00D95174"/>
    <w:rsid w:val="00DA4973"/>
    <w:rsid w:val="00DA6F36"/>
    <w:rsid w:val="00DB0627"/>
    <w:rsid w:val="00DB596E"/>
    <w:rsid w:val="00DB7773"/>
    <w:rsid w:val="00DC00EA"/>
    <w:rsid w:val="00DC3802"/>
    <w:rsid w:val="00DC51CA"/>
    <w:rsid w:val="00DD6208"/>
    <w:rsid w:val="00DF7E99"/>
    <w:rsid w:val="00E00944"/>
    <w:rsid w:val="00E027D2"/>
    <w:rsid w:val="00E07D87"/>
    <w:rsid w:val="00E20F65"/>
    <w:rsid w:val="00E249C8"/>
    <w:rsid w:val="00E32F7E"/>
    <w:rsid w:val="00E33B89"/>
    <w:rsid w:val="00E37133"/>
    <w:rsid w:val="00E43C04"/>
    <w:rsid w:val="00E44C4F"/>
    <w:rsid w:val="00E5267B"/>
    <w:rsid w:val="00E559F0"/>
    <w:rsid w:val="00E63C0E"/>
    <w:rsid w:val="00E72D49"/>
    <w:rsid w:val="00E7593C"/>
    <w:rsid w:val="00E75B60"/>
    <w:rsid w:val="00E7678A"/>
    <w:rsid w:val="00E935F1"/>
    <w:rsid w:val="00E94A81"/>
    <w:rsid w:val="00EA1FFB"/>
    <w:rsid w:val="00EB048E"/>
    <w:rsid w:val="00EB445E"/>
    <w:rsid w:val="00EB4E9C"/>
    <w:rsid w:val="00ED7072"/>
    <w:rsid w:val="00EE34DF"/>
    <w:rsid w:val="00EF2F89"/>
    <w:rsid w:val="00EF49B5"/>
    <w:rsid w:val="00EF4B00"/>
    <w:rsid w:val="00EF6D30"/>
    <w:rsid w:val="00F033F7"/>
    <w:rsid w:val="00F03E98"/>
    <w:rsid w:val="00F07B06"/>
    <w:rsid w:val="00F1019D"/>
    <w:rsid w:val="00F1237A"/>
    <w:rsid w:val="00F16D33"/>
    <w:rsid w:val="00F22CBD"/>
    <w:rsid w:val="00F272F1"/>
    <w:rsid w:val="00F31412"/>
    <w:rsid w:val="00F45372"/>
    <w:rsid w:val="00F509D3"/>
    <w:rsid w:val="00F5305E"/>
    <w:rsid w:val="00F560F7"/>
    <w:rsid w:val="00F6334D"/>
    <w:rsid w:val="00F63599"/>
    <w:rsid w:val="00F71781"/>
    <w:rsid w:val="00FA49AB"/>
    <w:rsid w:val="00FC5FD0"/>
    <w:rsid w:val="00FE39C7"/>
    <w:rsid w:val="00FE652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07B06"/>
    <w:pPr>
      <w:keepNext/>
      <w:ind w:left="567"/>
      <w:jc w:val="both"/>
      <w:outlineLvl w:val="3"/>
    </w:pPr>
    <w:rPr>
      <w:rFonts w:ascii="Arial" w:hAnsi="Arial"/>
      <w:spacing w:val="-2"/>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EF4B00"/>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E6618"/>
    <w:pPr>
      <w:tabs>
        <w:tab w:val="left" w:pos="567"/>
        <w:tab w:val="right" w:leader="dot" w:pos="9639"/>
      </w:tabs>
      <w:spacing w:before="60" w:after="60"/>
      <w:ind w:left="567" w:right="1418"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4B00"/>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3</TotalTime>
  <Pages>13</Pages>
  <Words>4853</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SESSIONS/2024/6</vt:lpstr>
    </vt:vector>
  </TitlesOfParts>
  <Company>UPOV</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SESSIONS/2024/6</dc:title>
  <dc:creator>SANCHEZ VIZCAINO GOMEZ Rosa Maria</dc:creator>
  <cp:lastModifiedBy>SANCHEZ VIZCAINO GOMEZ Rosa Maria</cp:lastModifiedBy>
  <cp:revision>4</cp:revision>
  <cp:lastPrinted>2024-09-23T12:57:00Z</cp:lastPrinted>
  <dcterms:created xsi:type="dcterms:W3CDTF">2024-09-25T16:52:00Z</dcterms:created>
  <dcterms:modified xsi:type="dcterms:W3CDTF">2024-09-26T08:36:00Z</dcterms:modified>
</cp:coreProperties>
</file>