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6EA47176" w14:textId="77777777" w:rsidTr="00EB4E9C">
        <w:tc>
          <w:tcPr>
            <w:tcW w:w="6522" w:type="dxa"/>
          </w:tcPr>
          <w:p w14:paraId="3BC64045" w14:textId="77777777" w:rsidR="00DC3802" w:rsidRPr="00AC2883" w:rsidRDefault="00DC3802" w:rsidP="00AC2883">
            <w:r w:rsidRPr="00D250C5">
              <w:rPr>
                <w:noProof/>
              </w:rPr>
              <w:drawing>
                <wp:inline distT="0" distB="0" distL="0" distR="0" wp14:anchorId="0B469AC1" wp14:editId="2EABA526">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F9C6A3D" w14:textId="77777777" w:rsidR="00DC3802" w:rsidRPr="007C1D92" w:rsidRDefault="00DC3802" w:rsidP="00AC2883">
            <w:pPr>
              <w:pStyle w:val="Lettrine"/>
            </w:pPr>
            <w:r w:rsidRPr="00172084">
              <w:t>E</w:t>
            </w:r>
          </w:p>
        </w:tc>
      </w:tr>
      <w:tr w:rsidR="00DC3802" w:rsidRPr="00DA4973" w14:paraId="038EF444" w14:textId="77777777" w:rsidTr="00645CA8">
        <w:trPr>
          <w:trHeight w:val="219"/>
        </w:trPr>
        <w:tc>
          <w:tcPr>
            <w:tcW w:w="6522" w:type="dxa"/>
          </w:tcPr>
          <w:p w14:paraId="35A1AAC3" w14:textId="77777777" w:rsidR="00DC3802" w:rsidRPr="00AC2883" w:rsidRDefault="00DC3802" w:rsidP="00AC2883">
            <w:pPr>
              <w:pStyle w:val="upove"/>
            </w:pPr>
            <w:r w:rsidRPr="00AC2883">
              <w:t>International Union for the Protection of New Varieties of Plants</w:t>
            </w:r>
          </w:p>
        </w:tc>
        <w:tc>
          <w:tcPr>
            <w:tcW w:w="3117" w:type="dxa"/>
          </w:tcPr>
          <w:p w14:paraId="1620CE17" w14:textId="77777777" w:rsidR="00DC3802" w:rsidRPr="00DA4973" w:rsidRDefault="00DC3802" w:rsidP="00DA4973"/>
        </w:tc>
      </w:tr>
    </w:tbl>
    <w:p w14:paraId="1E3D991D" w14:textId="77777777" w:rsidR="00DC3802" w:rsidRDefault="00DC3802" w:rsidP="00DC3802"/>
    <w:p w14:paraId="3C27C128" w14:textId="77777777" w:rsidR="008F1F48" w:rsidRPr="00365DC1" w:rsidRDefault="008F1F48" w:rsidP="008F1F48"/>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F1F48" w:rsidRPr="00C5280D" w14:paraId="49A517AA" w14:textId="77777777" w:rsidTr="00B1137E">
        <w:tc>
          <w:tcPr>
            <w:tcW w:w="6512" w:type="dxa"/>
          </w:tcPr>
          <w:p w14:paraId="5C29EA48" w14:textId="77777777" w:rsidR="008F1F48" w:rsidRPr="00AC2883" w:rsidRDefault="008F1F48" w:rsidP="00B1137E">
            <w:pPr>
              <w:pStyle w:val="Sessiontc"/>
              <w:spacing w:line="240" w:lineRule="auto"/>
            </w:pPr>
            <w:r>
              <w:t>Administrative and Legal</w:t>
            </w:r>
            <w:r w:rsidRPr="00DA4973">
              <w:t xml:space="preserve"> Committee</w:t>
            </w:r>
          </w:p>
          <w:p w14:paraId="4F0DA253" w14:textId="77777777" w:rsidR="008F1F48" w:rsidRDefault="008F1F48" w:rsidP="00B1137E">
            <w:pPr>
              <w:pStyle w:val="Sessiontcplacedate"/>
            </w:pPr>
            <w:r w:rsidRPr="00E54738">
              <w:t>Eight</w:t>
            </w:r>
            <w:r>
              <w:t>y-First</w:t>
            </w:r>
            <w:r w:rsidRPr="00DA4973">
              <w:t xml:space="preserve"> Session</w:t>
            </w:r>
          </w:p>
          <w:p w14:paraId="59191FA5" w14:textId="77777777" w:rsidR="008F1F48" w:rsidRPr="00DC3802" w:rsidRDefault="008F1F48" w:rsidP="00B1137E">
            <w:pPr>
              <w:pStyle w:val="Sessiontcplacedate"/>
              <w:rPr>
                <w:sz w:val="22"/>
              </w:rPr>
            </w:pPr>
            <w:r w:rsidRPr="00DA4973">
              <w:t xml:space="preserve">Geneva, </w:t>
            </w:r>
            <w:r>
              <w:t>October 23, 2024</w:t>
            </w:r>
          </w:p>
        </w:tc>
        <w:tc>
          <w:tcPr>
            <w:tcW w:w="3127" w:type="dxa"/>
          </w:tcPr>
          <w:p w14:paraId="33DFE072" w14:textId="546D9635" w:rsidR="008F1F48" w:rsidRPr="003C7FBE" w:rsidRDefault="008F1F48" w:rsidP="00B1137E">
            <w:pPr>
              <w:pStyle w:val="Doccode"/>
            </w:pPr>
            <w:r>
              <w:t>CAJ/</w:t>
            </w:r>
            <w:r w:rsidR="00CB6E94">
              <w:t>81/2</w:t>
            </w:r>
          </w:p>
          <w:p w14:paraId="2EB257A5" w14:textId="77777777" w:rsidR="008F1F48" w:rsidRPr="003C7FBE" w:rsidRDefault="008F1F48" w:rsidP="00B1137E">
            <w:pPr>
              <w:pStyle w:val="Docoriginal"/>
            </w:pPr>
            <w:r w:rsidRPr="00AC2883">
              <w:t>Original:</w:t>
            </w:r>
            <w:r w:rsidRPr="000E636A">
              <w:rPr>
                <w:b w:val="0"/>
                <w:spacing w:val="0"/>
              </w:rPr>
              <w:t xml:space="preserve">  English</w:t>
            </w:r>
          </w:p>
          <w:p w14:paraId="0AD933CE" w14:textId="1AC3FBB2" w:rsidR="008F1F48" w:rsidRPr="007C1D92" w:rsidRDefault="008F1F48" w:rsidP="00B1137E">
            <w:pPr>
              <w:pStyle w:val="Docoriginal"/>
            </w:pPr>
            <w:r w:rsidRPr="00AC2883">
              <w:t>Date:</w:t>
            </w:r>
            <w:r w:rsidRPr="000E636A">
              <w:rPr>
                <w:b w:val="0"/>
                <w:spacing w:val="0"/>
              </w:rPr>
              <w:t xml:space="preserve">  </w:t>
            </w:r>
            <w:r w:rsidR="00E1596E">
              <w:rPr>
                <w:b w:val="0"/>
                <w:spacing w:val="0"/>
              </w:rPr>
              <w:t>October 22, 2024</w:t>
            </w:r>
          </w:p>
        </w:tc>
      </w:tr>
    </w:tbl>
    <w:p w14:paraId="5D89A694" w14:textId="7F0F6264" w:rsidR="008F1F48" w:rsidRPr="006A644A" w:rsidRDefault="00CB6E94" w:rsidP="008F1F48">
      <w:pPr>
        <w:pStyle w:val="Titleofdoc0"/>
      </w:pPr>
      <w:r w:rsidRPr="00CB6E94">
        <w:t>Report on developments in the Technical Committee</w:t>
      </w:r>
    </w:p>
    <w:p w14:paraId="04C86318" w14:textId="77777777" w:rsidR="008D0F14" w:rsidRPr="006A644A" w:rsidRDefault="008D0F14" w:rsidP="008D0F14">
      <w:pPr>
        <w:pStyle w:val="preparedby1"/>
        <w:jc w:val="left"/>
      </w:pPr>
      <w:r w:rsidRPr="000C4E25">
        <w:t>Document prepared by the Office of the Union</w:t>
      </w:r>
    </w:p>
    <w:p w14:paraId="168E55B4" w14:textId="77777777" w:rsidR="008D0F14" w:rsidRPr="006A644A" w:rsidRDefault="008D0F14" w:rsidP="008D0F14">
      <w:pPr>
        <w:pStyle w:val="Disclaimer"/>
      </w:pPr>
      <w:r w:rsidRPr="006A644A">
        <w:t>Disclaimer:  this document does not represent UPOV policies or guidance</w:t>
      </w:r>
    </w:p>
    <w:p w14:paraId="7CB8652A" w14:textId="77777777" w:rsidR="00920388" w:rsidRPr="00E5622D" w:rsidRDefault="00920388" w:rsidP="00920388">
      <w:pPr>
        <w:pStyle w:val="Heading1"/>
      </w:pPr>
      <w:bookmarkStart w:id="0" w:name="_Toc117618415"/>
      <w:bookmarkStart w:id="1" w:name="_Toc180500250"/>
      <w:r w:rsidRPr="00E5622D">
        <w:t>EXECUTIVE SUMMARY</w:t>
      </w:r>
      <w:bookmarkEnd w:id="0"/>
      <w:bookmarkEnd w:id="1"/>
    </w:p>
    <w:p w14:paraId="490DF844" w14:textId="77777777" w:rsidR="00920388" w:rsidRPr="00E5622D" w:rsidRDefault="00920388" w:rsidP="00920388">
      <w:pPr>
        <w:rPr>
          <w:spacing w:val="2"/>
        </w:rPr>
      </w:pPr>
    </w:p>
    <w:p w14:paraId="37FA13DB" w14:textId="55E6F093" w:rsidR="00920388" w:rsidRPr="00E5622D" w:rsidRDefault="00920388" w:rsidP="00920388">
      <w:r w:rsidRPr="00E5622D">
        <w:rPr>
          <w:spacing w:val="2"/>
        </w:rPr>
        <w:fldChar w:fldCharType="begin"/>
      </w:r>
      <w:r w:rsidRPr="00E5622D">
        <w:rPr>
          <w:spacing w:val="2"/>
        </w:rPr>
        <w:instrText xml:space="preserve"> AUTONUM  </w:instrText>
      </w:r>
      <w:r w:rsidRPr="00E5622D">
        <w:rPr>
          <w:spacing w:val="2"/>
        </w:rPr>
        <w:fldChar w:fldCharType="end"/>
      </w:r>
      <w:r w:rsidRPr="00E5622D">
        <w:rPr>
          <w:spacing w:val="2"/>
        </w:rPr>
        <w:tab/>
        <w:t xml:space="preserve">The purpose of this document is to report on developments in the Technical Committee (TC) at its </w:t>
      </w:r>
      <w:r>
        <w:rPr>
          <w:spacing w:val="2"/>
        </w:rPr>
        <w:t>sixtieth</w:t>
      </w:r>
      <w:r w:rsidRPr="00E5622D">
        <w:rPr>
          <w:spacing w:val="2"/>
        </w:rPr>
        <w:t xml:space="preserve"> session, held in Geneva on October 2</w:t>
      </w:r>
      <w:r>
        <w:rPr>
          <w:spacing w:val="2"/>
        </w:rPr>
        <w:t>1</w:t>
      </w:r>
      <w:r w:rsidRPr="00E5622D">
        <w:rPr>
          <w:spacing w:val="2"/>
        </w:rPr>
        <w:t xml:space="preserve"> and 2</w:t>
      </w:r>
      <w:r>
        <w:rPr>
          <w:spacing w:val="2"/>
        </w:rPr>
        <w:t>2</w:t>
      </w:r>
      <w:r w:rsidRPr="00E5622D">
        <w:rPr>
          <w:spacing w:val="2"/>
        </w:rPr>
        <w:t>, 202</w:t>
      </w:r>
      <w:r>
        <w:rPr>
          <w:spacing w:val="2"/>
        </w:rPr>
        <w:t>4</w:t>
      </w:r>
      <w:r w:rsidRPr="00E5622D">
        <w:rPr>
          <w:spacing w:val="2"/>
        </w:rPr>
        <w:t>, of relevance for the Administrative and Legal Committee (CAJ).</w:t>
      </w:r>
      <w:r w:rsidRPr="00E5622D">
        <w:t xml:space="preserve">  </w:t>
      </w:r>
    </w:p>
    <w:p w14:paraId="0FD89985" w14:textId="77777777" w:rsidR="00920388" w:rsidRPr="00E5622D" w:rsidRDefault="00920388" w:rsidP="00920388"/>
    <w:p w14:paraId="03863872" w14:textId="11B4AF32" w:rsidR="00920388" w:rsidRPr="00E5622D" w:rsidRDefault="00920388" w:rsidP="00920388">
      <w:r w:rsidRPr="00E5622D">
        <w:fldChar w:fldCharType="begin"/>
      </w:r>
      <w:r w:rsidRPr="00E5622D">
        <w:instrText xml:space="preserve"> AUTONUM  </w:instrText>
      </w:r>
      <w:r w:rsidRPr="00E5622D">
        <w:fldChar w:fldCharType="end"/>
      </w:r>
      <w:r w:rsidRPr="00E5622D">
        <w:tab/>
        <w:t>The report of the TC is available in document TC/</w:t>
      </w:r>
      <w:r>
        <w:t>60</w:t>
      </w:r>
      <w:r w:rsidRPr="00E5622D">
        <w:t>/</w:t>
      </w:r>
      <w:r>
        <w:t>8</w:t>
      </w:r>
      <w:r w:rsidRPr="00E5622D">
        <w:t xml:space="preserve"> “Report”.</w:t>
      </w:r>
    </w:p>
    <w:p w14:paraId="4F301892" w14:textId="77777777" w:rsidR="00920388" w:rsidRPr="00E5622D" w:rsidRDefault="00920388" w:rsidP="00920388"/>
    <w:p w14:paraId="032B8ADC" w14:textId="57BC5781" w:rsidR="00920388" w:rsidRPr="00E5622D" w:rsidRDefault="00920388" w:rsidP="00920388">
      <w:pPr>
        <w:tabs>
          <w:tab w:val="left" w:pos="567"/>
          <w:tab w:val="left" w:pos="1134"/>
          <w:tab w:val="left" w:pos="1701"/>
          <w:tab w:val="left" w:pos="5387"/>
        </w:tabs>
      </w:pPr>
      <w:r w:rsidRPr="00E5622D">
        <w:fldChar w:fldCharType="begin"/>
      </w:r>
      <w:r w:rsidRPr="00E5622D">
        <w:instrText xml:space="preserve"> AUTONUM  </w:instrText>
      </w:r>
      <w:r w:rsidRPr="00E5622D">
        <w:fldChar w:fldCharType="end"/>
      </w:r>
      <w:r w:rsidRPr="00E5622D">
        <w:tab/>
        <w:t xml:space="preserve">The CAJ is invited to note developments at the </w:t>
      </w:r>
      <w:r>
        <w:rPr>
          <w:spacing w:val="2"/>
        </w:rPr>
        <w:t>sixtieth</w:t>
      </w:r>
      <w:r w:rsidRPr="00E5622D">
        <w:rPr>
          <w:spacing w:val="2"/>
        </w:rPr>
        <w:t xml:space="preserve"> session</w:t>
      </w:r>
      <w:r w:rsidRPr="00E5622D">
        <w:t xml:space="preserve"> of the TC, as reported in this document.</w:t>
      </w:r>
    </w:p>
    <w:p w14:paraId="387ACA07" w14:textId="77777777" w:rsidR="00920388" w:rsidRPr="00E5622D" w:rsidRDefault="00920388" w:rsidP="00920388"/>
    <w:p w14:paraId="59A5398C" w14:textId="77777777" w:rsidR="00920388" w:rsidRPr="00E5622D" w:rsidRDefault="00920388" w:rsidP="00920388">
      <w:pPr>
        <w:spacing w:after="120"/>
        <w:rPr>
          <w:rFonts w:cs="Arial"/>
        </w:rPr>
      </w:pPr>
      <w:r w:rsidRPr="00E5622D">
        <w:rPr>
          <w:rFonts w:cs="Arial"/>
        </w:rPr>
        <w:fldChar w:fldCharType="begin"/>
      </w:r>
      <w:r w:rsidRPr="00E5622D">
        <w:rPr>
          <w:rFonts w:cs="Arial"/>
        </w:rPr>
        <w:instrText xml:space="preserve"> AUTONUM  </w:instrText>
      </w:r>
      <w:r w:rsidRPr="00E5622D">
        <w:rPr>
          <w:rFonts w:cs="Arial"/>
        </w:rPr>
        <w:fldChar w:fldCharType="end"/>
      </w:r>
      <w:r w:rsidRPr="00E5622D">
        <w:rPr>
          <w:rFonts w:cs="Arial"/>
        </w:rPr>
        <w:tab/>
        <w:t>The structure of this document is as follows:</w:t>
      </w:r>
    </w:p>
    <w:p w14:paraId="3A92BFE5" w14:textId="163D8B3D" w:rsidR="002A5BEB" w:rsidRDefault="00920388">
      <w:pPr>
        <w:pStyle w:val="TOC1"/>
        <w:rPr>
          <w:rFonts w:asciiTheme="minorHAnsi" w:eastAsiaTheme="minorEastAsia" w:hAnsiTheme="minorHAnsi" w:cstheme="minorBidi"/>
          <w:caps w:val="0"/>
          <w:noProof/>
          <w:kern w:val="2"/>
          <w:sz w:val="24"/>
          <w:szCs w:val="24"/>
          <w:lang w:val="en-DE" w:eastAsia="en-DE"/>
          <w14:ligatures w14:val="standardContextual"/>
        </w:rPr>
      </w:pPr>
      <w:r>
        <w:fldChar w:fldCharType="begin"/>
      </w:r>
      <w:r>
        <w:instrText xml:space="preserve"> TOC \o "1-3" \h \z \u </w:instrText>
      </w:r>
      <w:r>
        <w:fldChar w:fldCharType="separate"/>
      </w:r>
      <w:hyperlink w:anchor="_Toc180500250" w:history="1">
        <w:r w:rsidR="002A5BEB" w:rsidRPr="0048757C">
          <w:rPr>
            <w:rStyle w:val="Hyperlink"/>
            <w:noProof/>
          </w:rPr>
          <w:t>EXECUTIVE SUMMARY</w:t>
        </w:r>
        <w:r w:rsidR="002A5BEB">
          <w:rPr>
            <w:noProof/>
            <w:webHidden/>
          </w:rPr>
          <w:tab/>
        </w:r>
        <w:r w:rsidR="002A5BEB">
          <w:rPr>
            <w:noProof/>
            <w:webHidden/>
          </w:rPr>
          <w:fldChar w:fldCharType="begin"/>
        </w:r>
        <w:r w:rsidR="002A5BEB">
          <w:rPr>
            <w:noProof/>
            <w:webHidden/>
          </w:rPr>
          <w:instrText xml:space="preserve"> PAGEREF _Toc180500250 \h </w:instrText>
        </w:r>
        <w:r w:rsidR="002A5BEB">
          <w:rPr>
            <w:noProof/>
            <w:webHidden/>
          </w:rPr>
        </w:r>
        <w:r w:rsidR="002A5BEB">
          <w:rPr>
            <w:noProof/>
            <w:webHidden/>
          </w:rPr>
          <w:fldChar w:fldCharType="separate"/>
        </w:r>
        <w:r w:rsidR="002A5BEB">
          <w:rPr>
            <w:noProof/>
            <w:webHidden/>
          </w:rPr>
          <w:t>1</w:t>
        </w:r>
        <w:r w:rsidR="002A5BEB">
          <w:rPr>
            <w:noProof/>
            <w:webHidden/>
          </w:rPr>
          <w:fldChar w:fldCharType="end"/>
        </w:r>
      </w:hyperlink>
    </w:p>
    <w:p w14:paraId="2AD87DD9" w14:textId="5ECF22E5" w:rsidR="002A5BEB" w:rsidRDefault="002853B2">
      <w:pPr>
        <w:pStyle w:val="TOC1"/>
        <w:rPr>
          <w:rFonts w:asciiTheme="minorHAnsi" w:eastAsiaTheme="minorEastAsia" w:hAnsiTheme="minorHAnsi" w:cstheme="minorBidi"/>
          <w:caps w:val="0"/>
          <w:noProof/>
          <w:kern w:val="2"/>
          <w:sz w:val="24"/>
          <w:szCs w:val="24"/>
          <w:lang w:val="en-DE" w:eastAsia="en-DE"/>
          <w14:ligatures w14:val="standardContextual"/>
        </w:rPr>
      </w:pPr>
      <w:hyperlink w:anchor="_Toc180500251" w:history="1">
        <w:r w:rsidR="002A5BEB" w:rsidRPr="0048757C">
          <w:rPr>
            <w:rStyle w:val="Hyperlink"/>
            <w:noProof/>
          </w:rPr>
          <w:t>Development of guidance and documents proposed for adoption by the Council</w:t>
        </w:r>
        <w:r w:rsidR="002A5BEB">
          <w:rPr>
            <w:noProof/>
            <w:webHidden/>
          </w:rPr>
          <w:tab/>
        </w:r>
        <w:r w:rsidR="002A5BEB">
          <w:rPr>
            <w:noProof/>
            <w:webHidden/>
          </w:rPr>
          <w:fldChar w:fldCharType="begin"/>
        </w:r>
        <w:r w:rsidR="002A5BEB">
          <w:rPr>
            <w:noProof/>
            <w:webHidden/>
          </w:rPr>
          <w:instrText xml:space="preserve"> PAGEREF _Toc180500251 \h </w:instrText>
        </w:r>
        <w:r w:rsidR="002A5BEB">
          <w:rPr>
            <w:noProof/>
            <w:webHidden/>
          </w:rPr>
        </w:r>
        <w:r w:rsidR="002A5BEB">
          <w:rPr>
            <w:noProof/>
            <w:webHidden/>
          </w:rPr>
          <w:fldChar w:fldCharType="separate"/>
        </w:r>
        <w:r w:rsidR="002A5BEB">
          <w:rPr>
            <w:noProof/>
            <w:webHidden/>
          </w:rPr>
          <w:t>2</w:t>
        </w:r>
        <w:r w:rsidR="002A5BEB">
          <w:rPr>
            <w:noProof/>
            <w:webHidden/>
          </w:rPr>
          <w:fldChar w:fldCharType="end"/>
        </w:r>
      </w:hyperlink>
    </w:p>
    <w:p w14:paraId="4E60B683" w14:textId="4254785B" w:rsidR="002A5BEB" w:rsidRDefault="002853B2">
      <w:pPr>
        <w:pStyle w:val="TOC2"/>
        <w:rPr>
          <w:rFonts w:asciiTheme="minorHAnsi" w:eastAsiaTheme="minorEastAsia" w:hAnsiTheme="minorHAnsi" w:cstheme="minorBidi"/>
          <w:smallCaps w:val="0"/>
          <w:noProof/>
          <w:kern w:val="2"/>
          <w:sz w:val="24"/>
          <w:szCs w:val="24"/>
          <w:lang w:val="en-DE" w:eastAsia="en-DE"/>
          <w14:ligatures w14:val="standardContextual"/>
        </w:rPr>
      </w:pPr>
      <w:hyperlink w:anchor="_Toc180500252" w:history="1">
        <w:r w:rsidR="002A5BEB" w:rsidRPr="0048757C">
          <w:rPr>
            <w:rStyle w:val="Hyperlink"/>
            <w:noProof/>
          </w:rPr>
          <w:t>Matters for adoption by the Council in 2023</w:t>
        </w:r>
        <w:r w:rsidR="002A5BEB">
          <w:rPr>
            <w:noProof/>
            <w:webHidden/>
          </w:rPr>
          <w:tab/>
        </w:r>
        <w:r w:rsidR="002A5BEB">
          <w:rPr>
            <w:noProof/>
            <w:webHidden/>
          </w:rPr>
          <w:fldChar w:fldCharType="begin"/>
        </w:r>
        <w:r w:rsidR="002A5BEB">
          <w:rPr>
            <w:noProof/>
            <w:webHidden/>
          </w:rPr>
          <w:instrText xml:space="preserve"> PAGEREF _Toc180500252 \h </w:instrText>
        </w:r>
        <w:r w:rsidR="002A5BEB">
          <w:rPr>
            <w:noProof/>
            <w:webHidden/>
          </w:rPr>
        </w:r>
        <w:r w:rsidR="002A5BEB">
          <w:rPr>
            <w:noProof/>
            <w:webHidden/>
          </w:rPr>
          <w:fldChar w:fldCharType="separate"/>
        </w:r>
        <w:r w:rsidR="002A5BEB">
          <w:rPr>
            <w:noProof/>
            <w:webHidden/>
          </w:rPr>
          <w:t>2</w:t>
        </w:r>
        <w:r w:rsidR="002A5BEB">
          <w:rPr>
            <w:noProof/>
            <w:webHidden/>
          </w:rPr>
          <w:fldChar w:fldCharType="end"/>
        </w:r>
      </w:hyperlink>
    </w:p>
    <w:p w14:paraId="6F46A0C5" w14:textId="1C521F5C" w:rsidR="002A5BEB" w:rsidRDefault="002853B2">
      <w:pPr>
        <w:pStyle w:val="TOC3"/>
        <w:rPr>
          <w:rFonts w:asciiTheme="minorHAnsi" w:eastAsiaTheme="minorEastAsia" w:hAnsiTheme="minorHAnsi" w:cstheme="minorBidi"/>
          <w:noProof/>
          <w:kern w:val="2"/>
          <w:sz w:val="24"/>
          <w:szCs w:val="24"/>
          <w:lang w:val="en-DE" w:eastAsia="en-DE"/>
          <w14:ligatures w14:val="standardContextual"/>
        </w:rPr>
      </w:pPr>
      <w:hyperlink w:anchor="_Toc180500253" w:history="1">
        <w:r w:rsidR="002A5BEB" w:rsidRPr="0048757C">
          <w:rPr>
            <w:rStyle w:val="Hyperlink"/>
            <w:noProof/>
          </w:rPr>
          <w:t>Documents for adoption by the Council, subject to agreement by the TC and the CAJ</w:t>
        </w:r>
        <w:r w:rsidR="002A5BEB">
          <w:rPr>
            <w:noProof/>
            <w:webHidden/>
          </w:rPr>
          <w:tab/>
        </w:r>
        <w:r w:rsidR="002A5BEB">
          <w:rPr>
            <w:noProof/>
            <w:webHidden/>
          </w:rPr>
          <w:fldChar w:fldCharType="begin"/>
        </w:r>
        <w:r w:rsidR="002A5BEB">
          <w:rPr>
            <w:noProof/>
            <w:webHidden/>
          </w:rPr>
          <w:instrText xml:space="preserve"> PAGEREF _Toc180500253 \h </w:instrText>
        </w:r>
        <w:r w:rsidR="002A5BEB">
          <w:rPr>
            <w:noProof/>
            <w:webHidden/>
          </w:rPr>
        </w:r>
        <w:r w:rsidR="002A5BEB">
          <w:rPr>
            <w:noProof/>
            <w:webHidden/>
          </w:rPr>
          <w:fldChar w:fldCharType="separate"/>
        </w:r>
        <w:r w:rsidR="002A5BEB">
          <w:rPr>
            <w:noProof/>
            <w:webHidden/>
          </w:rPr>
          <w:t>2</w:t>
        </w:r>
        <w:r w:rsidR="002A5BEB">
          <w:rPr>
            <w:noProof/>
            <w:webHidden/>
          </w:rPr>
          <w:fldChar w:fldCharType="end"/>
        </w:r>
      </w:hyperlink>
    </w:p>
    <w:p w14:paraId="039295F6" w14:textId="2235ECDE" w:rsidR="002A5BEB" w:rsidRDefault="002853B2">
      <w:pPr>
        <w:pStyle w:val="TOC1"/>
        <w:rPr>
          <w:rFonts w:asciiTheme="minorHAnsi" w:eastAsiaTheme="minorEastAsia" w:hAnsiTheme="minorHAnsi" w:cstheme="minorBidi"/>
          <w:caps w:val="0"/>
          <w:noProof/>
          <w:kern w:val="2"/>
          <w:sz w:val="24"/>
          <w:szCs w:val="24"/>
          <w:lang w:val="en-DE" w:eastAsia="en-DE"/>
          <w14:ligatures w14:val="standardContextual"/>
        </w:rPr>
      </w:pPr>
      <w:hyperlink w:anchor="_Toc180500254" w:history="1">
        <w:r w:rsidR="002A5BEB" w:rsidRPr="0048757C">
          <w:rPr>
            <w:rStyle w:val="Hyperlink"/>
            <w:noProof/>
          </w:rPr>
          <w:t>Measures to enhance cooperation in examination</w:t>
        </w:r>
        <w:r w:rsidR="002A5BEB">
          <w:rPr>
            <w:noProof/>
            <w:webHidden/>
          </w:rPr>
          <w:tab/>
        </w:r>
        <w:r w:rsidR="002A5BEB">
          <w:rPr>
            <w:noProof/>
            <w:webHidden/>
          </w:rPr>
          <w:fldChar w:fldCharType="begin"/>
        </w:r>
        <w:r w:rsidR="002A5BEB">
          <w:rPr>
            <w:noProof/>
            <w:webHidden/>
          </w:rPr>
          <w:instrText xml:space="preserve"> PAGEREF _Toc180500254 \h </w:instrText>
        </w:r>
        <w:r w:rsidR="002A5BEB">
          <w:rPr>
            <w:noProof/>
            <w:webHidden/>
          </w:rPr>
        </w:r>
        <w:r w:rsidR="002A5BEB">
          <w:rPr>
            <w:noProof/>
            <w:webHidden/>
          </w:rPr>
          <w:fldChar w:fldCharType="separate"/>
        </w:r>
        <w:r w:rsidR="002A5BEB">
          <w:rPr>
            <w:noProof/>
            <w:webHidden/>
          </w:rPr>
          <w:t>3</w:t>
        </w:r>
        <w:r w:rsidR="002A5BEB">
          <w:rPr>
            <w:noProof/>
            <w:webHidden/>
          </w:rPr>
          <w:fldChar w:fldCharType="end"/>
        </w:r>
      </w:hyperlink>
    </w:p>
    <w:p w14:paraId="298FC387" w14:textId="1259C4FF" w:rsidR="002A5BEB" w:rsidRDefault="002853B2">
      <w:pPr>
        <w:pStyle w:val="TOC1"/>
        <w:rPr>
          <w:rFonts w:asciiTheme="minorHAnsi" w:eastAsiaTheme="minorEastAsia" w:hAnsiTheme="minorHAnsi" w:cstheme="minorBidi"/>
          <w:caps w:val="0"/>
          <w:noProof/>
          <w:kern w:val="2"/>
          <w:sz w:val="24"/>
          <w:szCs w:val="24"/>
          <w:lang w:val="en-DE" w:eastAsia="en-DE"/>
          <w14:ligatures w14:val="standardContextual"/>
        </w:rPr>
      </w:pPr>
      <w:hyperlink w:anchor="_Toc180500255" w:history="1">
        <w:r w:rsidR="002A5BEB" w:rsidRPr="0048757C">
          <w:rPr>
            <w:rStyle w:val="Hyperlink"/>
            <w:noProof/>
          </w:rPr>
          <w:t>Measures to improve support provided for DUS examination</w:t>
        </w:r>
        <w:r w:rsidR="002A5BEB">
          <w:rPr>
            <w:noProof/>
            <w:webHidden/>
          </w:rPr>
          <w:tab/>
        </w:r>
        <w:r w:rsidR="002A5BEB">
          <w:rPr>
            <w:noProof/>
            <w:webHidden/>
          </w:rPr>
          <w:fldChar w:fldCharType="begin"/>
        </w:r>
        <w:r w:rsidR="002A5BEB">
          <w:rPr>
            <w:noProof/>
            <w:webHidden/>
          </w:rPr>
          <w:instrText xml:space="preserve"> PAGEREF _Toc180500255 \h </w:instrText>
        </w:r>
        <w:r w:rsidR="002A5BEB">
          <w:rPr>
            <w:noProof/>
            <w:webHidden/>
          </w:rPr>
        </w:r>
        <w:r w:rsidR="002A5BEB">
          <w:rPr>
            <w:noProof/>
            <w:webHidden/>
          </w:rPr>
          <w:fldChar w:fldCharType="separate"/>
        </w:r>
        <w:r w:rsidR="002A5BEB">
          <w:rPr>
            <w:noProof/>
            <w:webHidden/>
          </w:rPr>
          <w:t>3</w:t>
        </w:r>
        <w:r w:rsidR="002A5BEB">
          <w:rPr>
            <w:noProof/>
            <w:webHidden/>
          </w:rPr>
          <w:fldChar w:fldCharType="end"/>
        </w:r>
      </w:hyperlink>
    </w:p>
    <w:p w14:paraId="0B4CDEA0" w14:textId="2C90C486" w:rsidR="002A5BEB" w:rsidRDefault="002853B2">
      <w:pPr>
        <w:pStyle w:val="TOC2"/>
        <w:rPr>
          <w:rFonts w:asciiTheme="minorHAnsi" w:eastAsiaTheme="minorEastAsia" w:hAnsiTheme="minorHAnsi" w:cstheme="minorBidi"/>
          <w:smallCaps w:val="0"/>
          <w:noProof/>
          <w:kern w:val="2"/>
          <w:sz w:val="24"/>
          <w:szCs w:val="24"/>
          <w:lang w:val="en-DE" w:eastAsia="en-DE"/>
          <w14:ligatures w14:val="standardContextual"/>
        </w:rPr>
      </w:pPr>
      <w:hyperlink w:anchor="_Toc180500256" w:history="1">
        <w:r w:rsidR="002A5BEB" w:rsidRPr="0048757C">
          <w:rPr>
            <w:rStyle w:val="Hyperlink"/>
            <w:noProof/>
          </w:rPr>
          <w:t>Measures on Test Guidelines (TGs) and online tool for drafting TGs</w:t>
        </w:r>
        <w:r w:rsidR="002A5BEB">
          <w:rPr>
            <w:noProof/>
            <w:webHidden/>
          </w:rPr>
          <w:tab/>
        </w:r>
        <w:r w:rsidR="002A5BEB">
          <w:rPr>
            <w:noProof/>
            <w:webHidden/>
          </w:rPr>
          <w:fldChar w:fldCharType="begin"/>
        </w:r>
        <w:r w:rsidR="002A5BEB">
          <w:rPr>
            <w:noProof/>
            <w:webHidden/>
          </w:rPr>
          <w:instrText xml:space="preserve"> PAGEREF _Toc180500256 \h </w:instrText>
        </w:r>
        <w:r w:rsidR="002A5BEB">
          <w:rPr>
            <w:noProof/>
            <w:webHidden/>
          </w:rPr>
        </w:r>
        <w:r w:rsidR="002A5BEB">
          <w:rPr>
            <w:noProof/>
            <w:webHidden/>
          </w:rPr>
          <w:fldChar w:fldCharType="separate"/>
        </w:r>
        <w:r w:rsidR="002A5BEB">
          <w:rPr>
            <w:noProof/>
            <w:webHidden/>
          </w:rPr>
          <w:t>4</w:t>
        </w:r>
        <w:r w:rsidR="002A5BEB">
          <w:rPr>
            <w:noProof/>
            <w:webHidden/>
          </w:rPr>
          <w:fldChar w:fldCharType="end"/>
        </w:r>
      </w:hyperlink>
    </w:p>
    <w:p w14:paraId="1F0545AB" w14:textId="3ECB2E81" w:rsidR="002A5BEB" w:rsidRDefault="002853B2">
      <w:pPr>
        <w:pStyle w:val="TOC2"/>
        <w:rPr>
          <w:rFonts w:asciiTheme="minorHAnsi" w:eastAsiaTheme="minorEastAsia" w:hAnsiTheme="minorHAnsi" w:cstheme="minorBidi"/>
          <w:smallCaps w:val="0"/>
          <w:noProof/>
          <w:kern w:val="2"/>
          <w:sz w:val="24"/>
          <w:szCs w:val="24"/>
          <w:lang w:val="en-DE" w:eastAsia="en-DE"/>
          <w14:ligatures w14:val="standardContextual"/>
        </w:rPr>
      </w:pPr>
      <w:hyperlink w:anchor="_Toc180500257" w:history="1">
        <w:r w:rsidR="002A5BEB" w:rsidRPr="0048757C">
          <w:rPr>
            <w:rStyle w:val="Hyperlink"/>
            <w:noProof/>
          </w:rPr>
          <w:t>Measures for the Office of the Union to develop proposals</w:t>
        </w:r>
        <w:r w:rsidR="002A5BEB">
          <w:rPr>
            <w:noProof/>
            <w:webHidden/>
          </w:rPr>
          <w:tab/>
        </w:r>
        <w:r w:rsidR="002A5BEB">
          <w:rPr>
            <w:noProof/>
            <w:webHidden/>
          </w:rPr>
          <w:fldChar w:fldCharType="begin"/>
        </w:r>
        <w:r w:rsidR="002A5BEB">
          <w:rPr>
            <w:noProof/>
            <w:webHidden/>
          </w:rPr>
          <w:instrText xml:space="preserve"> PAGEREF _Toc180500257 \h </w:instrText>
        </w:r>
        <w:r w:rsidR="002A5BEB">
          <w:rPr>
            <w:noProof/>
            <w:webHidden/>
          </w:rPr>
        </w:r>
        <w:r w:rsidR="002A5BEB">
          <w:rPr>
            <w:noProof/>
            <w:webHidden/>
          </w:rPr>
          <w:fldChar w:fldCharType="separate"/>
        </w:r>
        <w:r w:rsidR="002A5BEB">
          <w:rPr>
            <w:noProof/>
            <w:webHidden/>
          </w:rPr>
          <w:t>4</w:t>
        </w:r>
        <w:r w:rsidR="002A5BEB">
          <w:rPr>
            <w:noProof/>
            <w:webHidden/>
          </w:rPr>
          <w:fldChar w:fldCharType="end"/>
        </w:r>
      </w:hyperlink>
    </w:p>
    <w:p w14:paraId="284E64AC" w14:textId="1EE11E24" w:rsidR="002A5BEB" w:rsidRDefault="002853B2">
      <w:pPr>
        <w:pStyle w:val="TOC3"/>
        <w:rPr>
          <w:rFonts w:asciiTheme="minorHAnsi" w:eastAsiaTheme="minorEastAsia" w:hAnsiTheme="minorHAnsi" w:cstheme="minorBidi"/>
          <w:noProof/>
          <w:kern w:val="2"/>
          <w:sz w:val="24"/>
          <w:szCs w:val="24"/>
          <w:lang w:val="en-DE" w:eastAsia="en-DE"/>
          <w14:ligatures w14:val="standardContextual"/>
        </w:rPr>
      </w:pPr>
      <w:hyperlink w:anchor="_Toc180500258" w:history="1">
        <w:r w:rsidR="002A5BEB" w:rsidRPr="0048757C">
          <w:rPr>
            <w:rStyle w:val="Hyperlink"/>
            <w:noProof/>
          </w:rPr>
          <w:t>Practical experience in DUS examination</w:t>
        </w:r>
        <w:r w:rsidR="002A5BEB">
          <w:rPr>
            <w:noProof/>
            <w:webHidden/>
          </w:rPr>
          <w:tab/>
        </w:r>
        <w:r w:rsidR="002A5BEB">
          <w:rPr>
            <w:noProof/>
            <w:webHidden/>
          </w:rPr>
          <w:fldChar w:fldCharType="begin"/>
        </w:r>
        <w:r w:rsidR="002A5BEB">
          <w:rPr>
            <w:noProof/>
            <w:webHidden/>
          </w:rPr>
          <w:instrText xml:space="preserve"> PAGEREF _Toc180500258 \h </w:instrText>
        </w:r>
        <w:r w:rsidR="002A5BEB">
          <w:rPr>
            <w:noProof/>
            <w:webHidden/>
          </w:rPr>
        </w:r>
        <w:r w:rsidR="002A5BEB">
          <w:rPr>
            <w:noProof/>
            <w:webHidden/>
          </w:rPr>
          <w:fldChar w:fldCharType="separate"/>
        </w:r>
        <w:r w:rsidR="002A5BEB">
          <w:rPr>
            <w:noProof/>
            <w:webHidden/>
          </w:rPr>
          <w:t>4</w:t>
        </w:r>
        <w:r w:rsidR="002A5BEB">
          <w:rPr>
            <w:noProof/>
            <w:webHidden/>
          </w:rPr>
          <w:fldChar w:fldCharType="end"/>
        </w:r>
      </w:hyperlink>
    </w:p>
    <w:p w14:paraId="6278F31F" w14:textId="7DA17703" w:rsidR="002A5BEB" w:rsidRDefault="002853B2">
      <w:pPr>
        <w:pStyle w:val="TOC3"/>
        <w:rPr>
          <w:rFonts w:asciiTheme="minorHAnsi" w:eastAsiaTheme="minorEastAsia" w:hAnsiTheme="minorHAnsi" w:cstheme="minorBidi"/>
          <w:noProof/>
          <w:kern w:val="2"/>
          <w:sz w:val="24"/>
          <w:szCs w:val="24"/>
          <w:lang w:val="en-DE" w:eastAsia="en-DE"/>
          <w14:ligatures w14:val="standardContextual"/>
        </w:rPr>
      </w:pPr>
      <w:hyperlink w:anchor="_Toc180500259" w:history="1">
        <w:r w:rsidR="002A5BEB" w:rsidRPr="0048757C">
          <w:rPr>
            <w:rStyle w:val="Hyperlink"/>
            <w:noProof/>
          </w:rPr>
          <w:t>Cooperation in DUS examination</w:t>
        </w:r>
        <w:r w:rsidR="002A5BEB">
          <w:rPr>
            <w:noProof/>
            <w:webHidden/>
          </w:rPr>
          <w:tab/>
        </w:r>
        <w:r w:rsidR="002A5BEB">
          <w:rPr>
            <w:noProof/>
            <w:webHidden/>
          </w:rPr>
          <w:fldChar w:fldCharType="begin"/>
        </w:r>
        <w:r w:rsidR="002A5BEB">
          <w:rPr>
            <w:noProof/>
            <w:webHidden/>
          </w:rPr>
          <w:instrText xml:space="preserve"> PAGEREF _Toc180500259 \h </w:instrText>
        </w:r>
        <w:r w:rsidR="002A5BEB">
          <w:rPr>
            <w:noProof/>
            <w:webHidden/>
          </w:rPr>
        </w:r>
        <w:r w:rsidR="002A5BEB">
          <w:rPr>
            <w:noProof/>
            <w:webHidden/>
          </w:rPr>
          <w:fldChar w:fldCharType="separate"/>
        </w:r>
        <w:r w:rsidR="002A5BEB">
          <w:rPr>
            <w:noProof/>
            <w:webHidden/>
          </w:rPr>
          <w:t>4</w:t>
        </w:r>
        <w:r w:rsidR="002A5BEB">
          <w:rPr>
            <w:noProof/>
            <w:webHidden/>
          </w:rPr>
          <w:fldChar w:fldCharType="end"/>
        </w:r>
      </w:hyperlink>
    </w:p>
    <w:p w14:paraId="5513E7E4" w14:textId="6348DC8E" w:rsidR="002A5BEB" w:rsidRDefault="002853B2">
      <w:pPr>
        <w:pStyle w:val="TOC2"/>
        <w:rPr>
          <w:rFonts w:asciiTheme="minorHAnsi" w:eastAsiaTheme="minorEastAsia" w:hAnsiTheme="minorHAnsi" w:cstheme="minorBidi"/>
          <w:smallCaps w:val="0"/>
          <w:noProof/>
          <w:kern w:val="2"/>
          <w:sz w:val="24"/>
          <w:szCs w:val="24"/>
          <w:lang w:val="en-DE" w:eastAsia="en-DE"/>
          <w14:ligatures w14:val="standardContextual"/>
        </w:rPr>
      </w:pPr>
      <w:hyperlink w:anchor="_Toc180500260" w:history="1">
        <w:r w:rsidR="002A5BEB" w:rsidRPr="0048757C">
          <w:rPr>
            <w:rStyle w:val="Hyperlink"/>
            <w:noProof/>
          </w:rPr>
          <w:t>TGP Documents: subgroups and leading experts</w:t>
        </w:r>
        <w:r w:rsidR="002A5BEB">
          <w:rPr>
            <w:noProof/>
            <w:webHidden/>
          </w:rPr>
          <w:tab/>
        </w:r>
        <w:r w:rsidR="002A5BEB">
          <w:rPr>
            <w:noProof/>
            <w:webHidden/>
          </w:rPr>
          <w:fldChar w:fldCharType="begin"/>
        </w:r>
        <w:r w:rsidR="002A5BEB">
          <w:rPr>
            <w:noProof/>
            <w:webHidden/>
          </w:rPr>
          <w:instrText xml:space="preserve"> PAGEREF _Toc180500260 \h </w:instrText>
        </w:r>
        <w:r w:rsidR="002A5BEB">
          <w:rPr>
            <w:noProof/>
            <w:webHidden/>
          </w:rPr>
        </w:r>
        <w:r w:rsidR="002A5BEB">
          <w:rPr>
            <w:noProof/>
            <w:webHidden/>
          </w:rPr>
          <w:fldChar w:fldCharType="separate"/>
        </w:r>
        <w:r w:rsidR="002A5BEB">
          <w:rPr>
            <w:noProof/>
            <w:webHidden/>
          </w:rPr>
          <w:t>4</w:t>
        </w:r>
        <w:r w:rsidR="002A5BEB">
          <w:rPr>
            <w:noProof/>
            <w:webHidden/>
          </w:rPr>
          <w:fldChar w:fldCharType="end"/>
        </w:r>
      </w:hyperlink>
    </w:p>
    <w:p w14:paraId="77B40ACA" w14:textId="6BE5EB20" w:rsidR="002A5BEB" w:rsidRDefault="002853B2">
      <w:pPr>
        <w:pStyle w:val="TOC2"/>
        <w:rPr>
          <w:rFonts w:asciiTheme="minorHAnsi" w:eastAsiaTheme="minorEastAsia" w:hAnsiTheme="minorHAnsi" w:cstheme="minorBidi"/>
          <w:smallCaps w:val="0"/>
          <w:noProof/>
          <w:kern w:val="2"/>
          <w:sz w:val="24"/>
          <w:szCs w:val="24"/>
          <w:lang w:val="en-DE" w:eastAsia="en-DE"/>
          <w14:ligatures w14:val="standardContextual"/>
        </w:rPr>
      </w:pPr>
      <w:hyperlink w:anchor="_Toc180500261" w:history="1">
        <w:r w:rsidR="002A5BEB" w:rsidRPr="0048757C">
          <w:rPr>
            <w:rStyle w:val="Hyperlink"/>
            <w:noProof/>
          </w:rPr>
          <w:t>Training and distance learning</w:t>
        </w:r>
        <w:r w:rsidR="002A5BEB">
          <w:rPr>
            <w:noProof/>
            <w:webHidden/>
          </w:rPr>
          <w:tab/>
        </w:r>
        <w:r w:rsidR="002A5BEB">
          <w:rPr>
            <w:noProof/>
            <w:webHidden/>
          </w:rPr>
          <w:fldChar w:fldCharType="begin"/>
        </w:r>
        <w:r w:rsidR="002A5BEB">
          <w:rPr>
            <w:noProof/>
            <w:webHidden/>
          </w:rPr>
          <w:instrText xml:space="preserve"> PAGEREF _Toc180500261 \h </w:instrText>
        </w:r>
        <w:r w:rsidR="002A5BEB">
          <w:rPr>
            <w:noProof/>
            <w:webHidden/>
          </w:rPr>
        </w:r>
        <w:r w:rsidR="002A5BEB">
          <w:rPr>
            <w:noProof/>
            <w:webHidden/>
          </w:rPr>
          <w:fldChar w:fldCharType="separate"/>
        </w:r>
        <w:r w:rsidR="002A5BEB">
          <w:rPr>
            <w:noProof/>
            <w:webHidden/>
          </w:rPr>
          <w:t>4</w:t>
        </w:r>
        <w:r w:rsidR="002A5BEB">
          <w:rPr>
            <w:noProof/>
            <w:webHidden/>
          </w:rPr>
          <w:fldChar w:fldCharType="end"/>
        </w:r>
      </w:hyperlink>
    </w:p>
    <w:p w14:paraId="510ED5FA" w14:textId="77BC8362" w:rsidR="002A5BEB" w:rsidRDefault="002853B2">
      <w:pPr>
        <w:pStyle w:val="TOC3"/>
        <w:rPr>
          <w:rFonts w:asciiTheme="minorHAnsi" w:eastAsiaTheme="minorEastAsia" w:hAnsiTheme="minorHAnsi" w:cstheme="minorBidi"/>
          <w:noProof/>
          <w:kern w:val="2"/>
          <w:sz w:val="24"/>
          <w:szCs w:val="24"/>
          <w:lang w:val="en-DE" w:eastAsia="en-DE"/>
          <w14:ligatures w14:val="standardContextual"/>
        </w:rPr>
      </w:pPr>
      <w:hyperlink w:anchor="_Toc180500262" w:history="1">
        <w:r w:rsidR="002A5BEB" w:rsidRPr="0048757C">
          <w:rPr>
            <w:rStyle w:val="Hyperlink"/>
            <w:noProof/>
          </w:rPr>
          <w:t>Updating distance learning courses</w:t>
        </w:r>
        <w:r w:rsidR="002A5BEB">
          <w:rPr>
            <w:noProof/>
            <w:webHidden/>
          </w:rPr>
          <w:tab/>
        </w:r>
        <w:r w:rsidR="002A5BEB">
          <w:rPr>
            <w:noProof/>
            <w:webHidden/>
          </w:rPr>
          <w:fldChar w:fldCharType="begin"/>
        </w:r>
        <w:r w:rsidR="002A5BEB">
          <w:rPr>
            <w:noProof/>
            <w:webHidden/>
          </w:rPr>
          <w:instrText xml:space="preserve"> PAGEREF _Toc180500262 \h </w:instrText>
        </w:r>
        <w:r w:rsidR="002A5BEB">
          <w:rPr>
            <w:noProof/>
            <w:webHidden/>
          </w:rPr>
        </w:r>
        <w:r w:rsidR="002A5BEB">
          <w:rPr>
            <w:noProof/>
            <w:webHidden/>
          </w:rPr>
          <w:fldChar w:fldCharType="separate"/>
        </w:r>
        <w:r w:rsidR="002A5BEB">
          <w:rPr>
            <w:noProof/>
            <w:webHidden/>
          </w:rPr>
          <w:t>4</w:t>
        </w:r>
        <w:r w:rsidR="002A5BEB">
          <w:rPr>
            <w:noProof/>
            <w:webHidden/>
          </w:rPr>
          <w:fldChar w:fldCharType="end"/>
        </w:r>
      </w:hyperlink>
    </w:p>
    <w:p w14:paraId="4133B58E" w14:textId="1952A7C7" w:rsidR="002A5BEB" w:rsidRDefault="002853B2">
      <w:pPr>
        <w:pStyle w:val="TOC3"/>
        <w:rPr>
          <w:rFonts w:asciiTheme="minorHAnsi" w:eastAsiaTheme="minorEastAsia" w:hAnsiTheme="minorHAnsi" w:cstheme="minorBidi"/>
          <w:noProof/>
          <w:kern w:val="2"/>
          <w:sz w:val="24"/>
          <w:szCs w:val="24"/>
          <w:lang w:val="en-DE" w:eastAsia="en-DE"/>
          <w14:ligatures w14:val="standardContextual"/>
        </w:rPr>
      </w:pPr>
      <w:hyperlink w:anchor="_Toc180500263" w:history="1">
        <w:r w:rsidR="002A5BEB" w:rsidRPr="0048757C">
          <w:rPr>
            <w:rStyle w:val="Hyperlink"/>
            <w:noProof/>
          </w:rPr>
          <w:t>Developing new courses</w:t>
        </w:r>
        <w:r w:rsidR="002A5BEB">
          <w:rPr>
            <w:noProof/>
            <w:webHidden/>
          </w:rPr>
          <w:tab/>
        </w:r>
        <w:r w:rsidR="002A5BEB">
          <w:rPr>
            <w:noProof/>
            <w:webHidden/>
          </w:rPr>
          <w:fldChar w:fldCharType="begin"/>
        </w:r>
        <w:r w:rsidR="002A5BEB">
          <w:rPr>
            <w:noProof/>
            <w:webHidden/>
          </w:rPr>
          <w:instrText xml:space="preserve"> PAGEREF _Toc180500263 \h </w:instrText>
        </w:r>
        <w:r w:rsidR="002A5BEB">
          <w:rPr>
            <w:noProof/>
            <w:webHidden/>
          </w:rPr>
        </w:r>
        <w:r w:rsidR="002A5BEB">
          <w:rPr>
            <w:noProof/>
            <w:webHidden/>
          </w:rPr>
          <w:fldChar w:fldCharType="separate"/>
        </w:r>
        <w:r w:rsidR="002A5BEB">
          <w:rPr>
            <w:noProof/>
            <w:webHidden/>
          </w:rPr>
          <w:t>4</w:t>
        </w:r>
        <w:r w:rsidR="002A5BEB">
          <w:rPr>
            <w:noProof/>
            <w:webHidden/>
          </w:rPr>
          <w:fldChar w:fldCharType="end"/>
        </w:r>
      </w:hyperlink>
    </w:p>
    <w:p w14:paraId="77C8EB57" w14:textId="0B71726E" w:rsidR="002A5BEB" w:rsidRDefault="002853B2">
      <w:pPr>
        <w:pStyle w:val="TOC3"/>
        <w:rPr>
          <w:rFonts w:asciiTheme="minorHAnsi" w:eastAsiaTheme="minorEastAsia" w:hAnsiTheme="minorHAnsi" w:cstheme="minorBidi"/>
          <w:noProof/>
          <w:kern w:val="2"/>
          <w:sz w:val="24"/>
          <w:szCs w:val="24"/>
          <w:lang w:val="en-DE" w:eastAsia="en-DE"/>
          <w14:ligatures w14:val="standardContextual"/>
        </w:rPr>
      </w:pPr>
      <w:hyperlink w:anchor="_Toc180500264" w:history="1">
        <w:r w:rsidR="002A5BEB" w:rsidRPr="0048757C">
          <w:rPr>
            <w:rStyle w:val="Hyperlink"/>
            <w:noProof/>
          </w:rPr>
          <w:t>Promoting training opportunities</w:t>
        </w:r>
        <w:r w:rsidR="002A5BEB">
          <w:rPr>
            <w:noProof/>
            <w:webHidden/>
          </w:rPr>
          <w:tab/>
        </w:r>
        <w:r w:rsidR="002A5BEB">
          <w:rPr>
            <w:noProof/>
            <w:webHidden/>
          </w:rPr>
          <w:fldChar w:fldCharType="begin"/>
        </w:r>
        <w:r w:rsidR="002A5BEB">
          <w:rPr>
            <w:noProof/>
            <w:webHidden/>
          </w:rPr>
          <w:instrText xml:space="preserve"> PAGEREF _Toc180500264 \h </w:instrText>
        </w:r>
        <w:r w:rsidR="002A5BEB">
          <w:rPr>
            <w:noProof/>
            <w:webHidden/>
          </w:rPr>
        </w:r>
        <w:r w:rsidR="002A5BEB">
          <w:rPr>
            <w:noProof/>
            <w:webHidden/>
          </w:rPr>
          <w:fldChar w:fldCharType="separate"/>
        </w:r>
        <w:r w:rsidR="002A5BEB">
          <w:rPr>
            <w:noProof/>
            <w:webHidden/>
          </w:rPr>
          <w:t>5</w:t>
        </w:r>
        <w:r w:rsidR="002A5BEB">
          <w:rPr>
            <w:noProof/>
            <w:webHidden/>
          </w:rPr>
          <w:fldChar w:fldCharType="end"/>
        </w:r>
      </w:hyperlink>
    </w:p>
    <w:p w14:paraId="71F951E1" w14:textId="68FD6A24" w:rsidR="002A5BEB" w:rsidRDefault="002853B2">
      <w:pPr>
        <w:pStyle w:val="TOC2"/>
        <w:rPr>
          <w:rFonts w:asciiTheme="minorHAnsi" w:eastAsiaTheme="minorEastAsia" w:hAnsiTheme="minorHAnsi" w:cstheme="minorBidi"/>
          <w:smallCaps w:val="0"/>
          <w:noProof/>
          <w:kern w:val="2"/>
          <w:sz w:val="24"/>
          <w:szCs w:val="24"/>
          <w:lang w:val="en-DE" w:eastAsia="en-DE"/>
          <w14:ligatures w14:val="standardContextual"/>
        </w:rPr>
      </w:pPr>
      <w:hyperlink w:anchor="_Toc180500265" w:history="1">
        <w:r w:rsidR="002A5BEB" w:rsidRPr="0048757C">
          <w:rPr>
            <w:rStyle w:val="Hyperlink"/>
            <w:noProof/>
          </w:rPr>
          <w:t>List of members willing to provide mentoring on drafting national test guidelines</w:t>
        </w:r>
        <w:r w:rsidR="002A5BEB">
          <w:rPr>
            <w:noProof/>
            <w:webHidden/>
          </w:rPr>
          <w:tab/>
        </w:r>
        <w:r w:rsidR="002A5BEB">
          <w:rPr>
            <w:noProof/>
            <w:webHidden/>
          </w:rPr>
          <w:fldChar w:fldCharType="begin"/>
        </w:r>
        <w:r w:rsidR="002A5BEB">
          <w:rPr>
            <w:noProof/>
            <w:webHidden/>
          </w:rPr>
          <w:instrText xml:space="preserve"> PAGEREF _Toc180500265 \h </w:instrText>
        </w:r>
        <w:r w:rsidR="002A5BEB">
          <w:rPr>
            <w:noProof/>
            <w:webHidden/>
          </w:rPr>
        </w:r>
        <w:r w:rsidR="002A5BEB">
          <w:rPr>
            <w:noProof/>
            <w:webHidden/>
          </w:rPr>
          <w:fldChar w:fldCharType="separate"/>
        </w:r>
        <w:r w:rsidR="002A5BEB">
          <w:rPr>
            <w:noProof/>
            <w:webHidden/>
          </w:rPr>
          <w:t>5</w:t>
        </w:r>
        <w:r w:rsidR="002A5BEB">
          <w:rPr>
            <w:noProof/>
            <w:webHidden/>
          </w:rPr>
          <w:fldChar w:fldCharType="end"/>
        </w:r>
      </w:hyperlink>
    </w:p>
    <w:p w14:paraId="04C70686" w14:textId="72F9ECFF" w:rsidR="002A5BEB" w:rsidRDefault="002853B2">
      <w:pPr>
        <w:pStyle w:val="TOC2"/>
        <w:rPr>
          <w:rFonts w:asciiTheme="minorHAnsi" w:eastAsiaTheme="minorEastAsia" w:hAnsiTheme="minorHAnsi" w:cstheme="minorBidi"/>
          <w:smallCaps w:val="0"/>
          <w:noProof/>
          <w:kern w:val="2"/>
          <w:sz w:val="24"/>
          <w:szCs w:val="24"/>
          <w:lang w:val="en-DE" w:eastAsia="en-DE"/>
          <w14:ligatures w14:val="standardContextual"/>
        </w:rPr>
      </w:pPr>
      <w:hyperlink w:anchor="_Toc180500266" w:history="1">
        <w:r w:rsidR="002A5BEB" w:rsidRPr="0048757C">
          <w:rPr>
            <w:rStyle w:val="Hyperlink"/>
            <w:noProof/>
          </w:rPr>
          <w:t>Performance indicators</w:t>
        </w:r>
        <w:r w:rsidR="002A5BEB">
          <w:rPr>
            <w:noProof/>
            <w:webHidden/>
          </w:rPr>
          <w:tab/>
        </w:r>
        <w:r w:rsidR="002A5BEB">
          <w:rPr>
            <w:noProof/>
            <w:webHidden/>
          </w:rPr>
          <w:fldChar w:fldCharType="begin"/>
        </w:r>
        <w:r w:rsidR="002A5BEB">
          <w:rPr>
            <w:noProof/>
            <w:webHidden/>
          </w:rPr>
          <w:instrText xml:space="preserve"> PAGEREF _Toc180500266 \h </w:instrText>
        </w:r>
        <w:r w:rsidR="002A5BEB">
          <w:rPr>
            <w:noProof/>
            <w:webHidden/>
          </w:rPr>
        </w:r>
        <w:r w:rsidR="002A5BEB">
          <w:rPr>
            <w:noProof/>
            <w:webHidden/>
          </w:rPr>
          <w:fldChar w:fldCharType="separate"/>
        </w:r>
        <w:r w:rsidR="002A5BEB">
          <w:rPr>
            <w:noProof/>
            <w:webHidden/>
          </w:rPr>
          <w:t>5</w:t>
        </w:r>
        <w:r w:rsidR="002A5BEB">
          <w:rPr>
            <w:noProof/>
            <w:webHidden/>
          </w:rPr>
          <w:fldChar w:fldCharType="end"/>
        </w:r>
      </w:hyperlink>
    </w:p>
    <w:p w14:paraId="6251F7CD" w14:textId="66D2B868" w:rsidR="002A5BEB" w:rsidRDefault="002853B2">
      <w:pPr>
        <w:pStyle w:val="TOC1"/>
        <w:rPr>
          <w:rFonts w:asciiTheme="minorHAnsi" w:eastAsiaTheme="minorEastAsia" w:hAnsiTheme="minorHAnsi" w:cstheme="minorBidi"/>
          <w:caps w:val="0"/>
          <w:noProof/>
          <w:kern w:val="2"/>
          <w:sz w:val="24"/>
          <w:szCs w:val="24"/>
          <w:lang w:val="en-DE" w:eastAsia="en-DE"/>
          <w14:ligatures w14:val="standardContextual"/>
        </w:rPr>
      </w:pPr>
      <w:hyperlink w:anchor="_Toc180500267" w:history="1">
        <w:r w:rsidR="002A5BEB" w:rsidRPr="0048757C">
          <w:rPr>
            <w:rStyle w:val="Hyperlink"/>
            <w:noProof/>
          </w:rPr>
          <w:t>Molecular techniques</w:t>
        </w:r>
        <w:r w:rsidR="002A5BEB">
          <w:rPr>
            <w:noProof/>
            <w:webHidden/>
          </w:rPr>
          <w:tab/>
        </w:r>
        <w:r w:rsidR="002A5BEB">
          <w:rPr>
            <w:noProof/>
            <w:webHidden/>
          </w:rPr>
          <w:fldChar w:fldCharType="begin"/>
        </w:r>
        <w:r w:rsidR="002A5BEB">
          <w:rPr>
            <w:noProof/>
            <w:webHidden/>
          </w:rPr>
          <w:instrText xml:space="preserve"> PAGEREF _Toc180500267 \h </w:instrText>
        </w:r>
        <w:r w:rsidR="002A5BEB">
          <w:rPr>
            <w:noProof/>
            <w:webHidden/>
          </w:rPr>
        </w:r>
        <w:r w:rsidR="002A5BEB">
          <w:rPr>
            <w:noProof/>
            <w:webHidden/>
          </w:rPr>
          <w:fldChar w:fldCharType="separate"/>
        </w:r>
        <w:r w:rsidR="002A5BEB">
          <w:rPr>
            <w:noProof/>
            <w:webHidden/>
          </w:rPr>
          <w:t>5</w:t>
        </w:r>
        <w:r w:rsidR="002A5BEB">
          <w:rPr>
            <w:noProof/>
            <w:webHidden/>
          </w:rPr>
          <w:fldChar w:fldCharType="end"/>
        </w:r>
      </w:hyperlink>
    </w:p>
    <w:p w14:paraId="7D9C6B5B" w14:textId="305CAE08" w:rsidR="002A5BEB" w:rsidRDefault="002853B2">
      <w:pPr>
        <w:pStyle w:val="TOC2"/>
        <w:rPr>
          <w:rFonts w:asciiTheme="minorHAnsi" w:eastAsiaTheme="minorEastAsia" w:hAnsiTheme="minorHAnsi" w:cstheme="minorBidi"/>
          <w:smallCaps w:val="0"/>
          <w:noProof/>
          <w:kern w:val="2"/>
          <w:sz w:val="24"/>
          <w:szCs w:val="24"/>
          <w:lang w:val="en-DE" w:eastAsia="en-DE"/>
          <w14:ligatures w14:val="standardContextual"/>
        </w:rPr>
      </w:pPr>
      <w:hyperlink w:anchor="_Toc180500268" w:history="1">
        <w:r w:rsidR="002A5BEB" w:rsidRPr="0048757C">
          <w:rPr>
            <w:rStyle w:val="Hyperlink"/>
            <w:noProof/>
          </w:rPr>
          <w:t>Guidelines for the validation of a new characteristic-specific molecular marker protocol as an alternative method for observation</w:t>
        </w:r>
        <w:r w:rsidR="002A5BEB">
          <w:rPr>
            <w:noProof/>
            <w:webHidden/>
          </w:rPr>
          <w:tab/>
        </w:r>
        <w:r w:rsidR="002A5BEB">
          <w:rPr>
            <w:noProof/>
            <w:webHidden/>
          </w:rPr>
          <w:fldChar w:fldCharType="begin"/>
        </w:r>
        <w:r w:rsidR="002A5BEB">
          <w:rPr>
            <w:noProof/>
            <w:webHidden/>
          </w:rPr>
          <w:instrText xml:space="preserve"> PAGEREF _Toc180500268 \h </w:instrText>
        </w:r>
        <w:r w:rsidR="002A5BEB">
          <w:rPr>
            <w:noProof/>
            <w:webHidden/>
          </w:rPr>
        </w:r>
        <w:r w:rsidR="002A5BEB">
          <w:rPr>
            <w:noProof/>
            <w:webHidden/>
          </w:rPr>
          <w:fldChar w:fldCharType="separate"/>
        </w:r>
        <w:r w:rsidR="002A5BEB">
          <w:rPr>
            <w:noProof/>
            <w:webHidden/>
          </w:rPr>
          <w:t>5</w:t>
        </w:r>
        <w:r w:rsidR="002A5BEB">
          <w:rPr>
            <w:noProof/>
            <w:webHidden/>
          </w:rPr>
          <w:fldChar w:fldCharType="end"/>
        </w:r>
      </w:hyperlink>
    </w:p>
    <w:p w14:paraId="74CF73DF" w14:textId="22939E6A" w:rsidR="002A5BEB" w:rsidRDefault="002853B2">
      <w:pPr>
        <w:pStyle w:val="TOC2"/>
        <w:rPr>
          <w:rFonts w:asciiTheme="minorHAnsi" w:eastAsiaTheme="minorEastAsia" w:hAnsiTheme="minorHAnsi" w:cstheme="minorBidi"/>
          <w:smallCaps w:val="0"/>
          <w:noProof/>
          <w:kern w:val="2"/>
          <w:sz w:val="24"/>
          <w:szCs w:val="24"/>
          <w:lang w:val="en-DE" w:eastAsia="en-DE"/>
          <w14:ligatures w14:val="standardContextual"/>
        </w:rPr>
      </w:pPr>
      <w:hyperlink w:anchor="_Toc180500269" w:history="1">
        <w:r w:rsidR="002A5BEB" w:rsidRPr="0048757C">
          <w:rPr>
            <w:rStyle w:val="Hyperlink"/>
            <w:noProof/>
          </w:rPr>
          <w:t>Confidentiality and Ownership of Molecular Information</w:t>
        </w:r>
        <w:r w:rsidR="002A5BEB">
          <w:rPr>
            <w:noProof/>
            <w:webHidden/>
          </w:rPr>
          <w:tab/>
        </w:r>
        <w:r w:rsidR="002A5BEB">
          <w:rPr>
            <w:noProof/>
            <w:webHidden/>
          </w:rPr>
          <w:fldChar w:fldCharType="begin"/>
        </w:r>
        <w:r w:rsidR="002A5BEB">
          <w:rPr>
            <w:noProof/>
            <w:webHidden/>
          </w:rPr>
          <w:instrText xml:space="preserve"> PAGEREF _Toc180500269 \h </w:instrText>
        </w:r>
        <w:r w:rsidR="002A5BEB">
          <w:rPr>
            <w:noProof/>
            <w:webHidden/>
          </w:rPr>
        </w:r>
        <w:r w:rsidR="002A5BEB">
          <w:rPr>
            <w:noProof/>
            <w:webHidden/>
          </w:rPr>
          <w:fldChar w:fldCharType="separate"/>
        </w:r>
        <w:r w:rsidR="002A5BEB">
          <w:rPr>
            <w:noProof/>
            <w:webHidden/>
          </w:rPr>
          <w:t>5</w:t>
        </w:r>
        <w:r w:rsidR="002A5BEB">
          <w:rPr>
            <w:noProof/>
            <w:webHidden/>
          </w:rPr>
          <w:fldChar w:fldCharType="end"/>
        </w:r>
      </w:hyperlink>
    </w:p>
    <w:p w14:paraId="559D2EEB" w14:textId="38B0F51C" w:rsidR="002A5BEB" w:rsidRDefault="002853B2">
      <w:pPr>
        <w:pStyle w:val="TOC2"/>
        <w:rPr>
          <w:rFonts w:asciiTheme="minorHAnsi" w:eastAsiaTheme="minorEastAsia" w:hAnsiTheme="minorHAnsi" w:cstheme="minorBidi"/>
          <w:smallCaps w:val="0"/>
          <w:noProof/>
          <w:kern w:val="2"/>
          <w:sz w:val="24"/>
          <w:szCs w:val="24"/>
          <w:lang w:val="en-DE" w:eastAsia="en-DE"/>
          <w14:ligatures w14:val="standardContextual"/>
        </w:rPr>
      </w:pPr>
      <w:hyperlink w:anchor="_Toc180500270" w:history="1">
        <w:r w:rsidR="002A5BEB" w:rsidRPr="0048757C">
          <w:rPr>
            <w:rStyle w:val="Hyperlink"/>
            <w:noProof/>
            <w:snapToGrid w:val="0"/>
            <w:lang w:eastAsia="ja-JP"/>
          </w:rPr>
          <w:t>Matters for information</w:t>
        </w:r>
        <w:r w:rsidR="002A5BEB">
          <w:rPr>
            <w:noProof/>
            <w:webHidden/>
          </w:rPr>
          <w:tab/>
        </w:r>
        <w:r w:rsidR="002A5BEB">
          <w:rPr>
            <w:noProof/>
            <w:webHidden/>
          </w:rPr>
          <w:fldChar w:fldCharType="begin"/>
        </w:r>
        <w:r w:rsidR="002A5BEB">
          <w:rPr>
            <w:noProof/>
            <w:webHidden/>
          </w:rPr>
          <w:instrText xml:space="preserve"> PAGEREF _Toc180500270 \h </w:instrText>
        </w:r>
        <w:r w:rsidR="002A5BEB">
          <w:rPr>
            <w:noProof/>
            <w:webHidden/>
          </w:rPr>
        </w:r>
        <w:r w:rsidR="002A5BEB">
          <w:rPr>
            <w:noProof/>
            <w:webHidden/>
          </w:rPr>
          <w:fldChar w:fldCharType="separate"/>
        </w:r>
        <w:r w:rsidR="002A5BEB">
          <w:rPr>
            <w:noProof/>
            <w:webHidden/>
          </w:rPr>
          <w:t>5</w:t>
        </w:r>
        <w:r w:rsidR="002A5BEB">
          <w:rPr>
            <w:noProof/>
            <w:webHidden/>
          </w:rPr>
          <w:fldChar w:fldCharType="end"/>
        </w:r>
      </w:hyperlink>
    </w:p>
    <w:p w14:paraId="0A1DBF6C" w14:textId="39FD4F22" w:rsidR="002A5BEB" w:rsidRDefault="002853B2">
      <w:pPr>
        <w:pStyle w:val="TOC1"/>
        <w:rPr>
          <w:rFonts w:asciiTheme="minorHAnsi" w:eastAsiaTheme="minorEastAsia" w:hAnsiTheme="minorHAnsi" w:cstheme="minorBidi"/>
          <w:caps w:val="0"/>
          <w:noProof/>
          <w:kern w:val="2"/>
          <w:sz w:val="24"/>
          <w:szCs w:val="24"/>
          <w:lang w:val="en-DE" w:eastAsia="en-DE"/>
          <w14:ligatures w14:val="standardContextual"/>
        </w:rPr>
      </w:pPr>
      <w:hyperlink w:anchor="_Toc180500271" w:history="1">
        <w:r w:rsidR="002A5BEB" w:rsidRPr="0048757C">
          <w:rPr>
            <w:rStyle w:val="Hyperlink"/>
            <w:noProof/>
          </w:rPr>
          <w:t>UPOV information databases</w:t>
        </w:r>
        <w:r w:rsidR="002A5BEB">
          <w:rPr>
            <w:noProof/>
            <w:webHidden/>
          </w:rPr>
          <w:tab/>
        </w:r>
        <w:r w:rsidR="002A5BEB">
          <w:rPr>
            <w:noProof/>
            <w:webHidden/>
          </w:rPr>
          <w:fldChar w:fldCharType="begin"/>
        </w:r>
        <w:r w:rsidR="002A5BEB">
          <w:rPr>
            <w:noProof/>
            <w:webHidden/>
          </w:rPr>
          <w:instrText xml:space="preserve"> PAGEREF _Toc180500271 \h </w:instrText>
        </w:r>
        <w:r w:rsidR="002A5BEB">
          <w:rPr>
            <w:noProof/>
            <w:webHidden/>
          </w:rPr>
        </w:r>
        <w:r w:rsidR="002A5BEB">
          <w:rPr>
            <w:noProof/>
            <w:webHidden/>
          </w:rPr>
          <w:fldChar w:fldCharType="separate"/>
        </w:r>
        <w:r w:rsidR="002A5BEB">
          <w:rPr>
            <w:noProof/>
            <w:webHidden/>
          </w:rPr>
          <w:t>6</w:t>
        </w:r>
        <w:r w:rsidR="002A5BEB">
          <w:rPr>
            <w:noProof/>
            <w:webHidden/>
          </w:rPr>
          <w:fldChar w:fldCharType="end"/>
        </w:r>
      </w:hyperlink>
    </w:p>
    <w:p w14:paraId="324541BD" w14:textId="18F4849A" w:rsidR="002A5BEB" w:rsidRDefault="002853B2">
      <w:pPr>
        <w:pStyle w:val="TOC2"/>
        <w:rPr>
          <w:rFonts w:asciiTheme="minorHAnsi" w:eastAsiaTheme="minorEastAsia" w:hAnsiTheme="minorHAnsi" w:cstheme="minorBidi"/>
          <w:smallCaps w:val="0"/>
          <w:noProof/>
          <w:kern w:val="2"/>
          <w:sz w:val="24"/>
          <w:szCs w:val="24"/>
          <w:lang w:val="en-DE" w:eastAsia="en-DE"/>
          <w14:ligatures w14:val="standardContextual"/>
        </w:rPr>
      </w:pPr>
      <w:hyperlink w:anchor="_Toc180500272" w:history="1">
        <w:r w:rsidR="002A5BEB" w:rsidRPr="0048757C">
          <w:rPr>
            <w:rStyle w:val="Hyperlink"/>
            <w:noProof/>
          </w:rPr>
          <w:t>Amendments to UPOV codes</w:t>
        </w:r>
        <w:r w:rsidR="002A5BEB">
          <w:rPr>
            <w:noProof/>
            <w:webHidden/>
          </w:rPr>
          <w:tab/>
        </w:r>
        <w:r w:rsidR="002A5BEB">
          <w:rPr>
            <w:noProof/>
            <w:webHidden/>
          </w:rPr>
          <w:fldChar w:fldCharType="begin"/>
        </w:r>
        <w:r w:rsidR="002A5BEB">
          <w:rPr>
            <w:noProof/>
            <w:webHidden/>
          </w:rPr>
          <w:instrText xml:space="preserve"> PAGEREF _Toc180500272 \h </w:instrText>
        </w:r>
        <w:r w:rsidR="002A5BEB">
          <w:rPr>
            <w:noProof/>
            <w:webHidden/>
          </w:rPr>
        </w:r>
        <w:r w:rsidR="002A5BEB">
          <w:rPr>
            <w:noProof/>
            <w:webHidden/>
          </w:rPr>
          <w:fldChar w:fldCharType="separate"/>
        </w:r>
        <w:r w:rsidR="002A5BEB">
          <w:rPr>
            <w:noProof/>
            <w:webHidden/>
          </w:rPr>
          <w:t>6</w:t>
        </w:r>
        <w:r w:rsidR="002A5BEB">
          <w:rPr>
            <w:noProof/>
            <w:webHidden/>
          </w:rPr>
          <w:fldChar w:fldCharType="end"/>
        </w:r>
      </w:hyperlink>
    </w:p>
    <w:p w14:paraId="25F7CFA5" w14:textId="4E04C7F5" w:rsidR="002A5BEB" w:rsidRDefault="002853B2">
      <w:pPr>
        <w:pStyle w:val="TOC3"/>
        <w:rPr>
          <w:rFonts w:asciiTheme="minorHAnsi" w:eastAsiaTheme="minorEastAsia" w:hAnsiTheme="minorHAnsi" w:cstheme="minorBidi"/>
          <w:noProof/>
          <w:kern w:val="2"/>
          <w:sz w:val="24"/>
          <w:szCs w:val="24"/>
          <w:lang w:val="en-DE" w:eastAsia="en-DE"/>
          <w14:ligatures w14:val="standardContextual"/>
        </w:rPr>
      </w:pPr>
      <w:hyperlink w:anchor="_Toc180500273" w:history="1">
        <w:r w:rsidR="002A5BEB" w:rsidRPr="0048757C">
          <w:rPr>
            <w:rStyle w:val="Hyperlink"/>
            <w:noProof/>
          </w:rPr>
          <w:t>UPOV codes for Citrus</w:t>
        </w:r>
        <w:r w:rsidR="002A5BEB">
          <w:rPr>
            <w:noProof/>
            <w:webHidden/>
          </w:rPr>
          <w:tab/>
        </w:r>
        <w:r w:rsidR="002A5BEB">
          <w:rPr>
            <w:noProof/>
            <w:webHidden/>
          </w:rPr>
          <w:fldChar w:fldCharType="begin"/>
        </w:r>
        <w:r w:rsidR="002A5BEB">
          <w:rPr>
            <w:noProof/>
            <w:webHidden/>
          </w:rPr>
          <w:instrText xml:space="preserve"> PAGEREF _Toc180500273 \h </w:instrText>
        </w:r>
        <w:r w:rsidR="002A5BEB">
          <w:rPr>
            <w:noProof/>
            <w:webHidden/>
          </w:rPr>
        </w:r>
        <w:r w:rsidR="002A5BEB">
          <w:rPr>
            <w:noProof/>
            <w:webHidden/>
          </w:rPr>
          <w:fldChar w:fldCharType="separate"/>
        </w:r>
        <w:r w:rsidR="002A5BEB">
          <w:rPr>
            <w:noProof/>
            <w:webHidden/>
          </w:rPr>
          <w:t>6</w:t>
        </w:r>
        <w:r w:rsidR="002A5BEB">
          <w:rPr>
            <w:noProof/>
            <w:webHidden/>
          </w:rPr>
          <w:fldChar w:fldCharType="end"/>
        </w:r>
      </w:hyperlink>
    </w:p>
    <w:p w14:paraId="2EE5BA92" w14:textId="37A22045" w:rsidR="002A5BEB" w:rsidRDefault="002853B2">
      <w:pPr>
        <w:pStyle w:val="TOC2"/>
        <w:rPr>
          <w:rFonts w:asciiTheme="minorHAnsi" w:eastAsiaTheme="minorEastAsia" w:hAnsiTheme="minorHAnsi" w:cstheme="minorBidi"/>
          <w:smallCaps w:val="0"/>
          <w:noProof/>
          <w:kern w:val="2"/>
          <w:sz w:val="24"/>
          <w:szCs w:val="24"/>
          <w:lang w:val="en-DE" w:eastAsia="en-DE"/>
          <w14:ligatures w14:val="standardContextual"/>
        </w:rPr>
      </w:pPr>
      <w:hyperlink w:anchor="_Toc180500274" w:history="1">
        <w:r w:rsidR="002A5BEB" w:rsidRPr="0048757C">
          <w:rPr>
            <w:rStyle w:val="Hyperlink"/>
            <w:noProof/>
          </w:rPr>
          <w:t>Matters for information</w:t>
        </w:r>
        <w:r w:rsidR="002A5BEB">
          <w:rPr>
            <w:noProof/>
            <w:webHidden/>
          </w:rPr>
          <w:tab/>
        </w:r>
        <w:r w:rsidR="002A5BEB">
          <w:rPr>
            <w:noProof/>
            <w:webHidden/>
          </w:rPr>
          <w:fldChar w:fldCharType="begin"/>
        </w:r>
        <w:r w:rsidR="002A5BEB">
          <w:rPr>
            <w:noProof/>
            <w:webHidden/>
          </w:rPr>
          <w:instrText xml:space="preserve"> PAGEREF _Toc180500274 \h </w:instrText>
        </w:r>
        <w:r w:rsidR="002A5BEB">
          <w:rPr>
            <w:noProof/>
            <w:webHidden/>
          </w:rPr>
        </w:r>
        <w:r w:rsidR="002A5BEB">
          <w:rPr>
            <w:noProof/>
            <w:webHidden/>
          </w:rPr>
          <w:fldChar w:fldCharType="separate"/>
        </w:r>
        <w:r w:rsidR="002A5BEB">
          <w:rPr>
            <w:noProof/>
            <w:webHidden/>
          </w:rPr>
          <w:t>6</w:t>
        </w:r>
        <w:r w:rsidR="002A5BEB">
          <w:rPr>
            <w:noProof/>
            <w:webHidden/>
          </w:rPr>
          <w:fldChar w:fldCharType="end"/>
        </w:r>
      </w:hyperlink>
    </w:p>
    <w:p w14:paraId="3E332D69" w14:textId="6E1B6FF7" w:rsidR="002A5BEB" w:rsidRDefault="002853B2">
      <w:pPr>
        <w:pStyle w:val="TOC1"/>
        <w:rPr>
          <w:rFonts w:asciiTheme="minorHAnsi" w:eastAsiaTheme="minorEastAsia" w:hAnsiTheme="minorHAnsi" w:cstheme="minorBidi"/>
          <w:caps w:val="0"/>
          <w:noProof/>
          <w:kern w:val="2"/>
          <w:sz w:val="24"/>
          <w:szCs w:val="24"/>
          <w:lang w:val="en-DE" w:eastAsia="en-DE"/>
          <w14:ligatures w14:val="standardContextual"/>
        </w:rPr>
      </w:pPr>
      <w:hyperlink w:anchor="_Toc180500275" w:history="1">
        <w:r w:rsidR="002A5BEB" w:rsidRPr="0048757C">
          <w:rPr>
            <w:rStyle w:val="Hyperlink"/>
            <w:noProof/>
          </w:rPr>
          <w:t>TWP workshops and webinars</w:t>
        </w:r>
        <w:r w:rsidR="002A5BEB">
          <w:rPr>
            <w:noProof/>
            <w:webHidden/>
          </w:rPr>
          <w:tab/>
        </w:r>
        <w:r w:rsidR="002A5BEB">
          <w:rPr>
            <w:noProof/>
            <w:webHidden/>
          </w:rPr>
          <w:fldChar w:fldCharType="begin"/>
        </w:r>
        <w:r w:rsidR="002A5BEB">
          <w:rPr>
            <w:noProof/>
            <w:webHidden/>
          </w:rPr>
          <w:instrText xml:space="preserve"> PAGEREF _Toc180500275 \h </w:instrText>
        </w:r>
        <w:r w:rsidR="002A5BEB">
          <w:rPr>
            <w:noProof/>
            <w:webHidden/>
          </w:rPr>
        </w:r>
        <w:r w:rsidR="002A5BEB">
          <w:rPr>
            <w:noProof/>
            <w:webHidden/>
          </w:rPr>
          <w:fldChar w:fldCharType="separate"/>
        </w:r>
        <w:r w:rsidR="002A5BEB">
          <w:rPr>
            <w:noProof/>
            <w:webHidden/>
          </w:rPr>
          <w:t>6</w:t>
        </w:r>
        <w:r w:rsidR="002A5BEB">
          <w:rPr>
            <w:noProof/>
            <w:webHidden/>
          </w:rPr>
          <w:fldChar w:fldCharType="end"/>
        </w:r>
      </w:hyperlink>
    </w:p>
    <w:p w14:paraId="4C61DBBA" w14:textId="53730D2A" w:rsidR="002A5BEB" w:rsidRDefault="002853B2">
      <w:pPr>
        <w:pStyle w:val="TOC1"/>
        <w:rPr>
          <w:rFonts w:asciiTheme="minorHAnsi" w:eastAsiaTheme="minorEastAsia" w:hAnsiTheme="minorHAnsi" w:cstheme="minorBidi"/>
          <w:caps w:val="0"/>
          <w:noProof/>
          <w:kern w:val="2"/>
          <w:sz w:val="24"/>
          <w:szCs w:val="24"/>
          <w:lang w:val="en-DE" w:eastAsia="en-DE"/>
          <w14:ligatures w14:val="standardContextual"/>
        </w:rPr>
      </w:pPr>
      <w:hyperlink w:anchor="_Toc180500276" w:history="1">
        <w:r w:rsidR="002A5BEB" w:rsidRPr="0048757C">
          <w:rPr>
            <w:rStyle w:val="Hyperlink"/>
            <w:noProof/>
          </w:rPr>
          <w:t>Discussion on disease resistance characteristics in DUS examination</w:t>
        </w:r>
        <w:r w:rsidR="002A5BEB">
          <w:rPr>
            <w:noProof/>
            <w:webHidden/>
          </w:rPr>
          <w:tab/>
        </w:r>
        <w:r w:rsidR="002A5BEB">
          <w:rPr>
            <w:noProof/>
            <w:webHidden/>
          </w:rPr>
          <w:fldChar w:fldCharType="begin"/>
        </w:r>
        <w:r w:rsidR="002A5BEB">
          <w:rPr>
            <w:noProof/>
            <w:webHidden/>
          </w:rPr>
          <w:instrText xml:space="preserve"> PAGEREF _Toc180500276 \h </w:instrText>
        </w:r>
        <w:r w:rsidR="002A5BEB">
          <w:rPr>
            <w:noProof/>
            <w:webHidden/>
          </w:rPr>
        </w:r>
        <w:r w:rsidR="002A5BEB">
          <w:rPr>
            <w:noProof/>
            <w:webHidden/>
          </w:rPr>
          <w:fldChar w:fldCharType="separate"/>
        </w:r>
        <w:r w:rsidR="002A5BEB">
          <w:rPr>
            <w:noProof/>
            <w:webHidden/>
          </w:rPr>
          <w:t>6</w:t>
        </w:r>
        <w:r w:rsidR="002A5BEB">
          <w:rPr>
            <w:noProof/>
            <w:webHidden/>
          </w:rPr>
          <w:fldChar w:fldCharType="end"/>
        </w:r>
      </w:hyperlink>
    </w:p>
    <w:p w14:paraId="61374C74" w14:textId="756BDC99" w:rsidR="002A5BEB" w:rsidRDefault="002853B2">
      <w:pPr>
        <w:pStyle w:val="TOC1"/>
        <w:rPr>
          <w:rFonts w:asciiTheme="minorHAnsi" w:eastAsiaTheme="minorEastAsia" w:hAnsiTheme="minorHAnsi" w:cstheme="minorBidi"/>
          <w:caps w:val="0"/>
          <w:noProof/>
          <w:kern w:val="2"/>
          <w:sz w:val="24"/>
          <w:szCs w:val="24"/>
          <w:lang w:val="en-DE" w:eastAsia="en-DE"/>
          <w14:ligatures w14:val="standardContextual"/>
        </w:rPr>
      </w:pPr>
      <w:hyperlink w:anchor="_Toc180500277" w:history="1">
        <w:r w:rsidR="002A5BEB" w:rsidRPr="0048757C">
          <w:rPr>
            <w:rStyle w:val="Hyperlink"/>
            <w:noProof/>
          </w:rPr>
          <w:t>Matters for information</w:t>
        </w:r>
        <w:r w:rsidR="002A5BEB">
          <w:rPr>
            <w:noProof/>
            <w:webHidden/>
          </w:rPr>
          <w:tab/>
        </w:r>
        <w:r w:rsidR="002A5BEB">
          <w:rPr>
            <w:noProof/>
            <w:webHidden/>
          </w:rPr>
          <w:fldChar w:fldCharType="begin"/>
        </w:r>
        <w:r w:rsidR="002A5BEB">
          <w:rPr>
            <w:noProof/>
            <w:webHidden/>
          </w:rPr>
          <w:instrText xml:space="preserve"> PAGEREF _Toc180500277 \h </w:instrText>
        </w:r>
        <w:r w:rsidR="002A5BEB">
          <w:rPr>
            <w:noProof/>
            <w:webHidden/>
          </w:rPr>
        </w:r>
        <w:r w:rsidR="002A5BEB">
          <w:rPr>
            <w:noProof/>
            <w:webHidden/>
          </w:rPr>
          <w:fldChar w:fldCharType="separate"/>
        </w:r>
        <w:r w:rsidR="002A5BEB">
          <w:rPr>
            <w:noProof/>
            <w:webHidden/>
          </w:rPr>
          <w:t>7</w:t>
        </w:r>
        <w:r w:rsidR="002A5BEB">
          <w:rPr>
            <w:noProof/>
            <w:webHidden/>
          </w:rPr>
          <w:fldChar w:fldCharType="end"/>
        </w:r>
      </w:hyperlink>
    </w:p>
    <w:p w14:paraId="217CEED6" w14:textId="357211BF" w:rsidR="002A5BEB" w:rsidRDefault="002853B2">
      <w:pPr>
        <w:pStyle w:val="TOC1"/>
        <w:rPr>
          <w:rFonts w:asciiTheme="minorHAnsi" w:eastAsiaTheme="minorEastAsia" w:hAnsiTheme="minorHAnsi" w:cstheme="minorBidi"/>
          <w:caps w:val="0"/>
          <w:noProof/>
          <w:kern w:val="2"/>
          <w:sz w:val="24"/>
          <w:szCs w:val="24"/>
          <w:lang w:val="en-DE" w:eastAsia="en-DE"/>
          <w14:ligatures w14:val="standardContextual"/>
        </w:rPr>
      </w:pPr>
      <w:hyperlink w:anchor="_Toc180500278" w:history="1">
        <w:r w:rsidR="002A5BEB" w:rsidRPr="0048757C">
          <w:rPr>
            <w:rStyle w:val="Hyperlink"/>
            <w:noProof/>
          </w:rPr>
          <w:t>Program of work for the Enlarged Editorial Committee (TC-EDC)</w:t>
        </w:r>
        <w:r w:rsidR="002A5BEB">
          <w:rPr>
            <w:noProof/>
            <w:webHidden/>
          </w:rPr>
          <w:tab/>
        </w:r>
        <w:r w:rsidR="002A5BEB">
          <w:rPr>
            <w:noProof/>
            <w:webHidden/>
          </w:rPr>
          <w:fldChar w:fldCharType="begin"/>
        </w:r>
        <w:r w:rsidR="002A5BEB">
          <w:rPr>
            <w:noProof/>
            <w:webHidden/>
          </w:rPr>
          <w:instrText xml:space="preserve"> PAGEREF _Toc180500278 \h </w:instrText>
        </w:r>
        <w:r w:rsidR="002A5BEB">
          <w:rPr>
            <w:noProof/>
            <w:webHidden/>
          </w:rPr>
        </w:r>
        <w:r w:rsidR="002A5BEB">
          <w:rPr>
            <w:noProof/>
            <w:webHidden/>
          </w:rPr>
          <w:fldChar w:fldCharType="separate"/>
        </w:r>
        <w:r w:rsidR="002A5BEB">
          <w:rPr>
            <w:noProof/>
            <w:webHidden/>
          </w:rPr>
          <w:t>7</w:t>
        </w:r>
        <w:r w:rsidR="002A5BEB">
          <w:rPr>
            <w:noProof/>
            <w:webHidden/>
          </w:rPr>
          <w:fldChar w:fldCharType="end"/>
        </w:r>
      </w:hyperlink>
    </w:p>
    <w:p w14:paraId="50E34269" w14:textId="33381351" w:rsidR="002A5BEB" w:rsidRDefault="002853B2">
      <w:pPr>
        <w:pStyle w:val="TOC1"/>
        <w:rPr>
          <w:rFonts w:asciiTheme="minorHAnsi" w:eastAsiaTheme="minorEastAsia" w:hAnsiTheme="minorHAnsi" w:cstheme="minorBidi"/>
          <w:caps w:val="0"/>
          <w:noProof/>
          <w:kern w:val="2"/>
          <w:sz w:val="24"/>
          <w:szCs w:val="24"/>
          <w:lang w:val="en-DE" w:eastAsia="en-DE"/>
          <w14:ligatures w14:val="standardContextual"/>
        </w:rPr>
      </w:pPr>
      <w:hyperlink w:anchor="_Toc180500279" w:history="1">
        <w:r w:rsidR="002A5BEB" w:rsidRPr="0048757C">
          <w:rPr>
            <w:rStyle w:val="Hyperlink"/>
            <w:noProof/>
          </w:rPr>
          <w:t>Program for the sixty-first session</w:t>
        </w:r>
        <w:r w:rsidR="002A5BEB">
          <w:rPr>
            <w:noProof/>
            <w:webHidden/>
          </w:rPr>
          <w:tab/>
        </w:r>
        <w:r w:rsidR="002A5BEB">
          <w:rPr>
            <w:noProof/>
            <w:webHidden/>
          </w:rPr>
          <w:fldChar w:fldCharType="begin"/>
        </w:r>
        <w:r w:rsidR="002A5BEB">
          <w:rPr>
            <w:noProof/>
            <w:webHidden/>
          </w:rPr>
          <w:instrText xml:space="preserve"> PAGEREF _Toc180500279 \h </w:instrText>
        </w:r>
        <w:r w:rsidR="002A5BEB">
          <w:rPr>
            <w:noProof/>
            <w:webHidden/>
          </w:rPr>
        </w:r>
        <w:r w:rsidR="002A5BEB">
          <w:rPr>
            <w:noProof/>
            <w:webHidden/>
          </w:rPr>
          <w:fldChar w:fldCharType="separate"/>
        </w:r>
        <w:r w:rsidR="002A5BEB">
          <w:rPr>
            <w:noProof/>
            <w:webHidden/>
          </w:rPr>
          <w:t>7</w:t>
        </w:r>
        <w:r w:rsidR="002A5BEB">
          <w:rPr>
            <w:noProof/>
            <w:webHidden/>
          </w:rPr>
          <w:fldChar w:fldCharType="end"/>
        </w:r>
      </w:hyperlink>
    </w:p>
    <w:p w14:paraId="01800687" w14:textId="3977989A" w:rsidR="00920388" w:rsidRPr="00E5622D" w:rsidRDefault="00920388" w:rsidP="00920388">
      <w:r>
        <w:fldChar w:fldCharType="end"/>
      </w:r>
    </w:p>
    <w:p w14:paraId="27871122" w14:textId="77777777" w:rsidR="00920388" w:rsidRPr="00E5622D" w:rsidRDefault="00920388" w:rsidP="00920388">
      <w:pPr>
        <w:keepNext/>
        <w:rPr>
          <w:rFonts w:cs="Arial"/>
        </w:rPr>
      </w:pPr>
      <w:r w:rsidRPr="00E5622D">
        <w:rPr>
          <w:rFonts w:cs="Arial"/>
        </w:rPr>
        <w:fldChar w:fldCharType="begin"/>
      </w:r>
      <w:r w:rsidRPr="00E5622D">
        <w:rPr>
          <w:rFonts w:cs="Arial"/>
        </w:rPr>
        <w:instrText xml:space="preserve"> AUTONUM  </w:instrText>
      </w:r>
      <w:r w:rsidRPr="00E5622D">
        <w:rPr>
          <w:rFonts w:cs="Arial"/>
        </w:rPr>
        <w:fldChar w:fldCharType="end"/>
      </w:r>
      <w:r w:rsidRPr="00E5622D">
        <w:rPr>
          <w:rFonts w:cs="Arial"/>
        </w:rPr>
        <w:tab/>
        <w:t>The following abbreviations are used in this document:</w:t>
      </w:r>
    </w:p>
    <w:p w14:paraId="03A8FFA7" w14:textId="77777777" w:rsidR="00920388" w:rsidRPr="00E5622D" w:rsidRDefault="00920388" w:rsidP="00920388">
      <w:pPr>
        <w:keepNext/>
        <w:ind w:left="1701" w:hanging="1134"/>
        <w:rPr>
          <w:rFonts w:cs="Arial"/>
        </w:rPr>
      </w:pPr>
    </w:p>
    <w:p w14:paraId="05644E6D" w14:textId="77777777" w:rsidR="00920388" w:rsidRPr="00E5622D" w:rsidRDefault="00920388" w:rsidP="00920388">
      <w:pPr>
        <w:keepNext/>
        <w:ind w:left="1701" w:hanging="1134"/>
        <w:rPr>
          <w:rFonts w:cs="Arial"/>
        </w:rPr>
      </w:pPr>
      <w:r w:rsidRPr="00E5622D">
        <w:rPr>
          <w:rFonts w:cs="Arial"/>
        </w:rPr>
        <w:t>CAJ:</w:t>
      </w:r>
      <w:r w:rsidRPr="00E5622D">
        <w:rPr>
          <w:rFonts w:cs="Arial"/>
        </w:rPr>
        <w:tab/>
        <w:t>Administrative and Legal Committee</w:t>
      </w:r>
    </w:p>
    <w:p w14:paraId="74214F86" w14:textId="77777777" w:rsidR="00920388" w:rsidRPr="00E5622D" w:rsidRDefault="00920388" w:rsidP="00920388">
      <w:pPr>
        <w:keepNext/>
        <w:ind w:left="1701" w:hanging="1134"/>
        <w:rPr>
          <w:rFonts w:cs="Arial"/>
        </w:rPr>
      </w:pPr>
      <w:r w:rsidRPr="00E5622D">
        <w:rPr>
          <w:rFonts w:cs="Arial"/>
        </w:rPr>
        <w:t xml:space="preserve">TC:  </w:t>
      </w:r>
      <w:r w:rsidRPr="00E5622D">
        <w:rPr>
          <w:rFonts w:cs="Arial"/>
        </w:rPr>
        <w:tab/>
        <w:t>Technical Committee</w:t>
      </w:r>
    </w:p>
    <w:p w14:paraId="3CF4B869" w14:textId="77777777" w:rsidR="00920388" w:rsidRPr="00E5622D" w:rsidRDefault="00920388" w:rsidP="00920388">
      <w:pPr>
        <w:ind w:left="1701" w:hanging="1134"/>
        <w:rPr>
          <w:rFonts w:cs="Arial"/>
        </w:rPr>
      </w:pPr>
      <w:r w:rsidRPr="00E5622D">
        <w:rPr>
          <w:rFonts w:cs="Arial"/>
        </w:rPr>
        <w:t xml:space="preserve">TC-EDC:  </w:t>
      </w:r>
      <w:r w:rsidRPr="00E5622D">
        <w:rPr>
          <w:rFonts w:cs="Arial"/>
        </w:rPr>
        <w:tab/>
        <w:t>Enlarged Editorial Committee</w:t>
      </w:r>
    </w:p>
    <w:p w14:paraId="13536598" w14:textId="77777777" w:rsidR="00920388" w:rsidRPr="00E5622D" w:rsidRDefault="00920388" w:rsidP="00920388">
      <w:pPr>
        <w:ind w:left="1701" w:hanging="1134"/>
        <w:rPr>
          <w:rFonts w:cs="Arial"/>
        </w:rPr>
      </w:pPr>
      <w:r w:rsidRPr="00E5622D">
        <w:rPr>
          <w:rFonts w:cs="Arial"/>
        </w:rPr>
        <w:t xml:space="preserve">TWA:  </w:t>
      </w:r>
      <w:r w:rsidRPr="00E5622D">
        <w:rPr>
          <w:rFonts w:cs="Arial"/>
        </w:rPr>
        <w:tab/>
        <w:t>Technical Working Party for Agricultural Crops</w:t>
      </w:r>
    </w:p>
    <w:p w14:paraId="016D3CB5" w14:textId="77777777" w:rsidR="00920388" w:rsidRPr="00E5622D" w:rsidRDefault="00920388" w:rsidP="00920388">
      <w:pPr>
        <w:ind w:left="1701" w:hanging="1134"/>
        <w:rPr>
          <w:rFonts w:cs="Arial"/>
        </w:rPr>
      </w:pPr>
      <w:r w:rsidRPr="00E5622D">
        <w:rPr>
          <w:rFonts w:cs="Arial"/>
        </w:rPr>
        <w:t xml:space="preserve">TWF:  </w:t>
      </w:r>
      <w:r w:rsidRPr="00E5622D">
        <w:rPr>
          <w:rFonts w:cs="Arial"/>
        </w:rPr>
        <w:tab/>
        <w:t xml:space="preserve">Technical Working Party for Fruit Crops </w:t>
      </w:r>
    </w:p>
    <w:p w14:paraId="56BE9FFA" w14:textId="77777777" w:rsidR="00920388" w:rsidRPr="00E5622D" w:rsidRDefault="00920388" w:rsidP="00920388">
      <w:pPr>
        <w:ind w:left="1701" w:hanging="1134"/>
        <w:rPr>
          <w:rFonts w:cs="Arial"/>
        </w:rPr>
      </w:pPr>
      <w:r w:rsidRPr="00E5622D">
        <w:rPr>
          <w:rFonts w:cs="Arial"/>
        </w:rPr>
        <w:t>TWM:</w:t>
      </w:r>
      <w:r w:rsidRPr="00E5622D">
        <w:rPr>
          <w:rFonts w:cs="Arial"/>
        </w:rPr>
        <w:tab/>
        <w:t>Technical Working Party on Testing Methods and Techniques</w:t>
      </w:r>
    </w:p>
    <w:p w14:paraId="6A0C2AD0" w14:textId="77777777" w:rsidR="00920388" w:rsidRPr="00E5622D" w:rsidRDefault="00920388" w:rsidP="00920388">
      <w:pPr>
        <w:ind w:left="1701" w:hanging="1134"/>
        <w:rPr>
          <w:rFonts w:cs="Arial"/>
        </w:rPr>
      </w:pPr>
      <w:r w:rsidRPr="00E5622D">
        <w:rPr>
          <w:rFonts w:cs="Arial"/>
        </w:rPr>
        <w:t xml:space="preserve">TWO:  </w:t>
      </w:r>
      <w:r w:rsidRPr="00E5622D">
        <w:rPr>
          <w:rFonts w:cs="Arial"/>
        </w:rPr>
        <w:tab/>
        <w:t xml:space="preserve">Technical Working Party for Ornamental Plants and Forest Trees </w:t>
      </w:r>
    </w:p>
    <w:p w14:paraId="6FD34F91" w14:textId="77777777" w:rsidR="00920388" w:rsidRPr="00E5622D" w:rsidRDefault="00920388" w:rsidP="00920388">
      <w:pPr>
        <w:ind w:left="1701" w:hanging="1134"/>
        <w:rPr>
          <w:rFonts w:cs="Arial"/>
        </w:rPr>
      </w:pPr>
      <w:r w:rsidRPr="00E5622D">
        <w:rPr>
          <w:rFonts w:cs="Arial"/>
        </w:rPr>
        <w:t xml:space="preserve">TWV:  </w:t>
      </w:r>
      <w:r w:rsidRPr="00E5622D">
        <w:rPr>
          <w:rFonts w:cs="Arial"/>
        </w:rPr>
        <w:tab/>
        <w:t>Technical Working Party for Vegetables</w:t>
      </w:r>
    </w:p>
    <w:p w14:paraId="18A05DFF" w14:textId="77777777" w:rsidR="00920388" w:rsidRPr="00E5622D" w:rsidRDefault="00920388" w:rsidP="00920388">
      <w:pPr>
        <w:ind w:left="1701" w:hanging="1134"/>
        <w:rPr>
          <w:rFonts w:cs="Arial"/>
          <w:color w:val="000000"/>
        </w:rPr>
      </w:pPr>
      <w:r w:rsidRPr="00E5622D">
        <w:rPr>
          <w:rFonts w:cs="Arial"/>
          <w:color w:val="000000"/>
        </w:rPr>
        <w:t>TWPs:</w:t>
      </w:r>
      <w:r w:rsidRPr="00E5622D">
        <w:rPr>
          <w:rFonts w:cs="Arial"/>
          <w:color w:val="000000"/>
        </w:rPr>
        <w:tab/>
        <w:t xml:space="preserve">Technical Working Parties </w:t>
      </w:r>
    </w:p>
    <w:p w14:paraId="5B42BDE7" w14:textId="77777777" w:rsidR="00920388" w:rsidRDefault="00920388" w:rsidP="00920388">
      <w:pPr>
        <w:rPr>
          <w:lang w:eastAsia="ja-JP"/>
        </w:rPr>
      </w:pPr>
    </w:p>
    <w:p w14:paraId="67566E68" w14:textId="77777777" w:rsidR="00C65CFB" w:rsidRPr="00E5622D" w:rsidRDefault="00C65CFB" w:rsidP="00920388">
      <w:pPr>
        <w:rPr>
          <w:lang w:eastAsia="ja-JP"/>
        </w:rPr>
      </w:pPr>
    </w:p>
    <w:p w14:paraId="2DA5F822" w14:textId="77777777" w:rsidR="00391060" w:rsidRPr="00DC1D06" w:rsidRDefault="00391060" w:rsidP="00391060">
      <w:pPr>
        <w:pStyle w:val="Heading1"/>
      </w:pPr>
      <w:bookmarkStart w:id="2" w:name="_Toc180500251"/>
      <w:r w:rsidRPr="00DC1D06">
        <w:t>Development of guidance and documents proposed for adoption by the Council</w:t>
      </w:r>
      <w:bookmarkEnd w:id="2"/>
    </w:p>
    <w:p w14:paraId="532D040C" w14:textId="77777777" w:rsidR="00391060" w:rsidRPr="00DC1D06" w:rsidRDefault="00391060" w:rsidP="00391060">
      <w:pPr>
        <w:jc w:val="left"/>
      </w:pPr>
    </w:p>
    <w:p w14:paraId="01011615" w14:textId="77777777" w:rsidR="00391060" w:rsidRPr="00DC1D06" w:rsidRDefault="00391060" w:rsidP="00391060">
      <w:pPr>
        <w:jc w:val="left"/>
      </w:pPr>
      <w:r w:rsidRPr="00DC1D06">
        <w:fldChar w:fldCharType="begin"/>
      </w:r>
      <w:r w:rsidRPr="00DC1D06">
        <w:instrText xml:space="preserve"> AUTONUM  </w:instrText>
      </w:r>
      <w:r w:rsidRPr="00DC1D06">
        <w:fldChar w:fldCharType="end"/>
      </w:r>
      <w:r w:rsidRPr="00DC1D06">
        <w:tab/>
        <w:t>The TC considered document SESSIONS/2024/2.</w:t>
      </w:r>
    </w:p>
    <w:p w14:paraId="21B8CF50" w14:textId="77777777" w:rsidR="00391060" w:rsidRPr="00DC1D06" w:rsidRDefault="00391060" w:rsidP="00391060">
      <w:pPr>
        <w:jc w:val="left"/>
      </w:pPr>
    </w:p>
    <w:p w14:paraId="49F605EE" w14:textId="77777777" w:rsidR="00391060" w:rsidRPr="00DC1D06" w:rsidRDefault="00391060" w:rsidP="00391060">
      <w:pPr>
        <w:pStyle w:val="Heading2"/>
      </w:pPr>
      <w:bookmarkStart w:id="3" w:name="_Toc180500252"/>
      <w:r w:rsidRPr="00DC1D06">
        <w:t>Matters for adoption by the Council in 2023</w:t>
      </w:r>
      <w:bookmarkEnd w:id="3"/>
    </w:p>
    <w:p w14:paraId="7E4E66F1" w14:textId="77777777" w:rsidR="00391060" w:rsidRPr="00DC1D06" w:rsidRDefault="00391060" w:rsidP="00391060"/>
    <w:p w14:paraId="20D02E3A" w14:textId="77777777" w:rsidR="00391060" w:rsidRPr="00DC1D06" w:rsidRDefault="00391060" w:rsidP="00391060">
      <w:pPr>
        <w:pStyle w:val="Heading3"/>
      </w:pPr>
      <w:bookmarkStart w:id="4" w:name="_Toc176335721"/>
      <w:bookmarkStart w:id="5" w:name="_Toc180500253"/>
      <w:r w:rsidRPr="00DC1D06">
        <w:t>Documents for adoption by the Council, subject to agreement by the TC and the CAJ</w:t>
      </w:r>
      <w:bookmarkEnd w:id="4"/>
      <w:bookmarkEnd w:id="5"/>
    </w:p>
    <w:p w14:paraId="6D8A3884" w14:textId="77777777" w:rsidR="00391060" w:rsidRPr="00DC1D06" w:rsidRDefault="00391060" w:rsidP="00391060"/>
    <w:p w14:paraId="6AA70ACC" w14:textId="77777777" w:rsidR="00391060" w:rsidRPr="00DC1D06" w:rsidRDefault="00391060" w:rsidP="00391060">
      <w:pPr>
        <w:pStyle w:val="Heading4"/>
      </w:pPr>
      <w:bookmarkStart w:id="6" w:name="_Toc176335722"/>
      <w:r w:rsidRPr="00DC1D06">
        <w:t xml:space="preserve">UPOV/INF/16: Exchangeable Software (Revision) </w:t>
      </w:r>
      <w:bookmarkEnd w:id="6"/>
    </w:p>
    <w:p w14:paraId="25563536" w14:textId="77777777" w:rsidR="00391060" w:rsidRPr="00DC1D06" w:rsidRDefault="00391060" w:rsidP="00391060"/>
    <w:p w14:paraId="7744312E" w14:textId="77777777" w:rsidR="00391060" w:rsidRPr="00DC1D06" w:rsidRDefault="00391060" w:rsidP="00391060">
      <w:r w:rsidRPr="00DC1D06">
        <w:fldChar w:fldCharType="begin"/>
      </w:r>
      <w:r w:rsidRPr="00DC1D06">
        <w:instrText xml:space="preserve"> AUTONUM  </w:instrText>
      </w:r>
      <w:r w:rsidRPr="00DC1D06">
        <w:fldChar w:fldCharType="end"/>
      </w:r>
      <w:r w:rsidRPr="00DC1D06">
        <w:tab/>
        <w:t xml:space="preserve">The TC agreed to propose the revision of document UPOV/INF/16 “Exchangeable Software” on the basis of document </w:t>
      </w:r>
      <w:r w:rsidRPr="00DC1D06">
        <w:rPr>
          <w:snapToGrid w:val="0"/>
        </w:rPr>
        <w:t>UPOV/INF/16/13 Draft 1</w:t>
      </w:r>
      <w:r w:rsidRPr="00DC1D06">
        <w:t>.</w:t>
      </w:r>
    </w:p>
    <w:p w14:paraId="0E1FA661" w14:textId="77777777" w:rsidR="00391060" w:rsidRPr="00DC1D06" w:rsidRDefault="00391060" w:rsidP="00391060"/>
    <w:p w14:paraId="6F3E83AB" w14:textId="77777777" w:rsidR="00391060" w:rsidRPr="00DC1D06" w:rsidRDefault="00391060" w:rsidP="00391060">
      <w:pPr>
        <w:pStyle w:val="Heading4"/>
      </w:pPr>
      <w:bookmarkStart w:id="7" w:name="_Toc176335724"/>
      <w:r w:rsidRPr="00DC1D06">
        <w:t>UPOV/INF/22: Software and Equipment Used by Members of the Union (Revision)</w:t>
      </w:r>
      <w:bookmarkEnd w:id="7"/>
    </w:p>
    <w:p w14:paraId="4C4E2C4F" w14:textId="77777777" w:rsidR="00391060" w:rsidRPr="00DC1D06" w:rsidRDefault="00391060" w:rsidP="00391060">
      <w:r w:rsidRPr="00DC1D06">
        <w:t xml:space="preserve"> </w:t>
      </w:r>
    </w:p>
    <w:p w14:paraId="6E06AFD5" w14:textId="77777777" w:rsidR="00391060" w:rsidRPr="00DC1D06" w:rsidRDefault="00391060" w:rsidP="00391060">
      <w:r w:rsidRPr="00DC1D06">
        <w:fldChar w:fldCharType="begin"/>
      </w:r>
      <w:r w:rsidRPr="00DC1D06">
        <w:instrText xml:space="preserve"> AUTONUM  </w:instrText>
      </w:r>
      <w:r w:rsidRPr="00DC1D06">
        <w:fldChar w:fldCharType="end"/>
      </w:r>
      <w:r w:rsidRPr="00DC1D06">
        <w:tab/>
        <w:t>The TC agreed to propose the revision of document UPOV/INF/22 “Software and Equipment Used by Members of the Union” on the basis of document UPOV/INF/22/11 Draft 1.</w:t>
      </w:r>
    </w:p>
    <w:p w14:paraId="1194761E" w14:textId="77777777" w:rsidR="00391060" w:rsidRPr="00DC1D06" w:rsidRDefault="00391060" w:rsidP="00391060"/>
    <w:p w14:paraId="07841A91" w14:textId="77777777" w:rsidR="00391060" w:rsidRPr="00DC1D06" w:rsidRDefault="00391060" w:rsidP="00391060">
      <w:pPr>
        <w:pStyle w:val="Heading4"/>
      </w:pPr>
      <w:bookmarkStart w:id="8" w:name="_Toc176335725"/>
      <w:r w:rsidRPr="00DC1D06">
        <w:t>UPOV/EXN/DEN: Explanatory Notes on Variety Denominations under the UPOV Convention (Revision)</w:t>
      </w:r>
      <w:bookmarkEnd w:id="8"/>
      <w:r w:rsidRPr="00DC1D06">
        <w:t xml:space="preserve">: </w:t>
      </w:r>
      <w:bookmarkStart w:id="9" w:name="_Toc176335726"/>
      <w:r w:rsidRPr="00DC1D06">
        <w:t xml:space="preserve">New variety denomination classes for </w:t>
      </w:r>
      <w:r w:rsidRPr="00DC1D06">
        <w:rPr>
          <w:iCs/>
        </w:rPr>
        <w:t>Prunus</w:t>
      </w:r>
      <w:r w:rsidRPr="00DC1D06">
        <w:t xml:space="preserve"> and situations when a denomination should be compared with other classes within a genus</w:t>
      </w:r>
      <w:bookmarkEnd w:id="9"/>
    </w:p>
    <w:p w14:paraId="71FBF2F5" w14:textId="77777777" w:rsidR="00391060" w:rsidRPr="00DC1D06" w:rsidRDefault="00391060" w:rsidP="00391060"/>
    <w:p w14:paraId="69A48960" w14:textId="77777777" w:rsidR="00391060" w:rsidRPr="00DC1D06" w:rsidRDefault="00391060" w:rsidP="00391060">
      <w:pPr>
        <w:rPr>
          <w:spacing w:val="-2"/>
        </w:rPr>
      </w:pPr>
      <w:r w:rsidRPr="00DC1D06">
        <w:fldChar w:fldCharType="begin"/>
      </w:r>
      <w:r w:rsidRPr="00DC1D06">
        <w:instrText xml:space="preserve"> AUTONUM  </w:instrText>
      </w:r>
      <w:r w:rsidRPr="00DC1D06">
        <w:fldChar w:fldCharType="end"/>
      </w:r>
      <w:r w:rsidRPr="00DC1D06">
        <w:tab/>
        <w:t xml:space="preserve">The TC agreed to propose the revision of document UPOV/EXN/DEN/3 “Explanatory Notes on Variety Denominations under the UPOV Convention” (document UPOV/EXN/DEN/4), on the basis of the proposed revisions presented in document SESSIONS/2024/2, </w:t>
      </w:r>
      <w:r w:rsidRPr="00DC1D06">
        <w:rPr>
          <w:spacing w:val="-2"/>
        </w:rPr>
        <w:t>Annex I, section “</w:t>
      </w:r>
      <w:r w:rsidRPr="00DC1D06">
        <w:t xml:space="preserve">Proposal: New </w:t>
      </w:r>
      <w:r w:rsidRPr="00DC1D06">
        <w:rPr>
          <w:spacing w:val="-2"/>
        </w:rPr>
        <w:t xml:space="preserve">variety denomination classes for </w:t>
      </w:r>
      <w:r w:rsidRPr="00DC1D06">
        <w:rPr>
          <w:iCs/>
          <w:spacing w:val="-2"/>
        </w:rPr>
        <w:t>Prunus</w:t>
      </w:r>
      <w:r w:rsidRPr="00DC1D06">
        <w:rPr>
          <w:spacing w:val="-2"/>
        </w:rPr>
        <w:t xml:space="preserve">”, with the following amendment </w:t>
      </w:r>
      <w:r w:rsidRPr="00DC1D06">
        <w:t xml:space="preserve">(additions indicated with highlighting and </w:t>
      </w:r>
      <w:r w:rsidRPr="00DC1D06">
        <w:rPr>
          <w:highlight w:val="lightGray"/>
          <w:u w:val="single"/>
        </w:rPr>
        <w:t>underline</w:t>
      </w:r>
      <w:r w:rsidRPr="00DC1D06">
        <w:t xml:space="preserve">; and deletions indicated with highlighting and </w:t>
      </w:r>
      <w:r w:rsidRPr="00DC1D06">
        <w:rPr>
          <w:strike/>
          <w:highlight w:val="lightGray"/>
        </w:rPr>
        <w:t>strikethrough</w:t>
      </w:r>
      <w:r w:rsidRPr="00DC1D06">
        <w:t>)</w:t>
      </w:r>
      <w:r w:rsidRPr="00DC1D06">
        <w:rPr>
          <w:spacing w:val="-2"/>
        </w:rPr>
        <w:t>:</w:t>
      </w:r>
    </w:p>
    <w:p w14:paraId="68372920" w14:textId="77777777" w:rsidR="00391060" w:rsidRPr="00DC1D06" w:rsidRDefault="00391060" w:rsidP="00391060">
      <w:pPr>
        <w:pStyle w:val="BasistekstNaktuinbouw"/>
        <w:ind w:left="567" w:right="567"/>
        <w:jc w:val="both"/>
        <w:rPr>
          <w:lang w:val="en-US"/>
        </w:rPr>
      </w:pPr>
    </w:p>
    <w:p w14:paraId="347F930C" w14:textId="0B28AD8C" w:rsidR="00391060" w:rsidRPr="00924FA8" w:rsidRDefault="00391060" w:rsidP="00391060">
      <w:pPr>
        <w:pStyle w:val="BasistekstNaktuinbouw"/>
        <w:ind w:left="567" w:right="567"/>
        <w:jc w:val="both"/>
        <w:rPr>
          <w:rFonts w:eastAsia="MS Mincho"/>
          <w:sz w:val="18"/>
          <w:szCs w:val="16"/>
          <w:highlight w:val="yellow"/>
          <w:lang w:val="en-US" w:eastAsia="ja-JP"/>
        </w:rPr>
      </w:pPr>
      <w:r w:rsidRPr="00924FA8">
        <w:rPr>
          <w:sz w:val="18"/>
          <w:szCs w:val="16"/>
          <w:lang w:val="en-US"/>
        </w:rPr>
        <w:t>“c)</w:t>
      </w:r>
      <w:r w:rsidRPr="00924FA8">
        <w:rPr>
          <w:sz w:val="18"/>
          <w:szCs w:val="16"/>
          <w:lang w:val="en-US"/>
        </w:rPr>
        <w:tab/>
      </w:r>
      <w:r w:rsidRPr="00924FA8">
        <w:rPr>
          <w:rFonts w:eastAsiaTheme="minorEastAsia"/>
          <w:sz w:val="18"/>
          <w:szCs w:val="16"/>
          <w:lang w:val="en-US"/>
        </w:rPr>
        <w:t xml:space="preserve">The </w:t>
      </w:r>
      <w:r w:rsidRPr="00924FA8">
        <w:rPr>
          <w:rFonts w:eastAsiaTheme="minorEastAsia"/>
          <w:strike/>
          <w:sz w:val="18"/>
          <w:szCs w:val="16"/>
          <w:highlight w:val="lightGray"/>
          <w:lang w:val="en-US"/>
        </w:rPr>
        <w:t>registered</w:t>
      </w:r>
      <w:r w:rsidRPr="00924FA8">
        <w:rPr>
          <w:rFonts w:eastAsiaTheme="minorEastAsia"/>
          <w:sz w:val="18"/>
          <w:szCs w:val="16"/>
          <w:lang w:val="en-US"/>
        </w:rPr>
        <w:t xml:space="preserve"> </w:t>
      </w:r>
      <w:r w:rsidRPr="00924FA8">
        <w:rPr>
          <w:rFonts w:eastAsiaTheme="minorEastAsia"/>
          <w:sz w:val="18"/>
          <w:szCs w:val="16"/>
          <w:highlight w:val="lightGray"/>
          <w:u w:val="single"/>
          <w:lang w:val="en-US"/>
        </w:rPr>
        <w:t>proposed</w:t>
      </w:r>
      <w:r w:rsidRPr="00924FA8">
        <w:rPr>
          <w:rFonts w:eastAsiaTheme="minorEastAsia"/>
          <w:sz w:val="18"/>
          <w:szCs w:val="16"/>
          <w:lang w:val="en-US"/>
        </w:rPr>
        <w:t xml:space="preserve"> denomination</w:t>
      </w:r>
      <w:r w:rsidRPr="00924FA8">
        <w:rPr>
          <w:rFonts w:eastAsiaTheme="minorEastAsia"/>
          <w:sz w:val="18"/>
          <w:szCs w:val="16"/>
          <w:highlight w:val="lightGray"/>
          <w:u w:val="single"/>
          <w:lang w:val="en-US"/>
        </w:rPr>
        <w:t>s</w:t>
      </w:r>
      <w:r w:rsidRPr="00924FA8">
        <w:rPr>
          <w:rFonts w:eastAsiaTheme="minorEastAsia"/>
          <w:sz w:val="18"/>
          <w:szCs w:val="16"/>
          <w:lang w:val="en-US"/>
        </w:rPr>
        <w:t xml:space="preserve"> of </w:t>
      </w:r>
      <w:r w:rsidRPr="00924FA8">
        <w:rPr>
          <w:rFonts w:eastAsiaTheme="minorEastAsia"/>
          <w:strike/>
          <w:sz w:val="18"/>
          <w:szCs w:val="16"/>
          <w:highlight w:val="lightGray"/>
          <w:lang w:val="en-US"/>
        </w:rPr>
        <w:t>an</w:t>
      </w:r>
      <w:r w:rsidRPr="00924FA8">
        <w:rPr>
          <w:rFonts w:eastAsiaTheme="minorEastAsia"/>
          <w:sz w:val="18"/>
          <w:szCs w:val="16"/>
          <w:lang w:val="en-US"/>
        </w:rPr>
        <w:t xml:space="preserve"> interspecific </w:t>
      </w:r>
      <w:proofErr w:type="gramStart"/>
      <w:r w:rsidRPr="00924FA8">
        <w:rPr>
          <w:rFonts w:eastAsiaTheme="minorEastAsia"/>
          <w:sz w:val="18"/>
          <w:szCs w:val="16"/>
          <w:lang w:val="en-US"/>
        </w:rPr>
        <w:t>hybrid</w:t>
      </w:r>
      <w:r w:rsidRPr="00924FA8">
        <w:rPr>
          <w:rFonts w:eastAsiaTheme="minorEastAsia"/>
          <w:sz w:val="18"/>
          <w:szCs w:val="16"/>
          <w:highlight w:val="lightGray"/>
          <w:u w:val="single"/>
          <w:lang w:val="en-US"/>
        </w:rPr>
        <w:t>s</w:t>
      </w:r>
      <w:proofErr w:type="gramEnd"/>
      <w:r w:rsidRPr="00924FA8">
        <w:rPr>
          <w:rFonts w:eastAsiaTheme="minorEastAsia"/>
          <w:sz w:val="18"/>
          <w:szCs w:val="16"/>
          <w:lang w:val="en-US"/>
        </w:rPr>
        <w:t xml:space="preserve"> </w:t>
      </w:r>
      <w:r w:rsidRPr="00924FA8">
        <w:rPr>
          <w:rFonts w:eastAsiaTheme="minorEastAsia"/>
          <w:strike/>
          <w:sz w:val="18"/>
          <w:szCs w:val="16"/>
          <w:highlight w:val="lightGray"/>
          <w:lang w:val="en-US"/>
        </w:rPr>
        <w:t>variety</w:t>
      </w:r>
      <w:r w:rsidRPr="00924FA8">
        <w:rPr>
          <w:rFonts w:eastAsiaTheme="minorEastAsia"/>
          <w:sz w:val="18"/>
          <w:szCs w:val="16"/>
          <w:lang w:val="en-US"/>
        </w:rPr>
        <w:t xml:space="preserve"> with parents from different classes within a genus should be </w:t>
      </w:r>
      <w:r w:rsidRPr="00924FA8">
        <w:rPr>
          <w:rFonts w:eastAsiaTheme="minorEastAsia"/>
          <w:sz w:val="18"/>
          <w:szCs w:val="16"/>
          <w:highlight w:val="lightGray"/>
          <w:u w:val="single"/>
          <w:lang w:val="en-US"/>
        </w:rPr>
        <w:t>different from</w:t>
      </w:r>
      <w:r w:rsidRPr="00924FA8">
        <w:rPr>
          <w:rFonts w:eastAsiaTheme="minorEastAsia"/>
          <w:sz w:val="18"/>
          <w:szCs w:val="16"/>
          <w:lang w:val="en-US"/>
        </w:rPr>
        <w:t xml:space="preserve"> </w:t>
      </w:r>
      <w:r w:rsidRPr="00924FA8">
        <w:rPr>
          <w:rFonts w:eastAsiaTheme="minorEastAsia"/>
          <w:strike/>
          <w:sz w:val="18"/>
          <w:szCs w:val="16"/>
          <w:highlight w:val="lightGray"/>
          <w:lang w:val="en-US"/>
        </w:rPr>
        <w:t>introduced</w:t>
      </w:r>
      <w:r w:rsidRPr="00924FA8">
        <w:rPr>
          <w:rFonts w:eastAsiaTheme="minorEastAsia"/>
          <w:sz w:val="18"/>
          <w:szCs w:val="16"/>
          <w:lang w:val="en-US"/>
        </w:rPr>
        <w:t xml:space="preserve"> </w:t>
      </w:r>
      <w:r w:rsidRPr="00924FA8">
        <w:rPr>
          <w:rFonts w:eastAsiaTheme="minorEastAsia"/>
          <w:sz w:val="18"/>
          <w:szCs w:val="16"/>
          <w:highlight w:val="lightGray"/>
          <w:u w:val="single"/>
          <w:lang w:val="en-US"/>
        </w:rPr>
        <w:t>denominations</w:t>
      </w:r>
      <w:r w:rsidRPr="00924FA8">
        <w:rPr>
          <w:rFonts w:eastAsiaTheme="minorEastAsia"/>
          <w:sz w:val="18"/>
          <w:szCs w:val="16"/>
          <w:lang w:val="en-US"/>
        </w:rPr>
        <w:t xml:space="preserve"> in </w:t>
      </w:r>
      <w:r w:rsidRPr="00924FA8">
        <w:rPr>
          <w:rFonts w:eastAsiaTheme="minorEastAsia"/>
          <w:strike/>
          <w:sz w:val="18"/>
          <w:szCs w:val="16"/>
          <w:highlight w:val="lightGray"/>
          <w:lang w:val="en-US"/>
        </w:rPr>
        <w:t>all</w:t>
      </w:r>
      <w:r w:rsidRPr="00924FA8">
        <w:rPr>
          <w:rFonts w:eastAsiaTheme="minorEastAsia"/>
          <w:sz w:val="18"/>
          <w:szCs w:val="16"/>
          <w:lang w:val="en-US"/>
        </w:rPr>
        <w:t xml:space="preserve"> the classes </w:t>
      </w:r>
      <w:r w:rsidRPr="00924FA8">
        <w:rPr>
          <w:rFonts w:eastAsiaTheme="minorEastAsia"/>
          <w:strike/>
          <w:sz w:val="18"/>
          <w:szCs w:val="16"/>
          <w:highlight w:val="lightGray"/>
          <w:lang w:val="en-US"/>
        </w:rPr>
        <w:t>within a genus</w:t>
      </w:r>
      <w:r w:rsidRPr="00924FA8">
        <w:rPr>
          <w:rFonts w:eastAsiaTheme="minorEastAsia"/>
          <w:sz w:val="18"/>
          <w:szCs w:val="16"/>
          <w:lang w:val="en-US"/>
        </w:rPr>
        <w:t xml:space="preserve"> of </w:t>
      </w:r>
      <w:r w:rsidRPr="00924FA8">
        <w:rPr>
          <w:rFonts w:eastAsiaTheme="minorEastAsia"/>
          <w:sz w:val="18"/>
          <w:szCs w:val="16"/>
          <w:highlight w:val="lightGray"/>
          <w:u w:val="single"/>
          <w:lang w:val="en-US"/>
        </w:rPr>
        <w:t>all</w:t>
      </w:r>
      <w:r w:rsidRPr="00924FA8">
        <w:rPr>
          <w:rFonts w:eastAsiaTheme="minorEastAsia"/>
          <w:sz w:val="18"/>
          <w:szCs w:val="16"/>
          <w:lang w:val="en-US"/>
        </w:rPr>
        <w:t xml:space="preserve"> the parent species.  The UPOV code for an interspecific hybrid variety with parents from different classes within a genus should be associated with the variety denomination classes of all the parent species.  </w:t>
      </w:r>
    </w:p>
    <w:p w14:paraId="1D3906D5" w14:textId="77777777" w:rsidR="00391060" w:rsidRPr="00DC1D06" w:rsidRDefault="00391060" w:rsidP="00391060">
      <w:pPr>
        <w:rPr>
          <w:spacing w:val="-2"/>
        </w:rPr>
      </w:pPr>
    </w:p>
    <w:p w14:paraId="2FC7DA31" w14:textId="77777777" w:rsidR="00391060" w:rsidRPr="00DC1D06" w:rsidRDefault="00391060" w:rsidP="00391060">
      <w:pPr>
        <w:pStyle w:val="Heading4"/>
      </w:pPr>
      <w:bookmarkStart w:id="10" w:name="_Toc176335727"/>
      <w:r w:rsidRPr="00DC1D06">
        <w:lastRenderedPageBreak/>
        <w:t>TGP/7: Development of Test Guidelines (Revision)</w:t>
      </w:r>
      <w:bookmarkEnd w:id="10"/>
      <w:r w:rsidRPr="00DC1D06">
        <w:t xml:space="preserve">: </w:t>
      </w:r>
      <w:bookmarkStart w:id="11" w:name="_Toc176335728"/>
      <w:r w:rsidRPr="00DC1D06">
        <w:t xml:space="preserve"> Additional Standard Wording (ASW) 3 “Explanation of the growing cycle”</w:t>
      </w:r>
      <w:bookmarkEnd w:id="11"/>
    </w:p>
    <w:p w14:paraId="210A6836" w14:textId="77777777" w:rsidR="00391060" w:rsidRPr="00DC1D06" w:rsidRDefault="00391060" w:rsidP="00391060">
      <w:pPr>
        <w:keepNext/>
      </w:pPr>
    </w:p>
    <w:p w14:paraId="274CB45D" w14:textId="77777777" w:rsidR="00391060" w:rsidRPr="00DC1D06" w:rsidRDefault="00391060" w:rsidP="00391060">
      <w:r w:rsidRPr="00DC1D06">
        <w:fldChar w:fldCharType="begin"/>
      </w:r>
      <w:r w:rsidRPr="00DC1D06">
        <w:instrText xml:space="preserve"> AUTONUM  </w:instrText>
      </w:r>
      <w:r w:rsidRPr="00DC1D06">
        <w:fldChar w:fldCharType="end"/>
      </w:r>
      <w:r w:rsidRPr="00DC1D06">
        <w:tab/>
        <w:t xml:space="preserve">The TC agreed to propose the revision of document TGP/7/9 “Development of Test Guidelines”, on the basis of the proposed amendments presented in document SESSIONS/2024/2, </w:t>
      </w:r>
      <w:r w:rsidRPr="00DC1D06">
        <w:rPr>
          <w:spacing w:val="-2"/>
        </w:rPr>
        <w:t>paragraph 20, and as reproduced as follows</w:t>
      </w:r>
      <w:r w:rsidRPr="00DC1D06">
        <w:t>:</w:t>
      </w:r>
    </w:p>
    <w:p w14:paraId="44B017F8" w14:textId="77777777" w:rsidR="00391060" w:rsidRPr="00DC1D06" w:rsidRDefault="00391060" w:rsidP="00391060"/>
    <w:p w14:paraId="32946A2C" w14:textId="77777777" w:rsidR="00391060" w:rsidRPr="00DC1D06" w:rsidRDefault="00391060" w:rsidP="00391060">
      <w:pPr>
        <w:keepNext/>
        <w:tabs>
          <w:tab w:val="left" w:pos="1134"/>
        </w:tabs>
        <w:ind w:left="567" w:right="567"/>
        <w:contextualSpacing/>
        <w:rPr>
          <w:sz w:val="18"/>
          <w:szCs w:val="18"/>
        </w:rPr>
      </w:pPr>
      <w:r w:rsidRPr="00DC1D06">
        <w:rPr>
          <w:sz w:val="18"/>
          <w:szCs w:val="18"/>
        </w:rPr>
        <w:t>“(a)</w:t>
      </w:r>
      <w:r w:rsidRPr="00DC1D06">
        <w:rPr>
          <w:sz w:val="18"/>
          <w:szCs w:val="18"/>
        </w:rPr>
        <w:tab/>
        <w:t>Fruit species with clearly defined dormant period</w:t>
      </w:r>
    </w:p>
    <w:p w14:paraId="02B9F51A" w14:textId="77777777" w:rsidR="00391060" w:rsidRPr="00DC1D06" w:rsidRDefault="00391060" w:rsidP="00391060">
      <w:pPr>
        <w:keepNext/>
        <w:tabs>
          <w:tab w:val="left" w:pos="1134"/>
        </w:tabs>
        <w:ind w:left="567" w:right="567"/>
        <w:contextualSpacing/>
        <w:rPr>
          <w:sz w:val="18"/>
          <w:szCs w:val="18"/>
        </w:rPr>
      </w:pPr>
    </w:p>
    <w:p w14:paraId="32FC9520" w14:textId="77777777" w:rsidR="00391060" w:rsidRPr="00DC1D06" w:rsidRDefault="00391060" w:rsidP="00391060">
      <w:pPr>
        <w:tabs>
          <w:tab w:val="left" w:pos="851"/>
          <w:tab w:val="left" w:pos="1134"/>
        </w:tabs>
        <w:ind w:left="567" w:right="567"/>
        <w:rPr>
          <w:sz w:val="18"/>
          <w:szCs w:val="18"/>
        </w:rPr>
      </w:pPr>
      <w:r w:rsidRPr="00DC1D06">
        <w:rPr>
          <w:sz w:val="18"/>
          <w:szCs w:val="18"/>
        </w:rPr>
        <w:t>“3.1.2</w:t>
      </w:r>
      <w:r w:rsidRPr="00DC1D06">
        <w:rPr>
          <w:sz w:val="18"/>
          <w:szCs w:val="18"/>
        </w:rPr>
        <w:tab/>
        <w:t xml:space="preserve">The growing cycle is considered to be the duration of a single growing season, beginning with </w:t>
      </w:r>
      <w:r w:rsidRPr="00DC1D06">
        <w:rPr>
          <w:sz w:val="18"/>
          <w:szCs w:val="18"/>
          <w:highlight w:val="lightGray"/>
          <w:u w:val="single"/>
        </w:rPr>
        <w:t>the dormancy period, followed by</w:t>
      </w:r>
      <w:r w:rsidRPr="00DC1D06">
        <w:rPr>
          <w:sz w:val="18"/>
          <w:szCs w:val="18"/>
        </w:rPr>
        <w:t xml:space="preserve"> bud burst (flowering and/or vegetative), flowering and fruit harvest and concluding when the following dormant period </w:t>
      </w:r>
      <w:r w:rsidRPr="00DC1D06">
        <w:rPr>
          <w:sz w:val="18"/>
          <w:szCs w:val="18"/>
          <w:highlight w:val="lightGray"/>
          <w:u w:val="single"/>
        </w:rPr>
        <w:t>starts</w:t>
      </w:r>
      <w:r w:rsidRPr="00DC1D06">
        <w:rPr>
          <w:sz w:val="18"/>
          <w:szCs w:val="18"/>
        </w:rPr>
        <w:t xml:space="preserve"> </w:t>
      </w:r>
      <w:r w:rsidRPr="00DC1D06">
        <w:rPr>
          <w:strike/>
          <w:sz w:val="18"/>
          <w:szCs w:val="18"/>
          <w:highlight w:val="lightGray"/>
        </w:rPr>
        <w:t>ends with the swelling of new season buds</w:t>
      </w:r>
      <w:r w:rsidRPr="00DC1D06">
        <w:rPr>
          <w:sz w:val="18"/>
          <w:szCs w:val="18"/>
        </w:rPr>
        <w:t>.”</w:t>
      </w:r>
    </w:p>
    <w:p w14:paraId="1EF1CCB0" w14:textId="77777777" w:rsidR="00391060" w:rsidRPr="00DC1D06" w:rsidRDefault="00391060" w:rsidP="00391060"/>
    <w:p w14:paraId="4B3F0887" w14:textId="77777777" w:rsidR="00391060" w:rsidRPr="00DC1D06" w:rsidRDefault="00391060" w:rsidP="00391060">
      <w:pPr>
        <w:pStyle w:val="Heading4"/>
      </w:pPr>
      <w:bookmarkStart w:id="12" w:name="_Toc176335729"/>
      <w:r w:rsidRPr="00DC1D06">
        <w:t>TGP/12: Guidance on Certain Physiological Characteristics (Revision)</w:t>
      </w:r>
      <w:bookmarkEnd w:id="12"/>
      <w:r w:rsidRPr="00DC1D06">
        <w:t xml:space="preserve">:  </w:t>
      </w:r>
      <w:bookmarkStart w:id="13" w:name="_Toc176335730"/>
      <w:r w:rsidRPr="00DC1D06">
        <w:t>Equivalence table for states of expression in quantitative disease resistance characteristics in Test Guidelines</w:t>
      </w:r>
      <w:bookmarkEnd w:id="13"/>
    </w:p>
    <w:p w14:paraId="4C371130" w14:textId="77777777" w:rsidR="00391060" w:rsidRPr="00DC1D06" w:rsidRDefault="00391060" w:rsidP="00391060"/>
    <w:p w14:paraId="779B38B9" w14:textId="77777777" w:rsidR="00391060" w:rsidRPr="00DC1D06" w:rsidRDefault="00391060" w:rsidP="00391060">
      <w:pPr>
        <w:rPr>
          <w:spacing w:val="-2"/>
        </w:rPr>
      </w:pPr>
      <w:r w:rsidRPr="00DC1D06">
        <w:fldChar w:fldCharType="begin"/>
      </w:r>
      <w:r w:rsidRPr="00DC1D06">
        <w:instrText xml:space="preserve"> AUTONUM  </w:instrText>
      </w:r>
      <w:r w:rsidRPr="00DC1D06">
        <w:fldChar w:fldCharType="end"/>
      </w:r>
      <w:r w:rsidRPr="00DC1D06">
        <w:tab/>
        <w:t xml:space="preserve">The TC agreed to propose the revision of document TGP/12/4 “Guidance on Certain Physiological Characteristics”, on the basis of the proposed amendments presented in document SESSIONS/2024/2, </w:t>
      </w:r>
      <w:r w:rsidRPr="00DC1D06">
        <w:rPr>
          <w:spacing w:val="-2"/>
        </w:rPr>
        <w:t>Annex II, section “Proposal”, with the following amendment to the disposition of information in the table to be presented as follows:</w:t>
      </w:r>
    </w:p>
    <w:p w14:paraId="18DC0CB1" w14:textId="77777777" w:rsidR="00391060" w:rsidRPr="00DC1D06" w:rsidRDefault="00391060" w:rsidP="00391060">
      <w:pPr>
        <w:rPr>
          <w:spacing w:val="-2"/>
        </w:rPr>
      </w:pPr>
    </w:p>
    <w:p w14:paraId="4CDFA2F7" w14:textId="77777777" w:rsidR="00391060" w:rsidRPr="00DC1D06" w:rsidRDefault="00391060" w:rsidP="00391060">
      <w:pPr>
        <w:keepNext/>
        <w:ind w:left="567" w:right="567"/>
      </w:pPr>
      <w:r w:rsidRPr="00DC1D06">
        <w:rPr>
          <w:rFonts w:cs="Arial"/>
          <w:color w:val="000000"/>
          <w:sz w:val="18"/>
        </w:rPr>
        <w:t>“Table 2: States of expression in Test Guidelines and terminology used in the vegetable seed sector:</w:t>
      </w:r>
    </w:p>
    <w:p w14:paraId="3A7BAE34" w14:textId="77777777" w:rsidR="00391060" w:rsidRPr="00DC1D06" w:rsidRDefault="00391060" w:rsidP="00391060">
      <w:pPr>
        <w:keepNext/>
        <w:ind w:left="567" w:right="567"/>
      </w:pP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709"/>
        <w:gridCol w:w="2126"/>
      </w:tblGrid>
      <w:tr w:rsidR="00391060" w:rsidRPr="00960CC8" w14:paraId="0F0AC42D" w14:textId="77777777" w:rsidTr="002E4557">
        <w:trPr>
          <w:cantSplit/>
          <w:trHeight w:val="412"/>
          <w:jc w:val="center"/>
        </w:trPr>
        <w:tc>
          <w:tcPr>
            <w:tcW w:w="7088" w:type="dxa"/>
            <w:gridSpan w:val="3"/>
            <w:tcBorders>
              <w:top w:val="single" w:sz="4" w:space="0" w:color="auto"/>
              <w:left w:val="single" w:sz="4" w:space="0" w:color="auto"/>
              <w:bottom w:val="single" w:sz="4" w:space="0" w:color="auto"/>
              <w:right w:val="single" w:sz="4" w:space="0" w:color="auto"/>
            </w:tcBorders>
            <w:noWrap/>
            <w:vAlign w:val="center"/>
            <w:hideMark/>
          </w:tcPr>
          <w:p w14:paraId="35D6DDE1" w14:textId="77777777" w:rsidR="00391060" w:rsidRPr="00960CC8" w:rsidRDefault="00391060" w:rsidP="002E4557">
            <w:pPr>
              <w:keepNext/>
              <w:rPr>
                <w:bCs/>
                <w:i/>
                <w:sz w:val="18"/>
                <w:szCs w:val="18"/>
              </w:rPr>
            </w:pPr>
            <w:r w:rsidRPr="00960CC8">
              <w:rPr>
                <w:bCs/>
                <w:i/>
                <w:sz w:val="18"/>
                <w:szCs w:val="18"/>
              </w:rPr>
              <w:t>States of expression in Test Guidelines:</w:t>
            </w:r>
          </w:p>
        </w:tc>
      </w:tr>
      <w:tr w:rsidR="00391060" w:rsidRPr="00960CC8" w14:paraId="04C6C233" w14:textId="77777777" w:rsidTr="002E4557">
        <w:trPr>
          <w:cantSplit/>
          <w:trHeight w:val="412"/>
          <w:jc w:val="center"/>
        </w:trPr>
        <w:tc>
          <w:tcPr>
            <w:tcW w:w="4253" w:type="dxa"/>
            <w:tcBorders>
              <w:top w:val="single" w:sz="4" w:space="0" w:color="auto"/>
              <w:left w:val="single" w:sz="4" w:space="0" w:color="auto"/>
              <w:bottom w:val="nil"/>
              <w:right w:val="single" w:sz="4" w:space="0" w:color="auto"/>
            </w:tcBorders>
            <w:noWrap/>
            <w:vAlign w:val="center"/>
            <w:hideMark/>
          </w:tcPr>
          <w:p w14:paraId="2B14B81C" w14:textId="77777777" w:rsidR="00391060" w:rsidRPr="00960CC8" w:rsidRDefault="00391060" w:rsidP="002E4557">
            <w:pPr>
              <w:keepNext/>
              <w:rPr>
                <w:sz w:val="18"/>
                <w:szCs w:val="18"/>
              </w:rPr>
            </w:pPr>
            <w:r w:rsidRPr="00960CC8">
              <w:rPr>
                <w:sz w:val="18"/>
                <w:szCs w:val="18"/>
              </w:rPr>
              <w:t>Resistance to [disease name]</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4E7C1C5" w14:textId="77777777" w:rsidR="00391060" w:rsidRPr="00960CC8" w:rsidRDefault="00391060" w:rsidP="002E4557">
            <w:pPr>
              <w:keepNext/>
              <w:rPr>
                <w:sz w:val="18"/>
                <w:szCs w:val="18"/>
              </w:rPr>
            </w:pPr>
            <w:r w:rsidRPr="00960CC8">
              <w:rPr>
                <w:sz w:val="18"/>
                <w:szCs w:val="18"/>
              </w:rPr>
              <w:t>note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A0173DD" w14:textId="77777777" w:rsidR="00391060" w:rsidRPr="00960CC8" w:rsidRDefault="00391060" w:rsidP="002E4557">
            <w:pPr>
              <w:keepNext/>
              <w:rPr>
                <w:bCs/>
                <w:sz w:val="18"/>
                <w:szCs w:val="18"/>
              </w:rPr>
            </w:pPr>
            <w:r w:rsidRPr="00960CC8">
              <w:rPr>
                <w:bCs/>
                <w:sz w:val="18"/>
                <w:szCs w:val="18"/>
              </w:rPr>
              <w:t>state</w:t>
            </w:r>
          </w:p>
        </w:tc>
      </w:tr>
      <w:tr w:rsidR="00391060" w:rsidRPr="00960CC8" w14:paraId="013EB5F5" w14:textId="77777777" w:rsidTr="002E4557">
        <w:trPr>
          <w:cantSplit/>
          <w:trHeight w:val="418"/>
          <w:jc w:val="center"/>
        </w:trPr>
        <w:tc>
          <w:tcPr>
            <w:tcW w:w="4253" w:type="dxa"/>
            <w:tcBorders>
              <w:top w:val="nil"/>
              <w:left w:val="single" w:sz="4" w:space="0" w:color="auto"/>
              <w:bottom w:val="nil"/>
              <w:right w:val="single" w:sz="4" w:space="0" w:color="auto"/>
            </w:tcBorders>
            <w:noWrap/>
            <w:vAlign w:val="center"/>
          </w:tcPr>
          <w:p w14:paraId="5814DAFE" w14:textId="77777777" w:rsidR="00391060" w:rsidRPr="00960CC8" w:rsidRDefault="00391060" w:rsidP="002E4557">
            <w:pPr>
              <w:keepNext/>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3223284" w14:textId="77777777" w:rsidR="00391060" w:rsidRPr="00960CC8" w:rsidRDefault="00391060" w:rsidP="002E4557">
            <w:pPr>
              <w:keepNext/>
              <w:rPr>
                <w:sz w:val="18"/>
                <w:szCs w:val="18"/>
              </w:rPr>
            </w:pPr>
            <w:r w:rsidRPr="00960CC8">
              <w:rPr>
                <w:sz w:val="18"/>
                <w:szCs w:val="18"/>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1F8CF8A" w14:textId="77777777" w:rsidR="00391060" w:rsidRPr="00960CC8" w:rsidRDefault="00391060" w:rsidP="002E4557">
            <w:pPr>
              <w:keepNext/>
              <w:rPr>
                <w:sz w:val="18"/>
                <w:szCs w:val="18"/>
              </w:rPr>
            </w:pPr>
            <w:r w:rsidRPr="00960CC8">
              <w:rPr>
                <w:sz w:val="18"/>
                <w:szCs w:val="18"/>
              </w:rPr>
              <w:t>absent or low</w:t>
            </w:r>
          </w:p>
        </w:tc>
      </w:tr>
      <w:tr w:rsidR="00391060" w:rsidRPr="00960CC8" w14:paraId="5B049179" w14:textId="77777777" w:rsidTr="002E4557">
        <w:trPr>
          <w:cantSplit/>
          <w:trHeight w:val="418"/>
          <w:jc w:val="center"/>
        </w:trPr>
        <w:tc>
          <w:tcPr>
            <w:tcW w:w="4253" w:type="dxa"/>
            <w:tcBorders>
              <w:top w:val="nil"/>
              <w:left w:val="single" w:sz="4" w:space="0" w:color="auto"/>
              <w:bottom w:val="nil"/>
              <w:right w:val="single" w:sz="4" w:space="0" w:color="auto"/>
            </w:tcBorders>
            <w:noWrap/>
            <w:vAlign w:val="center"/>
          </w:tcPr>
          <w:p w14:paraId="5DD71CCB" w14:textId="77777777" w:rsidR="00391060" w:rsidRPr="00960CC8" w:rsidRDefault="00391060" w:rsidP="002E4557">
            <w:pPr>
              <w:keepNext/>
              <w:rPr>
                <w:sz w:val="18"/>
                <w:szCs w:val="18"/>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207878B5" w14:textId="77777777" w:rsidR="00391060" w:rsidRPr="00960CC8" w:rsidRDefault="00391060" w:rsidP="002E4557">
            <w:pPr>
              <w:keepNext/>
              <w:rPr>
                <w:sz w:val="18"/>
                <w:szCs w:val="18"/>
              </w:rPr>
            </w:pPr>
            <w:r w:rsidRPr="00960CC8">
              <w:rPr>
                <w:sz w:val="18"/>
                <w:szCs w:val="18"/>
              </w:rPr>
              <w:t>2</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48BB7858" w14:textId="77777777" w:rsidR="00391060" w:rsidRPr="00960CC8" w:rsidRDefault="00391060" w:rsidP="002E4557">
            <w:pPr>
              <w:keepNext/>
              <w:rPr>
                <w:sz w:val="18"/>
                <w:szCs w:val="18"/>
              </w:rPr>
            </w:pPr>
            <w:r w:rsidRPr="00960CC8">
              <w:rPr>
                <w:sz w:val="18"/>
                <w:szCs w:val="18"/>
              </w:rPr>
              <w:t>medium</w:t>
            </w:r>
          </w:p>
        </w:tc>
      </w:tr>
      <w:tr w:rsidR="00391060" w:rsidRPr="00960CC8" w14:paraId="309F4B41" w14:textId="77777777" w:rsidTr="002E4557">
        <w:trPr>
          <w:cantSplit/>
          <w:trHeight w:val="410"/>
          <w:jc w:val="center"/>
        </w:trPr>
        <w:tc>
          <w:tcPr>
            <w:tcW w:w="4253" w:type="dxa"/>
            <w:tcBorders>
              <w:top w:val="nil"/>
              <w:left w:val="single" w:sz="4" w:space="0" w:color="auto"/>
              <w:bottom w:val="single" w:sz="4" w:space="0" w:color="auto"/>
              <w:right w:val="single" w:sz="4" w:space="0" w:color="auto"/>
            </w:tcBorders>
            <w:noWrap/>
            <w:vAlign w:val="center"/>
          </w:tcPr>
          <w:p w14:paraId="594DB010" w14:textId="77777777" w:rsidR="00391060" w:rsidRPr="00960CC8" w:rsidRDefault="00391060" w:rsidP="002E4557">
            <w:pPr>
              <w:keepNext/>
              <w:rPr>
                <w:sz w:val="18"/>
                <w:szCs w:val="18"/>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4683F3D" w14:textId="77777777" w:rsidR="00391060" w:rsidRPr="00960CC8" w:rsidRDefault="00391060" w:rsidP="002E4557">
            <w:pPr>
              <w:keepNext/>
              <w:rPr>
                <w:sz w:val="18"/>
                <w:szCs w:val="18"/>
              </w:rPr>
            </w:pPr>
            <w:r w:rsidRPr="00960CC8">
              <w:rPr>
                <w:sz w:val="18"/>
                <w:szCs w:val="18"/>
              </w:rPr>
              <w:t>3</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7E4ED070" w14:textId="77777777" w:rsidR="00391060" w:rsidRPr="00960CC8" w:rsidRDefault="00391060" w:rsidP="002E4557">
            <w:pPr>
              <w:keepNext/>
              <w:rPr>
                <w:sz w:val="18"/>
                <w:szCs w:val="18"/>
              </w:rPr>
            </w:pPr>
            <w:r w:rsidRPr="00960CC8">
              <w:rPr>
                <w:sz w:val="18"/>
                <w:szCs w:val="18"/>
              </w:rPr>
              <w:t>high</w:t>
            </w:r>
          </w:p>
        </w:tc>
      </w:tr>
      <w:tr w:rsidR="00391060" w:rsidRPr="00960CC8" w14:paraId="07A143AA" w14:textId="77777777" w:rsidTr="002E4557">
        <w:trPr>
          <w:cantSplit/>
          <w:trHeight w:val="410"/>
          <w:jc w:val="center"/>
        </w:trPr>
        <w:tc>
          <w:tcPr>
            <w:tcW w:w="7088" w:type="dxa"/>
            <w:gridSpan w:val="3"/>
            <w:tcBorders>
              <w:top w:val="single" w:sz="4" w:space="0" w:color="auto"/>
              <w:left w:val="single" w:sz="4" w:space="0" w:color="auto"/>
              <w:bottom w:val="single" w:sz="4" w:space="0" w:color="auto"/>
              <w:right w:val="single" w:sz="4" w:space="0" w:color="auto"/>
            </w:tcBorders>
            <w:noWrap/>
            <w:vAlign w:val="center"/>
            <w:hideMark/>
          </w:tcPr>
          <w:p w14:paraId="6A16CC1C" w14:textId="77777777" w:rsidR="00391060" w:rsidRPr="00960CC8" w:rsidRDefault="00391060" w:rsidP="002E4557">
            <w:pPr>
              <w:keepNext/>
              <w:rPr>
                <w:i/>
                <w:sz w:val="18"/>
                <w:szCs w:val="18"/>
              </w:rPr>
            </w:pPr>
            <w:r w:rsidRPr="00960CC8">
              <w:rPr>
                <w:bCs/>
                <w:i/>
                <w:sz w:val="18"/>
                <w:szCs w:val="18"/>
              </w:rPr>
              <w:t>Terminology used in the vegetable seed sector:</w:t>
            </w:r>
          </w:p>
        </w:tc>
      </w:tr>
      <w:tr w:rsidR="00391060" w:rsidRPr="00960CC8" w14:paraId="430DF67B" w14:textId="77777777" w:rsidTr="002E4557">
        <w:trPr>
          <w:cantSplit/>
          <w:trHeight w:val="410"/>
          <w:jc w:val="center"/>
        </w:trPr>
        <w:tc>
          <w:tcPr>
            <w:tcW w:w="4253" w:type="dxa"/>
            <w:tcBorders>
              <w:top w:val="single" w:sz="4" w:space="0" w:color="auto"/>
              <w:left w:val="single" w:sz="4" w:space="0" w:color="auto"/>
              <w:bottom w:val="nil"/>
              <w:right w:val="single" w:sz="4" w:space="0" w:color="auto"/>
            </w:tcBorders>
            <w:noWrap/>
            <w:vAlign w:val="center"/>
            <w:hideMark/>
          </w:tcPr>
          <w:p w14:paraId="50AD7D0A" w14:textId="77777777" w:rsidR="00391060" w:rsidRPr="00960CC8" w:rsidRDefault="00391060" w:rsidP="002E4557">
            <w:pPr>
              <w:keepNext/>
              <w:rPr>
                <w:sz w:val="18"/>
                <w:szCs w:val="18"/>
              </w:rPr>
            </w:pPr>
            <w:r w:rsidRPr="00960CC8">
              <w:rPr>
                <w:sz w:val="18"/>
                <w:szCs w:val="18"/>
              </w:rPr>
              <w:t xml:space="preserve">Reaction of a plant variety to a specific pest </w:t>
            </w:r>
            <w:r w:rsidRPr="00960CC8">
              <w:rPr>
                <w:bCs/>
                <w:sz w:val="18"/>
                <w:szCs w:val="18"/>
                <w:vertAlign w:val="superscript"/>
              </w:rPr>
              <w:footnoteReference w:id="2"/>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14:paraId="2AA2CFE3" w14:textId="77777777" w:rsidR="00391060" w:rsidRPr="00960CC8" w:rsidRDefault="00391060" w:rsidP="002E4557">
            <w:pPr>
              <w:keepNext/>
              <w:rPr>
                <w:sz w:val="18"/>
                <w:szCs w:val="18"/>
              </w:rPr>
            </w:pPr>
            <w:r w:rsidRPr="00960CC8">
              <w:rPr>
                <w:sz w:val="18"/>
                <w:szCs w:val="18"/>
              </w:rPr>
              <w:t>Susceptibility (S)</w:t>
            </w:r>
          </w:p>
        </w:tc>
      </w:tr>
      <w:tr w:rsidR="00391060" w:rsidRPr="00960CC8" w14:paraId="718A5988" w14:textId="77777777" w:rsidTr="002E4557">
        <w:trPr>
          <w:cantSplit/>
          <w:trHeight w:val="410"/>
          <w:jc w:val="center"/>
        </w:trPr>
        <w:tc>
          <w:tcPr>
            <w:tcW w:w="4253" w:type="dxa"/>
            <w:tcBorders>
              <w:top w:val="nil"/>
              <w:left w:val="single" w:sz="4" w:space="0" w:color="auto"/>
              <w:bottom w:val="nil"/>
              <w:right w:val="single" w:sz="4" w:space="0" w:color="auto"/>
            </w:tcBorders>
            <w:noWrap/>
            <w:vAlign w:val="center"/>
          </w:tcPr>
          <w:p w14:paraId="09B59D4F" w14:textId="77777777" w:rsidR="00391060" w:rsidRPr="00960CC8" w:rsidRDefault="00391060" w:rsidP="002E4557">
            <w:pPr>
              <w:keepNext/>
              <w:rPr>
                <w:sz w:val="18"/>
                <w:szCs w:val="18"/>
              </w:rPr>
            </w:pP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14:paraId="1760A443" w14:textId="77777777" w:rsidR="00391060" w:rsidRPr="00960CC8" w:rsidRDefault="00391060" w:rsidP="002E4557">
            <w:pPr>
              <w:keepNext/>
              <w:rPr>
                <w:sz w:val="18"/>
                <w:szCs w:val="18"/>
              </w:rPr>
            </w:pPr>
            <w:r w:rsidRPr="00960CC8">
              <w:rPr>
                <w:sz w:val="18"/>
                <w:szCs w:val="18"/>
              </w:rPr>
              <w:t>Intermediate Resistance (IR)</w:t>
            </w:r>
          </w:p>
        </w:tc>
      </w:tr>
      <w:tr w:rsidR="00391060" w:rsidRPr="00960CC8" w14:paraId="2CC64170" w14:textId="77777777" w:rsidTr="002E4557">
        <w:trPr>
          <w:cantSplit/>
          <w:trHeight w:val="410"/>
          <w:jc w:val="center"/>
        </w:trPr>
        <w:tc>
          <w:tcPr>
            <w:tcW w:w="4253" w:type="dxa"/>
            <w:tcBorders>
              <w:top w:val="nil"/>
              <w:left w:val="single" w:sz="4" w:space="0" w:color="auto"/>
              <w:bottom w:val="single" w:sz="4" w:space="0" w:color="auto"/>
              <w:right w:val="single" w:sz="4" w:space="0" w:color="auto"/>
            </w:tcBorders>
            <w:noWrap/>
            <w:vAlign w:val="center"/>
          </w:tcPr>
          <w:p w14:paraId="6399A346" w14:textId="77777777" w:rsidR="00391060" w:rsidRPr="00960CC8" w:rsidRDefault="00391060" w:rsidP="002E4557">
            <w:pPr>
              <w:rPr>
                <w:sz w:val="18"/>
                <w:szCs w:val="18"/>
              </w:rPr>
            </w:pP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14:paraId="1819B1CA" w14:textId="77777777" w:rsidR="00391060" w:rsidRPr="00960CC8" w:rsidRDefault="00391060" w:rsidP="002E4557">
            <w:pPr>
              <w:rPr>
                <w:sz w:val="18"/>
                <w:szCs w:val="18"/>
              </w:rPr>
            </w:pPr>
            <w:r w:rsidRPr="00960CC8">
              <w:rPr>
                <w:sz w:val="18"/>
                <w:szCs w:val="18"/>
              </w:rPr>
              <w:t>High Resistance (HR)</w:t>
            </w:r>
          </w:p>
        </w:tc>
      </w:tr>
    </w:tbl>
    <w:p w14:paraId="71404EEC" w14:textId="77777777" w:rsidR="00391060" w:rsidRPr="00DC1D06" w:rsidRDefault="00391060" w:rsidP="00391060"/>
    <w:p w14:paraId="4B20B1FD" w14:textId="77777777" w:rsidR="00391060" w:rsidRPr="00DC1D06" w:rsidRDefault="00391060" w:rsidP="00391060"/>
    <w:p w14:paraId="4059134C" w14:textId="77777777" w:rsidR="00391060" w:rsidRPr="00DC1D06" w:rsidRDefault="00391060" w:rsidP="00F3045D">
      <w:pPr>
        <w:pStyle w:val="Heading1"/>
      </w:pPr>
      <w:bookmarkStart w:id="14" w:name="_Toc180500254"/>
      <w:r w:rsidRPr="00DC1D06">
        <w:t>Measures to enhance cooperation in examination</w:t>
      </w:r>
      <w:bookmarkEnd w:id="14"/>
    </w:p>
    <w:p w14:paraId="34462307" w14:textId="77777777" w:rsidR="00391060" w:rsidRPr="00DC1D06" w:rsidRDefault="00391060" w:rsidP="00391060"/>
    <w:p w14:paraId="01BA83E9" w14:textId="77777777" w:rsidR="00391060" w:rsidRPr="00DC1D06" w:rsidRDefault="00391060" w:rsidP="00391060">
      <w:r>
        <w:fldChar w:fldCharType="begin"/>
      </w:r>
      <w:r>
        <w:instrText xml:space="preserve"> AUTONUM  </w:instrText>
      </w:r>
      <w:r>
        <w:fldChar w:fldCharType="end"/>
      </w:r>
      <w:r>
        <w:tab/>
      </w:r>
      <w:r w:rsidRPr="00DC1D06">
        <w:t>The TC considered document SESSIONS/2024/3 and recalled that it had agreed to support the exchange of information from UPOV members on practices in DUS examination, including events to discuss the environmental effect in the expression of characteristics, variety collections and cooperation with breeders in DUS examination.</w:t>
      </w:r>
    </w:p>
    <w:p w14:paraId="6B63363E" w14:textId="77777777" w:rsidR="00391060" w:rsidRPr="00DC1D06" w:rsidRDefault="00391060" w:rsidP="00391060"/>
    <w:p w14:paraId="5824D5FF" w14:textId="7B7842F4" w:rsidR="00391060" w:rsidRPr="00DC1D06" w:rsidRDefault="00391060" w:rsidP="00391060">
      <w:r w:rsidRPr="00DC1D06">
        <w:fldChar w:fldCharType="begin"/>
      </w:r>
      <w:r w:rsidRPr="00DC1D06">
        <w:instrText xml:space="preserve"> AUTONUM  </w:instrText>
      </w:r>
      <w:r w:rsidRPr="00DC1D06">
        <w:fldChar w:fldCharType="end"/>
      </w:r>
      <w:r w:rsidRPr="00DC1D06">
        <w:tab/>
        <w:t xml:space="preserve">The TC noted the interventions from </w:t>
      </w:r>
      <w:r w:rsidR="000034DB">
        <w:t xml:space="preserve">the Delegations of </w:t>
      </w:r>
      <w:r w:rsidRPr="00DC1D06">
        <w:t xml:space="preserve">Argentina, Belarus, Brazil, Canada, European Union and Japan on the proposed measures to enhance cooperation in examination and agreed to support continuing discussions, as provided in document SESSIONS/2024/3.  </w:t>
      </w:r>
    </w:p>
    <w:p w14:paraId="18327094" w14:textId="77777777" w:rsidR="00391060" w:rsidRPr="00DC1D06" w:rsidRDefault="00391060" w:rsidP="00391060"/>
    <w:p w14:paraId="6215A88B" w14:textId="4B12E6FB" w:rsidR="00391060" w:rsidRPr="00DC1D06" w:rsidRDefault="00391060" w:rsidP="00391060">
      <w:r w:rsidRPr="00DC1D06">
        <w:fldChar w:fldCharType="begin"/>
      </w:r>
      <w:r w:rsidRPr="00DC1D06">
        <w:instrText xml:space="preserve"> AUTONUM  </w:instrText>
      </w:r>
      <w:r w:rsidRPr="00DC1D06">
        <w:fldChar w:fldCharType="end"/>
      </w:r>
      <w:r w:rsidRPr="00DC1D06">
        <w:tab/>
        <w:t xml:space="preserve">The TC agreed to support organizing the proposed seminar to create awareness on cooperation with breeders in DUS examination, </w:t>
      </w:r>
      <w:r w:rsidR="000034DB">
        <w:t xml:space="preserve">at the fringes of the UPOV sessions in 2025, </w:t>
      </w:r>
      <w:r w:rsidRPr="00DC1D06">
        <w:t xml:space="preserve">which could lead to the future development of training materials based on members’ experiences and practices. </w:t>
      </w:r>
    </w:p>
    <w:p w14:paraId="73EFC0F9" w14:textId="77777777" w:rsidR="00391060" w:rsidRPr="00DC1D06" w:rsidRDefault="00391060" w:rsidP="00391060"/>
    <w:p w14:paraId="4FCB008D" w14:textId="77777777" w:rsidR="00391060" w:rsidRPr="00DC1D06" w:rsidRDefault="00391060" w:rsidP="00391060"/>
    <w:p w14:paraId="39E0F0DF" w14:textId="77777777" w:rsidR="00391060" w:rsidRPr="00DC1D06" w:rsidRDefault="00391060" w:rsidP="000034DB">
      <w:pPr>
        <w:pStyle w:val="Heading1"/>
      </w:pPr>
      <w:bookmarkStart w:id="15" w:name="_Toc180500255"/>
      <w:r w:rsidRPr="00DC1D06">
        <w:t>Measures to improve support provided for DUS examination</w:t>
      </w:r>
      <w:bookmarkEnd w:id="15"/>
    </w:p>
    <w:p w14:paraId="05857814" w14:textId="77777777" w:rsidR="00391060" w:rsidRPr="00DC1D06" w:rsidRDefault="00391060" w:rsidP="000034DB">
      <w:pPr>
        <w:keepNext/>
      </w:pPr>
    </w:p>
    <w:p w14:paraId="6C5C3B4E" w14:textId="77777777" w:rsidR="00391060" w:rsidRPr="00DC1D06" w:rsidRDefault="00391060" w:rsidP="000034DB">
      <w:pPr>
        <w:keepNext/>
      </w:pPr>
      <w:r w:rsidRPr="00DC1D06">
        <w:fldChar w:fldCharType="begin"/>
      </w:r>
      <w:r w:rsidRPr="00DC1D06">
        <w:instrText xml:space="preserve"> AUTONUM  </w:instrText>
      </w:r>
      <w:r w:rsidRPr="00DC1D06">
        <w:fldChar w:fldCharType="end"/>
      </w:r>
      <w:r w:rsidRPr="00DC1D06">
        <w:tab/>
        <w:t>The TC considered document TC/60/6.</w:t>
      </w:r>
    </w:p>
    <w:p w14:paraId="295C0757" w14:textId="77777777" w:rsidR="00391060" w:rsidRPr="00DC1D06" w:rsidRDefault="00391060" w:rsidP="00391060"/>
    <w:p w14:paraId="4A924C94" w14:textId="77777777" w:rsidR="00391060" w:rsidRPr="00DC1D06" w:rsidRDefault="00391060" w:rsidP="00F3045D">
      <w:pPr>
        <w:pStyle w:val="Heading2"/>
      </w:pPr>
      <w:bookmarkStart w:id="16" w:name="_Toc178944571"/>
      <w:bookmarkStart w:id="17" w:name="_Toc180500256"/>
      <w:r w:rsidRPr="00DC1D06">
        <w:lastRenderedPageBreak/>
        <w:t>Measures on Test Guidelines (TGs) and online tool for drafting TGs</w:t>
      </w:r>
      <w:bookmarkEnd w:id="16"/>
      <w:bookmarkEnd w:id="17"/>
    </w:p>
    <w:p w14:paraId="6990978A" w14:textId="77777777" w:rsidR="00391060" w:rsidRPr="00DC1D06" w:rsidRDefault="00391060" w:rsidP="00391060"/>
    <w:p w14:paraId="6B1277CD" w14:textId="77777777" w:rsidR="00391060" w:rsidRPr="00DC1D06" w:rsidRDefault="00391060" w:rsidP="00391060">
      <w:r w:rsidRPr="00DC1D06">
        <w:fldChar w:fldCharType="begin"/>
      </w:r>
      <w:r w:rsidRPr="00DC1D06">
        <w:instrText xml:space="preserve"> AUTONUM  </w:instrText>
      </w:r>
      <w:r w:rsidRPr="00DC1D06">
        <w:fldChar w:fldCharType="end"/>
      </w:r>
      <w:r w:rsidRPr="00DC1D06">
        <w:tab/>
        <w:t xml:space="preserve">The TC considered the report from the subgroup on Test Guidelines and agreed on the importance of the work of leading experts in charge of drafting Test Guidelines.  The TC noted that the Office of the Union would organize a webinar for leading experts in December 2024 to address frequently asked questions and common challenges using the Test Guidelines drafting tool.  The TC noted that the webinar would be open to all members and the video recording made available on the UPOV website and YouTube channel.  </w:t>
      </w:r>
    </w:p>
    <w:p w14:paraId="3E8AD82D" w14:textId="77777777" w:rsidR="00391060" w:rsidRPr="00DC1D06" w:rsidRDefault="00391060" w:rsidP="00391060"/>
    <w:p w14:paraId="6F9414FB" w14:textId="77777777" w:rsidR="00391060" w:rsidRPr="00DC1D06" w:rsidRDefault="00391060" w:rsidP="00391060">
      <w:r w:rsidRPr="00DC1D06">
        <w:fldChar w:fldCharType="begin"/>
      </w:r>
      <w:r w:rsidRPr="00DC1D06">
        <w:instrText xml:space="preserve"> AUTONUM  </w:instrText>
      </w:r>
      <w:r w:rsidRPr="00DC1D06">
        <w:fldChar w:fldCharType="end"/>
      </w:r>
      <w:r w:rsidRPr="00DC1D06">
        <w:tab/>
        <w:t xml:space="preserve">The TC agreed that further initiatives to support drafters of Test Guidelines should be considered, including a preparatory webinar to be held before the TWPs in 2025. </w:t>
      </w:r>
    </w:p>
    <w:p w14:paraId="1EF5CAD6" w14:textId="77777777" w:rsidR="00391060" w:rsidRPr="00DC1D06" w:rsidRDefault="00391060" w:rsidP="00391060"/>
    <w:p w14:paraId="56732BB6" w14:textId="77777777" w:rsidR="00391060" w:rsidRPr="00DC1D06" w:rsidRDefault="00391060" w:rsidP="00391060">
      <w:r w:rsidRPr="00DC1D06">
        <w:fldChar w:fldCharType="begin"/>
      </w:r>
      <w:r w:rsidRPr="00DC1D06">
        <w:instrText xml:space="preserve"> AUTONUM  </w:instrText>
      </w:r>
      <w:r w:rsidRPr="00DC1D06">
        <w:fldChar w:fldCharType="end"/>
      </w:r>
      <w:r w:rsidRPr="00DC1D06">
        <w:tab/>
        <w:t>The TC considered possible options to improve the online tool for drafting Test Guidelines and noted the report from the Office of the Union on issues identified by the subgroup currently being addressed, including a new reporting tool and improved functionalities to upload tables and images.  The TC noted the plan to test using the online drafting tool during TWPs to record the outcome of discussions on draft Test Guidelines during the sessions.</w:t>
      </w:r>
    </w:p>
    <w:p w14:paraId="1B60D942" w14:textId="77777777" w:rsidR="00391060" w:rsidRPr="00DC1D06" w:rsidRDefault="00391060" w:rsidP="00391060"/>
    <w:p w14:paraId="6D7B8148" w14:textId="77777777" w:rsidR="00391060" w:rsidRPr="00DC1D06" w:rsidRDefault="00391060" w:rsidP="00391060">
      <w:r w:rsidRPr="00DC1D06">
        <w:fldChar w:fldCharType="begin"/>
      </w:r>
      <w:r w:rsidRPr="00DC1D06">
        <w:instrText xml:space="preserve"> AUTONUM  </w:instrText>
      </w:r>
      <w:r w:rsidRPr="00DC1D06">
        <w:fldChar w:fldCharType="end"/>
      </w:r>
      <w:r w:rsidRPr="00DC1D06">
        <w:tab/>
        <w:t>The TC considered possible options to improve the Test Guidelines structure and agreed to invite the leading expert to continue developing the proposals, to be presented to the TWPs at their sessions in 2025, along with the outcomes of the consultations.</w:t>
      </w:r>
    </w:p>
    <w:p w14:paraId="361B8BDC" w14:textId="77777777" w:rsidR="00391060" w:rsidRPr="00DC1D06" w:rsidRDefault="00391060" w:rsidP="00391060"/>
    <w:p w14:paraId="59D1558E" w14:textId="77777777" w:rsidR="00391060" w:rsidRPr="00DC1D06" w:rsidRDefault="00391060" w:rsidP="00F3045D">
      <w:pPr>
        <w:pStyle w:val="Heading2"/>
      </w:pPr>
      <w:bookmarkStart w:id="18" w:name="_Toc178944576"/>
      <w:bookmarkStart w:id="19" w:name="_Toc180500257"/>
      <w:r w:rsidRPr="00DC1D06">
        <w:t>Measures for the Office of the Union to develop proposals</w:t>
      </w:r>
      <w:bookmarkEnd w:id="18"/>
      <w:bookmarkEnd w:id="19"/>
      <w:r w:rsidRPr="00DC1D06">
        <w:t xml:space="preserve"> </w:t>
      </w:r>
    </w:p>
    <w:p w14:paraId="4ECC123C" w14:textId="77777777" w:rsidR="00391060" w:rsidRPr="00DC1D06" w:rsidRDefault="00391060" w:rsidP="00391060"/>
    <w:p w14:paraId="05E465FC" w14:textId="77777777" w:rsidR="00391060" w:rsidRPr="00DC1D06" w:rsidRDefault="00391060" w:rsidP="00F3045D">
      <w:pPr>
        <w:pStyle w:val="Heading3"/>
      </w:pPr>
      <w:bookmarkStart w:id="20" w:name="_Toc180500258"/>
      <w:r w:rsidRPr="00DC1D06">
        <w:t>Practical experience in DUS examination</w:t>
      </w:r>
      <w:bookmarkEnd w:id="20"/>
    </w:p>
    <w:p w14:paraId="26293463" w14:textId="77777777" w:rsidR="00391060" w:rsidRPr="00DC1D06" w:rsidRDefault="00391060" w:rsidP="00391060"/>
    <w:p w14:paraId="15CB8A84" w14:textId="77777777" w:rsidR="00391060" w:rsidRPr="00DC1D06" w:rsidRDefault="00391060" w:rsidP="00391060">
      <w:r w:rsidRPr="00DC1D06">
        <w:fldChar w:fldCharType="begin"/>
      </w:r>
      <w:r w:rsidRPr="00DC1D06">
        <w:instrText xml:space="preserve"> AUTONUM  </w:instrText>
      </w:r>
      <w:r w:rsidRPr="00DC1D06">
        <w:fldChar w:fldCharType="end"/>
      </w:r>
      <w:r w:rsidRPr="00DC1D06">
        <w:tab/>
        <w:t xml:space="preserve">The TC considered how UPOV members can search for information on experience in DUS examination and noted that the UPOV Plant Variety Database (PLUTO) was commonly used by members.  </w:t>
      </w:r>
    </w:p>
    <w:p w14:paraId="3C8DA78B" w14:textId="77777777" w:rsidR="00391060" w:rsidRPr="00DC1D06" w:rsidRDefault="00391060" w:rsidP="00391060"/>
    <w:p w14:paraId="2161652D" w14:textId="77777777" w:rsidR="00391060" w:rsidRPr="00DC1D06" w:rsidRDefault="00391060" w:rsidP="00391060">
      <w:r w:rsidRPr="00DC1D06">
        <w:fldChar w:fldCharType="begin"/>
      </w:r>
      <w:r w:rsidRPr="00DC1D06">
        <w:instrText xml:space="preserve"> AUTONUM  </w:instrText>
      </w:r>
      <w:r w:rsidRPr="00DC1D06">
        <w:fldChar w:fldCharType="end"/>
      </w:r>
      <w:r w:rsidRPr="00DC1D06">
        <w:tab/>
        <w:t xml:space="preserve">The TC considered options to identify the authority that had conducted the technical examination of a variety and agreed that this information was required in the UPOV model form for the application for plant breeders’ rights (document TGP/5, Section 2). </w:t>
      </w:r>
    </w:p>
    <w:p w14:paraId="3073357B" w14:textId="77777777" w:rsidR="00391060" w:rsidRPr="00DC1D06" w:rsidRDefault="00391060" w:rsidP="00391060"/>
    <w:p w14:paraId="4ED78A1F" w14:textId="77777777" w:rsidR="00391060" w:rsidRPr="00DC1D06" w:rsidRDefault="00391060" w:rsidP="00391060">
      <w:r w:rsidRPr="00DC1D06">
        <w:fldChar w:fldCharType="begin"/>
      </w:r>
      <w:r w:rsidRPr="00DC1D06">
        <w:instrText xml:space="preserve"> AUTONUM  </w:instrText>
      </w:r>
      <w:r w:rsidRPr="00DC1D06">
        <w:fldChar w:fldCharType="end"/>
      </w:r>
      <w:r w:rsidRPr="00DC1D06">
        <w:tab/>
        <w:t>The TC noted that the UPOV e-PVP DUS Report Exchange Platform provided information on test reports available for exchange and offers to conduct DUS examination on behalf of other authorities.  The TC noted that, in addition to the GENIE database, some members utilized the printable version of the TC document “List of genera and species for which authorities have practical experience in the examination of DUS”.</w:t>
      </w:r>
    </w:p>
    <w:p w14:paraId="3DDAAA51" w14:textId="77777777" w:rsidR="00391060" w:rsidRPr="00DC1D06" w:rsidRDefault="00391060" w:rsidP="00391060"/>
    <w:p w14:paraId="08C4C437" w14:textId="77777777" w:rsidR="00391060" w:rsidRPr="00DC1D06" w:rsidRDefault="00391060" w:rsidP="00F3045D">
      <w:pPr>
        <w:pStyle w:val="Heading3"/>
      </w:pPr>
      <w:bookmarkStart w:id="21" w:name="_Toc178944578"/>
      <w:bookmarkStart w:id="22" w:name="_Toc180500259"/>
      <w:r w:rsidRPr="00DC1D06">
        <w:t>Cooperation in DUS examination</w:t>
      </w:r>
      <w:bookmarkEnd w:id="21"/>
      <w:bookmarkEnd w:id="22"/>
    </w:p>
    <w:p w14:paraId="7FA81CD6" w14:textId="77777777" w:rsidR="00391060" w:rsidRPr="00DC1D06" w:rsidRDefault="00391060" w:rsidP="00391060"/>
    <w:p w14:paraId="6F673A0C" w14:textId="77777777" w:rsidR="00391060" w:rsidRPr="00DC1D06" w:rsidRDefault="00391060" w:rsidP="00391060">
      <w:r w:rsidRPr="00DC1D06">
        <w:fldChar w:fldCharType="begin"/>
      </w:r>
      <w:r w:rsidRPr="00DC1D06">
        <w:instrText xml:space="preserve"> AUTONUM  </w:instrText>
      </w:r>
      <w:r w:rsidRPr="00DC1D06">
        <w:fldChar w:fldCharType="end"/>
      </w:r>
      <w:r w:rsidRPr="00DC1D06">
        <w:tab/>
        <w:t xml:space="preserve">The TC considered how UPOV members can search information on cooperation in DUS examination and whether to develop further guidance on the use of any of the available options.  The TC agreed that members sought cooperation directly with authorities with experience in examination of the crops of their interest. The TC agreed that information in the GENIE database and Council document “Cooperation in Examination” was outdated and could possibly be discontinued. </w:t>
      </w:r>
    </w:p>
    <w:p w14:paraId="662AC562" w14:textId="77777777" w:rsidR="00391060" w:rsidRPr="00DC1D06" w:rsidRDefault="00391060" w:rsidP="00391060"/>
    <w:p w14:paraId="11E33784" w14:textId="77777777" w:rsidR="00391060" w:rsidRPr="00DC1D06" w:rsidRDefault="00391060" w:rsidP="00F3045D">
      <w:pPr>
        <w:pStyle w:val="Heading2"/>
      </w:pPr>
      <w:bookmarkStart w:id="23" w:name="_Toc178944579"/>
      <w:bookmarkStart w:id="24" w:name="_Toc180500260"/>
      <w:r w:rsidRPr="00DC1D06">
        <w:t>TGP Documents: subgroups and leading experts</w:t>
      </w:r>
      <w:bookmarkEnd w:id="23"/>
      <w:bookmarkEnd w:id="24"/>
    </w:p>
    <w:p w14:paraId="54D5808B" w14:textId="77777777" w:rsidR="00391060" w:rsidRPr="00DC1D06" w:rsidRDefault="00391060" w:rsidP="00F3045D">
      <w:pPr>
        <w:keepNext/>
      </w:pPr>
    </w:p>
    <w:p w14:paraId="1DB13A2D" w14:textId="77777777" w:rsidR="00391060" w:rsidRPr="00DC1D06" w:rsidRDefault="00391060" w:rsidP="00391060">
      <w:r w:rsidRPr="00DC1D06">
        <w:fldChar w:fldCharType="begin"/>
      </w:r>
      <w:r w:rsidRPr="00DC1D06">
        <w:instrText xml:space="preserve"> AUTONUM  </w:instrText>
      </w:r>
      <w:r w:rsidRPr="00DC1D06">
        <w:fldChar w:fldCharType="end"/>
      </w:r>
      <w:r w:rsidRPr="00DC1D06">
        <w:tab/>
        <w:t>The TC agreed to utilize, as appropriate, guidance on the role of the leading expert in document TGP/7 “Development of Test Guidelines” for matters on amending or developing guidance in TGP documents, as set out in document TC/60/6, paragraph 66.</w:t>
      </w:r>
    </w:p>
    <w:p w14:paraId="3311967B" w14:textId="77777777" w:rsidR="00391060" w:rsidRPr="00DC1D06" w:rsidRDefault="00391060" w:rsidP="00391060"/>
    <w:p w14:paraId="44C6C71F" w14:textId="77777777" w:rsidR="00391060" w:rsidRPr="00DC1D06" w:rsidRDefault="00391060" w:rsidP="00391060">
      <w:r w:rsidRPr="00DC1D06">
        <w:fldChar w:fldCharType="begin"/>
      </w:r>
      <w:r w:rsidRPr="00DC1D06">
        <w:instrText xml:space="preserve"> AUTONUM  </w:instrText>
      </w:r>
      <w:r w:rsidRPr="00DC1D06">
        <w:fldChar w:fldCharType="end"/>
      </w:r>
      <w:r w:rsidRPr="00DC1D06">
        <w:tab/>
        <w:t>The TC agreed to request the TWPs to invite experts from members of the Union to lead discussions on proposals for developing or amending guidance, including for TGP documents.</w:t>
      </w:r>
    </w:p>
    <w:p w14:paraId="18D1D352" w14:textId="77777777" w:rsidR="00391060" w:rsidRPr="00DC1D06" w:rsidRDefault="00391060" w:rsidP="00391060"/>
    <w:p w14:paraId="44A4A936" w14:textId="77777777" w:rsidR="00391060" w:rsidRPr="00DC1D06" w:rsidRDefault="00391060" w:rsidP="000034DB">
      <w:pPr>
        <w:pStyle w:val="Heading2"/>
      </w:pPr>
      <w:bookmarkStart w:id="25" w:name="_Toc178944580"/>
      <w:bookmarkStart w:id="26" w:name="_Toc180500261"/>
      <w:r w:rsidRPr="00DC1D06">
        <w:t>Training and distance learning</w:t>
      </w:r>
      <w:bookmarkEnd w:id="25"/>
      <w:bookmarkEnd w:id="26"/>
    </w:p>
    <w:p w14:paraId="7BFC4DD6" w14:textId="77777777" w:rsidR="00391060" w:rsidRPr="00DC1D06" w:rsidRDefault="00391060" w:rsidP="000034DB">
      <w:pPr>
        <w:keepNext/>
        <w:tabs>
          <w:tab w:val="left" w:pos="830"/>
        </w:tabs>
      </w:pPr>
      <w:r w:rsidRPr="00DC1D06">
        <w:t xml:space="preserve"> </w:t>
      </w:r>
    </w:p>
    <w:p w14:paraId="1943070D" w14:textId="77777777" w:rsidR="00391060" w:rsidRPr="00DC1D06" w:rsidRDefault="00391060" w:rsidP="000034DB">
      <w:pPr>
        <w:pStyle w:val="Heading3"/>
      </w:pPr>
      <w:bookmarkStart w:id="27" w:name="_Toc178944581"/>
      <w:bookmarkStart w:id="28" w:name="_Toc180500262"/>
      <w:r w:rsidRPr="00DC1D06">
        <w:t xml:space="preserve">Updating distance learning </w:t>
      </w:r>
      <w:r w:rsidRPr="00F3045D">
        <w:t>courses</w:t>
      </w:r>
      <w:bookmarkEnd w:id="27"/>
      <w:bookmarkEnd w:id="28"/>
    </w:p>
    <w:p w14:paraId="3B723E63" w14:textId="77777777" w:rsidR="00391060" w:rsidRPr="00DC1D06" w:rsidRDefault="00391060" w:rsidP="000034DB">
      <w:pPr>
        <w:keepNext/>
      </w:pPr>
    </w:p>
    <w:p w14:paraId="28D02C71" w14:textId="77777777" w:rsidR="00391060" w:rsidRPr="00DC1D06" w:rsidRDefault="00391060" w:rsidP="00391060">
      <w:r w:rsidRPr="00DC1D06">
        <w:fldChar w:fldCharType="begin"/>
      </w:r>
      <w:r w:rsidRPr="00DC1D06">
        <w:instrText xml:space="preserve"> AUTONUM  </w:instrText>
      </w:r>
      <w:r w:rsidRPr="00DC1D06">
        <w:fldChar w:fldCharType="end"/>
      </w:r>
      <w:r w:rsidRPr="00DC1D06">
        <w:tab/>
        <w:t>The TC agreed to invite UPOV members to explore cooperation possibilities with the Office of the Union to resource the updating of the content and format of the UPOV distance learning courses.</w:t>
      </w:r>
    </w:p>
    <w:p w14:paraId="5545A1AC" w14:textId="77777777" w:rsidR="00391060" w:rsidRPr="00DC1D06" w:rsidRDefault="00391060" w:rsidP="00391060"/>
    <w:p w14:paraId="6B582D48" w14:textId="77777777" w:rsidR="00391060" w:rsidRPr="00DC1D06" w:rsidRDefault="00391060" w:rsidP="00B96CB5">
      <w:pPr>
        <w:pStyle w:val="Heading3"/>
      </w:pPr>
      <w:bookmarkStart w:id="29" w:name="_Toc178944582"/>
      <w:bookmarkStart w:id="30" w:name="_Toc180500263"/>
      <w:r w:rsidRPr="00DC1D06">
        <w:lastRenderedPageBreak/>
        <w:t>Developing new courses</w:t>
      </w:r>
      <w:bookmarkEnd w:id="29"/>
      <w:bookmarkEnd w:id="30"/>
      <w:r w:rsidRPr="00DC1D06">
        <w:t xml:space="preserve"> </w:t>
      </w:r>
    </w:p>
    <w:p w14:paraId="30CE0F47" w14:textId="77777777" w:rsidR="00391060" w:rsidRPr="00DC1D06" w:rsidRDefault="00391060" w:rsidP="00B96CB5">
      <w:pPr>
        <w:keepNext/>
      </w:pPr>
    </w:p>
    <w:p w14:paraId="6C2CF4D3" w14:textId="5E18FBAC" w:rsidR="00391060" w:rsidRPr="00DC1D06" w:rsidRDefault="00391060" w:rsidP="00391060">
      <w:r w:rsidRPr="00DC1D06">
        <w:fldChar w:fldCharType="begin"/>
      </w:r>
      <w:r w:rsidRPr="00DC1D06">
        <w:instrText xml:space="preserve"> AUTONUM  </w:instrText>
      </w:r>
      <w:r w:rsidRPr="00DC1D06">
        <w:fldChar w:fldCharType="end"/>
      </w:r>
      <w:r w:rsidRPr="00DC1D06">
        <w:tab/>
        <w:t>The TC agreed to support the development of new training courses on DUS examination by UPOV members, including developing national test guidelines in the absence of UPOV Test Guidelines</w:t>
      </w:r>
      <w:r w:rsidR="00EB5AD3">
        <w:t xml:space="preserve"> and filing applications</w:t>
      </w:r>
      <w:r w:rsidRPr="00DC1D06">
        <w:t>. The TC noted that content formats such as webinars and video-recordings could be used to provide practical guidance from UPOV members’ experience and complement distance learning courses.</w:t>
      </w:r>
    </w:p>
    <w:p w14:paraId="13B94149" w14:textId="77777777" w:rsidR="00391060" w:rsidRPr="00DC1D06" w:rsidRDefault="00391060" w:rsidP="00391060"/>
    <w:p w14:paraId="4F821FD8" w14:textId="77777777" w:rsidR="000034DB" w:rsidRDefault="00391060" w:rsidP="000034DB">
      <w:r w:rsidRPr="00DC1D06">
        <w:fldChar w:fldCharType="begin"/>
      </w:r>
      <w:r w:rsidRPr="00DC1D06">
        <w:instrText xml:space="preserve"> AUTONUM  </w:instrText>
      </w:r>
      <w:r w:rsidRPr="00DC1D06">
        <w:fldChar w:fldCharType="end"/>
      </w:r>
      <w:r w:rsidRPr="00DC1D06">
        <w:tab/>
      </w:r>
      <w:r w:rsidR="000034DB" w:rsidRPr="00CF097A">
        <w:t xml:space="preserve">The TC </w:t>
      </w:r>
      <w:r w:rsidR="000034DB">
        <w:t>encouraged UPOV members to contact the UPOV Office to explore the inclusion</w:t>
      </w:r>
      <w:r w:rsidR="000034DB" w:rsidRPr="00CF097A">
        <w:t xml:space="preserve"> </w:t>
      </w:r>
      <w:r w:rsidR="000034DB">
        <w:t xml:space="preserve">of </w:t>
      </w:r>
      <w:r w:rsidR="000034DB" w:rsidRPr="00CF097A">
        <w:t xml:space="preserve">training </w:t>
      </w:r>
      <w:r w:rsidR="000034DB">
        <w:t>programs</w:t>
      </w:r>
      <w:r w:rsidR="000034DB" w:rsidRPr="00CF097A">
        <w:t xml:space="preserve"> provided by UPOV members in the UPOV PVP Certificate program.</w:t>
      </w:r>
    </w:p>
    <w:p w14:paraId="3549C9DD" w14:textId="77777777" w:rsidR="00391060" w:rsidRPr="00DC1D06" w:rsidRDefault="00391060" w:rsidP="00391060"/>
    <w:p w14:paraId="6AD1E166" w14:textId="77777777" w:rsidR="00391060" w:rsidRPr="00DC1D06" w:rsidRDefault="00391060" w:rsidP="00F3045D">
      <w:pPr>
        <w:pStyle w:val="Heading3"/>
      </w:pPr>
      <w:bookmarkStart w:id="31" w:name="_Toc178944583"/>
      <w:bookmarkStart w:id="32" w:name="_Toc180500264"/>
      <w:r w:rsidRPr="00DC1D06">
        <w:t>Promoting training opportunities</w:t>
      </w:r>
      <w:bookmarkEnd w:id="31"/>
      <w:bookmarkEnd w:id="32"/>
    </w:p>
    <w:p w14:paraId="10C0F627" w14:textId="77777777" w:rsidR="00391060" w:rsidRPr="00DC1D06" w:rsidRDefault="00391060" w:rsidP="00391060"/>
    <w:p w14:paraId="55AFDF74" w14:textId="3785799D" w:rsidR="00391060" w:rsidRPr="00DC1D06" w:rsidRDefault="00391060" w:rsidP="00391060">
      <w:r w:rsidRPr="00DC1D06">
        <w:fldChar w:fldCharType="begin"/>
      </w:r>
      <w:r w:rsidRPr="00DC1D06">
        <w:instrText xml:space="preserve"> AUTONUM  </w:instrText>
      </w:r>
      <w:r w:rsidRPr="00DC1D06">
        <w:fldChar w:fldCharType="end"/>
      </w:r>
      <w:r w:rsidRPr="00DC1D06">
        <w:tab/>
        <w:t xml:space="preserve">The TC agreed to support UPOV members promoting training opportunities </w:t>
      </w:r>
      <w:r w:rsidR="000034DB">
        <w:t>including</w:t>
      </w:r>
      <w:r w:rsidRPr="00DC1D06">
        <w:t xml:space="preserve"> their inclusion in the UPOV PVP Certificate program.</w:t>
      </w:r>
    </w:p>
    <w:p w14:paraId="571C4233" w14:textId="77777777" w:rsidR="00391060" w:rsidRPr="00DC1D06" w:rsidRDefault="00391060" w:rsidP="00391060"/>
    <w:p w14:paraId="72248F4B" w14:textId="77777777" w:rsidR="00391060" w:rsidRPr="00DC1D06" w:rsidRDefault="00391060" w:rsidP="00F3045D">
      <w:pPr>
        <w:pStyle w:val="Heading2"/>
      </w:pPr>
      <w:bookmarkStart w:id="33" w:name="_Toc180500265"/>
      <w:r w:rsidRPr="00DC1D06">
        <w:t>List of members willing to provide mentoring on drafting national test guidelines</w:t>
      </w:r>
      <w:bookmarkEnd w:id="33"/>
    </w:p>
    <w:p w14:paraId="7F9A183E" w14:textId="77777777" w:rsidR="00391060" w:rsidRPr="00DC1D06" w:rsidRDefault="00391060" w:rsidP="00391060"/>
    <w:p w14:paraId="55A10738" w14:textId="77777777" w:rsidR="00391060" w:rsidRPr="00DC1D06" w:rsidRDefault="00391060" w:rsidP="00391060">
      <w:r w:rsidRPr="00DC1D06">
        <w:fldChar w:fldCharType="begin"/>
      </w:r>
      <w:r w:rsidRPr="00DC1D06">
        <w:instrText xml:space="preserve"> AUTONUM  </w:instrText>
      </w:r>
      <w:r w:rsidRPr="00DC1D06">
        <w:fldChar w:fldCharType="end"/>
      </w:r>
      <w:r w:rsidRPr="00DC1D06">
        <w:tab/>
        <w:t>The TC agreed to invite the contact persons of members of the Union to the TC to provide information on their willingness to provide mentoring on drafting national test guidelines for inclusion on the web page of contact persons for international cooperation in DUS examination.</w:t>
      </w:r>
    </w:p>
    <w:p w14:paraId="1D9EE38F" w14:textId="77777777" w:rsidR="00391060" w:rsidRPr="00DC1D06" w:rsidRDefault="00391060" w:rsidP="00391060"/>
    <w:p w14:paraId="738CB438" w14:textId="77777777" w:rsidR="00391060" w:rsidRPr="00DC1D06" w:rsidRDefault="00391060" w:rsidP="00F3045D">
      <w:pPr>
        <w:pStyle w:val="Heading2"/>
      </w:pPr>
      <w:bookmarkStart w:id="34" w:name="_Toc178944587"/>
      <w:bookmarkStart w:id="35" w:name="_Toc180500266"/>
      <w:r w:rsidRPr="00DC1D06">
        <w:t>Performance indicators</w:t>
      </w:r>
      <w:bookmarkEnd w:id="34"/>
      <w:bookmarkEnd w:id="35"/>
    </w:p>
    <w:p w14:paraId="77EACF49" w14:textId="77777777" w:rsidR="00391060" w:rsidRPr="00DC1D06" w:rsidRDefault="00391060" w:rsidP="00391060"/>
    <w:p w14:paraId="061F28F8" w14:textId="77777777" w:rsidR="00391060" w:rsidRPr="00DC1D06" w:rsidRDefault="00391060" w:rsidP="00391060">
      <w:r w:rsidRPr="00DC1D06">
        <w:fldChar w:fldCharType="begin"/>
      </w:r>
      <w:r w:rsidRPr="00DC1D06">
        <w:instrText xml:space="preserve"> AUTONUM  </w:instrText>
      </w:r>
      <w:r w:rsidRPr="00DC1D06">
        <w:fldChar w:fldCharType="end"/>
      </w:r>
      <w:r w:rsidRPr="00DC1D06">
        <w:tab/>
        <w:t>The TC reviewed the work of the TWPs on the basis of the performance indicators and agreed that no further indicators should be established at this stage.</w:t>
      </w:r>
    </w:p>
    <w:p w14:paraId="747378E6" w14:textId="77777777" w:rsidR="00391060" w:rsidRPr="00DC1D06" w:rsidRDefault="00391060" w:rsidP="00391060"/>
    <w:p w14:paraId="0CF20259" w14:textId="77777777" w:rsidR="00391060" w:rsidRPr="00DC1D06" w:rsidRDefault="00391060" w:rsidP="00391060">
      <w:r w:rsidRPr="00DC1D06">
        <w:fldChar w:fldCharType="begin"/>
      </w:r>
      <w:r w:rsidRPr="00DC1D06">
        <w:instrText xml:space="preserve"> AUTONUM  </w:instrText>
      </w:r>
      <w:r w:rsidRPr="00DC1D06">
        <w:fldChar w:fldCharType="end"/>
      </w:r>
      <w:r w:rsidRPr="00DC1D06">
        <w:tab/>
        <w:t>The TC noted the satisfaction survey conducted with participants at the meetings of the TWPs in 2024, as presented in Annex V to document TC/60/6 and agreed to invite the Office of the Union to continue regularly surveying members and observer organizations on their satisfaction with the support for DUS examination provided by UPOV through the TC and TWPs.</w:t>
      </w:r>
    </w:p>
    <w:p w14:paraId="3B50CE4C" w14:textId="77777777" w:rsidR="00391060" w:rsidRPr="00DC1D06" w:rsidRDefault="00391060" w:rsidP="00391060"/>
    <w:p w14:paraId="26071BC4" w14:textId="77777777" w:rsidR="00391060" w:rsidRPr="00DC1D06" w:rsidRDefault="00391060" w:rsidP="00391060"/>
    <w:p w14:paraId="79C10617" w14:textId="77777777" w:rsidR="00391060" w:rsidRPr="00DC1D06" w:rsidRDefault="00391060" w:rsidP="00F3045D">
      <w:pPr>
        <w:pStyle w:val="Heading1"/>
      </w:pPr>
      <w:bookmarkStart w:id="36" w:name="_Toc180500267"/>
      <w:r w:rsidRPr="00DC1D06">
        <w:t>Molecular techniques</w:t>
      </w:r>
      <w:bookmarkEnd w:id="36"/>
    </w:p>
    <w:p w14:paraId="7D13A307" w14:textId="77777777" w:rsidR="00391060" w:rsidRPr="00DC1D06" w:rsidRDefault="00391060" w:rsidP="00391060">
      <w:pPr>
        <w:keepNext/>
      </w:pPr>
    </w:p>
    <w:p w14:paraId="75623B5A" w14:textId="77777777" w:rsidR="00391060" w:rsidRPr="00DC1D06" w:rsidRDefault="00391060" w:rsidP="00391060">
      <w:r w:rsidRPr="00DC1D06">
        <w:fldChar w:fldCharType="begin"/>
      </w:r>
      <w:r w:rsidRPr="00DC1D06">
        <w:instrText xml:space="preserve"> AUTONUM  </w:instrText>
      </w:r>
      <w:r w:rsidRPr="00DC1D06">
        <w:fldChar w:fldCharType="end"/>
      </w:r>
      <w:r w:rsidRPr="00DC1D06">
        <w:tab/>
        <w:t>The TC considered document SESSIONS/2024/6.</w:t>
      </w:r>
    </w:p>
    <w:p w14:paraId="548BD69E" w14:textId="77777777" w:rsidR="00391060" w:rsidRPr="00DC1D06" w:rsidRDefault="00391060" w:rsidP="00391060"/>
    <w:p w14:paraId="13B54D08" w14:textId="77777777" w:rsidR="00391060" w:rsidRPr="00DC1D06" w:rsidRDefault="00391060" w:rsidP="00F3045D">
      <w:pPr>
        <w:pStyle w:val="Heading2"/>
      </w:pPr>
      <w:bookmarkStart w:id="37" w:name="_Toc177773940"/>
      <w:bookmarkStart w:id="38" w:name="_Toc178069532"/>
      <w:bookmarkStart w:id="39" w:name="_Toc180500268"/>
      <w:r w:rsidRPr="00DC1D06">
        <w:t>Guidelines for the validation of a new characteristic-specific molecular marker protocol as an alternative method for observation</w:t>
      </w:r>
      <w:bookmarkEnd w:id="37"/>
      <w:bookmarkEnd w:id="38"/>
      <w:bookmarkEnd w:id="39"/>
    </w:p>
    <w:p w14:paraId="2D58F962" w14:textId="77777777" w:rsidR="00391060" w:rsidRPr="00DC1D06" w:rsidRDefault="00391060" w:rsidP="00391060"/>
    <w:p w14:paraId="4963F766" w14:textId="77777777" w:rsidR="00391060" w:rsidRPr="00DC1D06" w:rsidRDefault="00391060" w:rsidP="00391060">
      <w:r w:rsidRPr="00DC1D06">
        <w:fldChar w:fldCharType="begin"/>
      </w:r>
      <w:r w:rsidRPr="00DC1D06">
        <w:instrText xml:space="preserve"> AUTONUM  </w:instrText>
      </w:r>
      <w:r w:rsidRPr="00DC1D06">
        <w:fldChar w:fldCharType="end"/>
      </w:r>
      <w:r w:rsidRPr="00DC1D06">
        <w:tab/>
        <w:t>The TC agreed to request the TWPs, at their sessions in 2025, to consider the proposal for guidelines for the validation of new characteristic-specific molecular marker protocol for DUS examination, as provided in the Annex to document SESSIONS/2024/6.</w:t>
      </w:r>
    </w:p>
    <w:p w14:paraId="1B16D2E2" w14:textId="77777777" w:rsidR="00391060" w:rsidRPr="00DC1D06" w:rsidRDefault="00391060" w:rsidP="00391060"/>
    <w:p w14:paraId="55A4DEE0" w14:textId="77777777" w:rsidR="00391060" w:rsidRPr="00DC1D06" w:rsidRDefault="00391060" w:rsidP="00F3045D">
      <w:pPr>
        <w:pStyle w:val="Heading2"/>
      </w:pPr>
      <w:bookmarkStart w:id="40" w:name="_Toc177773941"/>
      <w:bookmarkStart w:id="41" w:name="_Toc180500269"/>
      <w:r w:rsidRPr="00DC1D06">
        <w:t>Confidentiality and Ownership of Molecular Information</w:t>
      </w:r>
      <w:bookmarkEnd w:id="40"/>
      <w:bookmarkEnd w:id="41"/>
    </w:p>
    <w:p w14:paraId="310708C0" w14:textId="77777777" w:rsidR="00391060" w:rsidRPr="00DC1D06" w:rsidRDefault="00391060" w:rsidP="00F3045D">
      <w:pPr>
        <w:keepNext/>
      </w:pPr>
    </w:p>
    <w:p w14:paraId="75E76B43" w14:textId="77777777" w:rsidR="00391060" w:rsidRPr="00DC1D06" w:rsidRDefault="00391060" w:rsidP="00391060">
      <w:r w:rsidRPr="00DC1D06">
        <w:fldChar w:fldCharType="begin"/>
      </w:r>
      <w:r w:rsidRPr="00DC1D06">
        <w:instrText xml:space="preserve"> AUTONUM  </w:instrText>
      </w:r>
      <w:r w:rsidRPr="00DC1D06">
        <w:fldChar w:fldCharType="end"/>
      </w:r>
      <w:r w:rsidRPr="00DC1D06">
        <w:tab/>
        <w:t>The TC noted the request from breeders’ organizations for the development of guidance in UPOV on confidentiality of molecular data and the offer to propose a draft model agreement template, to be presented at the third session of the TWM.</w:t>
      </w:r>
    </w:p>
    <w:p w14:paraId="4A0AEE6A" w14:textId="77777777" w:rsidR="00391060" w:rsidRPr="00DC1D06" w:rsidRDefault="00391060" w:rsidP="00391060"/>
    <w:p w14:paraId="206922C4" w14:textId="77777777" w:rsidR="00391060" w:rsidRPr="00DC1D06" w:rsidRDefault="00391060" w:rsidP="00391060">
      <w:r w:rsidRPr="00DC1D06">
        <w:fldChar w:fldCharType="begin"/>
      </w:r>
      <w:r w:rsidRPr="00DC1D06">
        <w:instrText xml:space="preserve"> AUTONUM  </w:instrText>
      </w:r>
      <w:r w:rsidRPr="00DC1D06">
        <w:fldChar w:fldCharType="end"/>
      </w:r>
      <w:r w:rsidRPr="00DC1D06">
        <w:tab/>
        <w:t>The TC agreed to renew the invitation for presentations and reports from members and observers on examples of policies on confidentiality and access to molecular data at the TWP sessions in 2025.</w:t>
      </w:r>
    </w:p>
    <w:p w14:paraId="7C676CE6" w14:textId="77777777" w:rsidR="00391060" w:rsidRPr="00DC1D06" w:rsidRDefault="00391060" w:rsidP="00391060"/>
    <w:p w14:paraId="26C9C07F" w14:textId="77777777" w:rsidR="00391060" w:rsidRPr="00DC1D06" w:rsidRDefault="00391060" w:rsidP="00F3045D">
      <w:pPr>
        <w:pStyle w:val="Heading2"/>
      </w:pPr>
      <w:bookmarkStart w:id="42" w:name="_Toc177773948"/>
      <w:bookmarkStart w:id="43" w:name="_Toc178069536"/>
      <w:bookmarkStart w:id="44" w:name="_Toc180500270"/>
      <w:r w:rsidRPr="00DC1D06">
        <w:rPr>
          <w:snapToGrid w:val="0"/>
          <w:lang w:eastAsia="ja-JP"/>
        </w:rPr>
        <w:t>Matters for information</w:t>
      </w:r>
      <w:bookmarkEnd w:id="42"/>
      <w:bookmarkEnd w:id="43"/>
      <w:bookmarkEnd w:id="44"/>
    </w:p>
    <w:p w14:paraId="24EA953D" w14:textId="77777777" w:rsidR="00391060" w:rsidRPr="00DC1D06" w:rsidRDefault="00391060" w:rsidP="00391060"/>
    <w:p w14:paraId="566C1B7A" w14:textId="77777777" w:rsidR="00391060" w:rsidRPr="00DC1D06" w:rsidRDefault="00391060" w:rsidP="00391060">
      <w:r w:rsidRPr="00DC1D06">
        <w:fldChar w:fldCharType="begin"/>
      </w:r>
      <w:r w:rsidRPr="00DC1D06">
        <w:instrText xml:space="preserve"> AUTONUM  </w:instrText>
      </w:r>
      <w:r w:rsidRPr="00DC1D06">
        <w:fldChar w:fldCharType="end"/>
      </w:r>
      <w:r w:rsidRPr="00DC1D06">
        <w:tab/>
        <w:t>The TC noted the following matters for information provided document SESSIONS/2024/6:</w:t>
      </w:r>
    </w:p>
    <w:p w14:paraId="0C66FAC1" w14:textId="77777777" w:rsidR="00391060" w:rsidRPr="00DC1D06" w:rsidRDefault="00391060" w:rsidP="00391060"/>
    <w:p w14:paraId="65AE7303" w14:textId="77777777" w:rsidR="00391060" w:rsidRPr="00DC1D06" w:rsidRDefault="00391060" w:rsidP="00391060">
      <w:pPr>
        <w:pStyle w:val="ListParagraph"/>
        <w:numPr>
          <w:ilvl w:val="0"/>
          <w:numId w:val="24"/>
        </w:numPr>
      </w:pPr>
      <w:bookmarkStart w:id="45" w:name="_Toc178069537"/>
      <w:bookmarkStart w:id="46" w:name="_Hlk179982682"/>
      <w:r w:rsidRPr="00DC1D06">
        <w:t>Developments at the second session of the Technical Working Party on Testing Methods and Techniques (TWM)</w:t>
      </w:r>
      <w:bookmarkEnd w:id="45"/>
    </w:p>
    <w:p w14:paraId="707F1D11" w14:textId="77777777" w:rsidR="00391060" w:rsidRPr="00DC1D06" w:rsidRDefault="00391060" w:rsidP="00391060">
      <w:pPr>
        <w:pStyle w:val="ListParagraph"/>
        <w:numPr>
          <w:ilvl w:val="0"/>
          <w:numId w:val="24"/>
        </w:numPr>
      </w:pPr>
      <w:bookmarkStart w:id="47" w:name="_Toc177773955"/>
      <w:bookmarkStart w:id="48" w:name="_Toc178069539"/>
      <w:r w:rsidRPr="00DC1D06">
        <w:t>Latest developments in molecular techniques and bioinformatics</w:t>
      </w:r>
      <w:bookmarkEnd w:id="47"/>
      <w:bookmarkEnd w:id="48"/>
    </w:p>
    <w:p w14:paraId="578B135B" w14:textId="77777777" w:rsidR="00391060" w:rsidRPr="00DC1D06" w:rsidRDefault="00391060" w:rsidP="00391060">
      <w:pPr>
        <w:pStyle w:val="ListParagraph"/>
        <w:numPr>
          <w:ilvl w:val="0"/>
          <w:numId w:val="24"/>
        </w:numPr>
      </w:pPr>
      <w:bookmarkStart w:id="49" w:name="_Toc177773956"/>
      <w:bookmarkStart w:id="50" w:name="_Toc178069540"/>
      <w:r w:rsidRPr="00DC1D06">
        <w:t>Cooperation between international organizations</w:t>
      </w:r>
      <w:bookmarkEnd w:id="49"/>
      <w:bookmarkEnd w:id="50"/>
    </w:p>
    <w:p w14:paraId="0D725F68" w14:textId="77777777" w:rsidR="00391060" w:rsidRPr="00DC1D06" w:rsidRDefault="00391060" w:rsidP="00391060">
      <w:pPr>
        <w:pStyle w:val="ListParagraph"/>
        <w:numPr>
          <w:ilvl w:val="0"/>
          <w:numId w:val="24"/>
        </w:numPr>
      </w:pPr>
      <w:bookmarkStart w:id="51" w:name="_Toc177773957"/>
      <w:bookmarkStart w:id="52" w:name="_Toc178069541"/>
      <w:r w:rsidRPr="00DC1D06">
        <w:t>Report on the work on molecular techniques in relation to DUS examination</w:t>
      </w:r>
      <w:bookmarkEnd w:id="51"/>
      <w:bookmarkEnd w:id="52"/>
    </w:p>
    <w:p w14:paraId="77C2C7FC" w14:textId="77777777" w:rsidR="00391060" w:rsidRPr="00DC1D06" w:rsidRDefault="00391060" w:rsidP="00391060">
      <w:pPr>
        <w:pStyle w:val="ListParagraph"/>
        <w:numPr>
          <w:ilvl w:val="0"/>
          <w:numId w:val="24"/>
        </w:numPr>
      </w:pPr>
      <w:bookmarkStart w:id="53" w:name="_Toc177773958"/>
      <w:bookmarkStart w:id="54" w:name="_Toc178069542"/>
      <w:r w:rsidRPr="00DC1D06">
        <w:t>The use of molecular techniques in variety identification</w:t>
      </w:r>
      <w:bookmarkEnd w:id="53"/>
      <w:bookmarkEnd w:id="54"/>
    </w:p>
    <w:bookmarkEnd w:id="46"/>
    <w:p w14:paraId="067EF906" w14:textId="77777777" w:rsidR="00391060" w:rsidRPr="00DC1D06" w:rsidRDefault="00391060" w:rsidP="00391060"/>
    <w:p w14:paraId="50241300" w14:textId="77777777" w:rsidR="00391060" w:rsidRPr="00DC1D06" w:rsidRDefault="00391060" w:rsidP="00391060"/>
    <w:p w14:paraId="12F9CD35" w14:textId="77777777" w:rsidR="00391060" w:rsidRPr="00772DC2" w:rsidRDefault="00391060" w:rsidP="00F3045D">
      <w:pPr>
        <w:pStyle w:val="Heading1"/>
      </w:pPr>
      <w:bookmarkStart w:id="55" w:name="_Toc180500271"/>
      <w:r w:rsidRPr="00772DC2">
        <w:t>UPOV information databases</w:t>
      </w:r>
      <w:bookmarkEnd w:id="55"/>
    </w:p>
    <w:p w14:paraId="14421471" w14:textId="77777777" w:rsidR="00391060" w:rsidRPr="00772DC2" w:rsidRDefault="00391060" w:rsidP="00391060"/>
    <w:p w14:paraId="4616F0A4" w14:textId="77777777" w:rsidR="00391060" w:rsidRPr="00772DC2" w:rsidRDefault="00391060" w:rsidP="00391060">
      <w:r w:rsidRPr="00772DC2">
        <w:fldChar w:fldCharType="begin"/>
      </w:r>
      <w:r w:rsidRPr="00772DC2">
        <w:instrText xml:space="preserve"> AUTONUM  </w:instrText>
      </w:r>
      <w:r w:rsidRPr="00772DC2">
        <w:fldChar w:fldCharType="end"/>
      </w:r>
      <w:r w:rsidRPr="00772DC2">
        <w:tab/>
        <w:t>The TC considered document SESSIONS/2024/5.</w:t>
      </w:r>
    </w:p>
    <w:p w14:paraId="791AA941" w14:textId="77777777" w:rsidR="00391060" w:rsidRPr="00772DC2" w:rsidRDefault="00391060" w:rsidP="00391060"/>
    <w:p w14:paraId="0EDC0F1D" w14:textId="77777777" w:rsidR="00391060" w:rsidRPr="00772DC2" w:rsidRDefault="00391060" w:rsidP="00F3045D">
      <w:pPr>
        <w:pStyle w:val="Heading2"/>
        <w:rPr>
          <w:rFonts w:eastAsiaTheme="minorEastAsia"/>
        </w:rPr>
      </w:pPr>
      <w:bookmarkStart w:id="56" w:name="_Toc178191625"/>
      <w:bookmarkStart w:id="57" w:name="_Toc180500272"/>
      <w:r w:rsidRPr="00772DC2">
        <w:rPr>
          <w:rFonts w:eastAsiaTheme="minorEastAsia"/>
        </w:rPr>
        <w:t>Amendments to UPOV codes</w:t>
      </w:r>
      <w:bookmarkEnd w:id="56"/>
      <w:bookmarkEnd w:id="57"/>
    </w:p>
    <w:p w14:paraId="2B3C7F9D" w14:textId="77777777" w:rsidR="00391060" w:rsidRPr="00772DC2" w:rsidRDefault="00391060" w:rsidP="00391060"/>
    <w:p w14:paraId="4AF866BA" w14:textId="77777777" w:rsidR="00391060" w:rsidRPr="00772DC2" w:rsidRDefault="00391060" w:rsidP="00F3045D">
      <w:pPr>
        <w:pStyle w:val="Heading3"/>
      </w:pPr>
      <w:bookmarkStart w:id="58" w:name="_Toc100763990"/>
      <w:bookmarkStart w:id="59" w:name="_Toc178191626"/>
      <w:bookmarkStart w:id="60" w:name="_Toc180500273"/>
      <w:r w:rsidRPr="00772DC2">
        <w:t>UPOV codes for Citrus</w:t>
      </w:r>
      <w:bookmarkEnd w:id="58"/>
      <w:bookmarkEnd w:id="59"/>
      <w:bookmarkEnd w:id="60"/>
    </w:p>
    <w:p w14:paraId="3689CC5B" w14:textId="77777777" w:rsidR="00391060" w:rsidRPr="00772DC2" w:rsidRDefault="00391060" w:rsidP="00391060"/>
    <w:p w14:paraId="5F719047" w14:textId="77777777" w:rsidR="00391060" w:rsidRPr="00772DC2" w:rsidRDefault="00391060" w:rsidP="00391060">
      <w:r w:rsidRPr="00772DC2">
        <w:fldChar w:fldCharType="begin"/>
      </w:r>
      <w:r w:rsidRPr="00772DC2">
        <w:instrText xml:space="preserve"> AUTONUM  </w:instrText>
      </w:r>
      <w:r w:rsidRPr="00772DC2">
        <w:fldChar w:fldCharType="end"/>
      </w:r>
      <w:r w:rsidRPr="00772DC2">
        <w:tab/>
        <w:t xml:space="preserve">The TC noted the reclassification of genera and species of the </w:t>
      </w:r>
      <w:r w:rsidRPr="00772DC2">
        <w:rPr>
          <w:i/>
          <w:iCs/>
        </w:rPr>
        <w:t>Citrus</w:t>
      </w:r>
      <w:r w:rsidRPr="00772DC2">
        <w:t xml:space="preserve"> complex which are no longer recognized as valid botanical names.  The TC noted that UPOV codes in the genera </w:t>
      </w:r>
      <w:r w:rsidRPr="00772DC2">
        <w:rPr>
          <w:i/>
          <w:iCs/>
        </w:rPr>
        <w:t>Citrus</w:t>
      </w:r>
      <w:r w:rsidRPr="00772DC2">
        <w:t>, ×</w:t>
      </w:r>
      <w:r w:rsidRPr="00772DC2">
        <w:rPr>
          <w:i/>
          <w:iCs/>
        </w:rPr>
        <w:t>Citroncirus</w:t>
      </w:r>
      <w:r w:rsidRPr="00772DC2">
        <w:t xml:space="preserve">, </w:t>
      </w:r>
      <w:proofErr w:type="spellStart"/>
      <w:r w:rsidRPr="00772DC2">
        <w:rPr>
          <w:i/>
          <w:iCs/>
        </w:rPr>
        <w:t>Fortunella</w:t>
      </w:r>
      <w:proofErr w:type="spellEnd"/>
      <w:r w:rsidRPr="00772DC2">
        <w:t xml:space="preserve"> and </w:t>
      </w:r>
      <w:proofErr w:type="spellStart"/>
      <w:r w:rsidRPr="00772DC2">
        <w:rPr>
          <w:i/>
          <w:iCs/>
        </w:rPr>
        <w:t>Poncirus</w:t>
      </w:r>
      <w:proofErr w:type="spellEnd"/>
      <w:r w:rsidRPr="00772DC2">
        <w:t xml:space="preserve"> would be affected. The TC agreed to submit to the TWF a proposal for amending the UPOV codes for </w:t>
      </w:r>
      <w:r w:rsidRPr="00772DC2">
        <w:rPr>
          <w:i/>
          <w:iCs/>
        </w:rPr>
        <w:t>Citrus</w:t>
      </w:r>
      <w:r w:rsidRPr="00772DC2">
        <w:t xml:space="preserve"> and related genera and species, as provided in Annex II to document SESSIONS/2024/5.</w:t>
      </w:r>
    </w:p>
    <w:p w14:paraId="22B8F01A" w14:textId="77777777" w:rsidR="00391060" w:rsidRPr="00772DC2" w:rsidRDefault="00391060" w:rsidP="00391060"/>
    <w:p w14:paraId="2BDFD609" w14:textId="77777777" w:rsidR="00391060" w:rsidRPr="00772DC2" w:rsidRDefault="00391060" w:rsidP="00F3045D">
      <w:pPr>
        <w:pStyle w:val="Heading2"/>
      </w:pPr>
      <w:bookmarkStart w:id="61" w:name="_Toc180500274"/>
      <w:r w:rsidRPr="00772DC2">
        <w:t>Matters for information</w:t>
      </w:r>
      <w:bookmarkEnd w:id="61"/>
    </w:p>
    <w:p w14:paraId="4522E0C6" w14:textId="77777777" w:rsidR="00391060" w:rsidRPr="00772DC2" w:rsidRDefault="00391060" w:rsidP="00391060"/>
    <w:p w14:paraId="6615ED09" w14:textId="77777777" w:rsidR="00391060" w:rsidRPr="00772DC2" w:rsidRDefault="00391060" w:rsidP="00391060">
      <w:r w:rsidRPr="00772DC2">
        <w:fldChar w:fldCharType="begin"/>
      </w:r>
      <w:r w:rsidRPr="00772DC2">
        <w:instrText xml:space="preserve"> AUTONUM  </w:instrText>
      </w:r>
      <w:r w:rsidRPr="00772DC2">
        <w:fldChar w:fldCharType="end"/>
      </w:r>
      <w:r w:rsidRPr="00772DC2">
        <w:tab/>
        <w:t>The TC the following matters for information provided in document SESSIONS/2024/5:</w:t>
      </w:r>
    </w:p>
    <w:p w14:paraId="72335BB1" w14:textId="77777777" w:rsidR="00391060" w:rsidRPr="00772DC2" w:rsidRDefault="00391060" w:rsidP="00391060">
      <w:bookmarkStart w:id="62" w:name="_Hlk179982725"/>
    </w:p>
    <w:p w14:paraId="375184F2" w14:textId="77777777" w:rsidR="00391060" w:rsidRPr="00772DC2" w:rsidRDefault="00391060" w:rsidP="00391060">
      <w:pPr>
        <w:pStyle w:val="ListParagraph"/>
        <w:numPr>
          <w:ilvl w:val="0"/>
          <w:numId w:val="23"/>
        </w:numPr>
        <w:tabs>
          <w:tab w:val="left" w:pos="1701"/>
        </w:tabs>
        <w:ind w:left="1134" w:hanging="567"/>
      </w:pPr>
      <w:bookmarkStart w:id="63" w:name="_Toc522275168"/>
      <w:bookmarkStart w:id="64" w:name="_Toc13263937"/>
      <w:bookmarkStart w:id="65" w:name="_Toc178191630"/>
      <w:r w:rsidRPr="00772DC2">
        <w:t>PLUTO database</w:t>
      </w:r>
      <w:bookmarkEnd w:id="63"/>
      <w:bookmarkEnd w:id="64"/>
      <w:bookmarkEnd w:id="65"/>
    </w:p>
    <w:p w14:paraId="4D660444" w14:textId="77777777" w:rsidR="00391060" w:rsidRPr="00772DC2" w:rsidRDefault="00391060" w:rsidP="00391060">
      <w:pPr>
        <w:pStyle w:val="ListParagraph"/>
        <w:numPr>
          <w:ilvl w:val="0"/>
          <w:numId w:val="23"/>
        </w:numPr>
        <w:tabs>
          <w:tab w:val="left" w:pos="1701"/>
        </w:tabs>
        <w:ind w:left="1134" w:hanging="567"/>
      </w:pPr>
      <w:r w:rsidRPr="00772DC2">
        <w:t>GENIE database</w:t>
      </w:r>
    </w:p>
    <w:p w14:paraId="5DBE8210" w14:textId="77777777" w:rsidR="00391060" w:rsidRPr="00772DC2" w:rsidRDefault="00391060" w:rsidP="00391060">
      <w:pPr>
        <w:pStyle w:val="ListParagraph"/>
        <w:numPr>
          <w:ilvl w:val="0"/>
          <w:numId w:val="23"/>
        </w:numPr>
        <w:tabs>
          <w:tab w:val="left" w:pos="1701"/>
        </w:tabs>
        <w:ind w:left="1134" w:hanging="567"/>
      </w:pPr>
      <w:r w:rsidRPr="00772DC2">
        <w:t>Amendments to UPOV codes</w:t>
      </w:r>
    </w:p>
    <w:p w14:paraId="70908616" w14:textId="77777777" w:rsidR="00391060" w:rsidRPr="00772DC2" w:rsidRDefault="00391060" w:rsidP="00391060">
      <w:pPr>
        <w:pStyle w:val="ListParagraph"/>
        <w:numPr>
          <w:ilvl w:val="0"/>
          <w:numId w:val="23"/>
        </w:numPr>
        <w:tabs>
          <w:tab w:val="left" w:pos="1701"/>
        </w:tabs>
        <w:ind w:left="1134" w:hanging="567"/>
      </w:pPr>
      <w:r w:rsidRPr="00772DC2">
        <w:t xml:space="preserve">UPOV codes for </w:t>
      </w:r>
      <w:proofErr w:type="spellStart"/>
      <w:r w:rsidRPr="00772DC2">
        <w:rPr>
          <w:i/>
          <w:iCs/>
        </w:rPr>
        <w:t>Zea</w:t>
      </w:r>
      <w:proofErr w:type="spellEnd"/>
      <w:r w:rsidRPr="00772DC2">
        <w:rPr>
          <w:i/>
          <w:iCs/>
        </w:rPr>
        <w:t xml:space="preserve"> mays</w:t>
      </w:r>
    </w:p>
    <w:bookmarkEnd w:id="62"/>
    <w:p w14:paraId="7374F7DE" w14:textId="77777777" w:rsidR="00391060" w:rsidRPr="00DC1D06" w:rsidRDefault="00391060" w:rsidP="00391060"/>
    <w:p w14:paraId="2A7C1E96" w14:textId="77777777" w:rsidR="00920388" w:rsidRPr="00E5622D" w:rsidRDefault="00920388" w:rsidP="00920388">
      <w:pPr>
        <w:rPr>
          <w:lang w:eastAsia="ja-JP"/>
        </w:rPr>
      </w:pPr>
    </w:p>
    <w:p w14:paraId="46940A27" w14:textId="77777777" w:rsidR="00F3045D" w:rsidRPr="00772DC2" w:rsidRDefault="00F3045D" w:rsidP="00F3045D">
      <w:pPr>
        <w:pStyle w:val="Heading1"/>
      </w:pPr>
      <w:bookmarkStart w:id="66" w:name="_Toc180500275"/>
      <w:r w:rsidRPr="00772DC2">
        <w:t>TWP workshops and webinars</w:t>
      </w:r>
      <w:bookmarkEnd w:id="66"/>
    </w:p>
    <w:p w14:paraId="38565CA0" w14:textId="77777777" w:rsidR="00F3045D" w:rsidRPr="00772DC2" w:rsidRDefault="00F3045D" w:rsidP="00F3045D"/>
    <w:p w14:paraId="642C3386" w14:textId="77777777" w:rsidR="00F3045D" w:rsidRPr="00772DC2" w:rsidRDefault="00F3045D" w:rsidP="00F3045D">
      <w:r w:rsidRPr="00772DC2">
        <w:fldChar w:fldCharType="begin"/>
      </w:r>
      <w:r w:rsidRPr="00772DC2">
        <w:instrText xml:space="preserve"> AUTONUM  </w:instrText>
      </w:r>
      <w:r w:rsidRPr="00772DC2">
        <w:fldChar w:fldCharType="end"/>
      </w:r>
      <w:r w:rsidRPr="00772DC2">
        <w:tab/>
        <w:t>The TC considered document TC/60/7.</w:t>
      </w:r>
    </w:p>
    <w:p w14:paraId="0EC18DE0" w14:textId="77777777" w:rsidR="00F3045D" w:rsidRPr="00772DC2" w:rsidRDefault="00F3045D" w:rsidP="00F3045D"/>
    <w:p w14:paraId="326C76F5" w14:textId="77777777" w:rsidR="00F3045D" w:rsidRPr="00772DC2" w:rsidRDefault="00F3045D" w:rsidP="00F3045D">
      <w:r w:rsidRPr="00772DC2">
        <w:fldChar w:fldCharType="begin"/>
      </w:r>
      <w:r w:rsidRPr="00772DC2">
        <w:instrText xml:space="preserve"> AUTONUM  </w:instrText>
      </w:r>
      <w:r w:rsidRPr="00772DC2">
        <w:fldChar w:fldCharType="end"/>
      </w:r>
      <w:r w:rsidRPr="00772DC2">
        <w:tab/>
        <w:t>The TC agreed to organize technical webinars in 2025, at suitable dates according to the schedule of TWP sessions, and workshops with physical participation, where requested, as set out in document TC/60/7, paragraphs 16 to 19.</w:t>
      </w:r>
    </w:p>
    <w:p w14:paraId="061C71C5" w14:textId="77777777" w:rsidR="00F3045D" w:rsidRPr="00772DC2" w:rsidRDefault="00F3045D" w:rsidP="00F3045D">
      <w:pPr>
        <w:rPr>
          <w:snapToGrid w:val="0"/>
        </w:rPr>
      </w:pPr>
      <w:bookmarkStart w:id="67" w:name="_Hlk178335408"/>
    </w:p>
    <w:bookmarkEnd w:id="67"/>
    <w:p w14:paraId="390A73E9" w14:textId="77777777" w:rsidR="000034DB" w:rsidRPr="00E90151" w:rsidRDefault="000034DB" w:rsidP="000034DB">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E90151">
        <w:rPr>
          <w:snapToGrid w:val="0"/>
        </w:rPr>
        <w:t xml:space="preserve">The TC agreed that </w:t>
      </w:r>
      <w:r>
        <w:rPr>
          <w:snapToGrid w:val="0"/>
        </w:rPr>
        <w:t xml:space="preserve">the focus of </w:t>
      </w:r>
      <w:r w:rsidRPr="00E90151">
        <w:rPr>
          <w:snapToGrid w:val="0"/>
        </w:rPr>
        <w:t xml:space="preserve">one of the webinars </w:t>
      </w:r>
      <w:r>
        <w:rPr>
          <w:snapToGrid w:val="0"/>
        </w:rPr>
        <w:t xml:space="preserve">be the provision of </w:t>
      </w:r>
      <w:r w:rsidRPr="00E90151">
        <w:rPr>
          <w:snapToGrid w:val="0"/>
        </w:rPr>
        <w:t xml:space="preserve">support for leading experts drafting Test Guidelines.  The TC agreed that the detailed arrangements concerning the webinars would be finalized by the Office of the Union in coordination with the chairpersons of the TC and </w:t>
      </w:r>
      <w:proofErr w:type="spellStart"/>
      <w:r w:rsidRPr="00E90151">
        <w:rPr>
          <w:snapToGrid w:val="0"/>
        </w:rPr>
        <w:t>TWPs.</w:t>
      </w:r>
      <w:proofErr w:type="spellEnd"/>
    </w:p>
    <w:p w14:paraId="610D7EBF" w14:textId="77777777" w:rsidR="000034DB" w:rsidRDefault="000034DB" w:rsidP="000034DB">
      <w:pPr>
        <w:rPr>
          <w:snapToGrid w:val="0"/>
        </w:rPr>
      </w:pPr>
    </w:p>
    <w:p w14:paraId="5DC4472B" w14:textId="77777777" w:rsidR="000034DB" w:rsidRDefault="000034DB" w:rsidP="000034DB">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TC noted the expression of interest of CIOPORA for collaboration in relation to its Academy related technical webinars and noted that the Office of the Union would contact CIOPORA to explore possible synergies in training activities. </w:t>
      </w:r>
    </w:p>
    <w:p w14:paraId="2791DBAE" w14:textId="77777777" w:rsidR="00F3045D" w:rsidRDefault="00F3045D" w:rsidP="00F3045D">
      <w:pPr>
        <w:rPr>
          <w:snapToGrid w:val="0"/>
        </w:rPr>
      </w:pPr>
    </w:p>
    <w:p w14:paraId="63D9F8CC" w14:textId="77777777" w:rsidR="00F3045D" w:rsidRDefault="00F3045D" w:rsidP="00F3045D">
      <w:pPr>
        <w:rPr>
          <w:snapToGrid w:val="0"/>
        </w:rPr>
      </w:pPr>
    </w:p>
    <w:p w14:paraId="4A53DDA9" w14:textId="77777777" w:rsidR="00F3045D" w:rsidRPr="00DC1D06" w:rsidRDefault="00F3045D" w:rsidP="00F3045D">
      <w:pPr>
        <w:pStyle w:val="Heading1"/>
      </w:pPr>
      <w:bookmarkStart w:id="68" w:name="_Toc180500276"/>
      <w:r w:rsidRPr="00DC1D06">
        <w:t>Discussion on disease resistance characteristics in DUS examination</w:t>
      </w:r>
      <w:bookmarkEnd w:id="68"/>
    </w:p>
    <w:p w14:paraId="63B5A3A5" w14:textId="77777777" w:rsidR="00F3045D" w:rsidRPr="00DC1D06" w:rsidRDefault="00F3045D" w:rsidP="00F3045D">
      <w:pPr>
        <w:keepNext/>
        <w:rPr>
          <w:snapToGrid w:val="0"/>
        </w:rPr>
      </w:pPr>
    </w:p>
    <w:p w14:paraId="292F8B66" w14:textId="77777777" w:rsidR="008C7930" w:rsidRPr="00DC1D06" w:rsidRDefault="008C7930" w:rsidP="008C7930">
      <w:r w:rsidRPr="00DC1D06">
        <w:fldChar w:fldCharType="begin"/>
      </w:r>
      <w:r w:rsidRPr="00DC1D06">
        <w:instrText xml:space="preserve"> AUTONUM  </w:instrText>
      </w:r>
      <w:r w:rsidRPr="00DC1D06">
        <w:fldChar w:fldCharType="end"/>
      </w:r>
      <w:r w:rsidRPr="00DC1D06">
        <w:tab/>
        <w:t>The TC received the following presentations on disease resistance characteristics in DUS examination:</w:t>
      </w:r>
    </w:p>
    <w:p w14:paraId="20039A2E" w14:textId="77777777" w:rsidR="008C7930" w:rsidRPr="00DC1D06" w:rsidRDefault="008C7930" w:rsidP="008C7930"/>
    <w:tbl>
      <w:tblPr>
        <w:tblStyle w:val="TableGrid"/>
        <w:tblW w:w="9634" w:type="dxa"/>
        <w:tblLook w:val="04A0" w:firstRow="1" w:lastRow="0" w:firstColumn="1" w:lastColumn="0" w:noHBand="0" w:noVBand="1"/>
      </w:tblPr>
      <w:tblGrid>
        <w:gridCol w:w="5240"/>
        <w:gridCol w:w="4394"/>
      </w:tblGrid>
      <w:tr w:rsidR="008C7930" w:rsidRPr="00DC1D06" w14:paraId="24C50831" w14:textId="77777777" w:rsidTr="002C03CF">
        <w:tc>
          <w:tcPr>
            <w:tcW w:w="5240" w:type="dxa"/>
          </w:tcPr>
          <w:p w14:paraId="453E8D2F" w14:textId="77777777" w:rsidR="008C7930" w:rsidRPr="00DC1D06" w:rsidRDefault="008C7930" w:rsidP="002C03CF">
            <w:pPr>
              <w:jc w:val="left"/>
            </w:pPr>
            <w:r w:rsidRPr="00DC1D06">
              <w:t>Disease resistance characteristic in DUS examination - Introduction</w:t>
            </w:r>
          </w:p>
        </w:tc>
        <w:tc>
          <w:tcPr>
            <w:tcW w:w="4394" w:type="dxa"/>
          </w:tcPr>
          <w:p w14:paraId="0BBB1FF1" w14:textId="77777777" w:rsidR="008C7930" w:rsidRPr="00DC1D06" w:rsidRDefault="008C7930" w:rsidP="002C03CF">
            <w:pPr>
              <w:jc w:val="left"/>
            </w:pPr>
            <w:r w:rsidRPr="00DC1D06">
              <w:t xml:space="preserve">UPOV (Mr. Leontino </w:t>
            </w:r>
            <w:proofErr w:type="spellStart"/>
            <w:r w:rsidRPr="00DC1D06">
              <w:t>Taveira</w:t>
            </w:r>
            <w:proofErr w:type="spellEnd"/>
            <w:r w:rsidRPr="00DC1D06">
              <w:t>)</w:t>
            </w:r>
          </w:p>
        </w:tc>
      </w:tr>
      <w:tr w:rsidR="008C7930" w:rsidRPr="00DC1D06" w14:paraId="525797B3" w14:textId="77777777" w:rsidTr="002C03CF">
        <w:tc>
          <w:tcPr>
            <w:tcW w:w="5240" w:type="dxa"/>
          </w:tcPr>
          <w:p w14:paraId="35D7F6A6" w14:textId="77777777" w:rsidR="008C7930" w:rsidRPr="00DC1D06" w:rsidRDefault="008C7930" w:rsidP="002C03CF">
            <w:pPr>
              <w:jc w:val="left"/>
            </w:pPr>
            <w:r w:rsidRPr="00DC1D06">
              <w:t>Disease resistance characteristic in DUS examination - Argentina</w:t>
            </w:r>
          </w:p>
        </w:tc>
        <w:tc>
          <w:tcPr>
            <w:tcW w:w="4394" w:type="dxa"/>
          </w:tcPr>
          <w:p w14:paraId="391E16A5" w14:textId="77777777" w:rsidR="008C7930" w:rsidRPr="00DC1D06" w:rsidRDefault="008C7930" w:rsidP="002C03CF">
            <w:pPr>
              <w:jc w:val="left"/>
            </w:pPr>
            <w:r w:rsidRPr="00DC1D06">
              <w:t>Argentina (Mr. Alberto Ballesteros)</w:t>
            </w:r>
          </w:p>
        </w:tc>
      </w:tr>
      <w:tr w:rsidR="008C7930" w:rsidRPr="00DC1D06" w14:paraId="682C1486" w14:textId="77777777" w:rsidTr="002C03CF">
        <w:tc>
          <w:tcPr>
            <w:tcW w:w="5240" w:type="dxa"/>
          </w:tcPr>
          <w:p w14:paraId="05638D1E" w14:textId="77777777" w:rsidR="008C7930" w:rsidRPr="00DC1D06" w:rsidRDefault="008C7930" w:rsidP="002C03CF">
            <w:pPr>
              <w:jc w:val="left"/>
            </w:pPr>
            <w:r w:rsidRPr="00DC1D06">
              <w:t>Disease resistance characteristics in DUS examination: CPVO experience</w:t>
            </w:r>
          </w:p>
        </w:tc>
        <w:tc>
          <w:tcPr>
            <w:tcW w:w="4394" w:type="dxa"/>
          </w:tcPr>
          <w:p w14:paraId="57295844" w14:textId="77777777" w:rsidR="008C7930" w:rsidRPr="00DC1D06" w:rsidRDefault="008C7930" w:rsidP="002C03CF">
            <w:pPr>
              <w:jc w:val="left"/>
            </w:pPr>
            <w:r w:rsidRPr="00DC1D06">
              <w:t>European Union (Ms. Celine Morineau)</w:t>
            </w:r>
          </w:p>
        </w:tc>
      </w:tr>
      <w:tr w:rsidR="008C7930" w:rsidRPr="00DC1D06" w14:paraId="7522110D" w14:textId="77777777" w:rsidTr="002C03CF">
        <w:tc>
          <w:tcPr>
            <w:tcW w:w="5240" w:type="dxa"/>
          </w:tcPr>
          <w:p w14:paraId="7E1C4120" w14:textId="77777777" w:rsidR="008C7930" w:rsidRPr="00DC1D06" w:rsidRDefault="008C7930" w:rsidP="002C03CF">
            <w:pPr>
              <w:jc w:val="left"/>
            </w:pPr>
            <w:r w:rsidRPr="00DC1D06">
              <w:t>Current experience at GEVES concerning the use of disease resistance characteristics in DUS examination France</w:t>
            </w:r>
          </w:p>
        </w:tc>
        <w:tc>
          <w:tcPr>
            <w:tcW w:w="4394" w:type="dxa"/>
          </w:tcPr>
          <w:p w14:paraId="1CFB70C6" w14:textId="77777777" w:rsidR="008C7930" w:rsidRPr="00DC1D06" w:rsidRDefault="008C7930" w:rsidP="002C03CF">
            <w:pPr>
              <w:jc w:val="left"/>
            </w:pPr>
            <w:r w:rsidRPr="00DC1D06">
              <w:t xml:space="preserve">France (Ms. Clarisse </w:t>
            </w:r>
            <w:proofErr w:type="spellStart"/>
            <w:r w:rsidRPr="00DC1D06">
              <w:t>Leclair</w:t>
            </w:r>
            <w:proofErr w:type="spellEnd"/>
            <w:r w:rsidRPr="00DC1D06">
              <w:t>)</w:t>
            </w:r>
          </w:p>
        </w:tc>
      </w:tr>
      <w:tr w:rsidR="008C7930" w:rsidRPr="00DC1D06" w14:paraId="1727AD18" w14:textId="77777777" w:rsidTr="002C03CF">
        <w:tc>
          <w:tcPr>
            <w:tcW w:w="5240" w:type="dxa"/>
          </w:tcPr>
          <w:p w14:paraId="36F5179C" w14:textId="77777777" w:rsidR="008C7930" w:rsidRPr="00DC1D06" w:rsidRDefault="008C7930" w:rsidP="002C03CF">
            <w:pPr>
              <w:jc w:val="left"/>
            </w:pPr>
            <w:r w:rsidRPr="00DC1D06">
              <w:t>Use of resistance characteristics in DUS in Germany</w:t>
            </w:r>
          </w:p>
        </w:tc>
        <w:tc>
          <w:tcPr>
            <w:tcW w:w="4394" w:type="dxa"/>
          </w:tcPr>
          <w:p w14:paraId="7397871F" w14:textId="77777777" w:rsidR="008C7930" w:rsidRPr="00DC1D06" w:rsidRDefault="008C7930" w:rsidP="002C03CF">
            <w:pPr>
              <w:jc w:val="left"/>
            </w:pPr>
            <w:r w:rsidRPr="00DC1D06">
              <w:t>Germany (Ms. Swenja Tams)</w:t>
            </w:r>
          </w:p>
        </w:tc>
      </w:tr>
      <w:tr w:rsidR="008C7930" w:rsidRPr="00DC1D06" w14:paraId="1A086095" w14:textId="77777777" w:rsidTr="002C03CF">
        <w:tc>
          <w:tcPr>
            <w:tcW w:w="5240" w:type="dxa"/>
          </w:tcPr>
          <w:p w14:paraId="68283CDF" w14:textId="77777777" w:rsidR="008C7930" w:rsidRPr="00DC1D06" w:rsidRDefault="008C7930" w:rsidP="002C03CF">
            <w:pPr>
              <w:jc w:val="left"/>
            </w:pPr>
            <w:r w:rsidRPr="00DC1D06">
              <w:t>Physiological characteristics and Disease resistance characteristics in PVP - Japan</w:t>
            </w:r>
          </w:p>
        </w:tc>
        <w:tc>
          <w:tcPr>
            <w:tcW w:w="4394" w:type="dxa"/>
          </w:tcPr>
          <w:p w14:paraId="6AB417F7" w14:textId="77777777" w:rsidR="008C7930" w:rsidRPr="00DC1D06" w:rsidRDefault="008C7930" w:rsidP="002C03CF">
            <w:pPr>
              <w:jc w:val="left"/>
            </w:pPr>
            <w:r w:rsidRPr="00DC1D06">
              <w:t>Japan (Mr. Yoshiyuki Ohno)</w:t>
            </w:r>
          </w:p>
        </w:tc>
      </w:tr>
      <w:tr w:rsidR="008C7930" w:rsidRPr="00DC1D06" w14:paraId="1E0DB2BB" w14:textId="77777777" w:rsidTr="002C03CF">
        <w:tc>
          <w:tcPr>
            <w:tcW w:w="5240" w:type="dxa"/>
          </w:tcPr>
          <w:p w14:paraId="4E6E05A6" w14:textId="77777777" w:rsidR="008C7930" w:rsidRPr="00DC1D06" w:rsidRDefault="008C7930" w:rsidP="002C03CF">
            <w:pPr>
              <w:jc w:val="left"/>
            </w:pPr>
            <w:r w:rsidRPr="00DC1D06">
              <w:t>Importance of disease resistance characteristics for DUS examination - Netherlands</w:t>
            </w:r>
          </w:p>
        </w:tc>
        <w:tc>
          <w:tcPr>
            <w:tcW w:w="4394" w:type="dxa"/>
          </w:tcPr>
          <w:p w14:paraId="6DDBA31E" w14:textId="77777777" w:rsidR="008C7930" w:rsidRPr="00DC1D06" w:rsidRDefault="008C7930" w:rsidP="002C03CF">
            <w:pPr>
              <w:jc w:val="left"/>
            </w:pPr>
            <w:r w:rsidRPr="00DC1D06">
              <w:t xml:space="preserve">Netherlands (Kingdom of the) (Mr. Raoul </w:t>
            </w:r>
            <w:proofErr w:type="spellStart"/>
            <w:r w:rsidRPr="00DC1D06">
              <w:t>Haegens</w:t>
            </w:r>
            <w:proofErr w:type="spellEnd"/>
            <w:r w:rsidRPr="00DC1D06">
              <w:t>)</w:t>
            </w:r>
          </w:p>
        </w:tc>
      </w:tr>
      <w:tr w:rsidR="008C7930" w:rsidRPr="00DC1D06" w14:paraId="3A46D4C4" w14:textId="77777777" w:rsidTr="002C03CF">
        <w:tc>
          <w:tcPr>
            <w:tcW w:w="5240" w:type="dxa"/>
          </w:tcPr>
          <w:p w14:paraId="0E8E7B17" w14:textId="77777777" w:rsidR="008C7930" w:rsidRPr="00DC1D06" w:rsidRDefault="008C7930" w:rsidP="002C03CF">
            <w:pPr>
              <w:jc w:val="left"/>
            </w:pPr>
            <w:r w:rsidRPr="00DC1D06">
              <w:t>Disease resistance characteristics used in DUS examinations - United States of America</w:t>
            </w:r>
          </w:p>
        </w:tc>
        <w:tc>
          <w:tcPr>
            <w:tcW w:w="4394" w:type="dxa"/>
          </w:tcPr>
          <w:p w14:paraId="0B14DBF4" w14:textId="77777777" w:rsidR="008C7930" w:rsidRPr="00DC1D06" w:rsidRDefault="008C7930" w:rsidP="002C03CF">
            <w:pPr>
              <w:jc w:val="left"/>
            </w:pPr>
            <w:r w:rsidRPr="00DC1D06">
              <w:t>United States of America (Mr. Jeffery Haynes)</w:t>
            </w:r>
          </w:p>
        </w:tc>
      </w:tr>
      <w:tr w:rsidR="008C7930" w:rsidRPr="00DC1D06" w14:paraId="00C7AFA7" w14:textId="77777777" w:rsidTr="002C03CF">
        <w:tc>
          <w:tcPr>
            <w:tcW w:w="5240" w:type="dxa"/>
          </w:tcPr>
          <w:p w14:paraId="4A5D34BA" w14:textId="77777777" w:rsidR="008C7930" w:rsidRPr="00DC1D06" w:rsidRDefault="008C7930" w:rsidP="002C03CF">
            <w:pPr>
              <w:jc w:val="left"/>
            </w:pPr>
            <w:r w:rsidRPr="00DC1D06">
              <w:lastRenderedPageBreak/>
              <w:t>Disease Resistance Characteristics in DUS Examination: Breeders’ Perspectives - ISF</w:t>
            </w:r>
          </w:p>
        </w:tc>
        <w:tc>
          <w:tcPr>
            <w:tcW w:w="4394" w:type="dxa"/>
          </w:tcPr>
          <w:p w14:paraId="74BC8F05" w14:textId="77777777" w:rsidR="008C7930" w:rsidRPr="00DC1D06" w:rsidRDefault="008C7930" w:rsidP="002C03CF">
            <w:pPr>
              <w:jc w:val="left"/>
            </w:pPr>
            <w:r w:rsidRPr="00DC1D06">
              <w:t>International Seed Federation (Mr. Ben Rivoire)</w:t>
            </w:r>
          </w:p>
        </w:tc>
      </w:tr>
    </w:tbl>
    <w:p w14:paraId="07AA3E76" w14:textId="77777777" w:rsidR="008C7930" w:rsidRDefault="008C7930" w:rsidP="008C7930"/>
    <w:p w14:paraId="292AEF77" w14:textId="77777777" w:rsidR="008C7930" w:rsidRDefault="008C7930" w:rsidP="008C7930">
      <w:r>
        <w:fldChar w:fldCharType="begin"/>
      </w:r>
      <w:r>
        <w:instrText xml:space="preserve"> AUTONUM  </w:instrText>
      </w:r>
      <w:r>
        <w:fldChar w:fldCharType="end"/>
      </w:r>
      <w:r>
        <w:tab/>
        <w:t>The TC agreed the following summary of discussions:</w:t>
      </w:r>
    </w:p>
    <w:p w14:paraId="6F3168DB" w14:textId="4D33E4DE" w:rsidR="008C7930" w:rsidRPr="00C87F1C" w:rsidRDefault="008C7930" w:rsidP="008C7930"/>
    <w:p w14:paraId="559079BA" w14:textId="77777777" w:rsidR="008C7930" w:rsidRDefault="008C7930" w:rsidP="006718F6">
      <w:pPr>
        <w:pStyle w:val="ListParagraph"/>
        <w:numPr>
          <w:ilvl w:val="0"/>
          <w:numId w:val="26"/>
        </w:numPr>
        <w:spacing w:before="60"/>
        <w:ind w:left="1134" w:hanging="567"/>
        <w:contextualSpacing w:val="0"/>
      </w:pPr>
      <w:r w:rsidRPr="00C87F1C">
        <w:t>Disease resistance characteristics are important for DUS</w:t>
      </w:r>
      <w:r>
        <w:t>. Examples were presented for</w:t>
      </w:r>
      <w:r w:rsidRPr="00C87F1C">
        <w:t xml:space="preserve"> vegetable</w:t>
      </w:r>
      <w:r>
        <w:t>s and agricultural</w:t>
      </w:r>
      <w:r w:rsidRPr="00C87F1C">
        <w:t xml:space="preserve"> species</w:t>
      </w:r>
      <w:r>
        <w:t>.</w:t>
      </w:r>
    </w:p>
    <w:p w14:paraId="229AC6D7" w14:textId="77777777" w:rsidR="008C7930" w:rsidRPr="00B82D0E" w:rsidRDefault="008C7930" w:rsidP="006718F6">
      <w:pPr>
        <w:pStyle w:val="ListParagraph"/>
        <w:numPr>
          <w:ilvl w:val="0"/>
          <w:numId w:val="26"/>
        </w:numPr>
        <w:spacing w:before="60"/>
        <w:ind w:left="1134" w:hanging="567"/>
      </w:pPr>
      <w:r w:rsidRPr="00B82D0E">
        <w:t>The</w:t>
      </w:r>
      <w:r>
        <w:t xml:space="preserve">re may be different </w:t>
      </w:r>
      <w:r w:rsidRPr="00B82D0E">
        <w:t>need for international harmonization through UPOV TGs, more clearly for vegetables.</w:t>
      </w:r>
    </w:p>
    <w:p w14:paraId="26CAD9A8" w14:textId="77777777" w:rsidR="008C7930" w:rsidRDefault="008C7930" w:rsidP="006718F6">
      <w:pPr>
        <w:pStyle w:val="ListParagraph"/>
        <w:numPr>
          <w:ilvl w:val="0"/>
          <w:numId w:val="26"/>
        </w:numPr>
        <w:spacing w:before="60"/>
        <w:ind w:left="1134" w:hanging="567"/>
        <w:contextualSpacing w:val="0"/>
      </w:pPr>
      <w:r w:rsidRPr="00C87F1C">
        <w:t xml:space="preserve">Complex interaction pathogen x environment x variety </w:t>
      </w:r>
      <w:r>
        <w:t xml:space="preserve">may </w:t>
      </w:r>
      <w:r w:rsidRPr="00C87F1C">
        <w:t xml:space="preserve">require frequent </w:t>
      </w:r>
      <w:r>
        <w:t>review</w:t>
      </w:r>
      <w:r w:rsidRPr="00C87F1C">
        <w:t xml:space="preserve"> of characteristics in </w:t>
      </w:r>
      <w:r>
        <w:t>test guidelines, including technical questionnaires</w:t>
      </w:r>
    </w:p>
    <w:p w14:paraId="4F0CDAAC" w14:textId="77777777" w:rsidR="008C7930" w:rsidRDefault="008C7930" w:rsidP="006718F6">
      <w:pPr>
        <w:pStyle w:val="ListParagraph"/>
        <w:numPr>
          <w:ilvl w:val="0"/>
          <w:numId w:val="26"/>
        </w:numPr>
        <w:spacing w:before="60"/>
        <w:ind w:left="1134" w:hanging="567"/>
        <w:contextualSpacing w:val="0"/>
      </w:pPr>
      <w:r w:rsidRPr="00C87F1C">
        <w:t xml:space="preserve">National, regional and international importance should be considered </w:t>
      </w:r>
      <w:r>
        <w:t>when deciding for whether to include disease resistance characteristics in test guidelines</w:t>
      </w:r>
      <w:r w:rsidDel="002017DF">
        <w:t xml:space="preserve"> </w:t>
      </w:r>
    </w:p>
    <w:p w14:paraId="3B2DCDC1" w14:textId="77777777" w:rsidR="008C7930" w:rsidRPr="00B010DA" w:rsidRDefault="008C7930" w:rsidP="006718F6">
      <w:pPr>
        <w:pStyle w:val="ListParagraph"/>
        <w:numPr>
          <w:ilvl w:val="0"/>
          <w:numId w:val="26"/>
        </w:numPr>
        <w:spacing w:before="60"/>
        <w:ind w:left="1134" w:hanging="567"/>
        <w:contextualSpacing w:val="0"/>
      </w:pPr>
      <w:r w:rsidRPr="00C87F1C">
        <w:t>Clear definition and harmonization of methods is required for reliable descriptions (involvement of DUS experts, phytopathologists and breeders)</w:t>
      </w:r>
      <w:r w:rsidRPr="00B010DA">
        <w:t xml:space="preserve"> </w:t>
      </w:r>
    </w:p>
    <w:p w14:paraId="673B33B6" w14:textId="77777777" w:rsidR="008C7930" w:rsidRDefault="008C7930" w:rsidP="006718F6">
      <w:pPr>
        <w:pStyle w:val="ListParagraph"/>
        <w:numPr>
          <w:ilvl w:val="0"/>
          <w:numId w:val="26"/>
        </w:numPr>
        <w:spacing w:before="60"/>
        <w:ind w:left="1134" w:hanging="567"/>
        <w:contextualSpacing w:val="0"/>
      </w:pPr>
      <w:r w:rsidRPr="00C87F1C">
        <w:t xml:space="preserve">Development of new technologies, e.g. molecular markers as alternative methods </w:t>
      </w:r>
      <w:r>
        <w:t>can</w:t>
      </w:r>
      <w:r w:rsidRPr="00C87F1C">
        <w:t xml:space="preserve"> improve testing</w:t>
      </w:r>
    </w:p>
    <w:p w14:paraId="653BBBB6" w14:textId="77777777" w:rsidR="008C7930" w:rsidRDefault="008C7930" w:rsidP="006718F6">
      <w:pPr>
        <w:pStyle w:val="ListParagraph"/>
        <w:numPr>
          <w:ilvl w:val="0"/>
          <w:numId w:val="26"/>
        </w:numPr>
        <w:spacing w:before="60"/>
        <w:ind w:left="1134" w:hanging="567"/>
        <w:contextualSpacing w:val="0"/>
      </w:pPr>
      <w:r w:rsidRPr="00AE47CA">
        <w:t xml:space="preserve">Cooperation between authorities in </w:t>
      </w:r>
      <w:r>
        <w:t xml:space="preserve">disease resistance </w:t>
      </w:r>
      <w:r w:rsidRPr="00AE47CA">
        <w:t>testing may be</w:t>
      </w:r>
      <w:r>
        <w:t xml:space="preserve"> considered</w:t>
      </w:r>
      <w:r w:rsidRPr="00AE47CA">
        <w:t xml:space="preserve"> </w:t>
      </w:r>
    </w:p>
    <w:p w14:paraId="3F9D12DA" w14:textId="77777777" w:rsidR="008C7930" w:rsidRDefault="008C7930" w:rsidP="006718F6">
      <w:pPr>
        <w:pStyle w:val="ListParagraph"/>
        <w:numPr>
          <w:ilvl w:val="0"/>
          <w:numId w:val="26"/>
        </w:numPr>
        <w:spacing w:before="60"/>
        <w:ind w:left="1134" w:hanging="567"/>
        <w:contextualSpacing w:val="0"/>
      </w:pPr>
      <w:r w:rsidRPr="00AE47CA">
        <w:t xml:space="preserve">TWP sessions should be used to inform </w:t>
      </w:r>
      <w:r>
        <w:t>on</w:t>
      </w:r>
      <w:r w:rsidRPr="00AE47CA">
        <w:t xml:space="preserve"> developments and to consider inclusion in TGs or notification of additional characteristics in the UPOV webpage</w:t>
      </w:r>
    </w:p>
    <w:p w14:paraId="07E917F4" w14:textId="77777777" w:rsidR="008C7930" w:rsidRPr="00AE47CA" w:rsidRDefault="008C7930" w:rsidP="006718F6">
      <w:pPr>
        <w:pStyle w:val="ListParagraph"/>
        <w:numPr>
          <w:ilvl w:val="0"/>
          <w:numId w:val="26"/>
        </w:numPr>
        <w:spacing w:before="60"/>
        <w:ind w:left="1134" w:hanging="567"/>
        <w:contextualSpacing w:val="0"/>
      </w:pPr>
      <w:r>
        <w:t>TWPs may consider addressing specific items on disease resistance characteristics in subgroups to advance discussions, including outside of TWP sessions</w:t>
      </w:r>
    </w:p>
    <w:p w14:paraId="544AFDA9" w14:textId="77777777" w:rsidR="0004198B" w:rsidRDefault="0004198B">
      <w:pPr>
        <w:jc w:val="left"/>
      </w:pPr>
    </w:p>
    <w:p w14:paraId="5BF214A9" w14:textId="77777777" w:rsidR="00050E16" w:rsidRDefault="00050E16" w:rsidP="00050E16"/>
    <w:p w14:paraId="481015AB" w14:textId="77777777" w:rsidR="00F3045D" w:rsidRPr="00DC1D06" w:rsidRDefault="00F3045D" w:rsidP="00F3045D">
      <w:pPr>
        <w:pStyle w:val="Heading1"/>
      </w:pPr>
      <w:bookmarkStart w:id="69" w:name="_Toc180500277"/>
      <w:r w:rsidRPr="00DC1D06">
        <w:t>Matters for information</w:t>
      </w:r>
      <w:bookmarkEnd w:id="69"/>
    </w:p>
    <w:p w14:paraId="2C1C2A2C" w14:textId="77777777" w:rsidR="00F3045D" w:rsidRPr="00DC1D06" w:rsidRDefault="00F3045D" w:rsidP="00F3045D"/>
    <w:p w14:paraId="4F8AA6C9" w14:textId="77777777" w:rsidR="00F3045D" w:rsidRPr="00DC1D06" w:rsidRDefault="00F3045D" w:rsidP="00F3045D">
      <w:pPr>
        <w:keepNext/>
      </w:pPr>
      <w:r w:rsidRPr="00DC1D06">
        <w:fldChar w:fldCharType="begin"/>
      </w:r>
      <w:r w:rsidRPr="00DC1D06">
        <w:instrText xml:space="preserve"> AUTONUM  </w:instrText>
      </w:r>
      <w:r w:rsidRPr="00DC1D06">
        <w:fldChar w:fldCharType="end"/>
      </w:r>
      <w:r w:rsidRPr="00DC1D06">
        <w:tab/>
        <w:t>The TC noted that the following documents have been posted as documents for information on the TC/60 webpage:</w:t>
      </w:r>
    </w:p>
    <w:p w14:paraId="152D4DD4" w14:textId="77777777" w:rsidR="00F3045D" w:rsidRPr="00DC1D06" w:rsidRDefault="00F3045D" w:rsidP="00F3045D"/>
    <w:p w14:paraId="060F8B92" w14:textId="77777777" w:rsidR="00F3045D" w:rsidRPr="00DC1D06" w:rsidRDefault="00F3045D" w:rsidP="00F3045D">
      <w:pPr>
        <w:keepNext/>
        <w:ind w:left="567"/>
      </w:pPr>
      <w:r w:rsidRPr="00DC1D06">
        <w:rPr>
          <w:rFonts w:cs="Arial"/>
          <w:snapToGrid w:val="0"/>
        </w:rPr>
        <w:t>(a)</w:t>
      </w:r>
      <w:r w:rsidRPr="00DC1D06">
        <w:rPr>
          <w:rFonts w:cs="Arial"/>
          <w:snapToGrid w:val="0"/>
        </w:rPr>
        <w:tab/>
        <w:t xml:space="preserve">List of genera and species for which authorities have practical experience in the examination of distinctness, uniformity and stability </w:t>
      </w:r>
      <w:r w:rsidRPr="00DC1D06">
        <w:rPr>
          <w:rFonts w:cs="Arial"/>
        </w:rPr>
        <w:t>(document TC/60/4)</w:t>
      </w:r>
    </w:p>
    <w:p w14:paraId="1D6A1371" w14:textId="77777777" w:rsidR="00F3045D" w:rsidRPr="00DC1D06" w:rsidRDefault="00F3045D" w:rsidP="00F3045D">
      <w:pPr>
        <w:ind w:left="567"/>
        <w:jc w:val="left"/>
        <w:rPr>
          <w:rFonts w:cs="Arial"/>
          <w:snapToGrid w:val="0"/>
        </w:rPr>
      </w:pPr>
    </w:p>
    <w:p w14:paraId="0978A0C2" w14:textId="77777777" w:rsidR="00F3045D" w:rsidRPr="00DC1D06" w:rsidRDefault="00F3045D" w:rsidP="00F3045D">
      <w:pPr>
        <w:ind w:left="567"/>
        <w:jc w:val="left"/>
        <w:rPr>
          <w:rFonts w:cs="Arial"/>
          <w:snapToGrid w:val="0"/>
        </w:rPr>
      </w:pPr>
      <w:r w:rsidRPr="00DC1D06">
        <w:rPr>
          <w:rFonts w:cs="Arial"/>
          <w:snapToGrid w:val="0"/>
        </w:rPr>
        <w:t>(b)</w:t>
      </w:r>
      <w:r w:rsidRPr="00DC1D06">
        <w:rPr>
          <w:rFonts w:cs="Arial"/>
          <w:snapToGrid w:val="0"/>
        </w:rPr>
        <w:tab/>
        <w:t>Meetings on Electronic Applications (EAM) (document SESSIONS/2024/4)</w:t>
      </w:r>
    </w:p>
    <w:p w14:paraId="73BBE99F" w14:textId="77777777" w:rsidR="00F3045D" w:rsidRPr="00DC1D06" w:rsidRDefault="00F3045D" w:rsidP="00F3045D"/>
    <w:p w14:paraId="0AFE6CFB" w14:textId="77777777" w:rsidR="00F3045D" w:rsidRDefault="00F3045D" w:rsidP="00F3045D"/>
    <w:p w14:paraId="3EAB607E" w14:textId="77777777" w:rsidR="00E32C47" w:rsidRPr="00DC1D06" w:rsidRDefault="00E32C47" w:rsidP="00F3045D"/>
    <w:p w14:paraId="5DA7822B" w14:textId="77777777" w:rsidR="00F3045D" w:rsidRPr="00DC1D06" w:rsidRDefault="00F3045D" w:rsidP="00F3045D">
      <w:pPr>
        <w:pStyle w:val="Heading1"/>
      </w:pPr>
      <w:bookmarkStart w:id="70" w:name="_Toc180500278"/>
      <w:r w:rsidRPr="00DC1D06">
        <w:t>Program of work for the Enlarged Editorial Committee (TC-EDC)</w:t>
      </w:r>
      <w:bookmarkEnd w:id="70"/>
      <w:r w:rsidRPr="00DC1D06">
        <w:t xml:space="preserve"> </w:t>
      </w:r>
    </w:p>
    <w:p w14:paraId="7E39932B" w14:textId="77777777" w:rsidR="00F3045D" w:rsidRPr="00DC1D06" w:rsidRDefault="00F3045D" w:rsidP="00F3045D"/>
    <w:p w14:paraId="01CFD9E0" w14:textId="77777777" w:rsidR="00F3045D" w:rsidRPr="00DC1D06" w:rsidRDefault="00F3045D" w:rsidP="00F3045D">
      <w:r w:rsidRPr="00DC1D06">
        <w:fldChar w:fldCharType="begin"/>
      </w:r>
      <w:r w:rsidRPr="00DC1D06">
        <w:instrText xml:space="preserve"> AUTONUM  </w:instrText>
      </w:r>
      <w:r w:rsidRPr="00DC1D06">
        <w:fldChar w:fldCharType="end"/>
      </w:r>
      <w:r w:rsidRPr="00DC1D06">
        <w:tab/>
        <w:t xml:space="preserve">The TC agreed to propose to the Council the following schedule of meetings for the TC-EDC: </w:t>
      </w:r>
    </w:p>
    <w:p w14:paraId="1DE62697" w14:textId="77777777" w:rsidR="00F3045D" w:rsidRPr="00DC1D06" w:rsidRDefault="00F3045D" w:rsidP="00F3045D"/>
    <w:p w14:paraId="21633BE3" w14:textId="77777777" w:rsidR="00F3045D" w:rsidRPr="00F3045D" w:rsidRDefault="00F3045D" w:rsidP="00F3045D">
      <w:pPr>
        <w:pStyle w:val="ListParagraph"/>
        <w:numPr>
          <w:ilvl w:val="0"/>
          <w:numId w:val="25"/>
        </w:numPr>
      </w:pPr>
      <w:r w:rsidRPr="00F3045D">
        <w:t>October 14 and 16, 2025 (virtual meetings)</w:t>
      </w:r>
    </w:p>
    <w:p w14:paraId="76FD3373" w14:textId="77777777" w:rsidR="00F3045D" w:rsidRPr="00F3045D" w:rsidRDefault="00F3045D" w:rsidP="00F3045D">
      <w:pPr>
        <w:pStyle w:val="ListParagraph"/>
        <w:numPr>
          <w:ilvl w:val="0"/>
          <w:numId w:val="25"/>
        </w:numPr>
      </w:pPr>
      <w:r w:rsidRPr="00F3045D">
        <w:t>October 19 and 20, 2025 (Geneva, hybrid meetings)</w:t>
      </w:r>
    </w:p>
    <w:p w14:paraId="6AABC79F" w14:textId="77777777" w:rsidR="00F3045D" w:rsidRPr="00F3045D" w:rsidRDefault="00F3045D" w:rsidP="00F3045D">
      <w:pPr>
        <w:pStyle w:val="ListParagraph"/>
        <w:numPr>
          <w:ilvl w:val="0"/>
          <w:numId w:val="25"/>
        </w:numPr>
      </w:pPr>
      <w:r w:rsidRPr="00F3045D">
        <w:t>January 13 and 15, 2026 (virtual meetings)</w:t>
      </w:r>
    </w:p>
    <w:p w14:paraId="5B1620E9" w14:textId="77777777" w:rsidR="00F3045D" w:rsidRPr="00F3045D" w:rsidRDefault="00F3045D" w:rsidP="00F3045D">
      <w:pPr>
        <w:pStyle w:val="ListParagraph"/>
        <w:numPr>
          <w:ilvl w:val="0"/>
          <w:numId w:val="25"/>
        </w:numPr>
      </w:pPr>
      <w:r w:rsidRPr="00F3045D">
        <w:t>March 17 and 19, 2026 (virtual meetings)</w:t>
      </w:r>
    </w:p>
    <w:p w14:paraId="710F702F" w14:textId="77777777" w:rsidR="00544581" w:rsidRDefault="00544581">
      <w:pPr>
        <w:jc w:val="left"/>
      </w:pPr>
    </w:p>
    <w:p w14:paraId="103913B9" w14:textId="77777777" w:rsidR="000034DB" w:rsidRDefault="000034DB">
      <w:pPr>
        <w:jc w:val="left"/>
      </w:pPr>
    </w:p>
    <w:p w14:paraId="28BDB58F" w14:textId="77777777" w:rsidR="000034DB" w:rsidRPr="00DC1D06" w:rsidRDefault="000034DB" w:rsidP="000034DB">
      <w:pPr>
        <w:pStyle w:val="Heading1"/>
      </w:pPr>
      <w:bookmarkStart w:id="71" w:name="_Toc180500279"/>
      <w:r w:rsidRPr="00DC1D06">
        <w:t>Program for the sixty-first session</w:t>
      </w:r>
      <w:bookmarkEnd w:id="71"/>
    </w:p>
    <w:p w14:paraId="10EAF157" w14:textId="77777777" w:rsidR="000034DB" w:rsidRPr="00DC1D06" w:rsidRDefault="000034DB" w:rsidP="000034DB">
      <w:pPr>
        <w:keepNext/>
      </w:pPr>
    </w:p>
    <w:p w14:paraId="20394789" w14:textId="34CCCF6C" w:rsidR="000034DB" w:rsidRPr="00DC1D06" w:rsidRDefault="000034DB" w:rsidP="000034DB">
      <w:r w:rsidRPr="00DC1D06">
        <w:fldChar w:fldCharType="begin"/>
      </w:r>
      <w:r w:rsidRPr="00DC1D06">
        <w:instrText xml:space="preserve"> AUTONUM  </w:instrText>
      </w:r>
      <w:r w:rsidRPr="00DC1D06">
        <w:fldChar w:fldCharType="end"/>
      </w:r>
      <w:r w:rsidRPr="00DC1D06">
        <w:tab/>
        <w:t>The TC agreed the following program for its six</w:t>
      </w:r>
      <w:r>
        <w:t>ty-first</w:t>
      </w:r>
      <w:r w:rsidRPr="00DC1D06">
        <w:t xml:space="preserve"> session to be held on October 20 and 21, 2025:</w:t>
      </w:r>
    </w:p>
    <w:p w14:paraId="507A1DB2" w14:textId="77777777" w:rsidR="000034DB" w:rsidRPr="00DC1D06" w:rsidRDefault="000034DB" w:rsidP="000034DB"/>
    <w:p w14:paraId="77D22814" w14:textId="77777777" w:rsidR="000034DB" w:rsidRPr="00DC1D06" w:rsidRDefault="000034DB" w:rsidP="000034DB">
      <w:pPr>
        <w:pStyle w:val="ListParagraph"/>
        <w:keepNext/>
        <w:numPr>
          <w:ilvl w:val="0"/>
          <w:numId w:val="11"/>
        </w:numPr>
        <w:tabs>
          <w:tab w:val="left" w:pos="1134"/>
        </w:tabs>
        <w:spacing w:line="276" w:lineRule="auto"/>
      </w:pPr>
      <w:r w:rsidRPr="00DC1D06">
        <w:t>Opening of the session</w:t>
      </w:r>
    </w:p>
    <w:p w14:paraId="54586F1E" w14:textId="77777777" w:rsidR="000034DB" w:rsidRPr="00DC1D06" w:rsidRDefault="000034DB" w:rsidP="000034DB">
      <w:pPr>
        <w:pStyle w:val="ListParagraph"/>
        <w:numPr>
          <w:ilvl w:val="0"/>
          <w:numId w:val="11"/>
        </w:numPr>
        <w:tabs>
          <w:tab w:val="left" w:pos="1134"/>
        </w:tabs>
        <w:spacing w:line="276" w:lineRule="auto"/>
      </w:pPr>
      <w:r w:rsidRPr="00DC1D06">
        <w:t>Adoption of the agenda</w:t>
      </w:r>
    </w:p>
    <w:p w14:paraId="5FABA272" w14:textId="77777777" w:rsidR="000034DB" w:rsidRPr="00DC1D06" w:rsidRDefault="000034DB" w:rsidP="000034DB">
      <w:pPr>
        <w:pStyle w:val="ListParagraph"/>
        <w:numPr>
          <w:ilvl w:val="0"/>
          <w:numId w:val="11"/>
        </w:numPr>
        <w:tabs>
          <w:tab w:val="left" w:pos="1134"/>
        </w:tabs>
        <w:spacing w:line="276" w:lineRule="auto"/>
      </w:pPr>
      <w:r w:rsidRPr="00DC1D06">
        <w:rPr>
          <w:rFonts w:cs="Arial"/>
          <w:snapToGrid w:val="0"/>
        </w:rPr>
        <w:t>Report by the Vice Secretary-General on developments in UPOV</w:t>
      </w:r>
      <w:r w:rsidRPr="00DC1D06">
        <w:t xml:space="preserve"> </w:t>
      </w:r>
    </w:p>
    <w:p w14:paraId="5683D35E" w14:textId="77777777" w:rsidR="000034DB" w:rsidRPr="00DC1D06" w:rsidRDefault="000034DB" w:rsidP="000034DB">
      <w:pPr>
        <w:pStyle w:val="ListParagraph"/>
        <w:numPr>
          <w:ilvl w:val="0"/>
          <w:numId w:val="11"/>
        </w:numPr>
        <w:tabs>
          <w:tab w:val="left" w:pos="1134"/>
        </w:tabs>
        <w:spacing w:line="276" w:lineRule="auto"/>
      </w:pPr>
      <w:r w:rsidRPr="00DC1D06">
        <w:t xml:space="preserve">Progress reports on the work of the Technical Working Parties </w:t>
      </w:r>
    </w:p>
    <w:p w14:paraId="1A50A2D4" w14:textId="77777777" w:rsidR="000034DB" w:rsidRPr="00DC1D06" w:rsidRDefault="000034DB" w:rsidP="000034DB">
      <w:pPr>
        <w:pStyle w:val="ListParagraph"/>
        <w:numPr>
          <w:ilvl w:val="0"/>
          <w:numId w:val="11"/>
        </w:numPr>
        <w:tabs>
          <w:tab w:val="left" w:pos="1134"/>
        </w:tabs>
        <w:spacing w:line="276" w:lineRule="auto"/>
      </w:pPr>
      <w:r w:rsidRPr="00DC1D06">
        <w:t xml:space="preserve">Matters arising from the Technical Working Parties </w:t>
      </w:r>
    </w:p>
    <w:p w14:paraId="22836527" w14:textId="77777777" w:rsidR="000034DB" w:rsidRPr="00DC1D06" w:rsidRDefault="000034DB" w:rsidP="000034DB">
      <w:pPr>
        <w:pStyle w:val="ListParagraph"/>
        <w:numPr>
          <w:ilvl w:val="0"/>
          <w:numId w:val="11"/>
        </w:numPr>
        <w:tabs>
          <w:tab w:val="left" w:pos="1134"/>
        </w:tabs>
        <w:spacing w:line="276" w:lineRule="auto"/>
      </w:pPr>
      <w:r w:rsidRPr="00DC1D06">
        <w:t xml:space="preserve">Development of guidance and documents proposed for adoption by the Council </w:t>
      </w:r>
    </w:p>
    <w:p w14:paraId="25CC3D3F" w14:textId="77777777" w:rsidR="000034DB" w:rsidRPr="00DC1D06" w:rsidRDefault="000034DB" w:rsidP="000034DB">
      <w:pPr>
        <w:pStyle w:val="ListParagraph"/>
        <w:numPr>
          <w:ilvl w:val="0"/>
          <w:numId w:val="11"/>
        </w:numPr>
        <w:tabs>
          <w:tab w:val="left" w:pos="1134"/>
        </w:tabs>
        <w:spacing w:line="276" w:lineRule="auto"/>
      </w:pPr>
      <w:r w:rsidRPr="00DC1D06">
        <w:t xml:space="preserve">Measures to enhance cooperation in examination </w:t>
      </w:r>
    </w:p>
    <w:p w14:paraId="27565695" w14:textId="77777777" w:rsidR="000034DB" w:rsidRPr="00DC1D06" w:rsidRDefault="000034DB" w:rsidP="000034DB">
      <w:pPr>
        <w:pStyle w:val="ListParagraph"/>
        <w:numPr>
          <w:ilvl w:val="0"/>
          <w:numId w:val="11"/>
        </w:numPr>
      </w:pPr>
      <w:r w:rsidRPr="00DC1D06">
        <w:t>Measures to improve support provided for DUS examination</w:t>
      </w:r>
    </w:p>
    <w:p w14:paraId="36444A8D" w14:textId="77777777" w:rsidR="000034DB" w:rsidRPr="00DC1D06" w:rsidRDefault="000034DB" w:rsidP="000034DB">
      <w:pPr>
        <w:pStyle w:val="ListParagraph"/>
        <w:numPr>
          <w:ilvl w:val="0"/>
          <w:numId w:val="11"/>
        </w:numPr>
      </w:pPr>
      <w:r w:rsidRPr="00DC1D06">
        <w:t xml:space="preserve">UPOV information databases </w:t>
      </w:r>
    </w:p>
    <w:p w14:paraId="74ECD471" w14:textId="77777777" w:rsidR="000034DB" w:rsidRPr="00DC1D06" w:rsidRDefault="000034DB" w:rsidP="000034DB">
      <w:pPr>
        <w:pStyle w:val="ListParagraph"/>
        <w:numPr>
          <w:ilvl w:val="0"/>
          <w:numId w:val="11"/>
        </w:numPr>
        <w:tabs>
          <w:tab w:val="left" w:pos="1134"/>
        </w:tabs>
        <w:spacing w:line="276" w:lineRule="auto"/>
      </w:pPr>
      <w:r w:rsidRPr="00DC1D06">
        <w:lastRenderedPageBreak/>
        <w:t xml:space="preserve">Molecular techniques </w:t>
      </w:r>
    </w:p>
    <w:p w14:paraId="3C9EEF5B" w14:textId="77777777" w:rsidR="000034DB" w:rsidRPr="0033385E" w:rsidRDefault="000034DB" w:rsidP="000034DB">
      <w:pPr>
        <w:pStyle w:val="ListParagraph"/>
        <w:numPr>
          <w:ilvl w:val="0"/>
          <w:numId w:val="11"/>
        </w:numPr>
        <w:tabs>
          <w:tab w:val="left" w:pos="1134"/>
        </w:tabs>
        <w:spacing w:line="276" w:lineRule="auto"/>
      </w:pPr>
      <w:r w:rsidRPr="0033385E">
        <w:t xml:space="preserve">TWP workshops and webinars </w:t>
      </w:r>
    </w:p>
    <w:p w14:paraId="38515D16" w14:textId="77777777" w:rsidR="000034DB" w:rsidRPr="0033385E" w:rsidRDefault="000034DB" w:rsidP="000034DB">
      <w:pPr>
        <w:pStyle w:val="ListParagraph"/>
        <w:numPr>
          <w:ilvl w:val="0"/>
          <w:numId w:val="11"/>
        </w:numPr>
        <w:tabs>
          <w:tab w:val="left" w:pos="1134"/>
        </w:tabs>
        <w:spacing w:line="276" w:lineRule="auto"/>
      </w:pPr>
      <w:r w:rsidRPr="0033385E">
        <w:t>Open discussion: New technologies in DUS examination</w:t>
      </w:r>
    </w:p>
    <w:p w14:paraId="246CE578" w14:textId="77777777" w:rsidR="000034DB" w:rsidRPr="00DC1D06" w:rsidRDefault="000034DB" w:rsidP="000034DB">
      <w:pPr>
        <w:pStyle w:val="ListParagraph"/>
        <w:numPr>
          <w:ilvl w:val="0"/>
          <w:numId w:val="11"/>
        </w:numPr>
        <w:tabs>
          <w:tab w:val="left" w:pos="1134"/>
        </w:tabs>
        <w:spacing w:line="276" w:lineRule="auto"/>
      </w:pPr>
      <w:r w:rsidRPr="00DC1D06">
        <w:t>Matters for information:</w:t>
      </w:r>
    </w:p>
    <w:p w14:paraId="00ABE338" w14:textId="77777777" w:rsidR="000034DB" w:rsidRPr="00DC1D06" w:rsidRDefault="000034DB" w:rsidP="000034DB">
      <w:pPr>
        <w:pStyle w:val="ListParagraph"/>
        <w:numPr>
          <w:ilvl w:val="1"/>
          <w:numId w:val="11"/>
        </w:numPr>
        <w:tabs>
          <w:tab w:val="left" w:pos="1134"/>
          <w:tab w:val="left" w:pos="1701"/>
        </w:tabs>
        <w:spacing w:line="276" w:lineRule="auto"/>
      </w:pPr>
      <w:r w:rsidRPr="00DC1D06">
        <w:t>Meetings on Electronic Applications (EAM)</w:t>
      </w:r>
    </w:p>
    <w:p w14:paraId="5D389EC7" w14:textId="77777777" w:rsidR="000034DB" w:rsidRPr="00DC1D06" w:rsidRDefault="000034DB" w:rsidP="000034DB">
      <w:pPr>
        <w:pStyle w:val="ListParagraph"/>
        <w:numPr>
          <w:ilvl w:val="1"/>
          <w:numId w:val="11"/>
        </w:numPr>
        <w:tabs>
          <w:tab w:val="left" w:pos="1134"/>
          <w:tab w:val="left" w:pos="1701"/>
        </w:tabs>
        <w:spacing w:line="276" w:lineRule="auto"/>
      </w:pPr>
      <w:r w:rsidRPr="00DC1D06">
        <w:t>List of genera and species for which authorities have practical experience in the examination of distinctness, uniformity and stability</w:t>
      </w:r>
    </w:p>
    <w:p w14:paraId="6030246A" w14:textId="77777777" w:rsidR="000034DB" w:rsidRPr="00DC1D06" w:rsidRDefault="000034DB" w:rsidP="000034DB">
      <w:pPr>
        <w:pStyle w:val="ListParagraph"/>
        <w:numPr>
          <w:ilvl w:val="0"/>
          <w:numId w:val="11"/>
        </w:numPr>
        <w:tabs>
          <w:tab w:val="left" w:pos="1134"/>
        </w:tabs>
        <w:spacing w:line="276" w:lineRule="auto"/>
      </w:pPr>
      <w:r w:rsidRPr="00DC1D06">
        <w:t>Test Guidelines</w:t>
      </w:r>
    </w:p>
    <w:p w14:paraId="31F1DFEF" w14:textId="77777777" w:rsidR="000034DB" w:rsidRPr="00DC1D06" w:rsidRDefault="000034DB" w:rsidP="000034DB">
      <w:pPr>
        <w:pStyle w:val="ListParagraph"/>
        <w:numPr>
          <w:ilvl w:val="0"/>
          <w:numId w:val="11"/>
        </w:numPr>
        <w:tabs>
          <w:tab w:val="left" w:pos="1134"/>
        </w:tabs>
        <w:spacing w:line="276" w:lineRule="auto"/>
      </w:pPr>
      <w:r w:rsidRPr="00DC1D06">
        <w:t xml:space="preserve">Program for the sixty-second session </w:t>
      </w:r>
    </w:p>
    <w:p w14:paraId="27289D1B" w14:textId="77777777" w:rsidR="000034DB" w:rsidRPr="00DC1D06" w:rsidRDefault="000034DB" w:rsidP="000034DB">
      <w:pPr>
        <w:pStyle w:val="ListParagraph"/>
        <w:numPr>
          <w:ilvl w:val="0"/>
          <w:numId w:val="11"/>
        </w:numPr>
        <w:tabs>
          <w:tab w:val="left" w:pos="1134"/>
        </w:tabs>
        <w:spacing w:line="276" w:lineRule="auto"/>
      </w:pPr>
      <w:r w:rsidRPr="00DC1D06">
        <w:t>Adoption of the report (if time permits)</w:t>
      </w:r>
    </w:p>
    <w:p w14:paraId="5C1FE102" w14:textId="77777777" w:rsidR="000034DB" w:rsidRPr="00DC1D06" w:rsidRDefault="000034DB" w:rsidP="000034DB">
      <w:pPr>
        <w:pStyle w:val="ListParagraph"/>
        <w:numPr>
          <w:ilvl w:val="0"/>
          <w:numId w:val="11"/>
        </w:numPr>
        <w:tabs>
          <w:tab w:val="left" w:pos="1134"/>
        </w:tabs>
        <w:spacing w:line="276" w:lineRule="auto"/>
      </w:pPr>
      <w:r w:rsidRPr="00DC1D06">
        <w:t>Closing of the session</w:t>
      </w:r>
    </w:p>
    <w:p w14:paraId="073C20A9" w14:textId="77777777" w:rsidR="000034DB" w:rsidRDefault="000034DB">
      <w:pPr>
        <w:jc w:val="left"/>
      </w:pPr>
    </w:p>
    <w:p w14:paraId="4D8FF771" w14:textId="77777777" w:rsidR="00323F7D" w:rsidRDefault="00323F7D">
      <w:pPr>
        <w:jc w:val="left"/>
      </w:pPr>
    </w:p>
    <w:p w14:paraId="784F9E47" w14:textId="77777777" w:rsidR="00050E16" w:rsidRPr="00C651CE" w:rsidRDefault="00050E16" w:rsidP="00050E16"/>
    <w:p w14:paraId="2177F684" w14:textId="77777777" w:rsidR="009B440E" w:rsidRDefault="00050E16" w:rsidP="00050E16">
      <w:pPr>
        <w:jc w:val="right"/>
      </w:pPr>
      <w:r w:rsidRPr="00C5280D">
        <w:t>[End of document]</w:t>
      </w:r>
    </w:p>
    <w:p w14:paraId="1238EF03" w14:textId="77777777" w:rsidR="00903264" w:rsidRDefault="00903264">
      <w:pPr>
        <w:jc w:val="left"/>
      </w:pPr>
    </w:p>
    <w:p w14:paraId="2D35FD63" w14:textId="77777777" w:rsidR="00050E16" w:rsidRPr="00C5280D" w:rsidRDefault="00050E16" w:rsidP="009B440E">
      <w:pPr>
        <w:jc w:val="left"/>
      </w:pPr>
    </w:p>
    <w:sectPr w:rsidR="00050E16" w:rsidRPr="00C5280D" w:rsidSect="0004198B">
      <w:headerReference w:type="default" r:id="rId9"/>
      <w:headerReference w:type="firs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C04BA" w14:textId="77777777" w:rsidR="00932BD9" w:rsidRDefault="00932BD9" w:rsidP="006655D3">
      <w:r>
        <w:separator/>
      </w:r>
    </w:p>
    <w:p w14:paraId="47FE059F" w14:textId="77777777" w:rsidR="00932BD9" w:rsidRDefault="00932BD9" w:rsidP="006655D3"/>
    <w:p w14:paraId="772A8B7C" w14:textId="77777777" w:rsidR="00932BD9" w:rsidRDefault="00932BD9" w:rsidP="006655D3"/>
  </w:endnote>
  <w:endnote w:type="continuationSeparator" w:id="0">
    <w:p w14:paraId="53DECB22" w14:textId="77777777" w:rsidR="00932BD9" w:rsidRDefault="00932BD9" w:rsidP="006655D3">
      <w:r>
        <w:separator/>
      </w:r>
    </w:p>
    <w:p w14:paraId="2523A73A" w14:textId="77777777" w:rsidR="00932BD9" w:rsidRPr="00294751" w:rsidRDefault="00932BD9">
      <w:pPr>
        <w:pStyle w:val="Footer"/>
        <w:spacing w:after="60"/>
        <w:rPr>
          <w:sz w:val="18"/>
          <w:lang w:val="fr-FR"/>
        </w:rPr>
      </w:pPr>
      <w:r w:rsidRPr="00294751">
        <w:rPr>
          <w:sz w:val="18"/>
          <w:lang w:val="fr-FR"/>
        </w:rPr>
        <w:t>[Suite de la note de la page précédente]</w:t>
      </w:r>
    </w:p>
    <w:p w14:paraId="63D327AC" w14:textId="77777777" w:rsidR="00932BD9" w:rsidRPr="00294751" w:rsidRDefault="00932BD9" w:rsidP="006655D3">
      <w:pPr>
        <w:rPr>
          <w:lang w:val="fr-FR"/>
        </w:rPr>
      </w:pPr>
    </w:p>
    <w:p w14:paraId="36A5D5E4" w14:textId="77777777" w:rsidR="00932BD9" w:rsidRPr="00294751" w:rsidRDefault="00932BD9" w:rsidP="006655D3">
      <w:pPr>
        <w:rPr>
          <w:lang w:val="fr-FR"/>
        </w:rPr>
      </w:pPr>
    </w:p>
  </w:endnote>
  <w:endnote w:type="continuationNotice" w:id="1">
    <w:p w14:paraId="33D2CAA0" w14:textId="77777777" w:rsidR="00932BD9" w:rsidRPr="00294751" w:rsidRDefault="00932BD9" w:rsidP="006655D3">
      <w:pPr>
        <w:rPr>
          <w:lang w:val="fr-FR"/>
        </w:rPr>
      </w:pPr>
      <w:r w:rsidRPr="00294751">
        <w:rPr>
          <w:lang w:val="fr-FR"/>
        </w:rPr>
        <w:t>[Suite de la note page suivante]</w:t>
      </w:r>
    </w:p>
    <w:p w14:paraId="38B438D0" w14:textId="77777777" w:rsidR="00932BD9" w:rsidRPr="00294751" w:rsidRDefault="00932BD9" w:rsidP="006655D3">
      <w:pPr>
        <w:rPr>
          <w:lang w:val="fr-FR"/>
        </w:rPr>
      </w:pPr>
    </w:p>
    <w:p w14:paraId="74F4517C" w14:textId="77777777" w:rsidR="00932BD9" w:rsidRPr="00294751" w:rsidRDefault="00932BD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B5DC7" w14:textId="77777777" w:rsidR="00932BD9" w:rsidRDefault="00932BD9" w:rsidP="006655D3">
      <w:r>
        <w:separator/>
      </w:r>
    </w:p>
  </w:footnote>
  <w:footnote w:type="continuationSeparator" w:id="0">
    <w:p w14:paraId="3987D079" w14:textId="77777777" w:rsidR="00932BD9" w:rsidRDefault="00932BD9" w:rsidP="006655D3">
      <w:r>
        <w:separator/>
      </w:r>
    </w:p>
  </w:footnote>
  <w:footnote w:type="continuationNotice" w:id="1">
    <w:p w14:paraId="2D00D861" w14:textId="77777777" w:rsidR="00932BD9" w:rsidRPr="00AB530F" w:rsidRDefault="00932BD9" w:rsidP="00AB530F">
      <w:pPr>
        <w:pStyle w:val="Footer"/>
      </w:pPr>
    </w:p>
  </w:footnote>
  <w:footnote w:id="2">
    <w:p w14:paraId="695605D8" w14:textId="77777777" w:rsidR="00391060" w:rsidRDefault="00391060" w:rsidP="00391060">
      <w:pPr>
        <w:pStyle w:val="FootnoteText"/>
      </w:pPr>
      <w:r>
        <w:rPr>
          <w:rStyle w:val="FootnoteReference"/>
        </w:rPr>
        <w:footnoteRef/>
      </w:r>
      <w:r>
        <w:tab/>
        <w:t xml:space="preserve">source: </w:t>
      </w:r>
      <w:hyperlink r:id="rId1" w:history="1">
        <w:r>
          <w:rPr>
            <w:rStyle w:val="Hyperlink"/>
          </w:rPr>
          <w:t>https://worldseed.org/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4561D" w14:textId="24D66064" w:rsidR="0004198B" w:rsidRPr="00C5280D" w:rsidRDefault="008D0F14" w:rsidP="00EB048E">
    <w:pPr>
      <w:pStyle w:val="Header"/>
      <w:rPr>
        <w:rStyle w:val="PageNumber"/>
        <w:lang w:val="en-US"/>
      </w:rPr>
    </w:pPr>
    <w:r>
      <w:rPr>
        <w:rStyle w:val="PageNumber"/>
        <w:lang w:val="en-US"/>
      </w:rPr>
      <w:t>CAJ/</w:t>
    </w:r>
    <w:r w:rsidR="00CB6E94">
      <w:rPr>
        <w:rStyle w:val="PageNumber"/>
        <w:lang w:val="en-US"/>
      </w:rPr>
      <w:t>81/2</w:t>
    </w:r>
  </w:p>
  <w:p w14:paraId="36F87BFD"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245ED">
      <w:rPr>
        <w:rStyle w:val="PageNumber"/>
        <w:noProof/>
        <w:lang w:val="en-US"/>
      </w:rPr>
      <w:t>2</w:t>
    </w:r>
    <w:r w:rsidRPr="00C5280D">
      <w:rPr>
        <w:rStyle w:val="PageNumber"/>
        <w:lang w:val="en-US"/>
      </w:rPr>
      <w:fldChar w:fldCharType="end"/>
    </w:r>
  </w:p>
  <w:p w14:paraId="75B97080"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6FCE8" w14:textId="77777777" w:rsidR="0004198B" w:rsidRPr="0004198B" w:rsidRDefault="0004198B"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BDE"/>
    <w:multiLevelType w:val="hybridMultilevel"/>
    <w:tmpl w:val="ACD61FB2"/>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cs="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cs="Courier New" w:hint="default"/>
      </w:rPr>
    </w:lvl>
    <w:lvl w:ilvl="8" w:tplc="04090005">
      <w:start w:val="1"/>
      <w:numFmt w:val="bullet"/>
      <w:lvlText w:val=""/>
      <w:lvlJc w:val="left"/>
      <w:pPr>
        <w:ind w:left="6585" w:hanging="360"/>
      </w:pPr>
      <w:rPr>
        <w:rFonts w:ascii="Wingdings" w:hAnsi="Wingdings" w:hint="default"/>
      </w:rPr>
    </w:lvl>
  </w:abstractNum>
  <w:abstractNum w:abstractNumId="1" w15:restartNumberingAfterBreak="0">
    <w:nsid w:val="0E615586"/>
    <w:multiLevelType w:val="hybridMultilevel"/>
    <w:tmpl w:val="78AE1224"/>
    <w:lvl w:ilvl="0" w:tplc="EFA4ECC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50502"/>
    <w:multiLevelType w:val="hybridMultilevel"/>
    <w:tmpl w:val="BB0C6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61504"/>
    <w:multiLevelType w:val="hybridMultilevel"/>
    <w:tmpl w:val="164A5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95041"/>
    <w:multiLevelType w:val="hybridMultilevel"/>
    <w:tmpl w:val="2110AC7C"/>
    <w:lvl w:ilvl="0" w:tplc="553E9992">
      <w:start w:val="1"/>
      <w:numFmt w:val="lowerLetter"/>
      <w:lvlText w:val="(%1)"/>
      <w:lvlJc w:val="left"/>
      <w:pPr>
        <w:ind w:left="5960" w:hanging="570"/>
      </w:pPr>
      <w:rPr>
        <w:rFonts w:eastAsia="MS Mincho" w:cs="Arial"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5" w15:restartNumberingAfterBreak="0">
    <w:nsid w:val="2AA83789"/>
    <w:multiLevelType w:val="hybridMultilevel"/>
    <w:tmpl w:val="8814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B915DC"/>
    <w:multiLevelType w:val="hybridMultilevel"/>
    <w:tmpl w:val="9EA46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73045"/>
    <w:multiLevelType w:val="hybridMultilevel"/>
    <w:tmpl w:val="CAA0E52A"/>
    <w:lvl w:ilvl="0" w:tplc="692429B0">
      <w:start w:val="1"/>
      <w:numFmt w:val="lowerLetter"/>
      <w:lvlText w:val="(%1)"/>
      <w:lvlJc w:val="left"/>
      <w:pPr>
        <w:ind w:left="720" w:hanging="360"/>
      </w:pPr>
      <w:rPr>
        <w:rFonts w:hint="default"/>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D0391F"/>
    <w:multiLevelType w:val="hybridMultilevel"/>
    <w:tmpl w:val="4658F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890EAF"/>
    <w:multiLevelType w:val="hybridMultilevel"/>
    <w:tmpl w:val="4F8C24BC"/>
    <w:lvl w:ilvl="0" w:tplc="FFFFFFFF">
      <w:start w:val="1"/>
      <w:numFmt w:val="lowerRoman"/>
      <w:lvlText w:val="(%1)"/>
      <w:lvlJc w:val="left"/>
      <w:pPr>
        <w:ind w:left="1287"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439B5B47"/>
    <w:multiLevelType w:val="hybridMultilevel"/>
    <w:tmpl w:val="CF686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C26B96"/>
    <w:multiLevelType w:val="hybridMultilevel"/>
    <w:tmpl w:val="5834516A"/>
    <w:lvl w:ilvl="0" w:tplc="E14A4ED0">
      <w:start w:val="1"/>
      <w:numFmt w:val="decimal"/>
      <w:lvlText w:val="(%1)"/>
      <w:lvlJc w:val="left"/>
      <w:pPr>
        <w:ind w:left="1211"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0C1BF7"/>
    <w:multiLevelType w:val="hybridMultilevel"/>
    <w:tmpl w:val="332A2EBC"/>
    <w:lvl w:ilvl="0" w:tplc="382A0DDA">
      <w:start w:val="1"/>
      <w:numFmt w:val="bullet"/>
      <w:lvlText w:val="•"/>
      <w:lvlJc w:val="left"/>
      <w:pPr>
        <w:tabs>
          <w:tab w:val="num" w:pos="720"/>
        </w:tabs>
        <w:ind w:left="720" w:hanging="360"/>
      </w:pPr>
      <w:rPr>
        <w:rFonts w:ascii="Arial" w:hAnsi="Arial" w:hint="default"/>
      </w:rPr>
    </w:lvl>
    <w:lvl w:ilvl="1" w:tplc="C3565812" w:tentative="1">
      <w:start w:val="1"/>
      <w:numFmt w:val="bullet"/>
      <w:lvlText w:val="•"/>
      <w:lvlJc w:val="left"/>
      <w:pPr>
        <w:tabs>
          <w:tab w:val="num" w:pos="1440"/>
        </w:tabs>
        <w:ind w:left="1440" w:hanging="360"/>
      </w:pPr>
      <w:rPr>
        <w:rFonts w:ascii="Arial" w:hAnsi="Arial" w:hint="default"/>
      </w:rPr>
    </w:lvl>
    <w:lvl w:ilvl="2" w:tplc="FD7C17D0" w:tentative="1">
      <w:start w:val="1"/>
      <w:numFmt w:val="bullet"/>
      <w:lvlText w:val="•"/>
      <w:lvlJc w:val="left"/>
      <w:pPr>
        <w:tabs>
          <w:tab w:val="num" w:pos="2160"/>
        </w:tabs>
        <w:ind w:left="2160" w:hanging="360"/>
      </w:pPr>
      <w:rPr>
        <w:rFonts w:ascii="Arial" w:hAnsi="Arial" w:hint="default"/>
      </w:rPr>
    </w:lvl>
    <w:lvl w:ilvl="3" w:tplc="E2B84B48" w:tentative="1">
      <w:start w:val="1"/>
      <w:numFmt w:val="bullet"/>
      <w:lvlText w:val="•"/>
      <w:lvlJc w:val="left"/>
      <w:pPr>
        <w:tabs>
          <w:tab w:val="num" w:pos="2880"/>
        </w:tabs>
        <w:ind w:left="2880" w:hanging="360"/>
      </w:pPr>
      <w:rPr>
        <w:rFonts w:ascii="Arial" w:hAnsi="Arial" w:hint="default"/>
      </w:rPr>
    </w:lvl>
    <w:lvl w:ilvl="4" w:tplc="87901DDE" w:tentative="1">
      <w:start w:val="1"/>
      <w:numFmt w:val="bullet"/>
      <w:lvlText w:val="•"/>
      <w:lvlJc w:val="left"/>
      <w:pPr>
        <w:tabs>
          <w:tab w:val="num" w:pos="3600"/>
        </w:tabs>
        <w:ind w:left="3600" w:hanging="360"/>
      </w:pPr>
      <w:rPr>
        <w:rFonts w:ascii="Arial" w:hAnsi="Arial" w:hint="default"/>
      </w:rPr>
    </w:lvl>
    <w:lvl w:ilvl="5" w:tplc="22289BEC" w:tentative="1">
      <w:start w:val="1"/>
      <w:numFmt w:val="bullet"/>
      <w:lvlText w:val="•"/>
      <w:lvlJc w:val="left"/>
      <w:pPr>
        <w:tabs>
          <w:tab w:val="num" w:pos="4320"/>
        </w:tabs>
        <w:ind w:left="4320" w:hanging="360"/>
      </w:pPr>
      <w:rPr>
        <w:rFonts w:ascii="Arial" w:hAnsi="Arial" w:hint="default"/>
      </w:rPr>
    </w:lvl>
    <w:lvl w:ilvl="6" w:tplc="2ECA738C" w:tentative="1">
      <w:start w:val="1"/>
      <w:numFmt w:val="bullet"/>
      <w:lvlText w:val="•"/>
      <w:lvlJc w:val="left"/>
      <w:pPr>
        <w:tabs>
          <w:tab w:val="num" w:pos="5040"/>
        </w:tabs>
        <w:ind w:left="5040" w:hanging="360"/>
      </w:pPr>
      <w:rPr>
        <w:rFonts w:ascii="Arial" w:hAnsi="Arial" w:hint="default"/>
      </w:rPr>
    </w:lvl>
    <w:lvl w:ilvl="7" w:tplc="44B2BCC2" w:tentative="1">
      <w:start w:val="1"/>
      <w:numFmt w:val="bullet"/>
      <w:lvlText w:val="•"/>
      <w:lvlJc w:val="left"/>
      <w:pPr>
        <w:tabs>
          <w:tab w:val="num" w:pos="5760"/>
        </w:tabs>
        <w:ind w:left="5760" w:hanging="360"/>
      </w:pPr>
      <w:rPr>
        <w:rFonts w:ascii="Arial" w:hAnsi="Arial" w:hint="default"/>
      </w:rPr>
    </w:lvl>
    <w:lvl w:ilvl="8" w:tplc="D0944A0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A975714"/>
    <w:multiLevelType w:val="hybridMultilevel"/>
    <w:tmpl w:val="C68EACB0"/>
    <w:lvl w:ilvl="0" w:tplc="692429B0">
      <w:start w:val="1"/>
      <w:numFmt w:val="lowerLetter"/>
      <w:lvlText w:val="(%1)"/>
      <w:lvlJc w:val="left"/>
      <w:pPr>
        <w:ind w:left="1854" w:hanging="360"/>
      </w:pPr>
      <w:rPr>
        <w:rFonts w:hint="default"/>
        <w:sz w:val="2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15:restartNumberingAfterBreak="0">
    <w:nsid w:val="57B514C4"/>
    <w:multiLevelType w:val="hybridMultilevel"/>
    <w:tmpl w:val="5C1AB566"/>
    <w:lvl w:ilvl="0" w:tplc="315A8ED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4933B5"/>
    <w:multiLevelType w:val="hybridMultilevel"/>
    <w:tmpl w:val="8B92F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CA279B0"/>
    <w:multiLevelType w:val="hybridMultilevel"/>
    <w:tmpl w:val="5688FCF6"/>
    <w:lvl w:ilvl="0" w:tplc="763EABFC">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6B47EA"/>
    <w:multiLevelType w:val="hybridMultilevel"/>
    <w:tmpl w:val="A844DB34"/>
    <w:lvl w:ilvl="0" w:tplc="FA2AE5A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0A62AE"/>
    <w:multiLevelType w:val="hybridMultilevel"/>
    <w:tmpl w:val="3CF88894"/>
    <w:lvl w:ilvl="0" w:tplc="763EABFC">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BB2CDB"/>
    <w:multiLevelType w:val="hybridMultilevel"/>
    <w:tmpl w:val="F7E2408C"/>
    <w:lvl w:ilvl="0" w:tplc="FFFFFFFF">
      <w:start w:val="1"/>
      <w:numFmt w:val="lowerRoman"/>
      <w:lvlText w:val="(%1)"/>
      <w:lvlJc w:val="left"/>
      <w:pPr>
        <w:ind w:left="1287"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725A35F7"/>
    <w:multiLevelType w:val="hybridMultilevel"/>
    <w:tmpl w:val="EE9465DA"/>
    <w:lvl w:ilvl="0" w:tplc="0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75215251"/>
    <w:multiLevelType w:val="hybridMultilevel"/>
    <w:tmpl w:val="5DEA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9150F2"/>
    <w:multiLevelType w:val="hybridMultilevel"/>
    <w:tmpl w:val="4B66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3C3CAA"/>
    <w:multiLevelType w:val="hybridMultilevel"/>
    <w:tmpl w:val="FED860F0"/>
    <w:lvl w:ilvl="0" w:tplc="22687514">
      <w:start w:val="1"/>
      <w:numFmt w:val="decimal"/>
      <w:lvlText w:val="%1."/>
      <w:lvlJc w:val="left"/>
      <w:pPr>
        <w:ind w:left="1137" w:hanging="570"/>
      </w:pPr>
      <w:rPr>
        <w:rFonts w:hint="default"/>
      </w:rPr>
    </w:lvl>
    <w:lvl w:ilvl="1" w:tplc="32185068">
      <w:start w:val="1"/>
      <w:numFmt w:val="lowerLetter"/>
      <w:lvlText w:val="(%2)"/>
      <w:lvlJc w:val="left"/>
      <w:pPr>
        <w:ind w:left="1635" w:hanging="55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2A305E"/>
    <w:multiLevelType w:val="hybridMultilevel"/>
    <w:tmpl w:val="76949C28"/>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num w:numId="1" w16cid:durableId="1981768148">
    <w:abstractNumId w:val="5"/>
  </w:num>
  <w:num w:numId="2" w16cid:durableId="643049474">
    <w:abstractNumId w:val="7"/>
  </w:num>
  <w:num w:numId="3" w16cid:durableId="128714430">
    <w:abstractNumId w:val="15"/>
  </w:num>
  <w:num w:numId="4" w16cid:durableId="1765148813">
    <w:abstractNumId w:val="22"/>
  </w:num>
  <w:num w:numId="5" w16cid:durableId="1198348894">
    <w:abstractNumId w:val="8"/>
  </w:num>
  <w:num w:numId="6" w16cid:durableId="2136017809">
    <w:abstractNumId w:val="4"/>
  </w:num>
  <w:num w:numId="7" w16cid:durableId="1621838389">
    <w:abstractNumId w:val="6"/>
  </w:num>
  <w:num w:numId="8" w16cid:durableId="590546397">
    <w:abstractNumId w:val="24"/>
  </w:num>
  <w:num w:numId="9" w16cid:durableId="316618682">
    <w:abstractNumId w:val="17"/>
  </w:num>
  <w:num w:numId="10" w16cid:durableId="648635331">
    <w:abstractNumId w:val="23"/>
  </w:num>
  <w:num w:numId="11" w16cid:durableId="4221474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8236500">
    <w:abstractNumId w:val="10"/>
  </w:num>
  <w:num w:numId="13" w16cid:durableId="502866736">
    <w:abstractNumId w:val="0"/>
  </w:num>
  <w:num w:numId="14" w16cid:durableId="703791579">
    <w:abstractNumId w:val="13"/>
  </w:num>
  <w:num w:numId="15" w16cid:durableId="1816949882">
    <w:abstractNumId w:val="12"/>
  </w:num>
  <w:num w:numId="16" w16cid:durableId="1039547119">
    <w:abstractNumId w:val="11"/>
  </w:num>
  <w:num w:numId="17" w16cid:durableId="724135242">
    <w:abstractNumId w:val="3"/>
  </w:num>
  <w:num w:numId="18" w16cid:durableId="1983538679">
    <w:abstractNumId w:val="20"/>
  </w:num>
  <w:num w:numId="19" w16cid:durableId="2039499302">
    <w:abstractNumId w:val="21"/>
  </w:num>
  <w:num w:numId="20" w16cid:durableId="1215242304">
    <w:abstractNumId w:val="18"/>
  </w:num>
  <w:num w:numId="21" w16cid:durableId="1796871676">
    <w:abstractNumId w:val="2"/>
  </w:num>
  <w:num w:numId="22" w16cid:durableId="679967331">
    <w:abstractNumId w:val="16"/>
  </w:num>
  <w:num w:numId="23" w16cid:durableId="104925343">
    <w:abstractNumId w:val="9"/>
  </w:num>
  <w:num w:numId="24" w16cid:durableId="1711032594">
    <w:abstractNumId w:val="19"/>
  </w:num>
  <w:num w:numId="25" w16cid:durableId="2116752915">
    <w:abstractNumId w:val="14"/>
  </w:num>
  <w:num w:numId="26" w16cid:durableId="2103795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BD9"/>
    <w:rsid w:val="000034DB"/>
    <w:rsid w:val="00010CF3"/>
    <w:rsid w:val="00011E27"/>
    <w:rsid w:val="000148BC"/>
    <w:rsid w:val="00024AB8"/>
    <w:rsid w:val="00030854"/>
    <w:rsid w:val="00036028"/>
    <w:rsid w:val="0004198B"/>
    <w:rsid w:val="00044642"/>
    <w:rsid w:val="000446B9"/>
    <w:rsid w:val="00047E21"/>
    <w:rsid w:val="00050E16"/>
    <w:rsid w:val="00085505"/>
    <w:rsid w:val="000C4E25"/>
    <w:rsid w:val="000C7021"/>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82B99"/>
    <w:rsid w:val="001C1525"/>
    <w:rsid w:val="0021332C"/>
    <w:rsid w:val="00213982"/>
    <w:rsid w:val="0024416D"/>
    <w:rsid w:val="00271911"/>
    <w:rsid w:val="00273187"/>
    <w:rsid w:val="002800A0"/>
    <w:rsid w:val="002801B3"/>
    <w:rsid w:val="00281060"/>
    <w:rsid w:val="00284050"/>
    <w:rsid w:val="002853B2"/>
    <w:rsid w:val="00285BD0"/>
    <w:rsid w:val="002940E8"/>
    <w:rsid w:val="00294751"/>
    <w:rsid w:val="002A5BEB"/>
    <w:rsid w:val="002A6E50"/>
    <w:rsid w:val="002B19F2"/>
    <w:rsid w:val="002B4298"/>
    <w:rsid w:val="002B7A36"/>
    <w:rsid w:val="002C256A"/>
    <w:rsid w:val="002D5226"/>
    <w:rsid w:val="00305A7F"/>
    <w:rsid w:val="003152FE"/>
    <w:rsid w:val="00323F7D"/>
    <w:rsid w:val="00327436"/>
    <w:rsid w:val="00344387"/>
    <w:rsid w:val="00344BD6"/>
    <w:rsid w:val="0035528D"/>
    <w:rsid w:val="00361821"/>
    <w:rsid w:val="00361E9E"/>
    <w:rsid w:val="003707B3"/>
    <w:rsid w:val="003753EE"/>
    <w:rsid w:val="00391060"/>
    <w:rsid w:val="003A0835"/>
    <w:rsid w:val="003A5AAF"/>
    <w:rsid w:val="003B700A"/>
    <w:rsid w:val="003C7FBE"/>
    <w:rsid w:val="003D227C"/>
    <w:rsid w:val="003D2B4D"/>
    <w:rsid w:val="003F37F5"/>
    <w:rsid w:val="00444A88"/>
    <w:rsid w:val="00474DA4"/>
    <w:rsid w:val="00476B4D"/>
    <w:rsid w:val="004805FA"/>
    <w:rsid w:val="004935D2"/>
    <w:rsid w:val="004B1215"/>
    <w:rsid w:val="004D047D"/>
    <w:rsid w:val="004F1E9E"/>
    <w:rsid w:val="004F305A"/>
    <w:rsid w:val="00512164"/>
    <w:rsid w:val="00520297"/>
    <w:rsid w:val="00532395"/>
    <w:rsid w:val="005338F9"/>
    <w:rsid w:val="0054281C"/>
    <w:rsid w:val="00544581"/>
    <w:rsid w:val="0055268D"/>
    <w:rsid w:val="00575DE2"/>
    <w:rsid w:val="00576BE4"/>
    <w:rsid w:val="005779DB"/>
    <w:rsid w:val="005A2A67"/>
    <w:rsid w:val="005A400A"/>
    <w:rsid w:val="005A58B1"/>
    <w:rsid w:val="005B0C9D"/>
    <w:rsid w:val="005B269D"/>
    <w:rsid w:val="005F7B92"/>
    <w:rsid w:val="00612379"/>
    <w:rsid w:val="006153B6"/>
    <w:rsid w:val="0061555F"/>
    <w:rsid w:val="006245ED"/>
    <w:rsid w:val="00636CA6"/>
    <w:rsid w:val="00641200"/>
    <w:rsid w:val="00645CA8"/>
    <w:rsid w:val="006655D3"/>
    <w:rsid w:val="00667404"/>
    <w:rsid w:val="006718F6"/>
    <w:rsid w:val="00687EB4"/>
    <w:rsid w:val="00695C56"/>
    <w:rsid w:val="006A5CDE"/>
    <w:rsid w:val="006A644A"/>
    <w:rsid w:val="006B17D2"/>
    <w:rsid w:val="006C224E"/>
    <w:rsid w:val="006D780A"/>
    <w:rsid w:val="006E1308"/>
    <w:rsid w:val="0071271E"/>
    <w:rsid w:val="00732DEC"/>
    <w:rsid w:val="00735BD5"/>
    <w:rsid w:val="007451EC"/>
    <w:rsid w:val="00751613"/>
    <w:rsid w:val="00753EE9"/>
    <w:rsid w:val="007556F6"/>
    <w:rsid w:val="00760EEF"/>
    <w:rsid w:val="00772DC2"/>
    <w:rsid w:val="00777EE5"/>
    <w:rsid w:val="00784836"/>
    <w:rsid w:val="0079023E"/>
    <w:rsid w:val="007A2854"/>
    <w:rsid w:val="007C1D92"/>
    <w:rsid w:val="007C4CB9"/>
    <w:rsid w:val="007D0B9D"/>
    <w:rsid w:val="007D19B0"/>
    <w:rsid w:val="007E6212"/>
    <w:rsid w:val="007F498F"/>
    <w:rsid w:val="00803724"/>
    <w:rsid w:val="0080679D"/>
    <w:rsid w:val="008108B0"/>
    <w:rsid w:val="00811B20"/>
    <w:rsid w:val="00812609"/>
    <w:rsid w:val="008211B5"/>
    <w:rsid w:val="0082296E"/>
    <w:rsid w:val="00824099"/>
    <w:rsid w:val="00846D7C"/>
    <w:rsid w:val="00867AC1"/>
    <w:rsid w:val="008751DE"/>
    <w:rsid w:val="00890DF8"/>
    <w:rsid w:val="008A0ADE"/>
    <w:rsid w:val="008A743F"/>
    <w:rsid w:val="008C0970"/>
    <w:rsid w:val="008C1AFC"/>
    <w:rsid w:val="008C7930"/>
    <w:rsid w:val="008D0BC5"/>
    <w:rsid w:val="008D0F14"/>
    <w:rsid w:val="008D2CF7"/>
    <w:rsid w:val="008F1F48"/>
    <w:rsid w:val="00900C26"/>
    <w:rsid w:val="0090197F"/>
    <w:rsid w:val="00903264"/>
    <w:rsid w:val="00906DDC"/>
    <w:rsid w:val="00920388"/>
    <w:rsid w:val="00924FA8"/>
    <w:rsid w:val="00932BD9"/>
    <w:rsid w:val="00934E09"/>
    <w:rsid w:val="00936253"/>
    <w:rsid w:val="00940D46"/>
    <w:rsid w:val="009413F1"/>
    <w:rsid w:val="00952DD4"/>
    <w:rsid w:val="009561F4"/>
    <w:rsid w:val="00965AE7"/>
    <w:rsid w:val="00970FED"/>
    <w:rsid w:val="00992D82"/>
    <w:rsid w:val="00997029"/>
    <w:rsid w:val="009A7339"/>
    <w:rsid w:val="009B440E"/>
    <w:rsid w:val="009D690D"/>
    <w:rsid w:val="009E65B6"/>
    <w:rsid w:val="009F0A51"/>
    <w:rsid w:val="009F77CF"/>
    <w:rsid w:val="00A14608"/>
    <w:rsid w:val="00A24C10"/>
    <w:rsid w:val="00A42AC3"/>
    <w:rsid w:val="00A430CF"/>
    <w:rsid w:val="00A54309"/>
    <w:rsid w:val="00A610A9"/>
    <w:rsid w:val="00A80F2A"/>
    <w:rsid w:val="00A96C33"/>
    <w:rsid w:val="00AB2B93"/>
    <w:rsid w:val="00AB530F"/>
    <w:rsid w:val="00AB7E5B"/>
    <w:rsid w:val="00AC1405"/>
    <w:rsid w:val="00AC2883"/>
    <w:rsid w:val="00AE0EF1"/>
    <w:rsid w:val="00AE2937"/>
    <w:rsid w:val="00B07301"/>
    <w:rsid w:val="00B11F3E"/>
    <w:rsid w:val="00B224DE"/>
    <w:rsid w:val="00B324D4"/>
    <w:rsid w:val="00B46575"/>
    <w:rsid w:val="00B61777"/>
    <w:rsid w:val="00B622E6"/>
    <w:rsid w:val="00B83E82"/>
    <w:rsid w:val="00B84BBD"/>
    <w:rsid w:val="00B96CB5"/>
    <w:rsid w:val="00BA43FB"/>
    <w:rsid w:val="00BC127D"/>
    <w:rsid w:val="00BC1FE6"/>
    <w:rsid w:val="00C061B6"/>
    <w:rsid w:val="00C2446C"/>
    <w:rsid w:val="00C36AE5"/>
    <w:rsid w:val="00C41F17"/>
    <w:rsid w:val="00C527FA"/>
    <w:rsid w:val="00C5280D"/>
    <w:rsid w:val="00C53EB3"/>
    <w:rsid w:val="00C5730D"/>
    <w:rsid w:val="00C5791C"/>
    <w:rsid w:val="00C65CFB"/>
    <w:rsid w:val="00C66290"/>
    <w:rsid w:val="00C72B7A"/>
    <w:rsid w:val="00C973F2"/>
    <w:rsid w:val="00CA304C"/>
    <w:rsid w:val="00CA774A"/>
    <w:rsid w:val="00CB4921"/>
    <w:rsid w:val="00CB6E94"/>
    <w:rsid w:val="00CC11B0"/>
    <w:rsid w:val="00CC2841"/>
    <w:rsid w:val="00CF1330"/>
    <w:rsid w:val="00CF7E36"/>
    <w:rsid w:val="00D10075"/>
    <w:rsid w:val="00D21C36"/>
    <w:rsid w:val="00D3708D"/>
    <w:rsid w:val="00D40426"/>
    <w:rsid w:val="00D57C96"/>
    <w:rsid w:val="00D57D18"/>
    <w:rsid w:val="00D70E65"/>
    <w:rsid w:val="00D848ED"/>
    <w:rsid w:val="00D91203"/>
    <w:rsid w:val="00D95174"/>
    <w:rsid w:val="00DA4973"/>
    <w:rsid w:val="00DA6F36"/>
    <w:rsid w:val="00DB596E"/>
    <w:rsid w:val="00DB7773"/>
    <w:rsid w:val="00DC00EA"/>
    <w:rsid w:val="00DC3802"/>
    <w:rsid w:val="00DD6208"/>
    <w:rsid w:val="00DF7E99"/>
    <w:rsid w:val="00E07D87"/>
    <w:rsid w:val="00E1596E"/>
    <w:rsid w:val="00E249C8"/>
    <w:rsid w:val="00E32C47"/>
    <w:rsid w:val="00E32F7E"/>
    <w:rsid w:val="00E5267B"/>
    <w:rsid w:val="00E559F0"/>
    <w:rsid w:val="00E63C0E"/>
    <w:rsid w:val="00E72D49"/>
    <w:rsid w:val="00E7593C"/>
    <w:rsid w:val="00E7678A"/>
    <w:rsid w:val="00E935F1"/>
    <w:rsid w:val="00E94A81"/>
    <w:rsid w:val="00EA0B72"/>
    <w:rsid w:val="00EA1FFB"/>
    <w:rsid w:val="00EB048E"/>
    <w:rsid w:val="00EB405E"/>
    <w:rsid w:val="00EB4E9C"/>
    <w:rsid w:val="00EB5AD3"/>
    <w:rsid w:val="00ED6FA7"/>
    <w:rsid w:val="00EE34DF"/>
    <w:rsid w:val="00EF2F89"/>
    <w:rsid w:val="00F03E98"/>
    <w:rsid w:val="00F1237A"/>
    <w:rsid w:val="00F22CBD"/>
    <w:rsid w:val="00F272F1"/>
    <w:rsid w:val="00F3045D"/>
    <w:rsid w:val="00F31412"/>
    <w:rsid w:val="00F45372"/>
    <w:rsid w:val="00F560F7"/>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5B013D"/>
  <w15:docId w15:val="{7527689F-3B1F-4BA5-BB54-237A5E618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F3045D"/>
    <w:pPr>
      <w:keepNext/>
      <w:ind w:left="567"/>
      <w:jc w:val="both"/>
      <w:outlineLvl w:val="3"/>
    </w:pPr>
    <w:rPr>
      <w:rFonts w:ascii="Arial" w:hAnsi="Arial"/>
      <w:u w:val="single"/>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aliases w:val="COMMON NAME Char,common Char"/>
    <w:basedOn w:val="DefaultParagraphFont"/>
    <w:link w:val="Heading1"/>
    <w:rsid w:val="00920388"/>
    <w:rPr>
      <w:rFonts w:ascii="Arial" w:hAnsi="Arial"/>
      <w:caps/>
    </w:rPr>
  </w:style>
  <w:style w:type="character" w:customStyle="1" w:styleId="Heading2Char">
    <w:name w:val="Heading 2 Char"/>
    <w:aliases w:val="VARIETY Char,variety Char"/>
    <w:basedOn w:val="DefaultParagraphFont"/>
    <w:link w:val="Heading2"/>
    <w:rsid w:val="00920388"/>
    <w:rPr>
      <w:rFonts w:ascii="Arial" w:hAnsi="Arial"/>
      <w:u w:val="single"/>
    </w:rPr>
  </w:style>
  <w:style w:type="character" w:customStyle="1" w:styleId="Heading3Char">
    <w:name w:val="Heading 3 Char"/>
    <w:basedOn w:val="DefaultParagraphFont"/>
    <w:link w:val="Heading3"/>
    <w:rsid w:val="00920388"/>
    <w:rPr>
      <w:rFonts w:ascii="Arial" w:hAnsi="Arial"/>
      <w:i/>
    </w:rPr>
  </w:style>
  <w:style w:type="character" w:customStyle="1" w:styleId="Heading4Char">
    <w:name w:val="Heading 4 Char"/>
    <w:basedOn w:val="DefaultParagraphFont"/>
    <w:link w:val="Heading4"/>
    <w:rsid w:val="00F3045D"/>
    <w:rPr>
      <w:rFonts w:ascii="Arial" w:hAnsi="Arial"/>
      <w:u w:val="single"/>
    </w:rPr>
  </w:style>
  <w:style w:type="character" w:customStyle="1" w:styleId="Heading5Char">
    <w:name w:val="Heading 5 Char"/>
    <w:basedOn w:val="DefaultParagraphFont"/>
    <w:link w:val="Heading5"/>
    <w:rsid w:val="00920388"/>
    <w:rPr>
      <w:rFonts w:ascii="Arial" w:hAnsi="Arial"/>
      <w:i/>
    </w:rPr>
  </w:style>
  <w:style w:type="character" w:customStyle="1" w:styleId="Heading9Char">
    <w:name w:val="Heading 9 Char"/>
    <w:basedOn w:val="DefaultParagraphFont"/>
    <w:link w:val="Heading9"/>
    <w:rsid w:val="00920388"/>
    <w:rPr>
      <w:rFonts w:ascii="Arial" w:hAnsi="Arial"/>
      <w:i/>
      <w:sz w:val="18"/>
    </w:rPr>
  </w:style>
  <w:style w:type="character" w:customStyle="1" w:styleId="HeaderChar">
    <w:name w:val="Header Char"/>
    <w:basedOn w:val="DefaultParagraphFont"/>
    <w:link w:val="Header"/>
    <w:uiPriority w:val="99"/>
    <w:rsid w:val="00920388"/>
    <w:rPr>
      <w:rFonts w:ascii="Arial" w:hAnsi="Arial"/>
      <w:lang w:val="fr-FR"/>
    </w:rPr>
  </w:style>
  <w:style w:type="character" w:customStyle="1" w:styleId="FooterChar">
    <w:name w:val="Footer Char"/>
    <w:aliases w:val="doc_path_name Char"/>
    <w:basedOn w:val="DefaultParagraphFont"/>
    <w:link w:val="Footer"/>
    <w:rsid w:val="00920388"/>
    <w:rPr>
      <w:rFonts w:ascii="Arial" w:hAnsi="Arial"/>
      <w:sz w:val="14"/>
    </w:rPr>
  </w:style>
  <w:style w:type="character" w:customStyle="1" w:styleId="TitleChar">
    <w:name w:val="Title Char"/>
    <w:basedOn w:val="DefaultParagraphFont"/>
    <w:link w:val="Title"/>
    <w:rsid w:val="00920388"/>
    <w:rPr>
      <w:rFonts w:ascii="Arial" w:hAnsi="Arial"/>
      <w:b/>
      <w:caps/>
      <w:kern w:val="28"/>
      <w:sz w:val="30"/>
    </w:rPr>
  </w:style>
  <w:style w:type="character" w:customStyle="1" w:styleId="FootnoteTextChar">
    <w:name w:val="Footnote Text Char"/>
    <w:basedOn w:val="DefaultParagraphFont"/>
    <w:link w:val="FootnoteText"/>
    <w:rsid w:val="00920388"/>
    <w:rPr>
      <w:rFonts w:ascii="Arial" w:hAnsi="Arial"/>
      <w:sz w:val="16"/>
    </w:rPr>
  </w:style>
  <w:style w:type="character" w:customStyle="1" w:styleId="ClosingChar">
    <w:name w:val="Closing Char"/>
    <w:basedOn w:val="DefaultParagraphFont"/>
    <w:link w:val="Closing"/>
    <w:rsid w:val="00920388"/>
    <w:rPr>
      <w:rFonts w:ascii="Arial" w:hAnsi="Arial"/>
    </w:rPr>
  </w:style>
  <w:style w:type="character" w:customStyle="1" w:styleId="MacroTextChar">
    <w:name w:val="Macro Text Char"/>
    <w:basedOn w:val="DefaultParagraphFont"/>
    <w:link w:val="MacroText"/>
    <w:semiHidden/>
    <w:rsid w:val="00920388"/>
    <w:rPr>
      <w:rFonts w:ascii="Courier New" w:hAnsi="Courier New"/>
      <w:sz w:val="16"/>
    </w:rPr>
  </w:style>
  <w:style w:type="character" w:customStyle="1" w:styleId="SignatureChar">
    <w:name w:val="Signature Char"/>
    <w:basedOn w:val="DefaultParagraphFont"/>
    <w:link w:val="Signature"/>
    <w:rsid w:val="00920388"/>
    <w:rPr>
      <w:rFonts w:ascii="Arial" w:hAnsi="Arial"/>
    </w:rPr>
  </w:style>
  <w:style w:type="character" w:customStyle="1" w:styleId="BodyTextChar">
    <w:name w:val="Body Text Char"/>
    <w:basedOn w:val="DefaultParagraphFont"/>
    <w:link w:val="BodyText"/>
    <w:rsid w:val="00920388"/>
    <w:rPr>
      <w:rFonts w:ascii="Arial" w:hAnsi="Arial"/>
    </w:rPr>
  </w:style>
  <w:style w:type="character" w:customStyle="1" w:styleId="EndnoteTextChar">
    <w:name w:val="Endnote Text Char"/>
    <w:basedOn w:val="DefaultParagraphFont"/>
    <w:link w:val="EndnoteText"/>
    <w:rsid w:val="00920388"/>
    <w:rPr>
      <w:rFonts w:ascii="Arial" w:hAnsi="Arial"/>
    </w:rPr>
  </w:style>
  <w:style w:type="character" w:customStyle="1" w:styleId="DateChar">
    <w:name w:val="Date Char"/>
    <w:basedOn w:val="DefaultParagraphFont"/>
    <w:link w:val="Date"/>
    <w:semiHidden/>
    <w:rsid w:val="00920388"/>
    <w:rPr>
      <w:rFonts w:ascii="Arial" w:hAnsi="Arial"/>
      <w:b/>
      <w:sz w:val="22"/>
    </w:rPr>
  </w:style>
  <w:style w:type="paragraph" w:styleId="ListParagraph">
    <w:name w:val="List Paragraph"/>
    <w:aliases w:val="auto_list_(i),List Paragraph1"/>
    <w:basedOn w:val="Normal"/>
    <w:link w:val="ListParagraphChar"/>
    <w:uiPriority w:val="34"/>
    <w:qFormat/>
    <w:rsid w:val="00920388"/>
    <w:pPr>
      <w:ind w:left="720"/>
      <w:contextualSpacing/>
    </w:pPr>
  </w:style>
  <w:style w:type="character" w:customStyle="1" w:styleId="ListParagraphChar">
    <w:name w:val="List Paragraph Char"/>
    <w:aliases w:val="auto_list_(i) Char,List Paragraph1 Char"/>
    <w:basedOn w:val="DefaultParagraphFont"/>
    <w:link w:val="ListParagraph"/>
    <w:uiPriority w:val="34"/>
    <w:locked/>
    <w:rsid w:val="00920388"/>
    <w:rPr>
      <w:rFonts w:ascii="Arial" w:hAnsi="Arial"/>
    </w:rPr>
  </w:style>
  <w:style w:type="paragraph" w:customStyle="1" w:styleId="BasistekstNaktuinbouw">
    <w:name w:val="Basistekst Naktuinbouw"/>
    <w:basedOn w:val="Normal"/>
    <w:qFormat/>
    <w:rsid w:val="00920388"/>
    <w:pPr>
      <w:spacing w:line="240" w:lineRule="atLeast"/>
      <w:jc w:val="left"/>
    </w:pPr>
    <w:rPr>
      <w:rFonts w:cs="Maiandra GD"/>
      <w:color w:val="000000" w:themeColor="text1"/>
      <w:szCs w:val="18"/>
      <w:lang w:val="nl-NL" w:eastAsia="nl-NL"/>
    </w:rPr>
  </w:style>
  <w:style w:type="paragraph" w:customStyle="1" w:styleId="Style1">
    <w:name w:val="Style1"/>
    <w:basedOn w:val="Normal"/>
    <w:rsid w:val="00920388"/>
    <w:pPr>
      <w:tabs>
        <w:tab w:val="decimal" w:pos="907"/>
        <w:tab w:val="left" w:pos="1077"/>
      </w:tabs>
    </w:pPr>
    <w:rPr>
      <w:rFonts w:eastAsia="MS Mincho"/>
      <w:szCs w:val="24"/>
      <w:lang w:eastAsia="ja-JP"/>
    </w:rPr>
  </w:style>
  <w:style w:type="character" w:customStyle="1" w:styleId="NormaltChar">
    <w:name w:val="Normalt Char"/>
    <w:link w:val="Normalt"/>
    <w:locked/>
    <w:rsid w:val="00920388"/>
    <w:rPr>
      <w:noProof/>
      <w:lang w:eastAsia="es-ES"/>
    </w:rPr>
  </w:style>
  <w:style w:type="paragraph" w:customStyle="1" w:styleId="Normalt">
    <w:name w:val="Normalt"/>
    <w:basedOn w:val="Normal"/>
    <w:link w:val="NormaltChar"/>
    <w:rsid w:val="00920388"/>
    <w:pPr>
      <w:spacing w:before="120" w:after="120"/>
      <w:jc w:val="left"/>
    </w:pPr>
    <w:rPr>
      <w:rFonts w:ascii="Times New Roman" w:hAnsi="Times New Roman"/>
      <w:noProof/>
      <w:lang w:eastAsia="es-ES"/>
    </w:rPr>
  </w:style>
  <w:style w:type="paragraph" w:customStyle="1" w:styleId="Normaltb">
    <w:name w:val="Normaltb"/>
    <w:basedOn w:val="Normalt"/>
    <w:rsid w:val="00920388"/>
    <w:pPr>
      <w:keepNext/>
    </w:pPr>
    <w:rPr>
      <w:b/>
    </w:rPr>
  </w:style>
  <w:style w:type="character" w:customStyle="1" w:styleId="ui-provider">
    <w:name w:val="ui-provider"/>
    <w:basedOn w:val="DefaultParagraphFont"/>
    <w:rsid w:val="00920388"/>
  </w:style>
  <w:style w:type="table" w:styleId="TableGrid">
    <w:name w:val="Table Grid"/>
    <w:basedOn w:val="TableNormal"/>
    <w:rsid w:val="0092038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cisionParagraphsChar">
    <w:name w:val="DecisionParagraphs Char"/>
    <w:basedOn w:val="DefaultParagraphFont"/>
    <w:link w:val="DecisionParagraphs"/>
    <w:rsid w:val="00920388"/>
    <w:rPr>
      <w:rFonts w:ascii="Arial" w:hAnsi="Arial"/>
      <w:i/>
    </w:rPr>
  </w:style>
  <w:style w:type="character" w:styleId="UnresolvedMention">
    <w:name w:val="Unresolved Mention"/>
    <w:basedOn w:val="DefaultParagraphFont"/>
    <w:uiPriority w:val="99"/>
    <w:semiHidden/>
    <w:unhideWhenUsed/>
    <w:rsid w:val="00920388"/>
    <w:rPr>
      <w:color w:val="605E5C"/>
      <w:shd w:val="clear" w:color="auto" w:fill="E1DFDD"/>
    </w:rPr>
  </w:style>
  <w:style w:type="character" w:styleId="Emphasis">
    <w:name w:val="Emphasis"/>
    <w:basedOn w:val="DefaultParagraphFont"/>
    <w:uiPriority w:val="20"/>
    <w:qFormat/>
    <w:rsid w:val="00920388"/>
    <w:rPr>
      <w:i/>
      <w:iCs/>
    </w:rPr>
  </w:style>
  <w:style w:type="paragraph" w:customStyle="1" w:styleId="Default">
    <w:name w:val="Default"/>
    <w:rsid w:val="00920388"/>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920388"/>
    <w:rPr>
      <w:rFonts w:ascii="Arial" w:hAnsi="Arial"/>
    </w:rPr>
  </w:style>
  <w:style w:type="character" w:customStyle="1" w:styleId="pldetailsChar">
    <w:name w:val="pldetails Char"/>
    <w:link w:val="pldetails"/>
    <w:locked/>
    <w:rsid w:val="00920388"/>
    <w:rPr>
      <w:rFonts w:ascii="Arial" w:hAnsi="Arial"/>
      <w:noProof/>
      <w:snapToGrid w:val="0"/>
    </w:rPr>
  </w:style>
  <w:style w:type="character" w:customStyle="1" w:styleId="plcountryChar">
    <w:name w:val="plcountry Char"/>
    <w:basedOn w:val="DefaultParagraphFont"/>
    <w:link w:val="plcountry"/>
    <w:rsid w:val="00920388"/>
    <w:rPr>
      <w:rFonts w:ascii="Arial" w:hAnsi="Arial"/>
      <w:caps/>
      <w:noProof/>
      <w:snapToGrid w:val="0"/>
      <w:u w:val="single"/>
    </w:rPr>
  </w:style>
  <w:style w:type="character" w:styleId="FollowedHyperlink">
    <w:name w:val="FollowedHyperlink"/>
    <w:basedOn w:val="DefaultParagraphFont"/>
    <w:uiPriority w:val="99"/>
    <w:semiHidden/>
    <w:unhideWhenUsed/>
    <w:rsid w:val="009203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orldsee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81_(2024)\templates\routing_slip_with_doc_caj_8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0B42D-1610-476C-BA27-56CAA1B6B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routing_slip_with_doc_caj_81.dotm</Template>
  <TotalTime>0</TotalTime>
  <Pages>8</Pages>
  <Words>2980</Words>
  <Characters>19140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CAJ/81/2</vt:lpstr>
    </vt:vector>
  </TitlesOfParts>
  <Company>UPOV</Company>
  <LinksUpToDate>false</LinksUpToDate>
  <CharactersWithSpaces>22076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CAJ/81/2</dc:title>
  <dc:creator>SANCHEZ VIZCAINO GOMEZ Rosa Maria</dc:creator>
  <cp:lastModifiedBy>OERTEL Romy</cp:lastModifiedBy>
  <cp:revision>2</cp:revision>
  <cp:lastPrinted>2016-11-22T15:41:00Z</cp:lastPrinted>
  <dcterms:created xsi:type="dcterms:W3CDTF">2024-10-22T13:45:00Z</dcterms:created>
  <dcterms:modified xsi:type="dcterms:W3CDTF">2024-10-22T13:45:00Z</dcterms:modified>
</cp:coreProperties>
</file>