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A78294F" w14:textId="77777777" w:rsidTr="00EB4E9C">
        <w:tc>
          <w:tcPr>
            <w:tcW w:w="6522" w:type="dxa"/>
          </w:tcPr>
          <w:p w14:paraId="59195C96" w14:textId="77777777" w:rsidR="00DC3802" w:rsidRPr="00AC2883" w:rsidRDefault="00DC3802" w:rsidP="00AC2883">
            <w:r w:rsidRPr="00D250C5">
              <w:rPr>
                <w:noProof/>
                <w:lang w:val="de-DE" w:eastAsia="de-DE"/>
              </w:rPr>
              <w:drawing>
                <wp:inline distT="0" distB="0" distL="0" distR="0" wp14:anchorId="25443C37" wp14:editId="45C6C0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01D5E9" w14:textId="77777777" w:rsidR="00DC3802" w:rsidRPr="007C1D92" w:rsidRDefault="00DC3802" w:rsidP="00AC2883">
            <w:pPr>
              <w:pStyle w:val="Lettrine"/>
            </w:pPr>
            <w:r w:rsidRPr="00172084">
              <w:t>E</w:t>
            </w:r>
          </w:p>
        </w:tc>
      </w:tr>
      <w:tr w:rsidR="00DC3802" w:rsidRPr="00DA4973" w14:paraId="4536D15D" w14:textId="77777777" w:rsidTr="00645CA8">
        <w:trPr>
          <w:trHeight w:val="219"/>
        </w:trPr>
        <w:tc>
          <w:tcPr>
            <w:tcW w:w="6522" w:type="dxa"/>
          </w:tcPr>
          <w:p w14:paraId="3ED57120" w14:textId="77777777" w:rsidR="00DC3802" w:rsidRPr="00AC2883" w:rsidRDefault="00DC3802" w:rsidP="00AC2883">
            <w:pPr>
              <w:pStyle w:val="upove"/>
            </w:pPr>
            <w:r w:rsidRPr="00AC2883">
              <w:t>International Union for the Protection of New Varieties of Plants</w:t>
            </w:r>
          </w:p>
        </w:tc>
        <w:tc>
          <w:tcPr>
            <w:tcW w:w="3117" w:type="dxa"/>
          </w:tcPr>
          <w:p w14:paraId="1D619FA9" w14:textId="77777777" w:rsidR="00DC3802" w:rsidRPr="00DA4973" w:rsidRDefault="00DC3802" w:rsidP="00DA4973"/>
        </w:tc>
      </w:tr>
    </w:tbl>
    <w:p w14:paraId="630AB4C0" w14:textId="77777777" w:rsidR="00DC3802" w:rsidRDefault="00DC3802" w:rsidP="00DC3802"/>
    <w:p w14:paraId="2CC50D08" w14:textId="77777777" w:rsidR="007B73A9" w:rsidRPr="00365DC1" w:rsidRDefault="007B73A9" w:rsidP="007B73A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C5280D" w14:paraId="250AA327" w14:textId="77777777" w:rsidTr="001B2C38">
        <w:tc>
          <w:tcPr>
            <w:tcW w:w="6512" w:type="dxa"/>
          </w:tcPr>
          <w:p w14:paraId="1E91B93C" w14:textId="77777777" w:rsidR="007B73A9" w:rsidRPr="009E2D99" w:rsidRDefault="007B73A9" w:rsidP="001B2C38">
            <w:pPr>
              <w:pStyle w:val="Sessiontwp"/>
            </w:pPr>
            <w:r w:rsidRPr="009E2D99">
              <w:t>Technical Committee</w:t>
            </w:r>
          </w:p>
          <w:p w14:paraId="577BF7A8" w14:textId="77777777" w:rsidR="007B73A9" w:rsidRPr="009E2D99" w:rsidRDefault="007B73A9" w:rsidP="001B2C38">
            <w:pPr>
              <w:pStyle w:val="Sessiontwpplacedate"/>
            </w:pPr>
            <w:r w:rsidRPr="009E2D99">
              <w:t>Fifty-Ninth Session</w:t>
            </w:r>
          </w:p>
          <w:p w14:paraId="49D8BF19" w14:textId="77777777" w:rsidR="007B73A9" w:rsidRPr="009E2D99" w:rsidRDefault="007B73A9" w:rsidP="001B2C38">
            <w:r w:rsidRPr="009E2D99">
              <w:t>Geneva, October 23 and 24, 2023</w:t>
            </w:r>
          </w:p>
          <w:p w14:paraId="1B27FE79" w14:textId="77777777" w:rsidR="007B73A9" w:rsidRPr="009E2D99" w:rsidRDefault="007B73A9" w:rsidP="001B2C38"/>
          <w:p w14:paraId="685A1A02" w14:textId="77777777" w:rsidR="007B73A9" w:rsidRPr="009E2D99" w:rsidRDefault="007B73A9" w:rsidP="001B2C38">
            <w:pPr>
              <w:pStyle w:val="Sessiontwp"/>
            </w:pPr>
            <w:r w:rsidRPr="009E2D99">
              <w:t>Administrative and Legal Committee</w:t>
            </w:r>
          </w:p>
          <w:p w14:paraId="63A4A574" w14:textId="77777777" w:rsidR="007B73A9" w:rsidRPr="009E2D99" w:rsidRDefault="007B73A9" w:rsidP="001B2C38">
            <w:pPr>
              <w:pStyle w:val="Sessiontwp"/>
              <w:rPr>
                <w:b w:val="0"/>
              </w:rPr>
            </w:pPr>
            <w:r w:rsidRPr="009E2D99">
              <w:rPr>
                <w:b w:val="0"/>
              </w:rPr>
              <w:t>Eightieth Session</w:t>
            </w:r>
          </w:p>
          <w:p w14:paraId="3E6C2E1B" w14:textId="77777777" w:rsidR="007B73A9" w:rsidRPr="009E2D99" w:rsidRDefault="007B73A9" w:rsidP="005F2F0F">
            <w:pPr>
              <w:pStyle w:val="Sessiontwpplacedate"/>
            </w:pPr>
            <w:r w:rsidRPr="009E2D99">
              <w:t>Geneva, October 25, 2023</w:t>
            </w:r>
          </w:p>
        </w:tc>
        <w:tc>
          <w:tcPr>
            <w:tcW w:w="3127" w:type="dxa"/>
          </w:tcPr>
          <w:p w14:paraId="573188EA" w14:textId="77777777" w:rsidR="007B73A9" w:rsidRPr="009E2D99" w:rsidRDefault="007154FD" w:rsidP="001B2C38">
            <w:pPr>
              <w:pStyle w:val="Doccode"/>
            </w:pPr>
            <w:r w:rsidRPr="009E2D99">
              <w:t>SESSIONS/</w:t>
            </w:r>
            <w:r w:rsidR="00F531DD" w:rsidRPr="009E2D99">
              <w:t>2023/5</w:t>
            </w:r>
          </w:p>
          <w:p w14:paraId="225E614F" w14:textId="77777777" w:rsidR="007B73A9" w:rsidRPr="009E2D99" w:rsidRDefault="007B73A9" w:rsidP="001B2C38">
            <w:pPr>
              <w:pStyle w:val="Docoriginal"/>
            </w:pPr>
            <w:r w:rsidRPr="009E2D99">
              <w:t>Original:</w:t>
            </w:r>
            <w:r w:rsidRPr="009E2D99">
              <w:rPr>
                <w:b w:val="0"/>
                <w:spacing w:val="0"/>
              </w:rPr>
              <w:t xml:space="preserve">  English</w:t>
            </w:r>
          </w:p>
          <w:p w14:paraId="19C7E78C" w14:textId="4BA60A26" w:rsidR="007B73A9" w:rsidRPr="007C1D92" w:rsidRDefault="007B73A9" w:rsidP="001B2C38">
            <w:pPr>
              <w:pStyle w:val="Docoriginal"/>
            </w:pPr>
            <w:r w:rsidRPr="009E2D99">
              <w:t>Date:</w:t>
            </w:r>
            <w:r w:rsidRPr="009E2D99">
              <w:rPr>
                <w:b w:val="0"/>
                <w:spacing w:val="0"/>
              </w:rPr>
              <w:t xml:space="preserve">  </w:t>
            </w:r>
            <w:r w:rsidR="00B50C2C" w:rsidRPr="009E2D99">
              <w:rPr>
                <w:b w:val="0"/>
                <w:spacing w:val="0"/>
              </w:rPr>
              <w:t xml:space="preserve">October </w:t>
            </w:r>
            <w:r w:rsidR="00F94922" w:rsidRPr="009E2D99">
              <w:rPr>
                <w:b w:val="0"/>
                <w:spacing w:val="0"/>
              </w:rPr>
              <w:t>6</w:t>
            </w:r>
            <w:r w:rsidRPr="009E2D99">
              <w:rPr>
                <w:b w:val="0"/>
                <w:spacing w:val="0"/>
              </w:rPr>
              <w:t>, 2023</w:t>
            </w:r>
          </w:p>
        </w:tc>
      </w:tr>
    </w:tbl>
    <w:p w14:paraId="2421D8F9" w14:textId="77777777" w:rsidR="007B73A9" w:rsidRPr="006A644A" w:rsidRDefault="00F531DD" w:rsidP="007B73A9">
      <w:pPr>
        <w:pStyle w:val="Titleofdoc0"/>
      </w:pPr>
      <w:r w:rsidRPr="00F531DD">
        <w:t>Molecular techniques</w:t>
      </w:r>
    </w:p>
    <w:p w14:paraId="418D9F13" w14:textId="77777777" w:rsidR="001D736D" w:rsidRPr="006A644A" w:rsidRDefault="001D736D" w:rsidP="001D736D">
      <w:pPr>
        <w:pStyle w:val="preparedby1"/>
        <w:jc w:val="left"/>
      </w:pPr>
      <w:r w:rsidRPr="000C4E25">
        <w:t>Document prepared by the Office of the Union</w:t>
      </w:r>
    </w:p>
    <w:p w14:paraId="711C74D7" w14:textId="77777777" w:rsidR="001D736D" w:rsidRPr="006A644A" w:rsidRDefault="001D736D" w:rsidP="001D736D">
      <w:pPr>
        <w:pStyle w:val="Disclaimer"/>
      </w:pPr>
      <w:r w:rsidRPr="006A644A">
        <w:t>Disclaimer:  this document does not represent UPOV policies or guidance</w:t>
      </w:r>
    </w:p>
    <w:p w14:paraId="4CDE4B20" w14:textId="77777777" w:rsidR="00E209FA" w:rsidRPr="00E209FA" w:rsidRDefault="00E209FA" w:rsidP="00E209FA">
      <w:pPr>
        <w:keepNext/>
        <w:outlineLvl w:val="0"/>
        <w:rPr>
          <w:caps/>
          <w:snapToGrid w:val="0"/>
          <w:lang w:eastAsia="ja-JP"/>
        </w:rPr>
      </w:pPr>
      <w:bookmarkStart w:id="0" w:name="_Toc147511118"/>
      <w:bookmarkStart w:id="1" w:name="_Toc84413225"/>
      <w:bookmarkStart w:id="2" w:name="_Toc97892774"/>
      <w:r w:rsidRPr="00E209FA">
        <w:rPr>
          <w:caps/>
          <w:snapToGrid w:val="0"/>
          <w:lang w:eastAsia="ja-JP"/>
        </w:rPr>
        <w:t>E</w:t>
      </w:r>
      <w:r w:rsidRPr="00E209FA">
        <w:rPr>
          <w:rFonts w:hint="eastAsia"/>
          <w:caps/>
          <w:snapToGrid w:val="0"/>
          <w:lang w:eastAsia="ja-JP"/>
        </w:rPr>
        <w:t>xecutive summary</w:t>
      </w:r>
      <w:bookmarkEnd w:id="0"/>
    </w:p>
    <w:p w14:paraId="765C98E8" w14:textId="77777777" w:rsidR="005054F9" w:rsidRPr="00E209FA" w:rsidRDefault="005054F9" w:rsidP="00E209FA">
      <w:pPr>
        <w:rPr>
          <w:lang w:eastAsia="ja-JP"/>
        </w:rPr>
      </w:pPr>
    </w:p>
    <w:p w14:paraId="687A2DD3" w14:textId="0BDCEE1C" w:rsidR="00F33641" w:rsidRDefault="00E209FA" w:rsidP="00E209FA">
      <w:r w:rsidRPr="00E209FA">
        <w:fldChar w:fldCharType="begin"/>
      </w:r>
      <w:r w:rsidRPr="00E209FA">
        <w:instrText xml:space="preserve"> AUTONUM  </w:instrText>
      </w:r>
      <w:r w:rsidRPr="00E209FA">
        <w:fldChar w:fldCharType="end"/>
      </w:r>
      <w:r w:rsidRPr="00E209FA">
        <w:tab/>
        <w:t xml:space="preserve">The purpose of this document is to report </w:t>
      </w:r>
      <w:r w:rsidR="002F1698">
        <w:t xml:space="preserve">to the TC and the CAJ </w:t>
      </w:r>
      <w:r w:rsidRPr="00E209FA">
        <w:t>developments concerning molecular techniques and to invite th</w:t>
      </w:r>
      <w:r w:rsidRPr="00E209FA">
        <w:rPr>
          <w:rFonts w:cs="Arial"/>
        </w:rPr>
        <w:t xml:space="preserve">e </w:t>
      </w:r>
      <w:r w:rsidR="00F33641">
        <w:rPr>
          <w:rFonts w:cs="Arial"/>
        </w:rPr>
        <w:t>TC</w:t>
      </w:r>
      <w:r w:rsidRPr="00E209FA">
        <w:rPr>
          <w:rFonts w:cs="Arial"/>
        </w:rPr>
        <w:t xml:space="preserve"> to </w:t>
      </w:r>
      <w:r w:rsidR="00F33641">
        <w:rPr>
          <w:rFonts w:cs="Arial"/>
        </w:rPr>
        <w:t xml:space="preserve">consider proposals concerning </w:t>
      </w:r>
      <w:r w:rsidRPr="00E209FA">
        <w:t>confidentiality of molecular information</w:t>
      </w:r>
      <w:r w:rsidR="00F33641">
        <w:t xml:space="preserve"> and to note </w:t>
      </w:r>
      <w:r w:rsidR="00F33641" w:rsidRPr="00F33641">
        <w:rPr>
          <w:iCs/>
          <w:snapToGrid w:val="0"/>
          <w:lang w:eastAsia="ja-JP"/>
        </w:rPr>
        <w:t>that a discussion session on molecular techniques in DUS examination will be organized at the fifty-ninth session of the TC.</w:t>
      </w:r>
      <w:r w:rsidR="00F33641">
        <w:rPr>
          <w:iCs/>
          <w:snapToGrid w:val="0"/>
          <w:lang w:eastAsia="ja-JP"/>
        </w:rPr>
        <w:t xml:space="preserve">  </w:t>
      </w:r>
    </w:p>
    <w:p w14:paraId="4E9B0079" w14:textId="77777777" w:rsidR="00E209FA" w:rsidRPr="00E209FA" w:rsidRDefault="00E209FA" w:rsidP="00E209FA"/>
    <w:p w14:paraId="2B6E0AC9" w14:textId="49C3A319" w:rsidR="00E209FA" w:rsidRPr="00E209FA" w:rsidRDefault="00E209FA" w:rsidP="00E209FA">
      <w:pPr>
        <w:tabs>
          <w:tab w:val="left" w:pos="567"/>
          <w:tab w:val="left" w:pos="1134"/>
          <w:tab w:val="left" w:pos="5387"/>
          <w:tab w:val="left" w:pos="5954"/>
        </w:tabs>
      </w:pPr>
      <w:r w:rsidRPr="00E209FA">
        <w:fldChar w:fldCharType="begin"/>
      </w:r>
      <w:r w:rsidRPr="00E209FA">
        <w:instrText xml:space="preserve"> AUTONUM  </w:instrText>
      </w:r>
      <w:r w:rsidRPr="00E209FA">
        <w:fldChar w:fldCharType="end"/>
      </w:r>
      <w:r w:rsidRPr="00E209FA">
        <w:tab/>
        <w:t xml:space="preserve">The </w:t>
      </w:r>
      <w:r w:rsidR="00F626D8">
        <w:t>TC</w:t>
      </w:r>
      <w:r w:rsidRPr="00E209FA">
        <w:t xml:space="preserve"> is invited to:</w:t>
      </w:r>
    </w:p>
    <w:p w14:paraId="37A078EB" w14:textId="77777777" w:rsidR="00E209FA" w:rsidRPr="00E209FA" w:rsidRDefault="00E209FA" w:rsidP="00E209FA">
      <w:pPr>
        <w:keepNext/>
        <w:keepLines/>
        <w:tabs>
          <w:tab w:val="left" w:pos="567"/>
          <w:tab w:val="left" w:pos="1134"/>
          <w:tab w:val="left" w:pos="5387"/>
          <w:tab w:val="left" w:pos="5954"/>
        </w:tabs>
      </w:pPr>
    </w:p>
    <w:p w14:paraId="0DB82C73" w14:textId="73D6C823" w:rsidR="00F33641" w:rsidRPr="00F33641" w:rsidRDefault="00F33641" w:rsidP="00F33641">
      <w:pPr>
        <w:tabs>
          <w:tab w:val="left" w:pos="567"/>
          <w:tab w:val="left" w:pos="1134"/>
          <w:tab w:val="left" w:pos="5387"/>
          <w:tab w:val="left" w:pos="5954"/>
        </w:tabs>
        <w:rPr>
          <w:iCs/>
          <w:snapToGrid w:val="0"/>
          <w:lang w:eastAsia="ja-JP"/>
        </w:rPr>
      </w:pPr>
      <w:r w:rsidRPr="00F33641">
        <w:rPr>
          <w:iCs/>
          <w:snapToGrid w:val="0"/>
          <w:lang w:eastAsia="ja-JP"/>
        </w:rPr>
        <w:tab/>
        <w:t>(a)</w:t>
      </w:r>
      <w:r w:rsidRPr="00F33641">
        <w:rPr>
          <w:iCs/>
          <w:snapToGrid w:val="0"/>
          <w:lang w:eastAsia="ja-JP"/>
        </w:rPr>
        <w:tab/>
        <w:t xml:space="preserve">note the policies reported and discussions on confidentiality of molecular information at the TWP sessions in 2023; </w:t>
      </w:r>
    </w:p>
    <w:p w14:paraId="6D8DFFA2" w14:textId="77777777" w:rsidR="00F33641" w:rsidRPr="00F33641" w:rsidRDefault="00F33641" w:rsidP="00F33641">
      <w:pPr>
        <w:tabs>
          <w:tab w:val="left" w:pos="567"/>
          <w:tab w:val="left" w:pos="1134"/>
          <w:tab w:val="left" w:pos="5387"/>
        </w:tabs>
        <w:rPr>
          <w:iCs/>
          <w:snapToGrid w:val="0"/>
          <w:lang w:eastAsia="ja-JP"/>
        </w:rPr>
      </w:pPr>
    </w:p>
    <w:p w14:paraId="4BC4ADE5" w14:textId="56F82847" w:rsidR="00F33641" w:rsidRDefault="00F33641" w:rsidP="00F33641">
      <w:pPr>
        <w:tabs>
          <w:tab w:val="left" w:pos="567"/>
          <w:tab w:val="left" w:pos="1134"/>
          <w:tab w:val="left" w:pos="5387"/>
          <w:tab w:val="left" w:pos="5954"/>
        </w:tabs>
        <w:rPr>
          <w:iCs/>
          <w:snapToGrid w:val="0"/>
          <w:lang w:eastAsia="ja-JP"/>
        </w:rPr>
      </w:pPr>
      <w:r w:rsidRPr="00F33641">
        <w:rPr>
          <w:iCs/>
          <w:snapToGrid w:val="0"/>
          <w:lang w:eastAsia="ja-JP"/>
        </w:rPr>
        <w:tab/>
        <w:t>(b)</w:t>
      </w:r>
      <w:r w:rsidRPr="00F33641">
        <w:rPr>
          <w:iCs/>
          <w:snapToGrid w:val="0"/>
          <w:lang w:eastAsia="ja-JP"/>
        </w:rPr>
        <w:tab/>
        <w:t>consider whether to continue the invitation for members and observers to report existing policies on confidentiality of molecular information at the TWPs, at their sessions in 2024</w:t>
      </w:r>
      <w:r>
        <w:rPr>
          <w:iCs/>
          <w:snapToGrid w:val="0"/>
          <w:lang w:eastAsia="ja-JP"/>
        </w:rPr>
        <w:t xml:space="preserve">; </w:t>
      </w:r>
    </w:p>
    <w:p w14:paraId="48FA020F" w14:textId="3A2DE6D8" w:rsidR="00F33641" w:rsidRDefault="00F33641" w:rsidP="00F33641">
      <w:pPr>
        <w:tabs>
          <w:tab w:val="left" w:pos="567"/>
          <w:tab w:val="left" w:pos="1134"/>
          <w:tab w:val="left" w:pos="5387"/>
          <w:tab w:val="left" w:pos="5954"/>
        </w:tabs>
        <w:rPr>
          <w:iCs/>
          <w:snapToGrid w:val="0"/>
          <w:lang w:eastAsia="ja-JP"/>
        </w:rPr>
      </w:pPr>
    </w:p>
    <w:p w14:paraId="0DFDCDCE" w14:textId="0CB42F34" w:rsidR="00F33641" w:rsidRDefault="00F33641" w:rsidP="00F33641">
      <w:pPr>
        <w:tabs>
          <w:tab w:val="left" w:pos="567"/>
          <w:tab w:val="left" w:pos="1134"/>
          <w:tab w:val="left" w:pos="5387"/>
          <w:tab w:val="left" w:pos="5954"/>
        </w:tabs>
        <w:rPr>
          <w:iCs/>
          <w:snapToGrid w:val="0"/>
          <w:lang w:eastAsia="ja-JP"/>
        </w:rPr>
      </w:pPr>
      <w:r>
        <w:rPr>
          <w:iCs/>
          <w:snapToGrid w:val="0"/>
          <w:lang w:eastAsia="ja-JP"/>
        </w:rPr>
        <w:tab/>
        <w:t>(c)</w:t>
      </w:r>
      <w:r>
        <w:rPr>
          <w:iCs/>
          <w:snapToGrid w:val="0"/>
          <w:lang w:eastAsia="ja-JP"/>
        </w:rPr>
        <w:tab/>
      </w:r>
      <w:r w:rsidRPr="00F33641">
        <w:rPr>
          <w:iCs/>
          <w:snapToGrid w:val="0"/>
          <w:lang w:eastAsia="ja-JP"/>
        </w:rPr>
        <w:t xml:space="preserve">note that a discussion session on molecular techniques in DUS examination will be organized at </w:t>
      </w:r>
      <w:r w:rsidR="00674731">
        <w:rPr>
          <w:iCs/>
          <w:snapToGrid w:val="0"/>
          <w:lang w:eastAsia="ja-JP"/>
        </w:rPr>
        <w:t>its</w:t>
      </w:r>
      <w:r w:rsidRPr="00F33641">
        <w:rPr>
          <w:iCs/>
          <w:snapToGrid w:val="0"/>
          <w:lang w:eastAsia="ja-JP"/>
        </w:rPr>
        <w:t xml:space="preserve"> fifty-ninth session</w:t>
      </w:r>
      <w:r w:rsidR="00F94922">
        <w:rPr>
          <w:iCs/>
          <w:snapToGrid w:val="0"/>
          <w:lang w:eastAsia="ja-JP"/>
        </w:rPr>
        <w:t>;</w:t>
      </w:r>
      <w:r w:rsidR="00F94922" w:rsidRPr="00F94922">
        <w:rPr>
          <w:iCs/>
          <w:snapToGrid w:val="0"/>
          <w:lang w:eastAsia="ja-JP"/>
        </w:rPr>
        <w:t xml:space="preserve"> </w:t>
      </w:r>
      <w:r w:rsidR="00F94922">
        <w:rPr>
          <w:iCs/>
          <w:snapToGrid w:val="0"/>
          <w:lang w:eastAsia="ja-JP"/>
        </w:rPr>
        <w:t>and</w:t>
      </w:r>
    </w:p>
    <w:p w14:paraId="77838C0B" w14:textId="0CA07E02" w:rsidR="00F94922" w:rsidRDefault="00F94922" w:rsidP="00F33641">
      <w:pPr>
        <w:tabs>
          <w:tab w:val="left" w:pos="567"/>
          <w:tab w:val="left" w:pos="1134"/>
          <w:tab w:val="left" w:pos="5387"/>
          <w:tab w:val="left" w:pos="5954"/>
        </w:tabs>
        <w:rPr>
          <w:iCs/>
          <w:snapToGrid w:val="0"/>
          <w:lang w:eastAsia="ja-JP"/>
        </w:rPr>
      </w:pPr>
    </w:p>
    <w:p w14:paraId="040EB785" w14:textId="67B21D3D" w:rsidR="00F94922" w:rsidRDefault="00F94922" w:rsidP="00F33641">
      <w:pPr>
        <w:tabs>
          <w:tab w:val="left" w:pos="567"/>
          <w:tab w:val="left" w:pos="1134"/>
          <w:tab w:val="left" w:pos="5387"/>
          <w:tab w:val="left" w:pos="5954"/>
        </w:tabs>
        <w:rPr>
          <w:iCs/>
          <w:snapToGrid w:val="0"/>
          <w:lang w:eastAsia="ja-JP"/>
        </w:rPr>
      </w:pPr>
      <w:r>
        <w:rPr>
          <w:iCs/>
          <w:snapToGrid w:val="0"/>
          <w:lang w:eastAsia="ja-JP"/>
        </w:rPr>
        <w:tab/>
        <w:t>(d)</w:t>
      </w:r>
      <w:r>
        <w:rPr>
          <w:iCs/>
          <w:snapToGrid w:val="0"/>
          <w:lang w:eastAsia="ja-JP"/>
        </w:rPr>
        <w:tab/>
      </w:r>
      <w:r w:rsidRPr="00F94922">
        <w:rPr>
          <w:lang w:eastAsia="ja-JP"/>
        </w:rPr>
        <w:t>note the matters for information provided in this document.</w:t>
      </w:r>
    </w:p>
    <w:p w14:paraId="7B97150A" w14:textId="77777777" w:rsidR="004611F7" w:rsidRPr="00E209FA" w:rsidRDefault="004611F7" w:rsidP="00E209FA">
      <w:pPr>
        <w:tabs>
          <w:tab w:val="left" w:pos="567"/>
          <w:tab w:val="left" w:pos="1134"/>
          <w:tab w:val="left" w:pos="5387"/>
          <w:tab w:val="left" w:pos="5954"/>
        </w:tabs>
      </w:pPr>
    </w:p>
    <w:p w14:paraId="4F587E10" w14:textId="77777777" w:rsidR="00E209FA" w:rsidRPr="00E209FA" w:rsidRDefault="00E209FA" w:rsidP="00E209FA">
      <w:r w:rsidRPr="00E209FA">
        <w:fldChar w:fldCharType="begin"/>
      </w:r>
      <w:r w:rsidRPr="00E209FA">
        <w:instrText xml:space="preserve"> AUTONUM  </w:instrText>
      </w:r>
      <w:r w:rsidRPr="00E209FA">
        <w:fldChar w:fldCharType="end"/>
      </w:r>
      <w:r w:rsidRPr="00E209FA">
        <w:tab/>
        <w:t>The following abbreviations are used in this document:</w:t>
      </w:r>
    </w:p>
    <w:p w14:paraId="10E8F8C4" w14:textId="77777777" w:rsidR="00E209FA" w:rsidRPr="00E209FA" w:rsidRDefault="00E209FA" w:rsidP="00E209FA"/>
    <w:p w14:paraId="336FE70B" w14:textId="77777777" w:rsidR="002F1698" w:rsidRDefault="00E209FA" w:rsidP="00E209FA">
      <w:pPr>
        <w:keepNext/>
        <w:tabs>
          <w:tab w:val="left" w:pos="567"/>
        </w:tabs>
        <w:ind w:left="1701" w:hanging="1134"/>
        <w:rPr>
          <w:sz w:val="18"/>
        </w:rPr>
      </w:pPr>
      <w:r w:rsidRPr="00E209FA">
        <w:rPr>
          <w:sz w:val="18"/>
        </w:rPr>
        <w:t>BMT:</w:t>
      </w:r>
      <w:r w:rsidRPr="00E209FA">
        <w:rPr>
          <w:sz w:val="18"/>
        </w:rPr>
        <w:tab/>
        <w:t>Working Group on Biochemical and Molecular Techniques, and DNA-Profiling in Particular</w:t>
      </w:r>
    </w:p>
    <w:p w14:paraId="549C3F95" w14:textId="0F407750" w:rsidR="00E209FA" w:rsidRPr="00E209FA" w:rsidRDefault="002F1698" w:rsidP="00E209FA">
      <w:pPr>
        <w:keepNext/>
        <w:tabs>
          <w:tab w:val="left" w:pos="567"/>
        </w:tabs>
        <w:ind w:left="1701" w:hanging="1134"/>
        <w:rPr>
          <w:sz w:val="18"/>
        </w:rPr>
      </w:pPr>
      <w:r>
        <w:rPr>
          <w:sz w:val="18"/>
        </w:rPr>
        <w:t xml:space="preserve">CAJ: </w:t>
      </w:r>
      <w:r>
        <w:rPr>
          <w:sz w:val="18"/>
        </w:rPr>
        <w:tab/>
        <w:t xml:space="preserve">Administrative and Legal Committee </w:t>
      </w:r>
      <w:r w:rsidR="00E209FA" w:rsidRPr="00E209FA">
        <w:rPr>
          <w:sz w:val="18"/>
        </w:rPr>
        <w:t xml:space="preserve"> </w:t>
      </w:r>
    </w:p>
    <w:p w14:paraId="094022CE" w14:textId="77777777" w:rsidR="00E209FA" w:rsidRPr="00E209FA" w:rsidRDefault="00E209FA" w:rsidP="00E209FA">
      <w:pPr>
        <w:ind w:left="1701" w:hanging="1134"/>
        <w:rPr>
          <w:rFonts w:cs="Arial"/>
          <w:snapToGrid w:val="0"/>
          <w:sz w:val="18"/>
          <w:szCs w:val="24"/>
          <w:lang w:eastAsia="ja-JP"/>
        </w:rPr>
      </w:pPr>
      <w:r w:rsidRPr="00E209FA">
        <w:rPr>
          <w:rFonts w:eastAsia="PMingLiU" w:cs="Arial"/>
          <w:snapToGrid w:val="0"/>
          <w:sz w:val="18"/>
          <w:szCs w:val="24"/>
          <w:lang w:eastAsia="fr-FR"/>
        </w:rPr>
        <w:t xml:space="preserve">ISTA: </w:t>
      </w:r>
      <w:r w:rsidRPr="00E209FA">
        <w:rPr>
          <w:rFonts w:eastAsia="PMingLiU" w:cs="Arial"/>
          <w:snapToGrid w:val="0"/>
          <w:sz w:val="18"/>
          <w:szCs w:val="24"/>
          <w:lang w:eastAsia="fr-FR"/>
        </w:rPr>
        <w:tab/>
        <w:t>International Seed Testing Association</w:t>
      </w:r>
    </w:p>
    <w:p w14:paraId="7C83ECFC" w14:textId="77777777" w:rsidR="00E209FA" w:rsidRPr="00E209FA" w:rsidRDefault="00E209FA" w:rsidP="00E209FA">
      <w:pPr>
        <w:ind w:left="1701" w:hanging="1134"/>
        <w:rPr>
          <w:rFonts w:eastAsia="PMingLiU" w:cs="Arial"/>
          <w:snapToGrid w:val="0"/>
          <w:sz w:val="18"/>
          <w:szCs w:val="24"/>
        </w:rPr>
      </w:pPr>
      <w:r w:rsidRPr="00E209FA">
        <w:rPr>
          <w:rFonts w:eastAsia="PMingLiU" w:cs="Arial"/>
          <w:sz w:val="18"/>
          <w:szCs w:val="24"/>
        </w:rPr>
        <w:t>OECD:</w:t>
      </w:r>
      <w:r w:rsidRPr="00E209FA">
        <w:rPr>
          <w:rFonts w:eastAsia="PMingLiU" w:cs="Arial"/>
          <w:sz w:val="18"/>
          <w:szCs w:val="24"/>
        </w:rPr>
        <w:tab/>
      </w:r>
      <w:r w:rsidRPr="00E209FA">
        <w:rPr>
          <w:rFonts w:eastAsia="PMingLiU" w:cs="Arial"/>
          <w:snapToGrid w:val="0"/>
          <w:sz w:val="18"/>
          <w:szCs w:val="24"/>
        </w:rPr>
        <w:t>Organization for Economic Co-operation and Development</w:t>
      </w:r>
    </w:p>
    <w:p w14:paraId="6C276991" w14:textId="77777777" w:rsidR="00E209FA" w:rsidRPr="00E209FA" w:rsidRDefault="00E209FA" w:rsidP="00E209FA">
      <w:pPr>
        <w:keepNext/>
        <w:tabs>
          <w:tab w:val="left" w:pos="567"/>
        </w:tabs>
        <w:ind w:left="1701" w:hanging="1134"/>
        <w:rPr>
          <w:sz w:val="18"/>
        </w:rPr>
      </w:pPr>
      <w:r w:rsidRPr="00E209FA">
        <w:rPr>
          <w:sz w:val="18"/>
        </w:rPr>
        <w:t>TC:</w:t>
      </w:r>
      <w:r w:rsidRPr="00E209FA">
        <w:rPr>
          <w:sz w:val="18"/>
        </w:rPr>
        <w:tab/>
        <w:t>Technical Committee</w:t>
      </w:r>
    </w:p>
    <w:p w14:paraId="3F09E0C7" w14:textId="77777777" w:rsidR="00E209FA" w:rsidRPr="00E209FA" w:rsidRDefault="00E209FA" w:rsidP="00E209FA">
      <w:pPr>
        <w:ind w:left="1701" w:hanging="1134"/>
        <w:rPr>
          <w:rFonts w:eastAsia="PMingLiU" w:cs="Arial"/>
          <w:sz w:val="18"/>
          <w:szCs w:val="24"/>
        </w:rPr>
      </w:pPr>
      <w:r w:rsidRPr="00E209FA">
        <w:rPr>
          <w:rFonts w:eastAsia="PMingLiU" w:cs="Arial"/>
          <w:sz w:val="18"/>
          <w:szCs w:val="24"/>
        </w:rPr>
        <w:t>TWA:</w:t>
      </w:r>
      <w:r w:rsidRPr="00E209FA">
        <w:rPr>
          <w:rFonts w:eastAsia="PMingLiU" w:cs="Arial"/>
          <w:sz w:val="18"/>
          <w:szCs w:val="24"/>
        </w:rPr>
        <w:tab/>
        <w:t>Technical Working Party for Agricultural Crops</w:t>
      </w:r>
    </w:p>
    <w:p w14:paraId="79010AEE" w14:textId="77777777" w:rsidR="00E209FA" w:rsidRPr="00E209FA" w:rsidRDefault="00E209FA" w:rsidP="00E209FA">
      <w:pPr>
        <w:ind w:left="1701" w:hanging="1134"/>
        <w:rPr>
          <w:rFonts w:eastAsia="PMingLiU" w:cs="Arial"/>
          <w:sz w:val="18"/>
          <w:szCs w:val="24"/>
        </w:rPr>
      </w:pPr>
      <w:r w:rsidRPr="00E209FA">
        <w:rPr>
          <w:rFonts w:eastAsia="PMingLiU" w:cs="Arial"/>
          <w:sz w:val="18"/>
          <w:szCs w:val="24"/>
        </w:rPr>
        <w:t>TWF:</w:t>
      </w:r>
      <w:r w:rsidRPr="00E209FA">
        <w:rPr>
          <w:rFonts w:eastAsia="PMingLiU" w:cs="Arial"/>
          <w:sz w:val="18"/>
          <w:szCs w:val="24"/>
        </w:rPr>
        <w:tab/>
        <w:t>Technical Working Party on Fruit Crops</w:t>
      </w:r>
    </w:p>
    <w:p w14:paraId="380D4818" w14:textId="77777777" w:rsidR="00E209FA" w:rsidRPr="00E209FA" w:rsidRDefault="00E209FA" w:rsidP="00E209FA">
      <w:pPr>
        <w:ind w:left="1701" w:hanging="1134"/>
        <w:rPr>
          <w:rFonts w:eastAsia="PMingLiU" w:cs="Arial"/>
          <w:sz w:val="18"/>
          <w:szCs w:val="24"/>
        </w:rPr>
      </w:pPr>
      <w:r w:rsidRPr="00E209FA">
        <w:rPr>
          <w:rFonts w:eastAsia="PMingLiU" w:cs="Arial"/>
          <w:sz w:val="18"/>
          <w:szCs w:val="24"/>
        </w:rPr>
        <w:t>TWM:</w:t>
      </w:r>
      <w:r w:rsidRPr="00E209FA">
        <w:rPr>
          <w:rFonts w:eastAsia="PMingLiU" w:cs="Arial"/>
          <w:sz w:val="18"/>
          <w:szCs w:val="24"/>
        </w:rPr>
        <w:tab/>
        <w:t>Technical Working Party on Testing Methods and Techniques</w:t>
      </w:r>
    </w:p>
    <w:p w14:paraId="70938F77" w14:textId="77777777" w:rsidR="00E209FA" w:rsidRPr="00E209FA" w:rsidRDefault="00E209FA" w:rsidP="00E209FA">
      <w:pPr>
        <w:ind w:left="1701" w:hanging="1134"/>
        <w:rPr>
          <w:rFonts w:eastAsia="PMingLiU" w:cs="Arial"/>
          <w:sz w:val="18"/>
          <w:szCs w:val="24"/>
        </w:rPr>
      </w:pPr>
      <w:r w:rsidRPr="00E209FA">
        <w:rPr>
          <w:rFonts w:eastAsia="PMingLiU" w:cs="Arial"/>
          <w:sz w:val="18"/>
          <w:szCs w:val="24"/>
        </w:rPr>
        <w:t>TWO:</w:t>
      </w:r>
      <w:r w:rsidRPr="00E209FA">
        <w:rPr>
          <w:rFonts w:eastAsia="PMingLiU" w:cs="Arial"/>
          <w:sz w:val="18"/>
          <w:szCs w:val="24"/>
        </w:rPr>
        <w:tab/>
        <w:t>Technical Working Party on Ornamental Plants and Forest Trees</w:t>
      </w:r>
    </w:p>
    <w:p w14:paraId="67F3C4C2" w14:textId="77777777" w:rsidR="00E209FA" w:rsidRPr="00E209FA" w:rsidRDefault="00E209FA" w:rsidP="00E209FA">
      <w:pPr>
        <w:ind w:left="1701" w:hanging="1134"/>
        <w:rPr>
          <w:rFonts w:eastAsia="PMingLiU" w:cs="Arial"/>
          <w:sz w:val="18"/>
          <w:szCs w:val="24"/>
        </w:rPr>
      </w:pPr>
      <w:r w:rsidRPr="00E209FA">
        <w:rPr>
          <w:rFonts w:eastAsia="PMingLiU" w:cs="Arial"/>
          <w:sz w:val="18"/>
          <w:szCs w:val="24"/>
        </w:rPr>
        <w:t>TWPs:</w:t>
      </w:r>
      <w:r w:rsidRPr="00E209FA">
        <w:rPr>
          <w:rFonts w:eastAsia="PMingLiU" w:cs="Arial"/>
          <w:sz w:val="18"/>
          <w:szCs w:val="24"/>
        </w:rPr>
        <w:tab/>
        <w:t>Technical Working Parties</w:t>
      </w:r>
    </w:p>
    <w:p w14:paraId="0DD0427C" w14:textId="77777777" w:rsidR="00E209FA" w:rsidRPr="00E209FA" w:rsidRDefault="00E209FA" w:rsidP="00E209FA">
      <w:pPr>
        <w:ind w:left="1701" w:hanging="1134"/>
        <w:rPr>
          <w:rFonts w:eastAsia="PMingLiU" w:cs="Arial"/>
          <w:sz w:val="18"/>
          <w:szCs w:val="24"/>
        </w:rPr>
      </w:pPr>
      <w:r w:rsidRPr="00E209FA">
        <w:rPr>
          <w:rFonts w:eastAsia="PMingLiU" w:cs="Arial"/>
          <w:sz w:val="18"/>
          <w:szCs w:val="24"/>
        </w:rPr>
        <w:t>TWV:</w:t>
      </w:r>
      <w:r w:rsidRPr="00E209FA">
        <w:rPr>
          <w:rFonts w:eastAsia="PMingLiU" w:cs="Arial"/>
          <w:sz w:val="18"/>
          <w:szCs w:val="24"/>
        </w:rPr>
        <w:tab/>
        <w:t>Technical Working Party for Vegetables</w:t>
      </w:r>
    </w:p>
    <w:p w14:paraId="09935A21" w14:textId="77777777" w:rsidR="00E209FA" w:rsidRPr="00E209FA" w:rsidRDefault="00E209FA" w:rsidP="00E209FA">
      <w:pPr>
        <w:jc w:val="left"/>
        <w:rPr>
          <w:rFonts w:cs="Arial"/>
          <w:snapToGrid w:val="0"/>
          <w:sz w:val="18"/>
          <w:szCs w:val="24"/>
          <w:lang w:eastAsia="ja-JP"/>
        </w:rPr>
      </w:pPr>
    </w:p>
    <w:p w14:paraId="74F5579C" w14:textId="77777777" w:rsidR="00E209FA" w:rsidRPr="00E209FA" w:rsidRDefault="00E209FA" w:rsidP="00E209FA">
      <w:pPr>
        <w:keepNext/>
      </w:pPr>
      <w:r w:rsidRPr="00E209FA">
        <w:fldChar w:fldCharType="begin"/>
      </w:r>
      <w:r w:rsidRPr="00E209FA">
        <w:instrText xml:space="preserve"> AUTONUM  </w:instrText>
      </w:r>
      <w:r w:rsidRPr="00E209FA">
        <w:fldChar w:fldCharType="end"/>
      </w:r>
      <w:r w:rsidRPr="00E209FA">
        <w:tab/>
        <w:t>The structure of this document is as follows:</w:t>
      </w:r>
    </w:p>
    <w:p w14:paraId="032F01A6" w14:textId="77777777" w:rsidR="00E209FA" w:rsidRPr="00E209FA" w:rsidRDefault="00E209FA" w:rsidP="00E209FA">
      <w:pPr>
        <w:keepNext/>
        <w:tabs>
          <w:tab w:val="right" w:leader="dot" w:pos="9639"/>
        </w:tabs>
        <w:spacing w:before="60"/>
        <w:ind w:right="1418"/>
        <w:jc w:val="left"/>
        <w:rPr>
          <w:rFonts w:cs="Arial"/>
          <w:caps/>
          <w:szCs w:val="18"/>
        </w:rPr>
      </w:pPr>
    </w:p>
    <w:p w14:paraId="46422487" w14:textId="3892E01D" w:rsidR="00F94922" w:rsidRDefault="005820D2">
      <w:pPr>
        <w:pStyle w:val="TOC1"/>
        <w:rPr>
          <w:rFonts w:asciiTheme="minorHAnsi" w:eastAsiaTheme="minorEastAsia" w:hAnsiTheme="minorHAnsi" w:cstheme="minorBidi"/>
          <w:caps w:val="0"/>
          <w:noProof/>
          <w:sz w:val="22"/>
          <w:szCs w:val="22"/>
        </w:rPr>
      </w:pPr>
      <w:r>
        <w:rPr>
          <w:rFonts w:cs="Arial"/>
          <w:bCs/>
          <w:caps w:val="0"/>
          <w:noProof/>
          <w:sz w:val="18"/>
          <w:szCs w:val="18"/>
        </w:rPr>
        <w:fldChar w:fldCharType="begin"/>
      </w:r>
      <w:r>
        <w:rPr>
          <w:rFonts w:cs="Arial"/>
          <w:bCs/>
          <w:caps w:val="0"/>
          <w:noProof/>
          <w:sz w:val="18"/>
          <w:szCs w:val="18"/>
        </w:rPr>
        <w:instrText xml:space="preserve"> TOC \o "1-3" \u </w:instrText>
      </w:r>
      <w:r>
        <w:rPr>
          <w:rFonts w:cs="Arial"/>
          <w:bCs/>
          <w:caps w:val="0"/>
          <w:noProof/>
          <w:sz w:val="18"/>
          <w:szCs w:val="18"/>
        </w:rPr>
        <w:fldChar w:fldCharType="separate"/>
      </w:r>
      <w:r w:rsidR="00F94922" w:rsidRPr="007B58BF">
        <w:rPr>
          <w:noProof/>
          <w:snapToGrid w:val="0"/>
          <w:lang w:eastAsia="ja-JP"/>
        </w:rPr>
        <w:t>Executive summary</w:t>
      </w:r>
      <w:r w:rsidR="00F94922">
        <w:rPr>
          <w:noProof/>
        </w:rPr>
        <w:tab/>
      </w:r>
      <w:r w:rsidR="00F94922">
        <w:rPr>
          <w:noProof/>
        </w:rPr>
        <w:fldChar w:fldCharType="begin"/>
      </w:r>
      <w:r w:rsidR="00F94922">
        <w:rPr>
          <w:noProof/>
        </w:rPr>
        <w:instrText xml:space="preserve"> PAGEREF _Toc147511118 \h </w:instrText>
      </w:r>
      <w:r w:rsidR="00F94922">
        <w:rPr>
          <w:noProof/>
        </w:rPr>
      </w:r>
      <w:r w:rsidR="00F94922">
        <w:rPr>
          <w:noProof/>
        </w:rPr>
        <w:fldChar w:fldCharType="separate"/>
      </w:r>
      <w:r w:rsidR="00F94922">
        <w:rPr>
          <w:noProof/>
        </w:rPr>
        <w:t>1</w:t>
      </w:r>
      <w:r w:rsidR="00F94922">
        <w:rPr>
          <w:noProof/>
        </w:rPr>
        <w:fldChar w:fldCharType="end"/>
      </w:r>
    </w:p>
    <w:p w14:paraId="7280274E" w14:textId="6F371DE5" w:rsidR="00F94922" w:rsidRDefault="00F94922">
      <w:pPr>
        <w:pStyle w:val="TOC1"/>
        <w:rPr>
          <w:rFonts w:asciiTheme="minorHAnsi" w:eastAsiaTheme="minorEastAsia" w:hAnsiTheme="minorHAnsi" w:cstheme="minorBidi"/>
          <w:caps w:val="0"/>
          <w:noProof/>
          <w:sz w:val="22"/>
          <w:szCs w:val="22"/>
        </w:rPr>
      </w:pPr>
      <w:r w:rsidRPr="007B58BF">
        <w:rPr>
          <w:noProof/>
        </w:rPr>
        <w:t>Confidentiality &amp; Ownership of Molecular Information</w:t>
      </w:r>
      <w:r>
        <w:rPr>
          <w:noProof/>
        </w:rPr>
        <w:tab/>
      </w:r>
      <w:r>
        <w:rPr>
          <w:noProof/>
        </w:rPr>
        <w:fldChar w:fldCharType="begin"/>
      </w:r>
      <w:r>
        <w:rPr>
          <w:noProof/>
        </w:rPr>
        <w:instrText xml:space="preserve"> PAGEREF _Toc147511119 \h </w:instrText>
      </w:r>
      <w:r>
        <w:rPr>
          <w:noProof/>
        </w:rPr>
      </w:r>
      <w:r>
        <w:rPr>
          <w:noProof/>
        </w:rPr>
        <w:fldChar w:fldCharType="separate"/>
      </w:r>
      <w:r>
        <w:rPr>
          <w:noProof/>
        </w:rPr>
        <w:t>2</w:t>
      </w:r>
      <w:r>
        <w:rPr>
          <w:noProof/>
        </w:rPr>
        <w:fldChar w:fldCharType="end"/>
      </w:r>
    </w:p>
    <w:p w14:paraId="3970DA7D" w14:textId="4EF7850A" w:rsidR="00F94922" w:rsidRDefault="00F94922">
      <w:pPr>
        <w:pStyle w:val="TOC2"/>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_Toc147511120 \h </w:instrText>
      </w:r>
      <w:r>
        <w:rPr>
          <w:noProof/>
        </w:rPr>
      </w:r>
      <w:r>
        <w:rPr>
          <w:noProof/>
        </w:rPr>
        <w:fldChar w:fldCharType="separate"/>
      </w:r>
      <w:r>
        <w:rPr>
          <w:noProof/>
        </w:rPr>
        <w:t>2</w:t>
      </w:r>
      <w:r>
        <w:rPr>
          <w:noProof/>
        </w:rPr>
        <w:fldChar w:fldCharType="end"/>
      </w:r>
    </w:p>
    <w:p w14:paraId="397AD0B1" w14:textId="4807B3DA" w:rsidR="00F94922" w:rsidRDefault="00F94922">
      <w:pPr>
        <w:pStyle w:val="TOC2"/>
        <w:rPr>
          <w:rFonts w:asciiTheme="minorHAnsi" w:eastAsiaTheme="minorEastAsia" w:hAnsiTheme="minorHAnsi" w:cstheme="minorBidi"/>
          <w:noProof/>
          <w:sz w:val="22"/>
          <w:szCs w:val="22"/>
        </w:rPr>
      </w:pPr>
      <w:r>
        <w:rPr>
          <w:noProof/>
          <w:lang w:eastAsia="ja-JP"/>
        </w:rPr>
        <w:t>Developments at the Technical Working Parties at their Sessions in 2023</w:t>
      </w:r>
      <w:r>
        <w:rPr>
          <w:noProof/>
        </w:rPr>
        <w:tab/>
      </w:r>
      <w:r>
        <w:rPr>
          <w:noProof/>
        </w:rPr>
        <w:fldChar w:fldCharType="begin"/>
      </w:r>
      <w:r>
        <w:rPr>
          <w:noProof/>
        </w:rPr>
        <w:instrText xml:space="preserve"> PAGEREF _Toc147511121 \h </w:instrText>
      </w:r>
      <w:r>
        <w:rPr>
          <w:noProof/>
        </w:rPr>
      </w:r>
      <w:r>
        <w:rPr>
          <w:noProof/>
        </w:rPr>
        <w:fldChar w:fldCharType="separate"/>
      </w:r>
      <w:r>
        <w:rPr>
          <w:noProof/>
        </w:rPr>
        <w:t>2</w:t>
      </w:r>
      <w:r>
        <w:rPr>
          <w:noProof/>
        </w:rPr>
        <w:fldChar w:fldCharType="end"/>
      </w:r>
    </w:p>
    <w:p w14:paraId="37A4E3A1" w14:textId="1D551CBF" w:rsidR="00F94922" w:rsidRDefault="00F94922">
      <w:pPr>
        <w:pStyle w:val="TOC3"/>
        <w:rPr>
          <w:rFonts w:asciiTheme="minorHAnsi" w:eastAsiaTheme="minorEastAsia" w:hAnsiTheme="minorHAnsi" w:cstheme="minorBidi"/>
          <w:i w:val="0"/>
          <w:noProof/>
          <w:sz w:val="22"/>
          <w:szCs w:val="22"/>
          <w:lang w:val="en-US"/>
        </w:rPr>
      </w:pPr>
      <w:r w:rsidRPr="00F94922">
        <w:rPr>
          <w:noProof/>
          <w:lang w:val="en-US"/>
        </w:rPr>
        <w:t>Existing policies on confidentiality of molecular information</w:t>
      </w:r>
      <w:r w:rsidRPr="00F94922">
        <w:rPr>
          <w:noProof/>
          <w:lang w:val="en-US"/>
        </w:rPr>
        <w:tab/>
      </w:r>
      <w:r>
        <w:rPr>
          <w:noProof/>
        </w:rPr>
        <w:fldChar w:fldCharType="begin"/>
      </w:r>
      <w:r w:rsidRPr="00F94922">
        <w:rPr>
          <w:noProof/>
          <w:lang w:val="en-US"/>
        </w:rPr>
        <w:instrText xml:space="preserve"> PAGEREF _Toc147511122 \h </w:instrText>
      </w:r>
      <w:r>
        <w:rPr>
          <w:noProof/>
        </w:rPr>
      </w:r>
      <w:r>
        <w:rPr>
          <w:noProof/>
        </w:rPr>
        <w:fldChar w:fldCharType="separate"/>
      </w:r>
      <w:r w:rsidRPr="00F94922">
        <w:rPr>
          <w:noProof/>
          <w:lang w:val="en-US"/>
        </w:rPr>
        <w:t>2</w:t>
      </w:r>
      <w:r>
        <w:rPr>
          <w:noProof/>
        </w:rPr>
        <w:fldChar w:fldCharType="end"/>
      </w:r>
    </w:p>
    <w:p w14:paraId="4BBD5C59" w14:textId="5B984358" w:rsidR="00F94922" w:rsidRDefault="00F94922">
      <w:pPr>
        <w:pStyle w:val="TOC3"/>
        <w:rPr>
          <w:rFonts w:asciiTheme="minorHAnsi" w:eastAsiaTheme="minorEastAsia" w:hAnsiTheme="minorHAnsi" w:cstheme="minorBidi"/>
          <w:i w:val="0"/>
          <w:noProof/>
          <w:sz w:val="22"/>
          <w:szCs w:val="22"/>
          <w:lang w:val="en-US"/>
        </w:rPr>
      </w:pPr>
      <w:r w:rsidRPr="00F94922">
        <w:rPr>
          <w:noProof/>
          <w:lang w:val="en-US"/>
        </w:rPr>
        <w:t>Presentation on “Confidentiality of Molecular Information”</w:t>
      </w:r>
      <w:r w:rsidRPr="00F94922">
        <w:rPr>
          <w:noProof/>
          <w:lang w:val="en-US"/>
        </w:rPr>
        <w:tab/>
      </w:r>
      <w:r>
        <w:rPr>
          <w:noProof/>
        </w:rPr>
        <w:fldChar w:fldCharType="begin"/>
      </w:r>
      <w:r w:rsidRPr="00F94922">
        <w:rPr>
          <w:noProof/>
          <w:lang w:val="en-US"/>
        </w:rPr>
        <w:instrText xml:space="preserve"> PAGEREF _Toc147511123 \h </w:instrText>
      </w:r>
      <w:r>
        <w:rPr>
          <w:noProof/>
        </w:rPr>
      </w:r>
      <w:r>
        <w:rPr>
          <w:noProof/>
        </w:rPr>
        <w:fldChar w:fldCharType="separate"/>
      </w:r>
      <w:r w:rsidRPr="00F94922">
        <w:rPr>
          <w:noProof/>
          <w:lang w:val="en-US"/>
        </w:rPr>
        <w:t>3</w:t>
      </w:r>
      <w:r>
        <w:rPr>
          <w:noProof/>
        </w:rPr>
        <w:fldChar w:fldCharType="end"/>
      </w:r>
    </w:p>
    <w:p w14:paraId="3A8C9966" w14:textId="45C0A71E" w:rsidR="00F94922" w:rsidRDefault="00F94922">
      <w:pPr>
        <w:pStyle w:val="TOC1"/>
        <w:rPr>
          <w:rFonts w:asciiTheme="minorHAnsi" w:eastAsiaTheme="minorEastAsia" w:hAnsiTheme="minorHAnsi" w:cstheme="minorBidi"/>
          <w:caps w:val="0"/>
          <w:noProof/>
          <w:sz w:val="22"/>
          <w:szCs w:val="22"/>
        </w:rPr>
      </w:pPr>
      <w:r w:rsidRPr="007B58BF">
        <w:rPr>
          <w:noProof/>
          <w:snapToGrid w:val="0"/>
          <w:lang w:eastAsia="ja-JP"/>
        </w:rPr>
        <w:lastRenderedPageBreak/>
        <w:t>Discussion on molecular techniques in DUS examination</w:t>
      </w:r>
      <w:r>
        <w:rPr>
          <w:noProof/>
        </w:rPr>
        <w:tab/>
      </w:r>
      <w:r>
        <w:rPr>
          <w:noProof/>
        </w:rPr>
        <w:fldChar w:fldCharType="begin"/>
      </w:r>
      <w:r>
        <w:rPr>
          <w:noProof/>
        </w:rPr>
        <w:instrText xml:space="preserve"> PAGEREF _Toc147511124 \h </w:instrText>
      </w:r>
      <w:r>
        <w:rPr>
          <w:noProof/>
        </w:rPr>
      </w:r>
      <w:r>
        <w:rPr>
          <w:noProof/>
        </w:rPr>
        <w:fldChar w:fldCharType="separate"/>
      </w:r>
      <w:r>
        <w:rPr>
          <w:noProof/>
        </w:rPr>
        <w:t>3</w:t>
      </w:r>
      <w:r>
        <w:rPr>
          <w:noProof/>
        </w:rPr>
        <w:fldChar w:fldCharType="end"/>
      </w:r>
    </w:p>
    <w:p w14:paraId="3EE5BA71" w14:textId="238AB743" w:rsidR="00F94922" w:rsidRDefault="00F94922">
      <w:pPr>
        <w:pStyle w:val="TOC1"/>
        <w:rPr>
          <w:rFonts w:asciiTheme="minorHAnsi" w:eastAsiaTheme="minorEastAsia" w:hAnsiTheme="minorHAnsi" w:cstheme="minorBidi"/>
          <w:caps w:val="0"/>
          <w:noProof/>
          <w:sz w:val="22"/>
          <w:szCs w:val="22"/>
        </w:rPr>
      </w:pPr>
      <w:r w:rsidRPr="007B58BF">
        <w:rPr>
          <w:noProof/>
          <w:snapToGrid w:val="0"/>
          <w:lang w:eastAsia="ja-JP"/>
        </w:rPr>
        <w:t>Matters for information</w:t>
      </w:r>
      <w:r>
        <w:rPr>
          <w:noProof/>
        </w:rPr>
        <w:tab/>
      </w:r>
      <w:r>
        <w:rPr>
          <w:noProof/>
        </w:rPr>
        <w:fldChar w:fldCharType="begin"/>
      </w:r>
      <w:r>
        <w:rPr>
          <w:noProof/>
        </w:rPr>
        <w:instrText xml:space="preserve"> PAGEREF _Toc147511125 \h </w:instrText>
      </w:r>
      <w:r>
        <w:rPr>
          <w:noProof/>
        </w:rPr>
      </w:r>
      <w:r>
        <w:rPr>
          <w:noProof/>
        </w:rPr>
        <w:fldChar w:fldCharType="separate"/>
      </w:r>
      <w:r>
        <w:rPr>
          <w:noProof/>
        </w:rPr>
        <w:t>3</w:t>
      </w:r>
      <w:r>
        <w:rPr>
          <w:noProof/>
        </w:rPr>
        <w:fldChar w:fldCharType="end"/>
      </w:r>
    </w:p>
    <w:p w14:paraId="0E2E5978" w14:textId="52A60ADB" w:rsidR="00F94922" w:rsidRDefault="00F94922">
      <w:pPr>
        <w:pStyle w:val="TOC2"/>
        <w:rPr>
          <w:rFonts w:asciiTheme="minorHAnsi" w:eastAsiaTheme="minorEastAsia" w:hAnsiTheme="minorHAnsi" w:cstheme="minorBidi"/>
          <w:noProof/>
          <w:sz w:val="22"/>
          <w:szCs w:val="22"/>
        </w:rPr>
      </w:pPr>
      <w:r>
        <w:rPr>
          <w:noProof/>
        </w:rPr>
        <w:t>Second session of the Technical Working Party on Testing Methods and Techniques (TWM)</w:t>
      </w:r>
      <w:r>
        <w:rPr>
          <w:noProof/>
        </w:rPr>
        <w:tab/>
      </w:r>
      <w:r>
        <w:rPr>
          <w:noProof/>
        </w:rPr>
        <w:fldChar w:fldCharType="begin"/>
      </w:r>
      <w:r>
        <w:rPr>
          <w:noProof/>
        </w:rPr>
        <w:instrText xml:space="preserve"> PAGEREF _Toc147511126 \h </w:instrText>
      </w:r>
      <w:r>
        <w:rPr>
          <w:noProof/>
        </w:rPr>
      </w:r>
      <w:r>
        <w:rPr>
          <w:noProof/>
        </w:rPr>
        <w:fldChar w:fldCharType="separate"/>
      </w:r>
      <w:r>
        <w:rPr>
          <w:noProof/>
        </w:rPr>
        <w:t>3</w:t>
      </w:r>
      <w:r>
        <w:rPr>
          <w:noProof/>
        </w:rPr>
        <w:fldChar w:fldCharType="end"/>
      </w:r>
    </w:p>
    <w:p w14:paraId="232B10F6" w14:textId="1D29DB4B" w:rsidR="00F94922" w:rsidRDefault="00F94922">
      <w:pPr>
        <w:pStyle w:val="TOC2"/>
        <w:rPr>
          <w:rFonts w:asciiTheme="minorHAnsi" w:eastAsiaTheme="minorEastAsia" w:hAnsiTheme="minorHAnsi" w:cstheme="minorBidi"/>
          <w:noProof/>
          <w:sz w:val="22"/>
          <w:szCs w:val="22"/>
        </w:rPr>
      </w:pPr>
      <w:r w:rsidRPr="007B58BF">
        <w:rPr>
          <w:rFonts w:eastAsia="MS Mincho"/>
          <w:noProof/>
        </w:rPr>
        <w:t>Presentations on the use of molecular techniques in DUS examination</w:t>
      </w:r>
      <w:r>
        <w:rPr>
          <w:noProof/>
        </w:rPr>
        <w:tab/>
      </w:r>
      <w:r>
        <w:rPr>
          <w:noProof/>
        </w:rPr>
        <w:fldChar w:fldCharType="begin"/>
      </w:r>
      <w:r>
        <w:rPr>
          <w:noProof/>
        </w:rPr>
        <w:instrText xml:space="preserve"> PAGEREF _Toc147511127 \h </w:instrText>
      </w:r>
      <w:r>
        <w:rPr>
          <w:noProof/>
        </w:rPr>
      </w:r>
      <w:r>
        <w:rPr>
          <w:noProof/>
        </w:rPr>
        <w:fldChar w:fldCharType="separate"/>
      </w:r>
      <w:r>
        <w:rPr>
          <w:noProof/>
        </w:rPr>
        <w:t>5</w:t>
      </w:r>
      <w:r>
        <w:rPr>
          <w:noProof/>
        </w:rPr>
        <w:fldChar w:fldCharType="end"/>
      </w:r>
    </w:p>
    <w:p w14:paraId="463661F8" w14:textId="628B75BA" w:rsidR="00F94922" w:rsidRDefault="00F94922">
      <w:pPr>
        <w:pStyle w:val="TOC2"/>
        <w:rPr>
          <w:rFonts w:asciiTheme="minorHAnsi" w:eastAsiaTheme="minorEastAsia" w:hAnsiTheme="minorHAnsi" w:cstheme="minorBidi"/>
          <w:noProof/>
          <w:sz w:val="22"/>
          <w:szCs w:val="22"/>
        </w:rPr>
      </w:pPr>
      <w:r>
        <w:rPr>
          <w:noProof/>
          <w:lang w:eastAsia="ja-JP"/>
        </w:rPr>
        <w:t>Cooperation between international organizations</w:t>
      </w:r>
      <w:r>
        <w:rPr>
          <w:noProof/>
        </w:rPr>
        <w:tab/>
      </w:r>
      <w:r>
        <w:rPr>
          <w:noProof/>
        </w:rPr>
        <w:fldChar w:fldCharType="begin"/>
      </w:r>
      <w:r>
        <w:rPr>
          <w:noProof/>
        </w:rPr>
        <w:instrText xml:space="preserve"> PAGEREF _Toc147511128 \h </w:instrText>
      </w:r>
      <w:r>
        <w:rPr>
          <w:noProof/>
        </w:rPr>
      </w:r>
      <w:r>
        <w:rPr>
          <w:noProof/>
        </w:rPr>
        <w:fldChar w:fldCharType="separate"/>
      </w:r>
      <w:r>
        <w:rPr>
          <w:noProof/>
        </w:rPr>
        <w:t>5</w:t>
      </w:r>
      <w:r>
        <w:rPr>
          <w:noProof/>
        </w:rPr>
        <w:fldChar w:fldCharType="end"/>
      </w:r>
    </w:p>
    <w:p w14:paraId="2F592E34" w14:textId="2BFD433E" w:rsidR="00F94922" w:rsidRDefault="00F94922">
      <w:pPr>
        <w:pStyle w:val="TOC3"/>
        <w:rPr>
          <w:rFonts w:asciiTheme="minorHAnsi" w:eastAsiaTheme="minorEastAsia" w:hAnsiTheme="minorHAnsi" w:cstheme="minorBidi"/>
          <w:i w:val="0"/>
          <w:noProof/>
          <w:sz w:val="22"/>
          <w:szCs w:val="22"/>
          <w:lang w:val="en-US"/>
        </w:rPr>
      </w:pPr>
      <w:r w:rsidRPr="00F94922">
        <w:rPr>
          <w:rFonts w:eastAsiaTheme="minorEastAsia"/>
          <w:noProof/>
          <w:lang w:val="en-US"/>
        </w:rPr>
        <w:t>Inventory on the use of molecular marker techniques, by crop</w:t>
      </w:r>
      <w:r w:rsidRPr="00F94922">
        <w:rPr>
          <w:noProof/>
          <w:lang w:val="en-US"/>
        </w:rPr>
        <w:tab/>
      </w:r>
      <w:r>
        <w:rPr>
          <w:noProof/>
        </w:rPr>
        <w:fldChar w:fldCharType="begin"/>
      </w:r>
      <w:r w:rsidRPr="00F94922">
        <w:rPr>
          <w:noProof/>
          <w:lang w:val="en-US"/>
        </w:rPr>
        <w:instrText xml:space="preserve"> PAGEREF _Toc147511129 \h </w:instrText>
      </w:r>
      <w:r>
        <w:rPr>
          <w:noProof/>
        </w:rPr>
      </w:r>
      <w:r>
        <w:rPr>
          <w:noProof/>
        </w:rPr>
        <w:fldChar w:fldCharType="separate"/>
      </w:r>
      <w:r w:rsidRPr="00F94922">
        <w:rPr>
          <w:noProof/>
          <w:lang w:val="en-US"/>
        </w:rPr>
        <w:t>5</w:t>
      </w:r>
      <w:r>
        <w:rPr>
          <w:noProof/>
        </w:rPr>
        <w:fldChar w:fldCharType="end"/>
      </w:r>
    </w:p>
    <w:p w14:paraId="0B4E42D5" w14:textId="496CD572" w:rsidR="00F94922" w:rsidRDefault="00F94922">
      <w:pPr>
        <w:pStyle w:val="TOC3"/>
        <w:rPr>
          <w:rFonts w:asciiTheme="minorHAnsi" w:eastAsiaTheme="minorEastAsia" w:hAnsiTheme="minorHAnsi" w:cstheme="minorBidi"/>
          <w:i w:val="0"/>
          <w:noProof/>
          <w:sz w:val="22"/>
          <w:szCs w:val="22"/>
          <w:lang w:val="en-US"/>
        </w:rPr>
      </w:pPr>
      <w:r w:rsidRPr="00F94922">
        <w:rPr>
          <w:rFonts w:eastAsiaTheme="minorEastAsia"/>
          <w:noProof/>
          <w:lang w:val="en-US"/>
        </w:rPr>
        <w:t>Joint document explaining the principal features of the systems of OECD, UPOV and ISTA</w:t>
      </w:r>
      <w:r w:rsidRPr="00F94922">
        <w:rPr>
          <w:noProof/>
          <w:lang w:val="en-US"/>
        </w:rPr>
        <w:tab/>
      </w:r>
      <w:r>
        <w:rPr>
          <w:noProof/>
        </w:rPr>
        <w:fldChar w:fldCharType="begin"/>
      </w:r>
      <w:r w:rsidRPr="00F94922">
        <w:rPr>
          <w:noProof/>
          <w:lang w:val="en-US"/>
        </w:rPr>
        <w:instrText xml:space="preserve"> PAGEREF _Toc147511130 \h </w:instrText>
      </w:r>
      <w:r>
        <w:rPr>
          <w:noProof/>
        </w:rPr>
      </w:r>
      <w:r>
        <w:rPr>
          <w:noProof/>
        </w:rPr>
        <w:fldChar w:fldCharType="separate"/>
      </w:r>
      <w:r w:rsidRPr="00F94922">
        <w:rPr>
          <w:noProof/>
          <w:lang w:val="en-US"/>
        </w:rPr>
        <w:t>6</w:t>
      </w:r>
      <w:r>
        <w:rPr>
          <w:noProof/>
        </w:rPr>
        <w:fldChar w:fldCharType="end"/>
      </w:r>
    </w:p>
    <w:p w14:paraId="546692DC" w14:textId="244799C2" w:rsidR="00F94922" w:rsidRDefault="00F94922">
      <w:pPr>
        <w:pStyle w:val="TOC3"/>
        <w:rPr>
          <w:rFonts w:asciiTheme="minorHAnsi" w:eastAsiaTheme="minorEastAsia" w:hAnsiTheme="minorHAnsi" w:cstheme="minorBidi"/>
          <w:i w:val="0"/>
          <w:noProof/>
          <w:sz w:val="22"/>
          <w:szCs w:val="22"/>
          <w:lang w:val="en-US"/>
        </w:rPr>
      </w:pPr>
      <w:r w:rsidRPr="00F94922">
        <w:rPr>
          <w:noProof/>
          <w:lang w:val="en-US"/>
        </w:rPr>
        <w:t>Lists of possible joint initiatives with OECD and ISTA in relation to molecular techniques</w:t>
      </w:r>
      <w:r w:rsidRPr="00F94922">
        <w:rPr>
          <w:noProof/>
          <w:lang w:val="en-US"/>
        </w:rPr>
        <w:tab/>
      </w:r>
      <w:r>
        <w:rPr>
          <w:noProof/>
        </w:rPr>
        <w:fldChar w:fldCharType="begin"/>
      </w:r>
      <w:r w:rsidRPr="00F94922">
        <w:rPr>
          <w:noProof/>
          <w:lang w:val="en-US"/>
        </w:rPr>
        <w:instrText xml:space="preserve"> PAGEREF _Toc147511131 \h </w:instrText>
      </w:r>
      <w:r>
        <w:rPr>
          <w:noProof/>
        </w:rPr>
      </w:r>
      <w:r>
        <w:rPr>
          <w:noProof/>
        </w:rPr>
        <w:fldChar w:fldCharType="separate"/>
      </w:r>
      <w:r w:rsidRPr="00F94922">
        <w:rPr>
          <w:noProof/>
          <w:lang w:val="en-US"/>
        </w:rPr>
        <w:t>6</w:t>
      </w:r>
      <w:r>
        <w:rPr>
          <w:noProof/>
        </w:rPr>
        <w:fldChar w:fldCharType="end"/>
      </w:r>
    </w:p>
    <w:p w14:paraId="7E1CE593" w14:textId="1046ED11" w:rsidR="00F94922" w:rsidRDefault="00F94922">
      <w:pPr>
        <w:pStyle w:val="TOC2"/>
        <w:rPr>
          <w:rFonts w:asciiTheme="minorHAnsi" w:eastAsiaTheme="minorEastAsia" w:hAnsiTheme="minorHAnsi" w:cstheme="minorBidi"/>
          <w:noProof/>
          <w:sz w:val="22"/>
          <w:szCs w:val="22"/>
        </w:rPr>
      </w:pPr>
      <w:r w:rsidRPr="007B58BF">
        <w:rPr>
          <w:noProof/>
          <w:snapToGrid w:val="0"/>
        </w:rPr>
        <w:t>Session to facilitate cooperation in relation to the use of molecular techniques</w:t>
      </w:r>
      <w:r>
        <w:rPr>
          <w:noProof/>
        </w:rPr>
        <w:tab/>
      </w:r>
      <w:r>
        <w:rPr>
          <w:noProof/>
        </w:rPr>
        <w:fldChar w:fldCharType="begin"/>
      </w:r>
      <w:r>
        <w:rPr>
          <w:noProof/>
        </w:rPr>
        <w:instrText xml:space="preserve"> PAGEREF _Toc147511132 \h </w:instrText>
      </w:r>
      <w:r>
        <w:rPr>
          <w:noProof/>
        </w:rPr>
      </w:r>
      <w:r>
        <w:rPr>
          <w:noProof/>
        </w:rPr>
        <w:fldChar w:fldCharType="separate"/>
      </w:r>
      <w:r>
        <w:rPr>
          <w:noProof/>
        </w:rPr>
        <w:t>6</w:t>
      </w:r>
      <w:r>
        <w:rPr>
          <w:noProof/>
        </w:rPr>
        <w:fldChar w:fldCharType="end"/>
      </w:r>
    </w:p>
    <w:p w14:paraId="1F3B4127" w14:textId="35A02892" w:rsidR="00E209FA" w:rsidRPr="005820D2" w:rsidRDefault="005820D2" w:rsidP="005820D2">
      <w:pPr>
        <w:keepNext/>
        <w:tabs>
          <w:tab w:val="center" w:pos="4479"/>
        </w:tabs>
        <w:spacing w:before="120"/>
        <w:ind w:right="851"/>
        <w:contextualSpacing/>
        <w:jc w:val="left"/>
        <w:rPr>
          <w:snapToGrid w:val="0"/>
          <w:sz w:val="18"/>
          <w:szCs w:val="18"/>
          <w:lang w:eastAsia="ja-JP"/>
        </w:rPr>
      </w:pPr>
      <w:r>
        <w:rPr>
          <w:rFonts w:cs="Arial"/>
          <w:bCs/>
          <w:caps/>
          <w:noProof/>
          <w:sz w:val="18"/>
          <w:szCs w:val="18"/>
        </w:rPr>
        <w:fldChar w:fldCharType="end"/>
      </w:r>
    </w:p>
    <w:p w14:paraId="3F3F3E73" w14:textId="77777777" w:rsidR="00E209FA" w:rsidRPr="00E209FA" w:rsidRDefault="00E209FA" w:rsidP="00E209FA"/>
    <w:p w14:paraId="784B8DFA" w14:textId="6AAEB75D" w:rsidR="00E209FA" w:rsidRPr="00E209FA" w:rsidRDefault="00E209FA" w:rsidP="00E209FA">
      <w:pPr>
        <w:keepNext/>
        <w:outlineLvl w:val="0"/>
        <w:rPr>
          <w:caps/>
        </w:rPr>
      </w:pPr>
      <w:bookmarkStart w:id="3" w:name="_Toc147511119"/>
      <w:r w:rsidRPr="00E209FA">
        <w:rPr>
          <w:caps/>
        </w:rPr>
        <w:t>Confidentiality &amp; Ownership of Molecular Information</w:t>
      </w:r>
      <w:bookmarkEnd w:id="1"/>
      <w:bookmarkEnd w:id="2"/>
      <w:bookmarkEnd w:id="3"/>
    </w:p>
    <w:p w14:paraId="0592A59D" w14:textId="77777777" w:rsidR="00E209FA" w:rsidRPr="00E209FA" w:rsidRDefault="00E209FA" w:rsidP="00E209FA"/>
    <w:p w14:paraId="65E819D3" w14:textId="03832F58" w:rsidR="00E209FA" w:rsidRPr="00E209FA" w:rsidRDefault="00E209FA" w:rsidP="005820D2">
      <w:pPr>
        <w:pStyle w:val="Heading2"/>
      </w:pPr>
      <w:bookmarkStart w:id="4" w:name="_Toc147511120"/>
      <w:r w:rsidRPr="00E209FA">
        <w:t>Background</w:t>
      </w:r>
      <w:bookmarkEnd w:id="4"/>
    </w:p>
    <w:p w14:paraId="12AC4E4B" w14:textId="77777777" w:rsidR="00E209FA" w:rsidRPr="00E209FA" w:rsidRDefault="00E209FA" w:rsidP="00E209FA">
      <w:pPr>
        <w:keepNext/>
        <w:keepLines/>
      </w:pPr>
    </w:p>
    <w:p w14:paraId="77445EFF" w14:textId="15A9C2CD" w:rsidR="00E209FA" w:rsidRPr="00E209FA" w:rsidRDefault="00E209FA" w:rsidP="00E209FA">
      <w:pPr>
        <w:keepNext/>
        <w:keepLines/>
      </w:pPr>
      <w:r w:rsidRPr="00E209FA">
        <w:fldChar w:fldCharType="begin"/>
      </w:r>
      <w:r w:rsidRPr="00E209FA">
        <w:instrText xml:space="preserve"> AUTONUM  </w:instrText>
      </w:r>
      <w:r w:rsidRPr="00E209FA">
        <w:fldChar w:fldCharType="end"/>
      </w:r>
      <w:r w:rsidRPr="00E209FA">
        <w:tab/>
        <w:t>The TC, at its fifty-eight</w:t>
      </w:r>
      <w:r w:rsidR="00DC3BDA">
        <w:t>h</w:t>
      </w:r>
      <w:r w:rsidRPr="00E209FA">
        <w:t xml:space="preserve"> session</w:t>
      </w:r>
      <w:r w:rsidRPr="00E209FA">
        <w:rPr>
          <w:vertAlign w:val="superscript"/>
        </w:rPr>
        <w:footnoteReference w:id="2"/>
      </w:r>
      <w:r w:rsidRPr="00E209FA">
        <w:t xml:space="preserve">, noted discussions held at the TWPs, at their sessions in 2022, on “Confidentiality &amp; Ownership of Molecular Information” (see document TC/58/31 “Report”, paragraphs 48 to 50). </w:t>
      </w:r>
    </w:p>
    <w:p w14:paraId="14FD4EFB" w14:textId="77777777" w:rsidR="00E209FA" w:rsidRPr="00E209FA" w:rsidRDefault="00E209FA" w:rsidP="00E209FA"/>
    <w:p w14:paraId="54CBADDA" w14:textId="77777777" w:rsidR="00E209FA" w:rsidRPr="00E209FA" w:rsidRDefault="00E209FA" w:rsidP="00E209FA">
      <w:r w:rsidRPr="00E209FA">
        <w:fldChar w:fldCharType="begin"/>
      </w:r>
      <w:r w:rsidRPr="00E209FA">
        <w:instrText xml:space="preserve"> AUTONUM  </w:instrText>
      </w:r>
      <w:r w:rsidRPr="00E209FA">
        <w:fldChar w:fldCharType="end"/>
      </w:r>
      <w:r w:rsidRPr="00E209FA">
        <w:tab/>
        <w:t>The TC noted the concerns expressed by breeders’ organizations at the TWM that molecular information provided for the examination of a variety should not be provided to others outside the authority that received the application without the permission of the breeder.</w:t>
      </w:r>
    </w:p>
    <w:p w14:paraId="24D966A7" w14:textId="77777777" w:rsidR="00E209FA" w:rsidRPr="00E209FA" w:rsidRDefault="00E209FA" w:rsidP="00E209FA"/>
    <w:p w14:paraId="5436B61B" w14:textId="77777777" w:rsidR="00E074B7" w:rsidRDefault="00E209FA" w:rsidP="00E074B7">
      <w:r w:rsidRPr="00E209FA">
        <w:fldChar w:fldCharType="begin"/>
      </w:r>
      <w:r w:rsidRPr="00E209FA">
        <w:instrText xml:space="preserve"> AUTONUM  </w:instrText>
      </w:r>
      <w:r w:rsidRPr="00E209FA">
        <w:fldChar w:fldCharType="end"/>
      </w:r>
      <w:r w:rsidRPr="00E209FA">
        <w:tab/>
        <w:t>The TC agreed to invite members and observers to report existing policies on confidentiality of molecular information at the TWPs, at their sessions in 2023.</w:t>
      </w:r>
    </w:p>
    <w:p w14:paraId="46A767E6" w14:textId="77777777" w:rsidR="00E074B7" w:rsidRDefault="00E074B7" w:rsidP="00E074B7"/>
    <w:p w14:paraId="4E49E3CB" w14:textId="0D8796AD" w:rsidR="00E074B7" w:rsidRPr="00E209FA" w:rsidRDefault="00E074B7" w:rsidP="00E074B7">
      <w:r w:rsidRPr="00E209FA">
        <w:fldChar w:fldCharType="begin"/>
      </w:r>
      <w:r w:rsidRPr="00E209FA">
        <w:instrText xml:space="preserve"> AUTONUM  </w:instrText>
      </w:r>
      <w:r w:rsidRPr="00E209FA">
        <w:fldChar w:fldCharType="end"/>
      </w:r>
      <w:r w:rsidRPr="00E209FA">
        <w:tab/>
        <w:t>Further background to this matter is provided in document T</w:t>
      </w:r>
      <w:r w:rsidR="000D771D">
        <w:t>C</w:t>
      </w:r>
      <w:r w:rsidRPr="00E209FA">
        <w:t>/</w:t>
      </w:r>
      <w:r w:rsidR="000D771D">
        <w:t>58</w:t>
      </w:r>
      <w:r w:rsidRPr="00E209FA">
        <w:t>/7 “Molecular Techniques”.</w:t>
      </w:r>
    </w:p>
    <w:p w14:paraId="150F8253" w14:textId="3F295BBC" w:rsidR="00323E4E" w:rsidRDefault="00323E4E" w:rsidP="00E209FA">
      <w:pPr>
        <w:rPr>
          <w:lang w:eastAsia="ja-JP"/>
        </w:rPr>
      </w:pPr>
    </w:p>
    <w:p w14:paraId="30B10E18" w14:textId="55CF6032" w:rsidR="00323E4E" w:rsidRDefault="00451D47" w:rsidP="00544EA5">
      <w:pPr>
        <w:pStyle w:val="Heading2"/>
        <w:rPr>
          <w:lang w:eastAsia="ja-JP"/>
        </w:rPr>
      </w:pPr>
      <w:bookmarkStart w:id="5" w:name="_Toc147511121"/>
      <w:r>
        <w:rPr>
          <w:lang w:eastAsia="ja-JP"/>
        </w:rPr>
        <w:t xml:space="preserve">Developments at the </w:t>
      </w:r>
      <w:r w:rsidR="00544EA5">
        <w:rPr>
          <w:lang w:eastAsia="ja-JP"/>
        </w:rPr>
        <w:t>Technical Working Parties at their Sessions in 2023</w:t>
      </w:r>
      <w:bookmarkEnd w:id="5"/>
    </w:p>
    <w:p w14:paraId="7BF98A38" w14:textId="77777777" w:rsidR="00323E4E" w:rsidRDefault="00323E4E" w:rsidP="00323E4E">
      <w:pPr>
        <w:jc w:val="left"/>
      </w:pPr>
    </w:p>
    <w:p w14:paraId="2F389096" w14:textId="2C7E1BD0" w:rsidR="00323E4E" w:rsidRPr="005600AD" w:rsidRDefault="00323E4E" w:rsidP="00323E4E">
      <w:r w:rsidRPr="005600AD">
        <w:fldChar w:fldCharType="begin"/>
      </w:r>
      <w:r w:rsidRPr="005600AD">
        <w:instrText xml:space="preserve"> AUTONUM  </w:instrText>
      </w:r>
      <w:r w:rsidRPr="005600AD">
        <w:fldChar w:fldCharType="end"/>
      </w:r>
      <w:r w:rsidRPr="005600AD">
        <w:tab/>
      </w:r>
      <w:r>
        <w:t xml:space="preserve">At their sessions in 2023, </w:t>
      </w:r>
      <w:r>
        <w:rPr>
          <w:rFonts w:eastAsia="PMingLiU"/>
          <w:szCs w:val="24"/>
        </w:rPr>
        <w:t>the TWV</w:t>
      </w:r>
      <w:r>
        <w:rPr>
          <w:rFonts w:eastAsia="PMingLiU"/>
          <w:szCs w:val="24"/>
          <w:vertAlign w:val="superscript"/>
        </w:rPr>
        <w:footnoteReference w:id="3"/>
      </w:r>
      <w:r>
        <w:rPr>
          <w:rFonts w:eastAsia="PMingLiU"/>
          <w:szCs w:val="24"/>
        </w:rPr>
        <w:t>, TWA</w:t>
      </w:r>
      <w:r>
        <w:rPr>
          <w:rFonts w:eastAsia="PMingLiU"/>
          <w:szCs w:val="24"/>
          <w:vertAlign w:val="superscript"/>
        </w:rPr>
        <w:footnoteReference w:id="4"/>
      </w:r>
      <w:r>
        <w:rPr>
          <w:rFonts w:eastAsia="PMingLiU"/>
          <w:szCs w:val="24"/>
        </w:rPr>
        <w:t>,</w:t>
      </w:r>
      <w:r>
        <w:rPr>
          <w:color w:val="000000"/>
        </w:rPr>
        <w:t xml:space="preserve"> </w:t>
      </w:r>
      <w:r>
        <w:rPr>
          <w:rFonts w:eastAsia="PMingLiU"/>
          <w:szCs w:val="24"/>
        </w:rPr>
        <w:t>TWO</w:t>
      </w:r>
      <w:r>
        <w:rPr>
          <w:rFonts w:eastAsia="PMingLiU"/>
          <w:szCs w:val="24"/>
          <w:vertAlign w:val="superscript"/>
        </w:rPr>
        <w:footnoteReference w:id="5"/>
      </w:r>
      <w:r>
        <w:rPr>
          <w:rFonts w:eastAsia="PMingLiU"/>
          <w:szCs w:val="24"/>
        </w:rPr>
        <w:t xml:space="preserve"> and </w:t>
      </w:r>
      <w:r>
        <w:rPr>
          <w:color w:val="000000"/>
        </w:rPr>
        <w:t>TWF</w:t>
      </w:r>
      <w:r>
        <w:rPr>
          <w:color w:val="000000"/>
          <w:vertAlign w:val="superscript"/>
        </w:rPr>
        <w:footnoteReference w:id="6"/>
      </w:r>
      <w:r>
        <w:rPr>
          <w:color w:val="000000"/>
        </w:rPr>
        <w:t xml:space="preserve"> </w:t>
      </w:r>
      <w:r w:rsidRPr="005600AD">
        <w:t>considered document TWP/7/3</w:t>
      </w:r>
      <w:r>
        <w:t xml:space="preserve"> “Molecular Techniques”</w:t>
      </w:r>
      <w:r w:rsidR="00F418A0">
        <w:rPr>
          <w:rStyle w:val="FootnoteReference"/>
        </w:rPr>
        <w:footnoteReference w:id="7"/>
      </w:r>
      <w:r w:rsidRPr="005600AD">
        <w:t>.</w:t>
      </w:r>
    </w:p>
    <w:p w14:paraId="1F6A4317" w14:textId="4F4171DE" w:rsidR="004E38BD" w:rsidRDefault="004E38BD" w:rsidP="004E38BD">
      <w:pPr>
        <w:rPr>
          <w:i/>
        </w:rPr>
      </w:pPr>
    </w:p>
    <w:p w14:paraId="1CBA3D19" w14:textId="415A7B6F" w:rsidR="004B3AFD" w:rsidRDefault="004B3AFD" w:rsidP="004B3AFD">
      <w:pPr>
        <w:pStyle w:val="Heading3"/>
      </w:pPr>
      <w:bookmarkStart w:id="6" w:name="_Toc147511122"/>
      <w:r>
        <w:t>E</w:t>
      </w:r>
      <w:r w:rsidRPr="005600AD">
        <w:t>xisting policies on confidentiality of molecular information</w:t>
      </w:r>
      <w:bookmarkEnd w:id="6"/>
    </w:p>
    <w:p w14:paraId="590588F4" w14:textId="77777777" w:rsidR="004B3AFD" w:rsidRDefault="004B3AFD" w:rsidP="004E38BD"/>
    <w:p w14:paraId="4A9C98EE" w14:textId="10F7C16F" w:rsidR="004E38BD" w:rsidRPr="005600AD" w:rsidRDefault="004E38BD" w:rsidP="004E38BD">
      <w:r w:rsidRPr="002C721C">
        <w:fldChar w:fldCharType="begin"/>
      </w:r>
      <w:r w:rsidRPr="002C721C">
        <w:instrText xml:space="preserve"> AUTONUM  </w:instrText>
      </w:r>
      <w:r w:rsidRPr="002C721C">
        <w:fldChar w:fldCharType="end"/>
      </w:r>
      <w:r w:rsidRPr="002C721C">
        <w:tab/>
        <w:t>The TWV, TWA, TWO and TWF noted that experts from members and observers at the TWPs had been</w:t>
      </w:r>
      <w:r w:rsidRPr="005600AD">
        <w:t xml:space="preserve"> invited to report existing policies on confidentiality of molecular information</w:t>
      </w:r>
      <w:r w:rsidR="00BA37F9">
        <w:rPr>
          <w:rStyle w:val="FootnoteReference"/>
        </w:rPr>
        <w:footnoteReference w:id="8"/>
      </w:r>
      <w:r w:rsidRPr="005600AD">
        <w:t>.</w:t>
      </w:r>
    </w:p>
    <w:p w14:paraId="74A3B88D" w14:textId="77777777" w:rsidR="004E38BD" w:rsidRPr="005600AD" w:rsidRDefault="004E38BD" w:rsidP="004E38BD"/>
    <w:p w14:paraId="47EBEE1C" w14:textId="77777777" w:rsidR="004E38BD" w:rsidRPr="005600AD" w:rsidRDefault="004E38BD" w:rsidP="004E38BD">
      <w:r w:rsidRPr="005600AD">
        <w:fldChar w:fldCharType="begin"/>
      </w:r>
      <w:r w:rsidRPr="005600AD">
        <w:instrText xml:space="preserve"> AUTONUM  </w:instrText>
      </w:r>
      <w:r w:rsidRPr="005600AD">
        <w:fldChar w:fldCharType="end"/>
      </w:r>
      <w:r w:rsidRPr="005600AD">
        <w:tab/>
        <w:t>The TWV noted that the</w:t>
      </w:r>
      <w:r>
        <w:t xml:space="preserve"> Community Plant Variety Office of the European Union (CPVO)</w:t>
      </w:r>
      <w:r w:rsidRPr="005600AD">
        <w:t xml:space="preserve"> </w:t>
      </w:r>
      <w:r>
        <w:t xml:space="preserve">created a Working Group to revise the CPVO </w:t>
      </w:r>
      <w:r w:rsidRPr="005600AD">
        <w:t xml:space="preserve">policy on </w:t>
      </w:r>
      <w:r>
        <w:t>the status of plant material used for DUS testing purposes. The </w:t>
      </w:r>
      <w:r w:rsidRPr="005600AD">
        <w:t xml:space="preserve">TWV noted that South Africa and Türkiye </w:t>
      </w:r>
      <w:r>
        <w:t xml:space="preserve">had </w:t>
      </w:r>
      <w:r w:rsidRPr="005600AD">
        <w:t xml:space="preserve">policies on </w:t>
      </w:r>
      <w:r>
        <w:t xml:space="preserve">confidentiality of </w:t>
      </w:r>
      <w:r w:rsidRPr="005600AD">
        <w:t xml:space="preserve">molecular information </w:t>
      </w:r>
      <w:r>
        <w:t>and only shared</w:t>
      </w:r>
      <w:r w:rsidRPr="005600AD">
        <w:t xml:space="preserve"> information with the consent of the breeders. </w:t>
      </w:r>
    </w:p>
    <w:p w14:paraId="1A256D41" w14:textId="77777777" w:rsidR="00317807" w:rsidRPr="00E209FA" w:rsidRDefault="00317807" w:rsidP="00317807"/>
    <w:p w14:paraId="28DD22BE" w14:textId="77777777" w:rsidR="00317807" w:rsidRPr="00E209FA" w:rsidRDefault="00317807" w:rsidP="00317807">
      <w:r w:rsidRPr="00E209FA">
        <w:fldChar w:fldCharType="begin"/>
      </w:r>
      <w:r w:rsidRPr="00E209FA">
        <w:instrText xml:space="preserve"> AUTONUM  </w:instrText>
      </w:r>
      <w:r w:rsidRPr="00E209FA">
        <w:fldChar w:fldCharType="end"/>
      </w:r>
      <w:r w:rsidRPr="00E209FA">
        <w:tab/>
        <w:t xml:space="preserve">The TWA noted the report from the European Union that a working group had been established to discuss matters related to confidentiality of molecular information.  </w:t>
      </w:r>
    </w:p>
    <w:p w14:paraId="746878C2" w14:textId="77777777" w:rsidR="00317807" w:rsidRDefault="00317807" w:rsidP="00317807"/>
    <w:p w14:paraId="66ED94DF" w14:textId="77777777" w:rsidR="00317807" w:rsidRDefault="00317807" w:rsidP="00317807">
      <w:r>
        <w:fldChar w:fldCharType="begin"/>
      </w:r>
      <w:r>
        <w:instrText xml:space="preserve"> AUTONUM  </w:instrText>
      </w:r>
      <w:r>
        <w:fldChar w:fldCharType="end"/>
      </w:r>
      <w:r>
        <w:tab/>
        <w:t>The TWF noted the report from France that a policy on confidentiality and ownership of molecular information was being discussed in the framework of a regional project (INVITE project).</w:t>
      </w:r>
    </w:p>
    <w:p w14:paraId="3986CE16" w14:textId="039CFBC3" w:rsidR="004E38BD" w:rsidRDefault="004E38BD" w:rsidP="00323E4E">
      <w:pPr>
        <w:jc w:val="left"/>
      </w:pPr>
    </w:p>
    <w:p w14:paraId="38730C2E" w14:textId="67E8FD64" w:rsidR="004E38BD" w:rsidRDefault="009F4F6F" w:rsidP="004718D1">
      <w:pPr>
        <w:pStyle w:val="Heading3"/>
      </w:pPr>
      <w:bookmarkStart w:id="7" w:name="_Toc147511123"/>
      <w:r w:rsidRPr="009F4F6F">
        <w:lastRenderedPageBreak/>
        <w:t>Presentation on “Confidentiality of Molecular Information”</w:t>
      </w:r>
      <w:bookmarkEnd w:id="7"/>
    </w:p>
    <w:p w14:paraId="7D03A291" w14:textId="77777777" w:rsidR="009F4F6F" w:rsidRPr="005600AD" w:rsidRDefault="009F4F6F" w:rsidP="004718D1">
      <w:pPr>
        <w:keepNext/>
        <w:jc w:val="left"/>
      </w:pPr>
    </w:p>
    <w:p w14:paraId="4FEF2D69" w14:textId="0EC6F2B9" w:rsidR="00323E4E" w:rsidRPr="005600AD" w:rsidRDefault="00323E4E" w:rsidP="004718D1">
      <w:pPr>
        <w:keepNext/>
        <w:autoSpaceDE w:val="0"/>
        <w:autoSpaceDN w:val="0"/>
        <w:adjustRightInd w:val="0"/>
      </w:pPr>
      <w:r w:rsidRPr="002C721C">
        <w:fldChar w:fldCharType="begin"/>
      </w:r>
      <w:r w:rsidRPr="002C721C">
        <w:instrText xml:space="preserve"> AUTONUM  </w:instrText>
      </w:r>
      <w:r w:rsidRPr="002C721C">
        <w:fldChar w:fldCharType="end"/>
      </w:r>
      <w:r w:rsidRPr="002C721C">
        <w:tab/>
        <w:t xml:space="preserve">The </w:t>
      </w:r>
      <w:r w:rsidR="00ED449E" w:rsidRPr="002C721C">
        <w:t xml:space="preserve">TWV, TWA, TWO and TWF </w:t>
      </w:r>
      <w:r w:rsidRPr="002C721C">
        <w:t>received a presentation on “Confidentiality of Molecular Information”</w:t>
      </w:r>
      <w:r w:rsidRPr="005600AD">
        <w:t xml:space="preserve"> by an </w:t>
      </w:r>
      <w:r w:rsidRPr="000442EC">
        <w:t>expert from CropLife International, on behalf of the African Seed Trade Association (AFSTA), the Asia and Pacific Seed Association (APSA), the International Community of Breeders of Asexually Reproduced Horticultural Plants (CIOPORA), CropLife International, Euroseeds, the International Seed Federation (ISF) and the Seed Association of the Americas (SAA)</w:t>
      </w:r>
      <w:r w:rsidRPr="005600AD">
        <w:t>. A copy of the presentation is presented in document</w:t>
      </w:r>
      <w:r w:rsidR="00ED449E">
        <w:t>s</w:t>
      </w:r>
      <w:r w:rsidRPr="005600AD">
        <w:t xml:space="preserve"> </w:t>
      </w:r>
      <w:r w:rsidRPr="005600AD">
        <w:rPr>
          <w:rFonts w:eastAsia="MS Mincho"/>
        </w:rPr>
        <w:t>TWV/57/25</w:t>
      </w:r>
      <w:r w:rsidR="00ED449E">
        <w:rPr>
          <w:rFonts w:eastAsia="MS Mincho"/>
        </w:rPr>
        <w:t xml:space="preserve">, </w:t>
      </w:r>
      <w:r w:rsidR="00ED449E" w:rsidRPr="00E209FA">
        <w:rPr>
          <w:rFonts w:eastAsia="MS Mincho" w:cs="Arial"/>
        </w:rPr>
        <w:t>TWA/52/8</w:t>
      </w:r>
      <w:r w:rsidR="00ED449E">
        <w:rPr>
          <w:rFonts w:eastAsia="MS Mincho" w:cs="Arial"/>
        </w:rPr>
        <w:t xml:space="preserve">, </w:t>
      </w:r>
      <w:r w:rsidR="00ED449E">
        <w:t>TWO/55/4 and TWF/54/4</w:t>
      </w:r>
      <w:r w:rsidR="00F418A0">
        <w:rPr>
          <w:rStyle w:val="FootnoteReference"/>
        </w:rPr>
        <w:footnoteReference w:id="9"/>
      </w:r>
      <w:r w:rsidRPr="005600AD">
        <w:rPr>
          <w:rFonts w:eastAsia="MS Mincho"/>
        </w:rPr>
        <w:t>.</w:t>
      </w:r>
    </w:p>
    <w:p w14:paraId="25ADFEF3" w14:textId="77777777" w:rsidR="00323E4E" w:rsidRPr="005600AD" w:rsidRDefault="00323E4E" w:rsidP="00323E4E"/>
    <w:p w14:paraId="1F1A66AD" w14:textId="77777777" w:rsidR="00323E4E" w:rsidRPr="005600AD" w:rsidRDefault="00323E4E" w:rsidP="0010768B">
      <w:pPr>
        <w:keepLines/>
      </w:pPr>
      <w:r w:rsidRPr="005600AD">
        <w:fldChar w:fldCharType="begin"/>
      </w:r>
      <w:r w:rsidRPr="005600AD">
        <w:instrText xml:space="preserve"> AUTONUM  </w:instrText>
      </w:r>
      <w:r w:rsidRPr="005600AD">
        <w:fldChar w:fldCharType="end"/>
      </w:r>
      <w:r w:rsidRPr="005600AD">
        <w:tab/>
        <w:t xml:space="preserve">The TWV noted the proposals from the breeders’ organizations on the situations when they would wish authorization from the breeder to be, or not to be, required prior to disclosing molecular information with any third parties.  TWV participants requested clarification on the particular situations described in the proposals, including how to obtain authorization for the constitution of shared databases containing molecular information. </w:t>
      </w:r>
    </w:p>
    <w:p w14:paraId="14C0BDD2" w14:textId="77777777" w:rsidR="00317807" w:rsidRDefault="00317807" w:rsidP="00317807"/>
    <w:p w14:paraId="413EE27A" w14:textId="77777777" w:rsidR="00317807" w:rsidRDefault="00317807" w:rsidP="00317807">
      <w:r>
        <w:fldChar w:fldCharType="begin"/>
      </w:r>
      <w:r>
        <w:instrText xml:space="preserve"> AUTONUM  </w:instrText>
      </w:r>
      <w:r>
        <w:fldChar w:fldCharType="end"/>
      </w:r>
      <w:r>
        <w:tab/>
        <w:t>The TWO considered the proposed situations when authorization from the breeder would and would not be required in relation to molecular information.  The TWO agreed to invite the breeders’</w:t>
      </w:r>
      <w:r>
        <w:rPr>
          <w:lang w:val="en-GB"/>
        </w:rPr>
        <w:t xml:space="preserve"> organizations to consider simplifying the proposals and to </w:t>
      </w:r>
      <w:r>
        <w:t>clarify the situations where it would be harmful to the breeder to disclose molecular information of a protected variety.</w:t>
      </w:r>
    </w:p>
    <w:p w14:paraId="1BB9D889" w14:textId="77777777" w:rsidR="00317807" w:rsidRDefault="00317807" w:rsidP="00317807"/>
    <w:p w14:paraId="43B4D33D" w14:textId="400A36F1" w:rsidR="00317807" w:rsidRDefault="00317807" w:rsidP="00317807">
      <w:r>
        <w:fldChar w:fldCharType="begin"/>
      </w:r>
      <w:r>
        <w:instrText xml:space="preserve"> AUTONUM  </w:instrText>
      </w:r>
      <w:r>
        <w:fldChar w:fldCharType="end"/>
      </w:r>
      <w:r>
        <w:tab/>
        <w:t>The TWF requested clarifications on the situations described in the presentation and noted the particular concern from breeders’ organizations in relation to the disclosure of molecular information of parent lines of hybrid varieties.</w:t>
      </w:r>
      <w:r w:rsidRPr="00423613">
        <w:t xml:space="preserve"> </w:t>
      </w:r>
      <w:r>
        <w:t xml:space="preserve"> The TWF noted the encouragement from breeders’ organizations for members to provide information on their policies on confidentiality of molecular information.</w:t>
      </w:r>
    </w:p>
    <w:p w14:paraId="0C7BB31A" w14:textId="77777777" w:rsidR="009F4F6F" w:rsidRPr="00E209FA" w:rsidRDefault="009F4F6F" w:rsidP="00E209FA">
      <w:pPr>
        <w:rPr>
          <w:lang w:eastAsia="ja-JP"/>
        </w:rPr>
      </w:pPr>
    </w:p>
    <w:bookmarkStart w:id="8" w:name="_Toc460313637"/>
    <w:p w14:paraId="41B6D7B6" w14:textId="132340DD" w:rsidR="00AD28D1" w:rsidRPr="00D06A59" w:rsidRDefault="00E209FA" w:rsidP="00E209FA">
      <w:pPr>
        <w:tabs>
          <w:tab w:val="left" w:pos="5387"/>
        </w:tabs>
        <w:ind w:left="4820"/>
        <w:rPr>
          <w:i/>
          <w:snapToGrid w:val="0"/>
          <w:lang w:eastAsia="ja-JP"/>
        </w:rPr>
      </w:pPr>
      <w:r w:rsidRPr="00D06A59">
        <w:rPr>
          <w:i/>
          <w:snapToGrid w:val="0"/>
          <w:lang w:eastAsia="ja-JP"/>
        </w:rPr>
        <w:fldChar w:fldCharType="begin"/>
      </w:r>
      <w:r w:rsidRPr="00D06A59">
        <w:rPr>
          <w:i/>
          <w:snapToGrid w:val="0"/>
          <w:lang w:eastAsia="ja-JP"/>
        </w:rPr>
        <w:instrText xml:space="preserve"> AUTONUM  </w:instrText>
      </w:r>
      <w:r w:rsidRPr="00D06A59">
        <w:rPr>
          <w:i/>
          <w:snapToGrid w:val="0"/>
          <w:lang w:eastAsia="ja-JP"/>
        </w:rPr>
        <w:fldChar w:fldCharType="end"/>
      </w:r>
      <w:r w:rsidRPr="00D06A59">
        <w:rPr>
          <w:i/>
          <w:snapToGrid w:val="0"/>
          <w:lang w:eastAsia="ja-JP"/>
        </w:rPr>
        <w:tab/>
      </w:r>
      <w:r w:rsidR="00D60967" w:rsidRPr="00D06A59">
        <w:rPr>
          <w:i/>
          <w:snapToGrid w:val="0"/>
          <w:lang w:eastAsia="ja-JP"/>
        </w:rPr>
        <w:t>The TC is invited to</w:t>
      </w:r>
      <w:r w:rsidR="00A830D8" w:rsidRPr="00D06A59">
        <w:rPr>
          <w:i/>
          <w:snapToGrid w:val="0"/>
          <w:lang w:eastAsia="ja-JP"/>
        </w:rPr>
        <w:t>:</w:t>
      </w:r>
    </w:p>
    <w:p w14:paraId="696C9469" w14:textId="77777777" w:rsidR="00AD28D1" w:rsidRPr="00D06A59" w:rsidRDefault="00AD28D1" w:rsidP="00E209FA">
      <w:pPr>
        <w:tabs>
          <w:tab w:val="left" w:pos="5387"/>
        </w:tabs>
        <w:ind w:left="4820"/>
        <w:rPr>
          <w:i/>
          <w:snapToGrid w:val="0"/>
          <w:lang w:eastAsia="ja-JP"/>
        </w:rPr>
      </w:pPr>
    </w:p>
    <w:p w14:paraId="3B48AFE0" w14:textId="656A41AF" w:rsidR="00AD28D1" w:rsidRPr="00D06A59" w:rsidRDefault="00AD28D1" w:rsidP="00AD28D1">
      <w:pPr>
        <w:tabs>
          <w:tab w:val="left" w:pos="5387"/>
          <w:tab w:val="left" w:pos="5954"/>
        </w:tabs>
        <w:ind w:left="4820"/>
        <w:rPr>
          <w:i/>
          <w:snapToGrid w:val="0"/>
          <w:lang w:eastAsia="ja-JP"/>
        </w:rPr>
      </w:pPr>
      <w:r w:rsidRPr="00D06A59">
        <w:rPr>
          <w:i/>
          <w:snapToGrid w:val="0"/>
          <w:lang w:eastAsia="ja-JP"/>
        </w:rPr>
        <w:tab/>
        <w:t>(a)</w:t>
      </w:r>
      <w:r w:rsidRPr="00D06A59">
        <w:rPr>
          <w:i/>
          <w:snapToGrid w:val="0"/>
          <w:lang w:eastAsia="ja-JP"/>
        </w:rPr>
        <w:tab/>
      </w:r>
      <w:r w:rsidR="00AC5F03" w:rsidRPr="00D06A59">
        <w:rPr>
          <w:i/>
          <w:snapToGrid w:val="0"/>
          <w:lang w:eastAsia="ja-JP"/>
        </w:rPr>
        <w:t>n</w:t>
      </w:r>
      <w:r w:rsidRPr="00D06A59">
        <w:rPr>
          <w:i/>
          <w:snapToGrid w:val="0"/>
          <w:lang w:eastAsia="ja-JP"/>
        </w:rPr>
        <w:t xml:space="preserve">ote the policies </w:t>
      </w:r>
      <w:r w:rsidR="00AC5F03" w:rsidRPr="00D06A59">
        <w:rPr>
          <w:i/>
          <w:snapToGrid w:val="0"/>
          <w:lang w:eastAsia="ja-JP"/>
        </w:rPr>
        <w:t xml:space="preserve">reported and discussions </w:t>
      </w:r>
      <w:r w:rsidRPr="00D06A59">
        <w:rPr>
          <w:i/>
          <w:snapToGrid w:val="0"/>
          <w:lang w:eastAsia="ja-JP"/>
        </w:rPr>
        <w:t>on confidentiality of molecular information at the TWP sessions in 2023;</w:t>
      </w:r>
      <w:r w:rsidR="00AC5F03" w:rsidRPr="00D06A59">
        <w:rPr>
          <w:i/>
          <w:snapToGrid w:val="0"/>
          <w:lang w:eastAsia="ja-JP"/>
        </w:rPr>
        <w:t xml:space="preserve"> and</w:t>
      </w:r>
    </w:p>
    <w:p w14:paraId="232CCBC5" w14:textId="77777777" w:rsidR="00AD28D1" w:rsidRPr="00D06A59" w:rsidRDefault="00AD28D1" w:rsidP="00E209FA">
      <w:pPr>
        <w:tabs>
          <w:tab w:val="left" w:pos="5387"/>
        </w:tabs>
        <w:ind w:left="4820"/>
        <w:rPr>
          <w:i/>
          <w:snapToGrid w:val="0"/>
          <w:lang w:eastAsia="ja-JP"/>
        </w:rPr>
      </w:pPr>
    </w:p>
    <w:p w14:paraId="54B4AD94" w14:textId="6AA0C1F9" w:rsidR="00E209FA" w:rsidRPr="00E209FA" w:rsidRDefault="00AD28D1" w:rsidP="00AD28D1">
      <w:pPr>
        <w:tabs>
          <w:tab w:val="left" w:pos="5387"/>
          <w:tab w:val="left" w:pos="5954"/>
        </w:tabs>
        <w:ind w:left="4820"/>
        <w:rPr>
          <w:i/>
          <w:lang w:eastAsia="ja-JP"/>
        </w:rPr>
      </w:pPr>
      <w:r w:rsidRPr="00D06A59">
        <w:rPr>
          <w:i/>
          <w:snapToGrid w:val="0"/>
          <w:lang w:eastAsia="ja-JP"/>
        </w:rPr>
        <w:tab/>
        <w:t>(b)</w:t>
      </w:r>
      <w:r w:rsidRPr="00D06A59">
        <w:rPr>
          <w:i/>
          <w:snapToGrid w:val="0"/>
          <w:lang w:eastAsia="ja-JP"/>
        </w:rPr>
        <w:tab/>
      </w:r>
      <w:r w:rsidR="00D60967" w:rsidRPr="00D06A59">
        <w:rPr>
          <w:i/>
          <w:snapToGrid w:val="0"/>
          <w:lang w:eastAsia="ja-JP"/>
        </w:rPr>
        <w:t xml:space="preserve">consider whether </w:t>
      </w:r>
      <w:r w:rsidR="00425B3B" w:rsidRPr="00D06A59">
        <w:rPr>
          <w:i/>
          <w:snapToGrid w:val="0"/>
          <w:lang w:eastAsia="ja-JP"/>
        </w:rPr>
        <w:t>to continue the invitation for members and observers to</w:t>
      </w:r>
      <w:r w:rsidR="00425B3B" w:rsidRPr="00425B3B">
        <w:rPr>
          <w:i/>
          <w:snapToGrid w:val="0"/>
          <w:lang w:eastAsia="ja-JP"/>
        </w:rPr>
        <w:t xml:space="preserve"> report existing policies on confidentiality of molecular information at the TWPs</w:t>
      </w:r>
      <w:r>
        <w:rPr>
          <w:i/>
          <w:snapToGrid w:val="0"/>
          <w:lang w:eastAsia="ja-JP"/>
        </w:rPr>
        <w:t>, at their sessions</w:t>
      </w:r>
      <w:r w:rsidRPr="00AD28D1">
        <w:rPr>
          <w:i/>
          <w:snapToGrid w:val="0"/>
          <w:lang w:eastAsia="ja-JP"/>
        </w:rPr>
        <w:t xml:space="preserve"> </w:t>
      </w:r>
      <w:r>
        <w:rPr>
          <w:i/>
          <w:snapToGrid w:val="0"/>
          <w:lang w:eastAsia="ja-JP"/>
        </w:rPr>
        <w:t>in 2024</w:t>
      </w:r>
      <w:r w:rsidR="00425B3B" w:rsidRPr="00425B3B">
        <w:rPr>
          <w:i/>
          <w:snapToGrid w:val="0"/>
          <w:lang w:eastAsia="ja-JP"/>
        </w:rPr>
        <w:t>.</w:t>
      </w:r>
    </w:p>
    <w:p w14:paraId="2154594E" w14:textId="6BBCD935" w:rsidR="00E209FA" w:rsidRDefault="00E209FA" w:rsidP="00E209FA">
      <w:pPr>
        <w:rPr>
          <w:snapToGrid w:val="0"/>
          <w:lang w:eastAsia="ja-JP"/>
        </w:rPr>
      </w:pPr>
    </w:p>
    <w:p w14:paraId="46E5A749" w14:textId="524B3194" w:rsidR="00A075C2" w:rsidRDefault="00A075C2" w:rsidP="00E209FA">
      <w:pPr>
        <w:rPr>
          <w:snapToGrid w:val="0"/>
          <w:lang w:eastAsia="ja-JP"/>
        </w:rPr>
      </w:pPr>
    </w:p>
    <w:p w14:paraId="29B9DFB2" w14:textId="31650CA1" w:rsidR="00A075C2" w:rsidRDefault="00A075C2" w:rsidP="00A075C2">
      <w:pPr>
        <w:pStyle w:val="Heading1"/>
        <w:rPr>
          <w:snapToGrid w:val="0"/>
          <w:lang w:eastAsia="ja-JP"/>
        </w:rPr>
      </w:pPr>
      <w:bookmarkStart w:id="9" w:name="_Toc147511124"/>
      <w:r>
        <w:rPr>
          <w:snapToGrid w:val="0"/>
          <w:lang w:eastAsia="ja-JP"/>
        </w:rPr>
        <w:t>Discussion on molecular techniques in DUS examination</w:t>
      </w:r>
      <w:bookmarkEnd w:id="9"/>
    </w:p>
    <w:p w14:paraId="0CA24420" w14:textId="481C259D" w:rsidR="00A075C2" w:rsidRDefault="00A075C2" w:rsidP="00E209FA">
      <w:pPr>
        <w:rPr>
          <w:snapToGrid w:val="0"/>
          <w:lang w:eastAsia="ja-JP"/>
        </w:rPr>
      </w:pPr>
    </w:p>
    <w:p w14:paraId="50465FCE" w14:textId="1729AE6C" w:rsidR="00953A45" w:rsidRDefault="00A075C2" w:rsidP="00A075C2">
      <w:r>
        <w:fldChar w:fldCharType="begin"/>
      </w:r>
      <w:r>
        <w:instrText xml:space="preserve"> AUTONUM  </w:instrText>
      </w:r>
      <w:r>
        <w:fldChar w:fldCharType="end"/>
      </w:r>
      <w:r>
        <w:tab/>
        <w:t>The TC, at its fifty-eighth session</w:t>
      </w:r>
      <w:r>
        <w:rPr>
          <w:rStyle w:val="FootnoteReference"/>
        </w:rPr>
        <w:footnoteReference w:id="10"/>
      </w:r>
      <w:r>
        <w:t xml:space="preserve"> agreed to invite presentations at its fifty-ninth session for a discussion session on molecular techniques in DUS examination</w:t>
      </w:r>
      <w:r w:rsidR="001612B5">
        <w:rPr>
          <w:rStyle w:val="FootnoteReference"/>
        </w:rPr>
        <w:footnoteReference w:id="11"/>
      </w:r>
      <w:r>
        <w:t xml:space="preserve">.  </w:t>
      </w:r>
    </w:p>
    <w:p w14:paraId="54A5030B" w14:textId="77777777" w:rsidR="00953A45" w:rsidRDefault="00953A45" w:rsidP="00A075C2"/>
    <w:p w14:paraId="38A619AA" w14:textId="66259BC1" w:rsidR="00A075C2" w:rsidRDefault="00953A45" w:rsidP="00A075C2">
      <w:pPr>
        <w:rPr>
          <w:rFonts w:ascii="Calibri" w:hAnsi="Calibri"/>
          <w:lang w:val="en-GB"/>
        </w:rPr>
      </w:pPr>
      <w:r>
        <w:fldChar w:fldCharType="begin"/>
      </w:r>
      <w:r>
        <w:instrText xml:space="preserve"> AUTONUM  </w:instrText>
      </w:r>
      <w:r>
        <w:fldChar w:fldCharType="end"/>
      </w:r>
      <w:r>
        <w:tab/>
      </w:r>
      <w:r w:rsidR="00A075C2">
        <w:t xml:space="preserve">On August 22, 2023, the Office of the Union issued Circular E-23/130 inviting </w:t>
      </w:r>
      <w:r w:rsidR="00A075C2">
        <w:rPr>
          <w:rFonts w:cs="Arial"/>
        </w:rPr>
        <w:t>members of the Union to make a presentation on their use of molecular techniques in DUS examination during the fifty-ninth session of the Technical Committee (TC) on October 24, 2023.</w:t>
      </w:r>
      <w:r>
        <w:rPr>
          <w:rFonts w:cs="Arial"/>
        </w:rPr>
        <w:t xml:space="preserve">  The objective is to provide the TC with information on the policies, current practices and future plans concerning the use of molecular markers in DUS examination.</w:t>
      </w:r>
    </w:p>
    <w:p w14:paraId="6D921CBA" w14:textId="5389E178" w:rsidR="00A075C2" w:rsidRDefault="00A075C2" w:rsidP="00E209FA">
      <w:pPr>
        <w:rPr>
          <w:snapToGrid w:val="0"/>
          <w:lang w:eastAsia="ja-JP"/>
        </w:rPr>
      </w:pPr>
    </w:p>
    <w:p w14:paraId="798BAD7B" w14:textId="352CE361" w:rsidR="00A075C2" w:rsidRPr="000458A4" w:rsidRDefault="000458A4" w:rsidP="000458A4">
      <w:pPr>
        <w:tabs>
          <w:tab w:val="left" w:pos="5387"/>
        </w:tabs>
        <w:ind w:left="4820"/>
        <w:rPr>
          <w:i/>
          <w:iCs/>
        </w:rPr>
      </w:pPr>
      <w:r w:rsidRPr="000458A4">
        <w:rPr>
          <w:i/>
          <w:iCs/>
          <w:snapToGrid w:val="0"/>
          <w:lang w:eastAsia="ja-JP"/>
        </w:rPr>
        <w:fldChar w:fldCharType="begin"/>
      </w:r>
      <w:r w:rsidRPr="000458A4">
        <w:rPr>
          <w:i/>
          <w:iCs/>
          <w:snapToGrid w:val="0"/>
          <w:lang w:eastAsia="ja-JP"/>
        </w:rPr>
        <w:instrText xml:space="preserve"> AUTONUM  </w:instrText>
      </w:r>
      <w:r w:rsidRPr="000458A4">
        <w:rPr>
          <w:i/>
          <w:iCs/>
          <w:snapToGrid w:val="0"/>
          <w:lang w:eastAsia="ja-JP"/>
        </w:rPr>
        <w:fldChar w:fldCharType="end"/>
      </w:r>
      <w:r w:rsidRPr="000458A4">
        <w:rPr>
          <w:i/>
          <w:iCs/>
          <w:snapToGrid w:val="0"/>
          <w:lang w:eastAsia="ja-JP"/>
        </w:rPr>
        <w:tab/>
        <w:t xml:space="preserve">The TC is invited to note that a </w:t>
      </w:r>
      <w:r w:rsidRPr="000458A4">
        <w:rPr>
          <w:i/>
          <w:iCs/>
        </w:rPr>
        <w:t xml:space="preserve">discussion session on molecular techniques in DUS examination will be organized at </w:t>
      </w:r>
      <w:r w:rsidR="00674731">
        <w:rPr>
          <w:i/>
          <w:iCs/>
        </w:rPr>
        <w:t>its</w:t>
      </w:r>
      <w:r w:rsidRPr="000458A4">
        <w:rPr>
          <w:i/>
          <w:iCs/>
        </w:rPr>
        <w:t xml:space="preserve"> fifty-ninth session.</w:t>
      </w:r>
    </w:p>
    <w:p w14:paraId="2B9A2939" w14:textId="63DFD786" w:rsidR="000458A4" w:rsidRDefault="000458A4" w:rsidP="00E209FA">
      <w:pPr>
        <w:rPr>
          <w:snapToGrid w:val="0"/>
          <w:lang w:eastAsia="ja-JP"/>
        </w:rPr>
      </w:pPr>
    </w:p>
    <w:p w14:paraId="1D5C294A" w14:textId="77777777" w:rsidR="000458A4" w:rsidRPr="00E209FA" w:rsidRDefault="000458A4" w:rsidP="00E209FA">
      <w:pPr>
        <w:rPr>
          <w:snapToGrid w:val="0"/>
          <w:lang w:eastAsia="ja-JP"/>
        </w:rPr>
      </w:pPr>
    </w:p>
    <w:p w14:paraId="3BF2BAD6" w14:textId="77777777" w:rsidR="00E209FA" w:rsidRPr="00E209FA" w:rsidRDefault="00E209FA" w:rsidP="005820D2">
      <w:pPr>
        <w:pStyle w:val="Heading1"/>
        <w:rPr>
          <w:snapToGrid w:val="0"/>
          <w:lang w:eastAsia="ja-JP"/>
        </w:rPr>
      </w:pPr>
      <w:bookmarkStart w:id="10" w:name="_Toc147511125"/>
      <w:r w:rsidRPr="00E209FA">
        <w:rPr>
          <w:snapToGrid w:val="0"/>
          <w:lang w:eastAsia="ja-JP"/>
        </w:rPr>
        <w:t>Matters for information</w:t>
      </w:r>
      <w:bookmarkEnd w:id="10"/>
    </w:p>
    <w:p w14:paraId="0E9E27FB" w14:textId="64DBA5D7" w:rsidR="002C721C" w:rsidRDefault="002C721C" w:rsidP="002C721C"/>
    <w:p w14:paraId="4D2D276B" w14:textId="7AA49183" w:rsidR="00D75187" w:rsidRDefault="00D75187" w:rsidP="00D75187">
      <w:pPr>
        <w:pStyle w:val="Heading2"/>
      </w:pPr>
      <w:bookmarkStart w:id="11" w:name="_Toc147511126"/>
      <w:r>
        <w:t xml:space="preserve">Second session of the </w:t>
      </w:r>
      <w:r w:rsidRPr="00D75187">
        <w:t>T</w:t>
      </w:r>
      <w:r>
        <w:t xml:space="preserve">echnical Working Party on Testing Methods and Techniques </w:t>
      </w:r>
      <w:r w:rsidRPr="00D75187">
        <w:t>(TWM)</w:t>
      </w:r>
      <w:bookmarkEnd w:id="11"/>
    </w:p>
    <w:p w14:paraId="34932596" w14:textId="2B37F5A8" w:rsidR="00D75187" w:rsidRDefault="00D75187" w:rsidP="002C721C"/>
    <w:p w14:paraId="5F3C1031" w14:textId="398910AD" w:rsidR="00D75187" w:rsidRDefault="00D75187" w:rsidP="006652D7">
      <w:r>
        <w:fldChar w:fldCharType="begin"/>
      </w:r>
      <w:r>
        <w:instrText xml:space="preserve"> AUTONUM  </w:instrText>
      </w:r>
      <w:r>
        <w:fldChar w:fldCharType="end"/>
      </w:r>
      <w:r>
        <w:tab/>
        <w:t xml:space="preserve">The second session of the </w:t>
      </w:r>
      <w:r w:rsidRPr="00D75187">
        <w:t>T</w:t>
      </w:r>
      <w:r>
        <w:t xml:space="preserve">echnical Working Party on Testing Methods and Techniques </w:t>
      </w:r>
      <w:r w:rsidRPr="00D75187">
        <w:t>(TWM)</w:t>
      </w:r>
      <w:r>
        <w:t xml:space="preserve"> will be held as a virtual meeting </w:t>
      </w:r>
      <w:r>
        <w:rPr>
          <w:rFonts w:cs="Arial"/>
        </w:rPr>
        <w:t xml:space="preserve">from April 8 to 12, 2024.  </w:t>
      </w:r>
      <w:r w:rsidR="006652D7">
        <w:rPr>
          <w:rFonts w:cs="Arial"/>
        </w:rPr>
        <w:t>D</w:t>
      </w:r>
      <w:r>
        <w:t>ocuments for its second session should be submitted to the Office of the Union by February 23, 2024.</w:t>
      </w:r>
    </w:p>
    <w:p w14:paraId="1E460790" w14:textId="77777777" w:rsidR="00D75187" w:rsidRDefault="00D75187" w:rsidP="00D75187"/>
    <w:p w14:paraId="7F9CD808" w14:textId="752FE80D" w:rsidR="00D75187" w:rsidRDefault="00D75187" w:rsidP="00D75187">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TWM </w:t>
      </w:r>
      <w:r w:rsidR="00754855">
        <w:rPr>
          <w:snapToGrid w:val="0"/>
        </w:rPr>
        <w:t xml:space="preserve">will </w:t>
      </w:r>
      <w:r>
        <w:rPr>
          <w:snapToGrid w:val="0"/>
        </w:rPr>
        <w:t xml:space="preserve">discuss the following items at </w:t>
      </w:r>
      <w:r>
        <w:t>the second session</w:t>
      </w:r>
      <w:r>
        <w:rPr>
          <w:snapToGrid w:val="0"/>
        </w:rPr>
        <w:t>:</w:t>
      </w:r>
    </w:p>
    <w:p w14:paraId="3F189801" w14:textId="77777777" w:rsidR="00D75187" w:rsidRDefault="00D75187" w:rsidP="00754855">
      <w:pPr>
        <w:keepNext/>
        <w:rPr>
          <w:snapToGrid w:val="0"/>
        </w:rPr>
      </w:pPr>
    </w:p>
    <w:p w14:paraId="2D8C23D3" w14:textId="77777777" w:rsidR="00D75187" w:rsidRDefault="00D75187" w:rsidP="00754855">
      <w:pPr>
        <w:spacing w:line="276" w:lineRule="auto"/>
        <w:ind w:left="567"/>
      </w:pPr>
      <w:r>
        <w:t>1.</w:t>
      </w:r>
      <w:r>
        <w:tab/>
        <w:t>Opening of the Session</w:t>
      </w:r>
    </w:p>
    <w:p w14:paraId="744717BC" w14:textId="77777777" w:rsidR="00D75187" w:rsidRDefault="00D75187" w:rsidP="00754855">
      <w:pPr>
        <w:spacing w:line="276" w:lineRule="auto"/>
        <w:ind w:left="567"/>
      </w:pPr>
      <w:r>
        <w:t>2.</w:t>
      </w:r>
      <w:r>
        <w:tab/>
        <w:t>Adoption of the agenda</w:t>
      </w:r>
    </w:p>
    <w:p w14:paraId="66668F71" w14:textId="77777777" w:rsidR="00D75187" w:rsidRDefault="00D75187" w:rsidP="00754855">
      <w:pPr>
        <w:spacing w:line="276" w:lineRule="auto"/>
        <w:ind w:left="567"/>
      </w:pPr>
      <w:r>
        <w:t>3.</w:t>
      </w:r>
      <w:r>
        <w:tab/>
        <w:t>Developments in plant variety protection:</w:t>
      </w:r>
    </w:p>
    <w:p w14:paraId="0799BD8B" w14:textId="77777777" w:rsidR="00D75187" w:rsidRDefault="00D75187" w:rsidP="00754855">
      <w:pPr>
        <w:tabs>
          <w:tab w:val="left" w:pos="1701"/>
        </w:tabs>
        <w:spacing w:line="276" w:lineRule="auto"/>
        <w:ind w:left="1701" w:hanging="567"/>
      </w:pPr>
      <w:r>
        <w:t>(a)</w:t>
      </w:r>
      <w:r>
        <w:tab/>
        <w:t>Reports from members and observers (written reports to be prepared by members and observers)</w:t>
      </w:r>
    </w:p>
    <w:p w14:paraId="300928A8" w14:textId="77777777" w:rsidR="00D75187" w:rsidRDefault="00D75187" w:rsidP="00754855">
      <w:pPr>
        <w:tabs>
          <w:tab w:val="left" w:pos="1701"/>
        </w:tabs>
        <w:spacing w:line="276" w:lineRule="auto"/>
        <w:ind w:left="1701" w:hanging="567"/>
      </w:pPr>
      <w:r>
        <w:t>(b)</w:t>
      </w:r>
      <w:r>
        <w:tab/>
        <w:t xml:space="preserve">Report on developments within UPOV (report by the Office of the Union) </w:t>
      </w:r>
    </w:p>
    <w:p w14:paraId="6A69807B" w14:textId="77777777" w:rsidR="00D75187" w:rsidRDefault="00D75187" w:rsidP="00754855">
      <w:pPr>
        <w:tabs>
          <w:tab w:val="left" w:pos="1134"/>
        </w:tabs>
        <w:spacing w:line="276" w:lineRule="auto"/>
        <w:ind w:left="1134" w:hanging="567"/>
        <w:rPr>
          <w:i/>
        </w:rPr>
      </w:pPr>
      <w:r>
        <w:t>4.</w:t>
      </w:r>
      <w:r>
        <w:tab/>
        <w:t>Guidance and cooperation</w:t>
      </w:r>
      <w:r>
        <w:rPr>
          <w:i/>
        </w:rPr>
        <w:t xml:space="preserve"> </w:t>
      </w:r>
    </w:p>
    <w:p w14:paraId="6C72EB83" w14:textId="77777777" w:rsidR="00D75187" w:rsidRDefault="00D75187" w:rsidP="00754855">
      <w:pPr>
        <w:spacing w:line="276" w:lineRule="auto"/>
        <w:ind w:left="1710" w:hanging="630"/>
      </w:pPr>
      <w:r>
        <w:t>(a)</w:t>
      </w:r>
      <w:r>
        <w:tab/>
        <w:t>Development of guidance and information materials (document to be prepared by the Office of the Union)</w:t>
      </w:r>
    </w:p>
    <w:p w14:paraId="0FC1F1F6" w14:textId="77777777" w:rsidR="00D75187" w:rsidRDefault="00D75187" w:rsidP="00754855">
      <w:pPr>
        <w:spacing w:line="276" w:lineRule="auto"/>
        <w:ind w:left="1710" w:hanging="630"/>
      </w:pPr>
      <w:r>
        <w:t>(b)</w:t>
      </w:r>
      <w:r>
        <w:tab/>
        <w:t>Increasing participation in the work of the TC and the TWPs (document to be prepared by the Office of the Union)</w:t>
      </w:r>
    </w:p>
    <w:p w14:paraId="1E6C171A" w14:textId="77777777" w:rsidR="00D75187" w:rsidRDefault="00D75187" w:rsidP="00754855">
      <w:pPr>
        <w:spacing w:line="276" w:lineRule="auto"/>
        <w:ind w:left="1710" w:hanging="630"/>
      </w:pPr>
      <w:r>
        <w:t>(c)</w:t>
      </w:r>
      <w:r>
        <w:tab/>
        <w:t>Cooperation in examination (document to be prepared by the Office of the Union)</w:t>
      </w:r>
    </w:p>
    <w:p w14:paraId="33BF04C8" w14:textId="77777777" w:rsidR="00D75187" w:rsidRDefault="00D75187" w:rsidP="00754855">
      <w:pPr>
        <w:keepNext/>
        <w:spacing w:line="276" w:lineRule="auto"/>
        <w:ind w:left="1710" w:hanging="630"/>
      </w:pPr>
      <w:r>
        <w:t>(d)</w:t>
      </w:r>
      <w:r>
        <w:tab/>
        <w:t>Information and databases</w:t>
      </w:r>
    </w:p>
    <w:p w14:paraId="4227394F" w14:textId="77777777" w:rsidR="00D75187" w:rsidRDefault="00D75187" w:rsidP="00754855">
      <w:pPr>
        <w:keepNext/>
        <w:spacing w:line="276" w:lineRule="auto"/>
        <w:ind w:left="2160" w:hanging="450"/>
      </w:pPr>
      <w:r>
        <w:t>-</w:t>
      </w:r>
      <w:r>
        <w:tab/>
        <w:t xml:space="preserve">UPOV PRISMA (document to be prepared by the Office of the Union) </w:t>
      </w:r>
    </w:p>
    <w:p w14:paraId="75CE5E91" w14:textId="77777777" w:rsidR="00D75187" w:rsidRDefault="00D75187" w:rsidP="00754855">
      <w:pPr>
        <w:spacing w:line="276" w:lineRule="auto"/>
        <w:ind w:left="2160" w:hanging="450"/>
      </w:pPr>
      <w:r>
        <w:t>-</w:t>
      </w:r>
      <w:r>
        <w:tab/>
        <w:t>UPOV information databases (document to be prepared by the Office of the Union)</w:t>
      </w:r>
    </w:p>
    <w:p w14:paraId="090EDCD6" w14:textId="77777777" w:rsidR="00D75187" w:rsidRDefault="00D75187" w:rsidP="00754855">
      <w:pPr>
        <w:spacing w:line="276" w:lineRule="auto"/>
        <w:ind w:left="2160" w:hanging="450"/>
      </w:pPr>
      <w:r>
        <w:t>-</w:t>
      </w:r>
      <w:r>
        <w:tab/>
        <w:t xml:space="preserve">Variety description databases including databases containing molecular data (document to be prepared by the Office of the Union and papers invited) </w:t>
      </w:r>
    </w:p>
    <w:p w14:paraId="1A3AB079" w14:textId="77777777" w:rsidR="00D75187" w:rsidRDefault="00D75187" w:rsidP="00754855">
      <w:pPr>
        <w:spacing w:line="276" w:lineRule="auto"/>
        <w:ind w:left="2160" w:hanging="450"/>
      </w:pPr>
      <w:r>
        <w:t>-</w:t>
      </w:r>
      <w:r>
        <w:tab/>
        <w:t>Variety denominations (document to be prepared by the Office of the Union)</w:t>
      </w:r>
    </w:p>
    <w:p w14:paraId="5890C44F" w14:textId="77777777" w:rsidR="00D75187" w:rsidRDefault="00D75187" w:rsidP="00754855">
      <w:pPr>
        <w:spacing w:line="276" w:lineRule="auto"/>
        <w:ind w:left="1134" w:hanging="567"/>
        <w:rPr>
          <w:i/>
        </w:rPr>
      </w:pPr>
      <w:r>
        <w:t>5.</w:t>
      </w:r>
      <w:r>
        <w:tab/>
        <w:t>Software and statistical analysis methods for DUS examination</w:t>
      </w:r>
    </w:p>
    <w:p w14:paraId="44C7E6F0" w14:textId="77777777" w:rsidR="00D75187" w:rsidRDefault="00D75187" w:rsidP="00754855">
      <w:pPr>
        <w:spacing w:line="276" w:lineRule="auto"/>
        <w:ind w:left="1530" w:hanging="450"/>
      </w:pPr>
      <w:r>
        <w:t xml:space="preserve"> (a)</w:t>
      </w:r>
      <w:r>
        <w:tab/>
        <w:t>Statistical tools and methods for DUS examination (papers invited)</w:t>
      </w:r>
    </w:p>
    <w:p w14:paraId="43F34FAB" w14:textId="77777777" w:rsidR="00D75187" w:rsidRDefault="00D75187" w:rsidP="00754855">
      <w:pPr>
        <w:spacing w:line="276" w:lineRule="auto"/>
        <w:ind w:left="2160" w:hanging="450"/>
      </w:pPr>
      <w:r>
        <w:t xml:space="preserve">- </w:t>
      </w:r>
      <w:r>
        <w:tab/>
        <w:t>The Combined-Over-Years Uniformity Criterion (COYU) (document to be prepared by the Office of the Union)</w:t>
      </w:r>
    </w:p>
    <w:p w14:paraId="68441BB9" w14:textId="77777777" w:rsidR="00D75187" w:rsidRDefault="00D75187" w:rsidP="00754855">
      <w:pPr>
        <w:spacing w:line="276" w:lineRule="auto"/>
        <w:ind w:left="2160" w:hanging="450"/>
      </w:pPr>
      <w:r>
        <w:t>-</w:t>
      </w:r>
      <w:r>
        <w:tab/>
        <w:t>Development of software for the improved COYU method (splines) (document to be prepared by the United Kingdom)</w:t>
      </w:r>
    </w:p>
    <w:p w14:paraId="17E888C9" w14:textId="77777777" w:rsidR="00D75187" w:rsidRDefault="00D75187" w:rsidP="00754855">
      <w:pPr>
        <w:spacing w:line="276" w:lineRule="auto"/>
        <w:ind w:left="2160" w:hanging="450"/>
      </w:pPr>
      <w:r>
        <w:t>-</w:t>
      </w:r>
      <w:r>
        <w:tab/>
        <w:t xml:space="preserve">Extrapolation in relation to COYU (document to be prepared by the United Kingdom and papers invited) </w:t>
      </w:r>
    </w:p>
    <w:p w14:paraId="4ED4552B" w14:textId="77777777" w:rsidR="00D75187" w:rsidRDefault="00D75187" w:rsidP="00754855">
      <w:pPr>
        <w:spacing w:line="276" w:lineRule="auto"/>
        <w:ind w:left="2160" w:hanging="450"/>
      </w:pPr>
      <w:r>
        <w:t>-</w:t>
      </w:r>
      <w:r>
        <w:tab/>
        <w:t>Comparison of results obtained for COYD and COYU procedures using different software (document to be prepared by France)</w:t>
      </w:r>
    </w:p>
    <w:p w14:paraId="42D43DC5" w14:textId="77777777" w:rsidR="00D75187" w:rsidRDefault="00D75187" w:rsidP="00754855">
      <w:pPr>
        <w:spacing w:line="276" w:lineRule="auto"/>
        <w:ind w:left="2160" w:hanging="450"/>
      </w:pPr>
      <w:r>
        <w:t>-</w:t>
      </w:r>
      <w:r>
        <w:tab/>
        <w:t>Development of Big Data platform for DUS examination (document to be prepared by China)</w:t>
      </w:r>
    </w:p>
    <w:p w14:paraId="63527EAA" w14:textId="77777777" w:rsidR="00D75187" w:rsidRDefault="00D75187" w:rsidP="00754855">
      <w:pPr>
        <w:spacing w:line="276" w:lineRule="auto"/>
        <w:ind w:left="1530" w:hanging="450"/>
      </w:pPr>
      <w:r>
        <w:t>(b)</w:t>
      </w:r>
      <w:r>
        <w:tab/>
        <w:t>Exchange and use of software and equipment (document to be prepared by the Office of the Union and papers invited)</w:t>
      </w:r>
    </w:p>
    <w:p w14:paraId="6ED22043" w14:textId="77777777" w:rsidR="00D75187" w:rsidRDefault="00D75187" w:rsidP="00754855">
      <w:pPr>
        <w:spacing w:line="276" w:lineRule="auto"/>
        <w:ind w:left="2160" w:hanging="450"/>
      </w:pPr>
      <w:r>
        <w:t>-</w:t>
      </w:r>
      <w:r>
        <w:tab/>
        <w:t>Development of Statistical Analysis Software: DUSCEL (document to be prepared by China)</w:t>
      </w:r>
    </w:p>
    <w:p w14:paraId="0E2CA8BF" w14:textId="77777777" w:rsidR="00D75187" w:rsidRDefault="00D75187" w:rsidP="00754855">
      <w:pPr>
        <w:spacing w:line="276" w:lineRule="auto"/>
        <w:ind w:left="1134" w:hanging="567"/>
      </w:pPr>
      <w:r>
        <w:t>6.</w:t>
      </w:r>
      <w:r>
        <w:tab/>
        <w:t>Phenotyping and image analysis (papers invited)</w:t>
      </w:r>
    </w:p>
    <w:p w14:paraId="62526B58" w14:textId="77777777" w:rsidR="00D75187" w:rsidRDefault="00D75187" w:rsidP="00754855">
      <w:pPr>
        <w:spacing w:line="276" w:lineRule="auto"/>
        <w:ind w:left="1134"/>
      </w:pPr>
      <w:r>
        <w:t>-</w:t>
      </w:r>
      <w:r>
        <w:tab/>
        <w:t>Assessment of color characteristics using image analysis (papers invited)</w:t>
      </w:r>
    </w:p>
    <w:p w14:paraId="0EED0582" w14:textId="77777777" w:rsidR="00D75187" w:rsidRDefault="00D75187" w:rsidP="00754855">
      <w:pPr>
        <w:spacing w:line="276" w:lineRule="auto"/>
        <w:ind w:left="1134" w:hanging="567"/>
      </w:pPr>
      <w:r>
        <w:t>7.</w:t>
      </w:r>
      <w:r>
        <w:tab/>
        <w:t>Developments in molecular techniques and bioinformatics</w:t>
      </w:r>
    </w:p>
    <w:p w14:paraId="35F90D57" w14:textId="77777777" w:rsidR="00D75187" w:rsidRDefault="00D75187" w:rsidP="00754855">
      <w:pPr>
        <w:spacing w:line="276" w:lineRule="auto"/>
        <w:ind w:left="1530" w:hanging="450"/>
      </w:pPr>
      <w:r>
        <w:t>(a)</w:t>
      </w:r>
      <w:r>
        <w:tab/>
        <w:t>Latest developments in molecular techniques and bioinformatics (papers invited)</w:t>
      </w:r>
    </w:p>
    <w:p w14:paraId="2E819687" w14:textId="77777777" w:rsidR="00D75187" w:rsidRDefault="00D75187" w:rsidP="00754855">
      <w:pPr>
        <w:spacing w:line="276" w:lineRule="auto"/>
        <w:ind w:left="1530" w:hanging="450"/>
      </w:pPr>
      <w:r>
        <w:t>(b)</w:t>
      </w:r>
      <w:r>
        <w:tab/>
        <w:t>Cooperation between international organizations (document to be prepared by the Office of the Union and papers invited)</w:t>
      </w:r>
    </w:p>
    <w:p w14:paraId="3C787D4E" w14:textId="77777777" w:rsidR="00D75187" w:rsidRDefault="00D75187" w:rsidP="00754855">
      <w:pPr>
        <w:spacing w:line="276" w:lineRule="auto"/>
        <w:ind w:left="1530" w:hanging="450"/>
      </w:pPr>
      <w:r>
        <w:t>(c)</w:t>
      </w:r>
      <w:r>
        <w:tab/>
        <w:t>Report of work on molecular techniques in relation to DUS examination (papers invited)</w:t>
      </w:r>
    </w:p>
    <w:p w14:paraId="756BDF04" w14:textId="77777777" w:rsidR="00D75187" w:rsidRDefault="00D75187" w:rsidP="00754855">
      <w:pPr>
        <w:spacing w:line="276" w:lineRule="auto"/>
        <w:ind w:left="1530" w:hanging="450"/>
      </w:pPr>
      <w:r>
        <w:t>(d)</w:t>
      </w:r>
      <w:r>
        <w:tab/>
        <w:t xml:space="preserve">Methods for analysis of molecular data, management of databases and exchange of data and material (papers invited) </w:t>
      </w:r>
    </w:p>
    <w:p w14:paraId="465799CF" w14:textId="77777777" w:rsidR="00D75187" w:rsidRDefault="00D75187" w:rsidP="00754855">
      <w:pPr>
        <w:spacing w:line="276" w:lineRule="auto"/>
        <w:ind w:left="1530" w:hanging="450"/>
      </w:pPr>
      <w:r>
        <w:t>(e)</w:t>
      </w:r>
      <w:r>
        <w:tab/>
        <w:t>Confidentiality, ownership and access to molecular data, including model agreement template</w:t>
      </w:r>
      <w:r>
        <w:rPr>
          <w:vertAlign w:val="superscript"/>
        </w:rPr>
        <w:t xml:space="preserve">1 </w:t>
      </w:r>
      <w:r>
        <w:t>(papers invited)</w:t>
      </w:r>
    </w:p>
    <w:p w14:paraId="29B46FB2" w14:textId="77777777" w:rsidR="00D75187" w:rsidRDefault="00D75187" w:rsidP="00754855">
      <w:pPr>
        <w:spacing w:line="276" w:lineRule="auto"/>
        <w:ind w:left="2160" w:hanging="450"/>
        <w:rPr>
          <w:vertAlign w:val="superscript"/>
        </w:rPr>
      </w:pPr>
      <w:r>
        <w:t>-</w:t>
      </w:r>
      <w:r>
        <w:tab/>
      </w:r>
      <w:r>
        <w:rPr>
          <w:rFonts w:cs="Arial"/>
          <w:iCs/>
        </w:rPr>
        <w:t xml:space="preserve">Examples of policies on confidentiality and access to molecular information data </w:t>
      </w:r>
      <w:r>
        <w:t>(papers invited)</w:t>
      </w:r>
    </w:p>
    <w:p w14:paraId="0A2DBCCF" w14:textId="77777777" w:rsidR="00D75187" w:rsidRDefault="00D75187" w:rsidP="00754855">
      <w:pPr>
        <w:spacing w:line="276" w:lineRule="auto"/>
        <w:ind w:left="1530" w:hanging="450"/>
      </w:pPr>
      <w:r>
        <w:t>(f)</w:t>
      </w:r>
      <w:r>
        <w:tab/>
        <w:t>The use of molecular techniques in examining essential derivation</w:t>
      </w:r>
      <w:r>
        <w:rPr>
          <w:rStyle w:val="FootnoteReference"/>
        </w:rPr>
        <w:footnoteReference w:id="12"/>
      </w:r>
      <w:r>
        <w:t xml:space="preserve"> (papers invited)</w:t>
      </w:r>
    </w:p>
    <w:p w14:paraId="17B10D12" w14:textId="77777777" w:rsidR="00D75187" w:rsidRDefault="00D75187" w:rsidP="00754855">
      <w:pPr>
        <w:spacing w:line="276" w:lineRule="auto"/>
        <w:ind w:left="1530" w:hanging="450"/>
      </w:pPr>
      <w:r>
        <w:t>(g)</w:t>
      </w:r>
      <w:r>
        <w:tab/>
        <w:t>The use of molecular techniques in variety identification</w:t>
      </w:r>
      <w:r>
        <w:rPr>
          <w:vertAlign w:val="superscript"/>
        </w:rPr>
        <w:t>1</w:t>
      </w:r>
      <w:r>
        <w:t xml:space="preserve"> (papers invited)</w:t>
      </w:r>
    </w:p>
    <w:p w14:paraId="7E4F2408" w14:textId="77777777" w:rsidR="00D75187" w:rsidRDefault="00D75187" w:rsidP="00754855">
      <w:pPr>
        <w:spacing w:line="276" w:lineRule="auto"/>
        <w:ind w:left="1530" w:hanging="450"/>
      </w:pPr>
      <w:r>
        <w:t>(h)</w:t>
      </w:r>
      <w:r>
        <w:tab/>
        <w:t>The use of molecular techniques for enforcement</w:t>
      </w:r>
      <w:r>
        <w:rPr>
          <w:vertAlign w:val="superscript"/>
        </w:rPr>
        <w:t>1</w:t>
      </w:r>
      <w:r>
        <w:t xml:space="preserve"> (papers invited)</w:t>
      </w:r>
    </w:p>
    <w:p w14:paraId="3D264576" w14:textId="77777777" w:rsidR="00D75187" w:rsidRDefault="00D75187" w:rsidP="00754855">
      <w:pPr>
        <w:spacing w:line="276" w:lineRule="auto"/>
        <w:ind w:left="1134" w:hanging="567"/>
      </w:pPr>
      <w:r>
        <w:t>8.</w:t>
      </w:r>
      <w:r>
        <w:tab/>
        <w:t>Date and place of the next session</w:t>
      </w:r>
    </w:p>
    <w:p w14:paraId="004391C5" w14:textId="77777777" w:rsidR="00D75187" w:rsidRDefault="00D75187" w:rsidP="00754855">
      <w:pPr>
        <w:spacing w:line="276" w:lineRule="auto"/>
        <w:ind w:left="1134" w:hanging="567"/>
      </w:pPr>
      <w:r>
        <w:t>9.</w:t>
      </w:r>
      <w:r>
        <w:tab/>
        <w:t>Future program</w:t>
      </w:r>
    </w:p>
    <w:p w14:paraId="3B3BD423" w14:textId="77777777" w:rsidR="00D75187" w:rsidRDefault="00D75187" w:rsidP="00754855">
      <w:pPr>
        <w:spacing w:line="276" w:lineRule="auto"/>
        <w:ind w:left="1134" w:hanging="567"/>
      </w:pPr>
      <w:r>
        <w:t>10.</w:t>
      </w:r>
      <w:r>
        <w:tab/>
        <w:t>Adoption of the Report on the session (if time permits)</w:t>
      </w:r>
    </w:p>
    <w:p w14:paraId="01460495" w14:textId="77777777" w:rsidR="00D75187" w:rsidRDefault="00D75187" w:rsidP="00754855">
      <w:pPr>
        <w:spacing w:line="276" w:lineRule="auto"/>
        <w:ind w:left="1134" w:hanging="567"/>
      </w:pPr>
      <w:r>
        <w:t>11.</w:t>
      </w:r>
      <w:r>
        <w:tab/>
        <w:t>Closing of the session</w:t>
      </w:r>
    </w:p>
    <w:p w14:paraId="3680305E" w14:textId="694FF01B" w:rsidR="00D75187" w:rsidRDefault="00D75187" w:rsidP="002C721C"/>
    <w:p w14:paraId="6E0B1A87" w14:textId="77777777" w:rsidR="00D75187" w:rsidRDefault="00D75187" w:rsidP="002C721C"/>
    <w:p w14:paraId="64708326" w14:textId="77777777" w:rsidR="002C721C" w:rsidRDefault="002C721C" w:rsidP="002C721C">
      <w:pPr>
        <w:pStyle w:val="Heading2"/>
        <w:rPr>
          <w:rFonts w:eastAsia="MS Mincho"/>
        </w:rPr>
      </w:pPr>
      <w:bookmarkStart w:id="12" w:name="_Toc147511127"/>
      <w:r w:rsidRPr="0049059B">
        <w:rPr>
          <w:rFonts w:eastAsia="MS Mincho"/>
        </w:rPr>
        <w:t>Presentation</w:t>
      </w:r>
      <w:r>
        <w:rPr>
          <w:rFonts w:eastAsia="MS Mincho"/>
        </w:rPr>
        <w:t>s</w:t>
      </w:r>
      <w:r w:rsidRPr="0049059B">
        <w:rPr>
          <w:rFonts w:eastAsia="MS Mincho"/>
        </w:rPr>
        <w:t xml:space="preserve"> on the use of molecular techniques in DUS examination</w:t>
      </w:r>
      <w:bookmarkEnd w:id="12"/>
    </w:p>
    <w:p w14:paraId="4B644722" w14:textId="77777777" w:rsidR="002C721C" w:rsidRDefault="002C721C" w:rsidP="002C721C">
      <w:pPr>
        <w:keepNext/>
      </w:pPr>
    </w:p>
    <w:p w14:paraId="6109C6A1" w14:textId="4D41FB69" w:rsidR="002C721C" w:rsidRDefault="002C721C" w:rsidP="002C721C">
      <w:r w:rsidRPr="005600AD">
        <w:fldChar w:fldCharType="begin"/>
      </w:r>
      <w:r w:rsidRPr="005600AD">
        <w:instrText xml:space="preserve"> AUTONUM  </w:instrText>
      </w:r>
      <w:r w:rsidRPr="005600AD">
        <w:fldChar w:fldCharType="end"/>
      </w:r>
      <w:r w:rsidRPr="005600AD">
        <w:tab/>
        <w:t>The TW</w:t>
      </w:r>
      <w:r>
        <w:t>A</w:t>
      </w:r>
      <w:r>
        <w:rPr>
          <w:rStyle w:val="FootnoteReference"/>
        </w:rPr>
        <w:footnoteReference w:id="13"/>
      </w:r>
      <w:r w:rsidRPr="005600AD">
        <w:t xml:space="preserve"> received a presentation on</w:t>
      </w:r>
      <w:r>
        <w:t xml:space="preserve"> the “Argentine experience in rice genotyping” by an expert from Argentina.  </w:t>
      </w:r>
      <w:r w:rsidRPr="005600AD">
        <w:t xml:space="preserve">A copy of the presentation is </w:t>
      </w:r>
      <w:r>
        <w:t>provided</w:t>
      </w:r>
      <w:r w:rsidRPr="005600AD">
        <w:t xml:space="preserve"> in</w:t>
      </w:r>
      <w:r>
        <w:t xml:space="preserve"> Annex I </w:t>
      </w:r>
      <w:r w:rsidR="006A1465">
        <w:t xml:space="preserve">to </w:t>
      </w:r>
      <w:r>
        <w:t>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6</w:t>
      </w:r>
      <w:r>
        <w:rPr>
          <w:rStyle w:val="FootnoteReference"/>
          <w:rFonts w:eastAsia="MS Mincho"/>
        </w:rPr>
        <w:footnoteReference w:id="14"/>
      </w:r>
      <w:r w:rsidRPr="005600AD">
        <w:rPr>
          <w:rFonts w:eastAsia="MS Mincho"/>
        </w:rPr>
        <w:t>.</w:t>
      </w:r>
    </w:p>
    <w:p w14:paraId="4F16022D" w14:textId="77777777" w:rsidR="002C721C" w:rsidRDefault="002C721C" w:rsidP="002C721C"/>
    <w:p w14:paraId="1A5E6393" w14:textId="1F36750F" w:rsidR="002C721C" w:rsidRDefault="002C721C" w:rsidP="002C721C">
      <w:r w:rsidRPr="005600AD">
        <w:fldChar w:fldCharType="begin"/>
      </w:r>
      <w:r w:rsidRPr="005600AD">
        <w:instrText xml:space="preserve"> AUTONUM  </w:instrText>
      </w:r>
      <w:r w:rsidRPr="005600AD">
        <w:fldChar w:fldCharType="end"/>
      </w:r>
      <w:r w:rsidRPr="005600AD">
        <w:tab/>
        <w:t>The TW</w:t>
      </w:r>
      <w:r>
        <w:t>A</w:t>
      </w:r>
      <w:r w:rsidRPr="005600AD">
        <w:t xml:space="preserve"> received a presentation on</w:t>
      </w:r>
      <w:r>
        <w:t xml:space="preserve"> the “Use of molecular techniques in DUS examination: Field trials details of the Argentine Soybean experience” by an expert from Argentina.  </w:t>
      </w:r>
      <w:r w:rsidRPr="005600AD">
        <w:t xml:space="preserve">A copy of the presentation is </w:t>
      </w:r>
      <w:r>
        <w:t>provided</w:t>
      </w:r>
      <w:r w:rsidRPr="005600AD">
        <w:t xml:space="preserve"> in</w:t>
      </w:r>
      <w:r>
        <w:t xml:space="preserve"> Annex II </w:t>
      </w:r>
      <w:r w:rsidR="006A1465">
        <w:t xml:space="preserve">to </w:t>
      </w:r>
      <w:r>
        <w:t>document </w:t>
      </w:r>
      <w:r w:rsidRPr="005600AD">
        <w:rPr>
          <w:rFonts w:eastAsia="MS Mincho"/>
        </w:rPr>
        <w:t>TW</w:t>
      </w:r>
      <w:r>
        <w:rPr>
          <w:rFonts w:eastAsia="MS Mincho"/>
        </w:rPr>
        <w:t>A</w:t>
      </w:r>
      <w:r w:rsidRPr="005600AD">
        <w:rPr>
          <w:rFonts w:eastAsia="MS Mincho"/>
        </w:rPr>
        <w:t>/5</w:t>
      </w:r>
      <w:r>
        <w:rPr>
          <w:rFonts w:eastAsia="MS Mincho"/>
        </w:rPr>
        <w:t>2</w:t>
      </w:r>
      <w:r w:rsidRPr="005600AD">
        <w:rPr>
          <w:rFonts w:eastAsia="MS Mincho"/>
        </w:rPr>
        <w:t>/</w:t>
      </w:r>
      <w:r>
        <w:rPr>
          <w:rFonts w:eastAsia="MS Mincho"/>
        </w:rPr>
        <w:t>6</w:t>
      </w:r>
      <w:r w:rsidRPr="005600AD">
        <w:rPr>
          <w:rFonts w:eastAsia="MS Mincho"/>
        </w:rPr>
        <w:t>.</w:t>
      </w:r>
    </w:p>
    <w:p w14:paraId="321EAF1B" w14:textId="77777777" w:rsidR="002C721C" w:rsidRDefault="002C721C" w:rsidP="002C721C">
      <w:pPr>
        <w:keepNext/>
      </w:pPr>
    </w:p>
    <w:p w14:paraId="5E307B32" w14:textId="77777777" w:rsidR="002C721C" w:rsidRDefault="002C721C" w:rsidP="002C721C">
      <w:pPr>
        <w:keepNext/>
      </w:pPr>
      <w:r>
        <w:fldChar w:fldCharType="begin"/>
      </w:r>
      <w:r>
        <w:instrText xml:space="preserve"> AUTONUM  </w:instrText>
      </w:r>
      <w:r>
        <w:fldChar w:fldCharType="end"/>
      </w:r>
      <w:r>
        <w:tab/>
        <w:t>The TWF</w:t>
      </w:r>
      <w:r>
        <w:rPr>
          <w:rStyle w:val="FootnoteReference"/>
        </w:rPr>
        <w:footnoteReference w:id="15"/>
      </w:r>
      <w:r>
        <w:t xml:space="preserve"> received a presentation on the use of molecular markers in support of DUS examination in France, a copy of which would be provided in document TWF/54/3</w:t>
      </w:r>
      <w:r>
        <w:rPr>
          <w:rStyle w:val="FootnoteReference"/>
        </w:rPr>
        <w:footnoteReference w:id="16"/>
      </w:r>
      <w:r>
        <w:t xml:space="preserve">.  </w:t>
      </w:r>
    </w:p>
    <w:p w14:paraId="530D42BE" w14:textId="3EC662F7" w:rsidR="002C721C" w:rsidRDefault="002C721C" w:rsidP="00E209FA">
      <w:pPr>
        <w:rPr>
          <w:snapToGrid w:val="0"/>
          <w:lang w:eastAsia="ja-JP"/>
        </w:rPr>
      </w:pPr>
    </w:p>
    <w:p w14:paraId="5BCF85CE" w14:textId="77777777" w:rsidR="002C721C" w:rsidRPr="00E209FA" w:rsidRDefault="002C721C" w:rsidP="00E209FA">
      <w:pPr>
        <w:rPr>
          <w:snapToGrid w:val="0"/>
          <w:lang w:eastAsia="ja-JP"/>
        </w:rPr>
      </w:pPr>
    </w:p>
    <w:p w14:paraId="2E76633C" w14:textId="77777777" w:rsidR="00E209FA" w:rsidRPr="00E209FA" w:rsidRDefault="00E209FA" w:rsidP="005820D2">
      <w:pPr>
        <w:pStyle w:val="Heading2"/>
        <w:rPr>
          <w:lang w:eastAsia="ja-JP"/>
        </w:rPr>
      </w:pPr>
      <w:bookmarkStart w:id="13" w:name="_Toc525647214"/>
      <w:bookmarkStart w:id="14" w:name="_Toc526175654"/>
      <w:bookmarkStart w:id="15" w:name="_Toc147511128"/>
      <w:r w:rsidRPr="00E209FA">
        <w:rPr>
          <w:lang w:eastAsia="ja-JP"/>
        </w:rPr>
        <w:t>Cooperation between international organizations</w:t>
      </w:r>
      <w:bookmarkEnd w:id="13"/>
      <w:bookmarkEnd w:id="14"/>
      <w:bookmarkEnd w:id="15"/>
    </w:p>
    <w:p w14:paraId="0EC9CD24" w14:textId="77777777" w:rsidR="00E209FA" w:rsidRPr="00E209FA" w:rsidRDefault="00E209FA" w:rsidP="00E209FA">
      <w:pPr>
        <w:keepNext/>
        <w:rPr>
          <w:rFonts w:cs="Arial"/>
          <w:iCs/>
        </w:rPr>
      </w:pPr>
    </w:p>
    <w:p w14:paraId="7BF058CD" w14:textId="4FECD942" w:rsidR="00E209FA" w:rsidRPr="00E209FA" w:rsidRDefault="00E209FA" w:rsidP="00E209FA">
      <w:pPr>
        <w:rPr>
          <w:rFonts w:eastAsiaTheme="minorEastAsia"/>
          <w:lang w:eastAsia="ja-JP"/>
        </w:rPr>
      </w:pPr>
      <w:r w:rsidRPr="00E209FA">
        <w:fldChar w:fldCharType="begin"/>
      </w:r>
      <w:r w:rsidRPr="00E209FA">
        <w:instrText xml:space="preserve"> AUTONUM  </w:instrText>
      </w:r>
      <w:r w:rsidRPr="00E209FA">
        <w:fldChar w:fldCharType="end"/>
      </w:r>
      <w:r w:rsidRPr="00E209FA">
        <w:tab/>
      </w:r>
      <w:r w:rsidRPr="00E209FA">
        <w:rPr>
          <w:rFonts w:eastAsiaTheme="minorEastAsia"/>
          <w:lang w:eastAsia="ja-JP"/>
        </w:rPr>
        <w:t>The background</w:t>
      </w:r>
      <w:r w:rsidRPr="00E209FA">
        <w:rPr>
          <w:rFonts w:eastAsiaTheme="minorEastAsia" w:hint="eastAsia"/>
          <w:lang w:eastAsia="ja-JP"/>
        </w:rPr>
        <w:t xml:space="preserve"> to this matter is provided in document</w:t>
      </w:r>
      <w:r w:rsidRPr="00E209FA">
        <w:rPr>
          <w:rFonts w:eastAsiaTheme="minorEastAsia"/>
          <w:lang w:eastAsia="ja-JP"/>
        </w:rPr>
        <w:t xml:space="preserve"> </w:t>
      </w:r>
      <w:r w:rsidR="00794A18">
        <w:rPr>
          <w:rFonts w:eastAsiaTheme="minorEastAsia"/>
          <w:lang w:eastAsia="ja-JP"/>
        </w:rPr>
        <w:t>TC/58</w:t>
      </w:r>
      <w:r w:rsidRPr="00E209FA">
        <w:rPr>
          <w:rFonts w:eastAsiaTheme="minorEastAsia"/>
          <w:lang w:eastAsia="ja-JP"/>
        </w:rPr>
        <w:t>/7</w:t>
      </w:r>
      <w:r w:rsidRPr="00E209FA">
        <w:rPr>
          <w:rFonts w:hint="eastAsia"/>
          <w:lang w:eastAsia="ja-JP"/>
        </w:rPr>
        <w:t xml:space="preserve"> </w:t>
      </w:r>
      <w:r w:rsidRPr="00E209FA">
        <w:rPr>
          <w:lang w:eastAsia="ja-JP"/>
        </w:rPr>
        <w:t>“Molecular Techniques”</w:t>
      </w:r>
      <w:r w:rsidRPr="00E209FA">
        <w:rPr>
          <w:rFonts w:eastAsiaTheme="minorEastAsia"/>
          <w:lang w:eastAsia="ja-JP"/>
        </w:rPr>
        <w:t>.</w:t>
      </w:r>
    </w:p>
    <w:p w14:paraId="4E8BA343" w14:textId="77777777" w:rsidR="00E209FA" w:rsidRPr="00E209FA" w:rsidRDefault="00E209FA" w:rsidP="00E209FA">
      <w:pPr>
        <w:rPr>
          <w:rFonts w:eastAsiaTheme="minorEastAsia"/>
          <w:lang w:eastAsia="ja-JP"/>
        </w:rPr>
      </w:pPr>
    </w:p>
    <w:p w14:paraId="5E0325AB" w14:textId="30096241" w:rsidR="00E209FA" w:rsidRPr="00E209FA" w:rsidRDefault="00E209FA" w:rsidP="00E209FA">
      <w:pPr>
        <w:rPr>
          <w:rFonts w:eastAsiaTheme="minorEastAsia"/>
          <w:lang w:eastAsia="ja-JP"/>
        </w:rPr>
      </w:pPr>
      <w:r w:rsidRPr="00E209FA">
        <w:rPr>
          <w:rFonts w:eastAsiaTheme="minorEastAsia"/>
          <w:lang w:eastAsia="ja-JP"/>
        </w:rPr>
        <w:fldChar w:fldCharType="begin"/>
      </w:r>
      <w:r w:rsidRPr="00E209FA">
        <w:rPr>
          <w:rFonts w:eastAsiaTheme="minorEastAsia"/>
          <w:lang w:eastAsia="ja-JP"/>
        </w:rPr>
        <w:instrText xml:space="preserve"> AUTONUM  </w:instrText>
      </w:r>
      <w:r w:rsidRPr="00E209FA">
        <w:rPr>
          <w:rFonts w:eastAsiaTheme="minorEastAsia"/>
          <w:lang w:eastAsia="ja-JP"/>
        </w:rPr>
        <w:fldChar w:fldCharType="end"/>
      </w:r>
      <w:r w:rsidRPr="00E209FA">
        <w:rPr>
          <w:rFonts w:eastAsiaTheme="minorEastAsia"/>
          <w:lang w:eastAsia="ja-JP"/>
        </w:rPr>
        <w:tab/>
        <w:t>The TC, at its fifty-fourth session</w:t>
      </w:r>
      <w:r w:rsidRPr="00E209FA">
        <w:rPr>
          <w:rFonts w:eastAsiaTheme="minorEastAsia"/>
          <w:vertAlign w:val="superscript"/>
          <w:lang w:eastAsia="ja-JP"/>
        </w:rPr>
        <w:footnoteReference w:id="17"/>
      </w:r>
      <w:r w:rsidRPr="00E209FA">
        <w:rPr>
          <w:rFonts w:eastAsiaTheme="minorEastAsia"/>
          <w:lang w:eastAsia="ja-JP"/>
        </w:rPr>
        <w:t>, agreed that UPOV and OECD should make progress on the matters previously agreed by the TC, namely (see document TC/54/31 “Report”, paragraph 26</w:t>
      </w:r>
      <w:r w:rsidR="00794A18">
        <w:rPr>
          <w:rFonts w:eastAsiaTheme="minorEastAsia"/>
          <w:lang w:eastAsia="ja-JP"/>
        </w:rPr>
        <w:t>8)</w:t>
      </w:r>
      <w:r w:rsidRPr="00E209FA">
        <w:rPr>
          <w:rFonts w:eastAsiaTheme="minorEastAsia"/>
          <w:lang w:eastAsia="ja-JP"/>
        </w:rPr>
        <w:t xml:space="preserve">: </w:t>
      </w:r>
    </w:p>
    <w:p w14:paraId="39C8F347" w14:textId="77777777" w:rsidR="00E209FA" w:rsidRPr="00E209FA" w:rsidRDefault="00E209FA" w:rsidP="00E209FA">
      <w:pPr>
        <w:rPr>
          <w:rFonts w:eastAsiaTheme="minorEastAsia"/>
          <w:lang w:eastAsia="ja-JP"/>
        </w:rPr>
      </w:pPr>
    </w:p>
    <w:p w14:paraId="6D29C2AE" w14:textId="77777777" w:rsidR="00E209FA" w:rsidRPr="00E209FA" w:rsidRDefault="00E209FA" w:rsidP="00E209FA">
      <w:pPr>
        <w:ind w:firstLine="567"/>
        <w:rPr>
          <w:rFonts w:eastAsiaTheme="minorEastAsia"/>
          <w:lang w:eastAsia="ja-JP"/>
        </w:rPr>
      </w:pPr>
      <w:r w:rsidRPr="00E209FA">
        <w:rPr>
          <w:rFonts w:eastAsiaTheme="minorEastAsia"/>
          <w:lang w:eastAsia="ja-JP"/>
        </w:rPr>
        <w:t>(a)</w:t>
      </w:r>
      <w:r w:rsidRPr="00E209FA">
        <w:rPr>
          <w:rFonts w:eastAsiaTheme="minorEastAsia"/>
          <w:lang w:eastAsia="ja-JP"/>
        </w:rPr>
        <w:tab/>
        <w:t xml:space="preserve"> to develop a joint document explaining the principal features of the systems of the OECD, UPOV and ISTA; </w:t>
      </w:r>
    </w:p>
    <w:p w14:paraId="761E8FE2" w14:textId="77777777" w:rsidR="00E209FA" w:rsidRPr="00E209FA" w:rsidRDefault="00E209FA" w:rsidP="00E209FA">
      <w:pPr>
        <w:ind w:firstLine="567"/>
        <w:rPr>
          <w:rFonts w:eastAsiaTheme="minorEastAsia"/>
          <w:lang w:eastAsia="ja-JP"/>
        </w:rPr>
      </w:pPr>
    </w:p>
    <w:p w14:paraId="0D82C8EA" w14:textId="77777777" w:rsidR="00E209FA" w:rsidRPr="00E209FA" w:rsidRDefault="00E209FA" w:rsidP="00E209FA">
      <w:pPr>
        <w:ind w:firstLine="567"/>
        <w:rPr>
          <w:rFonts w:eastAsiaTheme="minorEastAsia"/>
          <w:lang w:eastAsia="ja-JP"/>
        </w:rPr>
      </w:pPr>
      <w:r w:rsidRPr="00E209FA">
        <w:rPr>
          <w:rFonts w:eastAsiaTheme="minorEastAsia"/>
          <w:lang w:eastAsia="ja-JP"/>
        </w:rPr>
        <w:t>(b)</w:t>
      </w:r>
      <w:r w:rsidRPr="00E209FA">
        <w:rPr>
          <w:rFonts w:eastAsiaTheme="minorEastAsia"/>
          <w:lang w:eastAsia="ja-JP"/>
        </w:rPr>
        <w:tab/>
        <w:t xml:space="preserve">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OECD and ISTA; and </w:t>
      </w:r>
    </w:p>
    <w:p w14:paraId="6D627D91" w14:textId="77777777" w:rsidR="00E209FA" w:rsidRPr="00E209FA" w:rsidRDefault="00E209FA" w:rsidP="00E209FA">
      <w:pPr>
        <w:ind w:firstLine="567"/>
        <w:rPr>
          <w:rFonts w:eastAsiaTheme="minorEastAsia"/>
          <w:lang w:eastAsia="ja-JP"/>
        </w:rPr>
      </w:pPr>
    </w:p>
    <w:p w14:paraId="7678053B" w14:textId="77777777" w:rsidR="00E209FA" w:rsidRPr="00E209FA" w:rsidRDefault="00E209FA" w:rsidP="00E209FA">
      <w:pPr>
        <w:ind w:firstLine="567"/>
        <w:rPr>
          <w:rFonts w:eastAsiaTheme="minorEastAsia"/>
          <w:lang w:eastAsia="ja-JP"/>
        </w:rPr>
      </w:pPr>
      <w:r w:rsidRPr="00E209FA">
        <w:rPr>
          <w:rFonts w:eastAsiaTheme="minorEastAsia"/>
          <w:lang w:eastAsia="ja-JP"/>
        </w:rPr>
        <w:t>(c)</w:t>
      </w:r>
      <w:r w:rsidRPr="00E209FA">
        <w:rPr>
          <w:rFonts w:eastAsiaTheme="minorEastAsia"/>
          <w:lang w:eastAsia="ja-JP"/>
        </w:rPr>
        <w:tab/>
        <w:t xml:space="preserve">the BMT to develop lists of possible joint initiatives with OECD and ISTA in relation to molecular techniques for consideration by the TC. </w:t>
      </w:r>
    </w:p>
    <w:p w14:paraId="192236C0" w14:textId="77777777" w:rsidR="005E68FB" w:rsidRPr="00E209FA" w:rsidRDefault="005E68FB" w:rsidP="00E209FA">
      <w:pPr>
        <w:rPr>
          <w:rFonts w:eastAsiaTheme="minorEastAsia"/>
          <w:lang w:eastAsia="ja-JP"/>
        </w:rPr>
      </w:pPr>
    </w:p>
    <w:p w14:paraId="455E323B" w14:textId="77777777" w:rsidR="00A96C63" w:rsidRPr="00E209FA" w:rsidRDefault="00A96C63" w:rsidP="00E209FA">
      <w:pPr>
        <w:rPr>
          <w:rFonts w:eastAsiaTheme="minorEastAsia"/>
        </w:rPr>
      </w:pPr>
    </w:p>
    <w:p w14:paraId="1C4FEC68" w14:textId="77777777" w:rsidR="00E209FA" w:rsidRPr="00E209FA" w:rsidRDefault="00E209FA" w:rsidP="005820D2">
      <w:pPr>
        <w:pStyle w:val="Heading3"/>
        <w:rPr>
          <w:rFonts w:eastAsiaTheme="minorEastAsia"/>
        </w:rPr>
      </w:pPr>
      <w:bookmarkStart w:id="16" w:name="_Toc14980928"/>
      <w:bookmarkStart w:id="17" w:name="_Toc15059498"/>
      <w:bookmarkStart w:id="18" w:name="_Toc15295343"/>
      <w:bookmarkStart w:id="19" w:name="_Toc22564623"/>
      <w:bookmarkStart w:id="20" w:name="_Toc27663377"/>
      <w:bookmarkStart w:id="21" w:name="_Toc147511129"/>
      <w:r w:rsidRPr="00E209FA">
        <w:rPr>
          <w:rFonts w:eastAsiaTheme="minorEastAsia"/>
        </w:rPr>
        <w:t>Inventory on the use of molecular marker techniques, by crop</w:t>
      </w:r>
      <w:bookmarkEnd w:id="16"/>
      <w:bookmarkEnd w:id="17"/>
      <w:bookmarkEnd w:id="18"/>
      <w:bookmarkEnd w:id="19"/>
      <w:bookmarkEnd w:id="20"/>
      <w:bookmarkEnd w:id="21"/>
    </w:p>
    <w:p w14:paraId="60D92103" w14:textId="04D46D00" w:rsidR="00A96C63" w:rsidRDefault="00A96C63" w:rsidP="003308D5">
      <w:pPr>
        <w:keepNext/>
        <w:keepLines/>
        <w:rPr>
          <w:rFonts w:eastAsiaTheme="minorEastAsia"/>
        </w:rPr>
      </w:pPr>
      <w:bookmarkStart w:id="22" w:name="_Toc14980927"/>
      <w:bookmarkStart w:id="23" w:name="_Toc15059497"/>
      <w:bookmarkStart w:id="24" w:name="_Toc15295342"/>
      <w:bookmarkStart w:id="25" w:name="_Toc22564625"/>
      <w:bookmarkStart w:id="26" w:name="_Toc27663379"/>
    </w:p>
    <w:p w14:paraId="6466449B" w14:textId="50088FFF" w:rsidR="00A96C63" w:rsidRDefault="00A96C63" w:rsidP="003308D5">
      <w:pPr>
        <w:keepNext/>
        <w:keepLines/>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 xml:space="preserve">The background to this matter is provided in document TC/58/7 “Molecular Techniques”. </w:t>
      </w:r>
    </w:p>
    <w:p w14:paraId="738911C9" w14:textId="77777777" w:rsidR="00A96C63" w:rsidRDefault="00A96C63" w:rsidP="00A96C63">
      <w:pPr>
        <w:rPr>
          <w:rFonts w:eastAsiaTheme="minorEastAsia"/>
        </w:rPr>
      </w:pPr>
    </w:p>
    <w:p w14:paraId="2D3C8BD2" w14:textId="5FC14632" w:rsidR="002965B9" w:rsidRDefault="003308D5" w:rsidP="008B2E00">
      <w:pPr>
        <w:keepNext/>
        <w:keepLines/>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t>The TC, at its fifty-eight session</w:t>
      </w:r>
      <w:r>
        <w:rPr>
          <w:rStyle w:val="FootnoteReference"/>
          <w:rFonts w:eastAsiaTheme="minorEastAsia"/>
        </w:rPr>
        <w:footnoteReference w:id="18"/>
      </w:r>
      <w:r w:rsidR="00A96C63">
        <w:rPr>
          <w:rFonts w:eastAsiaTheme="minorEastAsia"/>
        </w:rPr>
        <w:t xml:space="preserve">, </w:t>
      </w:r>
      <w:r w:rsidR="00A96C63">
        <w:t>noted the results of the surveys on the use of molecular marker techniques by members, per crop, as set out in the Annex to document TC/58/7</w:t>
      </w:r>
      <w:r w:rsidR="00A96C63">
        <w:rPr>
          <w:rStyle w:val="FootnoteReference"/>
        </w:rPr>
        <w:footnoteReference w:id="19"/>
      </w:r>
      <w:r w:rsidR="00A96C63">
        <w:t xml:space="preserve">.  The results of the survey are available as </w:t>
      </w:r>
      <w:r w:rsidR="002965B9">
        <w:t>an Excel file on the TC/58 page of the UPOV website (</w:t>
      </w:r>
      <w:r w:rsidR="00C955FB">
        <w:t>available at</w:t>
      </w:r>
      <w:r w:rsidR="002965B9">
        <w:t xml:space="preserve">: </w:t>
      </w:r>
      <w:hyperlink r:id="rId9" w:history="1">
        <w:r w:rsidR="002965B9" w:rsidRPr="00CC7AF1">
          <w:rPr>
            <w:rStyle w:val="Hyperlink"/>
          </w:rPr>
          <w:t>https://www.upov.int/meetings/en/doc_details.jsp?meeting_id=67786&amp;doc_id=586962</w:t>
        </w:r>
      </w:hyperlink>
      <w:r w:rsidR="002965B9">
        <w:t>)</w:t>
      </w:r>
      <w:r w:rsidR="00C955FB">
        <w:t>.</w:t>
      </w:r>
    </w:p>
    <w:p w14:paraId="14AEC58E" w14:textId="77777777" w:rsidR="008B2E00" w:rsidRDefault="008B2E00" w:rsidP="008B2E00"/>
    <w:p w14:paraId="7782E2E5" w14:textId="7B0F6F7F" w:rsidR="00E209FA" w:rsidRPr="00E209FA" w:rsidRDefault="00E209FA" w:rsidP="00E209FA">
      <w:pPr>
        <w:keepNext/>
        <w:keepLines/>
      </w:pPr>
      <w:r w:rsidRPr="00E209FA">
        <w:fldChar w:fldCharType="begin"/>
      </w:r>
      <w:r w:rsidRPr="00E209FA">
        <w:instrText xml:space="preserve"> AUTONUM  </w:instrText>
      </w:r>
      <w:r w:rsidRPr="00E209FA">
        <w:fldChar w:fldCharType="end"/>
      </w:r>
      <w:r w:rsidRPr="00E209FA">
        <w:tab/>
        <w:t xml:space="preserve">On December 13, 2021, the Office of the Union informed the results of the survey to OECD. </w:t>
      </w:r>
    </w:p>
    <w:p w14:paraId="234D4816" w14:textId="05ED66A2" w:rsidR="00E209FA" w:rsidRDefault="00E209FA" w:rsidP="00E209FA"/>
    <w:p w14:paraId="7F87040E" w14:textId="77777777" w:rsidR="00D513EC" w:rsidRPr="00E209FA" w:rsidRDefault="00D513EC" w:rsidP="00E209FA"/>
    <w:p w14:paraId="0F98C86C" w14:textId="77777777" w:rsidR="00E209FA" w:rsidRPr="00E209FA" w:rsidRDefault="00E209FA" w:rsidP="005820D2">
      <w:pPr>
        <w:pStyle w:val="Heading3"/>
        <w:keepLines/>
        <w:rPr>
          <w:rFonts w:eastAsiaTheme="minorEastAsia"/>
        </w:rPr>
      </w:pPr>
      <w:bookmarkStart w:id="27" w:name="_Toc147511130"/>
      <w:r w:rsidRPr="00E209FA">
        <w:rPr>
          <w:rFonts w:eastAsiaTheme="minorEastAsia"/>
        </w:rPr>
        <w:t>Joint document explaining the principal features of the systems of OECD, UPOV and ISTA</w:t>
      </w:r>
      <w:bookmarkEnd w:id="22"/>
      <w:bookmarkEnd w:id="23"/>
      <w:bookmarkEnd w:id="24"/>
      <w:bookmarkEnd w:id="25"/>
      <w:bookmarkEnd w:id="26"/>
      <w:bookmarkEnd w:id="27"/>
    </w:p>
    <w:p w14:paraId="734D8935" w14:textId="77777777" w:rsidR="00E209FA" w:rsidRPr="00E209FA" w:rsidRDefault="00E209FA" w:rsidP="005820D2">
      <w:pPr>
        <w:keepNext/>
        <w:keepLines/>
      </w:pPr>
      <w:bookmarkStart w:id="28" w:name="_Toc22569703"/>
    </w:p>
    <w:p w14:paraId="631307D4" w14:textId="563EC307" w:rsidR="00E209FA" w:rsidRPr="00E209FA" w:rsidRDefault="00E209FA" w:rsidP="005820D2">
      <w:pPr>
        <w:keepNext/>
        <w:keepLines/>
      </w:pPr>
      <w:r w:rsidRPr="00E209FA">
        <w:fldChar w:fldCharType="begin"/>
      </w:r>
      <w:r w:rsidRPr="00E209FA">
        <w:instrText xml:space="preserve"> AUTONUM  </w:instrText>
      </w:r>
      <w:r w:rsidRPr="00E209FA">
        <w:fldChar w:fldCharType="end"/>
      </w:r>
      <w:r w:rsidRPr="00E209FA">
        <w:tab/>
        <w:t>The TC, at its fifty</w:t>
      </w:r>
      <w:r w:rsidRPr="00E209FA">
        <w:noBreakHyphen/>
        <w:t>seventh session, noted that it had approved by correspondence the draft joint document explaining the principal features of the systems of OECD, UPOV and ISTA.  The TC requested the Office of the Union to inform OECD and ISTA accordingly (see document TC/57/25 “Report”, paragraph 52).</w:t>
      </w:r>
      <w:r w:rsidR="00891593">
        <w:t xml:space="preserve">  </w:t>
      </w:r>
    </w:p>
    <w:p w14:paraId="6C204859" w14:textId="77777777" w:rsidR="00E209FA" w:rsidRPr="00E209FA" w:rsidRDefault="00E209FA" w:rsidP="00E209FA">
      <w:pPr>
        <w:keepNext/>
        <w:keepLines/>
      </w:pPr>
    </w:p>
    <w:p w14:paraId="2D847399" w14:textId="4D2A5B55" w:rsidR="00E209FA" w:rsidRPr="00E209FA" w:rsidRDefault="00E209FA" w:rsidP="00E209FA">
      <w:r w:rsidRPr="00E209FA">
        <w:fldChar w:fldCharType="begin"/>
      </w:r>
      <w:r w:rsidRPr="00E209FA">
        <w:instrText xml:space="preserve"> AUTONUM  </w:instrText>
      </w:r>
      <w:r w:rsidRPr="00E209FA">
        <w:fldChar w:fldCharType="end"/>
      </w:r>
      <w:r w:rsidRPr="00E209FA">
        <w:tab/>
        <w:t xml:space="preserve">On December 13, 2021, the Office of the Union transmitted the draft joint document to OECD and ISTA.  </w:t>
      </w:r>
    </w:p>
    <w:bookmarkEnd w:id="28"/>
    <w:p w14:paraId="4D537266" w14:textId="77777777" w:rsidR="00E209FA" w:rsidRPr="00E209FA" w:rsidRDefault="00E209FA" w:rsidP="00E209FA">
      <w:pPr>
        <w:rPr>
          <w:rFonts w:eastAsiaTheme="minorEastAsia"/>
        </w:rPr>
      </w:pPr>
    </w:p>
    <w:p w14:paraId="15588747" w14:textId="77777777" w:rsidR="00E209FA" w:rsidRPr="00E209FA" w:rsidRDefault="00E209FA" w:rsidP="00E209FA">
      <w:pPr>
        <w:rPr>
          <w:rFonts w:eastAsiaTheme="minorEastAsia"/>
        </w:rPr>
      </w:pPr>
    </w:p>
    <w:p w14:paraId="004A6891" w14:textId="77777777" w:rsidR="00E209FA" w:rsidRPr="00E209FA" w:rsidRDefault="00E209FA" w:rsidP="005820D2">
      <w:pPr>
        <w:pStyle w:val="Heading3"/>
      </w:pPr>
      <w:bookmarkStart w:id="29" w:name="_Toc14980929"/>
      <w:bookmarkStart w:id="30" w:name="_Toc15059500"/>
      <w:bookmarkStart w:id="31" w:name="_Toc15295345"/>
      <w:bookmarkStart w:id="32" w:name="_Toc22564624"/>
      <w:bookmarkStart w:id="33" w:name="_Toc27663378"/>
      <w:bookmarkStart w:id="34" w:name="_Toc69722878"/>
      <w:bookmarkStart w:id="35" w:name="_Toc84364038"/>
      <w:bookmarkStart w:id="36" w:name="_Toc84415953"/>
      <w:bookmarkStart w:id="37" w:name="_Toc97892770"/>
      <w:bookmarkStart w:id="38" w:name="_Toc147511131"/>
      <w:r w:rsidRPr="00E209FA">
        <w:t>Lists of possible joint initiatives with OECD and ISTA in relation to molecular techniques</w:t>
      </w:r>
      <w:bookmarkEnd w:id="29"/>
      <w:bookmarkEnd w:id="30"/>
      <w:bookmarkEnd w:id="31"/>
      <w:bookmarkEnd w:id="32"/>
      <w:bookmarkEnd w:id="33"/>
      <w:bookmarkEnd w:id="34"/>
      <w:bookmarkEnd w:id="35"/>
      <w:bookmarkEnd w:id="36"/>
      <w:bookmarkEnd w:id="37"/>
      <w:bookmarkEnd w:id="38"/>
    </w:p>
    <w:p w14:paraId="419A37E0" w14:textId="77777777" w:rsidR="00E209FA" w:rsidRPr="00E209FA" w:rsidRDefault="00E209FA" w:rsidP="00E209FA">
      <w:pPr>
        <w:keepNext/>
        <w:jc w:val="left"/>
      </w:pPr>
    </w:p>
    <w:p w14:paraId="545E64DE" w14:textId="77777777" w:rsidR="00E209FA" w:rsidRPr="00E209FA" w:rsidRDefault="00E209FA" w:rsidP="00E209FA">
      <w:r w:rsidRPr="00E209FA">
        <w:fldChar w:fldCharType="begin"/>
      </w:r>
      <w:r w:rsidRPr="00E209FA">
        <w:instrText xml:space="preserve"> AUTONUM  </w:instrText>
      </w:r>
      <w:r w:rsidRPr="00E209FA">
        <w:fldChar w:fldCharType="end"/>
      </w:r>
      <w:r w:rsidRPr="00E209FA">
        <w:tab/>
        <w:t>The TC, at its fifty-seventh session, agreed to propose the following topics for a future joint UPOV/OECD/ISTA workshop:</w:t>
      </w:r>
    </w:p>
    <w:p w14:paraId="44506E5E" w14:textId="77777777" w:rsidR="00E209FA" w:rsidRPr="00E209FA" w:rsidRDefault="00E209FA" w:rsidP="00E209FA"/>
    <w:p w14:paraId="5CA6DE32" w14:textId="77777777" w:rsidR="00E209FA" w:rsidRPr="00E209FA" w:rsidRDefault="00E209FA" w:rsidP="00E209FA">
      <w:pPr>
        <w:jc w:val="left"/>
      </w:pPr>
      <w:r w:rsidRPr="00E209FA">
        <w:tab/>
        <w:t>(i)</w:t>
      </w:r>
      <w:r w:rsidRPr="00E209FA">
        <w:tab/>
        <w:t>providing information on the use of molecular techniques in each organization;</w:t>
      </w:r>
    </w:p>
    <w:p w14:paraId="08A6FA09" w14:textId="77777777" w:rsidR="00E209FA" w:rsidRPr="00E209FA" w:rsidRDefault="00E209FA" w:rsidP="00E209FA">
      <w:pPr>
        <w:jc w:val="left"/>
      </w:pPr>
      <w:r w:rsidRPr="00E209FA">
        <w:tab/>
        <w:t>(ii)</w:t>
      </w:r>
      <w:r w:rsidRPr="00E209FA">
        <w:tab/>
        <w:t>procedure for approval of biochemical and molecular methods in each organization; and</w:t>
      </w:r>
    </w:p>
    <w:p w14:paraId="08D2E4E5" w14:textId="77777777" w:rsidR="00E209FA" w:rsidRPr="00E209FA" w:rsidRDefault="00E209FA" w:rsidP="00E209FA">
      <w:pPr>
        <w:jc w:val="left"/>
      </w:pPr>
      <w:r w:rsidRPr="00E209FA">
        <w:tab/>
        <w:t>(iii)</w:t>
      </w:r>
      <w:r w:rsidRPr="00E209FA">
        <w:tab/>
        <w:t xml:space="preserve">possibilities for harmonizing terms, definitions and methods between UPOV, OECD and ISTA. </w:t>
      </w:r>
    </w:p>
    <w:p w14:paraId="1DA3CC75" w14:textId="77777777" w:rsidR="00E209FA" w:rsidRPr="00E209FA" w:rsidRDefault="00E209FA" w:rsidP="00E209FA">
      <w:pPr>
        <w:jc w:val="left"/>
      </w:pPr>
    </w:p>
    <w:p w14:paraId="2FE75EE0" w14:textId="77777777" w:rsidR="00E209FA" w:rsidRPr="00D60967" w:rsidRDefault="00E209FA" w:rsidP="00E209FA">
      <w:r w:rsidRPr="00D60967">
        <w:fldChar w:fldCharType="begin"/>
      </w:r>
      <w:r w:rsidRPr="00D60967">
        <w:instrText xml:space="preserve"> AUTONUM  </w:instrText>
      </w:r>
      <w:r w:rsidRPr="00D60967">
        <w:fldChar w:fldCharType="end"/>
      </w:r>
      <w:r w:rsidRPr="00D60967">
        <w:tab/>
        <w:t>The TC agreed to request the Office of the Union to contact OECD and ISTA to explore suitable dates for a future joint workshop, such as in conjunction with the first session on the TWM, to be held in September 2022.</w:t>
      </w:r>
    </w:p>
    <w:p w14:paraId="5A2F7DF5" w14:textId="77777777" w:rsidR="00E209FA" w:rsidRPr="00D60967" w:rsidRDefault="00E209FA" w:rsidP="00E209FA">
      <w:pPr>
        <w:keepNext/>
        <w:keepLines/>
      </w:pPr>
    </w:p>
    <w:p w14:paraId="6AFFFDE3" w14:textId="77777777" w:rsidR="00E209FA" w:rsidRPr="00D60967" w:rsidRDefault="00E209FA" w:rsidP="00E209FA">
      <w:r w:rsidRPr="00D60967">
        <w:fldChar w:fldCharType="begin"/>
      </w:r>
      <w:r w:rsidRPr="00D60967">
        <w:instrText xml:space="preserve"> AUTONUM  </w:instrText>
      </w:r>
      <w:r w:rsidRPr="00D60967">
        <w:fldChar w:fldCharType="end"/>
      </w:r>
      <w:r w:rsidRPr="00D60967">
        <w:tab/>
        <w:t xml:space="preserve">On December 13, 2021, the Office of the Union communicated an invitation to OECD and ISTA to hold another joint workshop on molecular techniques, in conjunction with the first session of the TWM, to be held on September 21, 2022, via electronic means, to include consideration of the topics (i) to (iii) above.    </w:t>
      </w:r>
    </w:p>
    <w:p w14:paraId="79BBDE27" w14:textId="77777777" w:rsidR="00E209FA" w:rsidRPr="00D60967" w:rsidRDefault="00E209FA" w:rsidP="00E209FA"/>
    <w:p w14:paraId="37468590" w14:textId="573B4BDA" w:rsidR="00E209FA" w:rsidRPr="00D60967" w:rsidRDefault="00E209FA" w:rsidP="00E209FA">
      <w:r w:rsidRPr="00D60967">
        <w:fldChar w:fldCharType="begin"/>
      </w:r>
      <w:r w:rsidRPr="00D60967">
        <w:instrText xml:space="preserve"> AUTONUM  </w:instrText>
      </w:r>
      <w:r w:rsidRPr="00D60967">
        <w:fldChar w:fldCharType="end"/>
      </w:r>
      <w:r w:rsidRPr="00D60967">
        <w:tab/>
        <w:t>On May 15, 2022, the Office of the Union met with OECD and ISTA at the fringes of the International Seed Federation World Seed Congress and discussed cooperation between OECD, ISTA and UPOV in relation to BMT. UPOV had raised the idea of a joint OECD/ISTA/UPOV workshop in conjunction with the TWM, which would be held in September 2022. It was agreed that there were no significant developments to discuss at this time and that it might be better to plan a joint workshop in 2023 at the earliest.</w:t>
      </w:r>
    </w:p>
    <w:p w14:paraId="277EC7D8" w14:textId="77777777" w:rsidR="00E209FA" w:rsidRPr="00E209FA" w:rsidRDefault="00E209FA" w:rsidP="00E209FA"/>
    <w:p w14:paraId="7F0EA230" w14:textId="77777777" w:rsidR="008A7867" w:rsidRDefault="008A7867" w:rsidP="00E209FA">
      <w:pPr>
        <w:keepNext/>
        <w:outlineLvl w:val="1"/>
        <w:rPr>
          <w:snapToGrid w:val="0"/>
          <w:u w:val="single"/>
        </w:rPr>
      </w:pPr>
      <w:bookmarkStart w:id="39" w:name="_Toc69722870"/>
      <w:bookmarkStart w:id="40" w:name="_Toc84364034"/>
      <w:bookmarkStart w:id="41" w:name="_Toc84415958"/>
      <w:bookmarkStart w:id="42" w:name="_Toc97892761"/>
    </w:p>
    <w:p w14:paraId="0F0F6649" w14:textId="6CFE9E5F" w:rsidR="00E209FA" w:rsidRPr="00E209FA" w:rsidRDefault="00E209FA" w:rsidP="005820D2">
      <w:pPr>
        <w:pStyle w:val="Heading2"/>
      </w:pPr>
      <w:bookmarkStart w:id="43" w:name="_Toc147511132"/>
      <w:r w:rsidRPr="00E209FA">
        <w:rPr>
          <w:snapToGrid w:val="0"/>
        </w:rPr>
        <w:t>Session to facilitate cooperation in relation to the use of molecular techniques</w:t>
      </w:r>
      <w:bookmarkEnd w:id="39"/>
      <w:bookmarkEnd w:id="40"/>
      <w:bookmarkEnd w:id="41"/>
      <w:bookmarkEnd w:id="42"/>
      <w:bookmarkEnd w:id="43"/>
    </w:p>
    <w:p w14:paraId="5CD3B943" w14:textId="77777777" w:rsidR="00E209FA" w:rsidRPr="00E209FA" w:rsidRDefault="00E209FA" w:rsidP="00E209FA">
      <w:pPr>
        <w:keepNext/>
      </w:pPr>
    </w:p>
    <w:p w14:paraId="417728C4" w14:textId="77777777" w:rsidR="00E209FA" w:rsidRPr="00E209FA" w:rsidRDefault="00E209FA" w:rsidP="00E209FA">
      <w:pPr>
        <w:keepNext/>
      </w:pPr>
      <w:r w:rsidRPr="00E209FA">
        <w:fldChar w:fldCharType="begin"/>
      </w:r>
      <w:r w:rsidRPr="00E209FA">
        <w:instrText xml:space="preserve"> AUTONUM  </w:instrText>
      </w:r>
      <w:r w:rsidRPr="00E209FA">
        <w:fldChar w:fldCharType="end"/>
      </w:r>
      <w:r w:rsidRPr="00E209FA">
        <w:tab/>
        <w:t>The TC, at its fifty-fourth session</w:t>
      </w:r>
      <w:r w:rsidRPr="00E209FA">
        <w:rPr>
          <w:vertAlign w:val="superscript"/>
        </w:rPr>
        <w:footnoteReference w:id="20"/>
      </w:r>
      <w:r w:rsidRPr="00E209FA">
        <w:t>, agreed that discussion groups should be formed for the main crops at each TWP to allow participants to exchange information on their work and explore areas for cooperation (see document TC/54/31 “Report”, paragraph 281).</w:t>
      </w:r>
    </w:p>
    <w:p w14:paraId="6823B3CB" w14:textId="77777777" w:rsidR="00E209FA" w:rsidRPr="00E209FA" w:rsidRDefault="00E209FA" w:rsidP="00E209FA"/>
    <w:p w14:paraId="3CB551C1" w14:textId="7FCF5857" w:rsidR="00E209FA" w:rsidRPr="00E209FA" w:rsidRDefault="00E209FA" w:rsidP="00E209FA">
      <w:r w:rsidRPr="00E209FA">
        <w:fldChar w:fldCharType="begin"/>
      </w:r>
      <w:r w:rsidRPr="00E209FA">
        <w:instrText xml:space="preserve"> AUTONUM  </w:instrText>
      </w:r>
      <w:r w:rsidRPr="00E209FA">
        <w:fldChar w:fldCharType="end"/>
      </w:r>
      <w:r w:rsidRPr="00E209FA">
        <w:tab/>
        <w:t>The TC, at its fifty-eight session</w:t>
      </w:r>
      <w:r w:rsidR="001975E1">
        <w:rPr>
          <w:rStyle w:val="FootnoteReference"/>
        </w:rPr>
        <w:footnoteReference w:id="21"/>
      </w:r>
      <w:r w:rsidRPr="00E209FA">
        <w:t>, noted the reports from the TWPs on the organization of discussion groups at their sessions in 2022.  The TC agreed that the chairpersons should have flexibility to consider whether to organize discussion groups during TWP sessions to allow participants to exchange information on their work and explore areas for cooperation on the use of biochemical and molecular techniques in DUS examination</w:t>
      </w:r>
      <w:r w:rsidR="009421CE">
        <w:rPr>
          <w:rStyle w:val="FootnoteReference"/>
        </w:rPr>
        <w:footnoteReference w:id="22"/>
      </w:r>
      <w:r w:rsidRPr="00E209FA">
        <w:t xml:space="preserve">.  </w:t>
      </w:r>
    </w:p>
    <w:p w14:paraId="130E3F3E" w14:textId="77777777" w:rsidR="00E209FA" w:rsidRPr="00E209FA" w:rsidRDefault="00E209FA" w:rsidP="00E209FA"/>
    <w:bookmarkEnd w:id="8"/>
    <w:p w14:paraId="368FE4E3" w14:textId="2552CB73" w:rsidR="00050E16" w:rsidRDefault="009421CE" w:rsidP="00050E16">
      <w:r>
        <w:fldChar w:fldCharType="begin"/>
      </w:r>
      <w:r>
        <w:instrText xml:space="preserve"> AUTONUM  </w:instrText>
      </w:r>
      <w:r>
        <w:fldChar w:fldCharType="end"/>
      </w:r>
      <w:r>
        <w:tab/>
      </w:r>
      <w:r w:rsidR="00CE16FE">
        <w:t xml:space="preserve">At their sessions in </w:t>
      </w:r>
      <w:r w:rsidR="00645DE3">
        <w:t xml:space="preserve">2023, </w:t>
      </w:r>
      <w:r w:rsidR="00CE16FE">
        <w:t xml:space="preserve">the TWPs did not organize </w:t>
      </w:r>
      <w:r w:rsidRPr="00E209FA">
        <w:t>discussion groups to exchange information and explore areas for cooperation on the use of biochemical and molecular techniques in DUS examination</w:t>
      </w:r>
      <w:r w:rsidR="00645DE3">
        <w:t xml:space="preserve">. </w:t>
      </w:r>
    </w:p>
    <w:p w14:paraId="79A9AB9A" w14:textId="69405BF6" w:rsidR="000D771D" w:rsidRDefault="000D771D" w:rsidP="00FA56F7">
      <w:pPr>
        <w:rPr>
          <w:lang w:eastAsia="ja-JP"/>
        </w:rPr>
      </w:pPr>
    </w:p>
    <w:p w14:paraId="6514EBE5" w14:textId="1C524BEB" w:rsidR="00F94922" w:rsidRPr="00F94922" w:rsidRDefault="00F94922" w:rsidP="00F94922">
      <w:pPr>
        <w:tabs>
          <w:tab w:val="left" w:pos="5387"/>
        </w:tabs>
        <w:ind w:left="4820"/>
        <w:rPr>
          <w:i/>
          <w:iCs/>
          <w:lang w:eastAsia="ja-JP"/>
        </w:rPr>
      </w:pPr>
      <w:r w:rsidRPr="00F94922">
        <w:rPr>
          <w:i/>
          <w:iCs/>
          <w:lang w:eastAsia="ja-JP"/>
        </w:rPr>
        <w:fldChar w:fldCharType="begin"/>
      </w:r>
      <w:r w:rsidRPr="00F94922">
        <w:rPr>
          <w:i/>
          <w:iCs/>
          <w:lang w:eastAsia="ja-JP"/>
        </w:rPr>
        <w:instrText xml:space="preserve"> AUTONUM  </w:instrText>
      </w:r>
      <w:r w:rsidRPr="00F94922">
        <w:rPr>
          <w:i/>
          <w:iCs/>
          <w:lang w:eastAsia="ja-JP"/>
        </w:rPr>
        <w:fldChar w:fldCharType="end"/>
      </w:r>
      <w:r w:rsidRPr="00F94922">
        <w:rPr>
          <w:i/>
          <w:iCs/>
          <w:lang w:eastAsia="ja-JP"/>
        </w:rPr>
        <w:tab/>
        <w:t>The TC is invited to note</w:t>
      </w:r>
      <w:r>
        <w:rPr>
          <w:i/>
          <w:iCs/>
          <w:lang w:eastAsia="ja-JP"/>
        </w:rPr>
        <w:t xml:space="preserve"> the</w:t>
      </w:r>
      <w:r w:rsidRPr="00F94922">
        <w:rPr>
          <w:i/>
          <w:iCs/>
          <w:lang w:eastAsia="ja-JP"/>
        </w:rPr>
        <w:t xml:space="preserve"> matters for information provided in this document.</w:t>
      </w:r>
    </w:p>
    <w:p w14:paraId="5DBA8B7D" w14:textId="77777777" w:rsidR="00F94922" w:rsidRDefault="00F94922" w:rsidP="00FA56F7">
      <w:pPr>
        <w:rPr>
          <w:lang w:eastAsia="ja-JP"/>
        </w:rPr>
      </w:pPr>
    </w:p>
    <w:p w14:paraId="46DB6C72" w14:textId="77777777" w:rsidR="00E7019C" w:rsidRDefault="00E7019C" w:rsidP="00FA56F7">
      <w:pPr>
        <w:rPr>
          <w:lang w:eastAsia="ja-JP"/>
        </w:rPr>
      </w:pPr>
    </w:p>
    <w:p w14:paraId="5244B289" w14:textId="77777777" w:rsidR="00FA56F7" w:rsidRPr="00C651CE" w:rsidRDefault="00FA56F7" w:rsidP="00050E16"/>
    <w:p w14:paraId="494CBA19" w14:textId="77777777" w:rsidR="009B440E" w:rsidRDefault="00050E16" w:rsidP="00050E16">
      <w:pPr>
        <w:jc w:val="right"/>
      </w:pPr>
      <w:r w:rsidRPr="00C5280D">
        <w:t>[End of document]</w:t>
      </w:r>
    </w:p>
    <w:p w14:paraId="1F8C1E8F" w14:textId="77777777" w:rsidR="00903264" w:rsidRDefault="00903264">
      <w:pPr>
        <w:jc w:val="left"/>
      </w:pPr>
    </w:p>
    <w:p w14:paraId="5D7D26BE" w14:textId="77777777" w:rsidR="00050E16" w:rsidRPr="00C5280D" w:rsidRDefault="00050E16" w:rsidP="009B440E">
      <w:pPr>
        <w:jc w:val="left"/>
      </w:pPr>
    </w:p>
    <w:sectPr w:rsidR="00050E16" w:rsidRPr="00C5280D" w:rsidSect="0004198B">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0876" w14:textId="77777777" w:rsidR="00C67B45" w:rsidRDefault="00C67B45" w:rsidP="006655D3">
      <w:r>
        <w:separator/>
      </w:r>
    </w:p>
    <w:p w14:paraId="5AA63F7A" w14:textId="77777777" w:rsidR="00C67B45" w:rsidRDefault="00C67B45" w:rsidP="006655D3"/>
    <w:p w14:paraId="36DE1665" w14:textId="77777777" w:rsidR="00C67B45" w:rsidRDefault="00C67B45" w:rsidP="006655D3"/>
  </w:endnote>
  <w:endnote w:type="continuationSeparator" w:id="0">
    <w:p w14:paraId="0DD001EC" w14:textId="77777777" w:rsidR="00C67B45" w:rsidRDefault="00C67B45" w:rsidP="006655D3">
      <w:r>
        <w:separator/>
      </w:r>
    </w:p>
    <w:p w14:paraId="7FE66C09" w14:textId="77777777" w:rsidR="00C67B45" w:rsidRPr="00294751" w:rsidRDefault="00C67B45">
      <w:pPr>
        <w:pStyle w:val="Footer"/>
        <w:spacing w:after="60"/>
        <w:rPr>
          <w:sz w:val="18"/>
          <w:lang w:val="fr-FR"/>
        </w:rPr>
      </w:pPr>
      <w:r w:rsidRPr="00294751">
        <w:rPr>
          <w:sz w:val="18"/>
          <w:lang w:val="fr-FR"/>
        </w:rPr>
        <w:t>[Suite de la note de la page précédente]</w:t>
      </w:r>
    </w:p>
    <w:p w14:paraId="45CB8E8A" w14:textId="77777777" w:rsidR="00C67B45" w:rsidRPr="00294751" w:rsidRDefault="00C67B45" w:rsidP="006655D3">
      <w:pPr>
        <w:rPr>
          <w:lang w:val="fr-FR"/>
        </w:rPr>
      </w:pPr>
    </w:p>
    <w:p w14:paraId="2D2830B5" w14:textId="77777777" w:rsidR="00C67B45" w:rsidRPr="00294751" w:rsidRDefault="00C67B45" w:rsidP="006655D3">
      <w:pPr>
        <w:rPr>
          <w:lang w:val="fr-FR"/>
        </w:rPr>
      </w:pPr>
    </w:p>
  </w:endnote>
  <w:endnote w:type="continuationNotice" w:id="1">
    <w:p w14:paraId="52FF530B" w14:textId="77777777" w:rsidR="00C67B45" w:rsidRPr="00294751" w:rsidRDefault="00C67B45" w:rsidP="006655D3">
      <w:pPr>
        <w:rPr>
          <w:lang w:val="fr-FR"/>
        </w:rPr>
      </w:pPr>
      <w:r w:rsidRPr="00294751">
        <w:rPr>
          <w:lang w:val="fr-FR"/>
        </w:rPr>
        <w:t>[Suite de la note page suivante]</w:t>
      </w:r>
    </w:p>
    <w:p w14:paraId="2821AC3B" w14:textId="77777777" w:rsidR="00C67B45" w:rsidRPr="00294751" w:rsidRDefault="00C67B45" w:rsidP="006655D3">
      <w:pPr>
        <w:rPr>
          <w:lang w:val="fr-FR"/>
        </w:rPr>
      </w:pPr>
    </w:p>
    <w:p w14:paraId="2ED9281B" w14:textId="77777777" w:rsidR="00C67B45" w:rsidRPr="00294751" w:rsidRDefault="00C67B4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A19F" w14:textId="77777777" w:rsidR="00C67B45" w:rsidRDefault="00C67B45" w:rsidP="006655D3">
      <w:r>
        <w:separator/>
      </w:r>
    </w:p>
  </w:footnote>
  <w:footnote w:type="continuationSeparator" w:id="0">
    <w:p w14:paraId="07B68B2B" w14:textId="77777777" w:rsidR="00C67B45" w:rsidRDefault="00C67B45" w:rsidP="006655D3">
      <w:r>
        <w:separator/>
      </w:r>
    </w:p>
  </w:footnote>
  <w:footnote w:type="continuationNotice" w:id="1">
    <w:p w14:paraId="52804D37" w14:textId="77777777" w:rsidR="00C67B45" w:rsidRPr="00AB530F" w:rsidRDefault="00C67B45" w:rsidP="00AB530F">
      <w:pPr>
        <w:pStyle w:val="Footer"/>
      </w:pPr>
    </w:p>
  </w:footnote>
  <w:footnote w:id="2">
    <w:p w14:paraId="719BB1CA" w14:textId="6D9B2515" w:rsidR="00E209FA" w:rsidRPr="00A96C63" w:rsidRDefault="00E209FA" w:rsidP="00E209FA">
      <w:pPr>
        <w:pStyle w:val="FootnoteText"/>
      </w:pPr>
      <w:r w:rsidRPr="00A96C63">
        <w:rPr>
          <w:rStyle w:val="FootnoteReference"/>
        </w:rPr>
        <w:footnoteRef/>
      </w:r>
      <w:r w:rsidRPr="00A96C63">
        <w:t xml:space="preserve"> </w:t>
      </w:r>
      <w:r w:rsidR="00DC3BDA">
        <w:t>TC, fifty-eighth session, h</w:t>
      </w:r>
      <w:r w:rsidRPr="00A96C63">
        <w:t>eld in Geneva, on October 24 and 25, 2022</w:t>
      </w:r>
    </w:p>
  </w:footnote>
  <w:footnote w:id="3">
    <w:p w14:paraId="4C550671" w14:textId="7D6742C2" w:rsidR="00323E4E" w:rsidRPr="00A96C63" w:rsidRDefault="00323E4E" w:rsidP="00323E4E">
      <w:pPr>
        <w:pStyle w:val="FootnoteText"/>
      </w:pPr>
      <w:r w:rsidRPr="00A96C63">
        <w:rPr>
          <w:rStyle w:val="FootnoteReference"/>
        </w:rPr>
        <w:footnoteRef/>
      </w:r>
      <w:r w:rsidRPr="00A96C63">
        <w:t xml:space="preserve"> </w:t>
      </w:r>
      <w:r w:rsidR="0052589C" w:rsidRPr="00A96C63">
        <w:t xml:space="preserve">TWV, </w:t>
      </w:r>
      <w:r w:rsidRPr="00A96C63">
        <w:t>fifty-seventh session, held in Antalya, Türkiye, from Ma</w:t>
      </w:r>
      <w:r w:rsidR="0052589C" w:rsidRPr="00A96C63">
        <w:t>y</w:t>
      </w:r>
      <w:r w:rsidRPr="00A96C63">
        <w:t xml:space="preserve"> 1 to 5, 2023.</w:t>
      </w:r>
    </w:p>
  </w:footnote>
  <w:footnote w:id="4">
    <w:p w14:paraId="74E4FCE2" w14:textId="065B2B9D" w:rsidR="00323E4E" w:rsidRPr="00A96C63" w:rsidRDefault="00323E4E" w:rsidP="00323E4E">
      <w:pPr>
        <w:pStyle w:val="FootnoteText"/>
      </w:pPr>
      <w:r w:rsidRPr="00A96C63">
        <w:rPr>
          <w:rStyle w:val="FootnoteReference"/>
        </w:rPr>
        <w:footnoteRef/>
      </w:r>
      <w:r w:rsidRPr="00A96C63">
        <w:t xml:space="preserve"> </w:t>
      </w:r>
      <w:r w:rsidR="0052589C" w:rsidRPr="00A96C63">
        <w:t xml:space="preserve">TWA, </w:t>
      </w:r>
      <w:r w:rsidRPr="00A96C63">
        <w:t>fifty-second session, held via electronic means, from May 22 to 26, 2023.</w:t>
      </w:r>
    </w:p>
  </w:footnote>
  <w:footnote w:id="5">
    <w:p w14:paraId="0FC65028" w14:textId="07F57B86" w:rsidR="00323E4E" w:rsidRPr="00A96C63" w:rsidRDefault="00323E4E" w:rsidP="00323E4E">
      <w:pPr>
        <w:pStyle w:val="FootnoteText"/>
      </w:pPr>
      <w:r w:rsidRPr="00A96C63">
        <w:rPr>
          <w:rStyle w:val="FootnoteReference"/>
        </w:rPr>
        <w:footnoteRef/>
      </w:r>
      <w:r w:rsidRPr="00A96C63">
        <w:t xml:space="preserve"> </w:t>
      </w:r>
      <w:r w:rsidR="0052589C" w:rsidRPr="00A96C63">
        <w:t>TWO,</w:t>
      </w:r>
      <w:r w:rsidRPr="00A96C63">
        <w:t xml:space="preserve"> fifty-fifth session, held via electronic means, from June 12 to 16, 2023.</w:t>
      </w:r>
    </w:p>
  </w:footnote>
  <w:footnote w:id="6">
    <w:p w14:paraId="45FDD14B" w14:textId="64CBB583" w:rsidR="00323E4E" w:rsidRPr="00A96C63" w:rsidRDefault="00323E4E" w:rsidP="00323E4E">
      <w:pPr>
        <w:pStyle w:val="FootnoteText"/>
      </w:pPr>
      <w:r w:rsidRPr="00A96C63">
        <w:rPr>
          <w:rStyle w:val="FootnoteReference"/>
        </w:rPr>
        <w:footnoteRef/>
      </w:r>
      <w:r w:rsidRPr="00A96C63">
        <w:t xml:space="preserve"> </w:t>
      </w:r>
      <w:r w:rsidR="0052589C" w:rsidRPr="00A96C63">
        <w:t xml:space="preserve">TWF, </w:t>
      </w:r>
      <w:r w:rsidRPr="00A96C63">
        <w:t>fifty-fourth session, held at Nimes, France, from July 3 to 7, 2023</w:t>
      </w:r>
    </w:p>
  </w:footnote>
  <w:footnote w:id="7">
    <w:p w14:paraId="7CFDD42C" w14:textId="7839BA24" w:rsidR="00F418A0" w:rsidRPr="00A96C63" w:rsidRDefault="00F418A0">
      <w:pPr>
        <w:pStyle w:val="FootnoteText"/>
      </w:pPr>
      <w:r w:rsidRPr="00A96C63">
        <w:rPr>
          <w:rStyle w:val="FootnoteReference"/>
        </w:rPr>
        <w:footnoteRef/>
      </w:r>
      <w:r w:rsidRPr="00A96C63">
        <w:t xml:space="preserve"> </w:t>
      </w:r>
      <w:r w:rsidR="004B3AFD" w:rsidRPr="00A96C63">
        <w:t>see documents TWV/57/26 “Report”, paragraph 31; TWA/52/11 “Report”, paragraph 34; TWO/55/11 “Report”, paragraph 38; and TWF/54/13 “Report”, paragraph 3</w:t>
      </w:r>
      <w:r w:rsidR="00D220BB" w:rsidRPr="00A96C63">
        <w:t>3</w:t>
      </w:r>
    </w:p>
  </w:footnote>
  <w:footnote w:id="8">
    <w:p w14:paraId="0BC47739" w14:textId="77A44969" w:rsidR="00BA37F9" w:rsidRPr="00A96C63" w:rsidRDefault="00BA37F9">
      <w:pPr>
        <w:pStyle w:val="FootnoteText"/>
      </w:pPr>
      <w:r w:rsidRPr="00A96C63">
        <w:rPr>
          <w:rStyle w:val="FootnoteReference"/>
        </w:rPr>
        <w:footnoteRef/>
      </w:r>
      <w:r w:rsidRPr="00A96C63">
        <w:t xml:space="preserve"> see documents TWV/57/26 “Report”, paragraph 32 and 3</w:t>
      </w:r>
      <w:r w:rsidR="00E60BFD" w:rsidRPr="00A96C63">
        <w:t>5</w:t>
      </w:r>
      <w:r w:rsidRPr="00A96C63">
        <w:t>; TWA/52/11 “Report”, paragraph</w:t>
      </w:r>
      <w:r w:rsidR="00566F0A" w:rsidRPr="00A96C63">
        <w:t>s</w:t>
      </w:r>
      <w:r w:rsidRPr="00A96C63">
        <w:t xml:space="preserve"> 3</w:t>
      </w:r>
      <w:r w:rsidR="00566F0A" w:rsidRPr="00A96C63">
        <w:t>6 and 37</w:t>
      </w:r>
      <w:r w:rsidRPr="00A96C63">
        <w:t>; TWO/55/11 “Report”, paragraph 3</w:t>
      </w:r>
      <w:r w:rsidR="00A23CF5" w:rsidRPr="00A96C63">
        <w:t>9</w:t>
      </w:r>
      <w:r w:rsidRPr="00A96C63">
        <w:t>; and TWF/54/13 “Report”, paragraph</w:t>
      </w:r>
      <w:r w:rsidR="00566F0A" w:rsidRPr="00A96C63">
        <w:t>s</w:t>
      </w:r>
      <w:r w:rsidRPr="00A96C63">
        <w:t xml:space="preserve"> 3</w:t>
      </w:r>
      <w:r w:rsidR="00566F0A" w:rsidRPr="00A96C63">
        <w:t>4 and 37</w:t>
      </w:r>
    </w:p>
  </w:footnote>
  <w:footnote w:id="9">
    <w:p w14:paraId="015A5171" w14:textId="587196FC" w:rsidR="00F418A0" w:rsidRPr="00A96C63" w:rsidRDefault="00F418A0">
      <w:pPr>
        <w:pStyle w:val="FootnoteText"/>
      </w:pPr>
      <w:r w:rsidRPr="00A96C63">
        <w:rPr>
          <w:rStyle w:val="FootnoteReference"/>
        </w:rPr>
        <w:footnoteRef/>
      </w:r>
      <w:r w:rsidRPr="00A96C63">
        <w:t xml:space="preserve"> see documents TWV/57/26 “Report”, paragraphs </w:t>
      </w:r>
      <w:r w:rsidR="00E60BFD" w:rsidRPr="00A96C63">
        <w:t>33 and 34</w:t>
      </w:r>
      <w:r w:rsidRPr="00A96C63">
        <w:t>; TWA/52/11 “Report”, paragraph 3</w:t>
      </w:r>
      <w:r w:rsidR="00D220BB" w:rsidRPr="00A96C63">
        <w:t>5</w:t>
      </w:r>
      <w:r w:rsidRPr="00A96C63">
        <w:t xml:space="preserve">; TWO/55/11 “Report”, paragraphs </w:t>
      </w:r>
      <w:r w:rsidR="00166E2F" w:rsidRPr="00A96C63">
        <w:t>40 and</w:t>
      </w:r>
      <w:r w:rsidRPr="00A96C63">
        <w:t xml:space="preserve"> 41; and TWF/54/13 “Report”, paragraphs 3</w:t>
      </w:r>
      <w:r w:rsidR="00166E2F" w:rsidRPr="00A96C63">
        <w:t>5 and</w:t>
      </w:r>
      <w:r w:rsidRPr="00A96C63">
        <w:t xml:space="preserve"> 3</w:t>
      </w:r>
      <w:r w:rsidR="00166E2F" w:rsidRPr="00A96C63">
        <w:t>6</w:t>
      </w:r>
    </w:p>
  </w:footnote>
  <w:footnote w:id="10">
    <w:p w14:paraId="0D8F7F53" w14:textId="42F30BF6" w:rsidR="00A075C2" w:rsidRDefault="00A075C2">
      <w:pPr>
        <w:pStyle w:val="FootnoteText"/>
      </w:pPr>
      <w:r>
        <w:rPr>
          <w:rStyle w:val="FootnoteReference"/>
        </w:rPr>
        <w:footnoteRef/>
      </w:r>
      <w:r>
        <w:t xml:space="preserve"> TC, fifty-eighth session, held in Geneva on October 25 and 26, 2022</w:t>
      </w:r>
    </w:p>
  </w:footnote>
  <w:footnote w:id="11">
    <w:p w14:paraId="351521DA" w14:textId="53451FE4" w:rsidR="001612B5" w:rsidRDefault="001612B5">
      <w:pPr>
        <w:pStyle w:val="FootnoteText"/>
      </w:pPr>
      <w:r>
        <w:rPr>
          <w:rStyle w:val="FootnoteReference"/>
        </w:rPr>
        <w:footnoteRef/>
      </w:r>
      <w:r>
        <w:t xml:space="preserve"> see document TC/58/31 “Report”, paragraph 107</w:t>
      </w:r>
    </w:p>
  </w:footnote>
  <w:footnote w:id="12">
    <w:p w14:paraId="3ABB3D6F" w14:textId="77777777" w:rsidR="00D75187" w:rsidRDefault="00D75187" w:rsidP="00D75187">
      <w:pPr>
        <w:pStyle w:val="FootnoteText"/>
      </w:pPr>
      <w:r>
        <w:rPr>
          <w:rStyle w:val="FootnoteReference"/>
        </w:rPr>
        <w:footnoteRef/>
      </w:r>
      <w:r>
        <w:t xml:space="preserve"> “Breeders day” April 11, 2024</w:t>
      </w:r>
    </w:p>
  </w:footnote>
  <w:footnote w:id="13">
    <w:p w14:paraId="04F30595" w14:textId="77777777" w:rsidR="002C721C" w:rsidRPr="00A96C63" w:rsidRDefault="002C721C" w:rsidP="002C721C">
      <w:pPr>
        <w:pStyle w:val="FootnoteText"/>
      </w:pPr>
      <w:r w:rsidRPr="00A96C63">
        <w:rPr>
          <w:rStyle w:val="FootnoteReference"/>
        </w:rPr>
        <w:footnoteRef/>
      </w:r>
      <w:r w:rsidRPr="00A96C63">
        <w:t xml:space="preserve"> TWA, fifty-second session, held via electronic means, from May 22 to 26, 2023.</w:t>
      </w:r>
    </w:p>
  </w:footnote>
  <w:footnote w:id="14">
    <w:p w14:paraId="7A29E57D" w14:textId="77777777" w:rsidR="002C721C" w:rsidRPr="00A96C63" w:rsidRDefault="002C721C" w:rsidP="002C721C">
      <w:pPr>
        <w:pStyle w:val="FootnoteText"/>
      </w:pPr>
      <w:r w:rsidRPr="00A96C63">
        <w:rPr>
          <w:rStyle w:val="FootnoteReference"/>
        </w:rPr>
        <w:footnoteRef/>
      </w:r>
      <w:r w:rsidRPr="00A96C63">
        <w:t xml:space="preserve"> See document TWA/52/11 “Report”, paragraphs 38 and 39</w:t>
      </w:r>
    </w:p>
  </w:footnote>
  <w:footnote w:id="15">
    <w:p w14:paraId="3455EDBD" w14:textId="77777777" w:rsidR="002C721C" w:rsidRPr="00A96C63" w:rsidRDefault="002C721C" w:rsidP="002C721C">
      <w:pPr>
        <w:pStyle w:val="FootnoteText"/>
      </w:pPr>
      <w:r w:rsidRPr="00A96C63">
        <w:rPr>
          <w:rStyle w:val="FootnoteReference"/>
        </w:rPr>
        <w:footnoteRef/>
      </w:r>
      <w:r w:rsidRPr="00A96C63">
        <w:t xml:space="preserve"> TWF, fifty-fourth session, held at Nimes, France, from July 3 to 7, 2023</w:t>
      </w:r>
    </w:p>
  </w:footnote>
  <w:footnote w:id="16">
    <w:p w14:paraId="5F8E32EA" w14:textId="77777777" w:rsidR="002C721C" w:rsidRPr="00A96C63" w:rsidRDefault="002C721C" w:rsidP="002C721C">
      <w:pPr>
        <w:pStyle w:val="FootnoteText"/>
      </w:pPr>
      <w:r w:rsidRPr="00A96C63">
        <w:rPr>
          <w:rStyle w:val="FootnoteReference"/>
        </w:rPr>
        <w:footnoteRef/>
      </w:r>
      <w:r w:rsidRPr="00A96C63">
        <w:t xml:space="preserve"> See document TWF/54/13 “Report”, paragraph 32</w:t>
      </w:r>
    </w:p>
  </w:footnote>
  <w:footnote w:id="17">
    <w:p w14:paraId="7D008E89" w14:textId="3A874C09" w:rsidR="00E209FA" w:rsidRPr="00A96C63" w:rsidRDefault="00E209FA" w:rsidP="00E209FA">
      <w:pPr>
        <w:pStyle w:val="FootnoteText"/>
      </w:pPr>
      <w:r w:rsidRPr="00A96C63">
        <w:rPr>
          <w:rStyle w:val="FootnoteReference"/>
        </w:rPr>
        <w:footnoteRef/>
      </w:r>
      <w:r w:rsidRPr="00A96C63">
        <w:t xml:space="preserve"> </w:t>
      </w:r>
      <w:r w:rsidR="00873180">
        <w:t xml:space="preserve">TC, fifty-forth session, </w:t>
      </w:r>
      <w:r w:rsidRPr="00A96C63">
        <w:rPr>
          <w:rFonts w:eastAsiaTheme="minorEastAsia"/>
          <w:lang w:eastAsia="ja-JP"/>
        </w:rPr>
        <w:t>held in Geneva, on October 29 and 30, 2018</w:t>
      </w:r>
    </w:p>
  </w:footnote>
  <w:footnote w:id="18">
    <w:p w14:paraId="38EDA194" w14:textId="6C36248B" w:rsidR="003308D5" w:rsidRPr="00A96C63" w:rsidRDefault="003308D5">
      <w:pPr>
        <w:pStyle w:val="FootnoteText"/>
      </w:pPr>
      <w:r w:rsidRPr="00A96C63">
        <w:rPr>
          <w:rStyle w:val="FootnoteReference"/>
        </w:rPr>
        <w:footnoteRef/>
      </w:r>
      <w:r w:rsidRPr="00A96C63">
        <w:t xml:space="preserve"> TC, fifty-eight session, held in Geneva on October 25 and 26, 2022</w:t>
      </w:r>
    </w:p>
  </w:footnote>
  <w:footnote w:id="19">
    <w:p w14:paraId="52990CB1" w14:textId="77289392" w:rsidR="00A96C63" w:rsidRPr="00A96C63" w:rsidRDefault="00A96C63">
      <w:pPr>
        <w:pStyle w:val="FootnoteText"/>
      </w:pPr>
      <w:r w:rsidRPr="00A96C63">
        <w:rPr>
          <w:rStyle w:val="FootnoteReference"/>
        </w:rPr>
        <w:footnoteRef/>
      </w:r>
      <w:r w:rsidRPr="00A96C63">
        <w:t xml:space="preserve"> See document TC/58/31 “Report”, paragraph 42</w:t>
      </w:r>
    </w:p>
  </w:footnote>
  <w:footnote w:id="20">
    <w:p w14:paraId="07650701" w14:textId="6A003D29" w:rsidR="00E209FA" w:rsidRPr="00A96C63" w:rsidRDefault="00E209FA" w:rsidP="00E209FA">
      <w:pPr>
        <w:pStyle w:val="FootnoteText"/>
      </w:pPr>
      <w:r w:rsidRPr="00A96C63">
        <w:rPr>
          <w:rStyle w:val="FootnoteReference"/>
        </w:rPr>
        <w:footnoteRef/>
      </w:r>
      <w:r w:rsidRPr="00A96C63">
        <w:t xml:space="preserve"> </w:t>
      </w:r>
      <w:r w:rsidR="009421CE">
        <w:t xml:space="preserve">TC, fifty-fourth session, </w:t>
      </w:r>
      <w:r w:rsidRPr="00A96C63">
        <w:t xml:space="preserve">held in Geneva, on October 29 and 30, 2018 </w:t>
      </w:r>
    </w:p>
  </w:footnote>
  <w:footnote w:id="21">
    <w:p w14:paraId="175EA5E2" w14:textId="525E0D05" w:rsidR="001975E1" w:rsidRDefault="001975E1">
      <w:pPr>
        <w:pStyle w:val="FootnoteText"/>
      </w:pPr>
      <w:r>
        <w:rPr>
          <w:rStyle w:val="FootnoteReference"/>
        </w:rPr>
        <w:footnoteRef/>
      </w:r>
      <w:r>
        <w:t xml:space="preserve"> </w:t>
      </w:r>
      <w:r w:rsidRPr="00A96C63">
        <w:t>TC, fifty-eight session, held in Geneva on October 25 and 26, 2022</w:t>
      </w:r>
    </w:p>
  </w:footnote>
  <w:footnote w:id="22">
    <w:p w14:paraId="49B5C9D9" w14:textId="54C796BC" w:rsidR="009421CE" w:rsidRDefault="009421CE">
      <w:pPr>
        <w:pStyle w:val="FootnoteText"/>
      </w:pPr>
      <w:r>
        <w:rPr>
          <w:rStyle w:val="FootnoteReference"/>
        </w:rPr>
        <w:footnoteRef/>
      </w:r>
      <w:r>
        <w:t xml:space="preserve"> </w:t>
      </w:r>
      <w:r w:rsidRPr="00A96C63">
        <w:t xml:space="preserve">See document TC/58/31 “Report”, paragraph </w:t>
      </w:r>
      <w:r>
        <w:t>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2FF7" w14:textId="77777777" w:rsidR="00FA56F7" w:rsidRPr="00C5280D" w:rsidRDefault="00FA56F7" w:rsidP="00EB048E">
    <w:pPr>
      <w:pStyle w:val="Header"/>
      <w:rPr>
        <w:rStyle w:val="PageNumber"/>
        <w:lang w:val="en-US"/>
      </w:rPr>
    </w:pPr>
    <w:r>
      <w:rPr>
        <w:rStyle w:val="PageNumber"/>
        <w:lang w:val="en-US"/>
      </w:rPr>
      <w:t>SESSIONS/2023/5</w:t>
    </w:r>
  </w:p>
  <w:p w14:paraId="6806049C" w14:textId="261EF6B1" w:rsidR="00FA56F7" w:rsidRPr="00C5280D" w:rsidRDefault="00FA56F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2FD4">
      <w:rPr>
        <w:rStyle w:val="PageNumber"/>
        <w:noProof/>
        <w:lang w:val="en-US"/>
      </w:rPr>
      <w:t>2</w:t>
    </w:r>
    <w:r w:rsidRPr="00C5280D">
      <w:rPr>
        <w:rStyle w:val="PageNumber"/>
        <w:lang w:val="en-US"/>
      </w:rPr>
      <w:fldChar w:fldCharType="end"/>
    </w:r>
  </w:p>
  <w:p w14:paraId="49EBD027" w14:textId="77777777" w:rsidR="00FA56F7" w:rsidRPr="00C5280D" w:rsidRDefault="00FA56F7"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C470B"/>
    <w:multiLevelType w:val="hybridMultilevel"/>
    <w:tmpl w:val="B0AC2606"/>
    <w:lvl w:ilvl="0" w:tplc="931AE488">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37E62201"/>
    <w:multiLevelType w:val="hybridMultilevel"/>
    <w:tmpl w:val="BD7E0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546BE"/>
    <w:multiLevelType w:val="hybridMultilevel"/>
    <w:tmpl w:val="548A8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489591">
    <w:abstractNumId w:val="0"/>
  </w:num>
  <w:num w:numId="2" w16cid:durableId="517548275">
    <w:abstractNumId w:val="2"/>
  </w:num>
  <w:num w:numId="3" w16cid:durableId="1535774018">
    <w:abstractNumId w:val="3"/>
  </w:num>
  <w:num w:numId="4" w16cid:durableId="700866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E27"/>
    <w:rsid w:val="000148BC"/>
    <w:rsid w:val="00024AB8"/>
    <w:rsid w:val="00030854"/>
    <w:rsid w:val="00036028"/>
    <w:rsid w:val="0004198B"/>
    <w:rsid w:val="00044642"/>
    <w:rsid w:val="000446B9"/>
    <w:rsid w:val="000458A4"/>
    <w:rsid w:val="00047E21"/>
    <w:rsid w:val="00050E16"/>
    <w:rsid w:val="00055B19"/>
    <w:rsid w:val="00085505"/>
    <w:rsid w:val="00085D73"/>
    <w:rsid w:val="000912E2"/>
    <w:rsid w:val="000C4E25"/>
    <w:rsid w:val="000C7021"/>
    <w:rsid w:val="000D6BBC"/>
    <w:rsid w:val="000D771D"/>
    <w:rsid w:val="000D7780"/>
    <w:rsid w:val="000E636A"/>
    <w:rsid w:val="000F2F11"/>
    <w:rsid w:val="00100A5F"/>
    <w:rsid w:val="00105929"/>
    <w:rsid w:val="0010768B"/>
    <w:rsid w:val="00110BED"/>
    <w:rsid w:val="00110C36"/>
    <w:rsid w:val="001131D5"/>
    <w:rsid w:val="00114547"/>
    <w:rsid w:val="00122C95"/>
    <w:rsid w:val="00141DB8"/>
    <w:rsid w:val="00145CD6"/>
    <w:rsid w:val="0015123B"/>
    <w:rsid w:val="001612B5"/>
    <w:rsid w:val="00166E2F"/>
    <w:rsid w:val="00172084"/>
    <w:rsid w:val="0017474A"/>
    <w:rsid w:val="001758C6"/>
    <w:rsid w:val="00182B99"/>
    <w:rsid w:val="001975E1"/>
    <w:rsid w:val="001C1525"/>
    <w:rsid w:val="001D736D"/>
    <w:rsid w:val="0021332C"/>
    <w:rsid w:val="00213982"/>
    <w:rsid w:val="0024416D"/>
    <w:rsid w:val="00271911"/>
    <w:rsid w:val="00273187"/>
    <w:rsid w:val="00274002"/>
    <w:rsid w:val="002800A0"/>
    <w:rsid w:val="002801B3"/>
    <w:rsid w:val="00280887"/>
    <w:rsid w:val="00281060"/>
    <w:rsid w:val="00285BD0"/>
    <w:rsid w:val="002940E8"/>
    <w:rsid w:val="00294751"/>
    <w:rsid w:val="002965B9"/>
    <w:rsid w:val="002A6E50"/>
    <w:rsid w:val="002B4298"/>
    <w:rsid w:val="002B7A36"/>
    <w:rsid w:val="002C256A"/>
    <w:rsid w:val="002C721C"/>
    <w:rsid w:val="002D5226"/>
    <w:rsid w:val="002E0E2D"/>
    <w:rsid w:val="002F1698"/>
    <w:rsid w:val="00305A7F"/>
    <w:rsid w:val="003152FE"/>
    <w:rsid w:val="00317807"/>
    <w:rsid w:val="00323E4E"/>
    <w:rsid w:val="00327436"/>
    <w:rsid w:val="003308D5"/>
    <w:rsid w:val="00344BD6"/>
    <w:rsid w:val="00351CA1"/>
    <w:rsid w:val="0035528D"/>
    <w:rsid w:val="00361821"/>
    <w:rsid w:val="00361E9E"/>
    <w:rsid w:val="003753EE"/>
    <w:rsid w:val="00377135"/>
    <w:rsid w:val="00391FB4"/>
    <w:rsid w:val="003A0835"/>
    <w:rsid w:val="003A5AAF"/>
    <w:rsid w:val="003B700A"/>
    <w:rsid w:val="003C03EB"/>
    <w:rsid w:val="003C7FBE"/>
    <w:rsid w:val="003D227C"/>
    <w:rsid w:val="003D2B4D"/>
    <w:rsid w:val="003F37F5"/>
    <w:rsid w:val="00424E38"/>
    <w:rsid w:val="00425B3B"/>
    <w:rsid w:val="00444A88"/>
    <w:rsid w:val="00451D47"/>
    <w:rsid w:val="004611F7"/>
    <w:rsid w:val="004718D1"/>
    <w:rsid w:val="004722D8"/>
    <w:rsid w:val="00474DA4"/>
    <w:rsid w:val="00476B4D"/>
    <w:rsid w:val="004805FA"/>
    <w:rsid w:val="004935D2"/>
    <w:rsid w:val="004B1215"/>
    <w:rsid w:val="004B3AFD"/>
    <w:rsid w:val="004D047D"/>
    <w:rsid w:val="004E38BD"/>
    <w:rsid w:val="004F1E9E"/>
    <w:rsid w:val="004F305A"/>
    <w:rsid w:val="005054F9"/>
    <w:rsid w:val="00512164"/>
    <w:rsid w:val="00520297"/>
    <w:rsid w:val="0052589C"/>
    <w:rsid w:val="005338F9"/>
    <w:rsid w:val="0054281C"/>
    <w:rsid w:val="00544581"/>
    <w:rsid w:val="00544EA5"/>
    <w:rsid w:val="0055268D"/>
    <w:rsid w:val="00566F0A"/>
    <w:rsid w:val="00575DE2"/>
    <w:rsid w:val="00576BE4"/>
    <w:rsid w:val="005779DB"/>
    <w:rsid w:val="005820D2"/>
    <w:rsid w:val="00584B3E"/>
    <w:rsid w:val="005A400A"/>
    <w:rsid w:val="005B269D"/>
    <w:rsid w:val="005C1866"/>
    <w:rsid w:val="005C5244"/>
    <w:rsid w:val="005E68FB"/>
    <w:rsid w:val="005F2F0F"/>
    <w:rsid w:val="005F7B92"/>
    <w:rsid w:val="00612379"/>
    <w:rsid w:val="006153B6"/>
    <w:rsid w:val="0061555F"/>
    <w:rsid w:val="006245ED"/>
    <w:rsid w:val="00636CA6"/>
    <w:rsid w:val="00641200"/>
    <w:rsid w:val="00645CA8"/>
    <w:rsid w:val="00645DE3"/>
    <w:rsid w:val="006652D7"/>
    <w:rsid w:val="006655D3"/>
    <w:rsid w:val="00667404"/>
    <w:rsid w:val="00674731"/>
    <w:rsid w:val="006753D1"/>
    <w:rsid w:val="00676EFE"/>
    <w:rsid w:val="00677DC2"/>
    <w:rsid w:val="006868F8"/>
    <w:rsid w:val="00687EB4"/>
    <w:rsid w:val="00695C56"/>
    <w:rsid w:val="006A1465"/>
    <w:rsid w:val="006A5CDE"/>
    <w:rsid w:val="006A644A"/>
    <w:rsid w:val="006B17D2"/>
    <w:rsid w:val="006C224E"/>
    <w:rsid w:val="006D4C97"/>
    <w:rsid w:val="006D6698"/>
    <w:rsid w:val="006D780A"/>
    <w:rsid w:val="006F358B"/>
    <w:rsid w:val="0071271E"/>
    <w:rsid w:val="007154FD"/>
    <w:rsid w:val="00732DEC"/>
    <w:rsid w:val="00735BD5"/>
    <w:rsid w:val="007451EC"/>
    <w:rsid w:val="00751613"/>
    <w:rsid w:val="00753EE9"/>
    <w:rsid w:val="007546B2"/>
    <w:rsid w:val="00754855"/>
    <w:rsid w:val="007556F6"/>
    <w:rsid w:val="00760EEF"/>
    <w:rsid w:val="00777EE5"/>
    <w:rsid w:val="00784836"/>
    <w:rsid w:val="0079023E"/>
    <w:rsid w:val="00794A18"/>
    <w:rsid w:val="007A2854"/>
    <w:rsid w:val="007B73A9"/>
    <w:rsid w:val="007C01EB"/>
    <w:rsid w:val="007C1D92"/>
    <w:rsid w:val="007C4CB9"/>
    <w:rsid w:val="007D0B9D"/>
    <w:rsid w:val="007D19B0"/>
    <w:rsid w:val="007F498F"/>
    <w:rsid w:val="0080679D"/>
    <w:rsid w:val="008108B0"/>
    <w:rsid w:val="00811B20"/>
    <w:rsid w:val="00812609"/>
    <w:rsid w:val="008211B5"/>
    <w:rsid w:val="0082296E"/>
    <w:rsid w:val="00824099"/>
    <w:rsid w:val="00846D7C"/>
    <w:rsid w:val="008644FE"/>
    <w:rsid w:val="00867AC1"/>
    <w:rsid w:val="00873180"/>
    <w:rsid w:val="008751DE"/>
    <w:rsid w:val="008772C1"/>
    <w:rsid w:val="00887B91"/>
    <w:rsid w:val="00890DF8"/>
    <w:rsid w:val="00891593"/>
    <w:rsid w:val="008A0ADE"/>
    <w:rsid w:val="008A743F"/>
    <w:rsid w:val="008A7867"/>
    <w:rsid w:val="008B2E00"/>
    <w:rsid w:val="008C0970"/>
    <w:rsid w:val="008D0BC5"/>
    <w:rsid w:val="008D1EC9"/>
    <w:rsid w:val="008D2CF7"/>
    <w:rsid w:val="008E22AF"/>
    <w:rsid w:val="00900C26"/>
    <w:rsid w:val="0090197F"/>
    <w:rsid w:val="00903264"/>
    <w:rsid w:val="00906DDC"/>
    <w:rsid w:val="00934D2B"/>
    <w:rsid w:val="00934E09"/>
    <w:rsid w:val="00936253"/>
    <w:rsid w:val="00936AF0"/>
    <w:rsid w:val="00940D46"/>
    <w:rsid w:val="009413F1"/>
    <w:rsid w:val="009421CE"/>
    <w:rsid w:val="00952DD4"/>
    <w:rsid w:val="00953A45"/>
    <w:rsid w:val="009561F4"/>
    <w:rsid w:val="00962FD4"/>
    <w:rsid w:val="009632AF"/>
    <w:rsid w:val="00965AE7"/>
    <w:rsid w:val="00970FED"/>
    <w:rsid w:val="00971744"/>
    <w:rsid w:val="00987464"/>
    <w:rsid w:val="00990E7C"/>
    <w:rsid w:val="009928E5"/>
    <w:rsid w:val="00992D82"/>
    <w:rsid w:val="00997029"/>
    <w:rsid w:val="009A7339"/>
    <w:rsid w:val="009B440E"/>
    <w:rsid w:val="009D05A8"/>
    <w:rsid w:val="009D690D"/>
    <w:rsid w:val="009E2D99"/>
    <w:rsid w:val="009E65B6"/>
    <w:rsid w:val="009F0A51"/>
    <w:rsid w:val="009F4F6F"/>
    <w:rsid w:val="009F77CF"/>
    <w:rsid w:val="00A075C2"/>
    <w:rsid w:val="00A1614C"/>
    <w:rsid w:val="00A23CF5"/>
    <w:rsid w:val="00A24C10"/>
    <w:rsid w:val="00A34633"/>
    <w:rsid w:val="00A42AC3"/>
    <w:rsid w:val="00A430CF"/>
    <w:rsid w:val="00A54309"/>
    <w:rsid w:val="00A610A9"/>
    <w:rsid w:val="00A80F2A"/>
    <w:rsid w:val="00A830D8"/>
    <w:rsid w:val="00A83A48"/>
    <w:rsid w:val="00A96C33"/>
    <w:rsid w:val="00A96C63"/>
    <w:rsid w:val="00AA13A2"/>
    <w:rsid w:val="00AB2B93"/>
    <w:rsid w:val="00AB530F"/>
    <w:rsid w:val="00AB7E5B"/>
    <w:rsid w:val="00AC2883"/>
    <w:rsid w:val="00AC5F03"/>
    <w:rsid w:val="00AD28D1"/>
    <w:rsid w:val="00AD727F"/>
    <w:rsid w:val="00AE0EF1"/>
    <w:rsid w:val="00AE2937"/>
    <w:rsid w:val="00B07301"/>
    <w:rsid w:val="00B11F3E"/>
    <w:rsid w:val="00B224DE"/>
    <w:rsid w:val="00B3111B"/>
    <w:rsid w:val="00B324D4"/>
    <w:rsid w:val="00B42CC2"/>
    <w:rsid w:val="00B46575"/>
    <w:rsid w:val="00B50C2C"/>
    <w:rsid w:val="00B61777"/>
    <w:rsid w:val="00B622E6"/>
    <w:rsid w:val="00B83E82"/>
    <w:rsid w:val="00B84BBD"/>
    <w:rsid w:val="00B91BD8"/>
    <w:rsid w:val="00BA37F9"/>
    <w:rsid w:val="00BA43FB"/>
    <w:rsid w:val="00BC127D"/>
    <w:rsid w:val="00BC1FE6"/>
    <w:rsid w:val="00BC2BF0"/>
    <w:rsid w:val="00BE752F"/>
    <w:rsid w:val="00C061B6"/>
    <w:rsid w:val="00C2446C"/>
    <w:rsid w:val="00C36AE5"/>
    <w:rsid w:val="00C41F17"/>
    <w:rsid w:val="00C527FA"/>
    <w:rsid w:val="00C5280D"/>
    <w:rsid w:val="00C53EB3"/>
    <w:rsid w:val="00C5791C"/>
    <w:rsid w:val="00C66290"/>
    <w:rsid w:val="00C67B45"/>
    <w:rsid w:val="00C72B7A"/>
    <w:rsid w:val="00C955FB"/>
    <w:rsid w:val="00C973F2"/>
    <w:rsid w:val="00CA304C"/>
    <w:rsid w:val="00CA774A"/>
    <w:rsid w:val="00CB4921"/>
    <w:rsid w:val="00CC11B0"/>
    <w:rsid w:val="00CC2841"/>
    <w:rsid w:val="00CE16FE"/>
    <w:rsid w:val="00CF1330"/>
    <w:rsid w:val="00CF7E36"/>
    <w:rsid w:val="00D06A59"/>
    <w:rsid w:val="00D220BB"/>
    <w:rsid w:val="00D3375A"/>
    <w:rsid w:val="00D3708D"/>
    <w:rsid w:val="00D40426"/>
    <w:rsid w:val="00D513EC"/>
    <w:rsid w:val="00D52F5C"/>
    <w:rsid w:val="00D57C96"/>
    <w:rsid w:val="00D57D18"/>
    <w:rsid w:val="00D60967"/>
    <w:rsid w:val="00D65B8E"/>
    <w:rsid w:val="00D70E65"/>
    <w:rsid w:val="00D75187"/>
    <w:rsid w:val="00D91203"/>
    <w:rsid w:val="00D95174"/>
    <w:rsid w:val="00DA4973"/>
    <w:rsid w:val="00DA6F36"/>
    <w:rsid w:val="00DB2899"/>
    <w:rsid w:val="00DB596E"/>
    <w:rsid w:val="00DB7773"/>
    <w:rsid w:val="00DC00EA"/>
    <w:rsid w:val="00DC3802"/>
    <w:rsid w:val="00DC3BDA"/>
    <w:rsid w:val="00DD6208"/>
    <w:rsid w:val="00DF7E99"/>
    <w:rsid w:val="00E074B7"/>
    <w:rsid w:val="00E07D87"/>
    <w:rsid w:val="00E209FA"/>
    <w:rsid w:val="00E249C8"/>
    <w:rsid w:val="00E32F7E"/>
    <w:rsid w:val="00E5267B"/>
    <w:rsid w:val="00E559F0"/>
    <w:rsid w:val="00E60BFD"/>
    <w:rsid w:val="00E63C0E"/>
    <w:rsid w:val="00E7019C"/>
    <w:rsid w:val="00E72D49"/>
    <w:rsid w:val="00E7593C"/>
    <w:rsid w:val="00E7678A"/>
    <w:rsid w:val="00E935F1"/>
    <w:rsid w:val="00E94A81"/>
    <w:rsid w:val="00E97F81"/>
    <w:rsid w:val="00EA1FFB"/>
    <w:rsid w:val="00EB048E"/>
    <w:rsid w:val="00EB4E9C"/>
    <w:rsid w:val="00EB5EB3"/>
    <w:rsid w:val="00EC2F3D"/>
    <w:rsid w:val="00ED449E"/>
    <w:rsid w:val="00EE34DF"/>
    <w:rsid w:val="00EF2F89"/>
    <w:rsid w:val="00EF6D30"/>
    <w:rsid w:val="00F03E98"/>
    <w:rsid w:val="00F1237A"/>
    <w:rsid w:val="00F17DCF"/>
    <w:rsid w:val="00F22CBD"/>
    <w:rsid w:val="00F272F1"/>
    <w:rsid w:val="00F31412"/>
    <w:rsid w:val="00F33641"/>
    <w:rsid w:val="00F418A0"/>
    <w:rsid w:val="00F45372"/>
    <w:rsid w:val="00F531DD"/>
    <w:rsid w:val="00F560F7"/>
    <w:rsid w:val="00F626D8"/>
    <w:rsid w:val="00F6334D"/>
    <w:rsid w:val="00F63599"/>
    <w:rsid w:val="00F71781"/>
    <w:rsid w:val="00F73F7E"/>
    <w:rsid w:val="00F94922"/>
    <w:rsid w:val="00F9565D"/>
    <w:rsid w:val="00F97F47"/>
    <w:rsid w:val="00FA49AB"/>
    <w:rsid w:val="00FA56F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04044E"/>
  <w15:docId w15:val="{160B37CB-91D4-427C-B979-DAD66A53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1614C"/>
    <w:pPr>
      <w:tabs>
        <w:tab w:val="right" w:leader="dot" w:pos="9639"/>
      </w:tabs>
      <w:ind w:left="454" w:right="851" w:hanging="284"/>
      <w:contextualSpacing/>
    </w:pPr>
    <w:rPr>
      <w:rFonts w:ascii="Arial" w:hAnsi="Arial"/>
    </w:rPr>
  </w:style>
  <w:style w:type="paragraph" w:styleId="TOC3">
    <w:name w:val="toc 3"/>
    <w:next w:val="Normal"/>
    <w:autoRedefine/>
    <w:uiPriority w:val="39"/>
    <w:rsid w:val="00971744"/>
    <w:pPr>
      <w:tabs>
        <w:tab w:val="right" w:leader="dot" w:pos="9639"/>
      </w:tabs>
      <w:spacing w:after="120"/>
      <w:ind w:left="568" w:right="851" w:hanging="284"/>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71744"/>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E209FA"/>
    <w:rPr>
      <w:rFonts w:ascii="Arial" w:hAnsi="Arial"/>
      <w:sz w:val="16"/>
    </w:rPr>
  </w:style>
  <w:style w:type="table" w:styleId="TableGrid">
    <w:name w:val="Table Grid"/>
    <w:basedOn w:val="TableNormal"/>
    <w:uiPriority w:val="39"/>
    <w:rsid w:val="00E209FA"/>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D4C97"/>
    <w:rPr>
      <w:rFonts w:ascii="Arial" w:hAnsi="Arial"/>
      <w:i/>
    </w:rPr>
  </w:style>
  <w:style w:type="character" w:customStyle="1" w:styleId="HeaderChar">
    <w:name w:val="Header Char"/>
    <w:basedOn w:val="DefaultParagraphFont"/>
    <w:link w:val="Header"/>
    <w:uiPriority w:val="99"/>
    <w:rsid w:val="00F626D8"/>
    <w:rPr>
      <w:rFonts w:ascii="Arial" w:hAnsi="Arial"/>
      <w:lang w:val="fr-FR"/>
    </w:rPr>
  </w:style>
  <w:style w:type="character" w:customStyle="1" w:styleId="UnresolvedMention1">
    <w:name w:val="Unresolved Mention1"/>
    <w:basedOn w:val="DefaultParagraphFont"/>
    <w:uiPriority w:val="99"/>
    <w:semiHidden/>
    <w:unhideWhenUsed/>
    <w:rsid w:val="002965B9"/>
    <w:rPr>
      <w:color w:val="605E5C"/>
      <w:shd w:val="clear" w:color="auto" w:fill="E1DFDD"/>
    </w:rPr>
  </w:style>
  <w:style w:type="paragraph" w:styleId="ListParagraph">
    <w:name w:val="List Paragraph"/>
    <w:basedOn w:val="Normal"/>
    <w:uiPriority w:val="34"/>
    <w:qFormat/>
    <w:rsid w:val="00FA56F7"/>
    <w:pPr>
      <w:ind w:left="720"/>
      <w:contextualSpacing/>
    </w:pPr>
  </w:style>
  <w:style w:type="paragraph" w:styleId="Revision">
    <w:name w:val="Revision"/>
    <w:hidden/>
    <w:uiPriority w:val="99"/>
    <w:semiHidden/>
    <w:rsid w:val="002F1698"/>
    <w:rPr>
      <w:rFonts w:ascii="Arial" w:hAnsi="Arial"/>
    </w:rPr>
  </w:style>
  <w:style w:type="character" w:styleId="CommentReference">
    <w:name w:val="annotation reference"/>
    <w:basedOn w:val="DefaultParagraphFont"/>
    <w:semiHidden/>
    <w:unhideWhenUsed/>
    <w:rsid w:val="00962FD4"/>
    <w:rPr>
      <w:sz w:val="16"/>
      <w:szCs w:val="16"/>
    </w:rPr>
  </w:style>
  <w:style w:type="paragraph" w:styleId="CommentText">
    <w:name w:val="annotation text"/>
    <w:basedOn w:val="Normal"/>
    <w:link w:val="CommentTextChar"/>
    <w:semiHidden/>
    <w:unhideWhenUsed/>
    <w:rsid w:val="00962FD4"/>
  </w:style>
  <w:style w:type="character" w:customStyle="1" w:styleId="CommentTextChar">
    <w:name w:val="Comment Text Char"/>
    <w:basedOn w:val="DefaultParagraphFont"/>
    <w:link w:val="CommentText"/>
    <w:semiHidden/>
    <w:rsid w:val="00962FD4"/>
    <w:rPr>
      <w:rFonts w:ascii="Arial" w:hAnsi="Arial"/>
    </w:rPr>
  </w:style>
  <w:style w:type="paragraph" w:styleId="CommentSubject">
    <w:name w:val="annotation subject"/>
    <w:basedOn w:val="CommentText"/>
    <w:next w:val="CommentText"/>
    <w:link w:val="CommentSubjectChar"/>
    <w:semiHidden/>
    <w:unhideWhenUsed/>
    <w:rsid w:val="00962FD4"/>
    <w:rPr>
      <w:b/>
      <w:bCs/>
    </w:rPr>
  </w:style>
  <w:style w:type="character" w:customStyle="1" w:styleId="CommentSubjectChar">
    <w:name w:val="Comment Subject Char"/>
    <w:basedOn w:val="CommentTextChar"/>
    <w:link w:val="CommentSubject"/>
    <w:semiHidden/>
    <w:rsid w:val="00962FD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1930">
      <w:bodyDiv w:val="1"/>
      <w:marLeft w:val="0"/>
      <w:marRight w:val="0"/>
      <w:marTop w:val="0"/>
      <w:marBottom w:val="0"/>
      <w:divBdr>
        <w:top w:val="none" w:sz="0" w:space="0" w:color="auto"/>
        <w:left w:val="none" w:sz="0" w:space="0" w:color="auto"/>
        <w:bottom w:val="none" w:sz="0" w:space="0" w:color="auto"/>
        <w:right w:val="none" w:sz="0" w:space="0" w:color="auto"/>
      </w:divBdr>
    </w:div>
    <w:div w:id="1023359988">
      <w:bodyDiv w:val="1"/>
      <w:marLeft w:val="0"/>
      <w:marRight w:val="0"/>
      <w:marTop w:val="0"/>
      <w:marBottom w:val="0"/>
      <w:divBdr>
        <w:top w:val="none" w:sz="0" w:space="0" w:color="auto"/>
        <w:left w:val="none" w:sz="0" w:space="0" w:color="auto"/>
        <w:bottom w:val="none" w:sz="0" w:space="0" w:color="auto"/>
        <w:right w:val="none" w:sz="0" w:space="0" w:color="auto"/>
      </w:divBdr>
    </w:div>
    <w:div w:id="1358003307">
      <w:bodyDiv w:val="1"/>
      <w:marLeft w:val="0"/>
      <w:marRight w:val="0"/>
      <w:marTop w:val="0"/>
      <w:marBottom w:val="0"/>
      <w:divBdr>
        <w:top w:val="none" w:sz="0" w:space="0" w:color="auto"/>
        <w:left w:val="none" w:sz="0" w:space="0" w:color="auto"/>
        <w:bottom w:val="none" w:sz="0" w:space="0" w:color="auto"/>
        <w:right w:val="none" w:sz="0" w:space="0" w:color="auto"/>
      </w:divBdr>
    </w:div>
    <w:div w:id="1827895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oc_details.jsp?meeting_id=67786&amp;doc_id=5869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F000A-20EB-4EC4-91F5-CD5D28183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2589</Words>
  <Characters>15140</Characters>
  <Application>Microsoft Office Word</Application>
  <DocSecurity>0</DocSecurity>
  <Lines>560</Lines>
  <Paragraphs>242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SESSIONS/2023/5</vt:lpstr>
      <vt:lpstr>SESSIONS/2023/5</vt:lpstr>
    </vt:vector>
  </TitlesOfParts>
  <Company>UPOV</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SESSIONS/2023/5</dc:title>
  <dc:creator>SANCHEZ VIZCAINO GOMEZ Rosa Maria</dc:creator>
  <cp:lastModifiedBy>SANCHEZ VIZCAINO GOMEZ Rosa Maria</cp:lastModifiedBy>
  <cp:revision>2</cp:revision>
  <cp:lastPrinted>2023-10-06T08:53:00Z</cp:lastPrinted>
  <dcterms:created xsi:type="dcterms:W3CDTF">2023-10-10T17:17:00Z</dcterms:created>
  <dcterms:modified xsi:type="dcterms:W3CDTF">2023-10-10T17:17:00Z</dcterms:modified>
</cp:coreProperties>
</file>