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15429" w:rsidTr="00EB4E9C">
        <w:tc>
          <w:tcPr>
            <w:tcW w:w="6522" w:type="dxa"/>
          </w:tcPr>
          <w:p w:rsidR="00DC3802" w:rsidRPr="00D15429" w:rsidRDefault="00DC3802" w:rsidP="00AC2883">
            <w:r w:rsidRPr="00D15429">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15429" w:rsidRDefault="00DC3802" w:rsidP="00AC2883">
            <w:pPr>
              <w:pStyle w:val="Lettrine"/>
            </w:pPr>
            <w:r w:rsidRPr="00D15429">
              <w:t>E</w:t>
            </w:r>
          </w:p>
        </w:tc>
      </w:tr>
      <w:tr w:rsidR="00DC3802" w:rsidRPr="00D15429" w:rsidTr="00645CA8">
        <w:trPr>
          <w:trHeight w:val="219"/>
        </w:trPr>
        <w:tc>
          <w:tcPr>
            <w:tcW w:w="6522" w:type="dxa"/>
          </w:tcPr>
          <w:p w:rsidR="00DC3802" w:rsidRPr="00D15429" w:rsidRDefault="00DC3802" w:rsidP="00AC2883">
            <w:pPr>
              <w:pStyle w:val="upove"/>
            </w:pPr>
            <w:r w:rsidRPr="00D15429">
              <w:t>International Union for the Protection of New Varieties of Plants</w:t>
            </w:r>
          </w:p>
        </w:tc>
        <w:tc>
          <w:tcPr>
            <w:tcW w:w="3117" w:type="dxa"/>
          </w:tcPr>
          <w:p w:rsidR="00DC3802" w:rsidRPr="00D15429" w:rsidRDefault="00DC3802" w:rsidP="00DA4973"/>
        </w:tc>
      </w:tr>
    </w:tbl>
    <w:p w:rsidR="00DC3802" w:rsidRPr="00D15429" w:rsidRDefault="00DC3802" w:rsidP="00DC3802"/>
    <w:p w:rsidR="00D70E65" w:rsidRPr="00D15429"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15429" w:rsidTr="00EB4E9C">
        <w:tc>
          <w:tcPr>
            <w:tcW w:w="6512" w:type="dxa"/>
          </w:tcPr>
          <w:p w:rsidR="00EB4E9C" w:rsidRPr="00D15429" w:rsidRDefault="00B622E6" w:rsidP="00AC2883">
            <w:pPr>
              <w:pStyle w:val="Sessiontc"/>
              <w:spacing w:line="240" w:lineRule="auto"/>
            </w:pPr>
            <w:r w:rsidRPr="00D15429">
              <w:t>Administrative and Legal</w:t>
            </w:r>
            <w:r w:rsidR="00EB4E9C" w:rsidRPr="00D15429">
              <w:t xml:space="preserve"> Committee</w:t>
            </w:r>
          </w:p>
          <w:p w:rsidR="00EB4E9C" w:rsidRPr="00D15429" w:rsidRDefault="00B622E6" w:rsidP="003A5AAF">
            <w:pPr>
              <w:pStyle w:val="Sessiontcplacedate"/>
              <w:rPr>
                <w:sz w:val="22"/>
              </w:rPr>
            </w:pPr>
            <w:r w:rsidRPr="00D15429">
              <w:t>Seventy-</w:t>
            </w:r>
            <w:r w:rsidR="003A5AAF" w:rsidRPr="00D15429">
              <w:t>Eigh</w:t>
            </w:r>
            <w:r w:rsidR="00110BED" w:rsidRPr="00D15429">
              <w:t>th</w:t>
            </w:r>
            <w:r w:rsidR="00EB4E9C" w:rsidRPr="00D15429">
              <w:t xml:space="preserve"> Session</w:t>
            </w:r>
            <w:r w:rsidR="00EB4E9C" w:rsidRPr="00D15429">
              <w:br/>
              <w:t xml:space="preserve">Geneva, </w:t>
            </w:r>
            <w:r w:rsidRPr="00D15429">
              <w:t xml:space="preserve">October </w:t>
            </w:r>
            <w:r w:rsidR="00E559F0" w:rsidRPr="00D15429">
              <w:t>2</w:t>
            </w:r>
            <w:r w:rsidR="003A5AAF" w:rsidRPr="00D15429">
              <w:t>7</w:t>
            </w:r>
            <w:r w:rsidR="00F31412" w:rsidRPr="00D15429">
              <w:t xml:space="preserve">, </w:t>
            </w:r>
            <w:r w:rsidR="003A5AAF" w:rsidRPr="00D15429">
              <w:t>2021</w:t>
            </w:r>
          </w:p>
        </w:tc>
        <w:tc>
          <w:tcPr>
            <w:tcW w:w="3127" w:type="dxa"/>
          </w:tcPr>
          <w:p w:rsidR="00EB4E9C" w:rsidRPr="00D15429" w:rsidRDefault="00FC0275" w:rsidP="003C7FBE">
            <w:pPr>
              <w:pStyle w:val="Doccode"/>
            </w:pPr>
            <w:r w:rsidRPr="00D15429">
              <w:t>CAJ/78/9</w:t>
            </w:r>
          </w:p>
          <w:p w:rsidR="00EB4E9C" w:rsidRPr="00D15429" w:rsidRDefault="00EB4E9C" w:rsidP="003C7FBE">
            <w:pPr>
              <w:pStyle w:val="Docoriginal"/>
            </w:pPr>
            <w:r w:rsidRPr="00D15429">
              <w:t>Original:</w:t>
            </w:r>
            <w:r w:rsidRPr="00D15429">
              <w:rPr>
                <w:b w:val="0"/>
                <w:spacing w:val="0"/>
              </w:rPr>
              <w:t xml:space="preserve">  English</w:t>
            </w:r>
          </w:p>
          <w:p w:rsidR="00EB4E9C" w:rsidRPr="00D15429" w:rsidRDefault="00EB4E9C" w:rsidP="000644A1">
            <w:pPr>
              <w:pStyle w:val="Docoriginal"/>
            </w:pPr>
            <w:r w:rsidRPr="00D15429">
              <w:t>Date:</w:t>
            </w:r>
            <w:r w:rsidRPr="00D15429">
              <w:rPr>
                <w:b w:val="0"/>
                <w:spacing w:val="0"/>
              </w:rPr>
              <w:t xml:space="preserve">  </w:t>
            </w:r>
            <w:r w:rsidR="003D5795" w:rsidRPr="00916DBF">
              <w:rPr>
                <w:b w:val="0"/>
                <w:spacing w:val="0"/>
              </w:rPr>
              <w:t xml:space="preserve">September </w:t>
            </w:r>
            <w:r w:rsidR="00F275C8" w:rsidRPr="00916DBF">
              <w:rPr>
                <w:b w:val="0"/>
                <w:spacing w:val="0"/>
              </w:rPr>
              <w:t>13</w:t>
            </w:r>
            <w:r w:rsidRPr="00916DBF">
              <w:rPr>
                <w:b w:val="0"/>
                <w:spacing w:val="0"/>
              </w:rPr>
              <w:t xml:space="preserve">, </w:t>
            </w:r>
            <w:r w:rsidR="00DF7E87" w:rsidRPr="00916DBF">
              <w:rPr>
                <w:b w:val="0"/>
                <w:spacing w:val="0"/>
              </w:rPr>
              <w:t>202</w:t>
            </w:r>
            <w:r w:rsidR="00DF7E87">
              <w:rPr>
                <w:b w:val="0"/>
                <w:spacing w:val="0"/>
              </w:rPr>
              <w:t>1</w:t>
            </w:r>
          </w:p>
        </w:tc>
      </w:tr>
    </w:tbl>
    <w:p w:rsidR="000D7780" w:rsidRPr="00D15429" w:rsidRDefault="00FC0275" w:rsidP="006A644A">
      <w:pPr>
        <w:pStyle w:val="Titleofdoc0"/>
      </w:pPr>
      <w:bookmarkStart w:id="0" w:name="TitleOfDoc"/>
      <w:bookmarkEnd w:id="0"/>
      <w:r w:rsidRPr="00D15429">
        <w:t>Measures to enhance cooperation in examination</w:t>
      </w:r>
    </w:p>
    <w:p w:rsidR="006A644A" w:rsidRPr="00D15429" w:rsidRDefault="00AE0EF1" w:rsidP="006A644A">
      <w:pPr>
        <w:pStyle w:val="preparedby1"/>
        <w:jc w:val="left"/>
      </w:pPr>
      <w:bookmarkStart w:id="1" w:name="Prepared"/>
      <w:bookmarkEnd w:id="1"/>
      <w:r w:rsidRPr="00D15429">
        <w:t xml:space="preserve">Document </w:t>
      </w:r>
      <w:r w:rsidR="0061555F" w:rsidRPr="00D15429">
        <w:t>prepared by the Office of the Union</w:t>
      </w:r>
    </w:p>
    <w:p w:rsidR="00050E16" w:rsidRPr="00D15429" w:rsidRDefault="00050E16" w:rsidP="006A644A">
      <w:pPr>
        <w:pStyle w:val="Disclaimer"/>
      </w:pPr>
      <w:r w:rsidRPr="00D15429">
        <w:t>Disclaimer:  this document does not represent UPOV policies or guidance</w:t>
      </w:r>
    </w:p>
    <w:p w:rsidR="00613611" w:rsidRPr="00D15429" w:rsidRDefault="00613611" w:rsidP="00613611">
      <w:pPr>
        <w:pStyle w:val="Heading1"/>
      </w:pPr>
      <w:bookmarkStart w:id="2" w:name="_Toc20505077"/>
      <w:bookmarkStart w:id="3" w:name="_Toc82009360"/>
      <w:r w:rsidRPr="00D15429">
        <w:t>EXECUTIVE SUMMARY</w:t>
      </w:r>
      <w:bookmarkEnd w:id="2"/>
      <w:bookmarkEnd w:id="3"/>
    </w:p>
    <w:p w:rsidR="00613611" w:rsidRPr="00D15429" w:rsidRDefault="00613611" w:rsidP="00613611">
      <w:pPr>
        <w:rPr>
          <w:color w:val="000000"/>
        </w:rPr>
      </w:pPr>
    </w:p>
    <w:p w:rsidR="00FD75AD" w:rsidRPr="00D15429" w:rsidRDefault="00613611" w:rsidP="00291C08">
      <w:pPr>
        <w:rPr>
          <w:spacing w:val="-4"/>
        </w:rPr>
      </w:pPr>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t xml:space="preserve">The purpose of this document </w:t>
      </w:r>
      <w:r w:rsidR="00FD75AD" w:rsidRPr="00D15429">
        <w:rPr>
          <w:color w:val="000000"/>
        </w:rPr>
        <w:t xml:space="preserve">is to present possible measures </w:t>
      </w:r>
      <w:r w:rsidR="00CE7077" w:rsidRPr="00D15429">
        <w:rPr>
          <w:color w:val="000000"/>
        </w:rPr>
        <w:t xml:space="preserve">to address </w:t>
      </w:r>
      <w:r w:rsidR="00FD75AD" w:rsidRPr="00D15429">
        <w:rPr>
          <w:spacing w:val="-4"/>
        </w:rPr>
        <w:t>policy or legal barriers identified by the Technical Committee (TC) as preventing international cooperation in DUS examination</w:t>
      </w:r>
      <w:r w:rsidR="00CE7077" w:rsidRPr="00D15429">
        <w:rPr>
          <w:spacing w:val="-4"/>
        </w:rPr>
        <w:t>.</w:t>
      </w:r>
      <w:r w:rsidR="00FD75AD" w:rsidRPr="00D15429">
        <w:rPr>
          <w:spacing w:val="-4"/>
        </w:rPr>
        <w:t xml:space="preserve"> </w:t>
      </w:r>
    </w:p>
    <w:p w:rsidR="00CE7077" w:rsidRPr="00D15429" w:rsidRDefault="00CE7077" w:rsidP="00291C08">
      <w:pPr>
        <w:rPr>
          <w:spacing w:val="-4"/>
        </w:rPr>
      </w:pPr>
    </w:p>
    <w:p w:rsidR="00D85D17" w:rsidRPr="00D85D17" w:rsidRDefault="00D85D17" w:rsidP="00291C08">
      <w:pPr>
        <w:keepNext/>
        <w:keepLines/>
        <w:tabs>
          <w:tab w:val="left" w:pos="567"/>
          <w:tab w:val="left" w:pos="1134"/>
          <w:tab w:val="left" w:pos="5387"/>
          <w:tab w:val="left" w:pos="5954"/>
        </w:tabs>
        <w:rPr>
          <w:spacing w:val="-4"/>
        </w:rPr>
      </w:pPr>
      <w:r w:rsidRPr="00D85D17">
        <w:rPr>
          <w:snapToGrid w:val="0"/>
        </w:rPr>
        <w:fldChar w:fldCharType="begin"/>
      </w:r>
      <w:r w:rsidRPr="00D85D17">
        <w:rPr>
          <w:snapToGrid w:val="0"/>
        </w:rPr>
        <w:instrText xml:space="preserve"> AUTONUM  </w:instrText>
      </w:r>
      <w:r w:rsidRPr="00D85D17">
        <w:rPr>
          <w:snapToGrid w:val="0"/>
        </w:rPr>
        <w:fldChar w:fldCharType="end"/>
      </w:r>
      <w:r w:rsidRPr="00D85D17">
        <w:rPr>
          <w:snapToGrid w:val="0"/>
        </w:rPr>
        <w:tab/>
        <w:t xml:space="preserve">The CAJ is invited to consider the following measures </w:t>
      </w:r>
      <w:r w:rsidRPr="00D85D17">
        <w:rPr>
          <w:spacing w:val="-4"/>
        </w:rPr>
        <w:t>to address policy or legal barriers that the TC had identified as preventing international cooperation in DUS examination:</w:t>
      </w:r>
    </w:p>
    <w:p w:rsidR="00D85D17" w:rsidRPr="00D85D17" w:rsidRDefault="00D85D17" w:rsidP="00291C08">
      <w:pPr>
        <w:keepNext/>
        <w:keepLines/>
        <w:tabs>
          <w:tab w:val="left" w:pos="567"/>
          <w:tab w:val="left" w:pos="1134"/>
          <w:tab w:val="left" w:pos="5387"/>
          <w:tab w:val="left" w:pos="5954"/>
        </w:tabs>
        <w:rPr>
          <w:spacing w:val="-4"/>
        </w:rPr>
      </w:pPr>
    </w:p>
    <w:p w:rsidR="00D85D17" w:rsidRPr="00D85D17" w:rsidRDefault="00F275C8" w:rsidP="00291C08">
      <w:pPr>
        <w:pStyle w:val="ListParagraph"/>
        <w:keepNext/>
        <w:keepLines/>
        <w:numPr>
          <w:ilvl w:val="0"/>
          <w:numId w:val="11"/>
        </w:numPr>
        <w:tabs>
          <w:tab w:val="left" w:pos="567"/>
          <w:tab w:val="left" w:pos="1134"/>
          <w:tab w:val="left" w:pos="5387"/>
          <w:tab w:val="left" w:pos="5954"/>
        </w:tabs>
        <w:spacing w:after="0" w:line="240" w:lineRule="auto"/>
        <w:ind w:left="0" w:firstLine="567"/>
        <w:contextualSpacing w:val="0"/>
        <w:jc w:val="both"/>
        <w:rPr>
          <w:snapToGrid w:val="0"/>
        </w:rPr>
      </w:pPr>
      <w:r>
        <w:t>s</w:t>
      </w:r>
      <w:r w:rsidR="00D85D17" w:rsidRPr="00D85D17">
        <w:t>urvey members of the Union for information on their policies or legal barriers that could prevent international cooperation in DUS examination;</w:t>
      </w:r>
    </w:p>
    <w:p w:rsidR="00D85D17" w:rsidRPr="00E46E29" w:rsidRDefault="00D85D17" w:rsidP="00291C08">
      <w:pPr>
        <w:pStyle w:val="ListParagraph"/>
        <w:keepNext/>
        <w:keepLines/>
        <w:tabs>
          <w:tab w:val="left" w:pos="567"/>
          <w:tab w:val="left" w:pos="1134"/>
          <w:tab w:val="left" w:pos="5387"/>
          <w:tab w:val="left" w:pos="5954"/>
        </w:tabs>
        <w:spacing w:after="0" w:line="240" w:lineRule="auto"/>
        <w:ind w:left="0"/>
        <w:contextualSpacing w:val="0"/>
        <w:jc w:val="both"/>
        <w:rPr>
          <w:snapToGrid w:val="0"/>
        </w:rPr>
      </w:pPr>
    </w:p>
    <w:p w:rsidR="00D85D17" w:rsidRPr="00D85D17" w:rsidRDefault="00F275C8" w:rsidP="00291C08">
      <w:pPr>
        <w:pStyle w:val="ListParagraph"/>
        <w:keepNext/>
        <w:keepLines/>
        <w:numPr>
          <w:ilvl w:val="0"/>
          <w:numId w:val="11"/>
        </w:numPr>
        <w:tabs>
          <w:tab w:val="left" w:pos="567"/>
          <w:tab w:val="left" w:pos="1134"/>
          <w:tab w:val="left" w:pos="5387"/>
          <w:tab w:val="left" w:pos="5954"/>
        </w:tabs>
        <w:spacing w:after="0" w:line="240" w:lineRule="auto"/>
        <w:ind w:left="0" w:firstLine="567"/>
        <w:contextualSpacing w:val="0"/>
        <w:jc w:val="both"/>
        <w:rPr>
          <w:snapToGrid w:val="0"/>
        </w:rPr>
      </w:pPr>
      <w:r>
        <w:rPr>
          <w:spacing w:val="-4"/>
        </w:rPr>
        <w:t>d</w:t>
      </w:r>
      <w:r w:rsidR="00D85D17" w:rsidRPr="00D85D17">
        <w:rPr>
          <w:spacing w:val="-4"/>
        </w:rPr>
        <w:t xml:space="preserve">evelop explanatory notes to Article 12 of the UPOV Convention (“Examination of the Application”); </w:t>
      </w:r>
      <w:r w:rsidR="00363EE0">
        <w:rPr>
          <w:spacing w:val="-4"/>
        </w:rPr>
        <w:t xml:space="preserve"> </w:t>
      </w:r>
      <w:r w:rsidR="00D85D17" w:rsidRPr="00D85D17">
        <w:rPr>
          <w:spacing w:val="-4"/>
        </w:rPr>
        <w:t>and</w:t>
      </w:r>
    </w:p>
    <w:p w:rsidR="00D85D17" w:rsidRPr="00E46E29" w:rsidRDefault="00D85D17" w:rsidP="00291C08">
      <w:pPr>
        <w:pStyle w:val="ListParagraph"/>
        <w:keepNext/>
        <w:keepLines/>
        <w:tabs>
          <w:tab w:val="left" w:pos="567"/>
          <w:tab w:val="left" w:pos="1134"/>
          <w:tab w:val="left" w:pos="5387"/>
          <w:tab w:val="left" w:pos="5954"/>
        </w:tabs>
        <w:spacing w:after="0" w:line="240" w:lineRule="auto"/>
        <w:ind w:left="0"/>
        <w:contextualSpacing w:val="0"/>
        <w:jc w:val="both"/>
        <w:rPr>
          <w:snapToGrid w:val="0"/>
        </w:rPr>
      </w:pPr>
    </w:p>
    <w:p w:rsidR="00D85D17" w:rsidRPr="00A601F1" w:rsidRDefault="00D85D17" w:rsidP="00291C08">
      <w:pPr>
        <w:pStyle w:val="ListParagraph"/>
        <w:keepNext/>
        <w:keepLines/>
        <w:numPr>
          <w:ilvl w:val="0"/>
          <w:numId w:val="11"/>
        </w:numPr>
        <w:tabs>
          <w:tab w:val="left" w:pos="567"/>
          <w:tab w:val="left" w:pos="1134"/>
          <w:tab w:val="left" w:pos="5387"/>
          <w:tab w:val="left" w:pos="5954"/>
        </w:tabs>
        <w:spacing w:after="0" w:line="240" w:lineRule="auto"/>
        <w:ind w:left="0" w:firstLine="562"/>
        <w:contextualSpacing w:val="0"/>
        <w:jc w:val="both"/>
        <w:rPr>
          <w:snapToGrid w:val="0"/>
        </w:rPr>
      </w:pPr>
      <w:r w:rsidRPr="00D85D17">
        <w:rPr>
          <w:spacing w:val="-4"/>
        </w:rPr>
        <w:t>request breeders’ organizations to clarify the issues concerning the wish of breeders to use, or not to use, existing DUS reports.</w:t>
      </w:r>
    </w:p>
    <w:p w:rsidR="00CE7077" w:rsidRPr="00D15429" w:rsidRDefault="00CE7077" w:rsidP="00291C08">
      <w:pPr>
        <w:rPr>
          <w:highlight w:val="cyan"/>
        </w:rPr>
      </w:pPr>
    </w:p>
    <w:p w:rsidR="00CE7077" w:rsidRPr="00D15429" w:rsidRDefault="00CE7077" w:rsidP="00291C08">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r>
      <w:r w:rsidRPr="00D15429">
        <w:t>The structure of this document is as follows:</w:t>
      </w:r>
    </w:p>
    <w:p w:rsidR="00CE7077" w:rsidRPr="00D15429" w:rsidRDefault="00CE7077" w:rsidP="00CE7077"/>
    <w:p w:rsidR="001E4F11" w:rsidRDefault="00CE7077">
      <w:pPr>
        <w:pStyle w:val="TOC1"/>
        <w:rPr>
          <w:rFonts w:asciiTheme="minorHAnsi" w:eastAsiaTheme="minorEastAsia" w:hAnsiTheme="minorHAnsi" w:cstheme="minorBidi"/>
          <w:caps w:val="0"/>
          <w:noProof/>
          <w:sz w:val="22"/>
          <w:szCs w:val="22"/>
        </w:rPr>
      </w:pPr>
      <w:r w:rsidRPr="00D15429">
        <w:rPr>
          <w:rFonts w:eastAsia="MS Mincho" w:cs="Arial"/>
          <w:noProof/>
          <w:sz w:val="18"/>
          <w:lang w:eastAsia="ja-JP"/>
        </w:rPr>
        <w:fldChar w:fldCharType="begin"/>
      </w:r>
      <w:r w:rsidRPr="00D15429">
        <w:rPr>
          <w:rFonts w:eastAsia="MS Mincho" w:cs="Arial"/>
          <w:noProof/>
          <w:lang w:eastAsia="ja-JP"/>
        </w:rPr>
        <w:instrText xml:space="preserve"> TOC \o "1-2" \u </w:instrText>
      </w:r>
      <w:r w:rsidRPr="00D15429">
        <w:rPr>
          <w:rFonts w:eastAsia="MS Mincho" w:cs="Arial"/>
          <w:noProof/>
          <w:sz w:val="18"/>
          <w:lang w:eastAsia="ja-JP"/>
        </w:rPr>
        <w:fldChar w:fldCharType="separate"/>
      </w:r>
      <w:r w:rsidR="001E4F11">
        <w:rPr>
          <w:noProof/>
        </w:rPr>
        <w:t>EXECUTIVE SUMMARY</w:t>
      </w:r>
      <w:r w:rsidR="001E4F11">
        <w:rPr>
          <w:noProof/>
        </w:rPr>
        <w:tab/>
      </w:r>
      <w:r w:rsidR="001E4F11">
        <w:rPr>
          <w:noProof/>
        </w:rPr>
        <w:fldChar w:fldCharType="begin"/>
      </w:r>
      <w:r w:rsidR="001E4F11">
        <w:rPr>
          <w:noProof/>
        </w:rPr>
        <w:instrText xml:space="preserve"> PAGEREF _Toc82009360 \h </w:instrText>
      </w:r>
      <w:r w:rsidR="001E4F11">
        <w:rPr>
          <w:noProof/>
        </w:rPr>
      </w:r>
      <w:r w:rsidR="001E4F11">
        <w:rPr>
          <w:noProof/>
        </w:rPr>
        <w:fldChar w:fldCharType="separate"/>
      </w:r>
      <w:r w:rsidR="001E4F11">
        <w:rPr>
          <w:noProof/>
        </w:rPr>
        <w:t>1</w:t>
      </w:r>
      <w:r w:rsidR="001E4F11">
        <w:rPr>
          <w:noProof/>
        </w:rPr>
        <w:fldChar w:fldCharType="end"/>
      </w:r>
    </w:p>
    <w:p w:rsidR="001E4F11" w:rsidRDefault="001E4F11">
      <w:pPr>
        <w:pStyle w:val="TOC1"/>
        <w:rPr>
          <w:rFonts w:asciiTheme="minorHAnsi" w:eastAsiaTheme="minorEastAsia" w:hAnsiTheme="minorHAnsi" w:cstheme="minorBidi"/>
          <w:caps w:val="0"/>
          <w:noProof/>
          <w:sz w:val="22"/>
          <w:szCs w:val="22"/>
        </w:rPr>
      </w:pPr>
      <w:r w:rsidRPr="00E56665">
        <w:rPr>
          <w:noProof/>
        </w:rPr>
        <w:t>background</w:t>
      </w:r>
      <w:r>
        <w:rPr>
          <w:noProof/>
        </w:rPr>
        <w:tab/>
      </w:r>
      <w:r>
        <w:rPr>
          <w:noProof/>
        </w:rPr>
        <w:fldChar w:fldCharType="begin"/>
      </w:r>
      <w:r>
        <w:rPr>
          <w:noProof/>
        </w:rPr>
        <w:instrText xml:space="preserve"> PAGEREF _Toc82009361 \h </w:instrText>
      </w:r>
      <w:r>
        <w:rPr>
          <w:noProof/>
        </w:rPr>
      </w:r>
      <w:r>
        <w:rPr>
          <w:noProof/>
        </w:rPr>
        <w:fldChar w:fldCharType="separate"/>
      </w:r>
      <w:r>
        <w:rPr>
          <w:noProof/>
        </w:rPr>
        <w:t>1</w:t>
      </w:r>
      <w:r>
        <w:rPr>
          <w:noProof/>
        </w:rPr>
        <w:fldChar w:fldCharType="end"/>
      </w:r>
    </w:p>
    <w:p w:rsidR="001E4F11" w:rsidRDefault="001E4F11" w:rsidP="004266B7">
      <w:pPr>
        <w:pStyle w:val="TOC1"/>
        <w:jc w:val="both"/>
        <w:rPr>
          <w:rFonts w:asciiTheme="minorHAnsi" w:eastAsiaTheme="minorEastAsia" w:hAnsiTheme="minorHAnsi" w:cstheme="minorBidi"/>
          <w:caps w:val="0"/>
          <w:noProof/>
          <w:sz w:val="22"/>
          <w:szCs w:val="22"/>
        </w:rPr>
      </w:pPr>
      <w:r w:rsidRPr="00E56665">
        <w:rPr>
          <w:noProof/>
          <w:snapToGrid w:val="0"/>
        </w:rPr>
        <w:t>Possible measures to address policy OR legal barriers preventing international cooperation in DUS examination</w:t>
      </w:r>
      <w:r>
        <w:rPr>
          <w:noProof/>
        </w:rPr>
        <w:tab/>
      </w:r>
      <w:r>
        <w:rPr>
          <w:noProof/>
        </w:rPr>
        <w:fldChar w:fldCharType="begin"/>
      </w:r>
      <w:r>
        <w:rPr>
          <w:noProof/>
        </w:rPr>
        <w:instrText xml:space="preserve"> PAGEREF _Toc82009362 \h </w:instrText>
      </w:r>
      <w:r>
        <w:rPr>
          <w:noProof/>
        </w:rPr>
      </w:r>
      <w:r>
        <w:rPr>
          <w:noProof/>
        </w:rPr>
        <w:fldChar w:fldCharType="separate"/>
      </w:r>
      <w:r>
        <w:rPr>
          <w:noProof/>
        </w:rPr>
        <w:t>2</w:t>
      </w:r>
      <w:r>
        <w:rPr>
          <w:noProof/>
        </w:rPr>
        <w:fldChar w:fldCharType="end"/>
      </w:r>
    </w:p>
    <w:p w:rsidR="00CE7077" w:rsidRPr="00D15429" w:rsidRDefault="00CE7077" w:rsidP="00D15429">
      <w:pPr>
        <w:tabs>
          <w:tab w:val="left" w:pos="1134"/>
          <w:tab w:val="left" w:pos="1701"/>
        </w:tabs>
        <w:ind w:left="1134" w:hanging="1134"/>
        <w:rPr>
          <w:color w:val="000000"/>
        </w:rPr>
      </w:pPr>
      <w:r w:rsidRPr="00D15429">
        <w:rPr>
          <w:rFonts w:eastAsia="MS Mincho" w:cs="Arial"/>
          <w:bCs/>
          <w:i/>
          <w:noProof/>
          <w:lang w:eastAsia="ja-JP"/>
        </w:rPr>
        <w:fldChar w:fldCharType="end"/>
      </w:r>
      <w:r w:rsidR="004B11C2" w:rsidRPr="00D778BB">
        <w:rPr>
          <w:rFonts w:eastAsia="MS Mincho" w:cs="Arial"/>
          <w:bCs/>
          <w:noProof/>
          <w:lang w:eastAsia="ja-JP"/>
        </w:rPr>
        <w:t>ANNEX</w:t>
      </w:r>
      <w:r w:rsidR="008D0408" w:rsidRPr="00D778BB">
        <w:rPr>
          <w:rFonts w:eastAsia="MS Mincho" w:cs="Arial"/>
          <w:bCs/>
          <w:noProof/>
          <w:lang w:eastAsia="ja-JP"/>
        </w:rPr>
        <w:tab/>
      </w:r>
      <w:r w:rsidR="004B11C2" w:rsidRPr="00D778BB">
        <w:rPr>
          <w:rFonts w:eastAsia="MS Mincho" w:cs="Arial"/>
          <w:bCs/>
          <w:noProof/>
          <w:lang w:eastAsia="ja-JP"/>
        </w:rPr>
        <w:t>M</w:t>
      </w:r>
      <w:r w:rsidR="004B11C2" w:rsidRPr="00D778BB">
        <w:rPr>
          <w:spacing w:val="-4"/>
        </w:rPr>
        <w:t>EA</w:t>
      </w:r>
      <w:r w:rsidR="004B11C2" w:rsidRPr="00D15429">
        <w:rPr>
          <w:spacing w:val="-4"/>
        </w:rPr>
        <w:t>SURES AGREED BY TC TO OVERCOME BARRIERS THAT PREVENTED INTERNATIONAL COOPERATION IN DUS EXAMINATION</w:t>
      </w:r>
    </w:p>
    <w:p w:rsidR="00CE7077" w:rsidRPr="00363EE0" w:rsidRDefault="00CE7077" w:rsidP="00363EE0"/>
    <w:p w:rsidR="00613611" w:rsidRPr="00D15429" w:rsidRDefault="00613611" w:rsidP="00613611">
      <w:pPr>
        <w:keepNext/>
        <w:rPr>
          <w:color w:val="000000"/>
        </w:rPr>
      </w:pPr>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t>The following abbreviations are used in this document:</w:t>
      </w:r>
    </w:p>
    <w:p w:rsidR="00613611" w:rsidRPr="00D15429" w:rsidRDefault="00613611" w:rsidP="00613611">
      <w:pPr>
        <w:keepNext/>
        <w:ind w:left="1692" w:hanging="1125"/>
        <w:jc w:val="left"/>
        <w:rPr>
          <w:color w:val="000000"/>
        </w:rPr>
      </w:pPr>
    </w:p>
    <w:p w:rsidR="00613611" w:rsidRPr="00D15429" w:rsidRDefault="00613611" w:rsidP="00613611">
      <w:pPr>
        <w:keepNext/>
        <w:tabs>
          <w:tab w:val="left" w:pos="567"/>
          <w:tab w:val="left" w:pos="1701"/>
        </w:tabs>
      </w:pPr>
      <w:r w:rsidRPr="00D15429">
        <w:tab/>
        <w:t>CAJ:</w:t>
      </w:r>
      <w:r w:rsidRPr="00D15429">
        <w:tab/>
        <w:t xml:space="preserve">Administrative and Legal Committee </w:t>
      </w:r>
    </w:p>
    <w:p w:rsidR="00613611" w:rsidRPr="00D15429" w:rsidRDefault="00613611" w:rsidP="00613611">
      <w:pPr>
        <w:keepNext/>
        <w:tabs>
          <w:tab w:val="left" w:pos="567"/>
          <w:tab w:val="left" w:pos="1701"/>
        </w:tabs>
      </w:pPr>
      <w:r w:rsidRPr="00D15429">
        <w:tab/>
        <w:t>TC:</w:t>
      </w:r>
      <w:r w:rsidRPr="00D15429">
        <w:tab/>
        <w:t>Technical Committee</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TC-EDC:</w:t>
      </w:r>
      <w:r w:rsidRPr="00D15429">
        <w:rPr>
          <w:rFonts w:eastAsia="PMingLiU"/>
          <w:szCs w:val="24"/>
        </w:rPr>
        <w:tab/>
        <w:t>Enlarged Editorial Committee</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TWA:</w:t>
      </w:r>
      <w:r w:rsidRPr="00D15429">
        <w:rPr>
          <w:rFonts w:eastAsia="PMingLiU"/>
          <w:szCs w:val="24"/>
        </w:rPr>
        <w:tab/>
        <w:t>Technical Working Party for Agricultural Crops</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TWC:</w:t>
      </w:r>
      <w:r w:rsidRPr="00D15429">
        <w:rPr>
          <w:rFonts w:eastAsia="PMingLiU"/>
          <w:szCs w:val="24"/>
        </w:rPr>
        <w:tab/>
        <w:t>Technical Working Party on Automation and Computer Programs</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 xml:space="preserve">TWF: </w:t>
      </w:r>
      <w:r w:rsidRPr="00D15429">
        <w:rPr>
          <w:rFonts w:eastAsia="PMingLiU"/>
          <w:szCs w:val="24"/>
        </w:rPr>
        <w:tab/>
        <w:t>Technical Working Party for Fruit Crops</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TWO:</w:t>
      </w:r>
      <w:r w:rsidRPr="00D15429">
        <w:rPr>
          <w:rFonts w:eastAsia="PMingLiU"/>
          <w:szCs w:val="24"/>
        </w:rPr>
        <w:tab/>
        <w:t>Technical Working Party for Ornamental Plants and Forest Trees</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TWPs:</w:t>
      </w:r>
      <w:r w:rsidRPr="00D15429">
        <w:rPr>
          <w:rFonts w:eastAsia="PMingLiU"/>
          <w:szCs w:val="24"/>
        </w:rPr>
        <w:tab/>
        <w:t>Technical Working Parties</w:t>
      </w:r>
    </w:p>
    <w:p w:rsidR="00613611" w:rsidRPr="00D15429" w:rsidRDefault="00613611" w:rsidP="00613611">
      <w:pPr>
        <w:keepNext/>
        <w:tabs>
          <w:tab w:val="left" w:pos="567"/>
          <w:tab w:val="left" w:pos="1701"/>
        </w:tabs>
        <w:rPr>
          <w:rFonts w:eastAsia="PMingLiU"/>
          <w:szCs w:val="24"/>
        </w:rPr>
      </w:pPr>
      <w:r w:rsidRPr="00D15429">
        <w:rPr>
          <w:rFonts w:eastAsia="PMingLiU"/>
          <w:szCs w:val="24"/>
        </w:rPr>
        <w:tab/>
        <w:t>TWV:</w:t>
      </w:r>
      <w:r w:rsidRPr="00D15429">
        <w:rPr>
          <w:rFonts w:eastAsia="PMingLiU"/>
          <w:szCs w:val="24"/>
        </w:rPr>
        <w:tab/>
        <w:t>Technical Working Party for Vegetables</w:t>
      </w:r>
    </w:p>
    <w:p w:rsidR="00613611" w:rsidRPr="00363EE0" w:rsidRDefault="00613611" w:rsidP="00363EE0">
      <w:r w:rsidRPr="00363EE0">
        <w:fldChar w:fldCharType="begin"/>
      </w:r>
      <w:r w:rsidRPr="00363EE0">
        <w:instrText xml:space="preserve"> TOC \o "1-3" \h \z \u </w:instrText>
      </w:r>
      <w:r w:rsidRPr="00363EE0">
        <w:fldChar w:fldCharType="separate"/>
      </w:r>
    </w:p>
    <w:p w:rsidR="00613611" w:rsidRDefault="00613611" w:rsidP="00363EE0">
      <w:r w:rsidRPr="00363EE0">
        <w:fldChar w:fldCharType="end"/>
      </w:r>
    </w:p>
    <w:p w:rsidR="00291C08" w:rsidRPr="00363EE0" w:rsidRDefault="00291C08" w:rsidP="00363EE0"/>
    <w:p w:rsidR="003D5795" w:rsidRPr="00D15429" w:rsidRDefault="00CE7077" w:rsidP="00CE7077">
      <w:pPr>
        <w:keepNext/>
        <w:outlineLvl w:val="0"/>
        <w:rPr>
          <w:snapToGrid w:val="0"/>
        </w:rPr>
      </w:pPr>
      <w:bookmarkStart w:id="4" w:name="_Toc82009361"/>
      <w:r w:rsidRPr="00D15429">
        <w:rPr>
          <w:caps/>
        </w:rPr>
        <w:lastRenderedPageBreak/>
        <w:t>background</w:t>
      </w:r>
      <w:bookmarkEnd w:id="4"/>
    </w:p>
    <w:p w:rsidR="00744F49" w:rsidRPr="00D15429" w:rsidRDefault="00744F49" w:rsidP="00744F49">
      <w:pPr>
        <w:keepNext/>
        <w:rPr>
          <w:u w:val="single"/>
        </w:rPr>
      </w:pPr>
    </w:p>
    <w:p w:rsidR="00744F49" w:rsidRPr="00D15429" w:rsidRDefault="00744F49" w:rsidP="00291C08">
      <w:r w:rsidRPr="00D15429">
        <w:fldChar w:fldCharType="begin"/>
      </w:r>
      <w:r w:rsidRPr="00D15429">
        <w:instrText xml:space="preserve"> AUTONUM  </w:instrText>
      </w:r>
      <w:r w:rsidRPr="00D15429">
        <w:fldChar w:fldCharType="end"/>
      </w:r>
      <w:r w:rsidRPr="00D15429">
        <w:tab/>
        <w:t>The CAJ, at its seventy-seventh session</w:t>
      </w:r>
      <w:r w:rsidRPr="00D15429">
        <w:rPr>
          <w:rStyle w:val="FootnoteReference"/>
        </w:rPr>
        <w:footnoteReference w:id="2"/>
      </w:r>
      <w:r w:rsidRPr="00D15429">
        <w:t>, noted the information in document CAJ/77/2 and in the oral report by Mr. Nik Hulse, Chair of the TC</w:t>
      </w:r>
      <w:r w:rsidR="008D0408" w:rsidRPr="00D15429">
        <w:t xml:space="preserve"> (see document CAJ/77/10 “Report”, paragraphs 11 to 15)</w:t>
      </w:r>
      <w:r w:rsidR="007F2DF7" w:rsidRPr="00D15429">
        <w:t>.</w:t>
      </w:r>
    </w:p>
    <w:p w:rsidR="00744F49" w:rsidRPr="00D15429" w:rsidRDefault="00744F49" w:rsidP="00291C08">
      <w:pPr>
        <w:rPr>
          <w:spacing w:val="-4"/>
        </w:rPr>
      </w:pPr>
    </w:p>
    <w:p w:rsidR="00744F49" w:rsidRPr="00D15429" w:rsidRDefault="00744F49" w:rsidP="00291C08">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sidRPr="00D15429">
        <w:rPr>
          <w:spacing w:val="-4"/>
        </w:rPr>
        <w:tab/>
        <w:t>The CAJ noted th</w:t>
      </w:r>
      <w:r w:rsidRPr="00916DBF">
        <w:rPr>
          <w:spacing w:val="-4"/>
        </w:rPr>
        <w:t xml:space="preserve">e measures agreed by </w:t>
      </w:r>
      <w:r w:rsidR="00AC714F" w:rsidRPr="00916DBF">
        <w:rPr>
          <w:spacing w:val="-4"/>
        </w:rPr>
        <w:t xml:space="preserve">the </w:t>
      </w:r>
      <w:r w:rsidRPr="00916DBF">
        <w:rPr>
          <w:spacing w:val="-4"/>
        </w:rPr>
        <w:t xml:space="preserve">TC to overcome barriers that prevented international </w:t>
      </w:r>
      <w:r w:rsidR="008D0408" w:rsidRPr="00916DBF">
        <w:rPr>
          <w:spacing w:val="-4"/>
        </w:rPr>
        <w:t xml:space="preserve">cooperation in DUS examination </w:t>
      </w:r>
      <w:r w:rsidR="008D0408" w:rsidRPr="00916DBF">
        <w:t>(see Annex to this document).</w:t>
      </w:r>
    </w:p>
    <w:p w:rsidR="00744F49" w:rsidRPr="00D15429" w:rsidRDefault="00744F49" w:rsidP="00291C08">
      <w:pPr>
        <w:rPr>
          <w:spacing w:val="-4"/>
        </w:rPr>
      </w:pPr>
    </w:p>
    <w:p w:rsidR="00744F49" w:rsidRPr="00D15429" w:rsidRDefault="00744F49" w:rsidP="00291C08">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sidRPr="00D15429">
        <w:rPr>
          <w:spacing w:val="-4"/>
        </w:rPr>
        <w:tab/>
        <w:t xml:space="preserve">In response to the request of the TC, the CAJ requested the Office of the Union to prepare a document for consideration, </w:t>
      </w:r>
      <w:r w:rsidRPr="00D15429">
        <w:t xml:space="preserve">at </w:t>
      </w:r>
      <w:r w:rsidRPr="00D15429">
        <w:rPr>
          <w:spacing w:val="-4"/>
        </w:rPr>
        <w:t xml:space="preserve">its seventy-eighth session, concerning the following policy or legal barriers that the TC had identified as preventing international cooperation in DUS examination and possible measures to address those barriers: </w:t>
      </w:r>
    </w:p>
    <w:p w:rsidR="00744F49" w:rsidRPr="00D15429" w:rsidRDefault="00744F49" w:rsidP="00291C08">
      <w:pPr>
        <w:rPr>
          <w:spacing w:val="-4"/>
        </w:rPr>
      </w:pPr>
    </w:p>
    <w:p w:rsidR="00744F49" w:rsidRPr="00D15429" w:rsidRDefault="00744F49" w:rsidP="00291C08">
      <w:pPr>
        <w:tabs>
          <w:tab w:val="left" w:pos="1134"/>
        </w:tabs>
        <w:spacing w:after="120"/>
        <w:ind w:left="562"/>
        <w:rPr>
          <w:spacing w:val="-4"/>
        </w:rPr>
      </w:pPr>
      <w:r w:rsidRPr="00D15429">
        <w:rPr>
          <w:spacing w:val="-4"/>
        </w:rPr>
        <w:t>(i)</w:t>
      </w:r>
      <w:r w:rsidRPr="00D15429">
        <w:rPr>
          <w:spacing w:val="-4"/>
        </w:rPr>
        <w:tab/>
        <w:t>Requirement of formal agreement for cooperation;</w:t>
      </w:r>
    </w:p>
    <w:p w:rsidR="00744F49" w:rsidRPr="00D15429" w:rsidRDefault="00744F49" w:rsidP="00291C08">
      <w:pPr>
        <w:tabs>
          <w:tab w:val="left" w:pos="1134"/>
        </w:tabs>
        <w:spacing w:after="120"/>
        <w:ind w:left="562"/>
        <w:rPr>
          <w:spacing w:val="-4"/>
        </w:rPr>
      </w:pPr>
      <w:r w:rsidRPr="00D15429">
        <w:rPr>
          <w:spacing w:val="-4"/>
        </w:rPr>
        <w:t>(ii)</w:t>
      </w:r>
      <w:r w:rsidRPr="00D15429">
        <w:rPr>
          <w:spacing w:val="-4"/>
        </w:rPr>
        <w:tab/>
        <w:t>Obligation for DUS examination to be conducted by the authority granting the rights;</w:t>
      </w:r>
    </w:p>
    <w:p w:rsidR="00744F49" w:rsidRPr="00D15429" w:rsidRDefault="00744F49" w:rsidP="00291C08">
      <w:pPr>
        <w:tabs>
          <w:tab w:val="left" w:pos="1134"/>
        </w:tabs>
        <w:spacing w:after="120"/>
        <w:ind w:left="562"/>
        <w:rPr>
          <w:spacing w:val="-4"/>
        </w:rPr>
      </w:pPr>
      <w:r w:rsidRPr="00D15429">
        <w:rPr>
          <w:spacing w:val="-4"/>
        </w:rPr>
        <w:t>(iii)</w:t>
      </w:r>
      <w:r w:rsidRPr="00D15429">
        <w:rPr>
          <w:spacing w:val="-4"/>
        </w:rPr>
        <w:tab/>
        <w:t>Non-acceptance of breeder-based DUS test reports;</w:t>
      </w:r>
    </w:p>
    <w:p w:rsidR="00744F49" w:rsidRPr="00D15429" w:rsidRDefault="00744F49" w:rsidP="00291C08">
      <w:pPr>
        <w:tabs>
          <w:tab w:val="left" w:pos="1134"/>
        </w:tabs>
        <w:spacing w:after="120"/>
        <w:ind w:left="562"/>
        <w:rPr>
          <w:spacing w:val="-4"/>
        </w:rPr>
      </w:pPr>
      <w:r w:rsidRPr="00D15429">
        <w:rPr>
          <w:spacing w:val="-4"/>
        </w:rPr>
        <w:t>(iv)</w:t>
      </w:r>
      <w:r w:rsidRPr="00D15429">
        <w:rPr>
          <w:spacing w:val="-4"/>
        </w:rPr>
        <w:tab/>
        <w:t>Wish from breeders to use (or not) existing DUS reports</w:t>
      </w:r>
      <w:r w:rsidR="004266B7">
        <w:rPr>
          <w:spacing w:val="-4"/>
        </w:rPr>
        <w:t>.</w:t>
      </w:r>
      <w:r w:rsidR="004266B7" w:rsidRPr="00D15429">
        <w:rPr>
          <w:spacing w:val="-4"/>
        </w:rPr>
        <w:t xml:space="preserve"> </w:t>
      </w:r>
    </w:p>
    <w:p w:rsidR="00AC714F" w:rsidRPr="00291C08" w:rsidRDefault="00AC714F" w:rsidP="00C67998">
      <w:pPr>
        <w:rPr>
          <w:snapToGrid w:val="0"/>
          <w:sz w:val="12"/>
        </w:rPr>
      </w:pPr>
    </w:p>
    <w:p w:rsidR="00363EE0" w:rsidRDefault="00363EE0" w:rsidP="00C67998">
      <w:pPr>
        <w:rPr>
          <w:snapToGrid w:val="0"/>
        </w:rPr>
      </w:pPr>
    </w:p>
    <w:p w:rsidR="00A0267C" w:rsidRPr="00D15429" w:rsidRDefault="00A0267C" w:rsidP="00C67998">
      <w:pPr>
        <w:rPr>
          <w:snapToGrid w:val="0"/>
        </w:rPr>
      </w:pPr>
    </w:p>
    <w:p w:rsidR="001C0E54" w:rsidRPr="00D15429" w:rsidRDefault="001C0E54" w:rsidP="00866E41">
      <w:pPr>
        <w:pStyle w:val="Heading1"/>
        <w:rPr>
          <w:snapToGrid w:val="0"/>
        </w:rPr>
      </w:pPr>
      <w:bookmarkStart w:id="5" w:name="_Toc82009362"/>
      <w:r w:rsidRPr="00D15429">
        <w:rPr>
          <w:snapToGrid w:val="0"/>
        </w:rPr>
        <w:t xml:space="preserve">Possible measures to address policy </w:t>
      </w:r>
      <w:r w:rsidR="00AF0EEF" w:rsidRPr="00D15429">
        <w:rPr>
          <w:snapToGrid w:val="0"/>
        </w:rPr>
        <w:t>OR</w:t>
      </w:r>
      <w:r w:rsidRPr="00D15429">
        <w:rPr>
          <w:snapToGrid w:val="0"/>
        </w:rPr>
        <w:t xml:space="preserve"> legal barriers preventing international cooperation in DUS examination</w:t>
      </w:r>
      <w:bookmarkEnd w:id="5"/>
    </w:p>
    <w:p w:rsidR="00624A2F" w:rsidRDefault="00624A2F" w:rsidP="000644A1">
      <w:pPr>
        <w:rPr>
          <w:snapToGrid w:val="0"/>
          <w:spacing w:val="-4"/>
          <w:u w:val="single"/>
        </w:rPr>
      </w:pPr>
    </w:p>
    <w:p w:rsidR="00A96442" w:rsidRPr="00A0267C" w:rsidRDefault="001C0E54" w:rsidP="00291C08">
      <w:pPr>
        <w:rPr>
          <w:spacing w:val="-4"/>
        </w:rPr>
      </w:pPr>
      <w:r w:rsidRPr="001E4F11">
        <w:rPr>
          <w:spacing w:val="-4"/>
        </w:rPr>
        <w:fldChar w:fldCharType="begin"/>
      </w:r>
      <w:r w:rsidRPr="001E4F11">
        <w:rPr>
          <w:spacing w:val="-4"/>
        </w:rPr>
        <w:instrText xml:space="preserve"> AUTONUM  </w:instrText>
      </w:r>
      <w:r w:rsidRPr="001E4F11">
        <w:rPr>
          <w:spacing w:val="-4"/>
        </w:rPr>
        <w:fldChar w:fldCharType="end"/>
      </w:r>
      <w:r w:rsidRPr="001E4F11">
        <w:rPr>
          <w:spacing w:val="-4"/>
        </w:rPr>
        <w:tab/>
      </w:r>
      <w:r w:rsidR="008E40A2" w:rsidRPr="001E4F11">
        <w:rPr>
          <w:spacing w:val="-4"/>
        </w:rPr>
        <w:t>The following are possible measures</w:t>
      </w:r>
      <w:r w:rsidR="00FA0365">
        <w:rPr>
          <w:spacing w:val="-4"/>
        </w:rPr>
        <w:t>,</w:t>
      </w:r>
      <w:r w:rsidR="008E40A2" w:rsidRPr="001E4F11">
        <w:rPr>
          <w:spacing w:val="-4"/>
        </w:rPr>
        <w:t xml:space="preserve"> to </w:t>
      </w:r>
      <w:r w:rsidR="00CD5968" w:rsidRPr="001E4F11">
        <w:rPr>
          <w:spacing w:val="-4"/>
        </w:rPr>
        <w:t xml:space="preserve">address </w:t>
      </w:r>
      <w:r w:rsidR="00C67998" w:rsidRPr="001E4F11">
        <w:rPr>
          <w:spacing w:val="-4"/>
        </w:rPr>
        <w:t xml:space="preserve">the </w:t>
      </w:r>
      <w:r w:rsidR="007C1E8C" w:rsidRPr="001E4F11">
        <w:rPr>
          <w:spacing w:val="-4"/>
        </w:rPr>
        <w:t>policy or legal barriers</w:t>
      </w:r>
      <w:r w:rsidR="000644A1">
        <w:rPr>
          <w:spacing w:val="-4"/>
        </w:rPr>
        <w:t xml:space="preserve"> (i) r</w:t>
      </w:r>
      <w:r w:rsidR="007C1E8C" w:rsidRPr="00A0267C">
        <w:rPr>
          <w:spacing w:val="-4"/>
        </w:rPr>
        <w:t>equirement of f</w:t>
      </w:r>
      <w:r w:rsidR="000644A1">
        <w:rPr>
          <w:spacing w:val="-4"/>
        </w:rPr>
        <w:t xml:space="preserve">ormal agreement for cooperation; </w:t>
      </w:r>
      <w:r w:rsidR="00D778BB">
        <w:rPr>
          <w:spacing w:val="-4"/>
        </w:rPr>
        <w:t xml:space="preserve"> </w:t>
      </w:r>
      <w:r w:rsidR="000644A1">
        <w:rPr>
          <w:spacing w:val="-4"/>
        </w:rPr>
        <w:t>(ii) o</w:t>
      </w:r>
      <w:r w:rsidR="00A96442" w:rsidRPr="00D15429">
        <w:rPr>
          <w:spacing w:val="-4"/>
        </w:rPr>
        <w:t>bligation for DUS examination to be conducted by the authority granting the rights;</w:t>
      </w:r>
      <w:r w:rsidR="000644A1">
        <w:rPr>
          <w:spacing w:val="-4"/>
        </w:rPr>
        <w:t xml:space="preserve"> </w:t>
      </w:r>
      <w:r w:rsidR="00D778BB">
        <w:rPr>
          <w:spacing w:val="-4"/>
        </w:rPr>
        <w:t xml:space="preserve"> </w:t>
      </w:r>
      <w:r w:rsidR="000644A1">
        <w:rPr>
          <w:spacing w:val="-4"/>
        </w:rPr>
        <w:t>and (iii) n</w:t>
      </w:r>
      <w:r w:rsidR="00A96442" w:rsidRPr="00D15429">
        <w:rPr>
          <w:spacing w:val="-4"/>
        </w:rPr>
        <w:t>on-acceptance of breeder-based DUS test reports</w:t>
      </w:r>
      <w:r w:rsidR="000644A1">
        <w:rPr>
          <w:spacing w:val="-4"/>
        </w:rPr>
        <w:t>:</w:t>
      </w:r>
    </w:p>
    <w:p w:rsidR="008E40A2" w:rsidRDefault="008E40A2" w:rsidP="00291C08">
      <w:pPr>
        <w:tabs>
          <w:tab w:val="left" w:pos="1134"/>
        </w:tabs>
        <w:ind w:left="567"/>
        <w:rPr>
          <w:spacing w:val="-4"/>
        </w:rPr>
      </w:pPr>
    </w:p>
    <w:p w:rsidR="0004140E" w:rsidRPr="00782128" w:rsidRDefault="00F275C8" w:rsidP="00291C08">
      <w:pPr>
        <w:pStyle w:val="ListParagraph"/>
        <w:numPr>
          <w:ilvl w:val="0"/>
          <w:numId w:val="10"/>
        </w:numPr>
        <w:tabs>
          <w:tab w:val="left" w:pos="1134"/>
        </w:tabs>
        <w:spacing w:after="0" w:line="240" w:lineRule="auto"/>
        <w:contextualSpacing w:val="0"/>
        <w:jc w:val="both"/>
        <w:rPr>
          <w:spacing w:val="-4"/>
        </w:rPr>
      </w:pPr>
      <w:r>
        <w:t>s</w:t>
      </w:r>
      <w:r w:rsidR="0004140E" w:rsidRPr="00D15429">
        <w:t xml:space="preserve">urvey members </w:t>
      </w:r>
      <w:r w:rsidR="0004140E">
        <w:t xml:space="preserve">of the Union </w:t>
      </w:r>
      <w:r w:rsidR="000644A1">
        <w:t xml:space="preserve">for information on </w:t>
      </w:r>
      <w:r w:rsidR="00782128">
        <w:t xml:space="preserve">their </w:t>
      </w:r>
      <w:r w:rsidR="00FA0365">
        <w:t>p</w:t>
      </w:r>
      <w:r w:rsidR="00FA0365" w:rsidRPr="00FA0365">
        <w:t>olic</w:t>
      </w:r>
      <w:r w:rsidR="000644A1">
        <w:t>ies</w:t>
      </w:r>
      <w:r w:rsidR="00FA0365" w:rsidRPr="00FA0365">
        <w:t xml:space="preserve"> or legal </w:t>
      </w:r>
      <w:r w:rsidR="00FA0365">
        <w:t xml:space="preserve">barriers </w:t>
      </w:r>
      <w:r w:rsidR="009D2B71">
        <w:t>that</w:t>
      </w:r>
      <w:r w:rsidR="000644A1">
        <w:t xml:space="preserve"> could</w:t>
      </w:r>
      <w:r w:rsidR="009D2B71">
        <w:t xml:space="preserve"> </w:t>
      </w:r>
      <w:r w:rsidR="00FA0365">
        <w:t>prevent</w:t>
      </w:r>
      <w:r w:rsidR="00FA0365" w:rsidRPr="00FA0365">
        <w:t xml:space="preserve"> international cooperation in DUS examination</w:t>
      </w:r>
      <w:r w:rsidR="000644A1">
        <w:t xml:space="preserve">.  The survey would include a request for information on members’ </w:t>
      </w:r>
      <w:r w:rsidR="0004140E">
        <w:t>requirement</w:t>
      </w:r>
      <w:r w:rsidR="000644A1">
        <w:t>s</w:t>
      </w:r>
      <w:r w:rsidR="0004140E">
        <w:t xml:space="preserve"> for formal </w:t>
      </w:r>
      <w:r w:rsidR="0004140E" w:rsidRPr="00D15429">
        <w:t>cooperation agreements</w:t>
      </w:r>
      <w:r w:rsidR="000644A1">
        <w:t xml:space="preserve">, </w:t>
      </w:r>
      <w:r w:rsidR="0004140E" w:rsidRPr="00782128">
        <w:rPr>
          <w:spacing w:val="-4"/>
        </w:rPr>
        <w:t>o</w:t>
      </w:r>
      <w:r w:rsidR="0004140E" w:rsidRPr="00782128">
        <w:rPr>
          <w:rFonts w:eastAsia="Times New Roman" w:cs="Times New Roman"/>
          <w:spacing w:val="-4"/>
          <w:szCs w:val="20"/>
        </w:rPr>
        <w:t>bligation for DUS examination to be conducted by th</w:t>
      </w:r>
      <w:r w:rsidR="00EC03BA" w:rsidRPr="00782128">
        <w:rPr>
          <w:spacing w:val="-4"/>
        </w:rPr>
        <w:t xml:space="preserve">e authority granting the rights; and </w:t>
      </w:r>
      <w:r w:rsidR="0004140E" w:rsidRPr="00782128">
        <w:rPr>
          <w:spacing w:val="-4"/>
        </w:rPr>
        <w:t>non-acceptance of breeder-based DUS test reports.</w:t>
      </w:r>
    </w:p>
    <w:p w:rsidR="0004140E" w:rsidRPr="00087908" w:rsidRDefault="0004140E" w:rsidP="00291C08">
      <w:pPr>
        <w:pStyle w:val="ListParagraph"/>
        <w:tabs>
          <w:tab w:val="left" w:pos="1134"/>
        </w:tabs>
        <w:spacing w:after="0" w:line="240" w:lineRule="auto"/>
        <w:ind w:left="567"/>
        <w:contextualSpacing w:val="0"/>
        <w:jc w:val="both"/>
        <w:rPr>
          <w:spacing w:val="-4"/>
        </w:rPr>
      </w:pPr>
    </w:p>
    <w:p w:rsidR="00B6412B" w:rsidRDefault="00F275C8" w:rsidP="00291C08">
      <w:pPr>
        <w:pStyle w:val="ListParagraph"/>
        <w:numPr>
          <w:ilvl w:val="0"/>
          <w:numId w:val="10"/>
        </w:numPr>
        <w:tabs>
          <w:tab w:val="left" w:pos="1134"/>
        </w:tabs>
        <w:spacing w:after="0" w:line="240" w:lineRule="auto"/>
        <w:contextualSpacing w:val="0"/>
        <w:jc w:val="both"/>
        <w:rPr>
          <w:spacing w:val="-4"/>
        </w:rPr>
      </w:pPr>
      <w:r>
        <w:rPr>
          <w:spacing w:val="-4"/>
        </w:rPr>
        <w:t>d</w:t>
      </w:r>
      <w:r w:rsidR="009E390E" w:rsidRPr="00782128">
        <w:rPr>
          <w:spacing w:val="-4"/>
        </w:rPr>
        <w:t xml:space="preserve">evelop explanatory notes to Article 12 of the UPOV Convention (“Examination of the Application”).  </w:t>
      </w:r>
      <w:r w:rsidR="00782128">
        <w:rPr>
          <w:spacing w:val="-4"/>
        </w:rPr>
        <w:t xml:space="preserve">(Note:  </w:t>
      </w:r>
      <w:r w:rsidR="0004140E" w:rsidRPr="00782128">
        <w:rPr>
          <w:spacing w:val="-4"/>
        </w:rPr>
        <w:t xml:space="preserve">UPOV provides guidance on cooperation in DUS examination </w:t>
      </w:r>
      <w:r w:rsidR="004266B7" w:rsidRPr="00782128">
        <w:rPr>
          <w:spacing w:val="-4"/>
        </w:rPr>
        <w:t xml:space="preserve">in </w:t>
      </w:r>
      <w:r w:rsidR="0004140E" w:rsidRPr="00782128">
        <w:rPr>
          <w:spacing w:val="-4"/>
        </w:rPr>
        <w:t>document TGP/5, Section 1 “Model Administrative Agreement for International Cooperation in the Testing of Varieties” and Section</w:t>
      </w:r>
      <w:r w:rsidR="0013024B" w:rsidRPr="00782128">
        <w:rPr>
          <w:spacing w:val="-4"/>
        </w:rPr>
        <w:t> </w:t>
      </w:r>
      <w:r w:rsidR="0004140E" w:rsidRPr="00782128">
        <w:rPr>
          <w:spacing w:val="-4"/>
        </w:rPr>
        <w:t>5 “</w:t>
      </w:r>
      <w:r w:rsidR="0004140E" w:rsidRPr="009B0B9D">
        <w:t>UPOV Request for Examination Results and UPOV Answer to the Request for Examination Results</w:t>
      </w:r>
      <w:r w:rsidR="0004140E" w:rsidRPr="00FA0365">
        <w:t xml:space="preserve">”.  However, this guidance is not all-encompassing, is not easily accessible to non-technical experts and is not </w:t>
      </w:r>
      <w:r w:rsidR="00782128">
        <w:t>included</w:t>
      </w:r>
      <w:r w:rsidR="00782128" w:rsidRPr="00FA0365">
        <w:t xml:space="preserve"> </w:t>
      </w:r>
      <w:r w:rsidR="0004140E" w:rsidRPr="00FA0365">
        <w:t xml:space="preserve">in </w:t>
      </w:r>
      <w:r w:rsidR="0013024B" w:rsidRPr="00FA0365">
        <w:t xml:space="preserve">document </w:t>
      </w:r>
      <w:r w:rsidR="004266B7" w:rsidRPr="00FA0365">
        <w:t>UPOV/</w:t>
      </w:r>
      <w:r w:rsidR="0004140E" w:rsidRPr="00FA0365">
        <w:t>INF/6</w:t>
      </w:r>
      <w:r w:rsidR="0013024B" w:rsidRPr="00FA0365">
        <w:t xml:space="preserve"> “</w:t>
      </w:r>
      <w:r w:rsidR="007512AB" w:rsidRPr="009B0B9D">
        <w:t>Guidance for the Preparation of Laws Based on the 1991 Act of the UPOV Convention</w:t>
      </w:r>
      <w:r w:rsidR="007512AB" w:rsidRPr="00FA0365">
        <w:t>”</w:t>
      </w:r>
      <w:r w:rsidR="0004140E" w:rsidRPr="00FA0365">
        <w:t xml:space="preserve">.  Therefore, it is proposed to </w:t>
      </w:r>
      <w:r w:rsidR="0004140E" w:rsidRPr="00782128">
        <w:rPr>
          <w:spacing w:val="-4"/>
        </w:rPr>
        <w:t>d</w:t>
      </w:r>
      <w:r w:rsidR="00F962F7" w:rsidRPr="00782128">
        <w:rPr>
          <w:spacing w:val="-4"/>
        </w:rPr>
        <w:t xml:space="preserve">evelop a coherent set of </w:t>
      </w:r>
      <w:r w:rsidR="00B30BAD" w:rsidRPr="00782128">
        <w:rPr>
          <w:spacing w:val="-4"/>
        </w:rPr>
        <w:t xml:space="preserve">guidance and </w:t>
      </w:r>
      <w:r w:rsidR="00F962F7" w:rsidRPr="00782128">
        <w:rPr>
          <w:spacing w:val="-4"/>
        </w:rPr>
        <w:t xml:space="preserve">model agreements to address </w:t>
      </w:r>
      <w:r w:rsidR="00C67998" w:rsidRPr="00782128">
        <w:rPr>
          <w:spacing w:val="-4"/>
        </w:rPr>
        <w:t xml:space="preserve">cooperation in DUS examination for different situations, </w:t>
      </w:r>
      <w:r w:rsidR="0063105E" w:rsidRPr="00782128">
        <w:rPr>
          <w:spacing w:val="-4"/>
        </w:rPr>
        <w:t xml:space="preserve">as </w:t>
      </w:r>
      <w:r w:rsidR="00B6412B" w:rsidRPr="00782128">
        <w:rPr>
          <w:spacing w:val="-4"/>
        </w:rPr>
        <w:t xml:space="preserve">part of the </w:t>
      </w:r>
      <w:r w:rsidR="00866E41" w:rsidRPr="00782128">
        <w:rPr>
          <w:spacing w:val="-4"/>
        </w:rPr>
        <w:t>E</w:t>
      </w:r>
      <w:r w:rsidR="0063105E" w:rsidRPr="00782128">
        <w:rPr>
          <w:spacing w:val="-4"/>
        </w:rPr>
        <w:t xml:space="preserve">xplanatory </w:t>
      </w:r>
      <w:r w:rsidR="00866E41" w:rsidRPr="00782128">
        <w:rPr>
          <w:spacing w:val="-4"/>
        </w:rPr>
        <w:t>N</w:t>
      </w:r>
      <w:r w:rsidR="0063105E" w:rsidRPr="00782128">
        <w:rPr>
          <w:spacing w:val="-4"/>
        </w:rPr>
        <w:t>ote</w:t>
      </w:r>
      <w:r w:rsidR="00B6412B" w:rsidRPr="00782128">
        <w:rPr>
          <w:spacing w:val="-4"/>
        </w:rPr>
        <w:t>s on</w:t>
      </w:r>
      <w:r w:rsidR="00C67998" w:rsidRPr="00782128">
        <w:rPr>
          <w:spacing w:val="-4"/>
        </w:rPr>
        <w:t xml:space="preserve"> A</w:t>
      </w:r>
      <w:r w:rsidR="0063105E" w:rsidRPr="00782128">
        <w:rPr>
          <w:spacing w:val="-4"/>
        </w:rPr>
        <w:t xml:space="preserve">rticle 12 of the </w:t>
      </w:r>
      <w:r w:rsidR="00C67998" w:rsidRPr="00782128">
        <w:rPr>
          <w:spacing w:val="-4"/>
        </w:rPr>
        <w:t xml:space="preserve">1991 Act of the UPOV </w:t>
      </w:r>
      <w:r w:rsidR="0063105E" w:rsidRPr="00782128">
        <w:rPr>
          <w:spacing w:val="-4"/>
        </w:rPr>
        <w:t>Convention</w:t>
      </w:r>
      <w:r w:rsidR="008570AD">
        <w:rPr>
          <w:spacing w:val="-4"/>
        </w:rPr>
        <w:t>.)</w:t>
      </w:r>
    </w:p>
    <w:p w:rsidR="00291C08" w:rsidRPr="00291C08" w:rsidRDefault="00291C08" w:rsidP="00291C08">
      <w:pPr>
        <w:tabs>
          <w:tab w:val="left" w:pos="1134"/>
        </w:tabs>
        <w:rPr>
          <w:spacing w:val="-4"/>
        </w:rPr>
      </w:pPr>
    </w:p>
    <w:p w:rsidR="006D0670" w:rsidRDefault="00624A2F" w:rsidP="00291C08">
      <w:pPr>
        <w:tabs>
          <w:tab w:val="left" w:pos="567"/>
        </w:tabs>
        <w:rPr>
          <w:spacing w:val="-4"/>
        </w:rPr>
      </w:pPr>
      <w:r>
        <w:rPr>
          <w:spacing w:val="-4"/>
        </w:rPr>
        <w:fldChar w:fldCharType="begin"/>
      </w:r>
      <w:r>
        <w:rPr>
          <w:spacing w:val="-4"/>
        </w:rPr>
        <w:instrText xml:space="preserve"> AUTONUM  </w:instrText>
      </w:r>
      <w:r>
        <w:rPr>
          <w:spacing w:val="-4"/>
        </w:rPr>
        <w:fldChar w:fldCharType="end"/>
      </w:r>
      <w:r>
        <w:rPr>
          <w:spacing w:val="-4"/>
        </w:rPr>
        <w:tab/>
      </w:r>
      <w:r w:rsidR="003F6E04">
        <w:rPr>
          <w:spacing w:val="-4"/>
        </w:rPr>
        <w:t xml:space="preserve">Before proposing measures </w:t>
      </w:r>
      <w:r w:rsidR="00622293">
        <w:rPr>
          <w:spacing w:val="-4"/>
        </w:rPr>
        <w:t>to address</w:t>
      </w:r>
      <w:r w:rsidR="003F6E04">
        <w:rPr>
          <w:spacing w:val="-4"/>
        </w:rPr>
        <w:t xml:space="preserve"> the policy or legal barrier </w:t>
      </w:r>
      <w:r>
        <w:rPr>
          <w:spacing w:val="-4"/>
        </w:rPr>
        <w:t>(iv) “w</w:t>
      </w:r>
      <w:r w:rsidR="007C1E8C" w:rsidRPr="00D15429">
        <w:rPr>
          <w:spacing w:val="-4"/>
        </w:rPr>
        <w:t>ish from breeders to use (or not) existing DUS reports</w:t>
      </w:r>
      <w:r>
        <w:rPr>
          <w:spacing w:val="-4"/>
        </w:rPr>
        <w:t>”</w:t>
      </w:r>
      <w:r w:rsidR="003F6E04">
        <w:rPr>
          <w:spacing w:val="-4"/>
        </w:rPr>
        <w:t xml:space="preserve">, it would be important </w:t>
      </w:r>
      <w:r w:rsidR="00CB59C2">
        <w:rPr>
          <w:spacing w:val="-4"/>
        </w:rPr>
        <w:t xml:space="preserve">to </w:t>
      </w:r>
      <w:r w:rsidR="00622293">
        <w:rPr>
          <w:spacing w:val="-4"/>
        </w:rPr>
        <w:t>clarify the</w:t>
      </w:r>
      <w:r w:rsidR="00782128">
        <w:rPr>
          <w:spacing w:val="-4"/>
        </w:rPr>
        <w:t xml:space="preserve"> issues</w:t>
      </w:r>
      <w:r w:rsidR="00E2400B">
        <w:rPr>
          <w:spacing w:val="-4"/>
        </w:rPr>
        <w:t xml:space="preserve"> concerned</w:t>
      </w:r>
      <w:r w:rsidR="003F6E04">
        <w:rPr>
          <w:spacing w:val="-4"/>
        </w:rPr>
        <w:t xml:space="preserve">.  </w:t>
      </w:r>
      <w:r w:rsidR="00782128">
        <w:rPr>
          <w:spacing w:val="-4"/>
        </w:rPr>
        <w:t xml:space="preserve">Therefore, it is proposed to request </w:t>
      </w:r>
      <w:r w:rsidR="003F6E04">
        <w:rPr>
          <w:spacing w:val="-4"/>
        </w:rPr>
        <w:t>breeders’ organizati</w:t>
      </w:r>
      <w:r w:rsidR="00AC6D87">
        <w:rPr>
          <w:spacing w:val="-4"/>
        </w:rPr>
        <w:t xml:space="preserve">ons </w:t>
      </w:r>
      <w:r w:rsidR="00782128">
        <w:rPr>
          <w:spacing w:val="-4"/>
        </w:rPr>
        <w:t>t</w:t>
      </w:r>
      <w:r w:rsidR="00E2400B">
        <w:rPr>
          <w:spacing w:val="-4"/>
        </w:rPr>
        <w:t>o clarify the issues concerning the wish of breeders to use, or not to use, existing DUS reports</w:t>
      </w:r>
      <w:r w:rsidR="00113E82">
        <w:rPr>
          <w:spacing w:val="-4"/>
        </w:rPr>
        <w:t>.</w:t>
      </w:r>
    </w:p>
    <w:p w:rsidR="003F6E04" w:rsidRDefault="003F6E04" w:rsidP="00624A2F">
      <w:pPr>
        <w:tabs>
          <w:tab w:val="left" w:pos="567"/>
        </w:tabs>
        <w:rPr>
          <w:spacing w:val="-4"/>
        </w:rPr>
      </w:pPr>
    </w:p>
    <w:p w:rsidR="00E2400B" w:rsidRDefault="00322091" w:rsidP="00291C08">
      <w:pPr>
        <w:keepNext/>
        <w:keepLines/>
        <w:tabs>
          <w:tab w:val="left" w:pos="5387"/>
          <w:tab w:val="left" w:pos="5954"/>
        </w:tabs>
        <w:ind w:left="4820"/>
        <w:rPr>
          <w:i/>
          <w:spacing w:val="-4"/>
        </w:rPr>
      </w:pPr>
      <w:r w:rsidRPr="00D15429">
        <w:rPr>
          <w:i/>
          <w:snapToGrid w:val="0"/>
        </w:rPr>
        <w:lastRenderedPageBreak/>
        <w:fldChar w:fldCharType="begin"/>
      </w:r>
      <w:r w:rsidRPr="00D15429">
        <w:rPr>
          <w:i/>
          <w:snapToGrid w:val="0"/>
        </w:rPr>
        <w:instrText xml:space="preserve"> AUTONUM  </w:instrText>
      </w:r>
      <w:r w:rsidRPr="00D15429">
        <w:rPr>
          <w:i/>
          <w:snapToGrid w:val="0"/>
        </w:rPr>
        <w:fldChar w:fldCharType="end"/>
      </w:r>
      <w:r w:rsidRPr="00D15429">
        <w:rPr>
          <w:i/>
          <w:snapToGrid w:val="0"/>
        </w:rPr>
        <w:tab/>
        <w:t xml:space="preserve">The CAJ is invited to consider the </w:t>
      </w:r>
      <w:r w:rsidR="00E2400B">
        <w:rPr>
          <w:i/>
          <w:snapToGrid w:val="0"/>
        </w:rPr>
        <w:t>following</w:t>
      </w:r>
      <w:r w:rsidR="00E2400B" w:rsidRPr="00D15429">
        <w:rPr>
          <w:i/>
          <w:snapToGrid w:val="0"/>
        </w:rPr>
        <w:t xml:space="preserve"> </w:t>
      </w:r>
      <w:r w:rsidRPr="00D15429">
        <w:rPr>
          <w:i/>
          <w:snapToGrid w:val="0"/>
        </w:rPr>
        <w:t xml:space="preserve">measures </w:t>
      </w:r>
      <w:r w:rsidRPr="00D15429">
        <w:rPr>
          <w:i/>
          <w:spacing w:val="-4"/>
        </w:rPr>
        <w:t>to address policy or legal barriers that the TC had identified as preventing international cooperation in DUS examination</w:t>
      </w:r>
      <w:r w:rsidR="006C6A43">
        <w:rPr>
          <w:i/>
          <w:spacing w:val="-4"/>
        </w:rPr>
        <w:t>:</w:t>
      </w:r>
    </w:p>
    <w:p w:rsidR="00E2400B" w:rsidRDefault="00E2400B" w:rsidP="00291C08">
      <w:pPr>
        <w:keepNext/>
        <w:keepLines/>
        <w:tabs>
          <w:tab w:val="left" w:pos="5387"/>
          <w:tab w:val="left" w:pos="5954"/>
        </w:tabs>
        <w:ind w:left="4820"/>
        <w:rPr>
          <w:i/>
          <w:spacing w:val="-4"/>
        </w:rPr>
      </w:pPr>
    </w:p>
    <w:p w:rsidR="00E2400B" w:rsidRPr="006C6A43" w:rsidRDefault="00F275C8" w:rsidP="00291C08">
      <w:pPr>
        <w:pStyle w:val="ListParagraph"/>
        <w:keepNext/>
        <w:keepLines/>
        <w:numPr>
          <w:ilvl w:val="0"/>
          <w:numId w:val="12"/>
        </w:numPr>
        <w:tabs>
          <w:tab w:val="left" w:pos="5387"/>
          <w:tab w:val="left" w:pos="5954"/>
        </w:tabs>
        <w:spacing w:after="0" w:line="240" w:lineRule="auto"/>
        <w:ind w:left="4820" w:firstLine="567"/>
        <w:contextualSpacing w:val="0"/>
        <w:jc w:val="both"/>
        <w:rPr>
          <w:i/>
          <w:snapToGrid w:val="0"/>
        </w:rPr>
      </w:pPr>
      <w:r>
        <w:rPr>
          <w:i/>
        </w:rPr>
        <w:t>s</w:t>
      </w:r>
      <w:r w:rsidR="006C6A43" w:rsidRPr="006C6A43">
        <w:rPr>
          <w:i/>
        </w:rPr>
        <w:t>urvey members of the Union for information on their policies or legal barriers that could prevent international cooperation in DUS examination;</w:t>
      </w:r>
    </w:p>
    <w:p w:rsidR="006C6A43" w:rsidRPr="00E46E29" w:rsidRDefault="006C6A43" w:rsidP="00291C08">
      <w:pPr>
        <w:pStyle w:val="ListParagraph"/>
        <w:keepNext/>
        <w:keepLines/>
        <w:tabs>
          <w:tab w:val="left" w:pos="5387"/>
          <w:tab w:val="left" w:pos="5954"/>
        </w:tabs>
        <w:spacing w:after="0" w:line="240" w:lineRule="auto"/>
        <w:ind w:left="5387"/>
        <w:contextualSpacing w:val="0"/>
        <w:jc w:val="both"/>
        <w:rPr>
          <w:i/>
          <w:snapToGrid w:val="0"/>
        </w:rPr>
      </w:pPr>
    </w:p>
    <w:p w:rsidR="00E2400B" w:rsidRPr="006C6A43" w:rsidRDefault="00F275C8" w:rsidP="00291C08">
      <w:pPr>
        <w:pStyle w:val="ListParagraph"/>
        <w:keepNext/>
        <w:keepLines/>
        <w:numPr>
          <w:ilvl w:val="0"/>
          <w:numId w:val="12"/>
        </w:numPr>
        <w:tabs>
          <w:tab w:val="left" w:pos="5387"/>
          <w:tab w:val="left" w:pos="5954"/>
        </w:tabs>
        <w:spacing w:after="0" w:line="240" w:lineRule="auto"/>
        <w:ind w:left="4824" w:firstLine="562"/>
        <w:contextualSpacing w:val="0"/>
        <w:jc w:val="both"/>
        <w:rPr>
          <w:i/>
          <w:snapToGrid w:val="0"/>
        </w:rPr>
      </w:pPr>
      <w:r>
        <w:rPr>
          <w:i/>
          <w:spacing w:val="-4"/>
        </w:rPr>
        <w:t>d</w:t>
      </w:r>
      <w:r w:rsidR="006C6A43" w:rsidRPr="006C6A43">
        <w:rPr>
          <w:i/>
          <w:spacing w:val="-4"/>
        </w:rPr>
        <w:t xml:space="preserve">evelop explanatory notes to Article 12 of the UPOV Convention (“Examination of the Application”); </w:t>
      </w:r>
      <w:r w:rsidR="00363EE0">
        <w:rPr>
          <w:i/>
          <w:spacing w:val="-4"/>
        </w:rPr>
        <w:t xml:space="preserve"> </w:t>
      </w:r>
      <w:r w:rsidR="006C6A43" w:rsidRPr="006C6A43">
        <w:rPr>
          <w:i/>
          <w:spacing w:val="-4"/>
        </w:rPr>
        <w:t>and</w:t>
      </w:r>
    </w:p>
    <w:p w:rsidR="006C6A43" w:rsidRPr="00291C08" w:rsidRDefault="006C6A43" w:rsidP="00291C08">
      <w:pPr>
        <w:ind w:left="4860"/>
      </w:pPr>
    </w:p>
    <w:p w:rsidR="007C1E8C" w:rsidRPr="00E46E29" w:rsidRDefault="006C6A43" w:rsidP="00291C08">
      <w:pPr>
        <w:pStyle w:val="ListParagraph"/>
        <w:keepNext/>
        <w:keepLines/>
        <w:numPr>
          <w:ilvl w:val="0"/>
          <w:numId w:val="12"/>
        </w:numPr>
        <w:tabs>
          <w:tab w:val="left" w:pos="5387"/>
          <w:tab w:val="left" w:pos="5954"/>
        </w:tabs>
        <w:spacing w:after="0" w:line="240" w:lineRule="auto"/>
        <w:ind w:left="4820" w:firstLine="567"/>
        <w:contextualSpacing w:val="0"/>
        <w:jc w:val="both"/>
        <w:rPr>
          <w:i/>
          <w:snapToGrid w:val="0"/>
        </w:rPr>
      </w:pPr>
      <w:r w:rsidRPr="006C6A43">
        <w:rPr>
          <w:i/>
          <w:spacing w:val="-4"/>
        </w:rPr>
        <w:t>request breeders’ organizations to clarify the issues concerning the wish of breeders to use, or not to use, existing DUS reports.</w:t>
      </w:r>
    </w:p>
    <w:p w:rsidR="003D5795" w:rsidRPr="00D15429" w:rsidRDefault="003D5795" w:rsidP="00F50A7F">
      <w:pPr>
        <w:pStyle w:val="ListParagraph"/>
        <w:ind w:left="1287"/>
        <w:rPr>
          <w:snapToGrid w:val="0"/>
        </w:rPr>
      </w:pPr>
    </w:p>
    <w:p w:rsidR="003D5795" w:rsidRPr="00D15429" w:rsidRDefault="003D5795" w:rsidP="004B1215">
      <w:pPr>
        <w:rPr>
          <w:snapToGrid w:val="0"/>
        </w:rPr>
      </w:pPr>
    </w:p>
    <w:p w:rsidR="00F0447A" w:rsidRPr="00D15429" w:rsidRDefault="00F0447A" w:rsidP="00F0447A">
      <w:pPr>
        <w:jc w:val="right"/>
        <w:rPr>
          <w:snapToGrid w:val="0"/>
        </w:rPr>
      </w:pPr>
      <w:r w:rsidRPr="00D15429">
        <w:rPr>
          <w:snapToGrid w:val="0"/>
        </w:rPr>
        <w:t>[Annex follows]</w:t>
      </w:r>
    </w:p>
    <w:p w:rsidR="003D5795" w:rsidRPr="00D15429" w:rsidRDefault="003D5795" w:rsidP="004B1215">
      <w:pPr>
        <w:rPr>
          <w:snapToGrid w:val="0"/>
        </w:rPr>
      </w:pPr>
    </w:p>
    <w:p w:rsidR="007F2DF7" w:rsidRPr="00D15429" w:rsidRDefault="007F2DF7" w:rsidP="004B1215">
      <w:pPr>
        <w:rPr>
          <w:snapToGrid w:val="0"/>
        </w:rPr>
        <w:sectPr w:rsidR="007F2DF7" w:rsidRPr="00D15429" w:rsidSect="0004198B">
          <w:headerReference w:type="default" r:id="rId9"/>
          <w:pgSz w:w="11907" w:h="16840" w:code="9"/>
          <w:pgMar w:top="510" w:right="1134" w:bottom="1134" w:left="1134" w:header="510" w:footer="680" w:gutter="0"/>
          <w:pgNumType w:start="1"/>
          <w:cols w:space="720"/>
          <w:titlePg/>
        </w:sectPr>
      </w:pPr>
    </w:p>
    <w:p w:rsidR="003D5795" w:rsidRPr="00D15429" w:rsidRDefault="003D5795" w:rsidP="004B1215">
      <w:pPr>
        <w:rPr>
          <w:snapToGrid w:val="0"/>
        </w:rPr>
      </w:pPr>
    </w:p>
    <w:p w:rsidR="003D5795" w:rsidRPr="00D15429" w:rsidRDefault="003D5795" w:rsidP="004B1215">
      <w:pPr>
        <w:rPr>
          <w:snapToGrid w:val="0"/>
        </w:rPr>
      </w:pPr>
    </w:p>
    <w:p w:rsidR="004F0783" w:rsidRDefault="004F0783" w:rsidP="00501478">
      <w:pPr>
        <w:jc w:val="center"/>
        <w:rPr>
          <w:caps/>
          <w:snapToGrid w:val="0"/>
        </w:rPr>
      </w:pPr>
      <w:r w:rsidRPr="004F0783">
        <w:rPr>
          <w:caps/>
          <w:snapToGrid w:val="0"/>
        </w:rPr>
        <w:t>Measures agreed by TC to overcome barriers that prevented international cooperation in DUS examination</w:t>
      </w:r>
      <w:r>
        <w:rPr>
          <w:rStyle w:val="FootnoteReference"/>
          <w:caps/>
          <w:snapToGrid w:val="0"/>
        </w:rPr>
        <w:footnoteReference w:id="3"/>
      </w:r>
      <w:r w:rsidRPr="004F0783">
        <w:rPr>
          <w:caps/>
          <w:snapToGrid w:val="0"/>
        </w:rPr>
        <w:t xml:space="preserve"> </w:t>
      </w:r>
    </w:p>
    <w:p w:rsidR="003D5795" w:rsidRPr="004F0783" w:rsidRDefault="003D5795" w:rsidP="00501478">
      <w:pPr>
        <w:jc w:val="center"/>
        <w:rPr>
          <w:snapToGrid w:val="0"/>
        </w:rPr>
      </w:pPr>
    </w:p>
    <w:p w:rsidR="003D5795" w:rsidRPr="00D15429" w:rsidRDefault="003D5795" w:rsidP="003D5795">
      <w:pPr>
        <w:jc w:val="left"/>
      </w:pPr>
    </w:p>
    <w:p w:rsidR="003D5795" w:rsidRPr="00D15429" w:rsidRDefault="003D5795" w:rsidP="003D5795">
      <w:r w:rsidRPr="00D15429">
        <w:rPr>
          <w:snapToGrid w:val="0"/>
        </w:rPr>
        <w:t>The TC,</w:t>
      </w:r>
      <w:r w:rsidRPr="00D15429">
        <w:t xml:space="preserve"> at its fifty-fifth</w:t>
      </w:r>
      <w:r w:rsidR="00D778BB">
        <w:rPr>
          <w:rStyle w:val="FootnoteReference"/>
        </w:rPr>
        <w:footnoteReference w:id="4"/>
      </w:r>
      <w:r w:rsidRPr="00D15429">
        <w:t xml:space="preserve"> session,</w:t>
      </w:r>
      <w:r w:rsidRPr="00D15429">
        <w:rPr>
          <w:snapToGrid w:val="0"/>
        </w:rPr>
        <w:t xml:space="preserve"> </w:t>
      </w:r>
      <w:r w:rsidRPr="00D15429">
        <w:t>noted that the TWPs, at their sessions in 2019, had formed discussion groups to discuss the technical concerns that prevent cooperation in DUS examination and to propose how to overcome the technical concerns raised.</w:t>
      </w:r>
    </w:p>
    <w:p w:rsidR="003D5795" w:rsidRPr="00D15429" w:rsidRDefault="003D5795" w:rsidP="003D5795"/>
    <w:p w:rsidR="003D5795" w:rsidRPr="00D15429" w:rsidRDefault="003D5795" w:rsidP="003D5795">
      <w:pPr>
        <w:rPr>
          <w:snapToGrid w:val="0"/>
        </w:rPr>
      </w:pPr>
      <w:r w:rsidRPr="00D15429">
        <w:t xml:space="preserve">The TC considered the outcomes of discussions held at the TWO, TWV, TWF, TWA and TWC, at their sessions in 2019, as set out in document TC/55/10, paragraphs 19 to 26, </w:t>
      </w:r>
      <w:r w:rsidRPr="00D15429">
        <w:rPr>
          <w:snapToGrid w:val="0"/>
        </w:rPr>
        <w:t>reproduced as follows:</w:t>
      </w:r>
    </w:p>
    <w:p w:rsidR="003D5795" w:rsidRPr="00D15429" w:rsidRDefault="003D5795" w:rsidP="003D5795">
      <w:pPr>
        <w:rPr>
          <w:snapToGrid w:val="0"/>
        </w:rPr>
      </w:pPr>
    </w:p>
    <w:p w:rsidR="003D5795" w:rsidRPr="00D778BB" w:rsidRDefault="00D778BB" w:rsidP="00D778BB">
      <w:pPr>
        <w:pStyle w:val="Heading3"/>
        <w:ind w:left="567"/>
        <w:rPr>
          <w:sz w:val="18"/>
        </w:rPr>
      </w:pPr>
      <w:bookmarkStart w:id="6" w:name="_Toc46829747"/>
      <w:bookmarkStart w:id="7" w:name="_Toc54733180"/>
      <w:r>
        <w:rPr>
          <w:sz w:val="18"/>
        </w:rPr>
        <w:t>“</w:t>
      </w:r>
      <w:r w:rsidR="003D5795" w:rsidRPr="00D778BB">
        <w:rPr>
          <w:sz w:val="18"/>
        </w:rPr>
        <w:t>Technical and related administrative issues:</w:t>
      </w:r>
      <w:bookmarkEnd w:id="6"/>
      <w:bookmarkEnd w:id="7"/>
    </w:p>
    <w:p w:rsidR="003D5795" w:rsidRPr="00D778BB" w:rsidRDefault="003D5795" w:rsidP="00D778BB">
      <w:pPr>
        <w:keepNext/>
        <w:ind w:left="567"/>
        <w:rPr>
          <w:i/>
          <w:sz w:val="18"/>
        </w:rPr>
      </w:pP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Sufficient experience for conducting DUS examination of a particular crop / quality of examination performed</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Suitable variety collection</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Information on varieties included in DUS examination</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Different descriptions due to environmental influence on expression of characteristics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Lack of assessment of or divergent protocols and nomenclature for disease resistance characteristics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Requirement for a specific comparison variety to be described along with candidate</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Lack of information on quality controls for DUS at breeders’ premises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DUS test reports that do not conform to UPOV Test Guidelines (missing or different characteristics)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Difficulty to complete variety collections (e.g. import / phytosanitary issues)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Lack of global DNA database for selection of similar varieties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Language barriers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Difficulty to identify contact persons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 xml:space="preserve">Lack of information on available DUS test reports </w:t>
      </w:r>
    </w:p>
    <w:p w:rsidR="003D5795" w:rsidRPr="00D778BB" w:rsidRDefault="00D778BB" w:rsidP="00D778BB">
      <w:pPr>
        <w:pStyle w:val="Heading3"/>
        <w:ind w:left="567"/>
        <w:rPr>
          <w:sz w:val="18"/>
        </w:rPr>
      </w:pPr>
      <w:bookmarkStart w:id="8" w:name="_Toc46829748"/>
      <w:bookmarkStart w:id="9" w:name="_Toc54733181"/>
      <w:r>
        <w:rPr>
          <w:sz w:val="18"/>
        </w:rPr>
        <w:t>“</w:t>
      </w:r>
      <w:r w:rsidR="003D5795" w:rsidRPr="00D778BB">
        <w:rPr>
          <w:sz w:val="18"/>
        </w:rPr>
        <w:t>Policy or legal issues:</w:t>
      </w:r>
      <w:bookmarkEnd w:id="8"/>
      <w:bookmarkEnd w:id="9"/>
    </w:p>
    <w:p w:rsidR="003D5795" w:rsidRPr="00D778BB" w:rsidRDefault="003D5795" w:rsidP="00D778BB">
      <w:pPr>
        <w:keepNext/>
        <w:ind w:left="567"/>
        <w:outlineLvl w:val="2"/>
        <w:rPr>
          <w:i/>
          <w:sz w:val="18"/>
        </w:rPr>
      </w:pP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Requirement of formal agreement for cooperation</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Obligation for DUS examination to be conducted by the authority granting the rights</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 xml:space="preserve">Non-acceptance of breeder-based DUS test reports </w:t>
      </w:r>
    </w:p>
    <w:p w:rsidR="003D5795" w:rsidRPr="00D778BB" w:rsidRDefault="00D778BB" w:rsidP="00D778BB">
      <w:pPr>
        <w:numPr>
          <w:ilvl w:val="0"/>
          <w:numId w:val="1"/>
        </w:numPr>
        <w:spacing w:after="120"/>
        <w:ind w:left="1700" w:right="562" w:hanging="562"/>
        <w:rPr>
          <w:sz w:val="18"/>
          <w:szCs w:val="22"/>
        </w:rPr>
      </w:pPr>
      <w:r>
        <w:rPr>
          <w:sz w:val="18"/>
          <w:szCs w:val="22"/>
        </w:rPr>
        <w:t>“</w:t>
      </w:r>
      <w:r w:rsidR="003D5795" w:rsidRPr="00D778BB">
        <w:rPr>
          <w:sz w:val="18"/>
          <w:szCs w:val="22"/>
        </w:rPr>
        <w:t>Wish from breeders to use (or not) existing DUS reports</w:t>
      </w:r>
      <w:r>
        <w:rPr>
          <w:sz w:val="18"/>
          <w:szCs w:val="22"/>
        </w:rPr>
        <w:t>”</w:t>
      </w:r>
    </w:p>
    <w:p w:rsidR="003D5795" w:rsidRPr="00D15429" w:rsidRDefault="003D5795" w:rsidP="003D5795">
      <w:pPr>
        <w:tabs>
          <w:tab w:val="left" w:pos="567"/>
        </w:tabs>
      </w:pPr>
    </w:p>
    <w:p w:rsidR="003D5795" w:rsidRPr="00D15429" w:rsidRDefault="003D5795" w:rsidP="003D5795">
      <w:pPr>
        <w:keepNext/>
      </w:pPr>
      <w:r w:rsidRPr="00D15429">
        <w:t>The TC, at its fifty-fifth session, agreed to report to the CAJ the related policy or legal issues presented in document TC/55/10, paragraphs 27 and 28, reproduced below:</w:t>
      </w:r>
    </w:p>
    <w:p w:rsidR="003D5795" w:rsidRPr="00D15429" w:rsidRDefault="003D5795" w:rsidP="003D5795">
      <w:pPr>
        <w:keepNext/>
      </w:pPr>
    </w:p>
    <w:p w:rsidR="003D5795" w:rsidRPr="00D778BB" w:rsidRDefault="00D778BB" w:rsidP="00D778BB">
      <w:pPr>
        <w:pStyle w:val="ListParagraph"/>
        <w:keepNext/>
        <w:numPr>
          <w:ilvl w:val="0"/>
          <w:numId w:val="1"/>
        </w:numPr>
        <w:spacing w:after="120" w:line="240" w:lineRule="auto"/>
        <w:ind w:left="1700" w:right="562" w:hanging="562"/>
        <w:contextualSpacing w:val="0"/>
        <w:jc w:val="both"/>
        <w:rPr>
          <w:sz w:val="18"/>
        </w:rPr>
      </w:pPr>
      <w:r>
        <w:rPr>
          <w:sz w:val="18"/>
        </w:rPr>
        <w:t>“</w:t>
      </w:r>
      <w:r w:rsidR="003D5795" w:rsidRPr="00D778BB">
        <w:rPr>
          <w:sz w:val="18"/>
        </w:rPr>
        <w:t>Requirement of formal agreement for cooperation</w:t>
      </w:r>
    </w:p>
    <w:p w:rsidR="003D5795" w:rsidRPr="00D778BB" w:rsidRDefault="00D778BB" w:rsidP="00D778BB">
      <w:pPr>
        <w:pStyle w:val="ListParagraph"/>
        <w:numPr>
          <w:ilvl w:val="0"/>
          <w:numId w:val="1"/>
        </w:numPr>
        <w:spacing w:after="120" w:line="240" w:lineRule="auto"/>
        <w:ind w:left="1700" w:right="562" w:hanging="562"/>
        <w:contextualSpacing w:val="0"/>
        <w:jc w:val="both"/>
        <w:rPr>
          <w:sz w:val="18"/>
        </w:rPr>
      </w:pPr>
      <w:r>
        <w:rPr>
          <w:sz w:val="18"/>
        </w:rPr>
        <w:t>“</w:t>
      </w:r>
      <w:r w:rsidR="003D5795" w:rsidRPr="00D778BB">
        <w:rPr>
          <w:sz w:val="18"/>
        </w:rPr>
        <w:t>Obligation for DUS examination to be conducted by the authority granting the rights</w:t>
      </w:r>
    </w:p>
    <w:p w:rsidR="003D5795" w:rsidRPr="00D778BB" w:rsidRDefault="00D778BB" w:rsidP="00D778BB">
      <w:pPr>
        <w:pStyle w:val="ListParagraph"/>
        <w:numPr>
          <w:ilvl w:val="0"/>
          <w:numId w:val="1"/>
        </w:numPr>
        <w:spacing w:after="120" w:line="240" w:lineRule="auto"/>
        <w:ind w:left="1700" w:right="562" w:hanging="562"/>
        <w:contextualSpacing w:val="0"/>
        <w:jc w:val="both"/>
        <w:rPr>
          <w:sz w:val="18"/>
        </w:rPr>
      </w:pPr>
      <w:r>
        <w:rPr>
          <w:sz w:val="18"/>
        </w:rPr>
        <w:t>“</w:t>
      </w:r>
      <w:r w:rsidR="003D5795" w:rsidRPr="00D778BB">
        <w:rPr>
          <w:sz w:val="18"/>
        </w:rPr>
        <w:t xml:space="preserve">Non-acceptance of breeder-based DUS test reports </w:t>
      </w:r>
    </w:p>
    <w:p w:rsidR="003D5795" w:rsidRDefault="00D778BB" w:rsidP="00D778BB">
      <w:pPr>
        <w:pStyle w:val="ListParagraph"/>
        <w:numPr>
          <w:ilvl w:val="0"/>
          <w:numId w:val="1"/>
        </w:numPr>
        <w:spacing w:after="0" w:line="240" w:lineRule="auto"/>
        <w:ind w:left="1700" w:right="562" w:hanging="562"/>
        <w:contextualSpacing w:val="0"/>
        <w:jc w:val="both"/>
        <w:rPr>
          <w:sz w:val="18"/>
        </w:rPr>
      </w:pPr>
      <w:r>
        <w:rPr>
          <w:sz w:val="18"/>
        </w:rPr>
        <w:t>“</w:t>
      </w:r>
      <w:r w:rsidR="003D5795" w:rsidRPr="00D778BB">
        <w:rPr>
          <w:sz w:val="18"/>
        </w:rPr>
        <w:t>Wish from breeders to use (or not) existing DUS reports</w:t>
      </w:r>
      <w:r>
        <w:rPr>
          <w:sz w:val="18"/>
        </w:rPr>
        <w:t>”</w:t>
      </w:r>
    </w:p>
    <w:p w:rsidR="00D778BB" w:rsidRPr="00D778BB" w:rsidRDefault="00D778BB" w:rsidP="00D778BB"/>
    <w:p w:rsidR="003D5795" w:rsidRPr="00D778BB" w:rsidRDefault="003D5795" w:rsidP="00D778BB">
      <w:pPr>
        <w:keepNext/>
        <w:keepLines/>
        <w:tabs>
          <w:tab w:val="left" w:pos="567"/>
        </w:tabs>
        <w:rPr>
          <w:spacing w:val="2"/>
        </w:rPr>
      </w:pPr>
      <w:r w:rsidRPr="00D778BB">
        <w:rPr>
          <w:spacing w:val="2"/>
        </w:rPr>
        <w:lastRenderedPageBreak/>
        <w:t>The TC, at its fifty-sixth session</w:t>
      </w:r>
      <w:r w:rsidR="00D778BB">
        <w:rPr>
          <w:rStyle w:val="FootnoteReference"/>
          <w:spacing w:val="2"/>
        </w:rPr>
        <w:footnoteReference w:id="5"/>
      </w:r>
      <w:r w:rsidRPr="00D778BB">
        <w:rPr>
          <w:spacing w:val="2"/>
        </w:rPr>
        <w:t>, noted that it had considered document T</w:t>
      </w:r>
      <w:r w:rsidR="00D778BB" w:rsidRPr="00D778BB">
        <w:rPr>
          <w:spacing w:val="2"/>
        </w:rPr>
        <w:t>C/56/11 by correspondence.  The </w:t>
      </w:r>
      <w:r w:rsidRPr="00D778BB">
        <w:rPr>
          <w:spacing w:val="2"/>
        </w:rPr>
        <w:t xml:space="preserve">TC noted that decisions on document TC/56/11 had been taken by the TC by correspondence as provided in document TC/56/22, paragraphs 39 to 44, and reproduced below: </w:t>
      </w:r>
    </w:p>
    <w:p w:rsidR="003D5795" w:rsidRPr="00D778BB" w:rsidRDefault="003D5795" w:rsidP="00D778BB">
      <w:pPr>
        <w:keepNext/>
        <w:keepLines/>
        <w:jc w:val="left"/>
        <w:rPr>
          <w:sz w:val="18"/>
        </w:rPr>
      </w:pPr>
    </w:p>
    <w:p w:rsidR="003D5795" w:rsidRPr="00D15429" w:rsidRDefault="003D5795" w:rsidP="003D5795">
      <w:pPr>
        <w:tabs>
          <w:tab w:val="left" w:pos="1701"/>
        </w:tabs>
        <w:ind w:left="1134" w:right="567" w:hanging="567"/>
        <w:jc w:val="left"/>
        <w:rPr>
          <w:sz w:val="18"/>
        </w:rPr>
      </w:pPr>
      <w:r w:rsidRPr="00D15429">
        <w:rPr>
          <w:sz w:val="18"/>
        </w:rPr>
        <w:tab/>
      </w:r>
      <w:r w:rsidR="00363EE0">
        <w:rPr>
          <w:sz w:val="18"/>
        </w:rPr>
        <w:t>“</w:t>
      </w:r>
      <w:r w:rsidRPr="00D15429">
        <w:rPr>
          <w:sz w:val="18"/>
        </w:rPr>
        <w:t>39.</w:t>
      </w:r>
      <w:r w:rsidRPr="00D15429">
        <w:rPr>
          <w:sz w:val="18"/>
        </w:rPr>
        <w:tab/>
        <w:t>The TC considered document TC/56/11</w:t>
      </w:r>
      <w:r w:rsidR="00363EE0">
        <w:rPr>
          <w:sz w:val="18"/>
        </w:rPr>
        <w:t>.</w:t>
      </w:r>
    </w:p>
    <w:p w:rsidR="003D5795" w:rsidRPr="00D15429" w:rsidRDefault="003D5795" w:rsidP="003D5795">
      <w:pPr>
        <w:tabs>
          <w:tab w:val="left" w:pos="1701"/>
        </w:tabs>
        <w:ind w:left="1134" w:right="567" w:hanging="567"/>
        <w:jc w:val="left"/>
        <w:rPr>
          <w:sz w:val="18"/>
        </w:rPr>
      </w:pPr>
    </w:p>
    <w:p w:rsidR="003D5795" w:rsidRPr="00D15429" w:rsidRDefault="00363EE0" w:rsidP="00363EE0">
      <w:pPr>
        <w:keepNext/>
        <w:tabs>
          <w:tab w:val="left" w:pos="567"/>
          <w:tab w:val="left" w:pos="1134"/>
          <w:tab w:val="left" w:pos="1701"/>
          <w:tab w:val="left" w:pos="5387"/>
        </w:tabs>
        <w:ind w:left="1134" w:right="567"/>
        <w:rPr>
          <w:snapToGrid w:val="0"/>
          <w:sz w:val="18"/>
        </w:rPr>
      </w:pPr>
      <w:r>
        <w:rPr>
          <w:snapToGrid w:val="0"/>
          <w:sz w:val="18"/>
        </w:rPr>
        <w:t>“</w:t>
      </w:r>
      <w:r w:rsidR="003D5795" w:rsidRPr="00D15429">
        <w:rPr>
          <w:snapToGrid w:val="0"/>
          <w:sz w:val="18"/>
        </w:rPr>
        <w:t>40.</w:t>
      </w:r>
      <w:r w:rsidR="003D5795" w:rsidRPr="00D15429">
        <w:rPr>
          <w:snapToGrid w:val="0"/>
          <w:sz w:val="18"/>
        </w:rPr>
        <w:tab/>
        <w:t xml:space="preserve">The TC </w:t>
      </w:r>
      <w:r w:rsidR="003D5795" w:rsidRPr="00D15429">
        <w:rPr>
          <w:sz w:val="18"/>
        </w:rPr>
        <w:t xml:space="preserve">noted that </w:t>
      </w:r>
      <w:r w:rsidR="003D5795" w:rsidRPr="00D15429">
        <w:rPr>
          <w:snapToGrid w:val="0"/>
          <w:sz w:val="18"/>
        </w:rPr>
        <w:t>members of the Union have the possibility to update information on a person(s) to be contacted for matters concerning international cooperation in DUS examination by:</w:t>
      </w:r>
    </w:p>
    <w:p w:rsidR="003D5795" w:rsidRPr="00D15429" w:rsidRDefault="003D5795" w:rsidP="00363EE0">
      <w:pPr>
        <w:keepNext/>
        <w:tabs>
          <w:tab w:val="left" w:pos="1701"/>
          <w:tab w:val="left" w:pos="2268"/>
        </w:tabs>
        <w:ind w:left="1134" w:right="567"/>
        <w:rPr>
          <w:snapToGrid w:val="0"/>
          <w:sz w:val="18"/>
        </w:rPr>
      </w:pPr>
    </w:p>
    <w:p w:rsidR="003D5795" w:rsidRPr="00D15429" w:rsidRDefault="00363EE0" w:rsidP="003D5795">
      <w:pPr>
        <w:keepNext/>
        <w:keepLines/>
        <w:tabs>
          <w:tab w:val="left" w:pos="567"/>
          <w:tab w:val="left" w:pos="1134"/>
          <w:tab w:val="left" w:pos="1701"/>
          <w:tab w:val="left" w:pos="2268"/>
          <w:tab w:val="left" w:pos="5387"/>
          <w:tab w:val="left" w:pos="6521"/>
        </w:tabs>
        <w:ind w:left="1134" w:right="567" w:firstLine="567"/>
        <w:rPr>
          <w:snapToGrid w:val="0"/>
          <w:sz w:val="18"/>
        </w:rPr>
      </w:pPr>
      <w:r>
        <w:rPr>
          <w:sz w:val="18"/>
        </w:rPr>
        <w:t>“</w:t>
      </w:r>
      <w:r w:rsidR="003D5795" w:rsidRPr="00D15429">
        <w:rPr>
          <w:sz w:val="18"/>
        </w:rPr>
        <w:t>(i)</w:t>
      </w:r>
      <w:r w:rsidR="003D5795" w:rsidRPr="00D15429">
        <w:rPr>
          <w:sz w:val="18"/>
        </w:rPr>
        <w:tab/>
      </w:r>
      <w:r w:rsidR="003D5795" w:rsidRPr="00D15429">
        <w:rPr>
          <w:snapToGrid w:val="0"/>
          <w:sz w:val="18"/>
        </w:rPr>
        <w:t>updating information when invited to provide info</w:t>
      </w:r>
      <w:r>
        <w:rPr>
          <w:snapToGrid w:val="0"/>
          <w:sz w:val="18"/>
        </w:rPr>
        <w:t>rmation for document TC/[xx]/4 ‘</w:t>
      </w:r>
      <w:r w:rsidR="003D5795" w:rsidRPr="00D15429">
        <w:rPr>
          <w:snapToGrid w:val="0"/>
          <w:sz w:val="18"/>
        </w:rPr>
        <w:t>List of genera and species for which authorities have practical experience in the examination of distinctness, uniformity and stability</w:t>
      </w:r>
      <w:r>
        <w:rPr>
          <w:snapToGrid w:val="0"/>
          <w:sz w:val="18"/>
        </w:rPr>
        <w:t>’</w:t>
      </w:r>
      <w:r w:rsidR="003D5795" w:rsidRPr="00D15429">
        <w:rPr>
          <w:snapToGrid w:val="0"/>
          <w:sz w:val="18"/>
        </w:rPr>
        <w:t>;</w:t>
      </w:r>
      <w:r>
        <w:rPr>
          <w:snapToGrid w:val="0"/>
          <w:sz w:val="18"/>
        </w:rPr>
        <w:t xml:space="preserve"> </w:t>
      </w:r>
      <w:r w:rsidR="003D5795" w:rsidRPr="00D15429">
        <w:rPr>
          <w:snapToGrid w:val="0"/>
          <w:sz w:val="18"/>
        </w:rPr>
        <w:t xml:space="preserve"> and/or</w:t>
      </w:r>
    </w:p>
    <w:p w:rsidR="003D5795" w:rsidRPr="00D15429" w:rsidRDefault="003D5795" w:rsidP="003D5795">
      <w:pPr>
        <w:tabs>
          <w:tab w:val="left" w:pos="1701"/>
          <w:tab w:val="left" w:pos="2268"/>
        </w:tabs>
        <w:ind w:left="1134" w:right="567"/>
        <w:rPr>
          <w:snapToGrid w:val="0"/>
          <w:sz w:val="18"/>
        </w:rPr>
      </w:pPr>
    </w:p>
    <w:p w:rsidR="003D5795" w:rsidRPr="00D15429" w:rsidRDefault="00363EE0" w:rsidP="003D5795">
      <w:pPr>
        <w:keepNext/>
        <w:keepLines/>
        <w:tabs>
          <w:tab w:val="left" w:pos="567"/>
          <w:tab w:val="left" w:pos="1134"/>
          <w:tab w:val="left" w:pos="1701"/>
          <w:tab w:val="left" w:pos="2268"/>
          <w:tab w:val="left" w:pos="5387"/>
          <w:tab w:val="left" w:pos="6521"/>
        </w:tabs>
        <w:ind w:left="1134" w:right="567" w:firstLine="567"/>
        <w:rPr>
          <w:sz w:val="18"/>
        </w:rPr>
      </w:pPr>
      <w:r>
        <w:rPr>
          <w:sz w:val="18"/>
        </w:rPr>
        <w:t>“</w:t>
      </w:r>
      <w:r w:rsidR="003D5795" w:rsidRPr="00D15429">
        <w:rPr>
          <w:sz w:val="18"/>
        </w:rPr>
        <w:t>(ii)</w:t>
      </w:r>
      <w:r w:rsidR="003D5795" w:rsidRPr="00D15429">
        <w:rPr>
          <w:sz w:val="18"/>
        </w:rPr>
        <w:tab/>
      </w:r>
      <w:r w:rsidR="003D5795" w:rsidRPr="00D15429">
        <w:rPr>
          <w:snapToGrid w:val="0"/>
          <w:spacing w:val="-2"/>
          <w:sz w:val="18"/>
        </w:rPr>
        <w:t xml:space="preserve">notifying the Office of the Union by sending an e-mail to </w:t>
      </w:r>
      <w:hyperlink r:id="rId10" w:history="1">
        <w:r w:rsidR="003D5795" w:rsidRPr="00D15429">
          <w:rPr>
            <w:rFonts w:cs="Arial"/>
            <w:snapToGrid w:val="0"/>
            <w:color w:val="0000FF"/>
            <w:spacing w:val="-2"/>
            <w:sz w:val="18"/>
            <w:u w:val="single"/>
          </w:rPr>
          <w:t>upov.mail@upov.int</w:t>
        </w:r>
      </w:hyperlink>
      <w:r w:rsidR="003D5795" w:rsidRPr="00D15429">
        <w:rPr>
          <w:snapToGrid w:val="0"/>
          <w:spacing w:val="-2"/>
          <w:sz w:val="18"/>
        </w:rPr>
        <w:t>;</w:t>
      </w:r>
    </w:p>
    <w:p w:rsidR="003D5795" w:rsidRPr="00D15429" w:rsidRDefault="003D5795" w:rsidP="003D5795">
      <w:pPr>
        <w:tabs>
          <w:tab w:val="left" w:pos="567"/>
          <w:tab w:val="left" w:pos="1134"/>
          <w:tab w:val="left" w:pos="1701"/>
        </w:tabs>
        <w:ind w:left="1134" w:right="567"/>
        <w:rPr>
          <w:sz w:val="18"/>
        </w:rPr>
      </w:pPr>
    </w:p>
    <w:p w:rsidR="003D5795" w:rsidRPr="00D15429" w:rsidRDefault="00363EE0" w:rsidP="003D5795">
      <w:pPr>
        <w:tabs>
          <w:tab w:val="left" w:pos="567"/>
          <w:tab w:val="left" w:pos="1134"/>
          <w:tab w:val="left" w:pos="1701"/>
          <w:tab w:val="left" w:pos="5387"/>
          <w:tab w:val="left" w:pos="5954"/>
        </w:tabs>
        <w:ind w:left="1134" w:right="567"/>
        <w:rPr>
          <w:sz w:val="18"/>
        </w:rPr>
      </w:pPr>
      <w:r>
        <w:rPr>
          <w:snapToGrid w:val="0"/>
          <w:sz w:val="18"/>
        </w:rPr>
        <w:t>“</w:t>
      </w:r>
      <w:r w:rsidR="003D5795" w:rsidRPr="00D15429">
        <w:rPr>
          <w:snapToGrid w:val="0"/>
          <w:sz w:val="18"/>
        </w:rPr>
        <w:t>41.</w:t>
      </w:r>
      <w:r w:rsidR="003D5795" w:rsidRPr="00D15429">
        <w:rPr>
          <w:snapToGrid w:val="0"/>
          <w:sz w:val="18"/>
        </w:rPr>
        <w:tab/>
        <w:t xml:space="preserve">The TC agreed to propose the </w:t>
      </w:r>
      <w:r w:rsidR="003D5795" w:rsidRPr="00D15429">
        <w:rPr>
          <w:sz w:val="18"/>
        </w:rPr>
        <w:t xml:space="preserve">development of a package of compatible IT tools with the following elements:  </w:t>
      </w:r>
    </w:p>
    <w:p w:rsidR="003D5795" w:rsidRPr="00D15429" w:rsidRDefault="003D5795" w:rsidP="003D5795">
      <w:pPr>
        <w:tabs>
          <w:tab w:val="left" w:pos="567"/>
          <w:tab w:val="left" w:pos="1134"/>
          <w:tab w:val="left" w:pos="1701"/>
          <w:tab w:val="left" w:pos="5387"/>
          <w:tab w:val="left" w:pos="5954"/>
        </w:tabs>
        <w:ind w:left="1134" w:right="567"/>
        <w:rPr>
          <w:sz w:val="18"/>
        </w:rPr>
      </w:pPr>
    </w:p>
    <w:p w:rsidR="003D5795" w:rsidRPr="00D15429" w:rsidRDefault="00363EE0" w:rsidP="00363EE0">
      <w:pPr>
        <w:keepNext/>
        <w:tabs>
          <w:tab w:val="left" w:pos="1701"/>
        </w:tabs>
        <w:spacing w:after="120"/>
        <w:ind w:left="1699" w:right="562"/>
        <w:rPr>
          <w:rFonts w:cs="Arial"/>
          <w:sz w:val="18"/>
        </w:rPr>
      </w:pPr>
      <w:r>
        <w:rPr>
          <w:rFonts w:cs="Arial"/>
          <w:sz w:val="18"/>
        </w:rPr>
        <w:t>"(a)</w:t>
      </w:r>
      <w:r>
        <w:rPr>
          <w:rFonts w:cs="Arial"/>
          <w:sz w:val="18"/>
        </w:rPr>
        <w:tab/>
      </w:r>
      <w:r w:rsidR="003D5795" w:rsidRPr="00D15429">
        <w:rPr>
          <w:rFonts w:cs="Arial"/>
          <w:sz w:val="18"/>
        </w:rPr>
        <w:t xml:space="preserve">Platform for:  </w:t>
      </w:r>
    </w:p>
    <w:p w:rsidR="003D5795" w:rsidRPr="00D15429" w:rsidRDefault="00363EE0" w:rsidP="00363EE0">
      <w:pPr>
        <w:keepNext/>
        <w:spacing w:before="120"/>
        <w:ind w:left="2268" w:right="562"/>
        <w:rPr>
          <w:rFonts w:cs="Arial"/>
          <w:sz w:val="18"/>
        </w:rPr>
      </w:pPr>
      <w:r>
        <w:rPr>
          <w:rFonts w:cs="Arial"/>
          <w:sz w:val="18"/>
        </w:rPr>
        <w:t>“(i)</w:t>
      </w:r>
      <w:r>
        <w:rPr>
          <w:rFonts w:cs="Arial"/>
          <w:sz w:val="18"/>
        </w:rPr>
        <w:tab/>
      </w:r>
      <w:r w:rsidR="003D5795" w:rsidRPr="00D15429">
        <w:rPr>
          <w:rFonts w:cs="Arial"/>
          <w:sz w:val="18"/>
        </w:rPr>
        <w:t>exchange of existing DUS reports for:</w:t>
      </w:r>
    </w:p>
    <w:p w:rsidR="003D5795" w:rsidRPr="00D15429" w:rsidRDefault="00363EE0" w:rsidP="00363EE0">
      <w:pPr>
        <w:keepNext/>
        <w:tabs>
          <w:tab w:val="left" w:pos="2835"/>
        </w:tabs>
        <w:spacing w:before="120"/>
        <w:ind w:left="2835" w:right="562"/>
        <w:rPr>
          <w:rFonts w:cs="Arial"/>
          <w:sz w:val="18"/>
        </w:rPr>
      </w:pPr>
      <w:r>
        <w:rPr>
          <w:rFonts w:cs="Arial"/>
          <w:sz w:val="18"/>
        </w:rPr>
        <w:t>“(1)</w:t>
      </w:r>
      <w:r>
        <w:rPr>
          <w:rFonts w:cs="Arial"/>
          <w:sz w:val="18"/>
        </w:rPr>
        <w:tab/>
      </w:r>
      <w:r w:rsidR="003D5795" w:rsidRPr="00D15429">
        <w:rPr>
          <w:rFonts w:cs="Arial"/>
          <w:sz w:val="18"/>
        </w:rPr>
        <w:t xml:space="preserve">UPOV members to post and receive existing DUS reports and </w:t>
      </w:r>
      <w:r>
        <w:rPr>
          <w:rFonts w:cs="Arial"/>
          <w:sz w:val="18"/>
        </w:rPr>
        <w:t>arrange payment, as appropriate;</w:t>
      </w:r>
    </w:p>
    <w:p w:rsidR="003D5795" w:rsidRPr="00D15429" w:rsidRDefault="00363EE0" w:rsidP="00363EE0">
      <w:pPr>
        <w:tabs>
          <w:tab w:val="left" w:pos="2835"/>
        </w:tabs>
        <w:spacing w:before="120"/>
        <w:ind w:left="2835" w:right="562"/>
        <w:rPr>
          <w:rFonts w:cs="Arial"/>
          <w:sz w:val="18"/>
        </w:rPr>
      </w:pPr>
      <w:r>
        <w:rPr>
          <w:rFonts w:cs="Arial"/>
          <w:sz w:val="18"/>
        </w:rPr>
        <w:t>“(2)</w:t>
      </w:r>
      <w:r>
        <w:rPr>
          <w:rFonts w:cs="Arial"/>
          <w:sz w:val="18"/>
        </w:rPr>
        <w:tab/>
      </w:r>
      <w:r w:rsidR="003D5795" w:rsidRPr="00D15429">
        <w:rPr>
          <w:rFonts w:cs="Arial"/>
          <w:sz w:val="18"/>
        </w:rPr>
        <w:t>PVP applicants to request use of existing DUS reports an</w:t>
      </w:r>
      <w:r>
        <w:rPr>
          <w:rFonts w:cs="Arial"/>
          <w:sz w:val="18"/>
        </w:rPr>
        <w:t>d make payments, as appropriate.</w:t>
      </w:r>
    </w:p>
    <w:p w:rsidR="003D5795" w:rsidRPr="00D15429" w:rsidRDefault="00363EE0" w:rsidP="00363EE0">
      <w:pPr>
        <w:spacing w:before="120"/>
        <w:ind w:left="2268" w:right="562"/>
        <w:rPr>
          <w:rFonts w:cs="Arial"/>
          <w:sz w:val="18"/>
        </w:rPr>
      </w:pPr>
      <w:r>
        <w:rPr>
          <w:rFonts w:cs="Arial"/>
          <w:sz w:val="18"/>
        </w:rPr>
        <w:t>“(ii)</w:t>
      </w:r>
      <w:r>
        <w:rPr>
          <w:rFonts w:cs="Arial"/>
          <w:sz w:val="18"/>
        </w:rPr>
        <w:tab/>
      </w:r>
      <w:r w:rsidR="003D5795" w:rsidRPr="00D15429">
        <w:rPr>
          <w:rFonts w:cs="Arial"/>
          <w:sz w:val="18"/>
        </w:rPr>
        <w:t>UPOV members to make their documented DUS procedures and information on their quality management systems available to other members of the Union</w:t>
      </w:r>
      <w:r>
        <w:rPr>
          <w:rFonts w:cs="Arial"/>
          <w:sz w:val="18"/>
        </w:rPr>
        <w:t>.</w:t>
      </w:r>
    </w:p>
    <w:p w:rsidR="003D5795" w:rsidRPr="00D15429" w:rsidRDefault="003D5795" w:rsidP="003D5795">
      <w:pPr>
        <w:tabs>
          <w:tab w:val="left" w:pos="1701"/>
        </w:tabs>
        <w:ind w:left="1134" w:right="567"/>
        <w:contextualSpacing/>
        <w:rPr>
          <w:rFonts w:cs="Arial"/>
          <w:sz w:val="18"/>
        </w:rPr>
      </w:pPr>
    </w:p>
    <w:p w:rsidR="00363EE0" w:rsidRDefault="00363EE0" w:rsidP="00363EE0">
      <w:pPr>
        <w:tabs>
          <w:tab w:val="left" w:pos="1701"/>
        </w:tabs>
        <w:ind w:left="1701" w:right="567"/>
        <w:contextualSpacing/>
        <w:rPr>
          <w:rFonts w:cs="Arial"/>
          <w:sz w:val="18"/>
        </w:rPr>
      </w:pPr>
      <w:r>
        <w:rPr>
          <w:rFonts w:cs="Arial"/>
          <w:sz w:val="18"/>
        </w:rPr>
        <w:t>“(b)</w:t>
      </w:r>
      <w:r>
        <w:rPr>
          <w:rFonts w:cs="Arial"/>
          <w:sz w:val="18"/>
        </w:rPr>
        <w:tab/>
      </w:r>
      <w:r w:rsidR="003D5795" w:rsidRPr="00D15429">
        <w:rPr>
          <w:rFonts w:cs="Arial"/>
          <w:sz w:val="18"/>
        </w:rPr>
        <w:t xml:space="preserve">Tool to provide information on cooperation </w:t>
      </w:r>
      <w:r>
        <w:rPr>
          <w:rFonts w:cs="Arial"/>
          <w:sz w:val="18"/>
        </w:rPr>
        <w:t>in DUS examination between UPOV </w:t>
      </w:r>
      <w:r w:rsidR="003D5795" w:rsidRPr="00D15429">
        <w:rPr>
          <w:rFonts w:cs="Arial"/>
          <w:sz w:val="18"/>
        </w:rPr>
        <w:t>members to PVP applicants in a user-friendly form, using information contained in the GENIE database</w:t>
      </w:r>
      <w:r>
        <w:rPr>
          <w:rFonts w:cs="Arial"/>
          <w:sz w:val="18"/>
        </w:rPr>
        <w:t>;</w:t>
      </w:r>
    </w:p>
    <w:p w:rsidR="00363EE0" w:rsidRDefault="00363EE0" w:rsidP="00363EE0">
      <w:pPr>
        <w:tabs>
          <w:tab w:val="left" w:pos="1701"/>
        </w:tabs>
        <w:ind w:left="1701" w:right="567"/>
        <w:contextualSpacing/>
        <w:rPr>
          <w:rFonts w:cs="Arial"/>
          <w:sz w:val="18"/>
        </w:rPr>
      </w:pPr>
    </w:p>
    <w:p w:rsidR="00363EE0" w:rsidRDefault="00363EE0" w:rsidP="00363EE0">
      <w:pPr>
        <w:tabs>
          <w:tab w:val="left" w:pos="1701"/>
        </w:tabs>
        <w:ind w:left="1701" w:right="567"/>
        <w:contextualSpacing/>
        <w:rPr>
          <w:rFonts w:cs="Arial"/>
          <w:sz w:val="18"/>
        </w:rPr>
      </w:pPr>
      <w:r>
        <w:rPr>
          <w:rFonts w:cs="Arial"/>
          <w:sz w:val="18"/>
        </w:rPr>
        <w:t>“(c)</w:t>
      </w:r>
      <w:r>
        <w:rPr>
          <w:rFonts w:cs="Arial"/>
          <w:sz w:val="18"/>
        </w:rPr>
        <w:tab/>
      </w:r>
      <w:r w:rsidR="003D5795" w:rsidRPr="00D15429">
        <w:rPr>
          <w:rFonts w:cs="Arial"/>
          <w:sz w:val="18"/>
        </w:rPr>
        <w:t>Module for UPOV members to use the web-based TG Template and database of characteristics to develop individual authorities’ test guidelines (IATG) in their language</w:t>
      </w:r>
      <w:r>
        <w:rPr>
          <w:rFonts w:cs="Arial"/>
          <w:sz w:val="18"/>
        </w:rPr>
        <w:t>;</w:t>
      </w:r>
    </w:p>
    <w:p w:rsidR="00363EE0" w:rsidRDefault="00363EE0" w:rsidP="00363EE0">
      <w:pPr>
        <w:tabs>
          <w:tab w:val="left" w:pos="1701"/>
        </w:tabs>
        <w:ind w:left="1701" w:right="567"/>
        <w:contextualSpacing/>
        <w:rPr>
          <w:rFonts w:cs="Arial"/>
          <w:sz w:val="18"/>
        </w:rPr>
      </w:pPr>
    </w:p>
    <w:p w:rsidR="003D5795" w:rsidRPr="00D15429" w:rsidRDefault="00363EE0" w:rsidP="00363EE0">
      <w:pPr>
        <w:tabs>
          <w:tab w:val="left" w:pos="1701"/>
        </w:tabs>
        <w:ind w:left="1701" w:right="567"/>
        <w:contextualSpacing/>
        <w:rPr>
          <w:rFonts w:cs="Arial"/>
          <w:sz w:val="18"/>
        </w:rPr>
      </w:pPr>
      <w:r>
        <w:rPr>
          <w:rFonts w:cs="Arial"/>
          <w:sz w:val="18"/>
        </w:rPr>
        <w:t>“(d)</w:t>
      </w:r>
      <w:r>
        <w:rPr>
          <w:rFonts w:cs="Arial"/>
          <w:sz w:val="18"/>
        </w:rPr>
        <w:tab/>
      </w:r>
      <w:r w:rsidR="003D5795" w:rsidRPr="00D15429">
        <w:rPr>
          <w:rFonts w:cs="Arial"/>
          <w:sz w:val="18"/>
        </w:rPr>
        <w:t>Platform for UPOV member databases containing variety description information</w:t>
      </w:r>
      <w:r>
        <w:rPr>
          <w:rFonts w:cs="Arial"/>
          <w:sz w:val="18"/>
        </w:rPr>
        <w:t>.</w:t>
      </w:r>
    </w:p>
    <w:p w:rsidR="003D5795" w:rsidRPr="00D15429" w:rsidRDefault="003D5795" w:rsidP="003D5795">
      <w:pPr>
        <w:tabs>
          <w:tab w:val="left" w:pos="567"/>
          <w:tab w:val="left" w:pos="1134"/>
          <w:tab w:val="left" w:pos="1701"/>
          <w:tab w:val="left" w:pos="5387"/>
          <w:tab w:val="left" w:pos="5954"/>
        </w:tabs>
        <w:ind w:left="1134" w:right="567"/>
        <w:rPr>
          <w:sz w:val="18"/>
        </w:rPr>
      </w:pPr>
    </w:p>
    <w:p w:rsidR="003D5795" w:rsidRPr="00D15429" w:rsidRDefault="00363EE0" w:rsidP="00D778BB">
      <w:pPr>
        <w:tabs>
          <w:tab w:val="left" w:pos="567"/>
          <w:tab w:val="left" w:pos="1134"/>
          <w:tab w:val="left" w:pos="1701"/>
          <w:tab w:val="left" w:pos="5387"/>
          <w:tab w:val="left" w:pos="5954"/>
        </w:tabs>
        <w:spacing w:after="20"/>
        <w:ind w:left="1138" w:right="562"/>
        <w:rPr>
          <w:sz w:val="18"/>
        </w:rPr>
      </w:pPr>
      <w:r>
        <w:rPr>
          <w:snapToGrid w:val="0"/>
          <w:sz w:val="18"/>
        </w:rPr>
        <w:t>“</w:t>
      </w:r>
      <w:r w:rsidR="003D5795" w:rsidRPr="00D15429">
        <w:rPr>
          <w:snapToGrid w:val="0"/>
          <w:sz w:val="18"/>
        </w:rPr>
        <w:t>42.</w:t>
      </w:r>
      <w:r w:rsidR="003D5795" w:rsidRPr="00D15429">
        <w:rPr>
          <w:snapToGrid w:val="0"/>
          <w:sz w:val="18"/>
        </w:rPr>
        <w:tab/>
        <w:t xml:space="preserve">The TC noted </w:t>
      </w:r>
      <w:r w:rsidR="003D5795" w:rsidRPr="00D15429">
        <w:rPr>
          <w:sz w:val="18"/>
        </w:rPr>
        <w:t>the potential for machine translation technology to reduce translation costs for UPOV documents in UPOV languages and to make UPOV materials in a wider range of languages.</w:t>
      </w:r>
    </w:p>
    <w:p w:rsidR="003D5795" w:rsidRPr="00D15429" w:rsidRDefault="003D5795" w:rsidP="003D5795">
      <w:pPr>
        <w:tabs>
          <w:tab w:val="left" w:pos="567"/>
          <w:tab w:val="left" w:pos="1134"/>
          <w:tab w:val="left" w:pos="1701"/>
          <w:tab w:val="left" w:pos="5954"/>
        </w:tabs>
        <w:ind w:left="1134" w:right="567"/>
        <w:rPr>
          <w:sz w:val="18"/>
        </w:rPr>
      </w:pPr>
    </w:p>
    <w:p w:rsidR="003D5795" w:rsidRPr="00D15429" w:rsidRDefault="00363EE0" w:rsidP="003D5795">
      <w:pPr>
        <w:tabs>
          <w:tab w:val="left" w:pos="567"/>
          <w:tab w:val="left" w:pos="1134"/>
          <w:tab w:val="left" w:pos="1701"/>
          <w:tab w:val="left" w:pos="5387"/>
          <w:tab w:val="left" w:pos="5954"/>
        </w:tabs>
        <w:ind w:left="1134" w:right="567"/>
        <w:rPr>
          <w:sz w:val="18"/>
        </w:rPr>
      </w:pPr>
      <w:r>
        <w:rPr>
          <w:snapToGrid w:val="0"/>
          <w:sz w:val="18"/>
        </w:rPr>
        <w:t>“</w:t>
      </w:r>
      <w:r w:rsidR="003D5795" w:rsidRPr="00D15429">
        <w:rPr>
          <w:snapToGrid w:val="0"/>
          <w:sz w:val="18"/>
        </w:rPr>
        <w:t>43.</w:t>
      </w:r>
      <w:r w:rsidR="003D5795" w:rsidRPr="00D15429">
        <w:rPr>
          <w:snapToGrid w:val="0"/>
          <w:sz w:val="18"/>
        </w:rPr>
        <w:tab/>
        <w:t>The TC agreed to revise document </w:t>
      </w:r>
      <w:r w:rsidR="003D5795" w:rsidRPr="00D15429">
        <w:rPr>
          <w:sz w:val="18"/>
        </w:rPr>
        <w:t>TGP/5, Section 6: “UPOV Report on Technical Examination and UPOV Variety Description”, to include additional information in DUS test reports, to:</w:t>
      </w:r>
    </w:p>
    <w:p w:rsidR="003D5795" w:rsidRPr="00D15429" w:rsidRDefault="003D5795" w:rsidP="003D5795">
      <w:pPr>
        <w:tabs>
          <w:tab w:val="left" w:pos="567"/>
          <w:tab w:val="left" w:pos="1134"/>
          <w:tab w:val="left" w:pos="1701"/>
          <w:tab w:val="left" w:pos="5387"/>
          <w:tab w:val="left" w:pos="5954"/>
        </w:tabs>
        <w:ind w:left="1134" w:right="567"/>
        <w:rPr>
          <w:sz w:val="18"/>
        </w:rPr>
      </w:pPr>
    </w:p>
    <w:p w:rsidR="003D5795" w:rsidRPr="00D15429" w:rsidRDefault="003D5795" w:rsidP="00D778BB">
      <w:pPr>
        <w:numPr>
          <w:ilvl w:val="0"/>
          <w:numId w:val="3"/>
        </w:numPr>
        <w:spacing w:after="200" w:line="276" w:lineRule="auto"/>
        <w:ind w:left="2160" w:right="567" w:hanging="450"/>
        <w:contextualSpacing/>
        <w:jc w:val="left"/>
        <w:rPr>
          <w:rFonts w:cs="Arial"/>
          <w:sz w:val="18"/>
        </w:rPr>
      </w:pPr>
      <w:r w:rsidRPr="00D15429">
        <w:rPr>
          <w:rFonts w:cs="Arial"/>
          <w:sz w:val="18"/>
        </w:rPr>
        <w:t>provide information on varieties included in the variety collection</w:t>
      </w:r>
    </w:p>
    <w:p w:rsidR="003D5795" w:rsidRPr="00D15429" w:rsidRDefault="003D5795" w:rsidP="00D778BB">
      <w:pPr>
        <w:numPr>
          <w:ilvl w:val="0"/>
          <w:numId w:val="3"/>
        </w:numPr>
        <w:spacing w:after="200" w:line="276" w:lineRule="auto"/>
        <w:ind w:left="2160" w:right="567" w:hanging="450"/>
        <w:contextualSpacing/>
        <w:jc w:val="left"/>
        <w:rPr>
          <w:rFonts w:cs="Arial"/>
          <w:sz w:val="18"/>
        </w:rPr>
      </w:pPr>
      <w:r w:rsidRPr="00D15429">
        <w:rPr>
          <w:rFonts w:cs="Arial"/>
          <w:sz w:val="18"/>
        </w:rPr>
        <w:t>report the varieties considered in the examination (not only similar varieties)</w:t>
      </w:r>
    </w:p>
    <w:p w:rsidR="003D5795" w:rsidRPr="00D15429" w:rsidRDefault="003D5795" w:rsidP="00D778BB">
      <w:pPr>
        <w:numPr>
          <w:ilvl w:val="0"/>
          <w:numId w:val="3"/>
        </w:numPr>
        <w:spacing w:after="200" w:line="276" w:lineRule="auto"/>
        <w:ind w:left="2160" w:right="567" w:hanging="450"/>
        <w:contextualSpacing/>
        <w:jc w:val="left"/>
        <w:rPr>
          <w:rFonts w:cs="Arial"/>
          <w:sz w:val="18"/>
        </w:rPr>
      </w:pPr>
      <w:r w:rsidRPr="00D15429">
        <w:rPr>
          <w:rFonts w:cs="Arial"/>
          <w:sz w:val="18"/>
        </w:rPr>
        <w:t>provide data from field observations with the DUS test report for each variety</w:t>
      </w:r>
    </w:p>
    <w:p w:rsidR="003D5795" w:rsidRPr="00D15429" w:rsidRDefault="003D5795" w:rsidP="00D778BB">
      <w:pPr>
        <w:numPr>
          <w:ilvl w:val="0"/>
          <w:numId w:val="3"/>
        </w:numPr>
        <w:spacing w:after="200" w:line="276" w:lineRule="auto"/>
        <w:ind w:left="2160" w:right="567" w:hanging="450"/>
        <w:contextualSpacing/>
        <w:jc w:val="left"/>
        <w:rPr>
          <w:rFonts w:cs="Arial"/>
          <w:sz w:val="18"/>
        </w:rPr>
      </w:pPr>
      <w:r w:rsidRPr="00D15429">
        <w:rPr>
          <w:rFonts w:cs="Arial"/>
          <w:sz w:val="18"/>
        </w:rPr>
        <w:t>provide information on environment in which the DUS examination was conducted</w:t>
      </w:r>
    </w:p>
    <w:p w:rsidR="003D5795" w:rsidRPr="00D15429" w:rsidRDefault="003D5795" w:rsidP="003D5795">
      <w:pPr>
        <w:tabs>
          <w:tab w:val="left" w:pos="1701"/>
        </w:tabs>
        <w:spacing w:after="200" w:line="276" w:lineRule="auto"/>
        <w:ind w:left="1134" w:right="567"/>
        <w:contextualSpacing/>
        <w:jc w:val="left"/>
        <w:rPr>
          <w:rFonts w:cs="Arial"/>
          <w:sz w:val="18"/>
        </w:rPr>
      </w:pPr>
    </w:p>
    <w:p w:rsidR="003D5795" w:rsidRPr="00D15429" w:rsidRDefault="00363EE0" w:rsidP="003D5795">
      <w:pPr>
        <w:tabs>
          <w:tab w:val="left" w:pos="567"/>
          <w:tab w:val="left" w:pos="1134"/>
          <w:tab w:val="left" w:pos="1701"/>
          <w:tab w:val="left" w:pos="5387"/>
          <w:tab w:val="left" w:pos="5954"/>
        </w:tabs>
        <w:ind w:left="1134" w:right="567"/>
        <w:rPr>
          <w:snapToGrid w:val="0"/>
          <w:sz w:val="18"/>
        </w:rPr>
      </w:pPr>
      <w:r>
        <w:rPr>
          <w:snapToGrid w:val="0"/>
          <w:sz w:val="18"/>
        </w:rPr>
        <w:t>“</w:t>
      </w:r>
      <w:r w:rsidR="003D5795" w:rsidRPr="00D15429">
        <w:rPr>
          <w:snapToGrid w:val="0"/>
          <w:sz w:val="18"/>
        </w:rPr>
        <w:t>44.</w:t>
      </w:r>
      <w:r w:rsidR="003D5795" w:rsidRPr="00D15429">
        <w:rPr>
          <w:snapToGrid w:val="0"/>
          <w:sz w:val="18"/>
        </w:rPr>
        <w:tab/>
        <w:t xml:space="preserve">The TC agreed to assess the impact of the proposed plan on the basis of the number of cooperation agreements reported by members of the Union, as presented in document C/[xx]/INF/5 </w:t>
      </w:r>
      <w:r w:rsidR="00D778BB">
        <w:rPr>
          <w:snapToGrid w:val="0"/>
          <w:sz w:val="18"/>
        </w:rPr>
        <w:t>‘</w:t>
      </w:r>
      <w:r w:rsidR="003D5795" w:rsidRPr="00D15429">
        <w:rPr>
          <w:snapToGrid w:val="0"/>
          <w:sz w:val="18"/>
        </w:rPr>
        <w:t>Cooperation in examination</w:t>
      </w:r>
      <w:r w:rsidR="00D778BB">
        <w:rPr>
          <w:snapToGrid w:val="0"/>
          <w:sz w:val="18"/>
        </w:rPr>
        <w:t>’</w:t>
      </w:r>
      <w:r w:rsidR="00291C08">
        <w:rPr>
          <w:snapToGrid w:val="0"/>
          <w:sz w:val="18"/>
        </w:rPr>
        <w:t>”</w:t>
      </w:r>
      <w:r w:rsidR="003D5795" w:rsidRPr="00D15429">
        <w:rPr>
          <w:snapToGrid w:val="0"/>
          <w:sz w:val="18"/>
        </w:rPr>
        <w:t>.</w:t>
      </w:r>
    </w:p>
    <w:p w:rsidR="00050E16" w:rsidRPr="00D15429" w:rsidRDefault="00050E16" w:rsidP="00050E16"/>
    <w:p w:rsidR="00544581" w:rsidRPr="00D15429" w:rsidRDefault="00544581">
      <w:pPr>
        <w:jc w:val="left"/>
      </w:pPr>
    </w:p>
    <w:p w:rsidR="00050E16" w:rsidRPr="00D15429" w:rsidRDefault="00050E16" w:rsidP="00050E16"/>
    <w:p w:rsidR="009B440E" w:rsidRPr="00D15429" w:rsidRDefault="00050E16" w:rsidP="00050E16">
      <w:pPr>
        <w:jc w:val="right"/>
      </w:pPr>
      <w:r w:rsidRPr="00D15429">
        <w:t xml:space="preserve">[End of </w:t>
      </w:r>
      <w:r w:rsidR="00F0447A" w:rsidRPr="00D15429">
        <w:t xml:space="preserve">Annex and of </w:t>
      </w:r>
      <w:r w:rsidRPr="00D15429">
        <w:t>document]</w:t>
      </w:r>
    </w:p>
    <w:p w:rsidR="00903264" w:rsidRPr="00D15429" w:rsidRDefault="00903264">
      <w:pPr>
        <w:jc w:val="left"/>
      </w:pPr>
    </w:p>
    <w:p w:rsidR="00050E16" w:rsidRPr="00D15429" w:rsidRDefault="00050E16" w:rsidP="009B440E">
      <w:pPr>
        <w:jc w:val="left"/>
      </w:pPr>
    </w:p>
    <w:sectPr w:rsidR="00050E16" w:rsidRPr="00D15429"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346" w:rsidRDefault="00D80346" w:rsidP="006655D3">
      <w:r>
        <w:separator/>
      </w:r>
    </w:p>
    <w:p w:rsidR="00D80346" w:rsidRDefault="00D80346" w:rsidP="006655D3"/>
    <w:p w:rsidR="00D80346" w:rsidRDefault="00D80346" w:rsidP="006655D3"/>
  </w:endnote>
  <w:endnote w:type="continuationSeparator" w:id="0">
    <w:p w:rsidR="00D80346" w:rsidRDefault="00D80346" w:rsidP="006655D3">
      <w:r>
        <w:separator/>
      </w:r>
    </w:p>
    <w:p w:rsidR="00D80346" w:rsidRPr="00294751" w:rsidRDefault="00D80346">
      <w:pPr>
        <w:pStyle w:val="Footer"/>
        <w:spacing w:after="60"/>
        <w:rPr>
          <w:sz w:val="18"/>
          <w:lang w:val="fr-FR"/>
        </w:rPr>
      </w:pPr>
      <w:r w:rsidRPr="00294751">
        <w:rPr>
          <w:sz w:val="18"/>
          <w:lang w:val="fr-FR"/>
        </w:rPr>
        <w:t>[Suite de la note de la page précédente]</w:t>
      </w:r>
    </w:p>
    <w:p w:rsidR="00D80346" w:rsidRPr="00294751" w:rsidRDefault="00D80346" w:rsidP="006655D3">
      <w:pPr>
        <w:rPr>
          <w:lang w:val="fr-FR"/>
        </w:rPr>
      </w:pPr>
    </w:p>
    <w:p w:rsidR="00D80346" w:rsidRPr="00294751" w:rsidRDefault="00D80346" w:rsidP="006655D3">
      <w:pPr>
        <w:rPr>
          <w:lang w:val="fr-FR"/>
        </w:rPr>
      </w:pPr>
    </w:p>
  </w:endnote>
  <w:endnote w:type="continuationNotice" w:id="1">
    <w:p w:rsidR="00D80346" w:rsidRPr="00294751" w:rsidRDefault="00D80346" w:rsidP="006655D3">
      <w:pPr>
        <w:rPr>
          <w:lang w:val="fr-FR"/>
        </w:rPr>
      </w:pPr>
      <w:r w:rsidRPr="00294751">
        <w:rPr>
          <w:lang w:val="fr-FR"/>
        </w:rPr>
        <w:t>[Suite de la note page suivante]</w:t>
      </w:r>
    </w:p>
    <w:p w:rsidR="00D80346" w:rsidRPr="00294751" w:rsidRDefault="00D80346" w:rsidP="006655D3">
      <w:pPr>
        <w:rPr>
          <w:lang w:val="fr-FR"/>
        </w:rPr>
      </w:pPr>
    </w:p>
    <w:p w:rsidR="00D80346" w:rsidRPr="00294751" w:rsidRDefault="00D8034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346" w:rsidRDefault="00D80346" w:rsidP="006655D3">
      <w:r>
        <w:separator/>
      </w:r>
    </w:p>
  </w:footnote>
  <w:footnote w:type="continuationSeparator" w:id="0">
    <w:p w:rsidR="00D80346" w:rsidRDefault="00D80346" w:rsidP="006655D3">
      <w:r>
        <w:separator/>
      </w:r>
    </w:p>
  </w:footnote>
  <w:footnote w:type="continuationNotice" w:id="1">
    <w:p w:rsidR="00D80346" w:rsidRPr="00AB530F" w:rsidRDefault="00D80346" w:rsidP="00AB530F">
      <w:pPr>
        <w:pStyle w:val="Footer"/>
      </w:pPr>
    </w:p>
  </w:footnote>
  <w:footnote w:id="2">
    <w:p w:rsidR="00744F49" w:rsidRDefault="00744F49">
      <w:pPr>
        <w:pStyle w:val="FootnoteText"/>
      </w:pPr>
      <w:r>
        <w:rPr>
          <w:rStyle w:val="FootnoteReference"/>
        </w:rPr>
        <w:footnoteRef/>
      </w:r>
      <w:r>
        <w:t xml:space="preserve"> Held via electronic means on October 28, 2020</w:t>
      </w:r>
      <w:r w:rsidR="00D778BB">
        <w:t>.</w:t>
      </w:r>
    </w:p>
  </w:footnote>
  <w:footnote w:id="3">
    <w:p w:rsidR="004F0783" w:rsidRDefault="004F0783">
      <w:pPr>
        <w:pStyle w:val="FootnoteText"/>
      </w:pPr>
      <w:r>
        <w:rPr>
          <w:rStyle w:val="FootnoteReference"/>
        </w:rPr>
        <w:footnoteRef/>
      </w:r>
      <w:r>
        <w:t xml:space="preserve"> </w:t>
      </w:r>
      <w:r w:rsidRPr="004F0783">
        <w:rPr>
          <w:snapToGrid w:val="0"/>
        </w:rPr>
        <w:t>Extract from document CAJ/77/2 “Report on developments at the</w:t>
      </w:r>
      <w:r>
        <w:rPr>
          <w:snapToGrid w:val="0"/>
        </w:rPr>
        <w:t xml:space="preserve"> </w:t>
      </w:r>
      <w:r w:rsidRPr="004F0783">
        <w:rPr>
          <w:snapToGrid w:val="0"/>
        </w:rPr>
        <w:t>Technical Committee”</w:t>
      </w:r>
      <w:r w:rsidR="00D778BB">
        <w:rPr>
          <w:snapToGrid w:val="0"/>
        </w:rPr>
        <w:t>.</w:t>
      </w:r>
    </w:p>
  </w:footnote>
  <w:footnote w:id="4">
    <w:p w:rsidR="00D778BB" w:rsidRPr="00D778BB" w:rsidRDefault="00D778BB">
      <w:pPr>
        <w:pStyle w:val="FootnoteText"/>
      </w:pPr>
      <w:r>
        <w:rPr>
          <w:rStyle w:val="FootnoteReference"/>
        </w:rPr>
        <w:footnoteRef/>
      </w:r>
      <w:r>
        <w:t xml:space="preserve"> Held in </w:t>
      </w:r>
      <w:r w:rsidRPr="00D778BB">
        <w:t>Geneva</w:t>
      </w:r>
      <w:r>
        <w:t xml:space="preserve"> on </w:t>
      </w:r>
      <w:r w:rsidRPr="00D778BB">
        <w:t xml:space="preserve">October 28 </w:t>
      </w:r>
      <w:r>
        <w:t>and</w:t>
      </w:r>
      <w:r w:rsidRPr="00D778BB">
        <w:t xml:space="preserve"> 29, 2019</w:t>
      </w:r>
      <w:r>
        <w:t>.</w:t>
      </w:r>
    </w:p>
  </w:footnote>
  <w:footnote w:id="5">
    <w:p w:rsidR="00D778BB" w:rsidRPr="00D778BB" w:rsidRDefault="00D778BB">
      <w:pPr>
        <w:pStyle w:val="FootnoteText"/>
      </w:pPr>
      <w:r>
        <w:rPr>
          <w:rStyle w:val="FootnoteReference"/>
        </w:rPr>
        <w:footnoteRef/>
      </w:r>
      <w:r>
        <w:t xml:space="preserve"> Held via electronic means on October 26 and 27, 2020</w:t>
      </w:r>
      <w:r w:rsidR="004A6CF7">
        <w:t>.</w:t>
      </w:r>
      <w:bookmarkStart w:id="10" w:name="_GoBack"/>
      <w:bookmarkEnd w:id="1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FC0275" w:rsidP="00EB048E">
    <w:pPr>
      <w:pStyle w:val="Header"/>
      <w:rPr>
        <w:rStyle w:val="PageNumber"/>
        <w:lang w:val="en-US"/>
      </w:rPr>
    </w:pPr>
    <w:r>
      <w:rPr>
        <w:rStyle w:val="PageNumber"/>
        <w:lang w:val="en-US"/>
      </w:rPr>
      <w:t>CAJ/78/9</w:t>
    </w:r>
  </w:p>
  <w:p w:rsidR="0004198B" w:rsidRPr="00C5280D" w:rsidRDefault="0004198B" w:rsidP="00363EE0">
    <w:pPr>
      <w:pStyle w:val="Header"/>
      <w:tabs>
        <w:tab w:val="center" w:pos="4819"/>
        <w:tab w:val="left" w:pos="5918"/>
      </w:tabs>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A6CF7">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F7" w:rsidRPr="00C5280D" w:rsidRDefault="007F2DF7" w:rsidP="00EB048E">
    <w:pPr>
      <w:pStyle w:val="Header"/>
      <w:rPr>
        <w:rStyle w:val="PageNumber"/>
        <w:lang w:val="en-US"/>
      </w:rPr>
    </w:pPr>
    <w:r>
      <w:rPr>
        <w:rStyle w:val="PageNumber"/>
        <w:lang w:val="en-US"/>
      </w:rPr>
      <w:t>CAJ/78/9</w:t>
    </w:r>
  </w:p>
  <w:p w:rsidR="007F2DF7" w:rsidRPr="00C5280D" w:rsidRDefault="007F2DF7" w:rsidP="00363EE0">
    <w:pPr>
      <w:pStyle w:val="Header"/>
      <w:tabs>
        <w:tab w:val="center" w:pos="4819"/>
        <w:tab w:val="left" w:pos="5918"/>
      </w:tabs>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A6CF7">
      <w:rPr>
        <w:rStyle w:val="PageNumber"/>
        <w:noProof/>
        <w:lang w:val="en-US"/>
      </w:rPr>
      <w:t>2</w:t>
    </w:r>
    <w:r w:rsidRPr="00C5280D">
      <w:rPr>
        <w:rStyle w:val="PageNumber"/>
        <w:lang w:val="en-US"/>
      </w:rPr>
      <w:fldChar w:fldCharType="end"/>
    </w:r>
  </w:p>
  <w:p w:rsidR="007F2DF7" w:rsidRPr="00C5280D" w:rsidRDefault="007F2DF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DF7" w:rsidRPr="00C5280D" w:rsidRDefault="007F2DF7" w:rsidP="007F2DF7">
    <w:pPr>
      <w:pStyle w:val="Header"/>
      <w:rPr>
        <w:rStyle w:val="PageNumber"/>
        <w:lang w:val="en-US"/>
      </w:rPr>
    </w:pPr>
    <w:r>
      <w:rPr>
        <w:rStyle w:val="PageNumber"/>
        <w:lang w:val="en-US"/>
      </w:rPr>
      <w:t>CAJ/78/9</w:t>
    </w:r>
  </w:p>
  <w:p w:rsidR="007F2DF7" w:rsidRDefault="007F2DF7" w:rsidP="0004198B">
    <w:pPr>
      <w:pStyle w:val="Header"/>
      <w:rPr>
        <w:lang w:val="en-US"/>
      </w:rPr>
    </w:pPr>
  </w:p>
  <w:p w:rsidR="007F2DF7" w:rsidRPr="0004198B" w:rsidRDefault="007F2DF7" w:rsidP="0004198B">
    <w:pPr>
      <w:pStyle w:val="Heade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0F25425A"/>
    <w:multiLevelType w:val="hybridMultilevel"/>
    <w:tmpl w:val="0D88997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2186661"/>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128F2568"/>
    <w:multiLevelType w:val="hybridMultilevel"/>
    <w:tmpl w:val="8CF4E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849CB"/>
    <w:multiLevelType w:val="hybridMultilevel"/>
    <w:tmpl w:val="614C130E"/>
    <w:lvl w:ilvl="0" w:tplc="80A83610">
      <w:start w:val="1"/>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6"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673032"/>
    <w:multiLevelType w:val="hybridMultilevel"/>
    <w:tmpl w:val="9D381CD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0572C8F"/>
    <w:multiLevelType w:val="hybridMultilevel"/>
    <w:tmpl w:val="59F8D3A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3544BAD"/>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8BF3AAA"/>
    <w:multiLevelType w:val="hybridMultilevel"/>
    <w:tmpl w:val="C23AE222"/>
    <w:lvl w:ilvl="0" w:tplc="8E6AF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1"/>
  </w:num>
  <w:num w:numId="7">
    <w:abstractNumId w:val="10"/>
  </w:num>
  <w:num w:numId="8">
    <w:abstractNumId w:val="4"/>
  </w:num>
  <w:num w:numId="9">
    <w:abstractNumId w:val="3"/>
  </w:num>
  <w:num w:numId="10">
    <w:abstractNumId w:val="9"/>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A5"/>
    <w:rsid w:val="00010CF3"/>
    <w:rsid w:val="00011E27"/>
    <w:rsid w:val="000148BC"/>
    <w:rsid w:val="00024AB8"/>
    <w:rsid w:val="00030854"/>
    <w:rsid w:val="00036028"/>
    <w:rsid w:val="0004140E"/>
    <w:rsid w:val="0004198B"/>
    <w:rsid w:val="00044642"/>
    <w:rsid w:val="000446B9"/>
    <w:rsid w:val="00047E21"/>
    <w:rsid w:val="00050E16"/>
    <w:rsid w:val="000644A1"/>
    <w:rsid w:val="00073C1D"/>
    <w:rsid w:val="00085505"/>
    <w:rsid w:val="00087908"/>
    <w:rsid w:val="000C4E25"/>
    <w:rsid w:val="000C7021"/>
    <w:rsid w:val="000C757B"/>
    <w:rsid w:val="000D6BBC"/>
    <w:rsid w:val="000D7780"/>
    <w:rsid w:val="000E1CD3"/>
    <w:rsid w:val="000E636A"/>
    <w:rsid w:val="000F2F11"/>
    <w:rsid w:val="00100A5F"/>
    <w:rsid w:val="00105929"/>
    <w:rsid w:val="00110BED"/>
    <w:rsid w:val="00110C36"/>
    <w:rsid w:val="001131D5"/>
    <w:rsid w:val="00113E82"/>
    <w:rsid w:val="00114547"/>
    <w:rsid w:val="0013024B"/>
    <w:rsid w:val="00141DB8"/>
    <w:rsid w:val="001507B5"/>
    <w:rsid w:val="001542EC"/>
    <w:rsid w:val="00172084"/>
    <w:rsid w:val="0017474A"/>
    <w:rsid w:val="001758C6"/>
    <w:rsid w:val="00182B99"/>
    <w:rsid w:val="001A14A5"/>
    <w:rsid w:val="001C0E54"/>
    <w:rsid w:val="001C1525"/>
    <w:rsid w:val="001E4F11"/>
    <w:rsid w:val="001E5E08"/>
    <w:rsid w:val="001F0AF4"/>
    <w:rsid w:val="00202CAD"/>
    <w:rsid w:val="0021332C"/>
    <w:rsid w:val="00213453"/>
    <w:rsid w:val="00213982"/>
    <w:rsid w:val="0024416D"/>
    <w:rsid w:val="00271911"/>
    <w:rsid w:val="00273187"/>
    <w:rsid w:val="002800A0"/>
    <w:rsid w:val="002801B3"/>
    <w:rsid w:val="00281060"/>
    <w:rsid w:val="00285BD0"/>
    <w:rsid w:val="00291C08"/>
    <w:rsid w:val="002940E8"/>
    <w:rsid w:val="00294751"/>
    <w:rsid w:val="002A6E50"/>
    <w:rsid w:val="002B4298"/>
    <w:rsid w:val="002B7A36"/>
    <w:rsid w:val="002C256A"/>
    <w:rsid w:val="002D5226"/>
    <w:rsid w:val="00305A7F"/>
    <w:rsid w:val="003152FE"/>
    <w:rsid w:val="00322091"/>
    <w:rsid w:val="00327436"/>
    <w:rsid w:val="00344BD6"/>
    <w:rsid w:val="00350678"/>
    <w:rsid w:val="0035528D"/>
    <w:rsid w:val="00361821"/>
    <w:rsid w:val="00361E9E"/>
    <w:rsid w:val="00363EE0"/>
    <w:rsid w:val="003753EE"/>
    <w:rsid w:val="003A0835"/>
    <w:rsid w:val="003A5AAF"/>
    <w:rsid w:val="003A6380"/>
    <w:rsid w:val="003A743A"/>
    <w:rsid w:val="003B700A"/>
    <w:rsid w:val="003C7FBE"/>
    <w:rsid w:val="003D227C"/>
    <w:rsid w:val="003D2B4D"/>
    <w:rsid w:val="003D5795"/>
    <w:rsid w:val="003F37F5"/>
    <w:rsid w:val="003F6E04"/>
    <w:rsid w:val="004266B7"/>
    <w:rsid w:val="00444A88"/>
    <w:rsid w:val="00474DA4"/>
    <w:rsid w:val="00476B4D"/>
    <w:rsid w:val="00477054"/>
    <w:rsid w:val="004805FA"/>
    <w:rsid w:val="004935D2"/>
    <w:rsid w:val="00494C8B"/>
    <w:rsid w:val="004A6CF7"/>
    <w:rsid w:val="004B11C2"/>
    <w:rsid w:val="004B1215"/>
    <w:rsid w:val="004D047D"/>
    <w:rsid w:val="004F0783"/>
    <w:rsid w:val="004F1E9E"/>
    <w:rsid w:val="004F2ECF"/>
    <w:rsid w:val="004F305A"/>
    <w:rsid w:val="00501478"/>
    <w:rsid w:val="00512164"/>
    <w:rsid w:val="00512841"/>
    <w:rsid w:val="00520297"/>
    <w:rsid w:val="005338F9"/>
    <w:rsid w:val="0054281C"/>
    <w:rsid w:val="00544581"/>
    <w:rsid w:val="0055268D"/>
    <w:rsid w:val="00575DE2"/>
    <w:rsid w:val="00576BE4"/>
    <w:rsid w:val="005779DB"/>
    <w:rsid w:val="005A400A"/>
    <w:rsid w:val="005B193A"/>
    <w:rsid w:val="005B269D"/>
    <w:rsid w:val="005F7B92"/>
    <w:rsid w:val="00612379"/>
    <w:rsid w:val="00613611"/>
    <w:rsid w:val="006153B6"/>
    <w:rsid w:val="0061555F"/>
    <w:rsid w:val="00622293"/>
    <w:rsid w:val="006245ED"/>
    <w:rsid w:val="00624A2F"/>
    <w:rsid w:val="0063105E"/>
    <w:rsid w:val="00636CA6"/>
    <w:rsid w:val="00640D18"/>
    <w:rsid w:val="00641200"/>
    <w:rsid w:val="00645CA8"/>
    <w:rsid w:val="006655D3"/>
    <w:rsid w:val="00667404"/>
    <w:rsid w:val="00687EB4"/>
    <w:rsid w:val="00695C56"/>
    <w:rsid w:val="006A5537"/>
    <w:rsid w:val="006A5CDE"/>
    <w:rsid w:val="006A644A"/>
    <w:rsid w:val="006B17D2"/>
    <w:rsid w:val="006C224E"/>
    <w:rsid w:val="006C41DF"/>
    <w:rsid w:val="006C6A43"/>
    <w:rsid w:val="006D0670"/>
    <w:rsid w:val="006D780A"/>
    <w:rsid w:val="0071271E"/>
    <w:rsid w:val="00732DEC"/>
    <w:rsid w:val="00735BD5"/>
    <w:rsid w:val="00744F49"/>
    <w:rsid w:val="007451EC"/>
    <w:rsid w:val="007512AB"/>
    <w:rsid w:val="00751613"/>
    <w:rsid w:val="00753EE9"/>
    <w:rsid w:val="007556F6"/>
    <w:rsid w:val="00760EEF"/>
    <w:rsid w:val="00777EE5"/>
    <w:rsid w:val="00782128"/>
    <w:rsid w:val="00784836"/>
    <w:rsid w:val="0079023E"/>
    <w:rsid w:val="007A2854"/>
    <w:rsid w:val="007C1D92"/>
    <w:rsid w:val="007C1E8C"/>
    <w:rsid w:val="007C2DC4"/>
    <w:rsid w:val="007C4CB9"/>
    <w:rsid w:val="007D0B9D"/>
    <w:rsid w:val="007D19B0"/>
    <w:rsid w:val="007E7BBC"/>
    <w:rsid w:val="007F2DF7"/>
    <w:rsid w:val="007F498F"/>
    <w:rsid w:val="0080679D"/>
    <w:rsid w:val="008108B0"/>
    <w:rsid w:val="00811B20"/>
    <w:rsid w:val="00812609"/>
    <w:rsid w:val="00812F08"/>
    <w:rsid w:val="008134A5"/>
    <w:rsid w:val="008211B5"/>
    <w:rsid w:val="0082296E"/>
    <w:rsid w:val="00824099"/>
    <w:rsid w:val="00846D7C"/>
    <w:rsid w:val="00850CEB"/>
    <w:rsid w:val="008570AD"/>
    <w:rsid w:val="00865910"/>
    <w:rsid w:val="00866642"/>
    <w:rsid w:val="00866E41"/>
    <w:rsid w:val="00867AC1"/>
    <w:rsid w:val="008751DE"/>
    <w:rsid w:val="00890DF8"/>
    <w:rsid w:val="008A0ADE"/>
    <w:rsid w:val="008A641A"/>
    <w:rsid w:val="008A743F"/>
    <w:rsid w:val="008C0970"/>
    <w:rsid w:val="008D0408"/>
    <w:rsid w:val="008D0BC5"/>
    <w:rsid w:val="008D2CF7"/>
    <w:rsid w:val="008E40A2"/>
    <w:rsid w:val="00900C26"/>
    <w:rsid w:val="0090197F"/>
    <w:rsid w:val="00903264"/>
    <w:rsid w:val="00906DDC"/>
    <w:rsid w:val="00916DBF"/>
    <w:rsid w:val="00916FE2"/>
    <w:rsid w:val="00934E09"/>
    <w:rsid w:val="00936253"/>
    <w:rsid w:val="00940D46"/>
    <w:rsid w:val="009413F1"/>
    <w:rsid w:val="00952DD4"/>
    <w:rsid w:val="009561F4"/>
    <w:rsid w:val="00965AE7"/>
    <w:rsid w:val="00970FED"/>
    <w:rsid w:val="00992D82"/>
    <w:rsid w:val="00997029"/>
    <w:rsid w:val="009A7339"/>
    <w:rsid w:val="009B0B9D"/>
    <w:rsid w:val="009B440E"/>
    <w:rsid w:val="009D2B71"/>
    <w:rsid w:val="009D690D"/>
    <w:rsid w:val="009E390E"/>
    <w:rsid w:val="009E65B6"/>
    <w:rsid w:val="009F0A51"/>
    <w:rsid w:val="009F77CF"/>
    <w:rsid w:val="00A0267C"/>
    <w:rsid w:val="00A24C10"/>
    <w:rsid w:val="00A42AC3"/>
    <w:rsid w:val="00A430CF"/>
    <w:rsid w:val="00A54309"/>
    <w:rsid w:val="00A601F1"/>
    <w:rsid w:val="00A610A9"/>
    <w:rsid w:val="00A80F2A"/>
    <w:rsid w:val="00A83C9A"/>
    <w:rsid w:val="00A96442"/>
    <w:rsid w:val="00A96C33"/>
    <w:rsid w:val="00AB2B93"/>
    <w:rsid w:val="00AB530F"/>
    <w:rsid w:val="00AB7E5B"/>
    <w:rsid w:val="00AC2883"/>
    <w:rsid w:val="00AC465B"/>
    <w:rsid w:val="00AC6D87"/>
    <w:rsid w:val="00AC714F"/>
    <w:rsid w:val="00AE0EF1"/>
    <w:rsid w:val="00AE2937"/>
    <w:rsid w:val="00AF0EEF"/>
    <w:rsid w:val="00B07301"/>
    <w:rsid w:val="00B11F3E"/>
    <w:rsid w:val="00B224DE"/>
    <w:rsid w:val="00B30BAD"/>
    <w:rsid w:val="00B324D4"/>
    <w:rsid w:val="00B46575"/>
    <w:rsid w:val="00B61777"/>
    <w:rsid w:val="00B622E6"/>
    <w:rsid w:val="00B6412B"/>
    <w:rsid w:val="00B64A27"/>
    <w:rsid w:val="00B80AC0"/>
    <w:rsid w:val="00B83E82"/>
    <w:rsid w:val="00B84BBD"/>
    <w:rsid w:val="00BA43FB"/>
    <w:rsid w:val="00BC127D"/>
    <w:rsid w:val="00BC1FE6"/>
    <w:rsid w:val="00BD3D45"/>
    <w:rsid w:val="00C061B6"/>
    <w:rsid w:val="00C2446C"/>
    <w:rsid w:val="00C36AE5"/>
    <w:rsid w:val="00C41F17"/>
    <w:rsid w:val="00C527FA"/>
    <w:rsid w:val="00C5280D"/>
    <w:rsid w:val="00C53EB3"/>
    <w:rsid w:val="00C5791C"/>
    <w:rsid w:val="00C66290"/>
    <w:rsid w:val="00C67998"/>
    <w:rsid w:val="00C72B7A"/>
    <w:rsid w:val="00C973F2"/>
    <w:rsid w:val="00CA304C"/>
    <w:rsid w:val="00CA774A"/>
    <w:rsid w:val="00CB4921"/>
    <w:rsid w:val="00CB59C2"/>
    <w:rsid w:val="00CC11B0"/>
    <w:rsid w:val="00CC2841"/>
    <w:rsid w:val="00CD5968"/>
    <w:rsid w:val="00CE7077"/>
    <w:rsid w:val="00CF1330"/>
    <w:rsid w:val="00CF482A"/>
    <w:rsid w:val="00CF7E36"/>
    <w:rsid w:val="00D15429"/>
    <w:rsid w:val="00D3708D"/>
    <w:rsid w:val="00D40426"/>
    <w:rsid w:val="00D57C96"/>
    <w:rsid w:val="00D57D18"/>
    <w:rsid w:val="00D70E65"/>
    <w:rsid w:val="00D7692A"/>
    <w:rsid w:val="00D778BB"/>
    <w:rsid w:val="00D80346"/>
    <w:rsid w:val="00D80589"/>
    <w:rsid w:val="00D85D17"/>
    <w:rsid w:val="00D86E55"/>
    <w:rsid w:val="00D91203"/>
    <w:rsid w:val="00D95174"/>
    <w:rsid w:val="00DA4973"/>
    <w:rsid w:val="00DA6F36"/>
    <w:rsid w:val="00DB596E"/>
    <w:rsid w:val="00DB7773"/>
    <w:rsid w:val="00DC00EA"/>
    <w:rsid w:val="00DC3802"/>
    <w:rsid w:val="00DD6208"/>
    <w:rsid w:val="00DE2A35"/>
    <w:rsid w:val="00DF7E87"/>
    <w:rsid w:val="00DF7E99"/>
    <w:rsid w:val="00E07D87"/>
    <w:rsid w:val="00E11D45"/>
    <w:rsid w:val="00E2400B"/>
    <w:rsid w:val="00E249C8"/>
    <w:rsid w:val="00E256C5"/>
    <w:rsid w:val="00E32F7E"/>
    <w:rsid w:val="00E46E29"/>
    <w:rsid w:val="00E5267B"/>
    <w:rsid w:val="00E559F0"/>
    <w:rsid w:val="00E63C0E"/>
    <w:rsid w:val="00E72D49"/>
    <w:rsid w:val="00E74897"/>
    <w:rsid w:val="00E7593C"/>
    <w:rsid w:val="00E7678A"/>
    <w:rsid w:val="00E935F1"/>
    <w:rsid w:val="00E94A81"/>
    <w:rsid w:val="00EA1FFB"/>
    <w:rsid w:val="00EB048E"/>
    <w:rsid w:val="00EB4E9C"/>
    <w:rsid w:val="00EC03BA"/>
    <w:rsid w:val="00EE34DF"/>
    <w:rsid w:val="00EF2F89"/>
    <w:rsid w:val="00F03E98"/>
    <w:rsid w:val="00F0447A"/>
    <w:rsid w:val="00F1237A"/>
    <w:rsid w:val="00F22CBD"/>
    <w:rsid w:val="00F272F1"/>
    <w:rsid w:val="00F275C8"/>
    <w:rsid w:val="00F31412"/>
    <w:rsid w:val="00F45372"/>
    <w:rsid w:val="00F50A7F"/>
    <w:rsid w:val="00F560F7"/>
    <w:rsid w:val="00F6334D"/>
    <w:rsid w:val="00F63599"/>
    <w:rsid w:val="00F71781"/>
    <w:rsid w:val="00F962F7"/>
    <w:rsid w:val="00FA0365"/>
    <w:rsid w:val="00FA49AB"/>
    <w:rsid w:val="00FB0823"/>
    <w:rsid w:val="00FB4DBF"/>
    <w:rsid w:val="00FC0275"/>
    <w:rsid w:val="00FC5FD0"/>
    <w:rsid w:val="00FD75A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5C9486C"/>
  <w15:docId w15:val="{CF627A8B-35A4-4C2D-966E-89860C2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D5795"/>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3D5795"/>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3D5795"/>
    <w:rPr>
      <w:rFonts w:ascii="Arial" w:hAnsi="Arial"/>
      <w:i/>
    </w:rPr>
  </w:style>
  <w:style w:type="character" w:customStyle="1" w:styleId="FootnoteTextChar">
    <w:name w:val="Footnote Text Char"/>
    <w:basedOn w:val="DefaultParagraphFont"/>
    <w:link w:val="FootnoteText"/>
    <w:rsid w:val="00613611"/>
    <w:rPr>
      <w:rFonts w:ascii="Arial" w:hAnsi="Arial"/>
      <w:sz w:val="16"/>
    </w:rPr>
  </w:style>
  <w:style w:type="character" w:customStyle="1" w:styleId="Heading1Char">
    <w:name w:val="Heading 1 Char"/>
    <w:basedOn w:val="DefaultParagraphFont"/>
    <w:link w:val="Heading1"/>
    <w:rsid w:val="00613611"/>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5B3AC-139F-4CBB-90C4-87FCBEA5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CAJ/78/9</vt:lpstr>
    </vt:vector>
  </TitlesOfParts>
  <Company>UPOV</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CAJ/78/9</dc:title>
  <dc:creator>SANCHEZ VIZCAINO GOMEZ Rosa Maria</dc:creator>
  <cp:lastModifiedBy>SANTOS Carla Marina</cp:lastModifiedBy>
  <cp:revision>14</cp:revision>
  <cp:lastPrinted>2016-11-22T15:41:00Z</cp:lastPrinted>
  <dcterms:created xsi:type="dcterms:W3CDTF">2021-09-11T20:09:00Z</dcterms:created>
  <dcterms:modified xsi:type="dcterms:W3CDTF">2021-09-13T14:37:00Z</dcterms:modified>
</cp:coreProperties>
</file>