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Pr>
          <w:p w:rsidR="00EB4E9C" w:rsidRPr="003C7FBE" w:rsidRDefault="000B1F60" w:rsidP="003C7FBE">
            <w:pPr>
              <w:pStyle w:val="Doccode"/>
            </w:pPr>
            <w:r>
              <w:t>CAJ/78/6</w:t>
            </w:r>
          </w:p>
          <w:p w:rsidR="00EB4E9C" w:rsidRPr="00AE076E" w:rsidRDefault="00EB4E9C" w:rsidP="003C7FBE">
            <w:pPr>
              <w:pStyle w:val="Docoriginal"/>
            </w:pPr>
            <w:r w:rsidRPr="00AC2883">
              <w:t>Original:</w:t>
            </w:r>
            <w:r w:rsidRPr="000E636A">
              <w:rPr>
                <w:b w:val="0"/>
                <w:spacing w:val="0"/>
              </w:rPr>
              <w:t xml:space="preserve">  En</w:t>
            </w:r>
            <w:bookmarkStart w:id="0" w:name="_GoBack"/>
            <w:bookmarkEnd w:id="0"/>
            <w:r w:rsidRPr="00AE076E">
              <w:rPr>
                <w:b w:val="0"/>
                <w:spacing w:val="0"/>
              </w:rPr>
              <w:t>glish</w:t>
            </w:r>
          </w:p>
          <w:p w:rsidR="00EB4E9C" w:rsidRPr="007C1D92" w:rsidRDefault="00EB4E9C" w:rsidP="00AE076E">
            <w:pPr>
              <w:pStyle w:val="Docoriginal"/>
            </w:pPr>
            <w:r w:rsidRPr="00AE076E">
              <w:t>Date:</w:t>
            </w:r>
            <w:r w:rsidRPr="00AE076E">
              <w:rPr>
                <w:b w:val="0"/>
                <w:spacing w:val="0"/>
              </w:rPr>
              <w:t xml:space="preserve">  </w:t>
            </w:r>
            <w:r w:rsidR="007C1778" w:rsidRPr="00AE076E">
              <w:rPr>
                <w:b w:val="0"/>
                <w:spacing w:val="0"/>
              </w:rPr>
              <w:t>September 2</w:t>
            </w:r>
            <w:r w:rsidR="00AE076E" w:rsidRPr="00AE076E">
              <w:rPr>
                <w:b w:val="0"/>
                <w:spacing w:val="0"/>
              </w:rPr>
              <w:t>8</w:t>
            </w:r>
            <w:r w:rsidRPr="00AE076E">
              <w:rPr>
                <w:b w:val="0"/>
                <w:spacing w:val="0"/>
              </w:rPr>
              <w:t xml:space="preserve">, </w:t>
            </w:r>
            <w:r w:rsidR="00E559F0" w:rsidRPr="00AE076E">
              <w:rPr>
                <w:b w:val="0"/>
                <w:spacing w:val="0"/>
              </w:rPr>
              <w:t>20</w:t>
            </w:r>
            <w:r w:rsidR="005C3F8A" w:rsidRPr="00AE076E">
              <w:rPr>
                <w:b w:val="0"/>
                <w:spacing w:val="0"/>
              </w:rPr>
              <w:t>21</w:t>
            </w:r>
          </w:p>
        </w:tc>
      </w:tr>
    </w:tbl>
    <w:p w:rsidR="000D7780" w:rsidRPr="006A644A" w:rsidRDefault="000B1F60" w:rsidP="006A644A">
      <w:pPr>
        <w:pStyle w:val="Titleofdoc0"/>
      </w:pPr>
      <w:bookmarkStart w:id="1" w:name="TitleOfDoc"/>
      <w:bookmarkEnd w:id="1"/>
      <w:r w:rsidRPr="000B1F60">
        <w:t>Novelty of parent lines with regard to the exploitation of the hybrid variety</w:t>
      </w:r>
    </w:p>
    <w:p w:rsidR="006A644A" w:rsidRPr="006A644A" w:rsidRDefault="00AE0EF1" w:rsidP="006A644A">
      <w:pPr>
        <w:pStyle w:val="preparedby1"/>
        <w:jc w:val="left"/>
      </w:pPr>
      <w:bookmarkStart w:id="2" w:name="Prepared"/>
      <w:bookmarkEnd w:id="2"/>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CC16BE" w:rsidRDefault="00CC16BE" w:rsidP="00CC16BE">
      <w:pPr>
        <w:pStyle w:val="Heading1"/>
        <w:rPr>
          <w:snapToGrid w:val="0"/>
        </w:rPr>
      </w:pPr>
      <w:bookmarkStart w:id="3" w:name="_Toc83630450"/>
      <w:r>
        <w:rPr>
          <w:snapToGrid w:val="0"/>
        </w:rPr>
        <w:t>Executive Summary</w:t>
      </w:r>
      <w:bookmarkEnd w:id="3"/>
    </w:p>
    <w:p w:rsidR="00CC16BE" w:rsidRPr="00CC16BE" w:rsidRDefault="00CC16BE" w:rsidP="00CC16BE"/>
    <w:p w:rsidR="00CC16BE" w:rsidRDefault="00CC16BE" w:rsidP="0063606D">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63606D" w:rsidRPr="00885801">
        <w:rPr>
          <w:snapToGrid w:val="0"/>
        </w:rPr>
        <w:t xml:space="preserve">The purpose of this document </w:t>
      </w:r>
      <w:r w:rsidR="00885801" w:rsidRPr="00885801">
        <w:rPr>
          <w:snapToGrid w:val="0"/>
        </w:rPr>
        <w:t xml:space="preserve">is to invite the </w:t>
      </w:r>
      <w:r w:rsidR="00FE49E7">
        <w:rPr>
          <w:snapToGrid w:val="0"/>
        </w:rPr>
        <w:t>Administrative and Legal Committee (</w:t>
      </w:r>
      <w:r w:rsidR="00885801" w:rsidRPr="00885801">
        <w:rPr>
          <w:snapToGrid w:val="0"/>
        </w:rPr>
        <w:t>CAJ</w:t>
      </w:r>
      <w:r w:rsidR="00FE49E7">
        <w:rPr>
          <w:snapToGrid w:val="0"/>
        </w:rPr>
        <w:t>)</w:t>
      </w:r>
      <w:r w:rsidR="00885801" w:rsidRPr="00885801">
        <w:rPr>
          <w:snapToGrid w:val="0"/>
        </w:rPr>
        <w:t xml:space="preserve"> to consider a proposal </w:t>
      </w:r>
      <w:r w:rsidR="0063606D" w:rsidRPr="00885801">
        <w:rPr>
          <w:snapToGrid w:val="0"/>
        </w:rPr>
        <w:t xml:space="preserve">concerning </w:t>
      </w:r>
      <w:r w:rsidR="00885801" w:rsidRPr="00885801">
        <w:rPr>
          <w:snapToGrid w:val="0"/>
        </w:rPr>
        <w:t xml:space="preserve">a new timetable for the next steps of the development of </w:t>
      </w:r>
      <w:r w:rsidR="0063606D" w:rsidRPr="00885801">
        <w:rPr>
          <w:snapToGrid w:val="0"/>
        </w:rPr>
        <w:t>possible guidance on the novelty of parent lines with regard to the exploitation of the hybrid variety.</w:t>
      </w:r>
    </w:p>
    <w:p w:rsidR="0063606D" w:rsidRDefault="0063606D" w:rsidP="00CC16BE">
      <w:pPr>
        <w:rPr>
          <w:snapToGrid w:val="0"/>
        </w:rPr>
      </w:pPr>
    </w:p>
    <w:p w:rsidR="00CC16BE" w:rsidRDefault="00CC16BE" w:rsidP="00CC16BE">
      <w:r w:rsidRPr="00AF3770">
        <w:fldChar w:fldCharType="begin"/>
      </w:r>
      <w:r w:rsidRPr="00AF3770">
        <w:instrText xml:space="preserve"> AUTONUM  </w:instrText>
      </w:r>
      <w:r w:rsidRPr="00AF3770">
        <w:fldChar w:fldCharType="end"/>
      </w:r>
      <w:r w:rsidRPr="00AF3770">
        <w:tab/>
        <w:t xml:space="preserve">The CAJ </w:t>
      </w:r>
      <w:proofErr w:type="gramStart"/>
      <w:r w:rsidRPr="00AF3770">
        <w:t>is invited</w:t>
      </w:r>
      <w:proofErr w:type="gramEnd"/>
      <w:r w:rsidRPr="00AF3770">
        <w:t xml:space="preserve"> to:</w:t>
      </w:r>
    </w:p>
    <w:p w:rsidR="00CC16BE" w:rsidRPr="00CC16BE" w:rsidRDefault="00CC16BE" w:rsidP="00CC16BE"/>
    <w:p w:rsidR="007C1778" w:rsidRDefault="007C1778" w:rsidP="007C1778">
      <w:r>
        <w:tab/>
        <w:t>(a)</w:t>
      </w:r>
      <w:r>
        <w:tab/>
        <w:t>invite members of the Union, ISF, AFSTA, APSA and SAA to make presentations on the novelty of parent lines with regard to the exploitation of th</w:t>
      </w:r>
      <w:r w:rsidR="00FE49E7">
        <w:t>e hybrid variety at the seventy</w:t>
      </w:r>
      <w:r w:rsidR="00FE49E7">
        <w:noBreakHyphen/>
      </w:r>
      <w:r>
        <w:t>ninth session of the CAJ;</w:t>
      </w:r>
      <w:r w:rsidR="00FE49E7">
        <w:t xml:space="preserve"> and</w:t>
      </w:r>
    </w:p>
    <w:p w:rsidR="007C1778" w:rsidRDefault="007C1778" w:rsidP="007C1778"/>
    <w:p w:rsidR="00673D08" w:rsidRPr="00CC16BE" w:rsidRDefault="007C1778" w:rsidP="007C1778">
      <w:r>
        <w:tab/>
        <w:t xml:space="preserve">(b) </w:t>
      </w:r>
      <w:r w:rsidR="00FE49E7">
        <w:tab/>
      </w:r>
      <w:r>
        <w:t>on the basis of the presentations and discussions at the seventy-ninth session of the CAJ, to consider inviting the Office of the Union to seek to prepare common guidance on that matter for consideration by the CAJ at its eightieth session.</w:t>
      </w:r>
    </w:p>
    <w:p w:rsidR="00CC16BE" w:rsidRPr="00CC16BE" w:rsidRDefault="00CC16BE" w:rsidP="00CC16BE"/>
    <w:p w:rsidR="00CC16BE" w:rsidRDefault="00CC16BE" w:rsidP="00CC16BE">
      <w:pPr>
        <w:rPr>
          <w:snapToGrid w:val="0"/>
        </w:rPr>
      </w:pPr>
      <w:r>
        <w:rPr>
          <w:snapToGrid w:val="0"/>
          <w:u w:val="single"/>
        </w:rPr>
        <w:t>Table of contents</w:t>
      </w:r>
    </w:p>
    <w:p w:rsidR="00CC16BE" w:rsidRPr="00AF3770" w:rsidRDefault="00CC16BE" w:rsidP="00CC16BE">
      <w:pPr>
        <w:rPr>
          <w:snapToGrid w:val="0"/>
          <w:sz w:val="16"/>
        </w:rPr>
      </w:pPr>
    </w:p>
    <w:p w:rsidR="007C1778" w:rsidRDefault="00CC16BE">
      <w:pPr>
        <w:pStyle w:val="TOC1"/>
        <w:rPr>
          <w:rFonts w:asciiTheme="minorHAnsi" w:eastAsiaTheme="minorEastAsia" w:hAnsiTheme="minorHAnsi" w:cstheme="minorBidi"/>
          <w:caps w:val="0"/>
          <w:noProof/>
          <w:sz w:val="22"/>
          <w:szCs w:val="22"/>
        </w:rPr>
      </w:pPr>
      <w:r>
        <w:rPr>
          <w:snapToGrid w:val="0"/>
          <w:sz w:val="18"/>
        </w:rPr>
        <w:fldChar w:fldCharType="begin"/>
      </w:r>
      <w:r>
        <w:rPr>
          <w:snapToGrid w:val="0"/>
        </w:rPr>
        <w:instrText xml:space="preserve"> TOC \o "1-1" \u </w:instrText>
      </w:r>
      <w:r>
        <w:rPr>
          <w:snapToGrid w:val="0"/>
          <w:sz w:val="18"/>
        </w:rPr>
        <w:fldChar w:fldCharType="separate"/>
      </w:r>
      <w:r w:rsidR="007C1778" w:rsidRPr="00384DA5">
        <w:rPr>
          <w:noProof/>
          <w:snapToGrid w:val="0"/>
        </w:rPr>
        <w:t>Executive Summary</w:t>
      </w:r>
      <w:r w:rsidR="007C1778">
        <w:rPr>
          <w:noProof/>
        </w:rPr>
        <w:tab/>
      </w:r>
      <w:r w:rsidR="007C1778">
        <w:rPr>
          <w:noProof/>
        </w:rPr>
        <w:fldChar w:fldCharType="begin"/>
      </w:r>
      <w:r w:rsidR="007C1778">
        <w:rPr>
          <w:noProof/>
        </w:rPr>
        <w:instrText xml:space="preserve"> PAGEREF _Toc83630450 \h </w:instrText>
      </w:r>
      <w:r w:rsidR="007C1778">
        <w:rPr>
          <w:noProof/>
        </w:rPr>
      </w:r>
      <w:r w:rsidR="007C1778">
        <w:rPr>
          <w:noProof/>
        </w:rPr>
        <w:fldChar w:fldCharType="separate"/>
      </w:r>
      <w:r w:rsidR="007C1778">
        <w:rPr>
          <w:noProof/>
        </w:rPr>
        <w:t>1</w:t>
      </w:r>
      <w:r w:rsidR="007C1778">
        <w:rPr>
          <w:noProof/>
        </w:rPr>
        <w:fldChar w:fldCharType="end"/>
      </w:r>
    </w:p>
    <w:p w:rsidR="007C1778" w:rsidRDefault="007C1778">
      <w:pPr>
        <w:pStyle w:val="TOC1"/>
        <w:rPr>
          <w:rFonts w:asciiTheme="minorHAnsi" w:eastAsiaTheme="minorEastAsia" w:hAnsiTheme="minorHAnsi" w:cstheme="minorBidi"/>
          <w:caps w:val="0"/>
          <w:noProof/>
          <w:sz w:val="22"/>
          <w:szCs w:val="22"/>
        </w:rPr>
      </w:pPr>
      <w:r w:rsidRPr="00384DA5">
        <w:rPr>
          <w:noProof/>
          <w:snapToGrid w:val="0"/>
        </w:rPr>
        <w:t>Background</w:t>
      </w:r>
      <w:r>
        <w:rPr>
          <w:noProof/>
        </w:rPr>
        <w:tab/>
      </w:r>
      <w:r>
        <w:rPr>
          <w:noProof/>
        </w:rPr>
        <w:fldChar w:fldCharType="begin"/>
      </w:r>
      <w:r>
        <w:rPr>
          <w:noProof/>
        </w:rPr>
        <w:instrText xml:space="preserve"> PAGEREF _Toc83630451 \h </w:instrText>
      </w:r>
      <w:r>
        <w:rPr>
          <w:noProof/>
        </w:rPr>
      </w:r>
      <w:r>
        <w:rPr>
          <w:noProof/>
        </w:rPr>
        <w:fldChar w:fldCharType="separate"/>
      </w:r>
      <w:r>
        <w:rPr>
          <w:noProof/>
        </w:rPr>
        <w:t>1</w:t>
      </w:r>
      <w:r>
        <w:rPr>
          <w:noProof/>
        </w:rPr>
        <w:fldChar w:fldCharType="end"/>
      </w:r>
    </w:p>
    <w:p w:rsidR="007C1778" w:rsidRDefault="007C1778">
      <w:pPr>
        <w:pStyle w:val="TOC1"/>
        <w:rPr>
          <w:rFonts w:asciiTheme="minorHAnsi" w:eastAsiaTheme="minorEastAsia" w:hAnsiTheme="minorHAnsi" w:cstheme="minorBidi"/>
          <w:caps w:val="0"/>
          <w:noProof/>
          <w:sz w:val="22"/>
          <w:szCs w:val="22"/>
        </w:rPr>
      </w:pPr>
      <w:r>
        <w:rPr>
          <w:noProof/>
        </w:rPr>
        <w:t>PROPOSAL for a revised TIMETABLE</w:t>
      </w:r>
      <w:r>
        <w:rPr>
          <w:noProof/>
        </w:rPr>
        <w:tab/>
      </w:r>
      <w:r>
        <w:rPr>
          <w:noProof/>
        </w:rPr>
        <w:fldChar w:fldCharType="begin"/>
      </w:r>
      <w:r>
        <w:rPr>
          <w:noProof/>
        </w:rPr>
        <w:instrText xml:space="preserve"> PAGEREF _Toc83630452 \h </w:instrText>
      </w:r>
      <w:r>
        <w:rPr>
          <w:noProof/>
        </w:rPr>
      </w:r>
      <w:r>
        <w:rPr>
          <w:noProof/>
        </w:rPr>
        <w:fldChar w:fldCharType="separate"/>
      </w:r>
      <w:r>
        <w:rPr>
          <w:noProof/>
        </w:rPr>
        <w:t>2</w:t>
      </w:r>
      <w:r>
        <w:rPr>
          <w:noProof/>
        </w:rPr>
        <w:fldChar w:fldCharType="end"/>
      </w:r>
    </w:p>
    <w:p w:rsidR="00CC16BE" w:rsidRPr="007955E4" w:rsidRDefault="00CC16BE" w:rsidP="007955E4">
      <w:r>
        <w:rPr>
          <w:snapToGrid w:val="0"/>
        </w:rPr>
        <w:fldChar w:fldCharType="end"/>
      </w:r>
    </w:p>
    <w:p w:rsidR="00CC16BE" w:rsidRPr="007955E4" w:rsidRDefault="00CC16BE" w:rsidP="007955E4"/>
    <w:p w:rsidR="00CC16BE" w:rsidRPr="007955E4" w:rsidRDefault="00CC16BE" w:rsidP="007955E4"/>
    <w:p w:rsidR="00CC16BE" w:rsidRDefault="00CC16BE" w:rsidP="00CC16BE">
      <w:pPr>
        <w:pStyle w:val="Heading1"/>
        <w:rPr>
          <w:snapToGrid w:val="0"/>
        </w:rPr>
      </w:pPr>
      <w:bookmarkStart w:id="4" w:name="_Toc83630451"/>
      <w:r>
        <w:rPr>
          <w:snapToGrid w:val="0"/>
        </w:rPr>
        <w:t>Background</w:t>
      </w:r>
      <w:bookmarkEnd w:id="4"/>
    </w:p>
    <w:p w:rsidR="00CC16BE" w:rsidRPr="00CC16BE" w:rsidRDefault="00CC16BE" w:rsidP="00CC16BE"/>
    <w:p w:rsidR="00CC16BE" w:rsidRDefault="00CC16BE" w:rsidP="00CC16BE">
      <w:r>
        <w:fldChar w:fldCharType="begin"/>
      </w:r>
      <w:r>
        <w:instrText xml:space="preserve"> AUTONUM  </w:instrText>
      </w:r>
      <w:r>
        <w:fldChar w:fldCharType="end"/>
      </w:r>
      <w:r>
        <w:tab/>
      </w:r>
      <w:r>
        <w:rPr>
          <w:rFonts w:cs="Arial"/>
        </w:rPr>
        <w:t xml:space="preserve">The </w:t>
      </w:r>
      <w:r w:rsidR="0063606D">
        <w:rPr>
          <w:rFonts w:cs="Arial"/>
          <w:color w:val="000000"/>
        </w:rPr>
        <w:t>CAJ</w:t>
      </w:r>
      <w:r>
        <w:rPr>
          <w:rFonts w:cs="Arial"/>
        </w:rPr>
        <w:t>, at its seventy-sixth session</w:t>
      </w:r>
      <w:r>
        <w:rPr>
          <w:rStyle w:val="FootnoteReference"/>
          <w:rFonts w:cs="Arial"/>
        </w:rPr>
        <w:footnoteReference w:id="2"/>
      </w:r>
      <w:r>
        <w:rPr>
          <w:rFonts w:cs="Arial"/>
        </w:rPr>
        <w:t xml:space="preserve">, </w:t>
      </w:r>
      <w:r w:rsidRPr="001531E5">
        <w:t xml:space="preserve">agreed that the Office of the Union should send a </w:t>
      </w:r>
      <w:r w:rsidR="002340AF">
        <w:t xml:space="preserve">survey to explore the status </w:t>
      </w:r>
      <w:r w:rsidR="002340AF" w:rsidRPr="002340AF">
        <w:t xml:space="preserve">on the novelty of parent lines with regard to the exploitation of the hybrid variety </w:t>
      </w:r>
      <w:r w:rsidRPr="001531E5">
        <w:t>in members of the Union.  Based on the replies to the survey, the Office of the Union would prepare a document providing information from t</w:t>
      </w:r>
      <w:r>
        <w:t xml:space="preserve">he survey and, if appropriate, </w:t>
      </w:r>
      <w:r w:rsidRPr="001531E5">
        <w:t xml:space="preserve">proposals to explore the </w:t>
      </w:r>
      <w:r w:rsidRPr="00063885">
        <w:t>development of guidance on</w:t>
      </w:r>
      <w:r>
        <w:t xml:space="preserve"> that topic</w:t>
      </w:r>
      <w:r w:rsidRPr="001531E5">
        <w:t xml:space="preserve"> (see document CAJ/76/9 “Report”, paragraph 55).</w:t>
      </w:r>
    </w:p>
    <w:p w:rsidR="009F7B2D" w:rsidRDefault="009F7B2D" w:rsidP="00CC16BE"/>
    <w:p w:rsidR="009F7B2D" w:rsidRDefault="009F7B2D" w:rsidP="00CC16BE">
      <w:r>
        <w:fldChar w:fldCharType="begin"/>
      </w:r>
      <w:r>
        <w:instrText xml:space="preserve"> AUTONUM  </w:instrText>
      </w:r>
      <w:r>
        <w:fldChar w:fldCharType="end"/>
      </w:r>
      <w:r>
        <w:tab/>
      </w:r>
      <w:r w:rsidRPr="009F7B2D">
        <w:t xml:space="preserve">On December 23, 2019, the Office of the Union issued Circular E-19/232 with an invitation to the members of the Union to complete a survey on the status of the novelty of parent lines in relation to exploitation of the hybrid.  Fifty-six members of the Union replied to the survey.  Thirty members of the Union replied that the novelty of </w:t>
      </w:r>
      <w:r>
        <w:t xml:space="preserve">the </w:t>
      </w:r>
      <w:r w:rsidRPr="009F7B2D">
        <w:t xml:space="preserve">parent lines </w:t>
      </w:r>
      <w:proofErr w:type="gramStart"/>
      <w:r w:rsidRPr="009F7B2D">
        <w:t>was not lost</w:t>
      </w:r>
      <w:proofErr w:type="gramEnd"/>
      <w:r w:rsidRPr="009F7B2D">
        <w:t xml:space="preserve"> by the exploitation of the hybrid variety.  Twelve members of the Union replied that the novelty of the parent lines </w:t>
      </w:r>
      <w:proofErr w:type="gramStart"/>
      <w:r w:rsidRPr="009F7B2D">
        <w:t>was lost</w:t>
      </w:r>
      <w:proofErr w:type="gramEnd"/>
      <w:r w:rsidRPr="009F7B2D">
        <w:t xml:space="preserve"> by the exploitation of the hybrid variety.  Fourteen members of the Union replied under “others” with an indication that they had limited experience on this topic; their policy was being reviewed</w:t>
      </w:r>
      <w:proofErr w:type="gramStart"/>
      <w:r w:rsidRPr="009F7B2D">
        <w:t>;  or</w:t>
      </w:r>
      <w:proofErr w:type="gramEnd"/>
      <w:r w:rsidRPr="009F7B2D">
        <w:t xml:space="preserve"> their policy contained specific exceptions. The replies to the survey are available </w:t>
      </w:r>
      <w:r w:rsidR="00885801">
        <w:t>in document CAJ</w:t>
      </w:r>
      <w:r w:rsidRPr="009F7B2D">
        <w:t xml:space="preserve">/77/6 “The novelty of parent lines in relation to exploitation of the hybrid variety” at </w:t>
      </w:r>
      <w:hyperlink r:id="rId8" w:history="1">
        <w:r w:rsidRPr="00BC29DE">
          <w:rPr>
            <w:rStyle w:val="Hyperlink"/>
          </w:rPr>
          <w:t>https://www.upov.int/meetings/en/doc_details.jsp?meeting_id=55678&amp;doc_id=511632</w:t>
        </w:r>
      </w:hyperlink>
      <w:r>
        <w:t xml:space="preserve"> </w:t>
      </w:r>
      <w:r w:rsidRPr="009F7B2D">
        <w:t xml:space="preserve">.  </w:t>
      </w:r>
    </w:p>
    <w:p w:rsidR="009F7B2D" w:rsidRDefault="009F7B2D" w:rsidP="00CC16BE"/>
    <w:p w:rsidR="008402E9" w:rsidRDefault="008402E9" w:rsidP="008402E9">
      <w:pPr>
        <w:rPr>
          <w:rFonts w:cs="Arial"/>
        </w:rPr>
      </w:pPr>
      <w:r>
        <w:lastRenderedPageBreak/>
        <w:fldChar w:fldCharType="begin"/>
      </w:r>
      <w:r>
        <w:instrText xml:space="preserve"> AUTONUM  </w:instrText>
      </w:r>
      <w:r>
        <w:fldChar w:fldCharType="end"/>
      </w:r>
      <w:r>
        <w:tab/>
      </w:r>
      <w:r>
        <w:rPr>
          <w:rFonts w:cs="Arial"/>
        </w:rPr>
        <w:t>Circular E-2</w:t>
      </w:r>
      <w:r w:rsidR="00395BF4">
        <w:rPr>
          <w:rFonts w:cs="Arial"/>
        </w:rPr>
        <w:t>0</w:t>
      </w:r>
      <w:r>
        <w:rPr>
          <w:rFonts w:cs="Arial"/>
        </w:rPr>
        <w:t>/120 of August 21, 2020, invited the CAJ to approve the proposed decisi</w:t>
      </w:r>
      <w:r w:rsidR="009F7B2D">
        <w:rPr>
          <w:rFonts w:cs="Arial"/>
        </w:rPr>
        <w:t xml:space="preserve">on(s) contained in document </w:t>
      </w:r>
      <w:r w:rsidR="00885801">
        <w:rPr>
          <w:rFonts w:cs="Arial"/>
        </w:rPr>
        <w:t>CAJ</w:t>
      </w:r>
      <w:r w:rsidR="009F7B2D">
        <w:rPr>
          <w:rFonts w:cs="Arial"/>
        </w:rPr>
        <w:t xml:space="preserve">/77/6 </w:t>
      </w:r>
      <w:r>
        <w:rPr>
          <w:rFonts w:cs="Arial"/>
        </w:rPr>
        <w:t xml:space="preserve">within 30 days (i.e. </w:t>
      </w:r>
      <w:r w:rsidR="00395BF4">
        <w:rPr>
          <w:rFonts w:cs="Arial"/>
          <w:u w:val="single"/>
        </w:rPr>
        <w:t>September 21, 2020</w:t>
      </w:r>
      <w:r>
        <w:rPr>
          <w:rFonts w:cs="Arial"/>
        </w:rPr>
        <w:t>).    </w:t>
      </w:r>
    </w:p>
    <w:p w:rsidR="008402E9" w:rsidRDefault="008402E9" w:rsidP="008402E9">
      <w:pPr>
        <w:rPr>
          <w:rFonts w:cs="Arial"/>
        </w:rPr>
      </w:pPr>
    </w:p>
    <w:p w:rsidR="00395BF4" w:rsidRPr="00CB28A3" w:rsidRDefault="00395BF4" w:rsidP="00395BF4">
      <w:pPr>
        <w:keepLines/>
      </w:pPr>
      <w:r>
        <w:fldChar w:fldCharType="begin"/>
      </w:r>
      <w:r>
        <w:instrText xml:space="preserve"> AUTONUM  </w:instrText>
      </w:r>
      <w:r>
        <w:fldChar w:fldCharType="end"/>
      </w:r>
      <w:r>
        <w:tab/>
      </w:r>
      <w:proofErr w:type="gramStart"/>
      <w:r w:rsidRPr="00885801">
        <w:t>In reply to Circular E-20/120 of August 21, 2020, c</w:t>
      </w:r>
      <w:r w:rsidRPr="00885801">
        <w:rPr>
          <w:rFonts w:cs="Arial"/>
          <w:lang w:eastAsia="fr-FR"/>
        </w:rPr>
        <w:t xml:space="preserve">omments on document CAJ/77/6 were received from the European Union, </w:t>
      </w:r>
      <w:proofErr w:type="spellStart"/>
      <w:r w:rsidRPr="005628B7">
        <w:rPr>
          <w:rFonts w:cs="Arial"/>
          <w:lang w:eastAsia="fr-FR"/>
        </w:rPr>
        <w:t>Euroseeds</w:t>
      </w:r>
      <w:proofErr w:type="spellEnd"/>
      <w:r w:rsidRPr="005628B7">
        <w:rPr>
          <w:rFonts w:cs="Arial"/>
          <w:lang w:eastAsia="fr-FR"/>
        </w:rPr>
        <w:t xml:space="preserve"> and joint comments from </w:t>
      </w:r>
      <w:r w:rsidR="005628B7">
        <w:rPr>
          <w:rFonts w:cs="Arial"/>
          <w:lang w:eastAsia="fr-FR"/>
        </w:rPr>
        <w:t xml:space="preserve">the </w:t>
      </w:r>
      <w:r w:rsidR="005628B7" w:rsidRPr="005628B7">
        <w:rPr>
          <w:rFonts w:cs="Arial"/>
          <w:lang w:eastAsia="fr-FR"/>
        </w:rPr>
        <w:t>International Seed Federation (ISF)</w:t>
      </w:r>
      <w:r w:rsidRPr="005628B7">
        <w:rPr>
          <w:rFonts w:cs="Arial"/>
          <w:lang w:eastAsia="fr-FR"/>
        </w:rPr>
        <w:t xml:space="preserve">, </w:t>
      </w:r>
      <w:r w:rsidR="005628B7">
        <w:rPr>
          <w:rFonts w:cs="Arial"/>
          <w:lang w:eastAsia="fr-FR"/>
        </w:rPr>
        <w:t xml:space="preserve">the </w:t>
      </w:r>
      <w:r w:rsidR="005628B7" w:rsidRPr="005628B7">
        <w:rPr>
          <w:rFonts w:cs="Arial"/>
          <w:lang w:eastAsia="fr-FR"/>
        </w:rPr>
        <w:t>African Seed Trade Association (AFSTA)</w:t>
      </w:r>
      <w:r w:rsidRPr="005628B7">
        <w:rPr>
          <w:rFonts w:cs="Arial"/>
          <w:lang w:eastAsia="fr-FR"/>
        </w:rPr>
        <w:t xml:space="preserve">, </w:t>
      </w:r>
      <w:r w:rsidR="005628B7">
        <w:rPr>
          <w:rFonts w:cs="Arial"/>
          <w:lang w:eastAsia="fr-FR"/>
        </w:rPr>
        <w:t xml:space="preserve">the </w:t>
      </w:r>
      <w:r w:rsidR="005628B7" w:rsidRPr="005628B7">
        <w:rPr>
          <w:rFonts w:cs="Arial"/>
          <w:lang w:eastAsia="fr-FR"/>
        </w:rPr>
        <w:t xml:space="preserve">Asia and Pacific Seed Association (APSA) </w:t>
      </w:r>
      <w:r w:rsidRPr="005628B7">
        <w:rPr>
          <w:rFonts w:cs="Arial"/>
          <w:lang w:eastAsia="fr-FR"/>
        </w:rPr>
        <w:t xml:space="preserve">and </w:t>
      </w:r>
      <w:r w:rsidR="005628B7">
        <w:rPr>
          <w:rFonts w:cs="Arial"/>
          <w:lang w:eastAsia="fr-FR"/>
        </w:rPr>
        <w:t xml:space="preserve">the </w:t>
      </w:r>
      <w:r w:rsidR="005628B7" w:rsidRPr="005628B7">
        <w:rPr>
          <w:rFonts w:cs="Arial"/>
          <w:lang w:eastAsia="fr-FR"/>
        </w:rPr>
        <w:t>Seed Association of the Americas (SAA)</w:t>
      </w:r>
      <w:r w:rsidRPr="005628B7">
        <w:rPr>
          <w:rFonts w:cs="Arial"/>
          <w:lang w:eastAsia="fr-FR"/>
        </w:rPr>
        <w:t>, that were not of a straightforward nature and, therefore, document CAJ/77/6 was not included in Circular E</w:t>
      </w:r>
      <w:r w:rsidRPr="005628B7">
        <w:rPr>
          <w:rFonts w:cs="Arial"/>
          <w:lang w:eastAsia="fr-FR"/>
        </w:rPr>
        <w:noBreakHyphen/>
        <w:t xml:space="preserve">20/160 of September 25, 2020, for approval </w:t>
      </w:r>
      <w:r w:rsidRPr="005628B7">
        <w:rPr>
          <w:rFonts w:cs="Arial"/>
        </w:rPr>
        <w:t xml:space="preserve">by correspondence </w:t>
      </w:r>
      <w:r w:rsidRPr="005628B7">
        <w:rPr>
          <w:rFonts w:cs="Arial"/>
          <w:lang w:eastAsia="fr-FR"/>
        </w:rPr>
        <w:t>and was</w:t>
      </w:r>
      <w:r w:rsidRPr="005628B7">
        <w:t xml:space="preserve"> presented for consideration by the CAJ at its virtual session on October 28, 2020, in conjunction with the comments received, which are reproduced in Annex II to document CAJ/77/9 “Outcome of the consideration of documents by correspondence” (see document CAJ/77/9, paragraph 49).</w:t>
      </w:r>
      <w:proofErr w:type="gramEnd"/>
    </w:p>
    <w:p w:rsidR="007955E4" w:rsidRDefault="007955E4" w:rsidP="00CC16BE">
      <w:pPr>
        <w:rPr>
          <w:snapToGrid w:val="0"/>
        </w:rPr>
      </w:pPr>
    </w:p>
    <w:p w:rsidR="007955E4" w:rsidRPr="00FB5FD7" w:rsidRDefault="00395BF4" w:rsidP="00CC16BE">
      <w:pPr>
        <w:rPr>
          <w:spacing w:val="-4"/>
        </w:rPr>
      </w:pPr>
      <w:r w:rsidRPr="00FB5FD7">
        <w:rPr>
          <w:spacing w:val="-4"/>
        </w:rPr>
        <w:fldChar w:fldCharType="begin"/>
      </w:r>
      <w:r w:rsidRPr="00FB5FD7">
        <w:rPr>
          <w:spacing w:val="-4"/>
        </w:rPr>
        <w:instrText xml:space="preserve"> AUTONUM  </w:instrText>
      </w:r>
      <w:r w:rsidRPr="00FB5FD7">
        <w:rPr>
          <w:spacing w:val="-4"/>
        </w:rPr>
        <w:fldChar w:fldCharType="end"/>
      </w:r>
      <w:r w:rsidRPr="00FB5FD7">
        <w:rPr>
          <w:spacing w:val="-4"/>
        </w:rPr>
        <w:tab/>
      </w:r>
      <w:r w:rsidR="0091294A" w:rsidRPr="00FB5FD7">
        <w:rPr>
          <w:spacing w:val="-4"/>
        </w:rPr>
        <w:t xml:space="preserve">The CAJ, at its seventy-seventh session, held on October 28, 2020, via electronic means, agreed the matters in the following paragraphs (see below extracts from document </w:t>
      </w:r>
      <w:r w:rsidR="00FB5FD7" w:rsidRPr="00FB5FD7">
        <w:rPr>
          <w:spacing w:val="-4"/>
        </w:rPr>
        <w:t>CAJ/77/10 “Report”, paragraphs 31 to 3</w:t>
      </w:r>
      <w:r w:rsidR="0091294A" w:rsidRPr="00FB5FD7">
        <w:rPr>
          <w:spacing w:val="-4"/>
        </w:rPr>
        <w:t>3):</w:t>
      </w:r>
    </w:p>
    <w:p w:rsidR="00395BF4" w:rsidRPr="00395BF4" w:rsidRDefault="00395BF4" w:rsidP="00CC16BE">
      <w:pPr>
        <w:rPr>
          <w:snapToGrid w:val="0"/>
          <w:sz w:val="18"/>
        </w:rPr>
      </w:pPr>
    </w:p>
    <w:p w:rsidR="0091294A" w:rsidRPr="0091294A" w:rsidRDefault="0091294A" w:rsidP="0091294A">
      <w:pPr>
        <w:ind w:left="567"/>
        <w:rPr>
          <w:snapToGrid w:val="0"/>
          <w:sz w:val="18"/>
        </w:rPr>
      </w:pPr>
      <w:r>
        <w:rPr>
          <w:snapToGrid w:val="0"/>
          <w:sz w:val="18"/>
        </w:rPr>
        <w:t>“</w:t>
      </w:r>
      <w:r w:rsidRPr="0091294A">
        <w:rPr>
          <w:snapToGrid w:val="0"/>
          <w:sz w:val="18"/>
        </w:rPr>
        <w:t>31. The CAJ considered documents CAJ/77/6 and CAJ/77/9.</w:t>
      </w:r>
    </w:p>
    <w:p w:rsidR="0091294A" w:rsidRPr="0091294A" w:rsidRDefault="0091294A" w:rsidP="0091294A">
      <w:pPr>
        <w:ind w:left="567"/>
        <w:rPr>
          <w:snapToGrid w:val="0"/>
          <w:sz w:val="18"/>
        </w:rPr>
      </w:pPr>
    </w:p>
    <w:p w:rsidR="0091294A" w:rsidRPr="0091294A" w:rsidRDefault="0091294A" w:rsidP="0091294A">
      <w:pPr>
        <w:ind w:left="567"/>
        <w:rPr>
          <w:snapToGrid w:val="0"/>
          <w:sz w:val="18"/>
        </w:rPr>
      </w:pPr>
      <w:r>
        <w:rPr>
          <w:snapToGrid w:val="0"/>
          <w:sz w:val="18"/>
        </w:rPr>
        <w:t>“</w:t>
      </w:r>
      <w:r w:rsidRPr="0091294A">
        <w:rPr>
          <w:snapToGrid w:val="0"/>
          <w:sz w:val="18"/>
        </w:rPr>
        <w:t>32. The CAJ noted the replies to the survey to explore the status of the novelty of parent lines in relation to exploitation of the hybrid in members of the Union, as presented in document CAJ/77/6 and its Annexes.</w:t>
      </w:r>
    </w:p>
    <w:p w:rsidR="0091294A" w:rsidRPr="0091294A" w:rsidRDefault="0091294A" w:rsidP="0091294A">
      <w:pPr>
        <w:ind w:left="567"/>
        <w:rPr>
          <w:snapToGrid w:val="0"/>
          <w:sz w:val="18"/>
        </w:rPr>
      </w:pPr>
    </w:p>
    <w:p w:rsidR="007955E4" w:rsidRDefault="0091294A" w:rsidP="0091294A">
      <w:pPr>
        <w:ind w:left="567"/>
        <w:rPr>
          <w:snapToGrid w:val="0"/>
          <w:sz w:val="18"/>
        </w:rPr>
      </w:pPr>
      <w:proofErr w:type="gramStart"/>
      <w:r>
        <w:rPr>
          <w:snapToGrid w:val="0"/>
          <w:sz w:val="18"/>
        </w:rPr>
        <w:t>“</w:t>
      </w:r>
      <w:r w:rsidRPr="0091294A">
        <w:rPr>
          <w:snapToGrid w:val="0"/>
          <w:sz w:val="18"/>
        </w:rPr>
        <w:t>33. The CAJ invited members of the Union, Euroseeds, ISF, AFSTA, APSA and SAA to make presentations on the novelty of parent lines with regard to the exploitation of the hybrid variety at the seventy-eighth session of the CAJ, with a view to inviting the Office of the Union to seek to prepare common guidance on that matter for consideration by the CAJ at its seventy-ninth session, on the basis of the presentations and discussions at the seventy-eighth session of the CAJ.”</w:t>
      </w:r>
      <w:proofErr w:type="gramEnd"/>
    </w:p>
    <w:p w:rsidR="007955E4" w:rsidRDefault="007955E4" w:rsidP="00CC16BE">
      <w:pPr>
        <w:rPr>
          <w:snapToGrid w:val="0"/>
        </w:rPr>
      </w:pPr>
    </w:p>
    <w:p w:rsidR="002340AF" w:rsidRDefault="002340AF" w:rsidP="002340AF">
      <w:pPr>
        <w:rPr>
          <w:snapToGrid w:val="0"/>
        </w:rPr>
      </w:pPr>
    </w:p>
    <w:p w:rsidR="007955E4" w:rsidRDefault="007955E4" w:rsidP="00CC16BE">
      <w:pPr>
        <w:rPr>
          <w:snapToGrid w:val="0"/>
        </w:rPr>
      </w:pPr>
    </w:p>
    <w:p w:rsidR="00CC16BE" w:rsidRDefault="00CC16BE" w:rsidP="00CC16BE">
      <w:pPr>
        <w:pStyle w:val="Heading1"/>
      </w:pPr>
      <w:bookmarkStart w:id="5" w:name="_Toc83630452"/>
      <w:r>
        <w:t>PROPOSAL</w:t>
      </w:r>
      <w:r w:rsidRPr="00B6750E">
        <w:t xml:space="preserve"> </w:t>
      </w:r>
      <w:r w:rsidR="005C5035">
        <w:t>for a revised</w:t>
      </w:r>
      <w:r w:rsidR="00D94906">
        <w:t xml:space="preserve"> TIMETABLE</w:t>
      </w:r>
      <w:bookmarkEnd w:id="5"/>
      <w:r w:rsidR="00D94906">
        <w:t xml:space="preserve"> </w:t>
      </w:r>
    </w:p>
    <w:p w:rsidR="0063606D" w:rsidRDefault="0063606D" w:rsidP="00CC16BE">
      <w:pPr>
        <w:rPr>
          <w:snapToGrid w:val="0"/>
        </w:rPr>
      </w:pPr>
    </w:p>
    <w:p w:rsidR="00026655" w:rsidRDefault="005C5035" w:rsidP="0063606D">
      <w:pPr>
        <w:rPr>
          <w:snapToGrid w:val="0"/>
        </w:rPr>
      </w:pPr>
      <w:r w:rsidRPr="00FE49E7">
        <w:rPr>
          <w:snapToGrid w:val="0"/>
        </w:rPr>
        <w:fldChar w:fldCharType="begin"/>
      </w:r>
      <w:r w:rsidRPr="00FE49E7">
        <w:rPr>
          <w:snapToGrid w:val="0"/>
        </w:rPr>
        <w:instrText xml:space="preserve"> AUTONUM  </w:instrText>
      </w:r>
      <w:r w:rsidRPr="00FE49E7">
        <w:rPr>
          <w:snapToGrid w:val="0"/>
        </w:rPr>
        <w:fldChar w:fldCharType="end"/>
      </w:r>
      <w:r>
        <w:rPr>
          <w:snapToGrid w:val="0"/>
        </w:rPr>
        <w:tab/>
      </w:r>
      <w:r w:rsidRPr="002340AF">
        <w:rPr>
          <w:snapToGrid w:val="0"/>
        </w:rPr>
        <w:t xml:space="preserve">The seventy-eighth session of the </w:t>
      </w:r>
      <w:r>
        <w:rPr>
          <w:snapToGrid w:val="0"/>
        </w:rPr>
        <w:t xml:space="preserve">CAJ </w:t>
      </w:r>
      <w:r w:rsidRPr="002340AF">
        <w:rPr>
          <w:snapToGrid w:val="0"/>
        </w:rPr>
        <w:t xml:space="preserve">will be held on October 27, 2021, by electronic means (see invitation Circular E-21/071 of May 31, 2021), </w:t>
      </w:r>
      <w:r w:rsidRPr="00E12045">
        <w:rPr>
          <w:snapToGrid w:val="0"/>
        </w:rPr>
        <w:t>from 12:00 to 16:30 (Geneva time) with a break between 14:30 and 16:00 to prepare the report of the session</w:t>
      </w:r>
      <w:r>
        <w:rPr>
          <w:snapToGrid w:val="0"/>
        </w:rPr>
        <w:t xml:space="preserve">.  </w:t>
      </w:r>
      <w:r>
        <w:rPr>
          <w:rFonts w:cs="Arial"/>
          <w:snapToGrid w:val="0"/>
          <w:spacing w:val="-2"/>
          <w:lang w:val="en-GB"/>
        </w:rPr>
        <w:t xml:space="preserve">Given </w:t>
      </w:r>
      <w:r w:rsidR="0063606D" w:rsidRPr="00E12045">
        <w:rPr>
          <w:rFonts w:cs="Arial"/>
          <w:snapToGrid w:val="0"/>
          <w:spacing w:val="-2"/>
          <w:lang w:val="en-GB"/>
        </w:rPr>
        <w:t xml:space="preserve">the limited duration of the </w:t>
      </w:r>
      <w:r w:rsidR="00E12045" w:rsidRPr="00E12045">
        <w:rPr>
          <w:rFonts w:cs="Arial"/>
          <w:snapToGrid w:val="0"/>
          <w:spacing w:val="-2"/>
          <w:lang w:val="en-GB"/>
        </w:rPr>
        <w:t>seventy-eighth session</w:t>
      </w:r>
      <w:r>
        <w:rPr>
          <w:rFonts w:cs="Arial"/>
          <w:snapToGrid w:val="0"/>
          <w:spacing w:val="-2"/>
          <w:lang w:val="en-GB"/>
        </w:rPr>
        <w:t>,</w:t>
      </w:r>
      <w:r w:rsidR="00E12045" w:rsidRPr="00E12045">
        <w:rPr>
          <w:rFonts w:cs="Arial"/>
          <w:snapToGrid w:val="0"/>
          <w:spacing w:val="-2"/>
          <w:lang w:val="en-GB"/>
        </w:rPr>
        <w:t xml:space="preserve"> </w:t>
      </w:r>
      <w:r>
        <w:rPr>
          <w:rFonts w:cs="Arial"/>
          <w:snapToGrid w:val="0"/>
          <w:spacing w:val="-2"/>
          <w:lang w:val="en-GB"/>
        </w:rPr>
        <w:t xml:space="preserve">after </w:t>
      </w:r>
      <w:r w:rsidR="00E12045">
        <w:rPr>
          <w:rFonts w:cs="Arial"/>
          <w:snapToGrid w:val="0"/>
          <w:spacing w:val="-2"/>
          <w:lang w:val="en-GB"/>
        </w:rPr>
        <w:t>consultation with the Chair of the CAJ</w:t>
      </w:r>
      <w:r w:rsidR="0054115D">
        <w:rPr>
          <w:snapToGrid w:val="0"/>
        </w:rPr>
        <w:t xml:space="preserve">, it </w:t>
      </w:r>
      <w:proofErr w:type="gramStart"/>
      <w:r w:rsidR="0054115D">
        <w:rPr>
          <w:snapToGrid w:val="0"/>
        </w:rPr>
        <w:t>is proposed</w:t>
      </w:r>
      <w:proofErr w:type="gramEnd"/>
      <w:r w:rsidR="0054115D">
        <w:rPr>
          <w:snapToGrid w:val="0"/>
        </w:rPr>
        <w:t xml:space="preserve"> that CAJ</w:t>
      </w:r>
      <w:r>
        <w:rPr>
          <w:snapToGrid w:val="0"/>
        </w:rPr>
        <w:t xml:space="preserve"> postpones the invitation</w:t>
      </w:r>
      <w:r w:rsidR="00026655">
        <w:rPr>
          <w:snapToGrid w:val="0"/>
        </w:rPr>
        <w:t xml:space="preserve"> </w:t>
      </w:r>
      <w:r>
        <w:rPr>
          <w:snapToGrid w:val="0"/>
        </w:rPr>
        <w:t xml:space="preserve">to </w:t>
      </w:r>
      <w:r w:rsidR="00026655" w:rsidRPr="00026655">
        <w:rPr>
          <w:snapToGrid w:val="0"/>
        </w:rPr>
        <w:t xml:space="preserve">members of the Union, </w:t>
      </w:r>
      <w:proofErr w:type="spellStart"/>
      <w:r w:rsidR="00026655" w:rsidRPr="00026655">
        <w:rPr>
          <w:snapToGrid w:val="0"/>
        </w:rPr>
        <w:t>Euroseeds</w:t>
      </w:r>
      <w:proofErr w:type="spellEnd"/>
      <w:r w:rsidR="00026655" w:rsidRPr="00026655">
        <w:rPr>
          <w:snapToGrid w:val="0"/>
        </w:rPr>
        <w:t>, ISF, AFSTA, APSA and SAA to make presentations on the novelty of parent lines with regard to the exploitation of the hybrid variety</w:t>
      </w:r>
      <w:r w:rsidR="00026655">
        <w:rPr>
          <w:snapToGrid w:val="0"/>
        </w:rPr>
        <w:t xml:space="preserve"> at</w:t>
      </w:r>
      <w:r w:rsidR="00026655" w:rsidRPr="003E78E8">
        <w:rPr>
          <w:snapToGrid w:val="0"/>
        </w:rPr>
        <w:t xml:space="preserve"> </w:t>
      </w:r>
      <w:r w:rsidR="0054115D">
        <w:rPr>
          <w:snapToGrid w:val="0"/>
        </w:rPr>
        <w:t xml:space="preserve">its </w:t>
      </w:r>
      <w:r w:rsidR="00026655" w:rsidRPr="00D94906">
        <w:rPr>
          <w:snapToGrid w:val="0"/>
        </w:rPr>
        <w:t>seventy-ninth</w:t>
      </w:r>
      <w:r w:rsidR="00026655">
        <w:rPr>
          <w:snapToGrid w:val="0"/>
        </w:rPr>
        <w:t xml:space="preserve"> session</w:t>
      </w:r>
      <w:r w:rsidR="0054115D">
        <w:rPr>
          <w:snapToGrid w:val="0"/>
        </w:rPr>
        <w:t>.</w:t>
      </w:r>
      <w:r w:rsidR="00026655" w:rsidRPr="00026655">
        <w:rPr>
          <w:snapToGrid w:val="0"/>
        </w:rPr>
        <w:t xml:space="preserve"> </w:t>
      </w:r>
      <w:r w:rsidR="007C1778">
        <w:rPr>
          <w:snapToGrid w:val="0"/>
        </w:rPr>
        <w:t xml:space="preserve"> </w:t>
      </w:r>
      <w:r w:rsidR="00D94906">
        <w:rPr>
          <w:snapToGrid w:val="0"/>
        </w:rPr>
        <w:t xml:space="preserve">It is further proposed that, </w:t>
      </w:r>
      <w:proofErr w:type="gramStart"/>
      <w:r w:rsidR="00D94906">
        <w:rPr>
          <w:snapToGrid w:val="0"/>
        </w:rPr>
        <w:t>o</w:t>
      </w:r>
      <w:r w:rsidR="00026655" w:rsidRPr="00026655">
        <w:rPr>
          <w:snapToGrid w:val="0"/>
        </w:rPr>
        <w:t>n the basis of</w:t>
      </w:r>
      <w:proofErr w:type="gramEnd"/>
      <w:r w:rsidR="00026655" w:rsidRPr="00026655">
        <w:rPr>
          <w:snapToGrid w:val="0"/>
        </w:rPr>
        <w:t xml:space="preserve"> the presentations and discussions at </w:t>
      </w:r>
      <w:r w:rsidR="00FE49E7">
        <w:rPr>
          <w:snapToGrid w:val="0"/>
        </w:rPr>
        <w:t>its</w:t>
      </w:r>
      <w:r w:rsidR="00026655" w:rsidRPr="00026655">
        <w:rPr>
          <w:snapToGrid w:val="0"/>
        </w:rPr>
        <w:t xml:space="preserve"> s</w:t>
      </w:r>
      <w:r w:rsidR="00FE49E7">
        <w:rPr>
          <w:snapToGrid w:val="0"/>
        </w:rPr>
        <w:t>eventy-ninth session,</w:t>
      </w:r>
      <w:r w:rsidR="00026655">
        <w:rPr>
          <w:snapToGrid w:val="0"/>
        </w:rPr>
        <w:t xml:space="preserve"> the CAJ</w:t>
      </w:r>
      <w:r>
        <w:rPr>
          <w:snapToGrid w:val="0"/>
        </w:rPr>
        <w:t xml:space="preserve"> consider</w:t>
      </w:r>
      <w:r w:rsidR="00FE49E7">
        <w:rPr>
          <w:snapToGrid w:val="0"/>
        </w:rPr>
        <w:t>s</w:t>
      </w:r>
      <w:r>
        <w:rPr>
          <w:snapToGrid w:val="0"/>
        </w:rPr>
        <w:t xml:space="preserve"> inviting </w:t>
      </w:r>
      <w:r w:rsidR="00026655" w:rsidRPr="00026655">
        <w:rPr>
          <w:snapToGrid w:val="0"/>
        </w:rPr>
        <w:t xml:space="preserve">the Office of the Union to </w:t>
      </w:r>
      <w:r>
        <w:rPr>
          <w:snapToGrid w:val="0"/>
        </w:rPr>
        <w:t xml:space="preserve">seek to </w:t>
      </w:r>
      <w:r w:rsidR="00026655" w:rsidRPr="00026655">
        <w:rPr>
          <w:snapToGrid w:val="0"/>
        </w:rPr>
        <w:t>prepare common guidance on that matter for consideration by the CAJ at its eightieth session</w:t>
      </w:r>
      <w:r w:rsidR="00026655">
        <w:rPr>
          <w:snapToGrid w:val="0"/>
        </w:rPr>
        <w:t>.</w:t>
      </w:r>
    </w:p>
    <w:p w:rsidR="00D94906" w:rsidRDefault="00D94906" w:rsidP="0063606D">
      <w:pPr>
        <w:rPr>
          <w:snapToGrid w:val="0"/>
        </w:rPr>
      </w:pPr>
    </w:p>
    <w:p w:rsidR="00FB5FD7" w:rsidRPr="00CB28A3" w:rsidRDefault="00FB5FD7" w:rsidP="00FB5FD7">
      <w:pPr>
        <w:keepNext/>
        <w:tabs>
          <w:tab w:val="left" w:pos="5387"/>
          <w:tab w:val="left" w:pos="5954"/>
        </w:tabs>
        <w:ind w:left="4820"/>
        <w:rPr>
          <w:rFonts w:eastAsia="MS Mincho"/>
          <w:i/>
        </w:rPr>
      </w:pPr>
      <w:r w:rsidRPr="00CB28A3">
        <w:rPr>
          <w:rFonts w:eastAsia="MS Mincho"/>
          <w:i/>
        </w:rPr>
        <w:fldChar w:fldCharType="begin"/>
      </w:r>
      <w:r w:rsidRPr="00CB28A3">
        <w:rPr>
          <w:rFonts w:eastAsia="MS Mincho"/>
          <w:i/>
        </w:rPr>
        <w:instrText xml:space="preserve"> AUTONUM  </w:instrText>
      </w:r>
      <w:r w:rsidRPr="00CB28A3">
        <w:rPr>
          <w:rFonts w:eastAsia="MS Mincho"/>
          <w:i/>
        </w:rPr>
        <w:fldChar w:fldCharType="end"/>
      </w:r>
      <w:r w:rsidRPr="00CB28A3">
        <w:rPr>
          <w:rFonts w:eastAsia="MS Mincho"/>
          <w:i/>
        </w:rPr>
        <w:tab/>
        <w:t xml:space="preserve">The CAJ </w:t>
      </w:r>
      <w:proofErr w:type="gramStart"/>
      <w:r w:rsidRPr="00CB28A3">
        <w:rPr>
          <w:rFonts w:eastAsia="MS Mincho"/>
          <w:i/>
        </w:rPr>
        <w:t>is invited</w:t>
      </w:r>
      <w:proofErr w:type="gramEnd"/>
      <w:r w:rsidRPr="00CB28A3">
        <w:rPr>
          <w:rFonts w:eastAsia="MS Mincho"/>
          <w:i/>
        </w:rPr>
        <w:t xml:space="preserve"> to:</w:t>
      </w:r>
    </w:p>
    <w:p w:rsidR="00673D08" w:rsidRPr="00673D08" w:rsidRDefault="00673D08" w:rsidP="0054115D">
      <w:pPr>
        <w:tabs>
          <w:tab w:val="left" w:pos="5387"/>
          <w:tab w:val="left" w:pos="5954"/>
        </w:tabs>
        <w:ind w:left="4820"/>
        <w:rPr>
          <w:i/>
          <w:spacing w:val="-2"/>
        </w:rPr>
      </w:pPr>
    </w:p>
    <w:p w:rsidR="0054115D" w:rsidRDefault="00FB5FD7" w:rsidP="00FB5FD7">
      <w:pPr>
        <w:tabs>
          <w:tab w:val="left" w:pos="5387"/>
          <w:tab w:val="left" w:pos="5954"/>
        </w:tabs>
        <w:ind w:left="4820"/>
        <w:rPr>
          <w:i/>
          <w:spacing w:val="-2"/>
        </w:rPr>
      </w:pPr>
      <w:r w:rsidRPr="003E78E8">
        <w:rPr>
          <w:i/>
          <w:spacing w:val="-2"/>
        </w:rPr>
        <w:tab/>
        <w:t>(</w:t>
      </w:r>
      <w:r w:rsidR="0054115D">
        <w:rPr>
          <w:i/>
          <w:spacing w:val="-2"/>
        </w:rPr>
        <w:t>a</w:t>
      </w:r>
      <w:r w:rsidRPr="003E78E8">
        <w:rPr>
          <w:i/>
          <w:spacing w:val="-2"/>
        </w:rPr>
        <w:t>)</w:t>
      </w:r>
      <w:r w:rsidRPr="003E78E8">
        <w:rPr>
          <w:i/>
          <w:spacing w:val="-2"/>
        </w:rPr>
        <w:tab/>
        <w:t xml:space="preserve">invite members of the Union, ISF, AFSTA, APSA and SAA to make presentations on the novelty of parent lines with regard to the exploitation of the hybrid variety at the </w:t>
      </w:r>
      <w:r w:rsidRPr="00D94906">
        <w:rPr>
          <w:i/>
          <w:spacing w:val="-2"/>
        </w:rPr>
        <w:t>seventy</w:t>
      </w:r>
      <w:r w:rsidRPr="00D94906">
        <w:rPr>
          <w:i/>
          <w:spacing w:val="-2"/>
        </w:rPr>
        <w:noBreakHyphen/>
      </w:r>
      <w:r w:rsidR="003E78E8" w:rsidRPr="00D94906">
        <w:rPr>
          <w:i/>
          <w:spacing w:val="-2"/>
        </w:rPr>
        <w:t>ninth</w:t>
      </w:r>
      <w:r w:rsidR="0054115D">
        <w:rPr>
          <w:i/>
          <w:spacing w:val="-2"/>
        </w:rPr>
        <w:t xml:space="preserve"> session of the CAJ;</w:t>
      </w:r>
      <w:r w:rsidR="00FE49E7">
        <w:rPr>
          <w:i/>
          <w:spacing w:val="-2"/>
        </w:rPr>
        <w:t xml:space="preserve"> and</w:t>
      </w:r>
    </w:p>
    <w:p w:rsidR="0054115D" w:rsidRDefault="0054115D" w:rsidP="00FB5FD7">
      <w:pPr>
        <w:tabs>
          <w:tab w:val="left" w:pos="5387"/>
          <w:tab w:val="left" w:pos="5954"/>
        </w:tabs>
        <w:ind w:left="4820"/>
        <w:rPr>
          <w:i/>
          <w:spacing w:val="-2"/>
        </w:rPr>
      </w:pPr>
    </w:p>
    <w:p w:rsidR="0054115D" w:rsidRDefault="0054115D" w:rsidP="00FB5FD7">
      <w:pPr>
        <w:tabs>
          <w:tab w:val="left" w:pos="5387"/>
          <w:tab w:val="left" w:pos="5954"/>
        </w:tabs>
        <w:ind w:left="4820"/>
        <w:rPr>
          <w:i/>
          <w:spacing w:val="-2"/>
        </w:rPr>
      </w:pPr>
      <w:r>
        <w:rPr>
          <w:i/>
          <w:spacing w:val="-2"/>
        </w:rPr>
        <w:tab/>
        <w:t>(b) o</w:t>
      </w:r>
      <w:r w:rsidRPr="0054115D">
        <w:rPr>
          <w:i/>
          <w:spacing w:val="-2"/>
        </w:rPr>
        <w:t xml:space="preserve">n the basis of the presentations and discussions at the seventy-ninth session of the CAJ, </w:t>
      </w:r>
      <w:r w:rsidR="009C1DD7">
        <w:rPr>
          <w:i/>
          <w:spacing w:val="-2"/>
        </w:rPr>
        <w:t xml:space="preserve">to consider </w:t>
      </w:r>
      <w:r>
        <w:rPr>
          <w:i/>
          <w:spacing w:val="-2"/>
        </w:rPr>
        <w:t>invit</w:t>
      </w:r>
      <w:r w:rsidR="009C1DD7">
        <w:rPr>
          <w:i/>
          <w:spacing w:val="-2"/>
        </w:rPr>
        <w:t>ing</w:t>
      </w:r>
      <w:r>
        <w:rPr>
          <w:i/>
          <w:spacing w:val="-2"/>
        </w:rPr>
        <w:t xml:space="preserve"> </w:t>
      </w:r>
      <w:r w:rsidRPr="0054115D">
        <w:rPr>
          <w:i/>
          <w:spacing w:val="-2"/>
        </w:rPr>
        <w:t xml:space="preserve">the Office of the Union </w:t>
      </w:r>
      <w:r>
        <w:rPr>
          <w:i/>
          <w:spacing w:val="-2"/>
        </w:rPr>
        <w:t xml:space="preserve">to </w:t>
      </w:r>
      <w:r w:rsidRPr="0054115D">
        <w:rPr>
          <w:i/>
          <w:spacing w:val="-2"/>
        </w:rPr>
        <w:t>seek to prepare common guidance on that matter for consideration by the CAJ at its eightieth session</w:t>
      </w:r>
      <w:r>
        <w:rPr>
          <w:i/>
          <w:spacing w:val="-2"/>
        </w:rPr>
        <w:t>.</w:t>
      </w:r>
    </w:p>
    <w:p w:rsidR="00D94906" w:rsidRDefault="00D94906" w:rsidP="00FB5FD7">
      <w:pPr>
        <w:tabs>
          <w:tab w:val="left" w:pos="5387"/>
          <w:tab w:val="left" w:pos="5954"/>
        </w:tabs>
        <w:ind w:left="4820"/>
        <w:rPr>
          <w:i/>
          <w:spacing w:val="-2"/>
        </w:rPr>
      </w:pPr>
    </w:p>
    <w:p w:rsidR="00D94906" w:rsidRDefault="00D94906" w:rsidP="00FB5FD7">
      <w:pPr>
        <w:tabs>
          <w:tab w:val="left" w:pos="5387"/>
          <w:tab w:val="left" w:pos="5954"/>
        </w:tabs>
        <w:ind w:left="4820"/>
        <w:rPr>
          <w:i/>
          <w:spacing w:val="-2"/>
        </w:rPr>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04198B">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21D" w:rsidRDefault="006F221D" w:rsidP="006655D3">
      <w:r>
        <w:separator/>
      </w:r>
    </w:p>
    <w:p w:rsidR="006F221D" w:rsidRDefault="006F221D" w:rsidP="006655D3"/>
    <w:p w:rsidR="006F221D" w:rsidRDefault="006F221D" w:rsidP="006655D3"/>
  </w:endnote>
  <w:endnote w:type="continuationSeparator" w:id="0">
    <w:p w:rsidR="006F221D" w:rsidRDefault="006F221D" w:rsidP="006655D3">
      <w:r>
        <w:separator/>
      </w:r>
    </w:p>
    <w:p w:rsidR="006F221D" w:rsidRPr="00294751" w:rsidRDefault="006F221D">
      <w:pPr>
        <w:pStyle w:val="Footer"/>
        <w:spacing w:after="60"/>
        <w:rPr>
          <w:sz w:val="18"/>
          <w:lang w:val="fr-FR"/>
        </w:rPr>
      </w:pPr>
      <w:r w:rsidRPr="00294751">
        <w:rPr>
          <w:sz w:val="18"/>
          <w:lang w:val="fr-FR"/>
        </w:rPr>
        <w:t>[Suite de la note de la page précédente]</w:t>
      </w:r>
    </w:p>
    <w:p w:rsidR="006F221D" w:rsidRPr="00294751" w:rsidRDefault="006F221D" w:rsidP="006655D3">
      <w:pPr>
        <w:rPr>
          <w:lang w:val="fr-FR"/>
        </w:rPr>
      </w:pPr>
    </w:p>
    <w:p w:rsidR="006F221D" w:rsidRPr="00294751" w:rsidRDefault="006F221D" w:rsidP="006655D3">
      <w:pPr>
        <w:rPr>
          <w:lang w:val="fr-FR"/>
        </w:rPr>
      </w:pPr>
    </w:p>
  </w:endnote>
  <w:endnote w:type="continuationNotice" w:id="1">
    <w:p w:rsidR="006F221D" w:rsidRPr="00294751" w:rsidRDefault="006F221D" w:rsidP="006655D3">
      <w:pPr>
        <w:rPr>
          <w:lang w:val="fr-FR"/>
        </w:rPr>
      </w:pPr>
      <w:r w:rsidRPr="00294751">
        <w:rPr>
          <w:lang w:val="fr-FR"/>
        </w:rPr>
        <w:t>[Suite de la note page suivante]</w:t>
      </w:r>
    </w:p>
    <w:p w:rsidR="006F221D" w:rsidRPr="00294751" w:rsidRDefault="006F221D" w:rsidP="006655D3">
      <w:pPr>
        <w:rPr>
          <w:lang w:val="fr-FR"/>
        </w:rPr>
      </w:pPr>
    </w:p>
    <w:p w:rsidR="006F221D" w:rsidRPr="00294751" w:rsidRDefault="006F221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21D" w:rsidRDefault="006F221D" w:rsidP="006655D3">
      <w:r>
        <w:separator/>
      </w:r>
    </w:p>
  </w:footnote>
  <w:footnote w:type="continuationSeparator" w:id="0">
    <w:p w:rsidR="006F221D" w:rsidRDefault="006F221D" w:rsidP="006655D3">
      <w:r>
        <w:separator/>
      </w:r>
    </w:p>
  </w:footnote>
  <w:footnote w:type="continuationNotice" w:id="1">
    <w:p w:rsidR="006F221D" w:rsidRPr="00AB530F" w:rsidRDefault="006F221D" w:rsidP="00AB530F">
      <w:pPr>
        <w:pStyle w:val="Footer"/>
      </w:pPr>
    </w:p>
  </w:footnote>
  <w:footnote w:id="2">
    <w:p w:rsidR="00CC16BE" w:rsidRPr="00360186" w:rsidRDefault="00CC16BE" w:rsidP="007955E4">
      <w:pPr>
        <w:pStyle w:val="FootnoteText"/>
      </w:pPr>
      <w:r>
        <w:rPr>
          <w:rStyle w:val="FootnoteReference"/>
        </w:rPr>
        <w:footnoteRef/>
      </w:r>
      <w:r>
        <w:t xml:space="preserve"> </w:t>
      </w:r>
      <w:r>
        <w:tab/>
      </w:r>
      <w:r w:rsidRPr="00360186">
        <w:t>Held in Geneva on October 30, 2019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0B1F60" w:rsidP="00EB048E">
    <w:pPr>
      <w:pStyle w:val="Header"/>
      <w:rPr>
        <w:rStyle w:val="PageNumber"/>
        <w:lang w:val="en-US"/>
      </w:rPr>
    </w:pPr>
    <w:r>
      <w:rPr>
        <w:rStyle w:val="PageNumber"/>
        <w:lang w:val="en-US"/>
      </w:rPr>
      <w:t>CAJ/78/6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076E">
      <w:rPr>
        <w:rStyle w:val="PageNumber"/>
        <w:noProof/>
        <w:lang w:val="en-US"/>
      </w:rPr>
      <w:t>2</w:t>
    </w:r>
    <w:r w:rsidRPr="00C5280D">
      <w:rPr>
        <w:rStyle w:val="PageNumber"/>
        <w:lang w:val="en-US"/>
      </w:rPr>
      <w:fldChar w:fldCharType="end"/>
    </w:r>
  </w:p>
  <w:p w:rsidR="0004198B" w:rsidRPr="00C5280D" w:rsidRDefault="0004198B"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21D"/>
    <w:rsid w:val="00010CF3"/>
    <w:rsid w:val="00011E27"/>
    <w:rsid w:val="000148BC"/>
    <w:rsid w:val="00024AB8"/>
    <w:rsid w:val="00026655"/>
    <w:rsid w:val="00030854"/>
    <w:rsid w:val="00036028"/>
    <w:rsid w:val="0004198B"/>
    <w:rsid w:val="00044642"/>
    <w:rsid w:val="000446B9"/>
    <w:rsid w:val="00047E21"/>
    <w:rsid w:val="00050E16"/>
    <w:rsid w:val="00060FEA"/>
    <w:rsid w:val="00085505"/>
    <w:rsid w:val="000B1F60"/>
    <w:rsid w:val="000C4E25"/>
    <w:rsid w:val="000C7021"/>
    <w:rsid w:val="000D6BBC"/>
    <w:rsid w:val="000D7780"/>
    <w:rsid w:val="000E636A"/>
    <w:rsid w:val="000E6A0A"/>
    <w:rsid w:val="000F2F11"/>
    <w:rsid w:val="00100A5F"/>
    <w:rsid w:val="00105929"/>
    <w:rsid w:val="00110BED"/>
    <w:rsid w:val="00110C36"/>
    <w:rsid w:val="001131D5"/>
    <w:rsid w:val="00114547"/>
    <w:rsid w:val="00141DB8"/>
    <w:rsid w:val="00166DB4"/>
    <w:rsid w:val="00172084"/>
    <w:rsid w:val="0017474A"/>
    <w:rsid w:val="001758C6"/>
    <w:rsid w:val="00182B99"/>
    <w:rsid w:val="001C1525"/>
    <w:rsid w:val="0021332C"/>
    <w:rsid w:val="00213982"/>
    <w:rsid w:val="002340AF"/>
    <w:rsid w:val="0024416D"/>
    <w:rsid w:val="00271911"/>
    <w:rsid w:val="00273187"/>
    <w:rsid w:val="002800A0"/>
    <w:rsid w:val="002801B3"/>
    <w:rsid w:val="0028106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95BF4"/>
    <w:rsid w:val="003A0835"/>
    <w:rsid w:val="003A5AAF"/>
    <w:rsid w:val="003B700A"/>
    <w:rsid w:val="003C7FBE"/>
    <w:rsid w:val="003D227C"/>
    <w:rsid w:val="003D2B4D"/>
    <w:rsid w:val="003E78E8"/>
    <w:rsid w:val="003F37F5"/>
    <w:rsid w:val="00444A88"/>
    <w:rsid w:val="00474DA4"/>
    <w:rsid w:val="00476B4D"/>
    <w:rsid w:val="004805FA"/>
    <w:rsid w:val="004935D2"/>
    <w:rsid w:val="004B1215"/>
    <w:rsid w:val="004D047D"/>
    <w:rsid w:val="004F1E9E"/>
    <w:rsid w:val="004F305A"/>
    <w:rsid w:val="00512164"/>
    <w:rsid w:val="00520297"/>
    <w:rsid w:val="005338F9"/>
    <w:rsid w:val="0054115D"/>
    <w:rsid w:val="0054281C"/>
    <w:rsid w:val="00544581"/>
    <w:rsid w:val="0055268D"/>
    <w:rsid w:val="005628B7"/>
    <w:rsid w:val="00575DE2"/>
    <w:rsid w:val="00576BE4"/>
    <w:rsid w:val="005779DB"/>
    <w:rsid w:val="005A400A"/>
    <w:rsid w:val="005B269D"/>
    <w:rsid w:val="005C3F8A"/>
    <w:rsid w:val="005C5035"/>
    <w:rsid w:val="005F7B92"/>
    <w:rsid w:val="00612379"/>
    <w:rsid w:val="006153B6"/>
    <w:rsid w:val="0061555F"/>
    <w:rsid w:val="006245ED"/>
    <w:rsid w:val="0063606D"/>
    <w:rsid w:val="00636CA6"/>
    <w:rsid w:val="00641200"/>
    <w:rsid w:val="00645CA8"/>
    <w:rsid w:val="006655D3"/>
    <w:rsid w:val="00667404"/>
    <w:rsid w:val="00673D08"/>
    <w:rsid w:val="00687EB4"/>
    <w:rsid w:val="00695C56"/>
    <w:rsid w:val="006A5CDE"/>
    <w:rsid w:val="006A644A"/>
    <w:rsid w:val="006B17D2"/>
    <w:rsid w:val="006C224E"/>
    <w:rsid w:val="006D780A"/>
    <w:rsid w:val="006F221D"/>
    <w:rsid w:val="0071271E"/>
    <w:rsid w:val="00732DEC"/>
    <w:rsid w:val="00735BD5"/>
    <w:rsid w:val="007451EC"/>
    <w:rsid w:val="00751613"/>
    <w:rsid w:val="00753EE9"/>
    <w:rsid w:val="007556F6"/>
    <w:rsid w:val="00760EEF"/>
    <w:rsid w:val="00777EE5"/>
    <w:rsid w:val="00784836"/>
    <w:rsid w:val="0079023E"/>
    <w:rsid w:val="007955E4"/>
    <w:rsid w:val="007A2854"/>
    <w:rsid w:val="007C1778"/>
    <w:rsid w:val="007C1D92"/>
    <w:rsid w:val="007C4CB9"/>
    <w:rsid w:val="007D0B9D"/>
    <w:rsid w:val="007D19B0"/>
    <w:rsid w:val="007F498F"/>
    <w:rsid w:val="0080679D"/>
    <w:rsid w:val="008108B0"/>
    <w:rsid w:val="00811B20"/>
    <w:rsid w:val="00812609"/>
    <w:rsid w:val="008211B5"/>
    <w:rsid w:val="0082296E"/>
    <w:rsid w:val="00824099"/>
    <w:rsid w:val="008402E9"/>
    <w:rsid w:val="00846D7C"/>
    <w:rsid w:val="00867AC1"/>
    <w:rsid w:val="008751DE"/>
    <w:rsid w:val="00885801"/>
    <w:rsid w:val="00890DF8"/>
    <w:rsid w:val="008A0ADE"/>
    <w:rsid w:val="008A743F"/>
    <w:rsid w:val="008C0970"/>
    <w:rsid w:val="008D0BC5"/>
    <w:rsid w:val="008D2CF7"/>
    <w:rsid w:val="00900C26"/>
    <w:rsid w:val="0090197F"/>
    <w:rsid w:val="00903264"/>
    <w:rsid w:val="00906DDC"/>
    <w:rsid w:val="0091294A"/>
    <w:rsid w:val="00934E09"/>
    <w:rsid w:val="00936253"/>
    <w:rsid w:val="00940D46"/>
    <w:rsid w:val="009413F1"/>
    <w:rsid w:val="00952DD4"/>
    <w:rsid w:val="009561F4"/>
    <w:rsid w:val="00965AE7"/>
    <w:rsid w:val="00970FED"/>
    <w:rsid w:val="00992D82"/>
    <w:rsid w:val="00997029"/>
    <w:rsid w:val="009A7339"/>
    <w:rsid w:val="009B440E"/>
    <w:rsid w:val="009C1DD7"/>
    <w:rsid w:val="009D690D"/>
    <w:rsid w:val="009E65B6"/>
    <w:rsid w:val="009F0A51"/>
    <w:rsid w:val="009F77CF"/>
    <w:rsid w:val="009F7B2D"/>
    <w:rsid w:val="00A24C10"/>
    <w:rsid w:val="00A42AC3"/>
    <w:rsid w:val="00A430CF"/>
    <w:rsid w:val="00A54309"/>
    <w:rsid w:val="00A610A9"/>
    <w:rsid w:val="00A80F2A"/>
    <w:rsid w:val="00A96C33"/>
    <w:rsid w:val="00AB2B93"/>
    <w:rsid w:val="00AB530F"/>
    <w:rsid w:val="00AB7E5B"/>
    <w:rsid w:val="00AC2883"/>
    <w:rsid w:val="00AE076E"/>
    <w:rsid w:val="00AE0EF1"/>
    <w:rsid w:val="00AE2937"/>
    <w:rsid w:val="00B07301"/>
    <w:rsid w:val="00B11F3E"/>
    <w:rsid w:val="00B224DE"/>
    <w:rsid w:val="00B324D4"/>
    <w:rsid w:val="00B46575"/>
    <w:rsid w:val="00B61777"/>
    <w:rsid w:val="00B622E6"/>
    <w:rsid w:val="00B76955"/>
    <w:rsid w:val="00B83E82"/>
    <w:rsid w:val="00B84BBD"/>
    <w:rsid w:val="00BA43FB"/>
    <w:rsid w:val="00BC08AD"/>
    <w:rsid w:val="00BC127D"/>
    <w:rsid w:val="00BC1FE6"/>
    <w:rsid w:val="00C061B6"/>
    <w:rsid w:val="00C2446C"/>
    <w:rsid w:val="00C3213D"/>
    <w:rsid w:val="00C36AE5"/>
    <w:rsid w:val="00C41F17"/>
    <w:rsid w:val="00C527FA"/>
    <w:rsid w:val="00C5280D"/>
    <w:rsid w:val="00C53EB3"/>
    <w:rsid w:val="00C5791C"/>
    <w:rsid w:val="00C66290"/>
    <w:rsid w:val="00C72B7A"/>
    <w:rsid w:val="00C973F2"/>
    <w:rsid w:val="00CA304C"/>
    <w:rsid w:val="00CA774A"/>
    <w:rsid w:val="00CB4921"/>
    <w:rsid w:val="00CC11B0"/>
    <w:rsid w:val="00CC16BE"/>
    <w:rsid w:val="00CC2841"/>
    <w:rsid w:val="00CF1330"/>
    <w:rsid w:val="00CF7E36"/>
    <w:rsid w:val="00D3708D"/>
    <w:rsid w:val="00D40426"/>
    <w:rsid w:val="00D57C96"/>
    <w:rsid w:val="00D57D18"/>
    <w:rsid w:val="00D70E65"/>
    <w:rsid w:val="00D91203"/>
    <w:rsid w:val="00D94906"/>
    <w:rsid w:val="00D95174"/>
    <w:rsid w:val="00DA4973"/>
    <w:rsid w:val="00DA6F36"/>
    <w:rsid w:val="00DB596E"/>
    <w:rsid w:val="00DB7773"/>
    <w:rsid w:val="00DC00EA"/>
    <w:rsid w:val="00DC3802"/>
    <w:rsid w:val="00DD6208"/>
    <w:rsid w:val="00DF7E99"/>
    <w:rsid w:val="00E07D87"/>
    <w:rsid w:val="00E12045"/>
    <w:rsid w:val="00E249C8"/>
    <w:rsid w:val="00E32F7E"/>
    <w:rsid w:val="00E5267B"/>
    <w:rsid w:val="00E559F0"/>
    <w:rsid w:val="00E63C0E"/>
    <w:rsid w:val="00E72D49"/>
    <w:rsid w:val="00E7593C"/>
    <w:rsid w:val="00E7678A"/>
    <w:rsid w:val="00E83E74"/>
    <w:rsid w:val="00E935F1"/>
    <w:rsid w:val="00E94A81"/>
    <w:rsid w:val="00EA1FFB"/>
    <w:rsid w:val="00EB048E"/>
    <w:rsid w:val="00EB4E9C"/>
    <w:rsid w:val="00EE34DF"/>
    <w:rsid w:val="00EF2F89"/>
    <w:rsid w:val="00F03E98"/>
    <w:rsid w:val="00F1237A"/>
    <w:rsid w:val="00F22CBD"/>
    <w:rsid w:val="00F272F1"/>
    <w:rsid w:val="00F31412"/>
    <w:rsid w:val="00F45372"/>
    <w:rsid w:val="00F560F7"/>
    <w:rsid w:val="00F6334D"/>
    <w:rsid w:val="00F63599"/>
    <w:rsid w:val="00F71781"/>
    <w:rsid w:val="00FA49AB"/>
    <w:rsid w:val="00FB5FD7"/>
    <w:rsid w:val="00FC01D2"/>
    <w:rsid w:val="00FC5FD0"/>
    <w:rsid w:val="00FE39C7"/>
    <w:rsid w:val="00FE49E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F293A67"/>
  <w15:docId w15:val="{39684777-B91F-45B8-8325-C9DB5102A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7955E4"/>
    <w:pPr>
      <w:spacing w:before="60"/>
      <w:ind w:left="360" w:hanging="3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CC16BE"/>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117189">
      <w:bodyDiv w:val="1"/>
      <w:marLeft w:val="0"/>
      <w:marRight w:val="0"/>
      <w:marTop w:val="0"/>
      <w:marBottom w:val="0"/>
      <w:divBdr>
        <w:top w:val="none" w:sz="0" w:space="0" w:color="auto"/>
        <w:left w:val="none" w:sz="0" w:space="0" w:color="auto"/>
        <w:bottom w:val="none" w:sz="0" w:space="0" w:color="auto"/>
        <w:right w:val="none" w:sz="0" w:space="0" w:color="auto"/>
      </w:divBdr>
    </w:div>
    <w:div w:id="152351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pov.int/meetings/en/doc_details.jsp?meeting_id=55678&amp;doc_id=511632"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66274-C208-4D96-BB9A-FF1C00211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991</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CAJ/78/6</vt:lpstr>
    </vt:vector>
  </TitlesOfParts>
  <Company>UPOV</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CAJ/78/6</dc:title>
  <dc:creator>SANCHEZ VIZCAINO GOMEZ Rosa Maria</dc:creator>
  <cp:lastModifiedBy>SANTOS Carla Marina</cp:lastModifiedBy>
  <cp:revision>9</cp:revision>
  <cp:lastPrinted>2016-11-22T15:41:00Z</cp:lastPrinted>
  <dcterms:created xsi:type="dcterms:W3CDTF">2021-09-24T19:02:00Z</dcterms:created>
  <dcterms:modified xsi:type="dcterms:W3CDTF">2021-09-29T11:26:00Z</dcterms:modified>
</cp:coreProperties>
</file>