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51840" w:rsidRPr="00815738" w:rsidTr="001F7186">
        <w:tc>
          <w:tcPr>
            <w:tcW w:w="6522" w:type="dxa"/>
          </w:tcPr>
          <w:p w:rsidR="00951840" w:rsidRPr="00AC2883" w:rsidRDefault="00951840" w:rsidP="001F7186">
            <w:bookmarkStart w:id="0" w:name="TitleOfDoc"/>
            <w:bookmarkEnd w:id="0"/>
            <w:r w:rsidRPr="00D250C5">
              <w:rPr>
                <w:noProof/>
              </w:rPr>
              <w:drawing>
                <wp:inline distT="0" distB="0" distL="0" distR="0" wp14:anchorId="0E131391" wp14:editId="0CE2563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951840" w:rsidRPr="007C1D92" w:rsidRDefault="00951840" w:rsidP="001F7186">
            <w:pPr>
              <w:pStyle w:val="Lettrine"/>
            </w:pPr>
            <w:r w:rsidRPr="00172084">
              <w:t>E</w:t>
            </w:r>
          </w:p>
        </w:tc>
      </w:tr>
      <w:tr w:rsidR="00951840" w:rsidRPr="00DA4973" w:rsidTr="001F7186">
        <w:trPr>
          <w:trHeight w:val="219"/>
        </w:trPr>
        <w:tc>
          <w:tcPr>
            <w:tcW w:w="6522" w:type="dxa"/>
          </w:tcPr>
          <w:p w:rsidR="00951840" w:rsidRPr="00AC2883" w:rsidRDefault="00951840" w:rsidP="001F7186">
            <w:pPr>
              <w:pStyle w:val="upove"/>
            </w:pPr>
            <w:r w:rsidRPr="00AC2883">
              <w:t>International Union for the Protection of New Varieties of Plants</w:t>
            </w:r>
          </w:p>
        </w:tc>
        <w:tc>
          <w:tcPr>
            <w:tcW w:w="3117" w:type="dxa"/>
          </w:tcPr>
          <w:p w:rsidR="00951840" w:rsidRPr="00DA4973" w:rsidRDefault="00951840" w:rsidP="001F7186"/>
        </w:tc>
      </w:tr>
    </w:tbl>
    <w:p w:rsidR="00951840" w:rsidRDefault="00951840" w:rsidP="00951840"/>
    <w:p w:rsidR="00951840" w:rsidRPr="00365DC1" w:rsidRDefault="00951840" w:rsidP="0095184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51840" w:rsidRPr="00C5280D" w:rsidTr="001F7186">
        <w:tc>
          <w:tcPr>
            <w:tcW w:w="6512" w:type="dxa"/>
            <w:tcBorders>
              <w:bottom w:val="single" w:sz="4" w:space="0" w:color="auto"/>
            </w:tcBorders>
          </w:tcPr>
          <w:p w:rsidR="00951840" w:rsidRPr="00AC2883" w:rsidRDefault="00951840" w:rsidP="001F7186">
            <w:pPr>
              <w:pStyle w:val="Sessiontc"/>
              <w:spacing w:line="240" w:lineRule="auto"/>
            </w:pPr>
            <w:r>
              <w:t>Administrative and Legal</w:t>
            </w:r>
            <w:r w:rsidRPr="00DA4973">
              <w:t xml:space="preserve"> Committee</w:t>
            </w:r>
          </w:p>
          <w:p w:rsidR="00951840" w:rsidRPr="00DC3802" w:rsidRDefault="00951840" w:rsidP="001F7186">
            <w:pPr>
              <w:pStyle w:val="Sessiontcplacedate"/>
              <w:rPr>
                <w:sz w:val="22"/>
              </w:rPr>
            </w:pPr>
            <w:r>
              <w:t>Seventy-Eighth</w:t>
            </w:r>
            <w:r w:rsidRPr="00DA4973">
              <w:t xml:space="preserve"> Session</w:t>
            </w:r>
            <w:r w:rsidRPr="00DA4973">
              <w:br/>
              <w:t xml:space="preserve">Geneva, </w:t>
            </w:r>
            <w:r>
              <w:t>October 27, 2021</w:t>
            </w:r>
          </w:p>
        </w:tc>
        <w:tc>
          <w:tcPr>
            <w:tcW w:w="3127" w:type="dxa"/>
            <w:tcBorders>
              <w:bottom w:val="single" w:sz="4" w:space="0" w:color="auto"/>
            </w:tcBorders>
          </w:tcPr>
          <w:p w:rsidR="00951840" w:rsidRPr="003C7FBE" w:rsidRDefault="00D550F2" w:rsidP="001F7186">
            <w:pPr>
              <w:pStyle w:val="Doccode"/>
            </w:pPr>
            <w:r>
              <w:t>CAJ/78/5</w:t>
            </w:r>
          </w:p>
          <w:p w:rsidR="00951840" w:rsidRPr="00BC0AA6" w:rsidRDefault="00951840" w:rsidP="001F7186">
            <w:pPr>
              <w:pStyle w:val="Docoriginal"/>
            </w:pPr>
            <w:r w:rsidRPr="00AC2883">
              <w:t>Original:</w:t>
            </w:r>
            <w:r w:rsidRPr="000E636A">
              <w:rPr>
                <w:b w:val="0"/>
                <w:spacing w:val="0"/>
              </w:rPr>
              <w:t xml:space="preserve">  </w:t>
            </w:r>
            <w:r w:rsidRPr="00BC0AA6">
              <w:rPr>
                <w:b w:val="0"/>
                <w:spacing w:val="0"/>
              </w:rPr>
              <w:t>English</w:t>
            </w:r>
          </w:p>
          <w:p w:rsidR="00951840" w:rsidRPr="007C1D92" w:rsidRDefault="00951840" w:rsidP="00D82C8C">
            <w:pPr>
              <w:pStyle w:val="Docoriginal"/>
            </w:pPr>
            <w:r w:rsidRPr="00BC0AA6">
              <w:t>Date:</w:t>
            </w:r>
            <w:r w:rsidRPr="00BC0AA6">
              <w:rPr>
                <w:b w:val="0"/>
                <w:spacing w:val="0"/>
              </w:rPr>
              <w:t xml:space="preserve">  </w:t>
            </w:r>
            <w:r w:rsidR="0009192B" w:rsidRPr="00BC0AA6">
              <w:rPr>
                <w:b w:val="0"/>
                <w:spacing w:val="0"/>
              </w:rPr>
              <w:t>June 1</w:t>
            </w:r>
            <w:r w:rsidR="00D82C8C" w:rsidRPr="00BC0AA6">
              <w:rPr>
                <w:b w:val="0"/>
                <w:spacing w:val="0"/>
              </w:rPr>
              <w:t>5</w:t>
            </w:r>
            <w:r w:rsidRPr="00BC0AA6">
              <w:rPr>
                <w:b w:val="0"/>
                <w:spacing w:val="0"/>
              </w:rPr>
              <w:t>, 2021</w:t>
            </w:r>
          </w:p>
        </w:tc>
      </w:tr>
      <w:tr w:rsidR="00951840" w:rsidRPr="00C5280D" w:rsidTr="001F7186">
        <w:tc>
          <w:tcPr>
            <w:tcW w:w="6512" w:type="dxa"/>
            <w:tcBorders>
              <w:top w:val="single" w:sz="4" w:space="0" w:color="auto"/>
              <w:bottom w:val="single" w:sz="4" w:space="0" w:color="auto"/>
            </w:tcBorders>
          </w:tcPr>
          <w:p w:rsidR="00951840" w:rsidRPr="00ED30BD" w:rsidRDefault="00951840" w:rsidP="001F7186">
            <w:pPr>
              <w:jc w:val="left"/>
              <w:rPr>
                <w:b/>
                <w:bCs/>
                <w:i/>
                <w:kern w:val="28"/>
              </w:rPr>
            </w:pPr>
            <w:r w:rsidRPr="00ED30BD">
              <w:rPr>
                <w:b/>
                <w:bCs/>
                <w:i/>
                <w:kern w:val="28"/>
              </w:rPr>
              <w:t>to be considered by correspondence</w:t>
            </w:r>
          </w:p>
        </w:tc>
        <w:tc>
          <w:tcPr>
            <w:tcW w:w="3127" w:type="dxa"/>
            <w:tcBorders>
              <w:top w:val="single" w:sz="4" w:space="0" w:color="auto"/>
              <w:bottom w:val="single" w:sz="4" w:space="0" w:color="auto"/>
            </w:tcBorders>
          </w:tcPr>
          <w:p w:rsidR="00951840" w:rsidRPr="00ED30BD" w:rsidRDefault="00951840" w:rsidP="001F7186">
            <w:pPr>
              <w:jc w:val="left"/>
              <w:rPr>
                <w:b/>
                <w:bCs/>
                <w:spacing w:val="10"/>
                <w:sz w:val="18"/>
              </w:rPr>
            </w:pPr>
          </w:p>
        </w:tc>
      </w:tr>
    </w:tbl>
    <w:p w:rsidR="000D7780" w:rsidRPr="006A644A" w:rsidRDefault="00CC15A7" w:rsidP="006A644A">
      <w:pPr>
        <w:pStyle w:val="Titleofdoc0"/>
      </w:pPr>
      <w:r w:rsidRPr="00CC15A7">
        <w:t>Harvested Material</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210079" w:rsidRDefault="00210079" w:rsidP="00AF0D2E">
      <w:pPr>
        <w:pStyle w:val="Heading1"/>
        <w:rPr>
          <w:snapToGrid w:val="0"/>
        </w:rPr>
      </w:pPr>
      <w:bookmarkStart w:id="2" w:name="_Toc73693863"/>
      <w:bookmarkStart w:id="3" w:name="_Toc73693940"/>
      <w:bookmarkStart w:id="4" w:name="_Toc73693948"/>
      <w:bookmarkStart w:id="5" w:name="_Toc74296847"/>
      <w:r>
        <w:rPr>
          <w:snapToGrid w:val="0"/>
        </w:rPr>
        <w:t>Executive Summary</w:t>
      </w:r>
      <w:bookmarkEnd w:id="2"/>
      <w:bookmarkEnd w:id="3"/>
      <w:bookmarkEnd w:id="4"/>
      <w:bookmarkEnd w:id="5"/>
    </w:p>
    <w:p w:rsidR="00210079" w:rsidRPr="00017DB3" w:rsidRDefault="00210079" w:rsidP="00210079">
      <w:pPr>
        <w:ind w:left="567"/>
        <w:rPr>
          <w:sz w:val="16"/>
          <w:highlight w:val="lightGray"/>
        </w:rPr>
      </w:pPr>
    </w:p>
    <w:p w:rsidR="00210079" w:rsidRPr="00017DB3" w:rsidRDefault="00210079" w:rsidP="00DA63A8">
      <w:pPr>
        <w:rPr>
          <w:snapToGrid w:val="0"/>
          <w:spacing w:val="-2"/>
        </w:rPr>
      </w:pPr>
      <w:r w:rsidRPr="00017DB3">
        <w:rPr>
          <w:snapToGrid w:val="0"/>
          <w:spacing w:val="-2"/>
        </w:rPr>
        <w:fldChar w:fldCharType="begin"/>
      </w:r>
      <w:r w:rsidRPr="00017DB3">
        <w:rPr>
          <w:snapToGrid w:val="0"/>
          <w:spacing w:val="-2"/>
        </w:rPr>
        <w:instrText xml:space="preserve"> AUTONUM  </w:instrText>
      </w:r>
      <w:r w:rsidRPr="00017DB3">
        <w:rPr>
          <w:snapToGrid w:val="0"/>
          <w:spacing w:val="-2"/>
        </w:rPr>
        <w:fldChar w:fldCharType="end"/>
      </w:r>
      <w:r w:rsidRPr="00017DB3">
        <w:rPr>
          <w:snapToGrid w:val="0"/>
          <w:spacing w:val="-2"/>
        </w:rPr>
        <w:tab/>
      </w:r>
      <w:r w:rsidR="00712F36" w:rsidRPr="00017DB3">
        <w:rPr>
          <w:rFonts w:cs="Arial"/>
          <w:snapToGrid w:val="0"/>
          <w:spacing w:val="-2"/>
        </w:rPr>
        <w:t xml:space="preserve">The purpose of this document is to report on developments concerning matters </w:t>
      </w:r>
      <w:r w:rsidR="007C5CA5" w:rsidRPr="00017DB3">
        <w:rPr>
          <w:rFonts w:cs="Arial"/>
          <w:snapToGrid w:val="0"/>
          <w:spacing w:val="-2"/>
        </w:rPr>
        <w:t xml:space="preserve">on </w:t>
      </w:r>
      <w:r w:rsidR="00712F36" w:rsidRPr="00017DB3">
        <w:rPr>
          <w:rFonts w:cs="Arial"/>
          <w:snapToGrid w:val="0"/>
          <w:spacing w:val="-2"/>
        </w:rPr>
        <w:t>harvested material and unauthorized use of propagating material</w:t>
      </w:r>
      <w:r w:rsidR="007C5CA5" w:rsidRPr="00017DB3">
        <w:rPr>
          <w:rFonts w:cs="Arial"/>
          <w:snapToGrid w:val="0"/>
          <w:spacing w:val="-2"/>
        </w:rPr>
        <w:t xml:space="preserve">, including the </w:t>
      </w:r>
      <w:r w:rsidR="00712F36" w:rsidRPr="00017DB3">
        <w:rPr>
          <w:rFonts w:cs="Arial"/>
          <w:snapToGrid w:val="0"/>
          <w:spacing w:val="-2"/>
        </w:rPr>
        <w:t>“</w:t>
      </w:r>
      <w:r w:rsidR="007C5CA5" w:rsidRPr="00017DB3">
        <w:rPr>
          <w:rFonts w:cs="Arial"/>
          <w:snapToGrid w:val="0"/>
          <w:spacing w:val="-2"/>
        </w:rPr>
        <w:t>Seminar on the breeder’s right in relation to harvested material</w:t>
      </w:r>
      <w:r w:rsidR="008E579F" w:rsidRPr="00017DB3">
        <w:rPr>
          <w:rFonts w:cs="Arial"/>
          <w:snapToGrid w:val="0"/>
          <w:spacing w:val="-2"/>
        </w:rPr>
        <w:t>”, held on May 27, 2021</w:t>
      </w:r>
      <w:r w:rsidR="00B27ADD" w:rsidRPr="00017DB3">
        <w:rPr>
          <w:rFonts w:cs="Arial"/>
          <w:snapToGrid w:val="0"/>
          <w:spacing w:val="-2"/>
        </w:rPr>
        <w:t xml:space="preserve">, </w:t>
      </w:r>
      <w:r w:rsidR="00913ABB" w:rsidRPr="00017DB3">
        <w:rPr>
          <w:rFonts w:cs="Arial"/>
          <w:snapToGrid w:val="0"/>
          <w:spacing w:val="-2"/>
        </w:rPr>
        <w:t>and to present a proposal for</w:t>
      </w:r>
      <w:r w:rsidR="00712F36" w:rsidRPr="00017DB3">
        <w:rPr>
          <w:rFonts w:cs="Arial"/>
          <w:snapToGrid w:val="0"/>
          <w:spacing w:val="-2"/>
        </w:rPr>
        <w:t xml:space="preserve"> </w:t>
      </w:r>
      <w:r w:rsidR="00913ABB" w:rsidRPr="00017DB3">
        <w:rPr>
          <w:rFonts w:cs="Arial"/>
          <w:snapToGrid w:val="0"/>
          <w:spacing w:val="-2"/>
        </w:rPr>
        <w:t xml:space="preserve">a </w:t>
      </w:r>
      <w:r w:rsidR="00712F36" w:rsidRPr="00017DB3">
        <w:rPr>
          <w:rFonts w:cs="Arial"/>
          <w:snapToGrid w:val="0"/>
          <w:spacing w:val="-2"/>
        </w:rPr>
        <w:t xml:space="preserve">review of the </w:t>
      </w:r>
      <w:r w:rsidR="007C5CA5" w:rsidRPr="00017DB3">
        <w:rPr>
          <w:rFonts w:cs="Arial"/>
          <w:snapToGrid w:val="0"/>
          <w:spacing w:val="-2"/>
        </w:rPr>
        <w:t xml:space="preserve">relevant </w:t>
      </w:r>
      <w:r w:rsidR="00712F36" w:rsidRPr="00017DB3">
        <w:rPr>
          <w:rFonts w:cs="Arial"/>
          <w:snapToGrid w:val="0"/>
          <w:spacing w:val="-2"/>
        </w:rPr>
        <w:t>guidance</w:t>
      </w:r>
      <w:r w:rsidR="00913ABB" w:rsidRPr="00017DB3">
        <w:rPr>
          <w:rFonts w:cs="Arial"/>
          <w:snapToGrid w:val="0"/>
          <w:spacing w:val="-2"/>
        </w:rPr>
        <w:t xml:space="preserve"> material</w:t>
      </w:r>
      <w:r w:rsidR="00036A34" w:rsidRPr="00017DB3">
        <w:rPr>
          <w:rFonts w:cs="Arial"/>
          <w:spacing w:val="-2"/>
        </w:rPr>
        <w:t>.</w:t>
      </w:r>
    </w:p>
    <w:p w:rsidR="00210079" w:rsidRPr="00017DB3" w:rsidRDefault="00210079" w:rsidP="00210079">
      <w:pPr>
        <w:ind w:left="567"/>
        <w:rPr>
          <w:sz w:val="18"/>
        </w:rPr>
      </w:pPr>
    </w:p>
    <w:p w:rsidR="00B95191" w:rsidRDefault="007C5CA5" w:rsidP="00B95191">
      <w:pPr>
        <w:jc w:val="left"/>
        <w:rPr>
          <w:rFonts w:eastAsiaTheme="minorEastAsia" w:cs="Arial"/>
          <w:snapToGrid w:val="0"/>
        </w:rPr>
      </w:pPr>
      <w:r w:rsidRPr="00DB51B4">
        <w:fldChar w:fldCharType="begin"/>
      </w:r>
      <w:r w:rsidRPr="00DB51B4">
        <w:instrText xml:space="preserve"> AUTONUM  </w:instrText>
      </w:r>
      <w:r w:rsidRPr="00DB51B4">
        <w:fldChar w:fldCharType="end"/>
      </w:r>
      <w:r w:rsidRPr="00DB51B4">
        <w:tab/>
        <w:t xml:space="preserve">The </w:t>
      </w:r>
      <w:r w:rsidRPr="00DB51B4">
        <w:rPr>
          <w:rFonts w:eastAsiaTheme="minorEastAsia" w:cs="Arial"/>
          <w:snapToGrid w:val="0"/>
        </w:rPr>
        <w:t xml:space="preserve">CAJ </w:t>
      </w:r>
      <w:proofErr w:type="gramStart"/>
      <w:r w:rsidRPr="00DB51B4">
        <w:rPr>
          <w:rFonts w:eastAsiaTheme="minorEastAsia" w:cs="Arial"/>
          <w:snapToGrid w:val="0"/>
        </w:rPr>
        <w:t>is invited</w:t>
      </w:r>
      <w:proofErr w:type="gramEnd"/>
      <w:r w:rsidRPr="00DB51B4">
        <w:rPr>
          <w:rFonts w:eastAsiaTheme="minorEastAsia" w:cs="Arial"/>
          <w:snapToGrid w:val="0"/>
        </w:rPr>
        <w:t xml:space="preserve"> to:</w:t>
      </w:r>
    </w:p>
    <w:p w:rsidR="00BA126B" w:rsidRPr="00017DB3" w:rsidRDefault="00BA126B" w:rsidP="00017DB3">
      <w:pPr>
        <w:rPr>
          <w:rFonts w:eastAsiaTheme="minorEastAsia" w:cs="Arial"/>
          <w:snapToGrid w:val="0"/>
          <w:sz w:val="16"/>
        </w:rPr>
      </w:pPr>
    </w:p>
    <w:p w:rsidR="00BA126B" w:rsidRPr="00BA126B" w:rsidRDefault="00BA126B" w:rsidP="00DA63A8">
      <w:pPr>
        <w:ind w:firstLine="567"/>
        <w:rPr>
          <w:rFonts w:eastAsiaTheme="minorEastAsia" w:cs="Arial"/>
          <w:snapToGrid w:val="0"/>
        </w:rPr>
      </w:pPr>
      <w:r w:rsidRPr="00BA126B">
        <w:rPr>
          <w:rFonts w:eastAsiaTheme="minorEastAsia" w:cs="Arial"/>
          <w:snapToGrid w:val="0"/>
        </w:rPr>
        <w:t>(a)</w:t>
      </w:r>
      <w:r w:rsidRPr="00BA126B">
        <w:rPr>
          <w:rFonts w:eastAsiaTheme="minorEastAsia" w:cs="Arial"/>
          <w:snapToGrid w:val="0"/>
        </w:rPr>
        <w:tab/>
        <w:t xml:space="preserve">note the developments concerning harvested material and unauthorized use of propagating material, including relevant matters on the “Seminar on the breeder’s right in relation to harvested material”, as set out in </w:t>
      </w:r>
      <w:r w:rsidRPr="00C00B09">
        <w:rPr>
          <w:rFonts w:eastAsiaTheme="minorEastAsia" w:cs="Arial"/>
          <w:snapToGrid w:val="0"/>
        </w:rPr>
        <w:t>paragraphs 4 to 16 of this</w:t>
      </w:r>
      <w:r w:rsidRPr="00BA126B">
        <w:rPr>
          <w:rFonts w:eastAsiaTheme="minorEastAsia" w:cs="Arial"/>
          <w:snapToGrid w:val="0"/>
        </w:rPr>
        <w:t xml:space="preserve"> document; </w:t>
      </w:r>
      <w:r w:rsidR="0009192B">
        <w:rPr>
          <w:rFonts w:eastAsiaTheme="minorEastAsia" w:cs="Arial"/>
          <w:snapToGrid w:val="0"/>
        </w:rPr>
        <w:t xml:space="preserve"> </w:t>
      </w:r>
      <w:r w:rsidRPr="00BA126B">
        <w:rPr>
          <w:rFonts w:eastAsiaTheme="minorEastAsia" w:cs="Arial"/>
          <w:snapToGrid w:val="0"/>
        </w:rPr>
        <w:t>and</w:t>
      </w:r>
    </w:p>
    <w:p w:rsidR="00BA126B" w:rsidRPr="00017DB3" w:rsidRDefault="00BA126B" w:rsidP="00017DB3">
      <w:pPr>
        <w:rPr>
          <w:rFonts w:eastAsiaTheme="minorEastAsia" w:cs="Arial"/>
          <w:snapToGrid w:val="0"/>
          <w:sz w:val="18"/>
        </w:rPr>
      </w:pPr>
    </w:p>
    <w:p w:rsidR="00BA126B" w:rsidRPr="00BA126B" w:rsidRDefault="00BA126B" w:rsidP="00017DB3">
      <w:pPr>
        <w:ind w:firstLine="567"/>
        <w:rPr>
          <w:rFonts w:eastAsiaTheme="minorEastAsia" w:cs="Arial"/>
          <w:snapToGrid w:val="0"/>
        </w:rPr>
      </w:pPr>
      <w:r w:rsidRPr="00BA126B">
        <w:rPr>
          <w:rFonts w:eastAsiaTheme="minorEastAsia" w:cs="Arial"/>
          <w:snapToGrid w:val="0"/>
        </w:rPr>
        <w:t>(b)</w:t>
      </w:r>
      <w:r w:rsidRPr="00BA126B">
        <w:rPr>
          <w:rFonts w:eastAsiaTheme="minorEastAsia" w:cs="Arial"/>
          <w:snapToGrid w:val="0"/>
        </w:rPr>
        <w:tab/>
      </w:r>
      <w:proofErr w:type="gramStart"/>
      <w:r w:rsidRPr="00BA126B">
        <w:rPr>
          <w:rFonts w:eastAsiaTheme="minorEastAsia" w:cs="Arial"/>
          <w:snapToGrid w:val="0"/>
        </w:rPr>
        <w:t>approve</w:t>
      </w:r>
      <w:proofErr w:type="gramEnd"/>
      <w:r w:rsidRPr="00BA126B">
        <w:rPr>
          <w:rFonts w:eastAsiaTheme="minorEastAsia" w:cs="Arial"/>
          <w:snapToGrid w:val="0"/>
        </w:rPr>
        <w:t xml:space="preserve"> the proposals for a procedure for the revision of relevant guidance, as follows:</w:t>
      </w:r>
    </w:p>
    <w:p w:rsidR="00BA126B" w:rsidRPr="00017DB3" w:rsidRDefault="00BA126B" w:rsidP="00017DB3">
      <w:pPr>
        <w:rPr>
          <w:rFonts w:eastAsiaTheme="minorEastAsia" w:cs="Arial"/>
          <w:snapToGrid w:val="0"/>
          <w:sz w:val="14"/>
        </w:rPr>
      </w:pPr>
    </w:p>
    <w:p w:rsidR="00BA126B" w:rsidRPr="00017DB3" w:rsidRDefault="00BA126B" w:rsidP="000B6EC0">
      <w:pPr>
        <w:ind w:left="567" w:firstLine="567"/>
        <w:rPr>
          <w:rFonts w:eastAsiaTheme="minorEastAsia" w:cs="Arial"/>
          <w:snapToGrid w:val="0"/>
          <w:spacing w:val="-2"/>
        </w:rPr>
      </w:pPr>
      <w:r w:rsidRPr="00017DB3">
        <w:rPr>
          <w:rFonts w:eastAsiaTheme="minorEastAsia" w:cs="Arial"/>
          <w:snapToGrid w:val="0"/>
          <w:spacing w:val="-2"/>
        </w:rPr>
        <w:t>(i)</w:t>
      </w:r>
      <w:r w:rsidRPr="00017DB3">
        <w:rPr>
          <w:rFonts w:eastAsiaTheme="minorEastAsia" w:cs="Arial"/>
          <w:snapToGrid w:val="0"/>
          <w:spacing w:val="-2"/>
        </w:rPr>
        <w:tab/>
        <w:t>agree to initiate a revision of the “Explanatory Notes on Acts in Respect of Harvested Material under the 1991 Act of the UPOV Convention” (document UPOV/EXN/HRV/1), “Explanatory Notes on Propagating Material under the UPOV Convention” (UPOV/EXN/PPM/1), and “Explanatory Notes on Provisional Protection under the UPOV Convention” (UPOV/EXN/PRP/2);</w:t>
      </w:r>
    </w:p>
    <w:p w:rsidR="00017DB3" w:rsidRPr="00017DB3" w:rsidRDefault="00017DB3" w:rsidP="00017DB3">
      <w:pPr>
        <w:ind w:left="567" w:firstLine="567"/>
        <w:rPr>
          <w:rFonts w:eastAsiaTheme="minorEastAsia" w:cs="Arial"/>
          <w:snapToGrid w:val="0"/>
          <w:sz w:val="16"/>
        </w:rPr>
      </w:pPr>
    </w:p>
    <w:p w:rsidR="00BA126B" w:rsidRPr="00BA126B" w:rsidRDefault="00BA126B" w:rsidP="00017DB3">
      <w:pPr>
        <w:ind w:left="567" w:firstLine="567"/>
        <w:rPr>
          <w:rFonts w:eastAsiaTheme="minorEastAsia" w:cs="Arial"/>
          <w:snapToGrid w:val="0"/>
        </w:rPr>
      </w:pPr>
      <w:r w:rsidRPr="00BA126B">
        <w:rPr>
          <w:rFonts w:eastAsiaTheme="minorEastAsia" w:cs="Arial"/>
          <w:snapToGrid w:val="0"/>
        </w:rPr>
        <w:t>(ii)</w:t>
      </w:r>
      <w:r w:rsidRPr="00BA126B">
        <w:rPr>
          <w:rFonts w:eastAsiaTheme="minorEastAsia" w:cs="Arial"/>
          <w:snapToGrid w:val="0"/>
        </w:rPr>
        <w:tab/>
      </w:r>
      <w:proofErr w:type="gramStart"/>
      <w:r w:rsidRPr="00BA126B">
        <w:rPr>
          <w:rFonts w:eastAsiaTheme="minorEastAsia" w:cs="Arial"/>
          <w:snapToGrid w:val="0"/>
        </w:rPr>
        <w:t>agree</w:t>
      </w:r>
      <w:proofErr w:type="gramEnd"/>
      <w:r w:rsidRPr="00BA126B">
        <w:rPr>
          <w:rFonts w:eastAsiaTheme="minorEastAsia" w:cs="Arial"/>
          <w:snapToGrid w:val="0"/>
        </w:rPr>
        <w:t xml:space="preserve"> to establish a working group on harvested material and unauthorized use of propagating material (WG-HRV); </w:t>
      </w:r>
    </w:p>
    <w:p w:rsidR="00017DB3" w:rsidRPr="00017DB3" w:rsidRDefault="00017DB3" w:rsidP="00017DB3">
      <w:pPr>
        <w:ind w:left="567" w:firstLine="567"/>
        <w:rPr>
          <w:rFonts w:eastAsiaTheme="minorEastAsia" w:cs="Arial"/>
          <w:snapToGrid w:val="0"/>
          <w:sz w:val="16"/>
        </w:rPr>
      </w:pPr>
    </w:p>
    <w:p w:rsidR="00BA126B" w:rsidRPr="00BA126B" w:rsidRDefault="00BA126B" w:rsidP="00017DB3">
      <w:pPr>
        <w:ind w:left="567" w:firstLine="567"/>
        <w:rPr>
          <w:rFonts w:eastAsiaTheme="minorEastAsia" w:cs="Arial"/>
          <w:snapToGrid w:val="0"/>
        </w:rPr>
      </w:pPr>
      <w:r w:rsidRPr="00BA126B">
        <w:rPr>
          <w:rFonts w:eastAsiaTheme="minorEastAsia" w:cs="Arial"/>
          <w:snapToGrid w:val="0"/>
        </w:rPr>
        <w:t>(iii)</w:t>
      </w:r>
      <w:r w:rsidRPr="00BA126B">
        <w:rPr>
          <w:rFonts w:eastAsiaTheme="minorEastAsia" w:cs="Arial"/>
          <w:snapToGrid w:val="0"/>
        </w:rPr>
        <w:tab/>
      </w:r>
      <w:proofErr w:type="gramStart"/>
      <w:r w:rsidRPr="00BA126B">
        <w:rPr>
          <w:rFonts w:eastAsiaTheme="minorEastAsia" w:cs="Arial"/>
          <w:snapToGrid w:val="0"/>
        </w:rPr>
        <w:t>approve</w:t>
      </w:r>
      <w:proofErr w:type="gramEnd"/>
      <w:r w:rsidRPr="00BA126B">
        <w:rPr>
          <w:rFonts w:eastAsiaTheme="minorEastAsia" w:cs="Arial"/>
          <w:snapToGrid w:val="0"/>
        </w:rPr>
        <w:t xml:space="preserve"> the draft terms of reference (</w:t>
      </w:r>
      <w:proofErr w:type="spellStart"/>
      <w:r w:rsidRPr="00BA126B">
        <w:rPr>
          <w:rFonts w:eastAsiaTheme="minorEastAsia" w:cs="Arial"/>
          <w:snapToGrid w:val="0"/>
        </w:rPr>
        <w:t>ToRs</w:t>
      </w:r>
      <w:proofErr w:type="spellEnd"/>
      <w:r w:rsidRPr="00BA126B">
        <w:rPr>
          <w:rFonts w:eastAsiaTheme="minorEastAsia" w:cs="Arial"/>
          <w:snapToGrid w:val="0"/>
        </w:rPr>
        <w:t xml:space="preserve">) for the WG-HRV, as presented in the Annex to this document;  </w:t>
      </w:r>
    </w:p>
    <w:p w:rsidR="00017DB3" w:rsidRPr="00017DB3" w:rsidRDefault="00017DB3" w:rsidP="00017DB3">
      <w:pPr>
        <w:ind w:left="567" w:firstLine="567"/>
        <w:rPr>
          <w:rFonts w:eastAsiaTheme="minorEastAsia" w:cs="Arial"/>
          <w:snapToGrid w:val="0"/>
          <w:sz w:val="16"/>
        </w:rPr>
      </w:pPr>
    </w:p>
    <w:p w:rsidR="00BA126B" w:rsidRPr="00BA126B" w:rsidRDefault="00BA126B" w:rsidP="00017DB3">
      <w:pPr>
        <w:ind w:left="567" w:firstLine="567"/>
        <w:rPr>
          <w:rFonts w:eastAsiaTheme="minorEastAsia" w:cs="Arial"/>
          <w:snapToGrid w:val="0"/>
        </w:rPr>
      </w:pPr>
      <w:r w:rsidRPr="00BA126B">
        <w:rPr>
          <w:rFonts w:eastAsiaTheme="minorEastAsia" w:cs="Arial"/>
          <w:snapToGrid w:val="0"/>
        </w:rPr>
        <w:t>(iv)</w:t>
      </w:r>
      <w:r w:rsidRPr="00BA126B">
        <w:rPr>
          <w:rFonts w:eastAsiaTheme="minorEastAsia" w:cs="Arial"/>
          <w:snapToGrid w:val="0"/>
        </w:rPr>
        <w:tab/>
        <w:t xml:space="preserve">subject to approval of the establishment of, and </w:t>
      </w:r>
      <w:proofErr w:type="spellStart"/>
      <w:r w:rsidRPr="00BA126B">
        <w:rPr>
          <w:rFonts w:eastAsiaTheme="minorEastAsia" w:cs="Arial"/>
          <w:snapToGrid w:val="0"/>
        </w:rPr>
        <w:t>ToRs</w:t>
      </w:r>
      <w:proofErr w:type="spellEnd"/>
      <w:r w:rsidRPr="00BA126B">
        <w:rPr>
          <w:rFonts w:eastAsiaTheme="minorEastAsia" w:cs="Arial"/>
          <w:snapToGrid w:val="0"/>
        </w:rPr>
        <w:t xml:space="preserve"> for, the WG-HRV, to request the Office of the Union to issue a Circular to invite members of the Union and observers to the CAJ to express their interest to be a member of the WG-HRV; </w:t>
      </w:r>
      <w:r w:rsidR="00017DB3">
        <w:rPr>
          <w:rFonts w:eastAsiaTheme="minorEastAsia" w:cs="Arial"/>
          <w:snapToGrid w:val="0"/>
        </w:rPr>
        <w:t xml:space="preserve"> </w:t>
      </w:r>
      <w:r w:rsidRPr="00BA126B">
        <w:rPr>
          <w:rFonts w:eastAsiaTheme="minorEastAsia" w:cs="Arial"/>
          <w:snapToGrid w:val="0"/>
        </w:rPr>
        <w:t>and</w:t>
      </w:r>
    </w:p>
    <w:p w:rsidR="00017DB3" w:rsidRPr="00017DB3" w:rsidRDefault="00017DB3" w:rsidP="00017DB3">
      <w:pPr>
        <w:ind w:left="567" w:firstLine="567"/>
        <w:rPr>
          <w:rFonts w:eastAsiaTheme="minorEastAsia" w:cs="Arial"/>
          <w:snapToGrid w:val="0"/>
          <w:sz w:val="16"/>
        </w:rPr>
      </w:pPr>
    </w:p>
    <w:p w:rsidR="00BA126B" w:rsidRPr="00BA126B" w:rsidRDefault="00BA126B" w:rsidP="00017DB3">
      <w:pPr>
        <w:ind w:left="567" w:firstLine="567"/>
        <w:rPr>
          <w:rFonts w:eastAsiaTheme="minorEastAsia" w:cs="Arial"/>
          <w:snapToGrid w:val="0"/>
        </w:rPr>
      </w:pPr>
      <w:r w:rsidRPr="00BA126B">
        <w:rPr>
          <w:rFonts w:eastAsiaTheme="minorEastAsia" w:cs="Arial"/>
          <w:snapToGrid w:val="0"/>
        </w:rPr>
        <w:t>(v)</w:t>
      </w:r>
      <w:r w:rsidRPr="00BA126B">
        <w:rPr>
          <w:rFonts w:eastAsiaTheme="minorEastAsia" w:cs="Arial"/>
          <w:snapToGrid w:val="0"/>
        </w:rPr>
        <w:tab/>
      </w:r>
      <w:proofErr w:type="gramStart"/>
      <w:r w:rsidRPr="00BA126B">
        <w:rPr>
          <w:rFonts w:eastAsiaTheme="minorEastAsia" w:cs="Arial"/>
          <w:snapToGrid w:val="0"/>
        </w:rPr>
        <w:t>note</w:t>
      </w:r>
      <w:proofErr w:type="gramEnd"/>
      <w:r w:rsidRPr="00BA126B">
        <w:rPr>
          <w:rFonts w:eastAsiaTheme="minorEastAsia" w:cs="Arial"/>
          <w:snapToGrid w:val="0"/>
        </w:rPr>
        <w:t xml:space="preserve"> that, if applicable, at its seventy-eighth session, the CAJ will receive a report of the replies to the Circular with the expressions of interest to be part of the WG-HRV, with a request for the CAJ to agree its composition and the date for its first meeting. </w:t>
      </w:r>
    </w:p>
    <w:p w:rsidR="000C14A1" w:rsidRPr="00017DB3" w:rsidRDefault="000C14A1" w:rsidP="00B12A17">
      <w:pPr>
        <w:rPr>
          <w:sz w:val="18"/>
        </w:rPr>
      </w:pPr>
    </w:p>
    <w:p w:rsidR="00210079" w:rsidRDefault="00210079" w:rsidP="00017DB3">
      <w:pPr>
        <w:keepNext/>
        <w:spacing w:after="120"/>
        <w:jc w:val="left"/>
        <w:rPr>
          <w:rFonts w:cs="Arial"/>
          <w:lang w:eastAsia="ja-JP"/>
        </w:rPr>
      </w:pPr>
      <w:r w:rsidRPr="00523486">
        <w:rPr>
          <w:rFonts w:cs="Arial"/>
        </w:rPr>
        <w:fldChar w:fldCharType="begin"/>
      </w:r>
      <w:r w:rsidRPr="00523486">
        <w:rPr>
          <w:rFonts w:cs="Arial"/>
        </w:rPr>
        <w:instrText xml:space="preserve"> AUTONUM  </w:instrText>
      </w:r>
      <w:r w:rsidRPr="00523486">
        <w:rPr>
          <w:rFonts w:cs="Arial"/>
        </w:rPr>
        <w:fldChar w:fldCharType="end"/>
      </w:r>
      <w:r w:rsidRPr="00523486">
        <w:rPr>
          <w:rFonts w:cs="Arial"/>
        </w:rPr>
        <w:tab/>
      </w:r>
      <w:r w:rsidRPr="00523486">
        <w:rPr>
          <w:rFonts w:cs="Arial"/>
          <w:lang w:eastAsia="ja-JP"/>
        </w:rPr>
        <w:t xml:space="preserve">The structure of this document is as follows:  </w:t>
      </w:r>
    </w:p>
    <w:sdt>
      <w:sdtPr>
        <w:rPr>
          <w:sz w:val="20"/>
        </w:rPr>
        <w:id w:val="-454788501"/>
        <w:docPartObj>
          <w:docPartGallery w:val="Table of Contents"/>
          <w:docPartUnique/>
        </w:docPartObj>
      </w:sdtPr>
      <w:sdtEndPr>
        <w:rPr>
          <w:noProof/>
          <w:sz w:val="18"/>
        </w:rPr>
      </w:sdtEndPr>
      <w:sdtContent>
        <w:p w:rsidR="00017DB3" w:rsidRDefault="000C14A1" w:rsidP="00017DB3">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4296847" w:history="1">
            <w:r w:rsidR="00017DB3" w:rsidRPr="007F4884">
              <w:rPr>
                <w:rStyle w:val="Hyperlink"/>
                <w:noProof/>
                <w:snapToGrid w:val="0"/>
              </w:rPr>
              <w:t>Executive Summary</w:t>
            </w:r>
            <w:r w:rsidR="00017DB3">
              <w:rPr>
                <w:noProof/>
                <w:webHidden/>
              </w:rPr>
              <w:tab/>
            </w:r>
            <w:r w:rsidR="00017DB3">
              <w:rPr>
                <w:noProof/>
                <w:webHidden/>
              </w:rPr>
              <w:fldChar w:fldCharType="begin"/>
            </w:r>
            <w:r w:rsidR="00017DB3">
              <w:rPr>
                <w:noProof/>
                <w:webHidden/>
              </w:rPr>
              <w:instrText xml:space="preserve"> PAGEREF _Toc74296847 \h </w:instrText>
            </w:r>
            <w:r w:rsidR="00017DB3">
              <w:rPr>
                <w:noProof/>
                <w:webHidden/>
              </w:rPr>
            </w:r>
            <w:r w:rsidR="00017DB3">
              <w:rPr>
                <w:noProof/>
                <w:webHidden/>
              </w:rPr>
              <w:fldChar w:fldCharType="separate"/>
            </w:r>
            <w:r w:rsidR="005A07C6">
              <w:rPr>
                <w:noProof/>
                <w:webHidden/>
              </w:rPr>
              <w:t>1</w:t>
            </w:r>
            <w:r w:rsidR="00017DB3">
              <w:rPr>
                <w:noProof/>
                <w:webHidden/>
              </w:rPr>
              <w:fldChar w:fldCharType="end"/>
            </w:r>
          </w:hyperlink>
        </w:p>
        <w:p w:rsidR="00017DB3" w:rsidRDefault="00D15592" w:rsidP="00017DB3">
          <w:pPr>
            <w:pStyle w:val="TOC1"/>
            <w:rPr>
              <w:rFonts w:asciiTheme="minorHAnsi" w:eastAsiaTheme="minorEastAsia" w:hAnsiTheme="minorHAnsi" w:cstheme="minorBidi"/>
              <w:noProof/>
              <w:sz w:val="22"/>
              <w:szCs w:val="22"/>
            </w:rPr>
          </w:pPr>
          <w:hyperlink w:anchor="_Toc74296848" w:history="1">
            <w:r w:rsidR="00017DB3" w:rsidRPr="007F4884">
              <w:rPr>
                <w:rStyle w:val="Hyperlink"/>
                <w:noProof/>
                <w:snapToGrid w:val="0"/>
              </w:rPr>
              <w:t>Background</w:t>
            </w:r>
            <w:r w:rsidR="00017DB3">
              <w:rPr>
                <w:noProof/>
                <w:webHidden/>
              </w:rPr>
              <w:tab/>
            </w:r>
            <w:r w:rsidR="00017DB3">
              <w:rPr>
                <w:noProof/>
                <w:webHidden/>
              </w:rPr>
              <w:fldChar w:fldCharType="begin"/>
            </w:r>
            <w:r w:rsidR="00017DB3">
              <w:rPr>
                <w:noProof/>
                <w:webHidden/>
              </w:rPr>
              <w:instrText xml:space="preserve"> PAGEREF _Toc74296848 \h </w:instrText>
            </w:r>
            <w:r w:rsidR="00017DB3">
              <w:rPr>
                <w:noProof/>
                <w:webHidden/>
              </w:rPr>
            </w:r>
            <w:r w:rsidR="00017DB3">
              <w:rPr>
                <w:noProof/>
                <w:webHidden/>
              </w:rPr>
              <w:fldChar w:fldCharType="separate"/>
            </w:r>
            <w:r w:rsidR="005A07C6">
              <w:rPr>
                <w:noProof/>
                <w:webHidden/>
              </w:rPr>
              <w:t>2</w:t>
            </w:r>
            <w:r w:rsidR="00017DB3">
              <w:rPr>
                <w:noProof/>
                <w:webHidden/>
              </w:rPr>
              <w:fldChar w:fldCharType="end"/>
            </w:r>
          </w:hyperlink>
        </w:p>
        <w:p w:rsidR="00017DB3" w:rsidRDefault="00D15592">
          <w:pPr>
            <w:pStyle w:val="TOC2"/>
            <w:rPr>
              <w:rFonts w:asciiTheme="minorHAnsi" w:eastAsiaTheme="minorEastAsia" w:hAnsiTheme="minorHAnsi" w:cstheme="minorBidi"/>
              <w:noProof/>
              <w:sz w:val="22"/>
              <w:szCs w:val="22"/>
            </w:rPr>
          </w:pPr>
          <w:hyperlink w:anchor="_Toc74296849" w:history="1">
            <w:r w:rsidR="00017DB3" w:rsidRPr="007F4884">
              <w:rPr>
                <w:rStyle w:val="Hyperlink"/>
                <w:noProof/>
              </w:rPr>
              <w:t>Matters proposed to be addressed at the Seminar on the breeder’s right in relation to harvested material</w:t>
            </w:r>
            <w:r w:rsidR="00017DB3">
              <w:rPr>
                <w:noProof/>
                <w:webHidden/>
              </w:rPr>
              <w:tab/>
            </w:r>
            <w:r w:rsidR="00017DB3">
              <w:rPr>
                <w:noProof/>
                <w:webHidden/>
              </w:rPr>
              <w:fldChar w:fldCharType="begin"/>
            </w:r>
            <w:r w:rsidR="00017DB3">
              <w:rPr>
                <w:noProof/>
                <w:webHidden/>
              </w:rPr>
              <w:instrText xml:space="preserve"> PAGEREF _Toc74296849 \h </w:instrText>
            </w:r>
            <w:r w:rsidR="00017DB3">
              <w:rPr>
                <w:noProof/>
                <w:webHidden/>
              </w:rPr>
            </w:r>
            <w:r w:rsidR="00017DB3">
              <w:rPr>
                <w:noProof/>
                <w:webHidden/>
              </w:rPr>
              <w:fldChar w:fldCharType="separate"/>
            </w:r>
            <w:r w:rsidR="005A07C6">
              <w:rPr>
                <w:noProof/>
                <w:webHidden/>
              </w:rPr>
              <w:t>4</w:t>
            </w:r>
            <w:r w:rsidR="00017DB3">
              <w:rPr>
                <w:noProof/>
                <w:webHidden/>
              </w:rPr>
              <w:fldChar w:fldCharType="end"/>
            </w:r>
          </w:hyperlink>
        </w:p>
        <w:p w:rsidR="00017DB3" w:rsidRDefault="00D15592" w:rsidP="00017DB3">
          <w:pPr>
            <w:pStyle w:val="TOC1"/>
            <w:rPr>
              <w:rFonts w:asciiTheme="minorHAnsi" w:eastAsiaTheme="minorEastAsia" w:hAnsiTheme="minorHAnsi" w:cstheme="minorBidi"/>
              <w:noProof/>
              <w:sz w:val="22"/>
              <w:szCs w:val="22"/>
            </w:rPr>
          </w:pPr>
          <w:hyperlink w:anchor="_Toc74296850" w:history="1">
            <w:r w:rsidR="00017DB3" w:rsidRPr="007F4884">
              <w:rPr>
                <w:rStyle w:val="Hyperlink"/>
                <w:noProof/>
                <w:snapToGrid w:val="0"/>
              </w:rPr>
              <w:t>Seminar on the breeder’s right in relation to harvested material</w:t>
            </w:r>
            <w:r w:rsidR="00017DB3">
              <w:rPr>
                <w:noProof/>
                <w:webHidden/>
              </w:rPr>
              <w:tab/>
            </w:r>
            <w:r w:rsidR="00017DB3">
              <w:rPr>
                <w:noProof/>
                <w:webHidden/>
              </w:rPr>
              <w:fldChar w:fldCharType="begin"/>
            </w:r>
            <w:r w:rsidR="00017DB3">
              <w:rPr>
                <w:noProof/>
                <w:webHidden/>
              </w:rPr>
              <w:instrText xml:space="preserve"> PAGEREF _Toc74296850 \h </w:instrText>
            </w:r>
            <w:r w:rsidR="00017DB3">
              <w:rPr>
                <w:noProof/>
                <w:webHidden/>
              </w:rPr>
            </w:r>
            <w:r w:rsidR="00017DB3">
              <w:rPr>
                <w:noProof/>
                <w:webHidden/>
              </w:rPr>
              <w:fldChar w:fldCharType="separate"/>
            </w:r>
            <w:r w:rsidR="005A07C6">
              <w:rPr>
                <w:noProof/>
                <w:webHidden/>
              </w:rPr>
              <w:t>4</w:t>
            </w:r>
            <w:r w:rsidR="00017DB3">
              <w:rPr>
                <w:noProof/>
                <w:webHidden/>
              </w:rPr>
              <w:fldChar w:fldCharType="end"/>
            </w:r>
          </w:hyperlink>
        </w:p>
        <w:p w:rsidR="00017DB3" w:rsidRDefault="00D15592">
          <w:pPr>
            <w:pStyle w:val="TOC2"/>
            <w:rPr>
              <w:rFonts w:asciiTheme="minorHAnsi" w:eastAsiaTheme="minorEastAsia" w:hAnsiTheme="minorHAnsi" w:cstheme="minorBidi"/>
              <w:noProof/>
              <w:sz w:val="22"/>
              <w:szCs w:val="22"/>
            </w:rPr>
          </w:pPr>
          <w:hyperlink w:anchor="_Toc74296851" w:history="1">
            <w:r w:rsidR="00017DB3" w:rsidRPr="007F4884">
              <w:rPr>
                <w:rStyle w:val="Hyperlink"/>
                <w:noProof/>
              </w:rPr>
              <w:t>Concluding remarks</w:t>
            </w:r>
            <w:r w:rsidR="00017DB3">
              <w:rPr>
                <w:noProof/>
                <w:webHidden/>
              </w:rPr>
              <w:tab/>
            </w:r>
            <w:r w:rsidR="00017DB3">
              <w:rPr>
                <w:noProof/>
                <w:webHidden/>
              </w:rPr>
              <w:fldChar w:fldCharType="begin"/>
            </w:r>
            <w:r w:rsidR="00017DB3">
              <w:rPr>
                <w:noProof/>
                <w:webHidden/>
              </w:rPr>
              <w:instrText xml:space="preserve"> PAGEREF _Toc74296851 \h </w:instrText>
            </w:r>
            <w:r w:rsidR="00017DB3">
              <w:rPr>
                <w:noProof/>
                <w:webHidden/>
              </w:rPr>
            </w:r>
            <w:r w:rsidR="00017DB3">
              <w:rPr>
                <w:noProof/>
                <w:webHidden/>
              </w:rPr>
              <w:fldChar w:fldCharType="separate"/>
            </w:r>
            <w:r w:rsidR="005A07C6">
              <w:rPr>
                <w:noProof/>
                <w:webHidden/>
              </w:rPr>
              <w:t>4</w:t>
            </w:r>
            <w:r w:rsidR="00017DB3">
              <w:rPr>
                <w:noProof/>
                <w:webHidden/>
              </w:rPr>
              <w:fldChar w:fldCharType="end"/>
            </w:r>
          </w:hyperlink>
        </w:p>
        <w:p w:rsidR="000C14A1" w:rsidRPr="00017DB3" w:rsidRDefault="00D15592" w:rsidP="00017DB3">
          <w:pPr>
            <w:pStyle w:val="TOC1"/>
            <w:rPr>
              <w:noProof/>
            </w:rPr>
          </w:pPr>
          <w:hyperlink w:anchor="_Toc74296852" w:history="1">
            <w:r w:rsidR="00017DB3" w:rsidRPr="007F4884">
              <w:rPr>
                <w:rStyle w:val="Hyperlink"/>
                <w:noProof/>
                <w:snapToGrid w:val="0"/>
              </w:rPr>
              <w:t>PROPOSALS FOR A PROCEDURE FOR THE REVISION OF relevant GUIDANCE</w:t>
            </w:r>
            <w:r w:rsidR="00017DB3">
              <w:rPr>
                <w:noProof/>
                <w:webHidden/>
              </w:rPr>
              <w:tab/>
            </w:r>
            <w:r w:rsidR="00017DB3">
              <w:rPr>
                <w:noProof/>
                <w:webHidden/>
              </w:rPr>
              <w:fldChar w:fldCharType="begin"/>
            </w:r>
            <w:r w:rsidR="00017DB3">
              <w:rPr>
                <w:noProof/>
                <w:webHidden/>
              </w:rPr>
              <w:instrText xml:space="preserve"> PAGEREF _Toc74296852 \h </w:instrText>
            </w:r>
            <w:r w:rsidR="00017DB3">
              <w:rPr>
                <w:noProof/>
                <w:webHidden/>
              </w:rPr>
            </w:r>
            <w:r w:rsidR="00017DB3">
              <w:rPr>
                <w:noProof/>
                <w:webHidden/>
              </w:rPr>
              <w:fldChar w:fldCharType="separate"/>
            </w:r>
            <w:r w:rsidR="005A07C6">
              <w:rPr>
                <w:noProof/>
                <w:webHidden/>
              </w:rPr>
              <w:t>5</w:t>
            </w:r>
            <w:r w:rsidR="00017DB3">
              <w:rPr>
                <w:noProof/>
                <w:webHidden/>
              </w:rPr>
              <w:fldChar w:fldCharType="end"/>
            </w:r>
          </w:hyperlink>
          <w:r w:rsidR="000C14A1">
            <w:rPr>
              <w:noProof/>
            </w:rPr>
            <w:fldChar w:fldCharType="end"/>
          </w:r>
        </w:p>
      </w:sdtContent>
    </w:sdt>
    <w:p w:rsidR="00017DB3" w:rsidRDefault="00C21E28" w:rsidP="00017DB3">
      <w:pPr>
        <w:spacing w:before="120"/>
        <w:ind w:left="994" w:hanging="994"/>
        <w:rPr>
          <w:sz w:val="18"/>
        </w:rPr>
      </w:pPr>
      <w:bookmarkStart w:id="6" w:name="_Toc73693864"/>
      <w:bookmarkStart w:id="7" w:name="_Toc73693941"/>
      <w:bookmarkStart w:id="8" w:name="_Toc73693949"/>
      <w:r w:rsidRPr="00C21E28">
        <w:rPr>
          <w:sz w:val="18"/>
        </w:rPr>
        <w:t xml:space="preserve">ANNEX </w:t>
      </w:r>
      <w:r w:rsidRPr="00C21E28">
        <w:rPr>
          <w:sz w:val="18"/>
        </w:rPr>
        <w:tab/>
        <w:t xml:space="preserve">DRAFT TERMS OF REFERENCE OF THE WORKING GROUP ON HARVESTED MATERIAL AND UNAUTHORIZED USE OF PROPAGATING MATERIAL (WG-HRV)  </w:t>
      </w:r>
      <w:r w:rsidR="00017DB3">
        <w:rPr>
          <w:sz w:val="18"/>
        </w:rPr>
        <w:br w:type="page"/>
      </w:r>
    </w:p>
    <w:p w:rsidR="00210079" w:rsidRDefault="00210079" w:rsidP="00AF0D2E">
      <w:pPr>
        <w:pStyle w:val="Heading1"/>
        <w:rPr>
          <w:snapToGrid w:val="0"/>
        </w:rPr>
      </w:pPr>
      <w:bookmarkStart w:id="9" w:name="_Toc74296848"/>
      <w:r w:rsidRPr="001F1829">
        <w:rPr>
          <w:snapToGrid w:val="0"/>
        </w:rPr>
        <w:lastRenderedPageBreak/>
        <w:t>Background</w:t>
      </w:r>
      <w:bookmarkEnd w:id="6"/>
      <w:bookmarkEnd w:id="7"/>
      <w:bookmarkEnd w:id="8"/>
      <w:bookmarkEnd w:id="9"/>
    </w:p>
    <w:p w:rsidR="002F0EFB" w:rsidRPr="002F0EFB" w:rsidRDefault="002F0EFB" w:rsidP="002F0EFB"/>
    <w:p w:rsidR="002F0EFB" w:rsidRPr="00E30572" w:rsidRDefault="002F0EFB" w:rsidP="002F0EFB">
      <w:pPr>
        <w:keepNext/>
        <w:keepLines/>
        <w:autoSpaceDE w:val="0"/>
        <w:autoSpaceDN w:val="0"/>
        <w:adjustRightInd w:val="0"/>
        <w:rPr>
          <w:rFonts w:cs="Arial"/>
          <w:snapToGrid w:val="0"/>
        </w:rPr>
      </w:pPr>
      <w:r w:rsidRPr="00C00B09">
        <w:fldChar w:fldCharType="begin"/>
      </w:r>
      <w:r w:rsidRPr="00C00B09">
        <w:instrText xml:space="preserve"> AUTONUM  </w:instrText>
      </w:r>
      <w:r w:rsidRPr="00C00B09">
        <w:fldChar w:fldCharType="end"/>
      </w:r>
      <w:r w:rsidRPr="00DB51B4">
        <w:tab/>
      </w:r>
      <w:r w:rsidRPr="001E260E">
        <w:rPr>
          <w:rFonts w:cs="Arial"/>
          <w:spacing w:val="-2"/>
          <w:lang w:eastAsia="ja-JP" w:bidi="th-TH"/>
        </w:rPr>
        <w:t xml:space="preserve">The </w:t>
      </w:r>
      <w:r w:rsidRPr="001E260E">
        <w:rPr>
          <w:rFonts w:eastAsiaTheme="minorEastAsia" w:cs="Arial"/>
          <w:color w:val="000000"/>
          <w:spacing w:val="-2"/>
        </w:rPr>
        <w:t>Administrative and Legal Committee (CAJ),</w:t>
      </w:r>
      <w:r w:rsidRPr="001E260E">
        <w:rPr>
          <w:rFonts w:eastAsiaTheme="minorEastAsia" w:cs="Arial"/>
          <w:spacing w:val="-2"/>
        </w:rPr>
        <w:t xml:space="preserve"> </w:t>
      </w:r>
      <w:r>
        <w:rPr>
          <w:rFonts w:cs="Arial"/>
          <w:snapToGrid w:val="0"/>
        </w:rPr>
        <w:t>at its seventy-sixth session</w:t>
      </w:r>
      <w:r>
        <w:rPr>
          <w:rStyle w:val="FootnoteReference"/>
          <w:rFonts w:cs="Arial"/>
          <w:snapToGrid w:val="0"/>
        </w:rPr>
        <w:footnoteReference w:id="2"/>
      </w:r>
      <w:r w:rsidRPr="00E30572">
        <w:rPr>
          <w:rFonts w:cs="Arial"/>
          <w:snapToGrid w:val="0"/>
        </w:rPr>
        <w:t>, agreed the matters in the following paragraphs (see below extracts from document CAJ/76/9 “Report”</w:t>
      </w:r>
      <w:r>
        <w:rPr>
          <w:rFonts w:cs="Arial"/>
          <w:snapToGrid w:val="0"/>
        </w:rPr>
        <w:t xml:space="preserve">, paragraphs 18 to 20): </w:t>
      </w:r>
    </w:p>
    <w:p w:rsidR="002F0EFB" w:rsidRPr="00AF0D2E" w:rsidRDefault="002F0EFB" w:rsidP="002F0EFB">
      <w:pPr>
        <w:keepNext/>
        <w:tabs>
          <w:tab w:val="left" w:pos="284"/>
          <w:tab w:val="left" w:pos="851"/>
        </w:tabs>
        <w:autoSpaceDE w:val="0"/>
        <w:autoSpaceDN w:val="0"/>
        <w:adjustRightInd w:val="0"/>
        <w:rPr>
          <w:rFonts w:cs="Angsana New"/>
          <w:sz w:val="16"/>
          <w:szCs w:val="18"/>
          <w:lang w:eastAsia="ja-JP" w:bidi="th-TH"/>
        </w:rPr>
      </w:pPr>
    </w:p>
    <w:p w:rsidR="002F0EFB" w:rsidRPr="00576327" w:rsidRDefault="002F0EFB" w:rsidP="002F0EFB">
      <w:pPr>
        <w:ind w:left="567" w:right="567"/>
        <w:rPr>
          <w:rFonts w:eastAsiaTheme="minorEastAsia"/>
          <w:sz w:val="18"/>
        </w:rPr>
      </w:pPr>
      <w:r w:rsidRPr="00576327">
        <w:rPr>
          <w:spacing w:val="-2"/>
          <w:sz w:val="18"/>
        </w:rPr>
        <w:t>“18</w:t>
      </w:r>
      <w:r w:rsidRPr="00576327">
        <w:rPr>
          <w:i/>
          <w:spacing w:val="-2"/>
          <w:sz w:val="18"/>
        </w:rPr>
        <w:t>.</w:t>
      </w:r>
      <w:r w:rsidRPr="00576327">
        <w:rPr>
          <w:spacing w:val="-2"/>
          <w:sz w:val="18"/>
        </w:rPr>
        <w:tab/>
      </w:r>
      <w:r w:rsidRPr="00576327">
        <w:rPr>
          <w:rFonts w:eastAsiaTheme="minorEastAsia"/>
          <w:sz w:val="18"/>
        </w:rPr>
        <w:t>The CAJ noted the</w:t>
      </w:r>
      <w:r w:rsidRPr="00576327">
        <w:rPr>
          <w:sz w:val="18"/>
        </w:rPr>
        <w:t xml:space="preserve"> </w:t>
      </w:r>
      <w:r w:rsidRPr="00576327">
        <w:rPr>
          <w:rFonts w:eastAsiaTheme="minorEastAsia"/>
          <w:sz w:val="18"/>
        </w:rPr>
        <w:t>suggestion by Japan to develop guidance on the term</w:t>
      </w:r>
      <w:r>
        <w:rPr>
          <w:rFonts w:eastAsiaTheme="minorEastAsia"/>
          <w:sz w:val="18"/>
        </w:rPr>
        <w:t xml:space="preserve"> ‘</w:t>
      </w:r>
      <w:r w:rsidRPr="00576327">
        <w:rPr>
          <w:rFonts w:eastAsiaTheme="minorEastAsia"/>
          <w:sz w:val="18"/>
        </w:rPr>
        <w:t>unauthorized use of propagating material</w:t>
      </w:r>
      <w:r>
        <w:rPr>
          <w:rFonts w:eastAsiaTheme="minorEastAsia"/>
          <w:sz w:val="18"/>
        </w:rPr>
        <w:t>’</w:t>
      </w:r>
      <w:r w:rsidRPr="00576327">
        <w:rPr>
          <w:rFonts w:eastAsiaTheme="minorEastAsia"/>
          <w:sz w:val="18"/>
        </w:rPr>
        <w:t xml:space="preserve">, in Article 14(2) of the 1991 Act of the UPOV Convention. </w:t>
      </w:r>
    </w:p>
    <w:p w:rsidR="002F0EFB" w:rsidRPr="00AF0D2E" w:rsidRDefault="002F0EFB" w:rsidP="002F0EFB">
      <w:pPr>
        <w:ind w:left="567" w:right="567"/>
        <w:rPr>
          <w:rFonts w:eastAsiaTheme="minorEastAsia"/>
          <w:sz w:val="16"/>
        </w:rPr>
      </w:pPr>
    </w:p>
    <w:p w:rsidR="002F0EFB" w:rsidRPr="00576327" w:rsidRDefault="002F0EFB" w:rsidP="002F0EFB">
      <w:pPr>
        <w:ind w:left="567" w:right="567"/>
        <w:rPr>
          <w:rFonts w:eastAsiaTheme="minorEastAsia"/>
          <w:sz w:val="18"/>
        </w:rPr>
      </w:pPr>
      <w:proofErr w:type="gramStart"/>
      <w:r w:rsidRPr="00576327">
        <w:rPr>
          <w:sz w:val="18"/>
        </w:rPr>
        <w:t>“19.</w:t>
      </w:r>
      <w:r w:rsidRPr="00576327">
        <w:rPr>
          <w:sz w:val="18"/>
        </w:rPr>
        <w:tab/>
      </w:r>
      <w:r w:rsidRPr="00576327">
        <w:rPr>
          <w:rFonts w:eastAsiaTheme="minorEastAsia"/>
          <w:sz w:val="18"/>
        </w:rPr>
        <w:t xml:space="preserve">The CAJ agreed to include an item in </w:t>
      </w:r>
      <w:r w:rsidRPr="00576327">
        <w:rPr>
          <w:sz w:val="18"/>
        </w:rPr>
        <w:t>the agenda for the seventy</w:t>
      </w:r>
      <w:r w:rsidRPr="00576327">
        <w:rPr>
          <w:sz w:val="18"/>
        </w:rPr>
        <w:noBreakHyphen/>
        <w:t xml:space="preserve">seventh session of the CAJ to be held on October 28, 2020, to consider a document with information and proposals from CAJ members and observers concerning </w:t>
      </w:r>
      <w:r w:rsidRPr="00576327">
        <w:rPr>
          <w:rFonts w:eastAsiaTheme="minorEastAsia"/>
          <w:sz w:val="18"/>
        </w:rPr>
        <w:t xml:space="preserve">the term </w:t>
      </w:r>
      <w:r>
        <w:rPr>
          <w:rFonts w:eastAsiaTheme="minorEastAsia"/>
          <w:sz w:val="18"/>
        </w:rPr>
        <w:t>‘</w:t>
      </w:r>
      <w:r w:rsidRPr="00576327">
        <w:rPr>
          <w:rFonts w:eastAsiaTheme="minorEastAsia"/>
          <w:sz w:val="18"/>
        </w:rPr>
        <w:t>unauthorized use of propagating material</w:t>
      </w:r>
      <w:r>
        <w:rPr>
          <w:rFonts w:eastAsiaTheme="minorEastAsia"/>
          <w:sz w:val="18"/>
        </w:rPr>
        <w:t>’</w:t>
      </w:r>
      <w:r w:rsidRPr="00576327">
        <w:rPr>
          <w:rFonts w:eastAsiaTheme="minorEastAsia"/>
          <w:sz w:val="18"/>
        </w:rPr>
        <w:t>, in relation to trees, in Article</w:t>
      </w:r>
      <w:r>
        <w:rPr>
          <w:rFonts w:eastAsiaTheme="minorEastAsia"/>
          <w:sz w:val="18"/>
        </w:rPr>
        <w:t> </w:t>
      </w:r>
      <w:r w:rsidRPr="00576327">
        <w:rPr>
          <w:rFonts w:eastAsiaTheme="minorEastAsia"/>
          <w:sz w:val="18"/>
        </w:rPr>
        <w:t>14(2) of the 1991 Act of the UPOV Convention.</w:t>
      </w:r>
      <w:proofErr w:type="gramEnd"/>
      <w:r w:rsidRPr="00576327">
        <w:rPr>
          <w:rFonts w:eastAsiaTheme="minorEastAsia"/>
          <w:sz w:val="18"/>
        </w:rPr>
        <w:t xml:space="preserve"> </w:t>
      </w:r>
    </w:p>
    <w:p w:rsidR="002F0EFB" w:rsidRPr="00AF0D2E" w:rsidRDefault="002F0EFB" w:rsidP="002F0EFB">
      <w:pPr>
        <w:ind w:left="567" w:right="567"/>
        <w:rPr>
          <w:rFonts w:eastAsiaTheme="minorEastAsia"/>
          <w:sz w:val="16"/>
        </w:rPr>
      </w:pPr>
    </w:p>
    <w:p w:rsidR="002F0EFB" w:rsidRPr="00F84ECC" w:rsidRDefault="002F0EFB" w:rsidP="00614318">
      <w:pPr>
        <w:keepLines/>
        <w:ind w:left="567" w:right="567"/>
        <w:rPr>
          <w:rFonts w:cs="Arial"/>
          <w:spacing w:val="-2"/>
          <w:lang w:eastAsia="ja-JP"/>
        </w:rPr>
      </w:pPr>
      <w:r w:rsidRPr="00576327">
        <w:rPr>
          <w:sz w:val="18"/>
        </w:rPr>
        <w:t>“20.</w:t>
      </w:r>
      <w:r w:rsidRPr="00576327">
        <w:rPr>
          <w:sz w:val="18"/>
        </w:rPr>
        <w:tab/>
      </w:r>
      <w:r w:rsidRPr="00576327">
        <w:rPr>
          <w:rFonts w:eastAsiaTheme="minorEastAsia"/>
          <w:sz w:val="18"/>
        </w:rPr>
        <w:t xml:space="preserve">The CAJ agreed that </w:t>
      </w:r>
      <w:r w:rsidRPr="00576327">
        <w:rPr>
          <w:sz w:val="18"/>
        </w:rPr>
        <w:t>t</w:t>
      </w:r>
      <w:r w:rsidRPr="00576327">
        <w:rPr>
          <w:rFonts w:eastAsiaTheme="minorEastAsia"/>
          <w:spacing w:val="-4"/>
          <w:sz w:val="18"/>
        </w:rPr>
        <w:t xml:space="preserve">he Office of the Union should invite members and observers to provide information and make proposals by correspondence </w:t>
      </w:r>
      <w:r w:rsidRPr="00576327">
        <w:rPr>
          <w:rFonts w:eastAsiaTheme="minorEastAsia"/>
          <w:sz w:val="18"/>
        </w:rPr>
        <w:t xml:space="preserve">on the term </w:t>
      </w:r>
      <w:r>
        <w:rPr>
          <w:rFonts w:eastAsiaTheme="minorEastAsia"/>
          <w:sz w:val="18"/>
        </w:rPr>
        <w:t>‘</w:t>
      </w:r>
      <w:r w:rsidRPr="00576327">
        <w:rPr>
          <w:rFonts w:eastAsiaTheme="minorEastAsia"/>
          <w:sz w:val="18"/>
        </w:rPr>
        <w:t>unauthorized use of propagating material</w:t>
      </w:r>
      <w:r>
        <w:rPr>
          <w:rFonts w:eastAsiaTheme="minorEastAsia"/>
          <w:sz w:val="18"/>
        </w:rPr>
        <w:t>’</w:t>
      </w:r>
      <w:r w:rsidRPr="00576327">
        <w:rPr>
          <w:rFonts w:eastAsiaTheme="minorEastAsia"/>
          <w:sz w:val="18"/>
        </w:rPr>
        <w:t xml:space="preserve">, in relation to trees, in Article 14(2) of the 1991 Act of the UPOV Convention.  </w:t>
      </w:r>
      <w:r w:rsidRPr="00576327">
        <w:rPr>
          <w:spacing w:val="-4"/>
          <w:sz w:val="18"/>
        </w:rPr>
        <w:t>B</w:t>
      </w:r>
      <w:r w:rsidRPr="00576327">
        <w:rPr>
          <w:sz w:val="18"/>
        </w:rPr>
        <w:t>ased on the</w:t>
      </w:r>
      <w:r w:rsidRPr="00576327">
        <w:rPr>
          <w:rFonts w:eastAsiaTheme="minorEastAsia"/>
          <w:sz w:val="18"/>
        </w:rPr>
        <w:t xml:space="preserve"> </w:t>
      </w:r>
      <w:r w:rsidRPr="00576327">
        <w:rPr>
          <w:sz w:val="18"/>
          <w:lang w:eastAsia="ja-JP"/>
        </w:rPr>
        <w:t>proposals received by correspondence</w:t>
      </w:r>
      <w:r w:rsidRPr="00576327">
        <w:rPr>
          <w:rFonts w:eastAsiaTheme="minorEastAsia"/>
          <w:sz w:val="18"/>
        </w:rPr>
        <w:t>, t</w:t>
      </w:r>
      <w:r w:rsidRPr="00576327">
        <w:rPr>
          <w:sz w:val="18"/>
        </w:rPr>
        <w:t xml:space="preserve">he Office of the Union </w:t>
      </w:r>
      <w:r w:rsidRPr="00576327">
        <w:rPr>
          <w:rFonts w:eastAsiaTheme="minorEastAsia"/>
          <w:spacing w:val="-4"/>
          <w:sz w:val="18"/>
        </w:rPr>
        <w:t xml:space="preserve">would </w:t>
      </w:r>
      <w:r w:rsidRPr="00576327">
        <w:rPr>
          <w:sz w:val="18"/>
        </w:rPr>
        <w:t>prepare a document identifying substantive matters with proposals for consideration at the seventy</w:t>
      </w:r>
      <w:r w:rsidRPr="00576327">
        <w:rPr>
          <w:sz w:val="18"/>
        </w:rPr>
        <w:noBreakHyphen/>
        <w:t>seventh session of the CAJ, to be held on October 28, 2020.”</w:t>
      </w:r>
      <w:r>
        <w:rPr>
          <w:sz w:val="18"/>
        </w:rPr>
        <w:t xml:space="preserve">  </w:t>
      </w:r>
    </w:p>
    <w:p w:rsidR="002F0EFB" w:rsidRDefault="002F0EFB" w:rsidP="002F0EFB">
      <w:pPr>
        <w:tabs>
          <w:tab w:val="left" w:pos="284"/>
          <w:tab w:val="left" w:pos="851"/>
        </w:tabs>
        <w:autoSpaceDE w:val="0"/>
        <w:autoSpaceDN w:val="0"/>
        <w:adjustRightInd w:val="0"/>
        <w:rPr>
          <w:rFonts w:cs="Arial"/>
          <w:spacing w:val="-2"/>
          <w:lang w:eastAsia="ja-JP" w:bidi="th-TH"/>
        </w:rPr>
      </w:pPr>
    </w:p>
    <w:p w:rsidR="002F0EFB" w:rsidRPr="00C00B09" w:rsidRDefault="002F0EFB" w:rsidP="002F0EFB">
      <w:pPr>
        <w:autoSpaceDE w:val="0"/>
        <w:autoSpaceDN w:val="0"/>
        <w:adjustRightInd w:val="0"/>
      </w:pPr>
      <w:r w:rsidRPr="00C00B09">
        <w:fldChar w:fldCharType="begin"/>
      </w:r>
      <w:r w:rsidRPr="00C00B09">
        <w:instrText xml:space="preserve"> AUTONUM  </w:instrText>
      </w:r>
      <w:r w:rsidRPr="00C00B09">
        <w:fldChar w:fldCharType="end"/>
      </w:r>
      <w:r w:rsidRPr="00C00B09">
        <w:tab/>
      </w:r>
      <w:r w:rsidRPr="00C00B09">
        <w:rPr>
          <w:rFonts w:cs="Arial"/>
        </w:rPr>
        <w:t xml:space="preserve">On December 23, 2019, the Office of the Union issued UPOV </w:t>
      </w:r>
      <w:r w:rsidR="00B27ADD" w:rsidRPr="00C00B09">
        <w:rPr>
          <w:snapToGrid w:val="0"/>
        </w:rPr>
        <w:t>Circular</w:t>
      </w:r>
      <w:r w:rsidRPr="00C00B09">
        <w:rPr>
          <w:snapToGrid w:val="0"/>
        </w:rPr>
        <w:t xml:space="preserve"> E-19/232 </w:t>
      </w:r>
      <w:r w:rsidRPr="00C00B09">
        <w:t xml:space="preserve">to the designated persons of members in the CAJ, with an invitation to provide information and make proposals on the term “unauthorized use of propagating material”, in relation to trees, in Article 14(2) of the 1991 Act of the UPOV Convention, as follows:  </w:t>
      </w:r>
    </w:p>
    <w:p w:rsidR="002F0EFB" w:rsidRPr="00C00B09" w:rsidRDefault="002F0EFB" w:rsidP="002F0EFB">
      <w:pPr>
        <w:autoSpaceDE w:val="0"/>
        <w:autoSpaceDN w:val="0"/>
        <w:adjustRightInd w:val="0"/>
        <w:rPr>
          <w:rFonts w:cs="Arial"/>
          <w:sz w:val="16"/>
          <w:szCs w:val="18"/>
        </w:rPr>
      </w:pPr>
    </w:p>
    <w:p w:rsidR="002F0EFB" w:rsidRPr="00C00B09" w:rsidRDefault="002F0EFB" w:rsidP="00AF0D2E">
      <w:pPr>
        <w:spacing w:after="120"/>
        <w:ind w:left="567" w:right="369"/>
        <w:rPr>
          <w:sz w:val="18"/>
        </w:rPr>
      </w:pPr>
      <w:r w:rsidRPr="00C00B09">
        <w:rPr>
          <w:sz w:val="18"/>
        </w:rPr>
        <w:t xml:space="preserve">“To assist in the analysis of the information and proposals, it would be helpful if the contributions could be structured according to the following: </w:t>
      </w:r>
    </w:p>
    <w:p w:rsidR="002F0EFB" w:rsidRPr="00C00B09" w:rsidRDefault="002F0EFB" w:rsidP="00AF0D2E">
      <w:pPr>
        <w:pStyle w:val="ListParagraph"/>
        <w:numPr>
          <w:ilvl w:val="0"/>
          <w:numId w:val="1"/>
        </w:numPr>
        <w:spacing w:after="60"/>
        <w:ind w:left="1418" w:right="369" w:hanging="567"/>
        <w:contextualSpacing w:val="0"/>
        <w:rPr>
          <w:spacing w:val="-4"/>
          <w:sz w:val="18"/>
        </w:rPr>
      </w:pPr>
      <w:r w:rsidRPr="00C00B09">
        <w:rPr>
          <w:spacing w:val="-4"/>
          <w:sz w:val="18"/>
        </w:rPr>
        <w:t xml:space="preserve">information on issues arising with regard to “unauthorized use of propagating material”, in relation to trees; </w:t>
      </w:r>
    </w:p>
    <w:p w:rsidR="002F0EFB" w:rsidRPr="00C00B09" w:rsidRDefault="002F0EFB" w:rsidP="00AF0D2E">
      <w:pPr>
        <w:pStyle w:val="ListParagraph"/>
        <w:numPr>
          <w:ilvl w:val="0"/>
          <w:numId w:val="1"/>
        </w:numPr>
        <w:spacing w:after="60"/>
        <w:ind w:left="1418" w:right="369" w:hanging="567"/>
        <w:contextualSpacing w:val="0"/>
        <w:rPr>
          <w:sz w:val="18"/>
        </w:rPr>
      </w:pPr>
      <w:r w:rsidRPr="00C00B09">
        <w:rPr>
          <w:sz w:val="18"/>
        </w:rPr>
        <w:t>information on any explanation of the term “unauthorized use of propagating material” used in the territory (e.g. breeders’ practices, guidance, contract clauses);</w:t>
      </w:r>
    </w:p>
    <w:p w:rsidR="002F0EFB" w:rsidRPr="00C00B09" w:rsidRDefault="002F0EFB" w:rsidP="00AF0D2E">
      <w:pPr>
        <w:pStyle w:val="ListParagraph"/>
        <w:numPr>
          <w:ilvl w:val="0"/>
          <w:numId w:val="1"/>
        </w:numPr>
        <w:spacing w:after="60"/>
        <w:ind w:left="1418" w:right="369" w:hanging="567"/>
        <w:contextualSpacing w:val="0"/>
        <w:rPr>
          <w:sz w:val="18"/>
        </w:rPr>
      </w:pPr>
      <w:r w:rsidRPr="00C00B09">
        <w:rPr>
          <w:sz w:val="18"/>
        </w:rPr>
        <w:t>case law;</w:t>
      </w:r>
    </w:p>
    <w:p w:rsidR="002F0EFB" w:rsidRPr="00C00B09" w:rsidRDefault="002F0EFB" w:rsidP="00AF0D2E">
      <w:pPr>
        <w:pStyle w:val="ListParagraph"/>
        <w:numPr>
          <w:ilvl w:val="0"/>
          <w:numId w:val="1"/>
        </w:numPr>
        <w:spacing w:after="60"/>
        <w:ind w:left="1418" w:right="369" w:hanging="567"/>
        <w:contextualSpacing w:val="0"/>
        <w:rPr>
          <w:sz w:val="18"/>
        </w:rPr>
      </w:pPr>
      <w:proofErr w:type="gramStart"/>
      <w:r w:rsidRPr="00C00B09">
        <w:rPr>
          <w:sz w:val="18"/>
        </w:rPr>
        <w:t>proposals</w:t>
      </w:r>
      <w:proofErr w:type="gramEnd"/>
      <w:r w:rsidRPr="00C00B09">
        <w:rPr>
          <w:sz w:val="18"/>
        </w:rPr>
        <w:t xml:space="preserve"> on how to elaborate the term “unauthorized use of propagating material”.  </w:t>
      </w:r>
    </w:p>
    <w:p w:rsidR="002F0EFB" w:rsidRPr="00C00B09" w:rsidRDefault="002F0EFB" w:rsidP="002F0EFB">
      <w:pPr>
        <w:tabs>
          <w:tab w:val="left" w:pos="284"/>
          <w:tab w:val="left" w:pos="851"/>
        </w:tabs>
        <w:autoSpaceDE w:val="0"/>
        <w:autoSpaceDN w:val="0"/>
        <w:adjustRightInd w:val="0"/>
      </w:pPr>
    </w:p>
    <w:p w:rsidR="002F0EFB" w:rsidRPr="00021B2E" w:rsidRDefault="002F0EFB" w:rsidP="002F0EFB">
      <w:pPr>
        <w:tabs>
          <w:tab w:val="left" w:pos="284"/>
          <w:tab w:val="left" w:pos="851"/>
        </w:tabs>
        <w:autoSpaceDE w:val="0"/>
        <w:autoSpaceDN w:val="0"/>
        <w:adjustRightInd w:val="0"/>
        <w:rPr>
          <w:rFonts w:cs="Arial"/>
          <w:snapToGrid w:val="0"/>
        </w:rPr>
      </w:pPr>
      <w:r w:rsidRPr="00C00B09">
        <w:fldChar w:fldCharType="begin"/>
      </w:r>
      <w:r w:rsidRPr="00C00B09">
        <w:instrText xml:space="preserve"> AUTONUM  </w:instrText>
      </w:r>
      <w:r w:rsidRPr="00C00B09">
        <w:fldChar w:fldCharType="end"/>
      </w:r>
      <w:r w:rsidRPr="00C00B09">
        <w:tab/>
        <w:t>In</w:t>
      </w:r>
      <w:r w:rsidRPr="00021B2E">
        <w:t xml:space="preserve"> reply to UPOV Circular E-19/232, the Office of the Union received information and proposals from the European Union, Japan and the Russian Federation, which </w:t>
      </w:r>
      <w:proofErr w:type="gramStart"/>
      <w:r w:rsidRPr="00021B2E">
        <w:t>are reproduced</w:t>
      </w:r>
      <w:proofErr w:type="gramEnd"/>
      <w:r w:rsidRPr="00021B2E">
        <w:t xml:space="preserve"> in Annexes I to III to document CAJ/77/5 “Harvested Material” </w:t>
      </w:r>
      <w:r w:rsidRPr="00021B2E">
        <w:rPr>
          <w:rFonts w:cs="Arial"/>
          <w:snapToGrid w:val="0"/>
        </w:rPr>
        <w:t>(see document CAJ/77/5 “</w:t>
      </w:r>
      <w:r w:rsidRPr="00021B2E">
        <w:t>Harvested Material</w:t>
      </w:r>
      <w:r w:rsidRPr="00021B2E">
        <w:rPr>
          <w:rFonts w:cs="Arial"/>
          <w:snapToGrid w:val="0"/>
        </w:rPr>
        <w:t xml:space="preserve">”, paragraphs 5 and 6). </w:t>
      </w:r>
    </w:p>
    <w:p w:rsidR="002F0EFB" w:rsidRPr="00021B2E" w:rsidRDefault="002F0EFB" w:rsidP="002F0EFB">
      <w:pPr>
        <w:tabs>
          <w:tab w:val="left" w:pos="284"/>
          <w:tab w:val="left" w:pos="851"/>
        </w:tabs>
        <w:autoSpaceDE w:val="0"/>
        <w:autoSpaceDN w:val="0"/>
        <w:adjustRightInd w:val="0"/>
        <w:rPr>
          <w:rFonts w:cs="Arial"/>
          <w:snapToGrid w:val="0"/>
        </w:rPr>
      </w:pPr>
    </w:p>
    <w:p w:rsidR="002F0EFB" w:rsidRPr="00021B2E" w:rsidRDefault="002F0EFB" w:rsidP="002F0EFB">
      <w:pPr>
        <w:tabs>
          <w:tab w:val="left" w:pos="284"/>
          <w:tab w:val="left" w:pos="851"/>
        </w:tabs>
        <w:autoSpaceDE w:val="0"/>
        <w:autoSpaceDN w:val="0"/>
        <w:adjustRightInd w:val="0"/>
        <w:rPr>
          <w:snapToGrid w:val="0"/>
          <w:spacing w:val="2"/>
        </w:rPr>
      </w:pPr>
      <w:r w:rsidRPr="00021B2E">
        <w:fldChar w:fldCharType="begin"/>
      </w:r>
      <w:r w:rsidRPr="00021B2E">
        <w:instrText xml:space="preserve"> AUTONUM  </w:instrText>
      </w:r>
      <w:r w:rsidRPr="00021B2E">
        <w:fldChar w:fldCharType="end"/>
      </w:r>
      <w:r w:rsidRPr="00021B2E">
        <w:tab/>
      </w:r>
      <w:r w:rsidRPr="00021B2E">
        <w:rPr>
          <w:rFonts w:cs="Arial"/>
          <w:spacing w:val="-2"/>
          <w:lang w:eastAsia="ja-JP" w:bidi="th-TH"/>
        </w:rPr>
        <w:t xml:space="preserve">The </w:t>
      </w:r>
      <w:r w:rsidRPr="00021B2E">
        <w:rPr>
          <w:rFonts w:eastAsiaTheme="minorEastAsia" w:cs="Arial"/>
          <w:color w:val="000000"/>
          <w:spacing w:val="-2"/>
        </w:rPr>
        <w:t>CAJ,</w:t>
      </w:r>
      <w:r w:rsidRPr="00021B2E">
        <w:rPr>
          <w:rFonts w:eastAsiaTheme="minorEastAsia" w:cs="Arial"/>
          <w:spacing w:val="-2"/>
        </w:rPr>
        <w:t xml:space="preserve"> at its seventy-seventh session held via electronic means on October 28, 2020, noted the matters in </w:t>
      </w:r>
      <w:r w:rsidRPr="00021B2E">
        <w:rPr>
          <w:snapToGrid w:val="0"/>
          <w:spacing w:val="-2"/>
        </w:rPr>
        <w:t xml:space="preserve">document </w:t>
      </w:r>
      <w:r w:rsidRPr="00021B2E">
        <w:rPr>
          <w:snapToGrid w:val="0"/>
          <w:spacing w:val="2"/>
        </w:rPr>
        <w:t>CAJ/77/9 “Outcome of the consideration of documents by correspondence” (see paragraphs 42 to 47), as reproduced below</w:t>
      </w:r>
      <w:r w:rsidRPr="00021B2E">
        <w:rPr>
          <w:rFonts w:eastAsiaTheme="minorEastAsia" w:cs="Arial"/>
          <w:spacing w:val="-2"/>
        </w:rPr>
        <w:t xml:space="preserve"> (see document CAJ/77/10 “Report”, paragraphs 26 to 30</w:t>
      </w:r>
      <w:r w:rsidRPr="00021B2E">
        <w:rPr>
          <w:snapToGrid w:val="0"/>
          <w:spacing w:val="2"/>
        </w:rPr>
        <w:t>):</w:t>
      </w:r>
    </w:p>
    <w:p w:rsidR="002F0EFB" w:rsidRPr="00C00B09" w:rsidRDefault="002F0EFB" w:rsidP="002F0EFB">
      <w:pPr>
        <w:tabs>
          <w:tab w:val="left" w:pos="284"/>
          <w:tab w:val="left" w:pos="851"/>
        </w:tabs>
        <w:autoSpaceDE w:val="0"/>
        <w:autoSpaceDN w:val="0"/>
        <w:adjustRightInd w:val="0"/>
        <w:ind w:right="567"/>
        <w:rPr>
          <w:rFonts w:cs="Angsana New"/>
          <w:sz w:val="18"/>
          <w:szCs w:val="18"/>
          <w:lang w:eastAsia="ja-JP" w:bidi="th-TH"/>
        </w:rPr>
      </w:pPr>
    </w:p>
    <w:p w:rsidR="002F0EFB" w:rsidRPr="00C00B09" w:rsidRDefault="002F0EFB" w:rsidP="002F0EFB">
      <w:pPr>
        <w:keepNext/>
        <w:ind w:left="567" w:right="567"/>
        <w:rPr>
          <w:sz w:val="18"/>
          <w:szCs w:val="18"/>
        </w:rPr>
      </w:pPr>
      <w:r w:rsidRPr="00C00B09">
        <w:rPr>
          <w:sz w:val="18"/>
          <w:szCs w:val="18"/>
        </w:rPr>
        <w:t>“42.</w:t>
      </w:r>
      <w:r w:rsidRPr="00C00B09">
        <w:rPr>
          <w:sz w:val="18"/>
          <w:szCs w:val="18"/>
        </w:rPr>
        <w:tab/>
      </w:r>
      <w:r w:rsidRPr="00C00B09">
        <w:rPr>
          <w:spacing w:val="-2"/>
          <w:sz w:val="18"/>
          <w:szCs w:val="18"/>
        </w:rPr>
        <w:t xml:space="preserve">The </w:t>
      </w:r>
      <w:r w:rsidRPr="00C00B09">
        <w:rPr>
          <w:snapToGrid w:val="0"/>
          <w:spacing w:val="-2"/>
          <w:sz w:val="18"/>
          <w:szCs w:val="18"/>
        </w:rPr>
        <w:t>CAJ noted the information and proposals received in reply to UPOV Circular E</w:t>
      </w:r>
      <w:r w:rsidRPr="00C00B09">
        <w:rPr>
          <w:snapToGrid w:val="0"/>
          <w:spacing w:val="-2"/>
          <w:sz w:val="18"/>
          <w:szCs w:val="18"/>
        </w:rPr>
        <w:noBreakHyphen/>
        <w:t>19/232, as reproduced in Annexes I to III to document CAJ/77/5 [“Harvested Material”].</w:t>
      </w:r>
    </w:p>
    <w:p w:rsidR="002F0EFB" w:rsidRPr="00C00B09" w:rsidRDefault="002F0EFB" w:rsidP="002F0EFB">
      <w:pPr>
        <w:ind w:left="720" w:right="567"/>
        <w:rPr>
          <w:sz w:val="18"/>
          <w:szCs w:val="18"/>
        </w:rPr>
      </w:pPr>
    </w:p>
    <w:p w:rsidR="009D73AB" w:rsidRPr="00C00B09" w:rsidRDefault="002F0EFB" w:rsidP="00E95970">
      <w:pPr>
        <w:ind w:left="567" w:right="567"/>
        <w:rPr>
          <w:rFonts w:cs="Arial"/>
          <w:sz w:val="18"/>
          <w:szCs w:val="18"/>
        </w:rPr>
      </w:pPr>
      <w:proofErr w:type="gramStart"/>
      <w:r w:rsidRPr="00C00B09">
        <w:rPr>
          <w:sz w:val="18"/>
          <w:szCs w:val="18"/>
        </w:rPr>
        <w:t>“43.</w:t>
      </w:r>
      <w:r w:rsidRPr="00C00B09">
        <w:rPr>
          <w:sz w:val="18"/>
          <w:szCs w:val="18"/>
        </w:rPr>
        <w:tab/>
      </w:r>
      <w:r w:rsidRPr="00C00B09">
        <w:rPr>
          <w:spacing w:val="-2"/>
          <w:sz w:val="18"/>
          <w:szCs w:val="18"/>
        </w:rPr>
        <w:t xml:space="preserve">The </w:t>
      </w:r>
      <w:r w:rsidRPr="00C00B09">
        <w:rPr>
          <w:snapToGrid w:val="0"/>
          <w:spacing w:val="-2"/>
          <w:sz w:val="18"/>
          <w:szCs w:val="18"/>
        </w:rPr>
        <w:t>CAJ agreed to invite the Office of the Union to consult the members of the Union that provided information and proposals in reply to Circular E-19/232, in order to explore how to provide guidance on the term “unauthorized use of propagating material”, including in relation to trees, in Article 14(2) of the 1991 Act of the UPOV Convention, as a basis to present a proposal for consideration by the CAJ at is seventy-eighth session.</w:t>
      </w:r>
      <w:proofErr w:type="gramEnd"/>
    </w:p>
    <w:p w:rsidR="00E95970" w:rsidRPr="00C00B09" w:rsidRDefault="00E95970" w:rsidP="000C14A1">
      <w:pPr>
        <w:ind w:left="567"/>
        <w:rPr>
          <w:sz w:val="18"/>
          <w:szCs w:val="18"/>
          <w:u w:val="single"/>
        </w:rPr>
      </w:pPr>
      <w:bookmarkStart w:id="10" w:name="_Toc54617475"/>
      <w:bookmarkStart w:id="11" w:name="_Toc73693942"/>
      <w:bookmarkStart w:id="12" w:name="_Toc73693950"/>
    </w:p>
    <w:p w:rsidR="002F0EFB" w:rsidRPr="00C00B09" w:rsidRDefault="002F0EFB" w:rsidP="000C14A1">
      <w:pPr>
        <w:ind w:left="567"/>
        <w:rPr>
          <w:sz w:val="18"/>
          <w:szCs w:val="18"/>
          <w:u w:val="single"/>
        </w:rPr>
      </w:pPr>
      <w:r w:rsidRPr="00C00B09">
        <w:rPr>
          <w:sz w:val="18"/>
          <w:szCs w:val="18"/>
          <w:u w:val="single"/>
        </w:rPr>
        <w:t>“Proposals for next steps</w:t>
      </w:r>
      <w:bookmarkEnd w:id="10"/>
      <w:bookmarkEnd w:id="11"/>
      <w:bookmarkEnd w:id="12"/>
      <w:r w:rsidRPr="00C00B09">
        <w:rPr>
          <w:sz w:val="18"/>
          <w:szCs w:val="18"/>
          <w:u w:val="single"/>
        </w:rPr>
        <w:t xml:space="preserve"> </w:t>
      </w:r>
    </w:p>
    <w:p w:rsidR="002F0EFB" w:rsidRPr="00C00B09" w:rsidRDefault="002F0EFB" w:rsidP="002F0EFB">
      <w:pPr>
        <w:ind w:left="567" w:right="567"/>
        <w:rPr>
          <w:sz w:val="18"/>
          <w:szCs w:val="18"/>
        </w:rPr>
      </w:pPr>
    </w:p>
    <w:p w:rsidR="002F0EFB" w:rsidRPr="00C00B09" w:rsidRDefault="002F0EFB" w:rsidP="002F0EFB">
      <w:pPr>
        <w:keepNext/>
        <w:ind w:left="567" w:right="567"/>
        <w:rPr>
          <w:i/>
          <w:sz w:val="18"/>
          <w:szCs w:val="18"/>
        </w:rPr>
      </w:pPr>
      <w:r w:rsidRPr="00C00B09">
        <w:rPr>
          <w:i/>
          <w:sz w:val="18"/>
          <w:szCs w:val="18"/>
        </w:rPr>
        <w:t>“Japan</w:t>
      </w:r>
    </w:p>
    <w:p w:rsidR="002F0EFB" w:rsidRPr="00C00B09" w:rsidRDefault="002F0EFB" w:rsidP="002F0EFB">
      <w:pPr>
        <w:keepNext/>
        <w:ind w:left="567" w:right="567"/>
        <w:rPr>
          <w:i/>
          <w:sz w:val="18"/>
          <w:szCs w:val="18"/>
        </w:rPr>
      </w:pPr>
    </w:p>
    <w:p w:rsidR="002F0EFB" w:rsidRPr="00C00B09" w:rsidRDefault="002F0EFB" w:rsidP="002F0EFB">
      <w:pPr>
        <w:ind w:left="567" w:right="567"/>
        <w:rPr>
          <w:sz w:val="18"/>
          <w:szCs w:val="18"/>
        </w:rPr>
      </w:pPr>
      <w:r w:rsidRPr="00C00B09">
        <w:rPr>
          <w:sz w:val="18"/>
          <w:szCs w:val="18"/>
        </w:rPr>
        <w:t>“44.</w:t>
      </w:r>
      <w:r w:rsidRPr="00C00B09">
        <w:rPr>
          <w:sz w:val="18"/>
          <w:szCs w:val="18"/>
        </w:rPr>
        <w:tab/>
        <w:t>In reply to Circular E-20/120 of August 21, 2020, the Delegation of Japan expressed its support for the decisions in document CAJ/77/5 and stated that it ‘would be in favor of the organization of a seminar on harvested material by UPOV in 2021 in order to exchange information on this topic’.</w:t>
      </w:r>
    </w:p>
    <w:p w:rsidR="002F0EFB" w:rsidRPr="00C00B09" w:rsidRDefault="002F0EFB" w:rsidP="002F0EFB">
      <w:pPr>
        <w:ind w:left="567" w:right="567"/>
        <w:rPr>
          <w:sz w:val="18"/>
          <w:szCs w:val="18"/>
        </w:rPr>
      </w:pPr>
    </w:p>
    <w:p w:rsidR="002F0EFB" w:rsidRPr="00C00B09" w:rsidRDefault="002F0EFB" w:rsidP="00987068">
      <w:pPr>
        <w:keepNext/>
        <w:ind w:left="567" w:right="567"/>
        <w:rPr>
          <w:i/>
          <w:sz w:val="18"/>
          <w:szCs w:val="18"/>
        </w:rPr>
      </w:pPr>
      <w:proofErr w:type="spellStart"/>
      <w:r w:rsidRPr="00C00B09">
        <w:rPr>
          <w:i/>
          <w:sz w:val="18"/>
          <w:szCs w:val="18"/>
        </w:rPr>
        <w:lastRenderedPageBreak/>
        <w:t>Euroseeds</w:t>
      </w:r>
      <w:proofErr w:type="spellEnd"/>
    </w:p>
    <w:p w:rsidR="002F0EFB" w:rsidRPr="00C00B09" w:rsidRDefault="002F0EFB" w:rsidP="00987068">
      <w:pPr>
        <w:keepNext/>
        <w:ind w:left="567" w:right="567"/>
        <w:rPr>
          <w:sz w:val="18"/>
          <w:szCs w:val="18"/>
        </w:rPr>
      </w:pPr>
    </w:p>
    <w:p w:rsidR="002F0EFB" w:rsidRPr="00C00B09" w:rsidRDefault="002F0EFB" w:rsidP="00987068">
      <w:pPr>
        <w:keepNext/>
        <w:ind w:left="567" w:right="567"/>
        <w:rPr>
          <w:sz w:val="18"/>
          <w:szCs w:val="18"/>
        </w:rPr>
      </w:pPr>
      <w:r w:rsidRPr="00C00B09">
        <w:rPr>
          <w:sz w:val="18"/>
          <w:szCs w:val="18"/>
        </w:rPr>
        <w:t>“45.</w:t>
      </w:r>
      <w:r w:rsidRPr="00C00B09">
        <w:rPr>
          <w:sz w:val="18"/>
          <w:szCs w:val="18"/>
        </w:rPr>
        <w:tab/>
        <w:t xml:space="preserve">In reply to Circular E-20/120 of August 21, 2020, the following comments were received from </w:t>
      </w:r>
      <w:proofErr w:type="spellStart"/>
      <w:r w:rsidRPr="00C00B09">
        <w:rPr>
          <w:sz w:val="18"/>
          <w:szCs w:val="18"/>
        </w:rPr>
        <w:t>Euroseeds</w:t>
      </w:r>
      <w:proofErr w:type="spellEnd"/>
      <w:r w:rsidRPr="00C00B09">
        <w:rPr>
          <w:sz w:val="18"/>
          <w:szCs w:val="18"/>
        </w:rPr>
        <w:t>, on document CAJ/77/5:</w:t>
      </w:r>
    </w:p>
    <w:p w:rsidR="002F0EFB" w:rsidRPr="00C00B09" w:rsidRDefault="002F0EFB" w:rsidP="00987068">
      <w:pPr>
        <w:keepNext/>
        <w:ind w:left="720" w:right="567"/>
        <w:rPr>
          <w:sz w:val="18"/>
          <w:szCs w:val="18"/>
        </w:rPr>
      </w:pPr>
    </w:p>
    <w:p w:rsidR="002F0EFB" w:rsidRPr="00C00B09" w:rsidRDefault="002F0EFB" w:rsidP="00C00B09">
      <w:pPr>
        <w:keepLines/>
        <w:ind w:left="1134" w:right="1134"/>
        <w:rPr>
          <w:spacing w:val="-2"/>
          <w:sz w:val="18"/>
          <w:szCs w:val="18"/>
        </w:rPr>
      </w:pPr>
      <w:r w:rsidRPr="00C00B09">
        <w:rPr>
          <w:spacing w:val="-2"/>
          <w:sz w:val="18"/>
          <w:szCs w:val="18"/>
        </w:rPr>
        <w:t xml:space="preserve">‘We have noted that on this matter it is proposed to have a proposal for consideration by the CAJ at its next session, with the intention of investigating in the meantime how best guidance could be given on the notion of ‘unauthorized use of propagating material’.  </w:t>
      </w:r>
      <w:proofErr w:type="spellStart"/>
      <w:r w:rsidRPr="00C00B09">
        <w:rPr>
          <w:spacing w:val="-2"/>
          <w:sz w:val="18"/>
          <w:szCs w:val="18"/>
        </w:rPr>
        <w:t>Euroseeds</w:t>
      </w:r>
      <w:proofErr w:type="spellEnd"/>
      <w:r w:rsidRPr="00C00B09">
        <w:rPr>
          <w:spacing w:val="-2"/>
          <w:sz w:val="18"/>
          <w:szCs w:val="18"/>
        </w:rPr>
        <w:t xml:space="preserve"> is in agreement with the proposed procedure.  However, we wish to take this opportunity to express some key elements in relation to the notion of ‘unauthorized use’.  </w:t>
      </w:r>
      <w:proofErr w:type="spellStart"/>
      <w:r w:rsidRPr="00C00B09">
        <w:rPr>
          <w:spacing w:val="-2"/>
          <w:sz w:val="18"/>
          <w:szCs w:val="18"/>
        </w:rPr>
        <w:t>Euroseeds</w:t>
      </w:r>
      <w:proofErr w:type="spellEnd"/>
      <w:r w:rsidRPr="00C00B09">
        <w:rPr>
          <w:spacing w:val="-2"/>
          <w:sz w:val="18"/>
          <w:szCs w:val="18"/>
        </w:rPr>
        <w:t xml:space="preserve"> believes that ‘unauthorized use’ does not only refer to use without the consent of the plant breeders’ right holder (i.e. consent for the acts listed in Article 14(1</w:t>
      </w:r>
      <w:proofErr w:type="gramStart"/>
      <w:r w:rsidRPr="00C00B09">
        <w:rPr>
          <w:spacing w:val="-2"/>
          <w:sz w:val="18"/>
          <w:szCs w:val="18"/>
        </w:rPr>
        <w:t>)(</w:t>
      </w:r>
      <w:proofErr w:type="gramEnd"/>
      <w:r w:rsidRPr="00C00B09">
        <w:rPr>
          <w:spacing w:val="-2"/>
          <w:sz w:val="18"/>
          <w:szCs w:val="18"/>
        </w:rPr>
        <w:t xml:space="preserve">a) of the UPOV 1991 Convention) but also to any other unauthorized use, such as breach of contract.  In that sense, </w:t>
      </w:r>
      <w:proofErr w:type="spellStart"/>
      <w:r w:rsidRPr="00C00B09">
        <w:rPr>
          <w:spacing w:val="-2"/>
          <w:sz w:val="18"/>
          <w:szCs w:val="18"/>
        </w:rPr>
        <w:t>Euroseeds</w:t>
      </w:r>
      <w:proofErr w:type="spellEnd"/>
      <w:r w:rsidRPr="00C00B09">
        <w:rPr>
          <w:spacing w:val="-2"/>
          <w:sz w:val="18"/>
          <w:szCs w:val="18"/>
        </w:rPr>
        <w:t xml:space="preserve"> advocates for a broad interpretation of the notion of ‘unauthorized use’ and </w:t>
      </w:r>
      <w:proofErr w:type="gramStart"/>
      <w:r w:rsidRPr="00C00B09">
        <w:rPr>
          <w:spacing w:val="-2"/>
          <w:sz w:val="18"/>
          <w:szCs w:val="18"/>
        </w:rPr>
        <w:t>would also</w:t>
      </w:r>
      <w:proofErr w:type="gramEnd"/>
      <w:r w:rsidRPr="00C00B09">
        <w:rPr>
          <w:spacing w:val="-2"/>
          <w:sz w:val="18"/>
          <w:szCs w:val="18"/>
        </w:rPr>
        <w:t xml:space="preserve"> like to emphasize that the decision rendered by the Court of Justice of the European Union in case C-176/18, which suggests a limited interpretation, has important negative consequences for breeders.</w:t>
      </w:r>
    </w:p>
    <w:p w:rsidR="002F0EFB" w:rsidRPr="00C00B09" w:rsidRDefault="002F0EFB" w:rsidP="002F0EFB">
      <w:pPr>
        <w:ind w:left="1134" w:right="1134"/>
        <w:rPr>
          <w:sz w:val="18"/>
          <w:szCs w:val="18"/>
        </w:rPr>
      </w:pPr>
    </w:p>
    <w:p w:rsidR="002F0EFB" w:rsidRPr="00C00B09" w:rsidRDefault="002F0EFB" w:rsidP="002F0EFB">
      <w:pPr>
        <w:ind w:left="1134" w:right="1134"/>
        <w:rPr>
          <w:sz w:val="18"/>
          <w:szCs w:val="18"/>
        </w:rPr>
      </w:pPr>
      <w:r w:rsidRPr="00C00B09">
        <w:rPr>
          <w:sz w:val="18"/>
          <w:szCs w:val="18"/>
        </w:rPr>
        <w:t xml:space="preserve">‘Based on the above, </w:t>
      </w:r>
      <w:proofErr w:type="spellStart"/>
      <w:r w:rsidRPr="00C00B09">
        <w:rPr>
          <w:sz w:val="18"/>
          <w:szCs w:val="18"/>
        </w:rPr>
        <w:t>Euroseeds</w:t>
      </w:r>
      <w:proofErr w:type="spellEnd"/>
      <w:r w:rsidRPr="00C00B09">
        <w:rPr>
          <w:sz w:val="18"/>
          <w:szCs w:val="18"/>
        </w:rPr>
        <w:t xml:space="preserve"> would like to see a good and strong explanatory note on harvested material recognizing the needs of breeders for a strong protection and workable enforcement possibilities also on harvested material. In this respect, for further information, we refer to the </w:t>
      </w:r>
      <w:proofErr w:type="spellStart"/>
      <w:r w:rsidRPr="00C00B09">
        <w:rPr>
          <w:sz w:val="18"/>
          <w:szCs w:val="18"/>
        </w:rPr>
        <w:t>Euroseeds</w:t>
      </w:r>
      <w:proofErr w:type="spellEnd"/>
      <w:r w:rsidRPr="00C00B09">
        <w:rPr>
          <w:sz w:val="18"/>
          <w:szCs w:val="18"/>
        </w:rPr>
        <w:t xml:space="preserve"> position on harvested material.”</w:t>
      </w:r>
    </w:p>
    <w:p w:rsidR="002F0EFB" w:rsidRPr="00C00B09" w:rsidRDefault="002F0EFB" w:rsidP="002F0EFB">
      <w:pPr>
        <w:ind w:left="720" w:right="567"/>
        <w:rPr>
          <w:sz w:val="18"/>
          <w:szCs w:val="18"/>
        </w:rPr>
      </w:pPr>
    </w:p>
    <w:p w:rsidR="002F0EFB" w:rsidRPr="00C00B09" w:rsidRDefault="002F0EFB" w:rsidP="00E2280C">
      <w:pPr>
        <w:keepNext/>
        <w:ind w:left="567" w:right="567"/>
        <w:rPr>
          <w:i/>
          <w:sz w:val="18"/>
          <w:szCs w:val="18"/>
        </w:rPr>
      </w:pPr>
      <w:r w:rsidRPr="00C00B09">
        <w:rPr>
          <w:i/>
          <w:sz w:val="18"/>
          <w:szCs w:val="18"/>
        </w:rPr>
        <w:t>“The International Community of Breeders of Asexually Reproduced Horticultural Plants (CIOPORA) and the International Seed Federation (ISF)</w:t>
      </w:r>
    </w:p>
    <w:p w:rsidR="002F0EFB" w:rsidRPr="00C00B09" w:rsidRDefault="002F0EFB" w:rsidP="00E2280C">
      <w:pPr>
        <w:keepNext/>
        <w:ind w:left="567" w:right="567"/>
        <w:rPr>
          <w:sz w:val="18"/>
          <w:szCs w:val="18"/>
        </w:rPr>
      </w:pPr>
    </w:p>
    <w:p w:rsidR="002F0EFB" w:rsidRPr="00C00B09" w:rsidRDefault="002F0EFB" w:rsidP="00E2280C">
      <w:pPr>
        <w:keepNext/>
        <w:ind w:left="567" w:right="567"/>
        <w:rPr>
          <w:sz w:val="18"/>
          <w:szCs w:val="18"/>
        </w:rPr>
      </w:pPr>
      <w:r w:rsidRPr="00C00B09">
        <w:rPr>
          <w:sz w:val="18"/>
          <w:szCs w:val="18"/>
        </w:rPr>
        <w:t>“46.</w:t>
      </w:r>
      <w:r w:rsidRPr="00C00B09">
        <w:rPr>
          <w:sz w:val="18"/>
          <w:szCs w:val="18"/>
        </w:rPr>
        <w:tab/>
        <w:t>In reply to Circular E-20/120 of August 21, 2020, the following joint comments were received from the International Community of Breeders of Asexually Reproduced Horticultural Plants (CIOPORA) and ISF, on document CAJ/77/5:</w:t>
      </w:r>
    </w:p>
    <w:p w:rsidR="002F0EFB" w:rsidRPr="00C00B09" w:rsidRDefault="002F0EFB" w:rsidP="00E2280C">
      <w:pPr>
        <w:keepNext/>
        <w:ind w:left="567" w:right="567"/>
        <w:rPr>
          <w:sz w:val="18"/>
          <w:szCs w:val="18"/>
        </w:rPr>
      </w:pPr>
    </w:p>
    <w:p w:rsidR="002F0EFB" w:rsidRPr="00C00B09" w:rsidRDefault="002F0EFB" w:rsidP="002F0EFB">
      <w:pPr>
        <w:ind w:left="1134" w:right="1134"/>
        <w:rPr>
          <w:spacing w:val="-2"/>
          <w:sz w:val="18"/>
          <w:szCs w:val="18"/>
        </w:rPr>
      </w:pPr>
      <w:r w:rsidRPr="00C00B09">
        <w:rPr>
          <w:spacing w:val="-2"/>
          <w:sz w:val="18"/>
          <w:szCs w:val="18"/>
        </w:rPr>
        <w:t xml:space="preserve">‘In response to UPOV Circular E-20/120 of August 21, 2020, we very much appreciate the suggestion of Japan to develop guidance on the term ‘unauthorized use of propagating material’.  </w:t>
      </w:r>
      <w:proofErr w:type="gramStart"/>
      <w:r w:rsidRPr="00C00B09">
        <w:rPr>
          <w:spacing w:val="-2"/>
          <w:sz w:val="18"/>
          <w:szCs w:val="18"/>
        </w:rPr>
        <w:t>The discussion about the topic comes at the exactly right time, since the matter has gained particular importance in the recent past, as the European Court of Justice (CJEU) in the case C</w:t>
      </w:r>
      <w:r w:rsidRPr="00C00B09">
        <w:rPr>
          <w:spacing w:val="-2"/>
          <w:sz w:val="18"/>
          <w:szCs w:val="18"/>
        </w:rPr>
        <w:noBreakHyphen/>
        <w:t>176/18 (</w:t>
      </w:r>
      <w:proofErr w:type="spellStart"/>
      <w:r w:rsidRPr="00C00B09">
        <w:rPr>
          <w:spacing w:val="-2"/>
          <w:sz w:val="18"/>
          <w:szCs w:val="18"/>
        </w:rPr>
        <w:t>Nadorcott</w:t>
      </w:r>
      <w:proofErr w:type="spellEnd"/>
      <w:r w:rsidRPr="00C00B09">
        <w:rPr>
          <w:spacing w:val="-2"/>
          <w:sz w:val="18"/>
          <w:szCs w:val="18"/>
        </w:rPr>
        <w:t>) issued a far-reaching decision with the main focus on the question under which circumstances the requirement of ‘unauthorized use of propagating material (variety constituents)’ is given for the exercise of the plant breeders right on harvested material.</w:t>
      </w:r>
      <w:proofErr w:type="gramEnd"/>
    </w:p>
    <w:p w:rsidR="002F0EFB" w:rsidRPr="00C00B09" w:rsidRDefault="002F0EFB" w:rsidP="002F0EFB">
      <w:pPr>
        <w:ind w:left="1134" w:right="1134"/>
        <w:rPr>
          <w:sz w:val="18"/>
          <w:szCs w:val="18"/>
        </w:rPr>
      </w:pPr>
    </w:p>
    <w:p w:rsidR="002F0EFB" w:rsidRPr="00C00B09" w:rsidRDefault="002F0EFB" w:rsidP="002F0EFB">
      <w:pPr>
        <w:keepLines/>
        <w:ind w:left="1134" w:right="1134"/>
        <w:rPr>
          <w:sz w:val="18"/>
          <w:szCs w:val="18"/>
        </w:rPr>
      </w:pPr>
      <w:r w:rsidRPr="00C00B09">
        <w:rPr>
          <w:sz w:val="18"/>
          <w:szCs w:val="18"/>
        </w:rPr>
        <w:t xml:space="preserve">‘CIOPORA and ISF, therefore, are supportive of the proposal of Japan to add in the EXN, in relation to ‘unauthorized use’ of propagating material, the acts of planting and growing (cultivation).  This would solve the situation where trees (propagating material) </w:t>
      </w:r>
      <w:proofErr w:type="gramStart"/>
      <w:r w:rsidRPr="00C00B09">
        <w:rPr>
          <w:sz w:val="18"/>
          <w:szCs w:val="18"/>
        </w:rPr>
        <w:t>have been produced</w:t>
      </w:r>
      <w:proofErr w:type="gramEnd"/>
      <w:r w:rsidRPr="00C00B09">
        <w:rPr>
          <w:sz w:val="18"/>
          <w:szCs w:val="18"/>
        </w:rPr>
        <w:t xml:space="preserve"> prior to the granting of the Plant Breeders Right and then are planted on the premises of a grower, who continuously produces fruits over several years.</w:t>
      </w:r>
    </w:p>
    <w:p w:rsidR="002F0EFB" w:rsidRPr="00C00B09" w:rsidRDefault="002F0EFB" w:rsidP="002F0EFB">
      <w:pPr>
        <w:ind w:left="1134" w:right="1134"/>
        <w:rPr>
          <w:sz w:val="18"/>
          <w:szCs w:val="18"/>
        </w:rPr>
      </w:pPr>
    </w:p>
    <w:p w:rsidR="002F0EFB" w:rsidRPr="00C00B09" w:rsidRDefault="002F0EFB" w:rsidP="002F0EFB">
      <w:pPr>
        <w:ind w:left="1134" w:right="1134"/>
        <w:rPr>
          <w:sz w:val="18"/>
          <w:szCs w:val="18"/>
        </w:rPr>
      </w:pPr>
      <w:r w:rsidRPr="00C00B09">
        <w:rPr>
          <w:sz w:val="18"/>
          <w:szCs w:val="18"/>
        </w:rPr>
        <w:t>‘The effective protection of harvested material is very important for breeders.  Therefore, it might be advisable to have a seminar about the matter in the first half of 2021.”</w:t>
      </w:r>
    </w:p>
    <w:p w:rsidR="002F0EFB" w:rsidRPr="00C00B09" w:rsidRDefault="002F0EFB" w:rsidP="002F0EFB">
      <w:pPr>
        <w:ind w:left="1134" w:right="567"/>
        <w:rPr>
          <w:sz w:val="18"/>
          <w:szCs w:val="18"/>
        </w:rPr>
      </w:pPr>
    </w:p>
    <w:p w:rsidR="002F0EFB" w:rsidRPr="00C00B09" w:rsidRDefault="002F0EFB" w:rsidP="002F0EFB">
      <w:pPr>
        <w:ind w:left="567" w:right="567"/>
        <w:rPr>
          <w:sz w:val="18"/>
          <w:szCs w:val="18"/>
        </w:rPr>
      </w:pPr>
      <w:r w:rsidRPr="00C00B09">
        <w:rPr>
          <w:sz w:val="18"/>
          <w:szCs w:val="18"/>
        </w:rPr>
        <w:t>“47.</w:t>
      </w:r>
      <w:r w:rsidRPr="00C00B09">
        <w:rPr>
          <w:sz w:val="18"/>
          <w:szCs w:val="18"/>
        </w:rPr>
        <w:tab/>
        <w:t>The joint comments from ISF, African Seed Trade Association (AFSTA), Asia and Pacific Seed Association (APSA) and Seed Association of the Americas (SAA), received in reply to Circular E</w:t>
      </w:r>
      <w:r w:rsidRPr="00C00B09">
        <w:rPr>
          <w:sz w:val="18"/>
          <w:szCs w:val="18"/>
        </w:rPr>
        <w:noBreakHyphen/>
        <w:t xml:space="preserve">20/120, of August 21, 2020, expressed support to the above proposal from CIOPORA and ISF to organize a seminar on this topic, as reproduced below:   </w:t>
      </w:r>
    </w:p>
    <w:p w:rsidR="002F0EFB" w:rsidRPr="00C00B09" w:rsidRDefault="002F0EFB" w:rsidP="002F0EFB">
      <w:pPr>
        <w:ind w:left="1134" w:right="567"/>
        <w:rPr>
          <w:sz w:val="18"/>
          <w:szCs w:val="18"/>
        </w:rPr>
      </w:pPr>
    </w:p>
    <w:p w:rsidR="002F0EFB" w:rsidRPr="00C00B09" w:rsidRDefault="002F0EFB" w:rsidP="002F0EFB">
      <w:pPr>
        <w:ind w:left="1134" w:right="1134"/>
        <w:rPr>
          <w:sz w:val="18"/>
          <w:szCs w:val="18"/>
        </w:rPr>
      </w:pPr>
      <w:r w:rsidRPr="00C00B09">
        <w:rPr>
          <w:sz w:val="18"/>
          <w:szCs w:val="18"/>
        </w:rPr>
        <w:t>‘We welcome the contributions from European Union and Japan.  We agree that this is a matter of great importance.</w:t>
      </w:r>
    </w:p>
    <w:p w:rsidR="00AF0D2E" w:rsidRPr="00C00B09" w:rsidRDefault="002F0EFB" w:rsidP="00AF0D2E">
      <w:pPr>
        <w:ind w:left="1134" w:right="1134"/>
        <w:rPr>
          <w:sz w:val="18"/>
          <w:szCs w:val="18"/>
        </w:rPr>
      </w:pPr>
      <w:r w:rsidRPr="00C00B09">
        <w:rPr>
          <w:sz w:val="18"/>
          <w:szCs w:val="18"/>
        </w:rPr>
        <w:t>‘ISF has sent a letter co-signed with CIOPORA on the matter and we thank members for their consideration of our request on organizing a seminar/webinar, to further address the definition of ‘unauthorized use’ and clarification of the Explanatory Note.’”</w:t>
      </w:r>
      <w:r w:rsidR="00AF0D2E" w:rsidRPr="00C00B09">
        <w:rPr>
          <w:sz w:val="18"/>
          <w:szCs w:val="18"/>
        </w:rPr>
        <w:t xml:space="preserve">  </w:t>
      </w:r>
    </w:p>
    <w:p w:rsidR="00AF0D2E" w:rsidRPr="00C00B09" w:rsidRDefault="00AF0D2E" w:rsidP="00AF0D2E">
      <w:pPr>
        <w:ind w:left="1134" w:right="1134"/>
        <w:rPr>
          <w:sz w:val="18"/>
          <w:szCs w:val="18"/>
        </w:rPr>
      </w:pPr>
    </w:p>
    <w:p w:rsidR="00210079" w:rsidRPr="00C050F2" w:rsidRDefault="00210079" w:rsidP="00AF0D2E">
      <w:pPr>
        <w:keepLines/>
        <w:autoSpaceDE w:val="0"/>
        <w:autoSpaceDN w:val="0"/>
        <w:adjustRightInd w:val="0"/>
        <w:rPr>
          <w:rFonts w:cs="Arial"/>
        </w:rPr>
      </w:pPr>
      <w:r w:rsidRPr="00E30572">
        <w:rPr>
          <w:rFonts w:cs="Arial"/>
          <w:snapToGrid w:val="0"/>
        </w:rPr>
        <w:fldChar w:fldCharType="begin"/>
      </w:r>
      <w:r w:rsidRPr="00E30572">
        <w:rPr>
          <w:rFonts w:cs="Arial"/>
          <w:snapToGrid w:val="0"/>
        </w:rPr>
        <w:instrText xml:space="preserve"> AUTONUM  </w:instrText>
      </w:r>
      <w:r w:rsidRPr="00E30572">
        <w:rPr>
          <w:rFonts w:cs="Arial"/>
          <w:snapToGrid w:val="0"/>
        </w:rPr>
        <w:fldChar w:fldCharType="end"/>
      </w:r>
      <w:r w:rsidRPr="00E30572">
        <w:rPr>
          <w:rFonts w:cs="Arial"/>
          <w:snapToGrid w:val="0"/>
        </w:rPr>
        <w:tab/>
      </w:r>
      <w:r w:rsidR="00C050F2" w:rsidRPr="00C050F2">
        <w:rPr>
          <w:rFonts w:cs="Arial"/>
        </w:rPr>
        <w:t>Based on the recommendation by the CAJ, the Cou</w:t>
      </w:r>
      <w:r w:rsidR="003950DD">
        <w:rPr>
          <w:rFonts w:cs="Arial"/>
        </w:rPr>
        <w:t xml:space="preserve">ncil, </w:t>
      </w:r>
      <w:r w:rsidR="003950DD" w:rsidRPr="008E579F">
        <w:rPr>
          <w:rFonts w:cs="Arial"/>
        </w:rPr>
        <w:t>at its fifty-fourth ordinary session</w:t>
      </w:r>
      <w:r w:rsidR="003950DD" w:rsidRPr="008E579F">
        <w:rPr>
          <w:rStyle w:val="FootnoteReference"/>
          <w:rFonts w:cs="Arial"/>
        </w:rPr>
        <w:footnoteReference w:id="3"/>
      </w:r>
      <w:r w:rsidR="003950DD" w:rsidRPr="008E579F">
        <w:rPr>
          <w:rFonts w:cs="Arial"/>
        </w:rPr>
        <w:t>,</w:t>
      </w:r>
      <w:r w:rsidR="00C050F2" w:rsidRPr="008E579F">
        <w:rPr>
          <w:rFonts w:cs="Arial"/>
        </w:rPr>
        <w:t xml:space="preserve"> decided</w:t>
      </w:r>
      <w:r w:rsidR="00C050F2" w:rsidRPr="00C050F2">
        <w:rPr>
          <w:rFonts w:cs="Arial"/>
        </w:rPr>
        <w:t xml:space="preserve"> to organize a seminar in the first half of</w:t>
      </w:r>
      <w:r w:rsidR="00C050F2">
        <w:rPr>
          <w:rFonts w:cs="Arial"/>
        </w:rPr>
        <w:t xml:space="preserve"> </w:t>
      </w:r>
      <w:r w:rsidR="00C050F2" w:rsidRPr="00C050F2">
        <w:rPr>
          <w:rFonts w:cs="Arial"/>
        </w:rPr>
        <w:t>2021, to exchange information on matters concerning harvested material and unauthorized use of propagating</w:t>
      </w:r>
      <w:r w:rsidR="00C050F2">
        <w:rPr>
          <w:rFonts w:cs="Arial"/>
        </w:rPr>
        <w:t xml:space="preserve"> material (see document C/54/21 “Report”, paragraph 54).  </w:t>
      </w:r>
    </w:p>
    <w:p w:rsidR="00210079" w:rsidRPr="001F1829" w:rsidRDefault="00210079" w:rsidP="00AF0D2E">
      <w:pPr>
        <w:pStyle w:val="Heading1"/>
      </w:pPr>
    </w:p>
    <w:p w:rsidR="00210079" w:rsidRPr="001F1829" w:rsidRDefault="00210079" w:rsidP="00210079"/>
    <w:p w:rsidR="007C5CA5" w:rsidRPr="00A3664D" w:rsidRDefault="00913ABB" w:rsidP="00A3664D">
      <w:pPr>
        <w:pStyle w:val="Heading2"/>
      </w:pPr>
      <w:bookmarkStart w:id="13" w:name="_Toc14799782"/>
      <w:bookmarkStart w:id="14" w:name="_Toc73693943"/>
      <w:bookmarkStart w:id="15" w:name="_Toc73693951"/>
      <w:bookmarkStart w:id="16" w:name="_Toc74296849"/>
      <w:r>
        <w:lastRenderedPageBreak/>
        <w:t xml:space="preserve">Matters proposed </w:t>
      </w:r>
      <w:r w:rsidR="007C5CA5" w:rsidRPr="00A3664D">
        <w:t xml:space="preserve">to be addressed </w:t>
      </w:r>
      <w:r>
        <w:t>at</w:t>
      </w:r>
      <w:r w:rsidRPr="00A3664D">
        <w:t xml:space="preserve"> </w:t>
      </w:r>
      <w:r w:rsidR="007C5CA5" w:rsidRPr="00A3664D">
        <w:t xml:space="preserve">the </w:t>
      </w:r>
      <w:bookmarkEnd w:id="13"/>
      <w:r w:rsidR="002F0EFB" w:rsidRPr="00A3664D">
        <w:t>Seminar on the breeder’s right in relation to harvested material</w:t>
      </w:r>
      <w:bookmarkEnd w:id="14"/>
      <w:bookmarkEnd w:id="15"/>
      <w:bookmarkEnd w:id="16"/>
    </w:p>
    <w:p w:rsidR="007C5CA5" w:rsidRDefault="007C5CA5" w:rsidP="00D2239F">
      <w:pPr>
        <w:keepNext/>
        <w:rPr>
          <w:rFonts w:cs="Arial"/>
        </w:rPr>
      </w:pPr>
    </w:p>
    <w:p w:rsidR="00EA002B" w:rsidRDefault="008E579F" w:rsidP="00EA002B">
      <w:pPr>
        <w:keepNext/>
        <w:keepLines/>
        <w:rPr>
          <w:rFonts w:cs="Arial"/>
          <w:spacing w:val="-2"/>
        </w:rPr>
      </w:pPr>
      <w:r w:rsidRPr="008E579F">
        <w:fldChar w:fldCharType="begin"/>
      </w:r>
      <w:r w:rsidRPr="008E579F">
        <w:instrText xml:space="preserve"> AUTONUM  </w:instrText>
      </w:r>
      <w:r w:rsidRPr="008E579F">
        <w:fldChar w:fldCharType="end"/>
      </w:r>
      <w:r w:rsidRPr="008E579F">
        <w:tab/>
      </w:r>
      <w:proofErr w:type="gramStart"/>
      <w:r w:rsidR="00EA002B" w:rsidRPr="008E579F">
        <w:t>In accordance with the agreed procedure to explore how to provide guidance on the term “unauthorized use of propagating material”, including in relation to trees, in Article 14(2) of</w:t>
      </w:r>
      <w:r w:rsidR="006345DC">
        <w:t xml:space="preserve"> the 1991 Act of the UPOV </w:t>
      </w:r>
      <w:r w:rsidR="00EA002B" w:rsidRPr="008E579F">
        <w:t>Convention, as a basis to present a proposal for consideration by the CAJ at is seventy-eighth session, a seminar was organized in the first half of 2021, to exchange information on matters concerning harvested material and unauthorized use of propagating material (see “Background”, above).</w:t>
      </w:r>
      <w:proofErr w:type="gramEnd"/>
    </w:p>
    <w:p w:rsidR="00EA002B" w:rsidRDefault="00EA002B" w:rsidP="00D2239F">
      <w:pPr>
        <w:keepNext/>
        <w:rPr>
          <w:rFonts w:cs="Arial"/>
        </w:rPr>
      </w:pPr>
    </w:p>
    <w:p w:rsidR="002F0EFB" w:rsidRPr="00614318" w:rsidRDefault="002F0EFB" w:rsidP="00D2239F">
      <w:pPr>
        <w:keepLines/>
        <w:rPr>
          <w:rFonts w:cs="Arial"/>
          <w:spacing w:val="-4"/>
        </w:rPr>
      </w:pPr>
      <w:r w:rsidRPr="00614318">
        <w:rPr>
          <w:rFonts w:cs="Arial"/>
          <w:spacing w:val="-4"/>
        </w:rPr>
        <w:fldChar w:fldCharType="begin"/>
      </w:r>
      <w:r w:rsidRPr="00614318">
        <w:rPr>
          <w:rFonts w:cs="Arial"/>
          <w:spacing w:val="-4"/>
        </w:rPr>
        <w:instrText xml:space="preserve"> AUTONUM  </w:instrText>
      </w:r>
      <w:r w:rsidRPr="00614318">
        <w:rPr>
          <w:rFonts w:cs="Arial"/>
          <w:spacing w:val="-4"/>
        </w:rPr>
        <w:fldChar w:fldCharType="end"/>
      </w:r>
      <w:r w:rsidRPr="00614318">
        <w:rPr>
          <w:rFonts w:cs="Arial"/>
          <w:spacing w:val="-4"/>
        </w:rPr>
        <w:tab/>
        <w:t xml:space="preserve">On December 22, 2020, the Office of the Union issued UPOV </w:t>
      </w:r>
      <w:r w:rsidR="00E95970" w:rsidRPr="00614318">
        <w:rPr>
          <w:snapToGrid w:val="0"/>
          <w:spacing w:val="-4"/>
        </w:rPr>
        <w:t>Circular</w:t>
      </w:r>
      <w:r w:rsidRPr="00614318">
        <w:rPr>
          <w:snapToGrid w:val="0"/>
          <w:spacing w:val="-4"/>
        </w:rPr>
        <w:t xml:space="preserve"> E-20/245 </w:t>
      </w:r>
      <w:r w:rsidRPr="00614318">
        <w:rPr>
          <w:spacing w:val="-4"/>
        </w:rPr>
        <w:t xml:space="preserve">to the designated persons of members and observers in the CAJ, with an invitation to provide proposals of information on matters concerning harvested material and unauthorized use of propagating material that </w:t>
      </w:r>
      <w:proofErr w:type="gramStart"/>
      <w:r w:rsidRPr="00614318">
        <w:rPr>
          <w:spacing w:val="-4"/>
        </w:rPr>
        <w:t>could be presented</w:t>
      </w:r>
      <w:proofErr w:type="gramEnd"/>
      <w:r w:rsidRPr="00614318">
        <w:rPr>
          <w:spacing w:val="-4"/>
        </w:rPr>
        <w:t xml:space="preserve"> at the Seminar.</w:t>
      </w:r>
      <w:r w:rsidRPr="00614318">
        <w:rPr>
          <w:rFonts w:cs="Arial"/>
          <w:spacing w:val="-4"/>
        </w:rPr>
        <w:t xml:space="preserve"> </w:t>
      </w:r>
    </w:p>
    <w:p w:rsidR="002F0EFB" w:rsidRDefault="002F0EFB" w:rsidP="002F0EFB">
      <w:pPr>
        <w:rPr>
          <w:rFonts w:cs="Arial"/>
          <w:spacing w:val="-2"/>
        </w:rPr>
      </w:pPr>
    </w:p>
    <w:p w:rsidR="002F0EFB" w:rsidRPr="004142FE" w:rsidRDefault="002F0EFB" w:rsidP="004142FE">
      <w:pPr>
        <w:keepLines/>
        <w:rPr>
          <w:rFonts w:cs="Arial"/>
          <w:spacing w:val="-4"/>
        </w:rPr>
      </w:pPr>
      <w:r w:rsidRPr="004142FE">
        <w:rPr>
          <w:rFonts w:cs="Arial"/>
          <w:spacing w:val="-4"/>
        </w:rPr>
        <w:fldChar w:fldCharType="begin"/>
      </w:r>
      <w:r w:rsidRPr="004142FE">
        <w:rPr>
          <w:rFonts w:cs="Arial"/>
          <w:spacing w:val="-4"/>
        </w:rPr>
        <w:instrText xml:space="preserve"> AUTONUM  </w:instrText>
      </w:r>
      <w:r w:rsidRPr="004142FE">
        <w:rPr>
          <w:rFonts w:cs="Arial"/>
          <w:spacing w:val="-4"/>
        </w:rPr>
        <w:fldChar w:fldCharType="end"/>
      </w:r>
      <w:r w:rsidRPr="004142FE">
        <w:rPr>
          <w:rFonts w:cs="Arial"/>
          <w:spacing w:val="-4"/>
        </w:rPr>
        <w:tab/>
      </w:r>
      <w:proofErr w:type="gramStart"/>
      <w:r w:rsidRPr="004142FE">
        <w:rPr>
          <w:rFonts w:cs="Arial"/>
          <w:spacing w:val="-4"/>
        </w:rPr>
        <w:t xml:space="preserve">In reply to UPOV Circular E-20/245, the following members and observers submitted </w:t>
      </w:r>
      <w:r w:rsidR="004142FE" w:rsidRPr="004142FE">
        <w:rPr>
          <w:rFonts w:cs="Arial"/>
          <w:spacing w:val="-4"/>
        </w:rPr>
        <w:t>information</w:t>
      </w:r>
      <w:r w:rsidRPr="004142FE">
        <w:rPr>
          <w:rFonts w:cs="Arial"/>
          <w:spacing w:val="-4"/>
        </w:rPr>
        <w:t xml:space="preserve"> and/or issues which they</w:t>
      </w:r>
      <w:r w:rsidR="00913ABB">
        <w:rPr>
          <w:rFonts w:cs="Arial"/>
          <w:spacing w:val="-4"/>
        </w:rPr>
        <w:t xml:space="preserve"> suggested</w:t>
      </w:r>
      <w:r w:rsidRPr="004142FE">
        <w:rPr>
          <w:rFonts w:cs="Arial"/>
          <w:spacing w:val="-4"/>
        </w:rPr>
        <w:t xml:space="preserve"> to be addressed in the </w:t>
      </w:r>
      <w:r w:rsidR="00913ABB">
        <w:rPr>
          <w:rFonts w:cs="Arial"/>
          <w:spacing w:val="-4"/>
        </w:rPr>
        <w:t>“</w:t>
      </w:r>
      <w:r w:rsidR="004142FE" w:rsidRPr="004142FE">
        <w:rPr>
          <w:rFonts w:cs="Arial"/>
          <w:spacing w:val="-4"/>
        </w:rPr>
        <w:t xml:space="preserve">Seminar on the </w:t>
      </w:r>
      <w:r w:rsidR="00913ABB" w:rsidRPr="004142FE">
        <w:rPr>
          <w:rFonts w:cs="Arial"/>
          <w:spacing w:val="-4"/>
        </w:rPr>
        <w:t xml:space="preserve">Breeder’s Right </w:t>
      </w:r>
      <w:r w:rsidR="004142FE" w:rsidRPr="004142FE">
        <w:rPr>
          <w:rFonts w:cs="Arial"/>
          <w:spacing w:val="-4"/>
        </w:rPr>
        <w:t xml:space="preserve">in relation to </w:t>
      </w:r>
      <w:r w:rsidR="00913ABB" w:rsidRPr="004142FE">
        <w:rPr>
          <w:rFonts w:cs="Arial"/>
          <w:spacing w:val="-4"/>
        </w:rPr>
        <w:t>Harvested Material</w:t>
      </w:r>
      <w:r w:rsidR="00913ABB">
        <w:rPr>
          <w:rFonts w:cs="Arial"/>
          <w:spacing w:val="-4"/>
        </w:rPr>
        <w:t>”</w:t>
      </w:r>
      <w:r w:rsidR="00E95970">
        <w:rPr>
          <w:rFonts w:cs="Arial"/>
          <w:spacing w:val="-4"/>
        </w:rPr>
        <w:t xml:space="preserve"> and proposed speakers to address those issues</w:t>
      </w:r>
      <w:r w:rsidRPr="004142FE">
        <w:rPr>
          <w:rFonts w:cs="Arial"/>
          <w:spacing w:val="-4"/>
        </w:rPr>
        <w:t xml:space="preserve">:  China, </w:t>
      </w:r>
      <w:r w:rsidR="00913ABB">
        <w:rPr>
          <w:rFonts w:cs="Arial"/>
          <w:spacing w:val="-4"/>
        </w:rPr>
        <w:t xml:space="preserve">the </w:t>
      </w:r>
      <w:r w:rsidRPr="004142FE">
        <w:rPr>
          <w:rFonts w:cs="Arial"/>
          <w:spacing w:val="-4"/>
        </w:rPr>
        <w:t xml:space="preserve">European Union, </w:t>
      </w:r>
      <w:r w:rsidR="00913ABB">
        <w:rPr>
          <w:rFonts w:cs="Arial"/>
          <w:spacing w:val="-4"/>
        </w:rPr>
        <w:t xml:space="preserve">the </w:t>
      </w:r>
      <w:r w:rsidR="004142FE" w:rsidRPr="004142FE">
        <w:rPr>
          <w:rFonts w:cs="Arial"/>
          <w:spacing w:val="-4"/>
        </w:rPr>
        <w:t xml:space="preserve">Netherlands, </w:t>
      </w:r>
      <w:r w:rsidR="00913ABB">
        <w:rPr>
          <w:rFonts w:cs="Arial"/>
          <w:spacing w:val="-4"/>
        </w:rPr>
        <w:t xml:space="preserve">the </w:t>
      </w:r>
      <w:r w:rsidR="004142FE" w:rsidRPr="004142FE">
        <w:rPr>
          <w:rFonts w:cs="Arial"/>
          <w:spacing w:val="-4"/>
        </w:rPr>
        <w:t xml:space="preserve">International Association of Horticultural Producers (AIPH) and a joint submission from the International Seed Federation (ISF), International Community of Breeders of Asexually Reproduced Horticultural Plants (CIOPORA), Crop Life International, </w:t>
      </w:r>
      <w:proofErr w:type="spellStart"/>
      <w:r w:rsidR="004142FE" w:rsidRPr="004142FE">
        <w:rPr>
          <w:rFonts w:cs="Arial"/>
          <w:spacing w:val="-4"/>
        </w:rPr>
        <w:t>Euroseeds</w:t>
      </w:r>
      <w:proofErr w:type="spellEnd"/>
      <w:r w:rsidR="004142FE" w:rsidRPr="004142FE">
        <w:rPr>
          <w:rFonts w:cs="Arial"/>
          <w:spacing w:val="-4"/>
        </w:rPr>
        <w:t>, Asia and Pacific Seed Association (APSA), African Seed Trade Association (AFSTA) and Seed Association of the Americas (SAA)</w:t>
      </w:r>
      <w:r w:rsidRPr="004142FE">
        <w:rPr>
          <w:rFonts w:cs="Arial"/>
          <w:spacing w:val="-4"/>
        </w:rPr>
        <w:t>.</w:t>
      </w:r>
      <w:proofErr w:type="gramEnd"/>
    </w:p>
    <w:p w:rsidR="00FA0B34" w:rsidRDefault="00FA0B34" w:rsidP="00210079"/>
    <w:p w:rsidR="00987068" w:rsidRDefault="00CD5D9F" w:rsidP="00210079">
      <w:r w:rsidRPr="008E579F">
        <w:fldChar w:fldCharType="begin"/>
      </w:r>
      <w:r w:rsidRPr="008E579F">
        <w:instrText xml:space="preserve"> AUTONUM  </w:instrText>
      </w:r>
      <w:r w:rsidRPr="008E579F">
        <w:fldChar w:fldCharType="end"/>
      </w:r>
      <w:r w:rsidRPr="008E579F">
        <w:tab/>
      </w:r>
      <w:r w:rsidR="00021B2E" w:rsidRPr="008E579F">
        <w:t>The information received from members and observers, including</w:t>
      </w:r>
      <w:r w:rsidR="002B55A8" w:rsidRPr="008E579F">
        <w:t xml:space="preserve"> proposed speakers</w:t>
      </w:r>
      <w:r w:rsidR="00021B2E" w:rsidRPr="008E579F">
        <w:t xml:space="preserve">, </w:t>
      </w:r>
      <w:r w:rsidR="00951840" w:rsidRPr="008E579F">
        <w:t>in reply to UPOV </w:t>
      </w:r>
      <w:r w:rsidR="002B55A8" w:rsidRPr="008E579F">
        <w:t xml:space="preserve">Circular E-20/245 provided the basis for the development of the </w:t>
      </w:r>
      <w:r w:rsidR="00B27ADD" w:rsidRPr="008E579F">
        <w:t>program of the S</w:t>
      </w:r>
      <w:r w:rsidR="00DB7404" w:rsidRPr="008E579F">
        <w:t>eminar</w:t>
      </w:r>
      <w:r w:rsidR="00B27ADD" w:rsidRPr="008E579F">
        <w:t xml:space="preserve">, in consultation with Mr. Patrick </w:t>
      </w:r>
      <w:proofErr w:type="spellStart"/>
      <w:r w:rsidR="00B27ADD" w:rsidRPr="008E579F">
        <w:t>Ngwediagi</w:t>
      </w:r>
      <w:proofErr w:type="spellEnd"/>
      <w:r w:rsidR="00B27ADD" w:rsidRPr="008E579F">
        <w:t>, Chair of the CAJ.</w:t>
      </w:r>
      <w:r w:rsidR="00913ABB" w:rsidRPr="008E579F">
        <w:t xml:space="preserve"> </w:t>
      </w:r>
    </w:p>
    <w:p w:rsidR="00021B2E" w:rsidRDefault="00021B2E" w:rsidP="00210079"/>
    <w:p w:rsidR="004142FE" w:rsidRDefault="004142FE" w:rsidP="00210079"/>
    <w:p w:rsidR="00951840" w:rsidRDefault="00951840" w:rsidP="00210079"/>
    <w:p w:rsidR="007C5CA5" w:rsidRPr="00987068" w:rsidRDefault="00987068" w:rsidP="00017DB3">
      <w:pPr>
        <w:pStyle w:val="Heading1"/>
        <w:rPr>
          <w:snapToGrid w:val="0"/>
        </w:rPr>
      </w:pPr>
      <w:bookmarkStart w:id="17" w:name="_Toc73693865"/>
      <w:bookmarkStart w:id="18" w:name="_Toc73693944"/>
      <w:bookmarkStart w:id="19" w:name="_Toc73693952"/>
      <w:bookmarkStart w:id="20" w:name="_Toc74296850"/>
      <w:r w:rsidRPr="00987068">
        <w:rPr>
          <w:snapToGrid w:val="0"/>
        </w:rPr>
        <w:t>Seminar on the breeder’s right in relation to harvested material</w:t>
      </w:r>
      <w:bookmarkEnd w:id="17"/>
      <w:bookmarkEnd w:id="18"/>
      <w:bookmarkEnd w:id="19"/>
      <w:bookmarkEnd w:id="20"/>
    </w:p>
    <w:p w:rsidR="007C5CA5" w:rsidRPr="00DB51B4" w:rsidRDefault="007C5CA5" w:rsidP="00951840">
      <w:pPr>
        <w:keepNext/>
        <w:rPr>
          <w:rFonts w:cs="Arial"/>
        </w:rPr>
      </w:pPr>
    </w:p>
    <w:p w:rsidR="007C5CA5" w:rsidRDefault="007C5CA5" w:rsidP="00951840">
      <w:pPr>
        <w:keepNext/>
      </w:pPr>
      <w:r w:rsidRPr="00DB51B4">
        <w:fldChar w:fldCharType="begin"/>
      </w:r>
      <w:r w:rsidRPr="00DB51B4">
        <w:instrText xml:space="preserve"> AUTONUM  </w:instrText>
      </w:r>
      <w:r w:rsidRPr="00DB51B4">
        <w:fldChar w:fldCharType="end"/>
      </w:r>
      <w:r w:rsidRPr="00DB51B4">
        <w:tab/>
      </w:r>
      <w:r w:rsidR="00987068">
        <w:t xml:space="preserve">The </w:t>
      </w:r>
      <w:r w:rsidR="007957F9">
        <w:t>“</w:t>
      </w:r>
      <w:r w:rsidR="00987068" w:rsidRPr="00987068">
        <w:t>Seminar on the breeder’s right in relation to harvested material</w:t>
      </w:r>
      <w:r w:rsidR="007957F9">
        <w:t>”</w:t>
      </w:r>
      <w:r w:rsidR="00987068" w:rsidRPr="00987068">
        <w:t xml:space="preserve"> </w:t>
      </w:r>
      <w:proofErr w:type="gramStart"/>
      <w:r w:rsidR="00951840">
        <w:t>was held</w:t>
      </w:r>
      <w:proofErr w:type="gramEnd"/>
      <w:r w:rsidR="00951840">
        <w:t xml:space="preserve"> on May 27, 2021.</w:t>
      </w:r>
      <w:r w:rsidR="00987068">
        <w:t xml:space="preserve"> </w:t>
      </w:r>
    </w:p>
    <w:p w:rsidR="00987068" w:rsidRPr="00DB51B4" w:rsidRDefault="00987068" w:rsidP="00951840">
      <w:pPr>
        <w:keepNext/>
      </w:pPr>
    </w:p>
    <w:p w:rsidR="007C5CA5" w:rsidRDefault="007C5CA5" w:rsidP="007C5CA5">
      <w:pPr>
        <w:rPr>
          <w:rStyle w:val="Hyperlink"/>
          <w:rFonts w:cs="Arial"/>
          <w:color w:val="auto"/>
          <w:spacing w:val="-2"/>
          <w:u w:val="none"/>
        </w:rPr>
      </w:pPr>
      <w:r w:rsidRPr="001B6832">
        <w:rPr>
          <w:rFonts w:cs="Arial"/>
          <w:spacing w:val="-2"/>
        </w:rPr>
        <w:fldChar w:fldCharType="begin"/>
      </w:r>
      <w:r w:rsidRPr="001B6832">
        <w:rPr>
          <w:rFonts w:cs="Arial"/>
          <w:spacing w:val="-2"/>
        </w:rPr>
        <w:instrText xml:space="preserve"> AUTONUM  </w:instrText>
      </w:r>
      <w:r w:rsidRPr="001B6832">
        <w:rPr>
          <w:rFonts w:cs="Arial"/>
          <w:spacing w:val="-2"/>
        </w:rPr>
        <w:fldChar w:fldCharType="end"/>
      </w:r>
      <w:r w:rsidRPr="00DB51B4">
        <w:rPr>
          <w:rFonts w:cs="Arial"/>
          <w:spacing w:val="-2"/>
        </w:rPr>
        <w:tab/>
      </w:r>
      <w:r w:rsidR="00630535" w:rsidRPr="00C15B70">
        <w:rPr>
          <w:rFonts w:cs="Arial"/>
          <w:spacing w:val="-2"/>
        </w:rPr>
        <w:t>The Program (document UPOV/SEM/GE/21/1), list of participants (document UPOV/SEM/GE/21/INF/1</w:t>
      </w:r>
      <w:r w:rsidR="008456ED" w:rsidRPr="00C15B70">
        <w:rPr>
          <w:rFonts w:cs="Arial"/>
          <w:spacing w:val="-2"/>
        </w:rPr>
        <w:t>),</w:t>
      </w:r>
      <w:r w:rsidR="00630535" w:rsidRPr="00C15B70">
        <w:rPr>
          <w:rFonts w:cs="Arial"/>
          <w:spacing w:val="-2"/>
        </w:rPr>
        <w:t xml:space="preserve"> </w:t>
      </w:r>
      <w:r w:rsidR="00B27ADD">
        <w:rPr>
          <w:rFonts w:cs="Arial"/>
          <w:spacing w:val="-2"/>
        </w:rPr>
        <w:t xml:space="preserve">biographies of the speakers, </w:t>
      </w:r>
      <w:r w:rsidR="00630535" w:rsidRPr="00C15B70">
        <w:rPr>
          <w:rFonts w:cs="Arial"/>
          <w:spacing w:val="-2"/>
        </w:rPr>
        <w:t>presentations</w:t>
      </w:r>
      <w:r w:rsidR="00B27ADD">
        <w:rPr>
          <w:rFonts w:cs="Arial"/>
          <w:spacing w:val="-2"/>
        </w:rPr>
        <w:t xml:space="preserve"> and concluding remarks </w:t>
      </w:r>
      <w:r w:rsidR="001E6650">
        <w:rPr>
          <w:rFonts w:cs="Arial"/>
          <w:spacing w:val="-2"/>
        </w:rPr>
        <w:t xml:space="preserve">and a </w:t>
      </w:r>
      <w:r w:rsidR="001E6650" w:rsidRPr="00C15B70">
        <w:rPr>
          <w:rFonts w:cs="Arial"/>
          <w:spacing w:val="-2"/>
        </w:rPr>
        <w:t>video</w:t>
      </w:r>
      <w:r w:rsidR="00630535" w:rsidRPr="00C15B70">
        <w:rPr>
          <w:rFonts w:cs="Arial"/>
          <w:spacing w:val="-2"/>
        </w:rPr>
        <w:t xml:space="preserve"> </w:t>
      </w:r>
      <w:r w:rsidRPr="00C15B70">
        <w:rPr>
          <w:rFonts w:cs="Arial"/>
          <w:spacing w:val="-2"/>
        </w:rPr>
        <w:t>of the Seminar are available at</w:t>
      </w:r>
      <w:r w:rsidR="00630535" w:rsidRPr="00C15B70">
        <w:t xml:space="preserve"> </w:t>
      </w:r>
      <w:hyperlink r:id="rId9" w:history="1">
        <w:r w:rsidR="00630535" w:rsidRPr="00C15B70">
          <w:rPr>
            <w:rStyle w:val="Hyperlink"/>
            <w:rFonts w:cs="Arial"/>
            <w:spacing w:val="-2"/>
          </w:rPr>
          <w:t>https://www.upov.int/meetings/en/details.jsp?meeting_id=63048</w:t>
        </w:r>
      </w:hyperlink>
      <w:r w:rsidRPr="008636A2">
        <w:rPr>
          <w:rStyle w:val="Hyperlink"/>
          <w:rFonts w:cs="Arial"/>
          <w:color w:val="auto"/>
          <w:spacing w:val="-2"/>
          <w:u w:val="none"/>
        </w:rPr>
        <w:t>.</w:t>
      </w:r>
    </w:p>
    <w:p w:rsidR="001E6650" w:rsidRPr="00DB51B4" w:rsidRDefault="001E6650" w:rsidP="007C5CA5">
      <w:pPr>
        <w:rPr>
          <w:rFonts w:cs="Arial"/>
          <w:spacing w:val="-2"/>
        </w:rPr>
      </w:pPr>
    </w:p>
    <w:bookmarkStart w:id="21" w:name="_Toc14799784"/>
    <w:p w:rsidR="001E6650" w:rsidRPr="00DB51B4" w:rsidRDefault="001E6650" w:rsidP="001E6650">
      <w:pPr>
        <w:rPr>
          <w:rFonts w:cs="Arial"/>
          <w:spacing w:val="-2"/>
        </w:rPr>
      </w:pPr>
      <w:r w:rsidRPr="00B12A17">
        <w:rPr>
          <w:rFonts w:cs="Arial"/>
          <w:spacing w:val="-2"/>
        </w:rPr>
        <w:fldChar w:fldCharType="begin"/>
      </w:r>
      <w:r w:rsidRPr="00B12A17">
        <w:rPr>
          <w:rFonts w:cs="Arial"/>
          <w:spacing w:val="-2"/>
        </w:rPr>
        <w:instrText xml:space="preserve"> AUTONUM  </w:instrText>
      </w:r>
      <w:r w:rsidRPr="00B12A17">
        <w:rPr>
          <w:rFonts w:cs="Arial"/>
          <w:spacing w:val="-2"/>
        </w:rPr>
        <w:fldChar w:fldCharType="end"/>
      </w:r>
      <w:r w:rsidRPr="00DB51B4">
        <w:rPr>
          <w:rFonts w:cs="Arial"/>
          <w:spacing w:val="-2"/>
        </w:rPr>
        <w:tab/>
      </w:r>
      <w:proofErr w:type="gramStart"/>
      <w:r>
        <w:rPr>
          <w:rFonts w:cs="Arial"/>
          <w:spacing w:val="-2"/>
        </w:rPr>
        <w:t xml:space="preserve">The Seminar was attended by </w:t>
      </w:r>
      <w:r w:rsidRPr="00890305">
        <w:rPr>
          <w:rFonts w:cs="Arial"/>
          <w:spacing w:val="-2"/>
        </w:rPr>
        <w:t>214 participants</w:t>
      </w:r>
      <w:proofErr w:type="gramEnd"/>
      <w:r w:rsidRPr="00890305">
        <w:rPr>
          <w:rFonts w:cs="Arial"/>
          <w:spacing w:val="-2"/>
        </w:rPr>
        <w:t>, from 61 countries.</w:t>
      </w:r>
    </w:p>
    <w:bookmarkEnd w:id="21"/>
    <w:p w:rsidR="007C5CA5" w:rsidRDefault="007C5CA5" w:rsidP="0009192B">
      <w:pPr>
        <w:rPr>
          <w:rFonts w:cs="Arial"/>
        </w:rPr>
      </w:pPr>
    </w:p>
    <w:p w:rsidR="0009192B" w:rsidRDefault="0009192B" w:rsidP="0009192B">
      <w:pPr>
        <w:rPr>
          <w:rFonts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1E6650" w:rsidRPr="0009192B">
        <w:trPr>
          <w:trHeight w:val="142"/>
        </w:trPr>
        <w:tc>
          <w:tcPr>
            <w:tcW w:w="12240" w:type="dxa"/>
          </w:tcPr>
          <w:p w:rsidR="001E6650" w:rsidRPr="0009192B" w:rsidRDefault="001E6650" w:rsidP="0009192B">
            <w:pPr>
              <w:pStyle w:val="Heading2"/>
              <w:rPr>
                <w:color w:val="003200"/>
              </w:rPr>
            </w:pPr>
            <w:bookmarkStart w:id="22" w:name="_Toc74296851"/>
            <w:bookmarkStart w:id="23" w:name="_Toc73693946"/>
            <w:bookmarkStart w:id="24" w:name="_Toc73693954"/>
            <w:r w:rsidRPr="0009192B">
              <w:t>Concluding remarks</w:t>
            </w:r>
            <w:bookmarkEnd w:id="22"/>
            <w:r w:rsidRPr="0009192B">
              <w:rPr>
                <w:b/>
                <w:bCs/>
                <w:color w:val="003200"/>
              </w:rPr>
              <w:t xml:space="preserve"> </w:t>
            </w:r>
          </w:p>
        </w:tc>
      </w:tr>
      <w:bookmarkEnd w:id="23"/>
      <w:bookmarkEnd w:id="24"/>
    </w:tbl>
    <w:p w:rsidR="00A3664D" w:rsidRPr="0009192B" w:rsidRDefault="00A3664D" w:rsidP="0009192B">
      <w:pPr>
        <w:keepNext/>
        <w:rPr>
          <w:rFonts w:cs="Arial"/>
        </w:rPr>
      </w:pPr>
    </w:p>
    <w:p w:rsidR="007C5CA5" w:rsidRPr="0009192B" w:rsidRDefault="007C5CA5" w:rsidP="0009192B">
      <w:pPr>
        <w:keepNext/>
        <w:rPr>
          <w:rFonts w:cs="Arial"/>
        </w:rPr>
      </w:pPr>
      <w:r w:rsidRPr="0009192B">
        <w:rPr>
          <w:rFonts w:cs="Arial"/>
        </w:rPr>
        <w:fldChar w:fldCharType="begin"/>
      </w:r>
      <w:r w:rsidRPr="0009192B">
        <w:rPr>
          <w:rFonts w:cs="Arial"/>
        </w:rPr>
        <w:instrText xml:space="preserve"> AUTONUM  </w:instrText>
      </w:r>
      <w:r w:rsidRPr="0009192B">
        <w:rPr>
          <w:rFonts w:cs="Arial"/>
        </w:rPr>
        <w:fldChar w:fldCharType="end"/>
      </w:r>
      <w:r w:rsidRPr="0009192B">
        <w:rPr>
          <w:rFonts w:cs="Arial"/>
        </w:rPr>
        <w:tab/>
        <w:t xml:space="preserve">The </w:t>
      </w:r>
      <w:r w:rsidR="001E6650" w:rsidRPr="0009192B">
        <w:rPr>
          <w:rFonts w:cs="Arial"/>
        </w:rPr>
        <w:t xml:space="preserve">following concluding remarks </w:t>
      </w:r>
      <w:proofErr w:type="gramStart"/>
      <w:r w:rsidR="001E6650" w:rsidRPr="0009192B">
        <w:rPr>
          <w:rFonts w:cs="Arial"/>
        </w:rPr>
        <w:t xml:space="preserve">were </w:t>
      </w:r>
      <w:r w:rsidR="00526DC7" w:rsidRPr="0009192B">
        <w:rPr>
          <w:rFonts w:eastAsiaTheme="minorEastAsia"/>
        </w:rPr>
        <w:t>presented</w:t>
      </w:r>
      <w:proofErr w:type="gramEnd"/>
      <w:r w:rsidR="00526DC7" w:rsidRPr="0009192B">
        <w:rPr>
          <w:rFonts w:eastAsiaTheme="minorEastAsia"/>
        </w:rPr>
        <w:t xml:space="preserve"> </w:t>
      </w:r>
      <w:r w:rsidR="008E579F" w:rsidRPr="0009192B">
        <w:rPr>
          <w:rFonts w:eastAsiaTheme="minorEastAsia"/>
        </w:rPr>
        <w:t xml:space="preserve">at the closing of the Seminar </w:t>
      </w:r>
      <w:r w:rsidR="00526DC7" w:rsidRPr="0009192B">
        <w:rPr>
          <w:rFonts w:eastAsiaTheme="minorEastAsia"/>
        </w:rPr>
        <w:t xml:space="preserve">by Mr. </w:t>
      </w:r>
      <w:r w:rsidR="00B76311" w:rsidRPr="0009192B">
        <w:rPr>
          <w:rFonts w:eastAsiaTheme="minorEastAsia"/>
        </w:rPr>
        <w:t xml:space="preserve">Manuel </w:t>
      </w:r>
      <w:r w:rsidR="00526DC7" w:rsidRPr="0009192B">
        <w:rPr>
          <w:rFonts w:eastAsiaTheme="minorEastAsia"/>
        </w:rPr>
        <w:t xml:space="preserve">Antonio Toro </w:t>
      </w:r>
      <w:proofErr w:type="spellStart"/>
      <w:r w:rsidR="00526DC7" w:rsidRPr="0009192B">
        <w:rPr>
          <w:rFonts w:eastAsiaTheme="minorEastAsia"/>
        </w:rPr>
        <w:t>Ugalde</w:t>
      </w:r>
      <w:proofErr w:type="spellEnd"/>
      <w:r w:rsidR="00526DC7" w:rsidRPr="0009192B">
        <w:rPr>
          <w:rFonts w:eastAsiaTheme="minorEastAsia"/>
        </w:rPr>
        <w:t>, Vice Chair of the CAJ, on</w:t>
      </w:r>
      <w:r w:rsidR="00B76311" w:rsidRPr="0009192B">
        <w:rPr>
          <w:rFonts w:eastAsiaTheme="minorEastAsia"/>
        </w:rPr>
        <w:t xml:space="preserve"> behalf of </w:t>
      </w:r>
      <w:r w:rsidR="00526DC7" w:rsidRPr="0009192B">
        <w:rPr>
          <w:rFonts w:eastAsiaTheme="minorEastAsia"/>
        </w:rPr>
        <w:t xml:space="preserve">Mr. </w:t>
      </w:r>
      <w:r w:rsidR="00B76311" w:rsidRPr="0009192B">
        <w:rPr>
          <w:rFonts w:eastAsiaTheme="minorEastAsia"/>
        </w:rPr>
        <w:t>Patrick</w:t>
      </w:r>
      <w:r w:rsidR="00526DC7" w:rsidRPr="0009192B">
        <w:rPr>
          <w:rFonts w:eastAsiaTheme="minorEastAsia"/>
        </w:rPr>
        <w:t xml:space="preserve"> </w:t>
      </w:r>
      <w:proofErr w:type="spellStart"/>
      <w:r w:rsidR="00526DC7" w:rsidRPr="0009192B">
        <w:rPr>
          <w:rFonts w:eastAsiaTheme="minorEastAsia"/>
        </w:rPr>
        <w:t>Ngwediagi</w:t>
      </w:r>
      <w:proofErr w:type="spellEnd"/>
      <w:r w:rsidR="00526DC7" w:rsidRPr="0009192B">
        <w:rPr>
          <w:rFonts w:eastAsiaTheme="minorEastAsia"/>
        </w:rPr>
        <w:t>, Chair of the CAJ:</w:t>
      </w:r>
    </w:p>
    <w:p w:rsidR="00326BF0" w:rsidRPr="0009192B" w:rsidRDefault="00326BF0" w:rsidP="0009192B">
      <w:pPr>
        <w:keepNext/>
        <w:rPr>
          <w:rFonts w:cs="Arial"/>
        </w:rPr>
      </w:pPr>
    </w:p>
    <w:p w:rsidR="007C5CA5" w:rsidRPr="00B27ADD" w:rsidRDefault="00326BF0" w:rsidP="0009192B">
      <w:pPr>
        <w:pStyle w:val="ListParagraph"/>
        <w:keepNext/>
        <w:numPr>
          <w:ilvl w:val="0"/>
          <w:numId w:val="5"/>
        </w:numPr>
        <w:rPr>
          <w:rFonts w:cs="Arial"/>
          <w:i/>
        </w:rPr>
      </w:pPr>
      <w:r w:rsidRPr="00B27ADD">
        <w:rPr>
          <w:rFonts w:cs="Arial"/>
          <w:i/>
        </w:rPr>
        <w:t>“How does the lack of effective protection on harvested material impact on growers and consumers?</w:t>
      </w:r>
    </w:p>
    <w:p w:rsidR="00326BF0" w:rsidRPr="00326BF0" w:rsidRDefault="00326BF0" w:rsidP="0009192B">
      <w:pPr>
        <w:pStyle w:val="ListParagraph"/>
        <w:keepNext/>
        <w:rPr>
          <w:rFonts w:cs="Arial"/>
        </w:rPr>
      </w:pPr>
    </w:p>
    <w:p w:rsidR="00326BF0" w:rsidRPr="00326BF0" w:rsidRDefault="00326BF0" w:rsidP="000C14A1">
      <w:pPr>
        <w:pStyle w:val="ListParagraph"/>
        <w:keepLines/>
        <w:ind w:left="1134"/>
        <w:rPr>
          <w:rFonts w:cs="Arial"/>
        </w:rPr>
      </w:pPr>
      <w:r w:rsidRPr="00326BF0">
        <w:rPr>
          <w:rFonts w:cs="Arial"/>
        </w:rPr>
        <w:t xml:space="preserve">“Evidence was presented at the Seminar that the lack of effective protection for new varieties of fruit trees, prior to the grant of breeders’ rights, could inhibit the early introduction of new and improved varieties, thus reducing the benefits of those varieties for growers and consumers and, therefore, society as a whole.  Furthermore, if breeders do not have effective protection to recover the investment in breeding, improved varieties </w:t>
      </w:r>
      <w:proofErr w:type="gramStart"/>
      <w:r w:rsidRPr="00326BF0">
        <w:rPr>
          <w:rFonts w:cs="Arial"/>
        </w:rPr>
        <w:t>might not be developed</w:t>
      </w:r>
      <w:proofErr w:type="gramEnd"/>
      <w:r w:rsidRPr="00326BF0">
        <w:rPr>
          <w:rFonts w:cs="Arial"/>
        </w:rPr>
        <w:t xml:space="preserve"> at all.</w:t>
      </w:r>
    </w:p>
    <w:p w:rsidR="00326BF0" w:rsidRPr="00326BF0" w:rsidRDefault="00326BF0" w:rsidP="00326BF0">
      <w:pPr>
        <w:pStyle w:val="ListParagraph"/>
        <w:rPr>
          <w:rFonts w:cs="Arial"/>
        </w:rPr>
      </w:pPr>
    </w:p>
    <w:p w:rsidR="00326BF0" w:rsidRPr="00B27ADD" w:rsidRDefault="00326BF0" w:rsidP="00AF0D2E">
      <w:pPr>
        <w:pStyle w:val="ListParagraph"/>
        <w:keepNext/>
        <w:numPr>
          <w:ilvl w:val="0"/>
          <w:numId w:val="5"/>
        </w:numPr>
        <w:rPr>
          <w:rFonts w:cs="Arial"/>
          <w:i/>
          <w:spacing w:val="-2"/>
        </w:rPr>
      </w:pPr>
      <w:r w:rsidRPr="00B27ADD">
        <w:rPr>
          <w:rFonts w:cs="Arial"/>
          <w:i/>
          <w:spacing w:val="-2"/>
        </w:rPr>
        <w:t>“What are the main challenges in the exercise of the breeder’s right in relation to the harvested material?</w:t>
      </w:r>
    </w:p>
    <w:p w:rsidR="00326BF0" w:rsidRPr="00326BF0" w:rsidRDefault="00326BF0" w:rsidP="00AF0D2E">
      <w:pPr>
        <w:pStyle w:val="ListParagraph"/>
        <w:keepNext/>
        <w:rPr>
          <w:rFonts w:cs="Arial"/>
        </w:rPr>
      </w:pPr>
    </w:p>
    <w:p w:rsidR="00326BF0" w:rsidRPr="00326BF0" w:rsidRDefault="00326BF0" w:rsidP="000C14A1">
      <w:pPr>
        <w:pStyle w:val="ListParagraph"/>
        <w:keepLines/>
        <w:ind w:left="1134"/>
        <w:rPr>
          <w:rFonts w:cs="Arial"/>
        </w:rPr>
      </w:pPr>
      <w:r w:rsidRPr="00326BF0">
        <w:rPr>
          <w:rFonts w:cs="Arial"/>
        </w:rPr>
        <w:t xml:space="preserve">“A common area of concern is lack of predictability concerning the breeder’s right in relation to the harvested material. </w:t>
      </w:r>
    </w:p>
    <w:p w:rsidR="00326BF0" w:rsidRPr="00326BF0" w:rsidRDefault="00326BF0" w:rsidP="00326BF0">
      <w:pPr>
        <w:pStyle w:val="ListParagraph"/>
        <w:ind w:left="1134"/>
        <w:rPr>
          <w:rFonts w:cs="Arial"/>
        </w:rPr>
      </w:pPr>
    </w:p>
    <w:p w:rsidR="00326BF0" w:rsidRPr="00326BF0" w:rsidRDefault="00326BF0" w:rsidP="000C14A1">
      <w:pPr>
        <w:pStyle w:val="ListParagraph"/>
        <w:keepLines/>
        <w:ind w:left="1134"/>
        <w:rPr>
          <w:rFonts w:cs="Arial"/>
        </w:rPr>
      </w:pPr>
      <w:r w:rsidRPr="00326BF0">
        <w:rPr>
          <w:rFonts w:cs="Arial"/>
        </w:rPr>
        <w:t>“For certain species, trees, once planted, can produce fruits for many years.  Therefore, a minimum scope of provisional protection and/or a narrow interpretation of “unauthorized use of propagating material” may not provide the means for the breeder to exercise and enforce their right in relation to the growing of the plants and producing and selling of the fruit.</w:t>
      </w:r>
    </w:p>
    <w:p w:rsidR="00326BF0" w:rsidRPr="00326BF0" w:rsidRDefault="00326BF0" w:rsidP="00326BF0">
      <w:pPr>
        <w:pStyle w:val="ListParagraph"/>
        <w:rPr>
          <w:rFonts w:cs="Arial"/>
        </w:rPr>
      </w:pPr>
    </w:p>
    <w:p w:rsidR="00326BF0" w:rsidRPr="00326BF0" w:rsidRDefault="00326BF0" w:rsidP="000C14A1">
      <w:pPr>
        <w:pStyle w:val="ListParagraph"/>
        <w:keepNext/>
        <w:numPr>
          <w:ilvl w:val="0"/>
          <w:numId w:val="5"/>
        </w:numPr>
        <w:rPr>
          <w:rFonts w:cs="Arial"/>
        </w:rPr>
      </w:pPr>
      <w:r w:rsidRPr="00326BF0">
        <w:rPr>
          <w:rFonts w:cs="Arial"/>
          <w:spacing w:val="-4"/>
        </w:rPr>
        <w:lastRenderedPageBreak/>
        <w:t>“</w:t>
      </w:r>
      <w:r w:rsidRPr="00B27ADD">
        <w:rPr>
          <w:rFonts w:cs="Arial"/>
          <w:i/>
          <w:spacing w:val="-4"/>
        </w:rPr>
        <w:t>At the level of UPOV:  what solutions do you see for those challenges in the exercise of the breeder’s right</w:t>
      </w:r>
      <w:r w:rsidRPr="00B27ADD">
        <w:rPr>
          <w:rFonts w:cs="Arial"/>
          <w:i/>
        </w:rPr>
        <w:t xml:space="preserve"> in relation to the harvested material?</w:t>
      </w:r>
    </w:p>
    <w:p w:rsidR="00326BF0" w:rsidRPr="00326BF0" w:rsidRDefault="00326BF0" w:rsidP="000C14A1">
      <w:pPr>
        <w:pStyle w:val="ListParagraph"/>
        <w:keepNext/>
        <w:rPr>
          <w:rFonts w:cs="Arial"/>
        </w:rPr>
      </w:pPr>
    </w:p>
    <w:p w:rsidR="00326BF0" w:rsidRPr="00326BF0" w:rsidRDefault="00326BF0" w:rsidP="000C14A1">
      <w:pPr>
        <w:pStyle w:val="ListParagraph"/>
        <w:keepLines/>
        <w:ind w:left="1134"/>
        <w:rPr>
          <w:rFonts w:cs="Arial"/>
        </w:rPr>
      </w:pPr>
      <w:r w:rsidRPr="00326BF0">
        <w:rPr>
          <w:rFonts w:cs="Arial"/>
        </w:rPr>
        <w:t xml:space="preserve">“Clear indication from presentations and discussions that guidance in the explanatory notes on harvested material would benefit from further clarification.  </w:t>
      </w:r>
    </w:p>
    <w:p w:rsidR="00326BF0" w:rsidRPr="00326BF0" w:rsidRDefault="00326BF0" w:rsidP="00326BF0">
      <w:pPr>
        <w:pStyle w:val="ListParagraph"/>
        <w:ind w:left="1134"/>
        <w:rPr>
          <w:rFonts w:cs="Arial"/>
        </w:rPr>
      </w:pPr>
    </w:p>
    <w:p w:rsidR="00326BF0" w:rsidRPr="00326BF0" w:rsidRDefault="00326BF0" w:rsidP="000C14A1">
      <w:pPr>
        <w:pStyle w:val="ListParagraph"/>
        <w:keepNext/>
        <w:keepLines/>
        <w:ind w:left="1134"/>
        <w:rPr>
          <w:rFonts w:cs="Arial"/>
        </w:rPr>
      </w:pPr>
      <w:r w:rsidRPr="00326BF0">
        <w:rPr>
          <w:rFonts w:cs="Arial"/>
        </w:rPr>
        <w:t>“To help to encourage the development of new varieties of plants, further guidance would be helpful on:</w:t>
      </w:r>
    </w:p>
    <w:p w:rsidR="00326BF0" w:rsidRPr="00326BF0" w:rsidRDefault="00326BF0" w:rsidP="000C14A1">
      <w:pPr>
        <w:pStyle w:val="ListParagraph"/>
        <w:numPr>
          <w:ilvl w:val="2"/>
          <w:numId w:val="5"/>
        </w:numPr>
        <w:spacing w:before="120"/>
        <w:ind w:left="2578"/>
        <w:contextualSpacing w:val="0"/>
        <w:rPr>
          <w:rFonts w:cs="Arial"/>
        </w:rPr>
      </w:pPr>
      <w:r w:rsidRPr="00326BF0">
        <w:rPr>
          <w:rFonts w:cs="Arial"/>
        </w:rPr>
        <w:t>“propagating material</w:t>
      </w:r>
    </w:p>
    <w:p w:rsidR="00326BF0" w:rsidRPr="00326BF0" w:rsidRDefault="00326BF0" w:rsidP="000C14A1">
      <w:pPr>
        <w:pStyle w:val="ListParagraph"/>
        <w:numPr>
          <w:ilvl w:val="2"/>
          <w:numId w:val="5"/>
        </w:numPr>
        <w:spacing w:before="120"/>
        <w:ind w:left="2578"/>
        <w:contextualSpacing w:val="0"/>
        <w:rPr>
          <w:rFonts w:cs="Arial"/>
        </w:rPr>
      </w:pPr>
      <w:r w:rsidRPr="00326BF0">
        <w:rPr>
          <w:rFonts w:cs="Arial"/>
        </w:rPr>
        <w:t>“harvested material</w:t>
      </w:r>
    </w:p>
    <w:p w:rsidR="00326BF0" w:rsidRPr="00326BF0" w:rsidRDefault="00326BF0" w:rsidP="000C14A1">
      <w:pPr>
        <w:pStyle w:val="ListParagraph"/>
        <w:numPr>
          <w:ilvl w:val="2"/>
          <w:numId w:val="5"/>
        </w:numPr>
        <w:spacing w:before="120"/>
        <w:ind w:left="2578"/>
        <w:contextualSpacing w:val="0"/>
        <w:rPr>
          <w:rFonts w:cs="Arial"/>
        </w:rPr>
      </w:pPr>
      <w:r w:rsidRPr="00326BF0">
        <w:rPr>
          <w:rFonts w:cs="Arial"/>
        </w:rPr>
        <w:t>“effective provisional protection</w:t>
      </w:r>
    </w:p>
    <w:p w:rsidR="00326BF0" w:rsidRPr="00326BF0" w:rsidRDefault="00326BF0" w:rsidP="000C14A1">
      <w:pPr>
        <w:pStyle w:val="ListParagraph"/>
        <w:numPr>
          <w:ilvl w:val="2"/>
          <w:numId w:val="5"/>
        </w:numPr>
        <w:spacing w:before="120"/>
        <w:ind w:left="2578"/>
        <w:contextualSpacing w:val="0"/>
        <w:rPr>
          <w:rFonts w:cs="Arial"/>
        </w:rPr>
      </w:pPr>
      <w:r w:rsidRPr="00326BF0">
        <w:rPr>
          <w:rFonts w:cs="Arial"/>
        </w:rPr>
        <w:t>“notion of ‘unauthorized use of propagating material’</w:t>
      </w:r>
    </w:p>
    <w:p w:rsidR="00326BF0" w:rsidRPr="00326BF0" w:rsidRDefault="00326BF0" w:rsidP="000C14A1">
      <w:pPr>
        <w:pStyle w:val="ListParagraph"/>
        <w:numPr>
          <w:ilvl w:val="2"/>
          <w:numId w:val="5"/>
        </w:numPr>
        <w:spacing w:before="120"/>
        <w:ind w:left="2578"/>
        <w:contextualSpacing w:val="0"/>
        <w:rPr>
          <w:rFonts w:cs="Arial"/>
        </w:rPr>
      </w:pPr>
      <w:r w:rsidRPr="00326BF0">
        <w:rPr>
          <w:rFonts w:cs="Arial"/>
        </w:rPr>
        <w:t>“</w:t>
      </w:r>
      <w:proofErr w:type="gramStart"/>
      <w:r w:rsidRPr="00326BF0">
        <w:rPr>
          <w:rFonts w:cs="Arial"/>
          <w:spacing w:val="-4"/>
        </w:rPr>
        <w:t>the</w:t>
      </w:r>
      <w:proofErr w:type="gramEnd"/>
      <w:r w:rsidRPr="00326BF0">
        <w:rPr>
          <w:rFonts w:cs="Arial"/>
          <w:spacing w:val="-4"/>
        </w:rPr>
        <w:t xml:space="preserve"> doctrine of exhaustion of rights in relation to the reversal of the burden of proof.”</w:t>
      </w:r>
    </w:p>
    <w:p w:rsidR="00A3664D" w:rsidRDefault="00A3664D" w:rsidP="00BB67E9">
      <w:pPr>
        <w:rPr>
          <w:rFonts w:cs="Arial"/>
          <w:spacing w:val="-2"/>
        </w:rPr>
      </w:pPr>
    </w:p>
    <w:p w:rsidR="00C00B09" w:rsidRDefault="00C00B09" w:rsidP="00BB67E9">
      <w:pPr>
        <w:rPr>
          <w:rFonts w:cs="Arial"/>
          <w:spacing w:val="-2"/>
        </w:rPr>
      </w:pPr>
    </w:p>
    <w:p w:rsidR="00526DC7" w:rsidRDefault="00526DC7" w:rsidP="00BB67E9">
      <w:pPr>
        <w:rPr>
          <w:rFonts w:cs="Arial"/>
          <w:spacing w:val="-2"/>
        </w:rPr>
      </w:pPr>
    </w:p>
    <w:p w:rsidR="00A3664D" w:rsidRPr="00017DB3" w:rsidRDefault="00C87E55" w:rsidP="00017DB3">
      <w:pPr>
        <w:pStyle w:val="Heading1"/>
        <w:rPr>
          <w:snapToGrid w:val="0"/>
        </w:rPr>
      </w:pPr>
      <w:bookmarkStart w:id="25" w:name="_Toc73693947"/>
      <w:bookmarkStart w:id="26" w:name="_Toc73693955"/>
      <w:bookmarkStart w:id="27" w:name="_Toc74296852"/>
      <w:r w:rsidRPr="00017DB3">
        <w:rPr>
          <w:caps w:val="0"/>
          <w:snapToGrid w:val="0"/>
        </w:rPr>
        <w:t xml:space="preserve">PROPOSALS FOR A PROCEDURE FOR THE REVISION OF </w:t>
      </w:r>
      <w:r w:rsidR="00D15592" w:rsidRPr="00017DB3">
        <w:rPr>
          <w:caps w:val="0"/>
          <w:snapToGrid w:val="0"/>
        </w:rPr>
        <w:t>RE</w:t>
      </w:r>
      <w:bookmarkStart w:id="28" w:name="_GoBack"/>
      <w:bookmarkEnd w:id="28"/>
      <w:r w:rsidR="00D15592" w:rsidRPr="00017DB3">
        <w:rPr>
          <w:caps w:val="0"/>
          <w:snapToGrid w:val="0"/>
        </w:rPr>
        <w:t xml:space="preserve">LEVANT </w:t>
      </w:r>
      <w:r w:rsidRPr="00017DB3">
        <w:rPr>
          <w:caps w:val="0"/>
          <w:snapToGrid w:val="0"/>
        </w:rPr>
        <w:t>GUIDANCE</w:t>
      </w:r>
      <w:bookmarkEnd w:id="25"/>
      <w:bookmarkEnd w:id="26"/>
      <w:bookmarkEnd w:id="27"/>
      <w:r w:rsidR="00A3664D" w:rsidRPr="00017DB3">
        <w:rPr>
          <w:snapToGrid w:val="0"/>
        </w:rPr>
        <w:t xml:space="preserve"> </w:t>
      </w:r>
    </w:p>
    <w:p w:rsidR="003950DD" w:rsidRDefault="003950DD" w:rsidP="003950DD">
      <w:pPr>
        <w:keepNext/>
        <w:keepLines/>
        <w:rPr>
          <w:rFonts w:cs="Arial"/>
          <w:spacing w:val="-2"/>
        </w:rPr>
      </w:pPr>
    </w:p>
    <w:p w:rsidR="00614318" w:rsidRPr="00C00B09" w:rsidRDefault="00EA002B" w:rsidP="003950DD">
      <w:pPr>
        <w:keepNext/>
        <w:keepLines/>
        <w:rPr>
          <w:rFonts w:cs="Arial"/>
          <w:spacing w:val="-2"/>
        </w:rPr>
      </w:pPr>
      <w:r w:rsidRPr="00C00B09">
        <w:fldChar w:fldCharType="begin"/>
      </w:r>
      <w:r w:rsidRPr="00C00B09">
        <w:instrText xml:space="preserve"> AUTONUM  </w:instrText>
      </w:r>
      <w:r w:rsidRPr="00C00B09">
        <w:fldChar w:fldCharType="end"/>
      </w:r>
      <w:r w:rsidRPr="00C00B09">
        <w:tab/>
      </w:r>
      <w:r w:rsidR="00614318" w:rsidRPr="00C00B09">
        <w:rPr>
          <w:rFonts w:cs="Arial"/>
          <w:spacing w:val="-2"/>
        </w:rPr>
        <w:t>The CAJ, at its seventy-seventh session</w:t>
      </w:r>
      <w:r w:rsidR="00E2280C" w:rsidRPr="00C00B09">
        <w:rPr>
          <w:rStyle w:val="FootnoteReference"/>
          <w:rFonts w:cs="Arial"/>
          <w:spacing w:val="-2"/>
        </w:rPr>
        <w:footnoteReference w:id="4"/>
      </w:r>
      <w:r w:rsidR="00614318" w:rsidRPr="00C00B09">
        <w:rPr>
          <w:rFonts w:cs="Arial"/>
          <w:spacing w:val="-2"/>
        </w:rPr>
        <w:t xml:space="preserve">, agreed </w:t>
      </w:r>
      <w:r w:rsidRPr="00C00B09">
        <w:rPr>
          <w:rFonts w:cs="Arial"/>
          <w:spacing w:val="-2"/>
        </w:rPr>
        <w:t xml:space="preserve">that a proposal on </w:t>
      </w:r>
      <w:r w:rsidR="003950DD" w:rsidRPr="00C00B09">
        <w:rPr>
          <w:rFonts w:cs="Arial"/>
          <w:spacing w:val="-2"/>
        </w:rPr>
        <w:t>guidance on the term “unauthorized use of propagating material”, including in relation to trees, in Article 14</w:t>
      </w:r>
      <w:r w:rsidRPr="00C00B09">
        <w:rPr>
          <w:rFonts w:cs="Arial"/>
          <w:spacing w:val="-2"/>
        </w:rPr>
        <w:t>(2) of the 1991 Act of the UPOV </w:t>
      </w:r>
      <w:r w:rsidR="003950DD" w:rsidRPr="00C00B09">
        <w:rPr>
          <w:rFonts w:cs="Arial"/>
          <w:spacing w:val="-2"/>
        </w:rPr>
        <w:t xml:space="preserve">Convention, </w:t>
      </w:r>
      <w:r w:rsidRPr="00C00B09">
        <w:rPr>
          <w:rFonts w:cs="Arial"/>
          <w:spacing w:val="-2"/>
        </w:rPr>
        <w:t>should be presented</w:t>
      </w:r>
      <w:r w:rsidR="003950DD" w:rsidRPr="00C00B09">
        <w:rPr>
          <w:rFonts w:cs="Arial"/>
          <w:spacing w:val="-2"/>
        </w:rPr>
        <w:t xml:space="preserve"> for consideration by the CAJ at is seventy-eighth session</w:t>
      </w:r>
      <w:r w:rsidR="00B95191" w:rsidRPr="00C00B09">
        <w:rPr>
          <w:rFonts w:cs="Arial"/>
          <w:spacing w:val="-2"/>
        </w:rPr>
        <w:t xml:space="preserve"> and proposed to the Council the organization of a Seminar on these matters</w:t>
      </w:r>
      <w:r w:rsidR="003950DD" w:rsidRPr="00C00B09">
        <w:rPr>
          <w:rFonts w:cs="Arial"/>
          <w:spacing w:val="-2"/>
        </w:rPr>
        <w:t xml:space="preserve"> </w:t>
      </w:r>
      <w:r w:rsidRPr="00C00B09">
        <w:rPr>
          <w:rFonts w:cs="Arial"/>
          <w:spacing w:val="-2"/>
        </w:rPr>
        <w:t>(see </w:t>
      </w:r>
      <w:r w:rsidR="003950DD" w:rsidRPr="00C00B09">
        <w:rPr>
          <w:rFonts w:cs="Arial"/>
          <w:spacing w:val="-2"/>
        </w:rPr>
        <w:t>documents</w:t>
      </w:r>
      <w:r w:rsidRPr="00C00B09">
        <w:rPr>
          <w:rFonts w:cs="Arial"/>
          <w:spacing w:val="-2"/>
        </w:rPr>
        <w:t> </w:t>
      </w:r>
      <w:r w:rsidR="003950DD" w:rsidRPr="00C00B09">
        <w:rPr>
          <w:rFonts w:cs="Arial"/>
          <w:spacing w:val="-2"/>
        </w:rPr>
        <w:t>CAJ/77/9 “Outcome of the consideration of documents by correspondence”, paragraph 43, and CAJ/77/10</w:t>
      </w:r>
      <w:r w:rsidRPr="00C00B09">
        <w:rPr>
          <w:rFonts w:cs="Arial"/>
          <w:spacing w:val="-2"/>
        </w:rPr>
        <w:t xml:space="preserve"> “Report”, paragraphs </w:t>
      </w:r>
      <w:r w:rsidR="00B95191" w:rsidRPr="00C00B09">
        <w:rPr>
          <w:rFonts w:cs="Arial"/>
          <w:spacing w:val="-2"/>
        </w:rPr>
        <w:t>26 to 30).</w:t>
      </w:r>
    </w:p>
    <w:p w:rsidR="00B442A3" w:rsidRPr="00C00B09" w:rsidRDefault="00B442A3" w:rsidP="003950DD">
      <w:pPr>
        <w:keepNext/>
        <w:keepLines/>
        <w:rPr>
          <w:rFonts w:cs="Arial"/>
          <w:spacing w:val="-2"/>
        </w:rPr>
      </w:pPr>
    </w:p>
    <w:p w:rsidR="00B442A3" w:rsidRPr="00C00B09" w:rsidRDefault="00B442A3" w:rsidP="00B442A3">
      <w:pPr>
        <w:keepLines/>
        <w:autoSpaceDE w:val="0"/>
        <w:autoSpaceDN w:val="0"/>
        <w:adjustRightInd w:val="0"/>
        <w:rPr>
          <w:rFonts w:cs="Arial"/>
        </w:rPr>
      </w:pPr>
      <w:r w:rsidRPr="00C00B09">
        <w:rPr>
          <w:rFonts w:cs="Arial"/>
          <w:spacing w:val="-2"/>
        </w:rPr>
        <w:fldChar w:fldCharType="begin"/>
      </w:r>
      <w:r w:rsidRPr="00C00B09">
        <w:rPr>
          <w:rFonts w:cs="Arial"/>
          <w:spacing w:val="-2"/>
        </w:rPr>
        <w:instrText xml:space="preserve"> AUTONUM  </w:instrText>
      </w:r>
      <w:r w:rsidRPr="00C00B09">
        <w:rPr>
          <w:rFonts w:cs="Arial"/>
          <w:spacing w:val="-2"/>
        </w:rPr>
        <w:fldChar w:fldCharType="end"/>
      </w:r>
      <w:r w:rsidR="004C7047" w:rsidRPr="00C00B09">
        <w:rPr>
          <w:rFonts w:cs="Arial"/>
          <w:spacing w:val="-2"/>
        </w:rPr>
        <w:tab/>
        <w:t xml:space="preserve">The purpose of </w:t>
      </w:r>
      <w:r w:rsidRPr="00C00B09">
        <w:t xml:space="preserve">“Seminar on the breeder’s right in relation to harvested material” </w:t>
      </w:r>
      <w:r w:rsidRPr="00C00B09">
        <w:rPr>
          <w:rFonts w:cs="Arial"/>
        </w:rPr>
        <w:t xml:space="preserve">was to exchange information on matters concerning harvested material and unauthorized use of propagating material </w:t>
      </w:r>
      <w:r w:rsidRPr="00C00B09">
        <w:t xml:space="preserve">as part of the CAJ considerations to develop guidance on these matters </w:t>
      </w:r>
      <w:r w:rsidR="003B6DB9" w:rsidRPr="00C00B09">
        <w:rPr>
          <w:rFonts w:cs="Arial"/>
        </w:rPr>
        <w:t xml:space="preserve">(see document C/54/21 “Report”, paragraph </w:t>
      </w:r>
      <w:r w:rsidR="00BA126B" w:rsidRPr="00C00B09">
        <w:rPr>
          <w:rFonts w:cs="Arial"/>
        </w:rPr>
        <w:t xml:space="preserve">54 </w:t>
      </w:r>
      <w:r w:rsidR="003B6DB9" w:rsidRPr="00C00B09">
        <w:rPr>
          <w:rFonts w:cs="Arial"/>
        </w:rPr>
        <w:t>and “</w:t>
      </w:r>
      <w:r w:rsidRPr="00C00B09">
        <w:t>Background</w:t>
      </w:r>
      <w:r w:rsidR="003B6DB9" w:rsidRPr="00C00B09">
        <w:t>”</w:t>
      </w:r>
      <w:r w:rsidRPr="00C00B09">
        <w:t xml:space="preserve"> and paragraph 17, above) .</w:t>
      </w:r>
    </w:p>
    <w:p w:rsidR="00EA002B" w:rsidRPr="00C00B09" w:rsidRDefault="00EA002B" w:rsidP="003950DD">
      <w:pPr>
        <w:keepNext/>
        <w:keepLines/>
        <w:rPr>
          <w:rFonts w:cs="Arial"/>
          <w:spacing w:val="-2"/>
        </w:rPr>
      </w:pPr>
    </w:p>
    <w:p w:rsidR="008A792A" w:rsidRPr="00C00B09" w:rsidRDefault="003B6DB9" w:rsidP="003B6DB9">
      <w:pPr>
        <w:keepNext/>
        <w:keepLines/>
        <w:rPr>
          <w:rFonts w:cs="Arial"/>
          <w:spacing w:val="-2"/>
        </w:rPr>
      </w:pPr>
      <w:r w:rsidRPr="00C00B09">
        <w:rPr>
          <w:rFonts w:cs="Arial"/>
          <w:spacing w:val="-2"/>
        </w:rPr>
        <w:fldChar w:fldCharType="begin"/>
      </w:r>
      <w:r w:rsidRPr="00C00B09">
        <w:rPr>
          <w:rFonts w:cs="Arial"/>
          <w:spacing w:val="-2"/>
        </w:rPr>
        <w:instrText xml:space="preserve"> AUTONUM  </w:instrText>
      </w:r>
      <w:r w:rsidRPr="00C00B09">
        <w:rPr>
          <w:rFonts w:cs="Arial"/>
          <w:spacing w:val="-2"/>
        </w:rPr>
        <w:fldChar w:fldCharType="end"/>
      </w:r>
      <w:r w:rsidRPr="00C00B09">
        <w:rPr>
          <w:rFonts w:cs="Arial"/>
          <w:spacing w:val="-2"/>
        </w:rPr>
        <w:tab/>
        <w:t xml:space="preserve">The </w:t>
      </w:r>
      <w:r w:rsidR="001C3496" w:rsidRPr="00C00B09">
        <w:rPr>
          <w:rFonts w:cs="Arial"/>
          <w:spacing w:val="-2"/>
        </w:rPr>
        <w:t>concluding remarks</w:t>
      </w:r>
      <w:r w:rsidR="00BA126B" w:rsidRPr="00C00B09">
        <w:rPr>
          <w:rFonts w:cs="Arial"/>
          <w:spacing w:val="-2"/>
        </w:rPr>
        <w:t>,</w:t>
      </w:r>
      <w:r w:rsidR="001C3496" w:rsidRPr="00C00B09">
        <w:rPr>
          <w:rFonts w:cs="Arial"/>
          <w:spacing w:val="-2"/>
        </w:rPr>
        <w:t xml:space="preserve"> presented at the closing of the Seminar</w:t>
      </w:r>
      <w:r w:rsidR="00BA126B" w:rsidRPr="00C00B09">
        <w:rPr>
          <w:rFonts w:cs="Arial"/>
          <w:spacing w:val="-2"/>
        </w:rPr>
        <w:t>,</w:t>
      </w:r>
      <w:r w:rsidR="001C3496" w:rsidRPr="00C00B09">
        <w:rPr>
          <w:rFonts w:cs="Arial"/>
          <w:spacing w:val="-2"/>
        </w:rPr>
        <w:t xml:space="preserve"> by Mr. Manuel Antonio Toro </w:t>
      </w:r>
      <w:proofErr w:type="spellStart"/>
      <w:r w:rsidR="001C3496" w:rsidRPr="00C00B09">
        <w:rPr>
          <w:rFonts w:cs="Arial"/>
          <w:spacing w:val="-2"/>
        </w:rPr>
        <w:t>Ugalde</w:t>
      </w:r>
      <w:proofErr w:type="spellEnd"/>
      <w:r w:rsidR="001C3496" w:rsidRPr="00C00B09">
        <w:rPr>
          <w:rFonts w:cs="Arial"/>
          <w:spacing w:val="-2"/>
        </w:rPr>
        <w:t xml:space="preserve">, Vice Chair of the CAJ, on behalf of Mr. Patrick </w:t>
      </w:r>
      <w:proofErr w:type="spellStart"/>
      <w:r w:rsidR="001C3496" w:rsidRPr="00C00B09">
        <w:rPr>
          <w:rFonts w:cs="Arial"/>
          <w:spacing w:val="-2"/>
        </w:rPr>
        <w:t>Ngwediagi</w:t>
      </w:r>
      <w:proofErr w:type="spellEnd"/>
      <w:r w:rsidR="001C3496" w:rsidRPr="00C00B09">
        <w:rPr>
          <w:rFonts w:cs="Arial"/>
          <w:spacing w:val="-2"/>
        </w:rPr>
        <w:t>, Chair of the CAJ</w:t>
      </w:r>
      <w:r w:rsidR="001C3496" w:rsidRPr="00C00B09">
        <w:rPr>
          <w:rFonts w:cs="Arial"/>
        </w:rPr>
        <w:t xml:space="preserve">, included the conclusion </w:t>
      </w:r>
      <w:r w:rsidR="008A792A" w:rsidRPr="00C00B09">
        <w:rPr>
          <w:rFonts w:cs="Arial"/>
        </w:rPr>
        <w:t>that guidance in the explanatory notes on harvested material would benefit from further clarification</w:t>
      </w:r>
      <w:r w:rsidRPr="00C00B09">
        <w:rPr>
          <w:rFonts w:cs="Arial"/>
        </w:rPr>
        <w:t xml:space="preserve"> and that</w:t>
      </w:r>
      <w:r w:rsidR="00BA126B" w:rsidRPr="00C00B09">
        <w:rPr>
          <w:rFonts w:cs="Arial"/>
        </w:rPr>
        <w:t>,</w:t>
      </w:r>
      <w:r w:rsidRPr="00C00B09">
        <w:rPr>
          <w:rFonts w:cs="Arial"/>
        </w:rPr>
        <w:t xml:space="preserve"> </w:t>
      </w:r>
      <w:r w:rsidR="004C7047" w:rsidRPr="00C00B09">
        <w:rPr>
          <w:rFonts w:cs="Arial"/>
        </w:rPr>
        <w:t>in order to</w:t>
      </w:r>
      <w:r w:rsidR="008A792A" w:rsidRPr="00C00B09">
        <w:rPr>
          <w:rFonts w:cs="Arial"/>
        </w:rPr>
        <w:t xml:space="preserve"> encourage the development of new varieties of plants, </w:t>
      </w:r>
      <w:r w:rsidRPr="00C00B09">
        <w:rPr>
          <w:rFonts w:cs="Arial"/>
        </w:rPr>
        <w:t xml:space="preserve">the development of </w:t>
      </w:r>
      <w:r w:rsidR="008A792A" w:rsidRPr="00C00B09">
        <w:rPr>
          <w:rFonts w:cs="Arial"/>
        </w:rPr>
        <w:t>furthe</w:t>
      </w:r>
      <w:r w:rsidRPr="00C00B09">
        <w:rPr>
          <w:rFonts w:cs="Arial"/>
        </w:rPr>
        <w:t>r guidance would be helpful (see “Concluding remarks” of the Seminar, paragraph 16 above).</w:t>
      </w:r>
    </w:p>
    <w:p w:rsidR="00614318" w:rsidRPr="00C00B09" w:rsidRDefault="00614318" w:rsidP="00482D8A">
      <w:pPr>
        <w:keepNext/>
        <w:rPr>
          <w:rFonts w:cs="Arial"/>
          <w:spacing w:val="-2"/>
        </w:rPr>
      </w:pPr>
    </w:p>
    <w:p w:rsidR="00372A51" w:rsidRPr="00372A51" w:rsidRDefault="00372A51" w:rsidP="00482D8A">
      <w:pPr>
        <w:keepLines/>
        <w:rPr>
          <w:rFonts w:cs="Arial"/>
          <w:spacing w:val="-2"/>
        </w:rPr>
      </w:pPr>
      <w:r w:rsidRPr="00C00B09">
        <w:rPr>
          <w:rFonts w:cs="Arial"/>
          <w:spacing w:val="-2"/>
        </w:rPr>
        <w:fldChar w:fldCharType="begin"/>
      </w:r>
      <w:r w:rsidRPr="00C00B09">
        <w:rPr>
          <w:rFonts w:cs="Arial"/>
          <w:spacing w:val="-2"/>
        </w:rPr>
        <w:instrText xml:space="preserve"> AUTONUM  </w:instrText>
      </w:r>
      <w:r w:rsidRPr="00C00B09">
        <w:rPr>
          <w:rFonts w:cs="Arial"/>
          <w:spacing w:val="-2"/>
        </w:rPr>
        <w:fldChar w:fldCharType="end"/>
      </w:r>
      <w:r w:rsidRPr="00C00B09">
        <w:rPr>
          <w:rFonts w:cs="Arial"/>
          <w:spacing w:val="-2"/>
        </w:rPr>
        <w:tab/>
        <w:t>On the above basis</w:t>
      </w:r>
      <w:r w:rsidR="00614318" w:rsidRPr="00C00B09">
        <w:rPr>
          <w:rFonts w:cs="Arial"/>
          <w:spacing w:val="-2"/>
        </w:rPr>
        <w:t xml:space="preserve">, </w:t>
      </w:r>
      <w:r w:rsidRPr="00C00B09">
        <w:rPr>
          <w:rFonts w:cs="Arial"/>
          <w:spacing w:val="-2"/>
        </w:rPr>
        <w:t xml:space="preserve">the CAJ is invited to </w:t>
      </w:r>
      <w:r w:rsidR="001C3496" w:rsidRPr="00C00B09">
        <w:rPr>
          <w:rFonts w:cs="Arial"/>
          <w:spacing w:val="-2"/>
        </w:rPr>
        <w:t>initiate a</w:t>
      </w:r>
      <w:r w:rsidR="00CE28D4" w:rsidRPr="00C00B09">
        <w:rPr>
          <w:rFonts w:cs="Arial"/>
          <w:spacing w:val="-2"/>
        </w:rPr>
        <w:t xml:space="preserve"> revision of</w:t>
      </w:r>
      <w:r w:rsidR="001E6650" w:rsidRPr="00C00B09">
        <w:rPr>
          <w:rFonts w:cs="Arial"/>
          <w:spacing w:val="-2"/>
        </w:rPr>
        <w:t xml:space="preserve"> the</w:t>
      </w:r>
      <w:r w:rsidRPr="00C00B09">
        <w:rPr>
          <w:rFonts w:cs="Arial"/>
          <w:spacing w:val="-2"/>
        </w:rPr>
        <w:t xml:space="preserve"> “Explanatory Notes on Acts in Respect of Harvested Material under the 1991 Act of the UPOV Convention” (document UPOV/EXN/HRV/1), “Explanatory Notes on Propagating Material under the UPOV Convention” (UPOV/EXN/PPM/1), and “Explanatory Notes on Provisional Protection under the UPOV Convention” (UPOV/EXN/PRP/2).</w:t>
      </w:r>
    </w:p>
    <w:p w:rsidR="00372A51" w:rsidRPr="00372A51" w:rsidRDefault="00372A51" w:rsidP="00372A51">
      <w:pPr>
        <w:rPr>
          <w:rFonts w:cs="Arial"/>
          <w:spacing w:val="-2"/>
        </w:rPr>
      </w:pPr>
    </w:p>
    <w:p w:rsidR="00766926" w:rsidRPr="00A3664D" w:rsidRDefault="00372A51" w:rsidP="00A3664D">
      <w:r w:rsidRPr="00372A51">
        <w:fldChar w:fldCharType="begin"/>
      </w:r>
      <w:r w:rsidRPr="00372A51">
        <w:instrText xml:space="preserve"> AUTONUM  </w:instrText>
      </w:r>
      <w:r w:rsidRPr="00372A51">
        <w:fldChar w:fldCharType="end"/>
      </w:r>
      <w:r w:rsidRPr="00372A51">
        <w:tab/>
      </w:r>
      <w:r w:rsidR="001E6650">
        <w:t xml:space="preserve">It </w:t>
      </w:r>
      <w:proofErr w:type="gramStart"/>
      <w:r w:rsidR="001E6650">
        <w:t>is proposed</w:t>
      </w:r>
      <w:proofErr w:type="gramEnd"/>
      <w:r w:rsidR="001E6650">
        <w:t xml:space="preserve"> that the </w:t>
      </w:r>
      <w:r w:rsidR="00CE28D4">
        <w:t>revision</w:t>
      </w:r>
      <w:r w:rsidR="001E6650">
        <w:t xml:space="preserve"> should take into consideration the </w:t>
      </w:r>
      <w:r w:rsidRPr="00372A51">
        <w:t>matters identified in the replies to UPOV Circular E-19/232 and in the “Seminar on the breeder’s right in relation to harvested material</w:t>
      </w:r>
      <w:r w:rsidR="004C7047">
        <w:t>”</w:t>
      </w:r>
      <w:r w:rsidRPr="00372A51">
        <w:t>.</w:t>
      </w:r>
      <w:r w:rsidR="001E6650">
        <w:rPr>
          <w:rFonts w:cs="Arial"/>
          <w:spacing w:val="-2"/>
        </w:rPr>
        <w:t xml:space="preserve">  It </w:t>
      </w:r>
      <w:proofErr w:type="gramStart"/>
      <w:r w:rsidR="001E6650">
        <w:rPr>
          <w:rFonts w:cs="Arial"/>
          <w:spacing w:val="-2"/>
        </w:rPr>
        <w:t>is further proposed</w:t>
      </w:r>
      <w:proofErr w:type="gramEnd"/>
      <w:r w:rsidR="001E6650">
        <w:rPr>
          <w:rFonts w:cs="Arial"/>
          <w:spacing w:val="-2"/>
        </w:rPr>
        <w:t xml:space="preserve"> </w:t>
      </w:r>
      <w:r w:rsidR="00766926" w:rsidRPr="00A3664D">
        <w:t>to</w:t>
      </w:r>
      <w:r w:rsidR="007957F9" w:rsidRPr="007957F9">
        <w:t xml:space="preserve"> </w:t>
      </w:r>
      <w:r w:rsidR="00340AD8">
        <w:t xml:space="preserve">establish </w:t>
      </w:r>
      <w:r w:rsidR="007957F9" w:rsidRPr="007957F9">
        <w:t>a working group on harvested material and unauthorized use of propagating material (WG-HRV)</w:t>
      </w:r>
      <w:r w:rsidR="004C7047">
        <w:t xml:space="preserve"> to draft relevant guidance.</w:t>
      </w:r>
    </w:p>
    <w:p w:rsidR="00766926" w:rsidRPr="00227F5C" w:rsidRDefault="00766926" w:rsidP="00766926">
      <w:pPr>
        <w:rPr>
          <w:sz w:val="18"/>
        </w:rPr>
      </w:pPr>
    </w:p>
    <w:p w:rsidR="00C15B70" w:rsidRDefault="007957F9" w:rsidP="00372A51">
      <w:pPr>
        <w:rPr>
          <w:rFonts w:cs="Arial"/>
          <w:spacing w:val="-5"/>
        </w:rPr>
      </w:pPr>
      <w:r w:rsidRPr="00227F5C">
        <w:rPr>
          <w:rFonts w:cs="Arial"/>
          <w:spacing w:val="-5"/>
        </w:rPr>
        <w:fldChar w:fldCharType="begin"/>
      </w:r>
      <w:r w:rsidRPr="00227F5C">
        <w:rPr>
          <w:rFonts w:cs="Arial"/>
          <w:spacing w:val="-5"/>
        </w:rPr>
        <w:instrText xml:space="preserve"> AUTONUM  </w:instrText>
      </w:r>
      <w:r w:rsidRPr="00227F5C">
        <w:rPr>
          <w:rFonts w:cs="Arial"/>
          <w:spacing w:val="-5"/>
        </w:rPr>
        <w:fldChar w:fldCharType="end"/>
      </w:r>
      <w:r w:rsidRPr="00227F5C">
        <w:rPr>
          <w:rFonts w:cs="Arial"/>
          <w:spacing w:val="-5"/>
        </w:rPr>
        <w:tab/>
      </w:r>
      <w:r w:rsidR="001C3496">
        <w:rPr>
          <w:rFonts w:cs="Arial"/>
          <w:spacing w:val="-5"/>
        </w:rPr>
        <w:t>T</w:t>
      </w:r>
      <w:r w:rsidR="00C15B70">
        <w:rPr>
          <w:rFonts w:cs="Arial"/>
          <w:spacing w:val="-5"/>
        </w:rPr>
        <w:t xml:space="preserve">he CAJ </w:t>
      </w:r>
      <w:proofErr w:type="gramStart"/>
      <w:r w:rsidR="00C15B70">
        <w:rPr>
          <w:rFonts w:cs="Arial"/>
          <w:spacing w:val="-5"/>
        </w:rPr>
        <w:t>is invited</w:t>
      </w:r>
      <w:proofErr w:type="gramEnd"/>
      <w:r w:rsidR="00951840">
        <w:rPr>
          <w:rFonts w:cs="Arial"/>
          <w:spacing w:val="-5"/>
        </w:rPr>
        <w:t xml:space="preserve"> to:</w:t>
      </w:r>
    </w:p>
    <w:p w:rsidR="00C15B70" w:rsidRDefault="00C15B70" w:rsidP="00372A51">
      <w:pPr>
        <w:rPr>
          <w:rFonts w:cs="Arial"/>
          <w:spacing w:val="-5"/>
        </w:rPr>
      </w:pPr>
    </w:p>
    <w:p w:rsidR="001C3496" w:rsidRDefault="00B12A17" w:rsidP="004D536B">
      <w:pPr>
        <w:pStyle w:val="ListParagraph"/>
        <w:numPr>
          <w:ilvl w:val="0"/>
          <w:numId w:val="11"/>
        </w:numPr>
      </w:pPr>
      <w:r>
        <w:t>a</w:t>
      </w:r>
      <w:r w:rsidR="001C3496">
        <w:t xml:space="preserve">gree to establish </w:t>
      </w:r>
      <w:r w:rsidR="001C3496" w:rsidRPr="00340AD8">
        <w:t xml:space="preserve">a working group </w:t>
      </w:r>
      <w:r w:rsidR="001C3496" w:rsidRPr="004D536B">
        <w:rPr>
          <w:rFonts w:cs="Arial"/>
        </w:rPr>
        <w:t>on harvested material and unauthorized use of propagating material (WG-HRV)</w:t>
      </w:r>
      <w:r>
        <w:rPr>
          <w:rFonts w:cs="Arial"/>
        </w:rPr>
        <w:t>;</w:t>
      </w:r>
      <w:r w:rsidR="001C3496">
        <w:t xml:space="preserve"> </w:t>
      </w:r>
    </w:p>
    <w:p w:rsidR="0009192B" w:rsidRPr="00B12A17" w:rsidRDefault="0009192B" w:rsidP="0009192B">
      <w:pPr>
        <w:pStyle w:val="ListParagraph"/>
        <w:ind w:left="1130"/>
      </w:pPr>
    </w:p>
    <w:p w:rsidR="004D536B" w:rsidRDefault="003B6DB9" w:rsidP="00B12A17">
      <w:pPr>
        <w:pStyle w:val="ListParagraph"/>
        <w:numPr>
          <w:ilvl w:val="0"/>
          <w:numId w:val="11"/>
        </w:numPr>
      </w:pPr>
      <w:r w:rsidRPr="004D536B">
        <w:rPr>
          <w:rFonts w:cs="Arial"/>
          <w:spacing w:val="-5"/>
        </w:rPr>
        <w:t xml:space="preserve">approve the </w:t>
      </w:r>
      <w:r w:rsidR="00340AD8" w:rsidRPr="00BC79DA">
        <w:t>draft terms</w:t>
      </w:r>
      <w:r w:rsidR="004D536B">
        <w:t xml:space="preserve"> of reference</w:t>
      </w:r>
      <w:r w:rsidR="004C7047">
        <w:t xml:space="preserve"> </w:t>
      </w:r>
      <w:r w:rsidR="004D536B">
        <w:t>(</w:t>
      </w:r>
      <w:proofErr w:type="spellStart"/>
      <w:r w:rsidR="004D536B">
        <w:t>ToRs</w:t>
      </w:r>
      <w:proofErr w:type="spellEnd"/>
      <w:r w:rsidR="004D536B">
        <w:t xml:space="preserve">) </w:t>
      </w:r>
      <w:r w:rsidR="00340AD8" w:rsidRPr="00340AD8">
        <w:t xml:space="preserve">for </w:t>
      </w:r>
      <w:r w:rsidR="001C3496">
        <w:t xml:space="preserve">the </w:t>
      </w:r>
      <w:r w:rsidR="00A3664D" w:rsidRPr="004D536B">
        <w:rPr>
          <w:rFonts w:cs="Arial"/>
        </w:rPr>
        <w:t>WG-HRV</w:t>
      </w:r>
      <w:r w:rsidR="00340AD8" w:rsidRPr="00340AD8">
        <w:t xml:space="preserve">, </w:t>
      </w:r>
      <w:r w:rsidR="00BC79DA">
        <w:t>as presented in the Annex to this document</w:t>
      </w:r>
      <w:r w:rsidR="00340AD8">
        <w:t>;</w:t>
      </w:r>
      <w:r w:rsidR="001C3496">
        <w:t xml:space="preserve">  and</w:t>
      </w:r>
    </w:p>
    <w:p w:rsidR="0009192B" w:rsidRDefault="0009192B" w:rsidP="0009192B"/>
    <w:p w:rsidR="00766926" w:rsidRPr="00470CF4" w:rsidRDefault="001C3496" w:rsidP="0009638D">
      <w:pPr>
        <w:pStyle w:val="ListParagraph"/>
        <w:numPr>
          <w:ilvl w:val="0"/>
          <w:numId w:val="11"/>
        </w:numPr>
      </w:pPr>
      <w:r>
        <w:t>subject to</w:t>
      </w:r>
      <w:r w:rsidR="004D536B" w:rsidRPr="00470CF4">
        <w:t xml:space="preserve"> approval </w:t>
      </w:r>
      <w:r w:rsidR="00B12A17">
        <w:t xml:space="preserve">of </w:t>
      </w:r>
      <w:r w:rsidR="004D536B" w:rsidRPr="00470CF4">
        <w:t xml:space="preserve">the </w:t>
      </w:r>
      <w:r>
        <w:t xml:space="preserve">establishment </w:t>
      </w:r>
      <w:r w:rsidR="00B12A17">
        <w:t xml:space="preserve">of, </w:t>
      </w:r>
      <w:r>
        <w:t xml:space="preserve">and </w:t>
      </w:r>
      <w:proofErr w:type="spellStart"/>
      <w:r w:rsidR="004D536B" w:rsidRPr="00470CF4">
        <w:t>ToRs</w:t>
      </w:r>
      <w:proofErr w:type="spellEnd"/>
      <w:r w:rsidR="004D536B" w:rsidRPr="00470CF4">
        <w:t xml:space="preserve"> </w:t>
      </w:r>
      <w:r w:rsidR="00470CF4" w:rsidRPr="00470CF4">
        <w:t>for</w:t>
      </w:r>
      <w:r w:rsidR="00B12A17">
        <w:t>,</w:t>
      </w:r>
      <w:r w:rsidR="00470CF4" w:rsidRPr="00470CF4">
        <w:t xml:space="preserve"> the </w:t>
      </w:r>
      <w:r w:rsidR="0009638D" w:rsidRPr="00470CF4">
        <w:t>WG-HRV</w:t>
      </w:r>
      <w:r w:rsidR="004D536B" w:rsidRPr="00470CF4">
        <w:t xml:space="preserve">, to </w:t>
      </w:r>
      <w:r w:rsidR="00D15C62" w:rsidRPr="00470CF4">
        <w:t xml:space="preserve">request </w:t>
      </w:r>
      <w:r w:rsidR="004D536B" w:rsidRPr="00470CF4">
        <w:t xml:space="preserve">the Office of the Union to </w:t>
      </w:r>
      <w:r w:rsidR="00B12A17">
        <w:t xml:space="preserve">issue a Circular to </w:t>
      </w:r>
      <w:r>
        <w:t>invite</w:t>
      </w:r>
      <w:r w:rsidR="004D536B" w:rsidRPr="00470CF4">
        <w:t xml:space="preserve"> </w:t>
      </w:r>
      <w:r w:rsidR="00766926" w:rsidRPr="00470CF4">
        <w:t>members of the Union and observers to the CAJ to express t</w:t>
      </w:r>
      <w:r w:rsidR="00C15B70" w:rsidRPr="00470CF4">
        <w:t xml:space="preserve">heir interest to be a member of </w:t>
      </w:r>
      <w:r w:rsidR="00766926" w:rsidRPr="00470CF4">
        <w:t>the WG-</w:t>
      </w:r>
      <w:r w:rsidR="00A3664D" w:rsidRPr="00470CF4">
        <w:t>HRV</w:t>
      </w:r>
      <w:r w:rsidR="0009638D" w:rsidRPr="00470CF4">
        <w:t>.</w:t>
      </w:r>
    </w:p>
    <w:p w:rsidR="0009638D" w:rsidRDefault="0009638D" w:rsidP="0009638D">
      <w:pPr>
        <w:rPr>
          <w:rFonts w:cs="Arial"/>
          <w:spacing w:val="-5"/>
        </w:rPr>
      </w:pPr>
    </w:p>
    <w:p w:rsidR="00A9460C" w:rsidRPr="0009192B" w:rsidRDefault="00A9460C" w:rsidP="0009638D">
      <w:pPr>
        <w:rPr>
          <w:rFonts w:cs="Arial"/>
        </w:rPr>
      </w:pPr>
      <w:r w:rsidRPr="0009192B">
        <w:rPr>
          <w:rFonts w:cs="Arial"/>
        </w:rPr>
        <w:lastRenderedPageBreak/>
        <w:fldChar w:fldCharType="begin"/>
      </w:r>
      <w:r w:rsidRPr="0009192B">
        <w:rPr>
          <w:rFonts w:cs="Arial"/>
        </w:rPr>
        <w:instrText xml:space="preserve"> AUTONUM  </w:instrText>
      </w:r>
      <w:r w:rsidRPr="0009192B">
        <w:rPr>
          <w:rFonts w:cs="Arial"/>
        </w:rPr>
        <w:fldChar w:fldCharType="end"/>
      </w:r>
      <w:r w:rsidRPr="0009192B">
        <w:rPr>
          <w:rFonts w:cs="Arial"/>
        </w:rPr>
        <w:tab/>
      </w:r>
      <w:r w:rsidR="00470CF4" w:rsidRPr="0009192B">
        <w:rPr>
          <w:rFonts w:cs="Arial"/>
        </w:rPr>
        <w:t>The CAJ, at its seventy-eighth session, will receive a report of the</w:t>
      </w:r>
      <w:r w:rsidR="0009638D" w:rsidRPr="0009192B">
        <w:rPr>
          <w:rFonts w:cs="Arial"/>
        </w:rPr>
        <w:t xml:space="preserve"> replies to the Circular with the expressions of interest to be part of the</w:t>
      </w:r>
      <w:r w:rsidR="0009638D" w:rsidRPr="0009192B">
        <w:t xml:space="preserve"> </w:t>
      </w:r>
      <w:r w:rsidR="0009638D" w:rsidRPr="0009192B">
        <w:rPr>
          <w:rFonts w:cs="Arial"/>
        </w:rPr>
        <w:t>WG-HRV</w:t>
      </w:r>
      <w:r w:rsidR="00470CF4" w:rsidRPr="0009192B">
        <w:rPr>
          <w:rFonts w:cs="Arial"/>
        </w:rPr>
        <w:t xml:space="preserve">, </w:t>
      </w:r>
      <w:r w:rsidR="0009638D" w:rsidRPr="0009192B">
        <w:rPr>
          <w:rFonts w:cs="Arial"/>
        </w:rPr>
        <w:t xml:space="preserve">with a request for the CAJ to </w:t>
      </w:r>
      <w:r w:rsidR="00470CF4" w:rsidRPr="0009192B">
        <w:rPr>
          <w:rFonts w:cs="Arial"/>
        </w:rPr>
        <w:t xml:space="preserve">agree </w:t>
      </w:r>
      <w:r w:rsidR="0009638D" w:rsidRPr="0009192B">
        <w:rPr>
          <w:rFonts w:cs="Arial"/>
        </w:rPr>
        <w:t>its composition</w:t>
      </w:r>
      <w:r w:rsidR="00470CF4" w:rsidRPr="0009192B">
        <w:rPr>
          <w:rFonts w:cs="Arial"/>
        </w:rPr>
        <w:t xml:space="preserve"> and the </w:t>
      </w:r>
      <w:r w:rsidRPr="0009192B">
        <w:t xml:space="preserve">date for </w:t>
      </w:r>
      <w:r w:rsidR="00470CF4" w:rsidRPr="0009192B">
        <w:t>its first meeting</w:t>
      </w:r>
      <w:r w:rsidRPr="0009192B">
        <w:t xml:space="preserve">.  </w:t>
      </w:r>
    </w:p>
    <w:p w:rsidR="00BC79DA" w:rsidRPr="0009192B" w:rsidRDefault="00BC79DA" w:rsidP="0009192B"/>
    <w:p w:rsidR="0009192B" w:rsidRDefault="007C5CA5" w:rsidP="0009192B">
      <w:pPr>
        <w:pStyle w:val="DecisionParagraphs"/>
      </w:pPr>
      <w:r w:rsidRPr="004C7047">
        <w:fldChar w:fldCharType="begin"/>
      </w:r>
      <w:r w:rsidRPr="004C7047">
        <w:instrText xml:space="preserve"> AUTONUM  </w:instrText>
      </w:r>
      <w:r w:rsidRPr="004C7047">
        <w:fldChar w:fldCharType="end"/>
      </w:r>
      <w:r w:rsidRPr="004C7047">
        <w:tab/>
        <w:t xml:space="preserve">The CAJ </w:t>
      </w:r>
      <w:proofErr w:type="gramStart"/>
      <w:r w:rsidRPr="004C7047">
        <w:t>is invited</w:t>
      </w:r>
      <w:proofErr w:type="gramEnd"/>
      <w:r w:rsidRPr="004C7047">
        <w:t xml:space="preserve"> to:</w:t>
      </w:r>
      <w:r w:rsidR="004C7047">
        <w:t xml:space="preserve"> </w:t>
      </w:r>
    </w:p>
    <w:p w:rsidR="0009192B" w:rsidRDefault="0009192B" w:rsidP="0009192B">
      <w:pPr>
        <w:pStyle w:val="DecisionParagraphs"/>
      </w:pPr>
    </w:p>
    <w:p w:rsidR="0009192B" w:rsidRDefault="0009192B" w:rsidP="0009192B">
      <w:pPr>
        <w:pStyle w:val="DecisionParagraphs"/>
      </w:pPr>
      <w:r>
        <w:tab/>
        <w:t>(a)</w:t>
      </w:r>
      <w:r>
        <w:tab/>
      </w:r>
      <w:r w:rsidR="00526DC7" w:rsidRPr="004C7047">
        <w:t xml:space="preserve">note the developments concerning harvested material and unauthorized use of propagating material, including relevant matters on the “Seminar on the breeder’s right in relation to harvested material”, as set out in </w:t>
      </w:r>
      <w:r w:rsidR="00526DC7" w:rsidRPr="0009192B">
        <w:t xml:space="preserve">paragraphs </w:t>
      </w:r>
      <w:r w:rsidR="00E95970" w:rsidRPr="0009192B">
        <w:t>4</w:t>
      </w:r>
      <w:r w:rsidR="00C15B70" w:rsidRPr="0009192B">
        <w:t xml:space="preserve"> to </w:t>
      </w:r>
      <w:r w:rsidR="00B12A17" w:rsidRPr="0009192B">
        <w:t>16</w:t>
      </w:r>
      <w:r w:rsidR="00470CF4" w:rsidRPr="0009192B">
        <w:t xml:space="preserve"> </w:t>
      </w:r>
      <w:r w:rsidR="00526DC7" w:rsidRPr="0009192B">
        <w:t>of this</w:t>
      </w:r>
      <w:r w:rsidR="00526DC7" w:rsidRPr="004C7047">
        <w:t xml:space="preserve"> document</w:t>
      </w:r>
      <w:r w:rsidR="007C5CA5" w:rsidRPr="004C7047">
        <w:t>;</w:t>
      </w:r>
      <w:r w:rsidR="00B12A17">
        <w:t xml:space="preserve"> </w:t>
      </w:r>
      <w:r>
        <w:t xml:space="preserve"> </w:t>
      </w:r>
      <w:r w:rsidR="00B12A17">
        <w:t>and</w:t>
      </w:r>
    </w:p>
    <w:p w:rsidR="0009192B" w:rsidRDefault="0009192B" w:rsidP="0009192B">
      <w:pPr>
        <w:pStyle w:val="DecisionParagraphs"/>
      </w:pPr>
    </w:p>
    <w:p w:rsidR="0009192B" w:rsidRDefault="0009192B" w:rsidP="0009192B">
      <w:pPr>
        <w:pStyle w:val="DecisionParagraphs"/>
      </w:pPr>
      <w:r>
        <w:tab/>
        <w:t>(b)</w:t>
      </w:r>
      <w:r>
        <w:tab/>
      </w:r>
      <w:proofErr w:type="gramStart"/>
      <w:r w:rsidR="00CE28D4" w:rsidRPr="004C7047">
        <w:t>approve</w:t>
      </w:r>
      <w:proofErr w:type="gramEnd"/>
      <w:r w:rsidR="00CE28D4" w:rsidRPr="004C7047">
        <w:t xml:space="preserve"> the proposals for a procedure for the revision of relevant guidance, as</w:t>
      </w:r>
      <w:r w:rsidR="00B12A17">
        <w:t xml:space="preserve"> follows:</w:t>
      </w:r>
    </w:p>
    <w:p w:rsidR="0009192B" w:rsidRDefault="0009192B" w:rsidP="0009192B">
      <w:pPr>
        <w:pStyle w:val="DecisionParagraphs"/>
      </w:pPr>
    </w:p>
    <w:p w:rsidR="0009192B" w:rsidRPr="0009192B" w:rsidRDefault="0009192B" w:rsidP="0009192B">
      <w:pPr>
        <w:pStyle w:val="DecisionParagraphs"/>
        <w:tabs>
          <w:tab w:val="left" w:pos="6480"/>
        </w:tabs>
        <w:ind w:left="5387"/>
        <w:rPr>
          <w:spacing w:val="-6"/>
        </w:rPr>
      </w:pPr>
      <w:r w:rsidRPr="0009192B">
        <w:rPr>
          <w:spacing w:val="-6"/>
        </w:rPr>
        <w:tab/>
        <w:t>(</w:t>
      </w:r>
      <w:proofErr w:type="spellStart"/>
      <w:r w:rsidRPr="0009192B">
        <w:rPr>
          <w:spacing w:val="-6"/>
        </w:rPr>
        <w:t>i</w:t>
      </w:r>
      <w:proofErr w:type="spellEnd"/>
      <w:r w:rsidRPr="0009192B">
        <w:rPr>
          <w:spacing w:val="-6"/>
        </w:rPr>
        <w:t>)</w:t>
      </w:r>
      <w:r w:rsidRPr="0009192B">
        <w:rPr>
          <w:spacing w:val="-6"/>
        </w:rPr>
        <w:tab/>
      </w:r>
      <w:r w:rsidR="007114A0" w:rsidRPr="0009192B">
        <w:rPr>
          <w:spacing w:val="-6"/>
        </w:rPr>
        <w:t xml:space="preserve">agree to </w:t>
      </w:r>
      <w:r w:rsidR="00B12A17" w:rsidRPr="0009192B">
        <w:rPr>
          <w:spacing w:val="-6"/>
        </w:rPr>
        <w:t>initiate a revision of the “Explanatory Notes on Acts in Respect of Harvested Material under the 1991 Act of the UPOV Convention” (document UPOV/EXN/HRV/1), “Explanatory Notes on Propagating Material under the UPOV Convention” (UPOV/EXN/PPM/1), and “Explanatory Notes on Provisional Protection under the UP</w:t>
      </w:r>
      <w:r w:rsidR="007114A0" w:rsidRPr="0009192B">
        <w:rPr>
          <w:spacing w:val="-6"/>
        </w:rPr>
        <w:t>OV Convention” (UPOV/EXN/PRP/2);</w:t>
      </w:r>
    </w:p>
    <w:p w:rsidR="0009192B" w:rsidRDefault="0009192B" w:rsidP="0009192B">
      <w:pPr>
        <w:pStyle w:val="DecisionParagraphs"/>
        <w:tabs>
          <w:tab w:val="left" w:pos="6480"/>
        </w:tabs>
        <w:ind w:left="5387"/>
      </w:pPr>
    </w:p>
    <w:p w:rsidR="0009192B" w:rsidRDefault="0009192B" w:rsidP="0009192B">
      <w:pPr>
        <w:pStyle w:val="DecisionParagraphs"/>
        <w:tabs>
          <w:tab w:val="left" w:pos="6480"/>
        </w:tabs>
        <w:ind w:left="5387"/>
      </w:pPr>
      <w:r>
        <w:tab/>
        <w:t>(ii)</w:t>
      </w:r>
      <w:r>
        <w:tab/>
      </w:r>
      <w:proofErr w:type="gramStart"/>
      <w:r w:rsidR="007114A0">
        <w:t>agree</w:t>
      </w:r>
      <w:proofErr w:type="gramEnd"/>
      <w:r w:rsidR="007114A0">
        <w:t xml:space="preserve"> to establish a working group on harvested material and unauthorized use of propagating material (WG-HRV); </w:t>
      </w:r>
    </w:p>
    <w:p w:rsidR="0009192B" w:rsidRDefault="0009192B" w:rsidP="0009192B">
      <w:pPr>
        <w:pStyle w:val="DecisionParagraphs"/>
        <w:tabs>
          <w:tab w:val="left" w:pos="6480"/>
        </w:tabs>
        <w:ind w:left="5387"/>
      </w:pPr>
    </w:p>
    <w:p w:rsidR="0009192B" w:rsidRDefault="0009192B" w:rsidP="0009192B">
      <w:pPr>
        <w:pStyle w:val="DecisionParagraphs"/>
        <w:tabs>
          <w:tab w:val="left" w:pos="6480"/>
        </w:tabs>
        <w:ind w:left="5387"/>
      </w:pPr>
      <w:r>
        <w:tab/>
        <w:t>(iii)</w:t>
      </w:r>
      <w:r>
        <w:tab/>
      </w:r>
      <w:proofErr w:type="gramStart"/>
      <w:r w:rsidR="007114A0">
        <w:t>approve</w:t>
      </w:r>
      <w:proofErr w:type="gramEnd"/>
      <w:r w:rsidR="007114A0">
        <w:t xml:space="preserve"> the draft terms of reference (</w:t>
      </w:r>
      <w:proofErr w:type="spellStart"/>
      <w:r w:rsidR="007114A0">
        <w:t>ToRs</w:t>
      </w:r>
      <w:proofErr w:type="spellEnd"/>
      <w:r w:rsidR="007114A0">
        <w:t xml:space="preserve">) for the WG-HRV, as presented in the Annex to this document;  </w:t>
      </w:r>
    </w:p>
    <w:p w:rsidR="0009192B" w:rsidRDefault="0009192B" w:rsidP="0009192B">
      <w:pPr>
        <w:pStyle w:val="DecisionParagraphs"/>
        <w:tabs>
          <w:tab w:val="left" w:pos="6480"/>
        </w:tabs>
        <w:ind w:left="5387"/>
      </w:pPr>
    </w:p>
    <w:p w:rsidR="0009192B" w:rsidRDefault="0009192B" w:rsidP="0009192B">
      <w:pPr>
        <w:pStyle w:val="DecisionParagraphs"/>
        <w:tabs>
          <w:tab w:val="left" w:pos="6480"/>
        </w:tabs>
        <w:ind w:left="5387"/>
      </w:pPr>
      <w:r>
        <w:tab/>
        <w:t>(iv)</w:t>
      </w:r>
      <w:r>
        <w:tab/>
      </w:r>
      <w:r w:rsidR="007114A0">
        <w:t xml:space="preserve">subject to approval of the establishment of, and </w:t>
      </w:r>
      <w:proofErr w:type="spellStart"/>
      <w:r w:rsidR="007114A0">
        <w:t>ToRs</w:t>
      </w:r>
      <w:proofErr w:type="spellEnd"/>
      <w:r w:rsidR="007114A0">
        <w:t xml:space="preserve"> for, the WG-HRV, to request the Office of the Union to issue a Circular to invite members of the Union and observers to the CAJ to express their interest to be a member of the WG-HRV; </w:t>
      </w:r>
      <w:r>
        <w:t xml:space="preserve"> </w:t>
      </w:r>
      <w:r w:rsidR="007114A0">
        <w:t>and</w:t>
      </w:r>
    </w:p>
    <w:p w:rsidR="0009192B" w:rsidRDefault="0009192B" w:rsidP="0009192B">
      <w:pPr>
        <w:pStyle w:val="DecisionParagraphs"/>
        <w:tabs>
          <w:tab w:val="left" w:pos="6480"/>
        </w:tabs>
        <w:ind w:left="5387"/>
      </w:pPr>
    </w:p>
    <w:p w:rsidR="007C5CA5" w:rsidRPr="00DB51B4" w:rsidRDefault="0009192B" w:rsidP="0009192B">
      <w:pPr>
        <w:pStyle w:val="DecisionParagraphs"/>
        <w:tabs>
          <w:tab w:val="left" w:pos="6480"/>
        </w:tabs>
        <w:ind w:left="5387"/>
      </w:pPr>
      <w:r>
        <w:tab/>
        <w:t>(v)</w:t>
      </w:r>
      <w:r>
        <w:tab/>
      </w:r>
      <w:proofErr w:type="gramStart"/>
      <w:r w:rsidR="007114A0">
        <w:t>note</w:t>
      </w:r>
      <w:proofErr w:type="gramEnd"/>
      <w:r w:rsidR="007114A0">
        <w:t xml:space="preserve"> that, if applicable, </w:t>
      </w:r>
      <w:r w:rsidR="007114A0" w:rsidRPr="007114A0">
        <w:t>at its seventy-eighth session</w:t>
      </w:r>
      <w:r w:rsidR="007114A0">
        <w:t xml:space="preserve">, the CAJ will receive </w:t>
      </w:r>
      <w:r w:rsidR="007114A0" w:rsidRPr="007114A0">
        <w:t>a report of the replies to the Circular with the expressions of interest to be part of t</w:t>
      </w:r>
      <w:r>
        <w:t>he WG</w:t>
      </w:r>
      <w:r>
        <w:noBreakHyphen/>
      </w:r>
      <w:r w:rsidR="007114A0" w:rsidRPr="007114A0">
        <w:t>HRV, with a request for the CAJ to agree its composition and t</w:t>
      </w:r>
      <w:r w:rsidR="007114A0">
        <w:t xml:space="preserve">he date for its first meeting. </w:t>
      </w:r>
    </w:p>
    <w:p w:rsidR="001F7186" w:rsidRDefault="001F7186" w:rsidP="00E2280C">
      <w:pPr>
        <w:pStyle w:val="DecisionParagraphs"/>
        <w:tabs>
          <w:tab w:val="left" w:pos="6570"/>
        </w:tabs>
        <w:ind w:left="4770"/>
      </w:pPr>
    </w:p>
    <w:p w:rsidR="001F7186" w:rsidRDefault="001F7186" w:rsidP="00E2280C">
      <w:pPr>
        <w:pStyle w:val="DecisionParagraphs"/>
        <w:tabs>
          <w:tab w:val="left" w:pos="6570"/>
        </w:tabs>
        <w:ind w:left="4770"/>
      </w:pPr>
    </w:p>
    <w:p w:rsidR="001F7186" w:rsidRPr="001F1829" w:rsidRDefault="001F7186" w:rsidP="001F7186">
      <w:pPr>
        <w:jc w:val="right"/>
      </w:pPr>
      <w:r w:rsidRPr="00C5280D">
        <w:t>[</w:t>
      </w:r>
      <w:r>
        <w:t>Annex</w:t>
      </w:r>
      <w:r w:rsidRPr="00C5280D">
        <w:t xml:space="preserve"> </w:t>
      </w:r>
      <w:r>
        <w:t>follows</w:t>
      </w:r>
      <w:r w:rsidRPr="00C5280D">
        <w:t>]</w:t>
      </w:r>
    </w:p>
    <w:p w:rsidR="001F7186" w:rsidRDefault="001F7186" w:rsidP="00E2280C">
      <w:pPr>
        <w:pStyle w:val="DecisionParagraphs"/>
        <w:tabs>
          <w:tab w:val="left" w:pos="6570"/>
        </w:tabs>
        <w:ind w:left="4770"/>
      </w:pPr>
    </w:p>
    <w:p w:rsidR="001F7186" w:rsidRPr="00C15B70" w:rsidRDefault="001F7186" w:rsidP="00E2280C">
      <w:pPr>
        <w:pStyle w:val="DecisionParagraphs"/>
        <w:tabs>
          <w:tab w:val="left" w:pos="6570"/>
        </w:tabs>
        <w:ind w:left="4770"/>
      </w:pPr>
    </w:p>
    <w:p w:rsidR="00227F5C" w:rsidRDefault="00227F5C" w:rsidP="00AF0D2E"/>
    <w:p w:rsidR="001F7186" w:rsidRDefault="001F7186" w:rsidP="00AF0D2E">
      <w:pPr>
        <w:sectPr w:rsidR="001F7186" w:rsidSect="0004198B">
          <w:headerReference w:type="default" r:id="rId10"/>
          <w:headerReference w:type="first" r:id="rId11"/>
          <w:pgSz w:w="11907" w:h="16840" w:code="9"/>
          <w:pgMar w:top="510" w:right="1134" w:bottom="1134" w:left="1134" w:header="510" w:footer="680" w:gutter="0"/>
          <w:pgNumType w:start="1"/>
          <w:cols w:space="720"/>
          <w:titlePg/>
        </w:sectPr>
      </w:pPr>
    </w:p>
    <w:p w:rsidR="006361E4" w:rsidRDefault="001F7186" w:rsidP="001F7186">
      <w:pPr>
        <w:jc w:val="center"/>
        <w:rPr>
          <w:rFonts w:cs="Arial"/>
        </w:rPr>
      </w:pPr>
      <w:r w:rsidRPr="00E65BE1">
        <w:rPr>
          <w:rFonts w:cs="Arial"/>
        </w:rPr>
        <w:lastRenderedPageBreak/>
        <w:t xml:space="preserve">DRAFT TERMS OF REFERENCE OF THE </w:t>
      </w:r>
      <w:r w:rsidR="006361E4" w:rsidRPr="006361E4">
        <w:rPr>
          <w:rFonts w:cs="Arial"/>
        </w:rPr>
        <w:t xml:space="preserve">WORKING GROUP ON </w:t>
      </w:r>
    </w:p>
    <w:p w:rsidR="001F7186" w:rsidRPr="00E65BE1" w:rsidRDefault="006361E4" w:rsidP="001F7186">
      <w:pPr>
        <w:jc w:val="center"/>
        <w:rPr>
          <w:rFonts w:cs="Arial"/>
        </w:rPr>
      </w:pPr>
      <w:r w:rsidRPr="006361E4">
        <w:rPr>
          <w:rFonts w:cs="Arial"/>
        </w:rPr>
        <w:t>HARVESTED MATERIAL AND UNAUTHORIZED USE OF PROPAGATING MATERIAL</w:t>
      </w:r>
    </w:p>
    <w:p w:rsidR="001F7186" w:rsidRPr="001F7186" w:rsidRDefault="001F7186" w:rsidP="001F7186">
      <w:pPr>
        <w:jc w:val="center"/>
      </w:pPr>
      <w:r w:rsidRPr="00E65BE1">
        <w:t>(WG-</w:t>
      </w:r>
      <w:r>
        <w:t>HRV</w:t>
      </w:r>
      <w:r w:rsidRPr="001F7186">
        <w:t>)</w:t>
      </w:r>
    </w:p>
    <w:p w:rsidR="001F7186" w:rsidRPr="001F7186" w:rsidRDefault="001F7186" w:rsidP="001F7186"/>
    <w:p w:rsidR="001F7186" w:rsidRPr="001F7186" w:rsidRDefault="001F7186" w:rsidP="001F7186"/>
    <w:p w:rsidR="001F7186" w:rsidRPr="00E65BE1" w:rsidRDefault="001F7186" w:rsidP="001F7186">
      <w:bookmarkStart w:id="29" w:name="_Toc47557368"/>
      <w:bookmarkStart w:id="30" w:name="_Toc48316464"/>
      <w:r w:rsidRPr="00E65BE1">
        <w:t>PURPOSE:</w:t>
      </w:r>
      <w:bookmarkEnd w:id="29"/>
      <w:bookmarkEnd w:id="30"/>
      <w:r w:rsidRPr="00E65BE1">
        <w:t xml:space="preserve"> </w:t>
      </w:r>
    </w:p>
    <w:p w:rsidR="001F7186" w:rsidRPr="00E44453" w:rsidRDefault="001F7186" w:rsidP="001F7186">
      <w:pPr>
        <w:contextualSpacing/>
        <w:rPr>
          <w:rFonts w:cs="Arial"/>
          <w:sz w:val="18"/>
        </w:rPr>
      </w:pPr>
    </w:p>
    <w:p w:rsidR="001F7186" w:rsidRPr="00E65BE1" w:rsidRDefault="001F7186" w:rsidP="001F7186">
      <w:pPr>
        <w:contextualSpacing/>
        <w:rPr>
          <w:rFonts w:cs="Arial"/>
        </w:rPr>
      </w:pPr>
      <w:proofErr w:type="gramStart"/>
      <w:r w:rsidRPr="00E65BE1">
        <w:rPr>
          <w:rFonts w:cs="Arial"/>
        </w:rPr>
        <w:t>The purpose of the WG-</w:t>
      </w:r>
      <w:r w:rsidR="006361E4">
        <w:rPr>
          <w:rFonts w:cs="Arial"/>
        </w:rPr>
        <w:t>HRV</w:t>
      </w:r>
      <w:r w:rsidRPr="00E65BE1">
        <w:rPr>
          <w:rFonts w:cs="Arial"/>
        </w:rPr>
        <w:t xml:space="preserve"> is to draft a revision of </w:t>
      </w:r>
      <w:r w:rsidR="006361E4" w:rsidRPr="006361E4">
        <w:rPr>
          <w:rFonts w:cs="Arial"/>
        </w:rPr>
        <w:t>the “Explanatory Notes on Acts in Respect of Harvested Material under the 1991 Act of the UPOV Convention” (document UPOV/EXN/HRV/1), “Explanatory Notes on Propagating Material under the UPOV Convention” (UPOV/EXN/PPM/1), and “Explanatory Notes on Provisional Protection under the UPOV Convention” (UPOV/EXN/PRP/2)</w:t>
      </w:r>
      <w:r w:rsidR="006361E4">
        <w:rPr>
          <w:rFonts w:cs="Arial"/>
        </w:rPr>
        <w:t xml:space="preserve">, </w:t>
      </w:r>
      <w:r w:rsidRPr="00E65BE1">
        <w:rPr>
          <w:rFonts w:cs="Arial"/>
        </w:rPr>
        <w:t>for consideration by the Administrative and Legal Committee (CAJ).</w:t>
      </w:r>
      <w:proofErr w:type="gramEnd"/>
    </w:p>
    <w:p w:rsidR="001F7186" w:rsidRPr="00E44453" w:rsidRDefault="001F7186" w:rsidP="001F7186">
      <w:pPr>
        <w:rPr>
          <w:sz w:val="18"/>
          <w:szCs w:val="18"/>
        </w:rPr>
      </w:pPr>
    </w:p>
    <w:p w:rsidR="001F7186" w:rsidRPr="00E44453" w:rsidRDefault="001F7186" w:rsidP="001F7186">
      <w:pPr>
        <w:rPr>
          <w:sz w:val="18"/>
          <w:szCs w:val="18"/>
        </w:rPr>
      </w:pPr>
    </w:p>
    <w:p w:rsidR="001F7186" w:rsidRPr="00E44453" w:rsidRDefault="001F7186" w:rsidP="001F7186">
      <w:pPr>
        <w:rPr>
          <w:sz w:val="18"/>
          <w:szCs w:val="18"/>
        </w:rPr>
      </w:pPr>
    </w:p>
    <w:p w:rsidR="001F7186" w:rsidRPr="00E65BE1" w:rsidRDefault="001F7186" w:rsidP="001F7186">
      <w:bookmarkStart w:id="31" w:name="_Toc47557369"/>
      <w:bookmarkStart w:id="32" w:name="_Toc48316465"/>
      <w:r w:rsidRPr="00E65BE1">
        <w:t>COMPOSITION:</w:t>
      </w:r>
      <w:bookmarkEnd w:id="31"/>
      <w:bookmarkEnd w:id="32"/>
    </w:p>
    <w:p w:rsidR="001F7186" w:rsidRPr="00E44453" w:rsidRDefault="001F7186" w:rsidP="001F7186">
      <w:pPr>
        <w:rPr>
          <w:rFonts w:cs="Arial"/>
          <w:sz w:val="18"/>
          <w:szCs w:val="18"/>
        </w:rPr>
      </w:pPr>
    </w:p>
    <w:p w:rsidR="001F7186" w:rsidRPr="00E65BE1" w:rsidRDefault="001F7186" w:rsidP="001F7186">
      <w:pPr>
        <w:ind w:firstLine="567"/>
        <w:rPr>
          <w:rFonts w:cs="Arial"/>
          <w:color w:val="000000"/>
        </w:rPr>
      </w:pPr>
      <w:r w:rsidRPr="00E65BE1">
        <w:rPr>
          <w:rFonts w:cs="Arial"/>
        </w:rPr>
        <w:t>(a)</w:t>
      </w:r>
      <w:r w:rsidRPr="00E65BE1">
        <w:rPr>
          <w:rFonts w:cs="Arial"/>
        </w:rPr>
        <w:tab/>
      </w:r>
      <w:proofErr w:type="gramStart"/>
      <w:r w:rsidRPr="00E65BE1">
        <w:rPr>
          <w:rFonts w:cs="Arial"/>
        </w:rPr>
        <w:t>to</w:t>
      </w:r>
      <w:proofErr w:type="gramEnd"/>
      <w:r w:rsidRPr="00E65BE1">
        <w:rPr>
          <w:rFonts w:cs="Arial"/>
        </w:rPr>
        <w:t xml:space="preserve"> be composed of the members of the Union and the observers agreed by the </w:t>
      </w:r>
      <w:r w:rsidRPr="00E65BE1">
        <w:rPr>
          <w:rFonts w:cs="Arial"/>
          <w:color w:val="000000"/>
        </w:rPr>
        <w:t xml:space="preserve">CAJ; </w:t>
      </w:r>
    </w:p>
    <w:p w:rsidR="001F7186" w:rsidRPr="00E44453" w:rsidRDefault="001F7186" w:rsidP="001F7186">
      <w:pPr>
        <w:rPr>
          <w:rFonts w:cs="Arial"/>
          <w:sz w:val="18"/>
          <w:szCs w:val="18"/>
        </w:rPr>
      </w:pPr>
    </w:p>
    <w:p w:rsidR="001F7186" w:rsidRPr="00E65BE1" w:rsidRDefault="001F7186" w:rsidP="001F7186">
      <w:pPr>
        <w:ind w:firstLine="567"/>
        <w:rPr>
          <w:rFonts w:cs="Arial"/>
        </w:rPr>
      </w:pPr>
      <w:r w:rsidRPr="00E65BE1">
        <w:rPr>
          <w:rFonts w:cs="Arial"/>
        </w:rPr>
        <w:t>(b)</w:t>
      </w:r>
      <w:r w:rsidRPr="00E65BE1">
        <w:rPr>
          <w:rFonts w:cs="Arial"/>
        </w:rPr>
        <w:tab/>
      </w:r>
      <w:proofErr w:type="gramStart"/>
      <w:r w:rsidRPr="00E65BE1">
        <w:rPr>
          <w:rFonts w:cs="Arial"/>
        </w:rPr>
        <w:t>other</w:t>
      </w:r>
      <w:proofErr w:type="gramEnd"/>
      <w:r w:rsidRPr="00E65BE1">
        <w:rPr>
          <w:rFonts w:cs="Arial"/>
        </w:rPr>
        <w:t xml:space="preserve"> members of the Union would be free to participate at any meeting of the WG-</w:t>
      </w:r>
      <w:r w:rsidR="006361E4">
        <w:rPr>
          <w:rFonts w:cs="Arial"/>
        </w:rPr>
        <w:t>HRV</w:t>
      </w:r>
      <w:r w:rsidRPr="00E65BE1">
        <w:rPr>
          <w:rFonts w:cs="Arial"/>
        </w:rPr>
        <w:t xml:space="preserve"> and make comments, where so desired;</w:t>
      </w:r>
    </w:p>
    <w:p w:rsidR="001F7186" w:rsidRPr="00E44453" w:rsidRDefault="001F7186" w:rsidP="001F7186">
      <w:pPr>
        <w:rPr>
          <w:rFonts w:cs="Arial"/>
          <w:sz w:val="18"/>
          <w:szCs w:val="18"/>
        </w:rPr>
      </w:pPr>
    </w:p>
    <w:p w:rsidR="001F7186" w:rsidRPr="00E65BE1" w:rsidRDefault="001F7186" w:rsidP="001F7186">
      <w:pPr>
        <w:ind w:firstLine="567"/>
        <w:rPr>
          <w:rFonts w:cs="Arial"/>
        </w:rPr>
      </w:pPr>
      <w:r w:rsidRPr="00E65BE1">
        <w:rPr>
          <w:rFonts w:cs="Arial"/>
        </w:rPr>
        <w:t>(c)</w:t>
      </w:r>
      <w:r w:rsidRPr="00E65BE1">
        <w:rPr>
          <w:rFonts w:cs="Arial"/>
        </w:rPr>
        <w:tab/>
      </w:r>
      <w:proofErr w:type="gramStart"/>
      <w:r w:rsidRPr="00E65BE1">
        <w:rPr>
          <w:rFonts w:cs="Arial"/>
        </w:rPr>
        <w:t>the</w:t>
      </w:r>
      <w:proofErr w:type="gramEnd"/>
      <w:r w:rsidRPr="00E65BE1">
        <w:rPr>
          <w:rFonts w:cs="Arial"/>
        </w:rPr>
        <w:t xml:space="preserve"> WG-</w:t>
      </w:r>
      <w:r w:rsidR="006361E4">
        <w:rPr>
          <w:rFonts w:cs="Arial"/>
        </w:rPr>
        <w:t>HRV</w:t>
      </w:r>
      <w:r w:rsidRPr="00E65BE1">
        <w:rPr>
          <w:rFonts w:cs="Arial"/>
        </w:rPr>
        <w:t xml:space="preserve"> would revert back to the CAJ if the WG-</w:t>
      </w:r>
      <w:r w:rsidR="006361E4">
        <w:rPr>
          <w:rFonts w:cs="Arial"/>
        </w:rPr>
        <w:t>HRV</w:t>
      </w:r>
      <w:r w:rsidRPr="00E65BE1">
        <w:rPr>
          <w:rFonts w:cs="Arial"/>
        </w:rPr>
        <w:t xml:space="preserve"> recommended to invite other observers or experts to any of its meetings;  and   </w:t>
      </w:r>
    </w:p>
    <w:p w:rsidR="001F7186" w:rsidRPr="00E44453" w:rsidRDefault="001F7186" w:rsidP="001F7186">
      <w:pPr>
        <w:rPr>
          <w:rFonts w:cs="Arial"/>
          <w:sz w:val="18"/>
          <w:szCs w:val="18"/>
        </w:rPr>
      </w:pPr>
    </w:p>
    <w:p w:rsidR="001F7186" w:rsidRPr="00E65BE1" w:rsidRDefault="001F7186" w:rsidP="001F7186">
      <w:pPr>
        <w:tabs>
          <w:tab w:val="left" w:pos="1134"/>
        </w:tabs>
        <w:ind w:firstLine="567"/>
        <w:rPr>
          <w:rFonts w:cs="Arial"/>
        </w:rPr>
      </w:pPr>
      <w:r w:rsidRPr="00E65BE1">
        <w:rPr>
          <w:rFonts w:cs="Arial"/>
        </w:rPr>
        <w:t>(d)</w:t>
      </w:r>
      <w:r w:rsidRPr="00E65BE1">
        <w:rPr>
          <w:rFonts w:cs="Arial"/>
        </w:rPr>
        <w:tab/>
      </w:r>
      <w:proofErr w:type="gramStart"/>
      <w:r w:rsidRPr="00E65BE1">
        <w:rPr>
          <w:rFonts w:cs="Arial"/>
        </w:rPr>
        <w:t>meetings</w:t>
      </w:r>
      <w:proofErr w:type="gramEnd"/>
      <w:r w:rsidRPr="00E65BE1">
        <w:rPr>
          <w:rFonts w:cs="Arial"/>
        </w:rPr>
        <w:t xml:space="preserve"> to be chaired by the Vice Secretary</w:t>
      </w:r>
      <w:r w:rsidRPr="00E65BE1">
        <w:rPr>
          <w:rFonts w:cs="Arial"/>
        </w:rPr>
        <w:noBreakHyphen/>
        <w:t>General.</w:t>
      </w:r>
    </w:p>
    <w:p w:rsidR="001F7186" w:rsidRPr="00E44453" w:rsidRDefault="001F7186" w:rsidP="001F7186">
      <w:pPr>
        <w:rPr>
          <w:sz w:val="18"/>
        </w:rPr>
      </w:pPr>
    </w:p>
    <w:p w:rsidR="001F7186" w:rsidRPr="00E44453" w:rsidRDefault="001F7186" w:rsidP="001F7186">
      <w:pPr>
        <w:rPr>
          <w:sz w:val="18"/>
        </w:rPr>
      </w:pPr>
    </w:p>
    <w:p w:rsidR="001F7186" w:rsidRPr="00E44453" w:rsidRDefault="001F7186" w:rsidP="001F7186">
      <w:pPr>
        <w:rPr>
          <w:sz w:val="18"/>
        </w:rPr>
      </w:pPr>
    </w:p>
    <w:p w:rsidR="001F7186" w:rsidRPr="00E65BE1" w:rsidRDefault="001F7186" w:rsidP="001F7186">
      <w:bookmarkStart w:id="33" w:name="_Toc47557370"/>
      <w:bookmarkStart w:id="34" w:name="_Toc48316466"/>
      <w:r w:rsidRPr="00E65BE1">
        <w:t>MODUS OPERANDI:</w:t>
      </w:r>
      <w:bookmarkEnd w:id="33"/>
      <w:bookmarkEnd w:id="34"/>
    </w:p>
    <w:p w:rsidR="001F7186" w:rsidRPr="00E44453" w:rsidRDefault="001F7186" w:rsidP="001F7186">
      <w:pPr>
        <w:rPr>
          <w:rFonts w:cs="Arial"/>
          <w:sz w:val="18"/>
          <w:szCs w:val="18"/>
          <w:u w:val="single"/>
        </w:rPr>
      </w:pPr>
    </w:p>
    <w:p w:rsidR="001F7186" w:rsidRPr="00E65BE1" w:rsidRDefault="001F7186" w:rsidP="006361E4">
      <w:pPr>
        <w:ind w:firstLine="360"/>
        <w:rPr>
          <w:rFonts w:cs="Arial"/>
        </w:rPr>
      </w:pPr>
      <w:r w:rsidRPr="00E65BE1">
        <w:rPr>
          <w:rFonts w:cs="Arial"/>
        </w:rPr>
        <w:t xml:space="preserve">(a) </w:t>
      </w:r>
      <w:r w:rsidRPr="00E65BE1">
        <w:rPr>
          <w:rFonts w:cs="Arial"/>
        </w:rPr>
        <w:tab/>
        <w:t>in drafting the revision of document</w:t>
      </w:r>
      <w:r w:rsidR="006361E4">
        <w:rPr>
          <w:rFonts w:cs="Arial"/>
        </w:rPr>
        <w:t>s</w:t>
      </w:r>
      <w:r w:rsidRPr="00E65BE1">
        <w:rPr>
          <w:rFonts w:cs="Arial"/>
        </w:rPr>
        <w:t xml:space="preserve"> </w:t>
      </w:r>
      <w:r w:rsidR="006361E4" w:rsidRPr="006361E4">
        <w:rPr>
          <w:rFonts w:cs="Arial"/>
        </w:rPr>
        <w:t>UPOV/EXN/HRV/1</w:t>
      </w:r>
      <w:r w:rsidR="006361E4">
        <w:rPr>
          <w:rFonts w:cs="Arial"/>
        </w:rPr>
        <w:t>,</w:t>
      </w:r>
      <w:r w:rsidR="006361E4" w:rsidRPr="006361E4">
        <w:rPr>
          <w:rFonts w:cs="Arial"/>
        </w:rPr>
        <w:t xml:space="preserve"> UPOV/EXN/PPM/1, and UPOV/EXN/PRP/2</w:t>
      </w:r>
      <w:r w:rsidRPr="00E65BE1">
        <w:rPr>
          <w:rFonts w:cs="Arial"/>
        </w:rPr>
        <w:t>, the WG-</w:t>
      </w:r>
      <w:r w:rsidR="006361E4">
        <w:rPr>
          <w:rFonts w:cs="Arial"/>
        </w:rPr>
        <w:t>HRV to consider</w:t>
      </w:r>
      <w:r w:rsidR="00F64174" w:rsidRPr="00F64174">
        <w:t xml:space="preserve"> </w:t>
      </w:r>
      <w:r w:rsidR="00F64174" w:rsidRPr="00F64174">
        <w:rPr>
          <w:rFonts w:cs="Arial"/>
        </w:rPr>
        <w:t>the matters identified in the replies to UP</w:t>
      </w:r>
      <w:r w:rsidR="00F64174">
        <w:rPr>
          <w:rFonts w:cs="Arial"/>
        </w:rPr>
        <w:t>OV Circular E-19/232 and</w:t>
      </w:r>
      <w:r w:rsidR="001C3496">
        <w:rPr>
          <w:rFonts w:cs="Arial"/>
        </w:rPr>
        <w:t>,</w:t>
      </w:r>
      <w:r w:rsidR="00F64174">
        <w:rPr>
          <w:rFonts w:cs="Arial"/>
        </w:rPr>
        <w:t xml:space="preserve"> in </w:t>
      </w:r>
      <w:r w:rsidR="001C3496">
        <w:rPr>
          <w:rFonts w:cs="Arial"/>
        </w:rPr>
        <w:t xml:space="preserve">particular, </w:t>
      </w:r>
      <w:r w:rsidRPr="00E65BE1">
        <w:rPr>
          <w:rFonts w:cs="Arial"/>
        </w:rPr>
        <w:t xml:space="preserve">the </w:t>
      </w:r>
      <w:r w:rsidR="001C3496">
        <w:rPr>
          <w:rFonts w:cs="Arial"/>
        </w:rPr>
        <w:t xml:space="preserve">concluding remarks at </w:t>
      </w:r>
      <w:r w:rsidR="00F64174">
        <w:rPr>
          <w:rFonts w:cs="Arial"/>
        </w:rPr>
        <w:t xml:space="preserve">the </w:t>
      </w:r>
      <w:r w:rsidRPr="00E65BE1">
        <w:rPr>
          <w:rFonts w:cs="Arial"/>
        </w:rPr>
        <w:t>20</w:t>
      </w:r>
      <w:r w:rsidR="006361E4">
        <w:rPr>
          <w:rFonts w:cs="Arial"/>
        </w:rPr>
        <w:t>2</w:t>
      </w:r>
      <w:r w:rsidRPr="00E65BE1">
        <w:rPr>
          <w:rFonts w:cs="Arial"/>
        </w:rPr>
        <w:t xml:space="preserve">1 </w:t>
      </w:r>
      <w:r w:rsidR="006361E4" w:rsidRPr="006361E4">
        <w:rPr>
          <w:rFonts w:cs="Arial"/>
        </w:rPr>
        <w:t>Seminar on the breeder’s right in relation to harvested material</w:t>
      </w:r>
      <w:r w:rsidRPr="00E65BE1">
        <w:rPr>
          <w:rFonts w:cs="Arial"/>
        </w:rPr>
        <w:t>:</w:t>
      </w:r>
    </w:p>
    <w:p w:rsidR="006361E4" w:rsidRPr="006361E4" w:rsidRDefault="006361E4" w:rsidP="006361E4">
      <w:pPr>
        <w:keepNext/>
        <w:ind w:left="927"/>
        <w:rPr>
          <w:rFonts w:cs="Arial"/>
          <w:sz w:val="18"/>
        </w:rPr>
      </w:pPr>
    </w:p>
    <w:p w:rsidR="006361E4" w:rsidRPr="008E579F" w:rsidRDefault="006361E4" w:rsidP="006361E4">
      <w:pPr>
        <w:pStyle w:val="ListParagraph"/>
        <w:keepNext/>
        <w:numPr>
          <w:ilvl w:val="0"/>
          <w:numId w:val="5"/>
        </w:numPr>
        <w:ind w:left="1494" w:right="639"/>
        <w:rPr>
          <w:rFonts w:cs="Arial"/>
          <w:i/>
          <w:sz w:val="18"/>
        </w:rPr>
      </w:pPr>
      <w:r w:rsidRPr="008E579F">
        <w:rPr>
          <w:rFonts w:cs="Arial"/>
          <w:i/>
          <w:sz w:val="18"/>
        </w:rPr>
        <w:t>“How does the lack of effective protection on harvested material impact on growers and consumers?</w:t>
      </w:r>
    </w:p>
    <w:p w:rsidR="006361E4" w:rsidRPr="008E579F" w:rsidRDefault="006361E4" w:rsidP="006361E4">
      <w:pPr>
        <w:pStyle w:val="ListParagraph"/>
        <w:keepNext/>
        <w:ind w:left="1494" w:right="639"/>
        <w:rPr>
          <w:rFonts w:cs="Arial"/>
          <w:sz w:val="18"/>
        </w:rPr>
      </w:pPr>
    </w:p>
    <w:p w:rsidR="006361E4" w:rsidRPr="008E579F" w:rsidRDefault="006361E4" w:rsidP="006361E4">
      <w:pPr>
        <w:pStyle w:val="ListParagraph"/>
        <w:keepLines/>
        <w:ind w:left="1908" w:right="639"/>
        <w:rPr>
          <w:rFonts w:cs="Arial"/>
          <w:sz w:val="18"/>
        </w:rPr>
      </w:pPr>
      <w:r w:rsidRPr="008E579F">
        <w:rPr>
          <w:rFonts w:cs="Arial"/>
          <w:sz w:val="18"/>
        </w:rPr>
        <w:t xml:space="preserve">“Evidence was presented at the Seminar that the lack of effective protection for new varieties of fruit trees, prior to the grant of breeders’ rights, could inhibit the early introduction of new and improved varieties, thus reducing the benefits of those varieties for growers and consumers and, therefore, society as a whole.  Furthermore, if breeders do not have effective protection to recover the investment in breeding, improved varieties </w:t>
      </w:r>
      <w:proofErr w:type="gramStart"/>
      <w:r w:rsidRPr="008E579F">
        <w:rPr>
          <w:rFonts w:cs="Arial"/>
          <w:sz w:val="18"/>
        </w:rPr>
        <w:t>might not be developed</w:t>
      </w:r>
      <w:proofErr w:type="gramEnd"/>
      <w:r w:rsidRPr="008E579F">
        <w:rPr>
          <w:rFonts w:cs="Arial"/>
          <w:sz w:val="18"/>
        </w:rPr>
        <w:t xml:space="preserve"> at all.</w:t>
      </w:r>
    </w:p>
    <w:p w:rsidR="006361E4" w:rsidRPr="008E579F" w:rsidRDefault="006361E4" w:rsidP="006361E4">
      <w:pPr>
        <w:pStyle w:val="ListParagraph"/>
        <w:ind w:left="1494" w:right="639"/>
        <w:rPr>
          <w:rFonts w:cs="Arial"/>
          <w:sz w:val="18"/>
        </w:rPr>
      </w:pPr>
    </w:p>
    <w:p w:rsidR="006361E4" w:rsidRPr="008E579F" w:rsidRDefault="006361E4" w:rsidP="006361E4">
      <w:pPr>
        <w:pStyle w:val="ListParagraph"/>
        <w:keepNext/>
        <w:numPr>
          <w:ilvl w:val="0"/>
          <w:numId w:val="5"/>
        </w:numPr>
        <w:ind w:left="1494" w:right="639"/>
        <w:rPr>
          <w:rFonts w:cs="Arial"/>
          <w:i/>
          <w:spacing w:val="-2"/>
          <w:sz w:val="18"/>
        </w:rPr>
      </w:pPr>
      <w:r w:rsidRPr="008E579F">
        <w:rPr>
          <w:rFonts w:cs="Arial"/>
          <w:i/>
          <w:spacing w:val="-2"/>
          <w:sz w:val="18"/>
        </w:rPr>
        <w:t>“What are the main challenges in the exercise of the breeder’s right in relation to the harvested material?</w:t>
      </w:r>
    </w:p>
    <w:p w:rsidR="006361E4" w:rsidRPr="008E579F" w:rsidRDefault="006361E4" w:rsidP="006361E4">
      <w:pPr>
        <w:pStyle w:val="ListParagraph"/>
        <w:keepNext/>
        <w:ind w:left="1494" w:right="639"/>
        <w:rPr>
          <w:rFonts w:cs="Arial"/>
          <w:sz w:val="18"/>
        </w:rPr>
      </w:pPr>
    </w:p>
    <w:p w:rsidR="006361E4" w:rsidRPr="008E579F" w:rsidRDefault="006361E4" w:rsidP="006361E4">
      <w:pPr>
        <w:pStyle w:val="ListParagraph"/>
        <w:keepLines/>
        <w:ind w:left="1908" w:right="639"/>
        <w:rPr>
          <w:rFonts w:cs="Arial"/>
          <w:sz w:val="18"/>
        </w:rPr>
      </w:pPr>
      <w:r w:rsidRPr="008E579F">
        <w:rPr>
          <w:rFonts w:cs="Arial"/>
          <w:sz w:val="18"/>
        </w:rPr>
        <w:t xml:space="preserve">“A common area of concern is lack of predictability concerning the breeder’s right in relation to the harvested material. </w:t>
      </w:r>
    </w:p>
    <w:p w:rsidR="006361E4" w:rsidRPr="008E579F" w:rsidRDefault="006361E4" w:rsidP="006361E4">
      <w:pPr>
        <w:pStyle w:val="ListParagraph"/>
        <w:ind w:left="1908" w:right="639"/>
        <w:rPr>
          <w:rFonts w:cs="Arial"/>
          <w:sz w:val="18"/>
        </w:rPr>
      </w:pPr>
    </w:p>
    <w:p w:rsidR="006361E4" w:rsidRPr="008E579F" w:rsidRDefault="006361E4" w:rsidP="006361E4">
      <w:pPr>
        <w:pStyle w:val="ListParagraph"/>
        <w:keepLines/>
        <w:ind w:left="1908" w:right="639"/>
        <w:rPr>
          <w:rFonts w:cs="Arial"/>
          <w:sz w:val="18"/>
        </w:rPr>
      </w:pPr>
      <w:r w:rsidRPr="008E579F">
        <w:rPr>
          <w:rFonts w:cs="Arial"/>
          <w:sz w:val="18"/>
        </w:rPr>
        <w:t>“For certain species, trees, once planted, can produce fruits for many years.  Therefore, a minimum scope of provisional protection and/or a narrow interpretation of “unauthorized use of propagating material” may not provide the means for the breeder to exercise and enforce their right in relation to the growing of the plants and producing and selling of the fruit.</w:t>
      </w:r>
    </w:p>
    <w:p w:rsidR="006361E4" w:rsidRPr="008E579F" w:rsidRDefault="006361E4" w:rsidP="006361E4">
      <w:pPr>
        <w:pStyle w:val="ListParagraph"/>
        <w:ind w:left="1494" w:right="639"/>
        <w:rPr>
          <w:rFonts w:cs="Arial"/>
          <w:sz w:val="18"/>
        </w:rPr>
      </w:pPr>
    </w:p>
    <w:p w:rsidR="006361E4" w:rsidRPr="008E579F" w:rsidRDefault="006361E4" w:rsidP="006361E4">
      <w:pPr>
        <w:pStyle w:val="ListParagraph"/>
        <w:keepNext/>
        <w:numPr>
          <w:ilvl w:val="0"/>
          <w:numId w:val="5"/>
        </w:numPr>
        <w:ind w:left="1494" w:right="639"/>
        <w:rPr>
          <w:rFonts w:cs="Arial"/>
          <w:sz w:val="18"/>
        </w:rPr>
      </w:pPr>
      <w:r w:rsidRPr="008E579F">
        <w:rPr>
          <w:rFonts w:cs="Arial"/>
          <w:spacing w:val="-4"/>
          <w:sz w:val="18"/>
        </w:rPr>
        <w:t>“</w:t>
      </w:r>
      <w:r w:rsidRPr="008E579F">
        <w:rPr>
          <w:rFonts w:cs="Arial"/>
          <w:i/>
          <w:spacing w:val="-4"/>
          <w:sz w:val="18"/>
        </w:rPr>
        <w:t>At the level of UPOV:  what solutions do you see for those challenges in the exercise of the breeder’s right</w:t>
      </w:r>
      <w:r w:rsidRPr="008E579F">
        <w:rPr>
          <w:rFonts w:cs="Arial"/>
          <w:i/>
          <w:sz w:val="18"/>
        </w:rPr>
        <w:t xml:space="preserve"> in relation to the harvested material?</w:t>
      </w:r>
    </w:p>
    <w:p w:rsidR="006361E4" w:rsidRPr="008E579F" w:rsidRDefault="006361E4" w:rsidP="006361E4">
      <w:pPr>
        <w:pStyle w:val="ListParagraph"/>
        <w:keepNext/>
        <w:ind w:left="1494" w:right="639"/>
        <w:rPr>
          <w:rFonts w:cs="Arial"/>
          <w:sz w:val="18"/>
        </w:rPr>
      </w:pPr>
    </w:p>
    <w:p w:rsidR="006361E4" w:rsidRPr="008E579F" w:rsidRDefault="006361E4" w:rsidP="006361E4">
      <w:pPr>
        <w:pStyle w:val="ListParagraph"/>
        <w:keepLines/>
        <w:ind w:left="1908" w:right="639"/>
        <w:rPr>
          <w:rFonts w:cs="Arial"/>
          <w:sz w:val="18"/>
        </w:rPr>
      </w:pPr>
      <w:r w:rsidRPr="008E579F">
        <w:rPr>
          <w:rFonts w:cs="Arial"/>
          <w:sz w:val="18"/>
        </w:rPr>
        <w:t xml:space="preserve">“Clear indication from presentations and discussions that guidance in the explanatory notes on harvested material would benefit from further clarification.  </w:t>
      </w:r>
    </w:p>
    <w:p w:rsidR="006361E4" w:rsidRPr="008E579F" w:rsidRDefault="006361E4" w:rsidP="006361E4">
      <w:pPr>
        <w:pStyle w:val="ListParagraph"/>
        <w:ind w:left="1908" w:right="639"/>
        <w:rPr>
          <w:rFonts w:cs="Arial"/>
          <w:sz w:val="18"/>
        </w:rPr>
      </w:pPr>
    </w:p>
    <w:p w:rsidR="006361E4" w:rsidRPr="008E579F" w:rsidRDefault="006361E4" w:rsidP="006361E4">
      <w:pPr>
        <w:pStyle w:val="ListParagraph"/>
        <w:keepNext/>
        <w:keepLines/>
        <w:ind w:left="1908" w:right="639"/>
        <w:rPr>
          <w:rFonts w:cs="Arial"/>
          <w:sz w:val="18"/>
        </w:rPr>
      </w:pPr>
      <w:r w:rsidRPr="008E579F">
        <w:rPr>
          <w:rFonts w:cs="Arial"/>
          <w:sz w:val="18"/>
        </w:rPr>
        <w:lastRenderedPageBreak/>
        <w:t>“To help to encourage the development of new varieties of plants, further guidance would be helpful on:</w:t>
      </w:r>
    </w:p>
    <w:p w:rsidR="006361E4" w:rsidRPr="008E579F" w:rsidRDefault="006361E4" w:rsidP="006361E4">
      <w:pPr>
        <w:pStyle w:val="ListParagraph"/>
        <w:keepNext/>
        <w:numPr>
          <w:ilvl w:val="2"/>
          <w:numId w:val="5"/>
        </w:numPr>
        <w:spacing w:before="120"/>
        <w:ind w:left="3352" w:right="639"/>
        <w:contextualSpacing w:val="0"/>
        <w:rPr>
          <w:rFonts w:cs="Arial"/>
          <w:sz w:val="18"/>
        </w:rPr>
      </w:pPr>
      <w:r w:rsidRPr="008E579F">
        <w:rPr>
          <w:rFonts w:cs="Arial"/>
          <w:sz w:val="18"/>
        </w:rPr>
        <w:t>“propagating material</w:t>
      </w:r>
    </w:p>
    <w:p w:rsidR="006361E4" w:rsidRPr="008E579F" w:rsidRDefault="006361E4" w:rsidP="006361E4">
      <w:pPr>
        <w:pStyle w:val="ListParagraph"/>
        <w:numPr>
          <w:ilvl w:val="2"/>
          <w:numId w:val="5"/>
        </w:numPr>
        <w:spacing w:before="120"/>
        <w:ind w:left="3352" w:right="639"/>
        <w:contextualSpacing w:val="0"/>
        <w:rPr>
          <w:rFonts w:cs="Arial"/>
          <w:sz w:val="18"/>
        </w:rPr>
      </w:pPr>
      <w:r w:rsidRPr="008E579F">
        <w:rPr>
          <w:rFonts w:cs="Arial"/>
          <w:sz w:val="18"/>
        </w:rPr>
        <w:t>“harvested material</w:t>
      </w:r>
    </w:p>
    <w:p w:rsidR="006361E4" w:rsidRPr="008E579F" w:rsidRDefault="006361E4" w:rsidP="006361E4">
      <w:pPr>
        <w:pStyle w:val="ListParagraph"/>
        <w:numPr>
          <w:ilvl w:val="2"/>
          <w:numId w:val="5"/>
        </w:numPr>
        <w:spacing w:before="120"/>
        <w:ind w:left="3352" w:right="639"/>
        <w:contextualSpacing w:val="0"/>
        <w:rPr>
          <w:rFonts w:cs="Arial"/>
          <w:sz w:val="18"/>
        </w:rPr>
      </w:pPr>
      <w:r w:rsidRPr="008E579F">
        <w:rPr>
          <w:rFonts w:cs="Arial"/>
          <w:sz w:val="18"/>
        </w:rPr>
        <w:t>“effective provisional protection</w:t>
      </w:r>
    </w:p>
    <w:p w:rsidR="006361E4" w:rsidRPr="008E579F" w:rsidRDefault="006361E4" w:rsidP="006361E4">
      <w:pPr>
        <w:pStyle w:val="ListParagraph"/>
        <w:numPr>
          <w:ilvl w:val="2"/>
          <w:numId w:val="5"/>
        </w:numPr>
        <w:spacing w:before="120"/>
        <w:ind w:left="3352" w:right="639"/>
        <w:contextualSpacing w:val="0"/>
        <w:rPr>
          <w:rFonts w:cs="Arial"/>
          <w:sz w:val="18"/>
        </w:rPr>
      </w:pPr>
      <w:r w:rsidRPr="008E579F">
        <w:rPr>
          <w:rFonts w:cs="Arial"/>
          <w:sz w:val="18"/>
        </w:rPr>
        <w:t>“notion of ‘unauthorized use of propagating material’</w:t>
      </w:r>
    </w:p>
    <w:p w:rsidR="001F7186" w:rsidRPr="008E579F" w:rsidRDefault="006361E4" w:rsidP="006361E4">
      <w:pPr>
        <w:pStyle w:val="ListParagraph"/>
        <w:numPr>
          <w:ilvl w:val="2"/>
          <w:numId w:val="5"/>
        </w:numPr>
        <w:spacing w:before="120"/>
        <w:ind w:left="3352" w:right="639"/>
        <w:contextualSpacing w:val="0"/>
        <w:rPr>
          <w:rFonts w:cs="Arial"/>
          <w:sz w:val="18"/>
        </w:rPr>
      </w:pPr>
      <w:r w:rsidRPr="008E579F">
        <w:rPr>
          <w:rFonts w:cs="Arial"/>
          <w:sz w:val="18"/>
        </w:rPr>
        <w:t>“</w:t>
      </w:r>
      <w:proofErr w:type="gramStart"/>
      <w:r w:rsidRPr="008E579F">
        <w:rPr>
          <w:rFonts w:cs="Arial"/>
          <w:spacing w:val="-4"/>
          <w:sz w:val="18"/>
        </w:rPr>
        <w:t>the</w:t>
      </w:r>
      <w:proofErr w:type="gramEnd"/>
      <w:r w:rsidRPr="008E579F">
        <w:rPr>
          <w:rFonts w:cs="Arial"/>
          <w:spacing w:val="-4"/>
          <w:sz w:val="18"/>
        </w:rPr>
        <w:t xml:space="preserve"> doctrine of exhaustion of rights in relation to the reversal of the burden of proof”</w:t>
      </w:r>
      <w:r w:rsidRPr="008E579F">
        <w:rPr>
          <w:rFonts w:cs="Arial"/>
        </w:rPr>
        <w:t>.</w:t>
      </w:r>
    </w:p>
    <w:p w:rsidR="001F7186" w:rsidRPr="00E44453" w:rsidRDefault="001F7186" w:rsidP="001F7186">
      <w:pPr>
        <w:rPr>
          <w:rFonts w:cs="Arial"/>
          <w:sz w:val="18"/>
          <w:u w:val="single"/>
        </w:rPr>
      </w:pPr>
    </w:p>
    <w:p w:rsidR="001F7186" w:rsidRPr="00E65BE1" w:rsidRDefault="001F7186" w:rsidP="001F7186">
      <w:pPr>
        <w:tabs>
          <w:tab w:val="left" w:pos="1134"/>
        </w:tabs>
        <w:ind w:firstLine="567"/>
        <w:rPr>
          <w:rFonts w:cs="Arial"/>
          <w:u w:val="single"/>
        </w:rPr>
      </w:pPr>
      <w:r w:rsidRPr="00E65BE1">
        <w:rPr>
          <w:rFonts w:cs="Arial"/>
        </w:rPr>
        <w:t xml:space="preserve">(b) </w:t>
      </w:r>
      <w:r w:rsidRPr="00E65BE1">
        <w:rPr>
          <w:rFonts w:cs="Arial"/>
        </w:rPr>
        <w:tab/>
      </w:r>
      <w:proofErr w:type="gramStart"/>
      <w:r w:rsidRPr="00E65BE1">
        <w:rPr>
          <w:rFonts w:cs="Arial"/>
        </w:rPr>
        <w:t>the</w:t>
      </w:r>
      <w:proofErr w:type="gramEnd"/>
      <w:r w:rsidRPr="00E65BE1">
        <w:rPr>
          <w:rFonts w:cs="Arial"/>
        </w:rPr>
        <w:t xml:space="preserve"> WG-</w:t>
      </w:r>
      <w:r w:rsidR="006361E4">
        <w:rPr>
          <w:rFonts w:cs="Arial"/>
        </w:rPr>
        <w:t>HRV</w:t>
      </w:r>
      <w:r w:rsidRPr="00E65BE1">
        <w:rPr>
          <w:rFonts w:cs="Arial"/>
        </w:rPr>
        <w:t xml:space="preserve"> to meet at a time and frequency to address its mandate, by physical and/or virtual means, as agreed by the WG-</w:t>
      </w:r>
      <w:r w:rsidR="006361E4">
        <w:rPr>
          <w:rFonts w:cs="Arial"/>
        </w:rPr>
        <w:t>HRV</w:t>
      </w:r>
      <w:r w:rsidRPr="00E65BE1">
        <w:rPr>
          <w:rFonts w:cs="Arial"/>
        </w:rPr>
        <w:t>;</w:t>
      </w:r>
    </w:p>
    <w:p w:rsidR="001F7186" w:rsidRPr="00E44453" w:rsidRDefault="001F7186" w:rsidP="001F7186">
      <w:pPr>
        <w:tabs>
          <w:tab w:val="left" w:pos="1134"/>
        </w:tabs>
        <w:rPr>
          <w:rFonts w:cs="Arial"/>
          <w:sz w:val="18"/>
          <w:u w:val="single"/>
        </w:rPr>
      </w:pPr>
    </w:p>
    <w:p w:rsidR="001F7186" w:rsidRPr="00E65BE1" w:rsidRDefault="001F7186" w:rsidP="001F7186">
      <w:pPr>
        <w:tabs>
          <w:tab w:val="left" w:pos="1134"/>
        </w:tabs>
        <w:ind w:firstLine="567"/>
        <w:rPr>
          <w:rFonts w:cs="Arial"/>
        </w:rPr>
      </w:pPr>
      <w:r w:rsidRPr="00E65BE1">
        <w:rPr>
          <w:rFonts w:cs="Arial"/>
        </w:rPr>
        <w:t xml:space="preserve">(c) </w:t>
      </w:r>
      <w:r w:rsidRPr="00E65BE1">
        <w:rPr>
          <w:rFonts w:cs="Arial"/>
        </w:rPr>
        <w:tab/>
      </w:r>
      <w:proofErr w:type="gramStart"/>
      <w:r w:rsidRPr="00E65BE1">
        <w:rPr>
          <w:rFonts w:cs="Arial"/>
        </w:rPr>
        <w:t>the</w:t>
      </w:r>
      <w:proofErr w:type="gramEnd"/>
      <w:r w:rsidRPr="00E65BE1">
        <w:rPr>
          <w:rFonts w:cs="Arial"/>
        </w:rPr>
        <w:t xml:space="preserve"> WG-</w:t>
      </w:r>
      <w:r w:rsidR="006361E4">
        <w:rPr>
          <w:rFonts w:cs="Arial"/>
        </w:rPr>
        <w:t>HRV</w:t>
      </w:r>
      <w:r w:rsidRPr="00E65BE1">
        <w:rPr>
          <w:rFonts w:cs="Arial"/>
        </w:rPr>
        <w:t xml:space="preserve"> to report to the CAJ on progress of its work and to seek further guidance from the CAJ, as appropriate;</w:t>
      </w:r>
    </w:p>
    <w:p w:rsidR="001F7186" w:rsidRPr="00E44453" w:rsidRDefault="001F7186" w:rsidP="001F7186">
      <w:pPr>
        <w:tabs>
          <w:tab w:val="left" w:pos="1134"/>
        </w:tabs>
        <w:rPr>
          <w:rFonts w:cs="Arial"/>
          <w:sz w:val="18"/>
        </w:rPr>
      </w:pPr>
    </w:p>
    <w:p w:rsidR="001F7186" w:rsidRPr="00E65BE1" w:rsidRDefault="001F7186" w:rsidP="001F7186">
      <w:pPr>
        <w:tabs>
          <w:tab w:val="left" w:pos="1134"/>
        </w:tabs>
        <w:ind w:firstLine="567"/>
        <w:rPr>
          <w:rFonts w:cs="Arial"/>
          <w:u w:val="single"/>
        </w:rPr>
      </w:pPr>
      <w:r w:rsidRPr="00E65BE1">
        <w:rPr>
          <w:rFonts w:cs="Arial"/>
        </w:rPr>
        <w:t>(d)</w:t>
      </w:r>
      <w:r w:rsidRPr="00E65BE1">
        <w:rPr>
          <w:rFonts w:cs="Arial"/>
        </w:rPr>
        <w:tab/>
        <w:t>WG-</w:t>
      </w:r>
      <w:r w:rsidR="006361E4">
        <w:rPr>
          <w:rFonts w:cs="Arial"/>
        </w:rPr>
        <w:t>HRV</w:t>
      </w:r>
      <w:r w:rsidRPr="00E65BE1">
        <w:rPr>
          <w:rFonts w:cs="Arial"/>
        </w:rPr>
        <w:t xml:space="preserve"> documents to </w:t>
      </w:r>
      <w:proofErr w:type="gramStart"/>
      <w:r w:rsidRPr="00E65BE1">
        <w:rPr>
          <w:rFonts w:cs="Arial"/>
        </w:rPr>
        <w:t>be made</w:t>
      </w:r>
      <w:proofErr w:type="gramEnd"/>
      <w:r w:rsidRPr="00E65BE1">
        <w:rPr>
          <w:rFonts w:cs="Arial"/>
        </w:rPr>
        <w:t xml:space="preserve"> available to the CAJ.</w:t>
      </w:r>
    </w:p>
    <w:p w:rsidR="001F7186" w:rsidRPr="00871EAB" w:rsidRDefault="001F7186" w:rsidP="00871EAB"/>
    <w:p w:rsidR="001F7186" w:rsidRPr="00871EAB" w:rsidRDefault="001F7186" w:rsidP="00871EAB"/>
    <w:p w:rsidR="001F7186" w:rsidRPr="00C5280D" w:rsidRDefault="001F7186" w:rsidP="001F7186">
      <w:pPr>
        <w:jc w:val="right"/>
      </w:pPr>
      <w:r>
        <w:rPr>
          <w:rFonts w:cs="Arial"/>
        </w:rPr>
        <w:t>[End of Annex</w:t>
      </w:r>
      <w:r w:rsidRPr="00E65BE1">
        <w:rPr>
          <w:rFonts w:cs="Arial"/>
        </w:rPr>
        <w:t xml:space="preserve"> and of document]</w:t>
      </w:r>
    </w:p>
    <w:p w:rsidR="00AF0D2E" w:rsidRPr="00AF0D2E" w:rsidRDefault="00AF0D2E" w:rsidP="00AF0D2E"/>
    <w:p w:rsidR="007C5CA5" w:rsidRPr="001F1829" w:rsidRDefault="007C5CA5" w:rsidP="001F7186">
      <w:pPr>
        <w:jc w:val="center"/>
      </w:pPr>
    </w:p>
    <w:sectPr w:rsidR="007C5CA5" w:rsidRPr="001F1829" w:rsidSect="0004198B">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191" w:rsidRDefault="00B95191" w:rsidP="006655D3">
      <w:r>
        <w:separator/>
      </w:r>
    </w:p>
    <w:p w:rsidR="00B95191" w:rsidRDefault="00B95191" w:rsidP="006655D3"/>
    <w:p w:rsidR="00B95191" w:rsidRDefault="00B95191" w:rsidP="006655D3"/>
  </w:endnote>
  <w:endnote w:type="continuationSeparator" w:id="0">
    <w:p w:rsidR="00B95191" w:rsidRDefault="00B95191" w:rsidP="006655D3">
      <w:r>
        <w:separator/>
      </w:r>
    </w:p>
    <w:p w:rsidR="00B95191" w:rsidRPr="00294751" w:rsidRDefault="00B95191">
      <w:pPr>
        <w:pStyle w:val="Footer"/>
        <w:spacing w:after="60"/>
        <w:rPr>
          <w:sz w:val="18"/>
          <w:lang w:val="fr-FR"/>
        </w:rPr>
      </w:pPr>
      <w:r w:rsidRPr="00294751">
        <w:rPr>
          <w:sz w:val="18"/>
          <w:lang w:val="fr-FR"/>
        </w:rPr>
        <w:t>[Suite de la note de la page précédente]</w:t>
      </w:r>
    </w:p>
    <w:p w:rsidR="00B95191" w:rsidRPr="00294751" w:rsidRDefault="00B95191" w:rsidP="006655D3">
      <w:pPr>
        <w:rPr>
          <w:lang w:val="fr-FR"/>
        </w:rPr>
      </w:pPr>
    </w:p>
    <w:p w:rsidR="00B95191" w:rsidRPr="00294751" w:rsidRDefault="00B95191" w:rsidP="006655D3">
      <w:pPr>
        <w:rPr>
          <w:lang w:val="fr-FR"/>
        </w:rPr>
      </w:pPr>
    </w:p>
  </w:endnote>
  <w:endnote w:type="continuationNotice" w:id="1">
    <w:p w:rsidR="00B95191" w:rsidRPr="00294751" w:rsidRDefault="00B95191" w:rsidP="006655D3">
      <w:pPr>
        <w:rPr>
          <w:lang w:val="fr-FR"/>
        </w:rPr>
      </w:pPr>
      <w:r w:rsidRPr="00294751">
        <w:rPr>
          <w:lang w:val="fr-FR"/>
        </w:rPr>
        <w:t>[Suite de la note page suivante]</w:t>
      </w:r>
    </w:p>
    <w:p w:rsidR="00B95191" w:rsidRPr="00294751" w:rsidRDefault="00B95191" w:rsidP="006655D3">
      <w:pPr>
        <w:rPr>
          <w:lang w:val="fr-FR"/>
        </w:rPr>
      </w:pPr>
    </w:p>
    <w:p w:rsidR="00B95191" w:rsidRPr="00294751" w:rsidRDefault="00B9519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191" w:rsidRDefault="00B95191" w:rsidP="006655D3">
      <w:r>
        <w:separator/>
      </w:r>
    </w:p>
  </w:footnote>
  <w:footnote w:type="continuationSeparator" w:id="0">
    <w:p w:rsidR="00B95191" w:rsidRDefault="00B95191" w:rsidP="006655D3">
      <w:r>
        <w:separator/>
      </w:r>
    </w:p>
  </w:footnote>
  <w:footnote w:type="continuationNotice" w:id="1">
    <w:p w:rsidR="00B95191" w:rsidRPr="00AB530F" w:rsidRDefault="00B95191" w:rsidP="00AB530F">
      <w:pPr>
        <w:pStyle w:val="Footer"/>
      </w:pPr>
    </w:p>
  </w:footnote>
  <w:footnote w:id="2">
    <w:p w:rsidR="00B95191" w:rsidRPr="00E30572" w:rsidRDefault="00B95191" w:rsidP="002F0EFB">
      <w:pPr>
        <w:pStyle w:val="FootnoteText"/>
      </w:pPr>
      <w:r>
        <w:rPr>
          <w:rStyle w:val="FootnoteReference"/>
        </w:rPr>
        <w:footnoteRef/>
      </w:r>
      <w:r>
        <w:t xml:space="preserve"> </w:t>
      </w:r>
      <w:r>
        <w:tab/>
        <w:t>H</w:t>
      </w:r>
      <w:r w:rsidRPr="00E30572">
        <w:rPr>
          <w:snapToGrid w:val="0"/>
        </w:rPr>
        <w:t>eld in Geneva on October 30, 2019</w:t>
      </w:r>
      <w:r>
        <w:rPr>
          <w:snapToGrid w:val="0"/>
        </w:rPr>
        <w:t>.</w:t>
      </w:r>
    </w:p>
  </w:footnote>
  <w:footnote w:id="3">
    <w:p w:rsidR="00B95191" w:rsidRPr="003950DD" w:rsidRDefault="00B95191">
      <w:pPr>
        <w:pStyle w:val="FootnoteText"/>
      </w:pPr>
      <w:r>
        <w:rPr>
          <w:rStyle w:val="FootnoteReference"/>
        </w:rPr>
        <w:footnoteRef/>
      </w:r>
      <w:r>
        <w:t xml:space="preserve"> </w:t>
      </w:r>
      <w:r w:rsidRPr="003950DD">
        <w:tab/>
      </w:r>
      <w:r>
        <w:t>H</w:t>
      </w:r>
      <w:r w:rsidRPr="00E30572">
        <w:rPr>
          <w:snapToGrid w:val="0"/>
        </w:rPr>
        <w:t xml:space="preserve">eld </w:t>
      </w:r>
      <w:r>
        <w:rPr>
          <w:snapToGrid w:val="0"/>
        </w:rPr>
        <w:t>via electronic means</w:t>
      </w:r>
      <w:r w:rsidRPr="00E30572">
        <w:rPr>
          <w:snapToGrid w:val="0"/>
        </w:rPr>
        <w:t xml:space="preserve"> on </w:t>
      </w:r>
      <w:r w:rsidRPr="003950DD">
        <w:rPr>
          <w:snapToGrid w:val="0"/>
        </w:rPr>
        <w:t>October 30, 2020</w:t>
      </w:r>
      <w:r>
        <w:rPr>
          <w:snapToGrid w:val="0"/>
        </w:rPr>
        <w:t>.</w:t>
      </w:r>
    </w:p>
  </w:footnote>
  <w:footnote w:id="4">
    <w:p w:rsidR="00B95191" w:rsidRPr="00E2280C" w:rsidRDefault="00B95191">
      <w:pPr>
        <w:pStyle w:val="FootnoteText"/>
      </w:pPr>
      <w:r>
        <w:rPr>
          <w:rStyle w:val="FootnoteReference"/>
        </w:rPr>
        <w:footnoteRef/>
      </w:r>
      <w:r>
        <w:t xml:space="preserve"> </w:t>
      </w:r>
      <w:r w:rsidRPr="00E2280C">
        <w:tab/>
        <w:t>Held via electronic means on October 28, 2020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191" w:rsidRPr="00C5280D" w:rsidRDefault="00B95191" w:rsidP="00EB048E">
    <w:pPr>
      <w:pStyle w:val="Header"/>
      <w:rPr>
        <w:rStyle w:val="PageNumber"/>
        <w:lang w:val="en-US"/>
      </w:rPr>
    </w:pPr>
    <w:r>
      <w:rPr>
        <w:rStyle w:val="PageNumber"/>
        <w:lang w:val="en-US"/>
      </w:rPr>
      <w:t>CAJ/78/5</w:t>
    </w:r>
  </w:p>
  <w:p w:rsidR="00B95191" w:rsidRPr="00C5280D" w:rsidRDefault="00B9519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15592">
      <w:rPr>
        <w:rStyle w:val="PageNumber"/>
        <w:noProof/>
        <w:lang w:val="en-US"/>
      </w:rPr>
      <w:t>2</w:t>
    </w:r>
    <w:r w:rsidRPr="00C5280D">
      <w:rPr>
        <w:rStyle w:val="PageNumber"/>
        <w:lang w:val="en-US"/>
      </w:rPr>
      <w:fldChar w:fldCharType="end"/>
    </w:r>
  </w:p>
  <w:p w:rsidR="00B95191" w:rsidRPr="00C5280D" w:rsidRDefault="00B95191"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191" w:rsidRPr="002F0EFB" w:rsidRDefault="00B95191" w:rsidP="002F0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191" w:rsidRPr="00C5280D" w:rsidRDefault="00B95191" w:rsidP="00EB048E">
    <w:pPr>
      <w:pStyle w:val="Header"/>
      <w:rPr>
        <w:rStyle w:val="PageNumber"/>
        <w:lang w:val="en-US"/>
      </w:rPr>
    </w:pPr>
    <w:r>
      <w:rPr>
        <w:rStyle w:val="PageNumber"/>
        <w:lang w:val="en-US"/>
      </w:rPr>
      <w:t>CAJ/78/5</w:t>
    </w:r>
  </w:p>
  <w:p w:rsidR="00B95191" w:rsidRPr="00C5280D" w:rsidRDefault="00B95191"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15592">
      <w:rPr>
        <w:rStyle w:val="PageNumber"/>
        <w:noProof/>
        <w:lang w:val="en-US"/>
      </w:rPr>
      <w:t>2</w:t>
    </w:r>
    <w:r w:rsidRPr="00C5280D">
      <w:rPr>
        <w:rStyle w:val="PageNumber"/>
        <w:lang w:val="en-US"/>
      </w:rPr>
      <w:fldChar w:fldCharType="end"/>
    </w:r>
  </w:p>
  <w:p w:rsidR="00B95191" w:rsidRPr="00C5280D" w:rsidRDefault="00B95191"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191" w:rsidRPr="00AF32BD" w:rsidRDefault="00B95191" w:rsidP="001F7186">
    <w:pPr>
      <w:pStyle w:val="Header"/>
      <w:rPr>
        <w:lang w:val="en-US"/>
      </w:rPr>
    </w:pPr>
    <w:r w:rsidRPr="00AF32BD">
      <w:rPr>
        <w:lang w:val="en-US"/>
      </w:rPr>
      <w:t>CAJ/7</w:t>
    </w:r>
    <w:r>
      <w:rPr>
        <w:lang w:val="en-US"/>
      </w:rPr>
      <w:t>8/5</w:t>
    </w:r>
  </w:p>
  <w:p w:rsidR="00B95191" w:rsidRDefault="00B95191" w:rsidP="001F7186">
    <w:pPr>
      <w:jc w:val="center"/>
    </w:pPr>
  </w:p>
  <w:p w:rsidR="00B95191" w:rsidRPr="00535B8D" w:rsidRDefault="00B95191" w:rsidP="001F7186">
    <w:pPr>
      <w:jc w:val="center"/>
    </w:pPr>
    <w:r>
      <w:t xml:space="preserve">ANNEX </w:t>
    </w:r>
  </w:p>
  <w:p w:rsidR="00B95191" w:rsidRPr="002F0EFB" w:rsidRDefault="00B95191" w:rsidP="002F0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3D18"/>
    <w:multiLevelType w:val="hybridMultilevel"/>
    <w:tmpl w:val="1C9E5454"/>
    <w:lvl w:ilvl="0" w:tplc="BE8A24A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409F4"/>
    <w:multiLevelType w:val="hybridMultilevel"/>
    <w:tmpl w:val="6F080BB4"/>
    <w:lvl w:ilvl="0" w:tplc="D88E60AE">
      <w:start w:val="1"/>
      <w:numFmt w:val="lowerLetter"/>
      <w:lvlText w:val="(%1)"/>
      <w:lvlJc w:val="left"/>
      <w:pPr>
        <w:ind w:left="5830" w:hanging="44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09A06464"/>
    <w:multiLevelType w:val="hybridMultilevel"/>
    <w:tmpl w:val="DCD8E612"/>
    <w:lvl w:ilvl="0" w:tplc="3332718E">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78450F"/>
    <w:multiLevelType w:val="hybridMultilevel"/>
    <w:tmpl w:val="4100185C"/>
    <w:lvl w:ilvl="0" w:tplc="0F1863FC">
      <w:start w:val="4"/>
      <w:numFmt w:val="lowerRoman"/>
      <w:lvlText w:val="(%1)"/>
      <w:lvlJc w:val="left"/>
      <w:pPr>
        <w:ind w:left="6674" w:hanging="720"/>
      </w:pPr>
      <w:rPr>
        <w:rFonts w:hint="default"/>
      </w:rPr>
    </w:lvl>
    <w:lvl w:ilvl="1" w:tplc="04090019" w:tentative="1">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abstractNum w:abstractNumId="4" w15:restartNumberingAfterBreak="0">
    <w:nsid w:val="13402F69"/>
    <w:multiLevelType w:val="hybridMultilevel"/>
    <w:tmpl w:val="88768E50"/>
    <w:lvl w:ilvl="0" w:tplc="D598A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E6C84"/>
    <w:multiLevelType w:val="hybridMultilevel"/>
    <w:tmpl w:val="0A560710"/>
    <w:lvl w:ilvl="0" w:tplc="AA66A0B6">
      <w:start w:val="1"/>
      <w:numFmt w:val="lowerRoman"/>
      <w:lvlText w:val="(%1)"/>
      <w:lvlJc w:val="left"/>
      <w:pPr>
        <w:ind w:left="6550" w:hanging="720"/>
      </w:pPr>
      <w:rPr>
        <w:rFonts w:hint="default"/>
      </w:rPr>
    </w:lvl>
    <w:lvl w:ilvl="1" w:tplc="04090019" w:tentative="1">
      <w:start w:val="1"/>
      <w:numFmt w:val="lowerLetter"/>
      <w:lvlText w:val="%2."/>
      <w:lvlJc w:val="left"/>
      <w:pPr>
        <w:ind w:left="6910" w:hanging="360"/>
      </w:pPr>
    </w:lvl>
    <w:lvl w:ilvl="2" w:tplc="0409001B" w:tentative="1">
      <w:start w:val="1"/>
      <w:numFmt w:val="lowerRoman"/>
      <w:lvlText w:val="%3."/>
      <w:lvlJc w:val="right"/>
      <w:pPr>
        <w:ind w:left="7630" w:hanging="180"/>
      </w:pPr>
    </w:lvl>
    <w:lvl w:ilvl="3" w:tplc="0409000F" w:tentative="1">
      <w:start w:val="1"/>
      <w:numFmt w:val="decimal"/>
      <w:lvlText w:val="%4."/>
      <w:lvlJc w:val="left"/>
      <w:pPr>
        <w:ind w:left="8350" w:hanging="360"/>
      </w:pPr>
    </w:lvl>
    <w:lvl w:ilvl="4" w:tplc="04090019" w:tentative="1">
      <w:start w:val="1"/>
      <w:numFmt w:val="lowerLetter"/>
      <w:lvlText w:val="%5."/>
      <w:lvlJc w:val="left"/>
      <w:pPr>
        <w:ind w:left="9070" w:hanging="360"/>
      </w:pPr>
    </w:lvl>
    <w:lvl w:ilvl="5" w:tplc="0409001B" w:tentative="1">
      <w:start w:val="1"/>
      <w:numFmt w:val="lowerRoman"/>
      <w:lvlText w:val="%6."/>
      <w:lvlJc w:val="right"/>
      <w:pPr>
        <w:ind w:left="9790" w:hanging="180"/>
      </w:pPr>
    </w:lvl>
    <w:lvl w:ilvl="6" w:tplc="0409000F" w:tentative="1">
      <w:start w:val="1"/>
      <w:numFmt w:val="decimal"/>
      <w:lvlText w:val="%7."/>
      <w:lvlJc w:val="left"/>
      <w:pPr>
        <w:ind w:left="10510" w:hanging="360"/>
      </w:pPr>
    </w:lvl>
    <w:lvl w:ilvl="7" w:tplc="04090019" w:tentative="1">
      <w:start w:val="1"/>
      <w:numFmt w:val="lowerLetter"/>
      <w:lvlText w:val="%8."/>
      <w:lvlJc w:val="left"/>
      <w:pPr>
        <w:ind w:left="11230" w:hanging="360"/>
      </w:pPr>
    </w:lvl>
    <w:lvl w:ilvl="8" w:tplc="0409001B" w:tentative="1">
      <w:start w:val="1"/>
      <w:numFmt w:val="lowerRoman"/>
      <w:lvlText w:val="%9."/>
      <w:lvlJc w:val="right"/>
      <w:pPr>
        <w:ind w:left="11950" w:hanging="180"/>
      </w:pPr>
    </w:lvl>
  </w:abstractNum>
  <w:abstractNum w:abstractNumId="6" w15:restartNumberingAfterBreak="0">
    <w:nsid w:val="35646FAF"/>
    <w:multiLevelType w:val="hybridMultilevel"/>
    <w:tmpl w:val="C5644080"/>
    <w:lvl w:ilvl="0" w:tplc="ECD4085A">
      <w:start w:val="1"/>
      <w:numFmt w:val="lowerLetter"/>
      <w:lvlText w:val="(%1)"/>
      <w:lvlJc w:val="left"/>
      <w:pPr>
        <w:ind w:left="1143" w:hanging="576"/>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C86A49"/>
    <w:multiLevelType w:val="hybridMultilevel"/>
    <w:tmpl w:val="92DCAAF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4CB45753"/>
    <w:multiLevelType w:val="hybridMultilevel"/>
    <w:tmpl w:val="89FABD9C"/>
    <w:lvl w:ilvl="0" w:tplc="0F76742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E604D6B"/>
    <w:multiLevelType w:val="hybridMultilevel"/>
    <w:tmpl w:val="BFFEE91C"/>
    <w:lvl w:ilvl="0" w:tplc="4636028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1FC5D2C"/>
    <w:multiLevelType w:val="hybridMultilevel"/>
    <w:tmpl w:val="66986286"/>
    <w:lvl w:ilvl="0" w:tplc="2084F23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D6F7A35"/>
    <w:multiLevelType w:val="hybridMultilevel"/>
    <w:tmpl w:val="633EA0B6"/>
    <w:lvl w:ilvl="0" w:tplc="F8CC369C">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15:restartNumberingAfterBreak="0">
    <w:nsid w:val="78D1451F"/>
    <w:multiLevelType w:val="hybridMultilevel"/>
    <w:tmpl w:val="E21CC73A"/>
    <w:lvl w:ilvl="0" w:tplc="EBA82A4A">
      <w:start w:val="1"/>
      <w:numFmt w:val="lowerLetter"/>
      <w:lvlText w:val="(%1)"/>
      <w:lvlJc w:val="left"/>
      <w:pPr>
        <w:ind w:left="5950" w:hanging="5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4" w15:restartNumberingAfterBreak="0">
    <w:nsid w:val="7C9401B8"/>
    <w:multiLevelType w:val="hybridMultilevel"/>
    <w:tmpl w:val="85DE0FC4"/>
    <w:lvl w:ilvl="0" w:tplc="6AEEBE0C">
      <w:start w:val="1"/>
      <w:numFmt w:val="lowerLetter"/>
      <w:lvlText w:val="(%1)"/>
      <w:lvlJc w:val="left"/>
      <w:pPr>
        <w:ind w:left="1130" w:hanging="590"/>
      </w:pPr>
      <w:rPr>
        <w:rFonts w:cs="Arial"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0"/>
  </w:num>
  <w:num w:numId="3">
    <w:abstractNumId w:val="11"/>
  </w:num>
  <w:num w:numId="4">
    <w:abstractNumId w:val="4"/>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3"/>
  </w:num>
  <w:num w:numId="10">
    <w:abstractNumId w:val="10"/>
  </w:num>
  <w:num w:numId="11">
    <w:abstractNumId w:val="14"/>
  </w:num>
  <w:num w:numId="12">
    <w:abstractNumId w:val="13"/>
  </w:num>
  <w:num w:numId="13">
    <w:abstractNumId w:val="1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6F"/>
    <w:rsid w:val="00010CF3"/>
    <w:rsid w:val="00011E27"/>
    <w:rsid w:val="000148BC"/>
    <w:rsid w:val="00017DB3"/>
    <w:rsid w:val="00021B2E"/>
    <w:rsid w:val="00024AB8"/>
    <w:rsid w:val="00030854"/>
    <w:rsid w:val="00036028"/>
    <w:rsid w:val="00036A34"/>
    <w:rsid w:val="0004198B"/>
    <w:rsid w:val="00044642"/>
    <w:rsid w:val="000446B9"/>
    <w:rsid w:val="00047E21"/>
    <w:rsid w:val="00050E16"/>
    <w:rsid w:val="00085505"/>
    <w:rsid w:val="0009192B"/>
    <w:rsid w:val="0009638D"/>
    <w:rsid w:val="000B6EC0"/>
    <w:rsid w:val="000C14A1"/>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A3E71"/>
    <w:rsid w:val="001B6832"/>
    <w:rsid w:val="001C1525"/>
    <w:rsid w:val="001C3496"/>
    <w:rsid w:val="001D30AA"/>
    <w:rsid w:val="001E6650"/>
    <w:rsid w:val="001F1829"/>
    <w:rsid w:val="001F7186"/>
    <w:rsid w:val="00210079"/>
    <w:rsid w:val="0021332C"/>
    <w:rsid w:val="00213982"/>
    <w:rsid w:val="00217E8B"/>
    <w:rsid w:val="00227F5C"/>
    <w:rsid w:val="0024416D"/>
    <w:rsid w:val="002631A8"/>
    <w:rsid w:val="00271911"/>
    <w:rsid w:val="00273187"/>
    <w:rsid w:val="002800A0"/>
    <w:rsid w:val="002801B3"/>
    <w:rsid w:val="00281060"/>
    <w:rsid w:val="00285BD0"/>
    <w:rsid w:val="002940E8"/>
    <w:rsid w:val="00294751"/>
    <w:rsid w:val="002A6E50"/>
    <w:rsid w:val="002B4298"/>
    <w:rsid w:val="002B55A8"/>
    <w:rsid w:val="002B7A36"/>
    <w:rsid w:val="002C256A"/>
    <w:rsid w:val="002D5226"/>
    <w:rsid w:val="002F0EFB"/>
    <w:rsid w:val="00305A7F"/>
    <w:rsid w:val="003152FE"/>
    <w:rsid w:val="00326BF0"/>
    <w:rsid w:val="00327436"/>
    <w:rsid w:val="00340AD8"/>
    <w:rsid w:val="00344893"/>
    <w:rsid w:val="00344BD6"/>
    <w:rsid w:val="0035528D"/>
    <w:rsid w:val="00361821"/>
    <w:rsid w:val="00361E9E"/>
    <w:rsid w:val="00372A51"/>
    <w:rsid w:val="003753EE"/>
    <w:rsid w:val="003806B9"/>
    <w:rsid w:val="003950DD"/>
    <w:rsid w:val="00396F23"/>
    <w:rsid w:val="003A0835"/>
    <w:rsid w:val="003A5AAF"/>
    <w:rsid w:val="003B6DB9"/>
    <w:rsid w:val="003B700A"/>
    <w:rsid w:val="003C7FBE"/>
    <w:rsid w:val="003D227C"/>
    <w:rsid w:val="003D2B4D"/>
    <w:rsid w:val="003E3D09"/>
    <w:rsid w:val="003F37F5"/>
    <w:rsid w:val="004142FE"/>
    <w:rsid w:val="00432346"/>
    <w:rsid w:val="00444A88"/>
    <w:rsid w:val="00470CF4"/>
    <w:rsid w:val="00474DA4"/>
    <w:rsid w:val="00476B4D"/>
    <w:rsid w:val="004805FA"/>
    <w:rsid w:val="00482D8A"/>
    <w:rsid w:val="004935D2"/>
    <w:rsid w:val="004B1215"/>
    <w:rsid w:val="004C7047"/>
    <w:rsid w:val="004D047D"/>
    <w:rsid w:val="004D536B"/>
    <w:rsid w:val="004E6CEE"/>
    <w:rsid w:val="004F1E9E"/>
    <w:rsid w:val="004F305A"/>
    <w:rsid w:val="00512164"/>
    <w:rsid w:val="00520297"/>
    <w:rsid w:val="00526DC7"/>
    <w:rsid w:val="005338F9"/>
    <w:rsid w:val="0054281C"/>
    <w:rsid w:val="00544581"/>
    <w:rsid w:val="0055268D"/>
    <w:rsid w:val="00575DE2"/>
    <w:rsid w:val="00576BE4"/>
    <w:rsid w:val="005779DB"/>
    <w:rsid w:val="005A07C6"/>
    <w:rsid w:val="005A400A"/>
    <w:rsid w:val="005B269D"/>
    <w:rsid w:val="005F7B92"/>
    <w:rsid w:val="00612379"/>
    <w:rsid w:val="00614318"/>
    <w:rsid w:val="006153B6"/>
    <w:rsid w:val="0061555F"/>
    <w:rsid w:val="006245ED"/>
    <w:rsid w:val="00630535"/>
    <w:rsid w:val="006345DC"/>
    <w:rsid w:val="006361E4"/>
    <w:rsid w:val="00636CA6"/>
    <w:rsid w:val="00641200"/>
    <w:rsid w:val="00645CA8"/>
    <w:rsid w:val="006655D3"/>
    <w:rsid w:val="00667404"/>
    <w:rsid w:val="00687EB4"/>
    <w:rsid w:val="00695C56"/>
    <w:rsid w:val="006A3A19"/>
    <w:rsid w:val="006A5CDE"/>
    <w:rsid w:val="006A644A"/>
    <w:rsid w:val="006B17D2"/>
    <w:rsid w:val="006C224E"/>
    <w:rsid w:val="006D780A"/>
    <w:rsid w:val="007114A0"/>
    <w:rsid w:val="0071271E"/>
    <w:rsid w:val="00712F36"/>
    <w:rsid w:val="00732DEC"/>
    <w:rsid w:val="00735BD5"/>
    <w:rsid w:val="007451EC"/>
    <w:rsid w:val="00751613"/>
    <w:rsid w:val="00753EE9"/>
    <w:rsid w:val="007556F6"/>
    <w:rsid w:val="00760EEF"/>
    <w:rsid w:val="007651C3"/>
    <w:rsid w:val="00766926"/>
    <w:rsid w:val="00777EE5"/>
    <w:rsid w:val="00784836"/>
    <w:rsid w:val="0079023E"/>
    <w:rsid w:val="007957F9"/>
    <w:rsid w:val="007A2854"/>
    <w:rsid w:val="007C1D92"/>
    <w:rsid w:val="007C4CB9"/>
    <w:rsid w:val="007C5CA5"/>
    <w:rsid w:val="007D0B9D"/>
    <w:rsid w:val="007D19B0"/>
    <w:rsid w:val="007F498F"/>
    <w:rsid w:val="0080679D"/>
    <w:rsid w:val="008108B0"/>
    <w:rsid w:val="00811B20"/>
    <w:rsid w:val="00812609"/>
    <w:rsid w:val="008211B5"/>
    <w:rsid w:val="0082296E"/>
    <w:rsid w:val="00823404"/>
    <w:rsid w:val="00824099"/>
    <w:rsid w:val="008456ED"/>
    <w:rsid w:val="00846D7C"/>
    <w:rsid w:val="00867AC1"/>
    <w:rsid w:val="00871EAB"/>
    <w:rsid w:val="008751DE"/>
    <w:rsid w:val="00890305"/>
    <w:rsid w:val="00890DF8"/>
    <w:rsid w:val="008A0ADE"/>
    <w:rsid w:val="008A743F"/>
    <w:rsid w:val="008A792A"/>
    <w:rsid w:val="008C0970"/>
    <w:rsid w:val="008D0BC5"/>
    <w:rsid w:val="008D2CF7"/>
    <w:rsid w:val="008E579F"/>
    <w:rsid w:val="00900C26"/>
    <w:rsid w:val="0090197F"/>
    <w:rsid w:val="00903264"/>
    <w:rsid w:val="00906DDC"/>
    <w:rsid w:val="00913ABB"/>
    <w:rsid w:val="00934E09"/>
    <w:rsid w:val="00936253"/>
    <w:rsid w:val="00940D46"/>
    <w:rsid w:val="009413F1"/>
    <w:rsid w:val="00951840"/>
    <w:rsid w:val="00952DD4"/>
    <w:rsid w:val="009561F4"/>
    <w:rsid w:val="00965AE7"/>
    <w:rsid w:val="00970FED"/>
    <w:rsid w:val="00987068"/>
    <w:rsid w:val="00992D82"/>
    <w:rsid w:val="00997029"/>
    <w:rsid w:val="009A7339"/>
    <w:rsid w:val="009B440E"/>
    <w:rsid w:val="009D690D"/>
    <w:rsid w:val="009D73AB"/>
    <w:rsid w:val="009E65B6"/>
    <w:rsid w:val="009F0A51"/>
    <w:rsid w:val="009F77CF"/>
    <w:rsid w:val="00A07047"/>
    <w:rsid w:val="00A11F0F"/>
    <w:rsid w:val="00A24C10"/>
    <w:rsid w:val="00A33329"/>
    <w:rsid w:val="00A3664D"/>
    <w:rsid w:val="00A42AC3"/>
    <w:rsid w:val="00A430CF"/>
    <w:rsid w:val="00A54309"/>
    <w:rsid w:val="00A610A9"/>
    <w:rsid w:val="00A80F2A"/>
    <w:rsid w:val="00A85BD3"/>
    <w:rsid w:val="00A9460C"/>
    <w:rsid w:val="00A96C33"/>
    <w:rsid w:val="00AB2B93"/>
    <w:rsid w:val="00AB530F"/>
    <w:rsid w:val="00AB7E5B"/>
    <w:rsid w:val="00AC2883"/>
    <w:rsid w:val="00AE0EF1"/>
    <w:rsid w:val="00AE2937"/>
    <w:rsid w:val="00AE2AB1"/>
    <w:rsid w:val="00AF0D2E"/>
    <w:rsid w:val="00AF789F"/>
    <w:rsid w:val="00B07301"/>
    <w:rsid w:val="00B11F3E"/>
    <w:rsid w:val="00B12A17"/>
    <w:rsid w:val="00B224DE"/>
    <w:rsid w:val="00B27ADD"/>
    <w:rsid w:val="00B324D4"/>
    <w:rsid w:val="00B442A3"/>
    <w:rsid w:val="00B46575"/>
    <w:rsid w:val="00B61777"/>
    <w:rsid w:val="00B622E6"/>
    <w:rsid w:val="00B76311"/>
    <w:rsid w:val="00B83E82"/>
    <w:rsid w:val="00B84BBD"/>
    <w:rsid w:val="00B95191"/>
    <w:rsid w:val="00BA126B"/>
    <w:rsid w:val="00BA43FB"/>
    <w:rsid w:val="00BB67E9"/>
    <w:rsid w:val="00BC0AA6"/>
    <w:rsid w:val="00BC127D"/>
    <w:rsid w:val="00BC1FE6"/>
    <w:rsid w:val="00BC79DA"/>
    <w:rsid w:val="00C00B09"/>
    <w:rsid w:val="00C050F2"/>
    <w:rsid w:val="00C061B6"/>
    <w:rsid w:val="00C15B70"/>
    <w:rsid w:val="00C21E28"/>
    <w:rsid w:val="00C2446C"/>
    <w:rsid w:val="00C36AE5"/>
    <w:rsid w:val="00C41F17"/>
    <w:rsid w:val="00C527FA"/>
    <w:rsid w:val="00C5280D"/>
    <w:rsid w:val="00C53EB3"/>
    <w:rsid w:val="00C5791C"/>
    <w:rsid w:val="00C66290"/>
    <w:rsid w:val="00C72B7A"/>
    <w:rsid w:val="00C87E55"/>
    <w:rsid w:val="00C92634"/>
    <w:rsid w:val="00C973F2"/>
    <w:rsid w:val="00CA304C"/>
    <w:rsid w:val="00CA774A"/>
    <w:rsid w:val="00CB4921"/>
    <w:rsid w:val="00CB5A6B"/>
    <w:rsid w:val="00CC11B0"/>
    <w:rsid w:val="00CC15A7"/>
    <w:rsid w:val="00CC2841"/>
    <w:rsid w:val="00CD5D9F"/>
    <w:rsid w:val="00CE28D4"/>
    <w:rsid w:val="00CF1330"/>
    <w:rsid w:val="00CF7E36"/>
    <w:rsid w:val="00D15592"/>
    <w:rsid w:val="00D15C62"/>
    <w:rsid w:val="00D2239F"/>
    <w:rsid w:val="00D3708D"/>
    <w:rsid w:val="00D40426"/>
    <w:rsid w:val="00D47434"/>
    <w:rsid w:val="00D550F2"/>
    <w:rsid w:val="00D57C96"/>
    <w:rsid w:val="00D57D18"/>
    <w:rsid w:val="00D70E65"/>
    <w:rsid w:val="00D82C8C"/>
    <w:rsid w:val="00D91203"/>
    <w:rsid w:val="00D95174"/>
    <w:rsid w:val="00DA4973"/>
    <w:rsid w:val="00DA63A8"/>
    <w:rsid w:val="00DA6F36"/>
    <w:rsid w:val="00DB596E"/>
    <w:rsid w:val="00DB7404"/>
    <w:rsid w:val="00DB7773"/>
    <w:rsid w:val="00DC00EA"/>
    <w:rsid w:val="00DC3802"/>
    <w:rsid w:val="00DD6208"/>
    <w:rsid w:val="00DF7E99"/>
    <w:rsid w:val="00E07D87"/>
    <w:rsid w:val="00E1666F"/>
    <w:rsid w:val="00E2280C"/>
    <w:rsid w:val="00E249C8"/>
    <w:rsid w:val="00E32F7E"/>
    <w:rsid w:val="00E5267B"/>
    <w:rsid w:val="00E559F0"/>
    <w:rsid w:val="00E63C0E"/>
    <w:rsid w:val="00E72D49"/>
    <w:rsid w:val="00E7593C"/>
    <w:rsid w:val="00E7678A"/>
    <w:rsid w:val="00E935F1"/>
    <w:rsid w:val="00E94A81"/>
    <w:rsid w:val="00E95970"/>
    <w:rsid w:val="00EA002B"/>
    <w:rsid w:val="00EA1FFB"/>
    <w:rsid w:val="00EB048E"/>
    <w:rsid w:val="00EB4E9C"/>
    <w:rsid w:val="00EE33F6"/>
    <w:rsid w:val="00EE34DF"/>
    <w:rsid w:val="00EF2F89"/>
    <w:rsid w:val="00EF33BE"/>
    <w:rsid w:val="00F03E98"/>
    <w:rsid w:val="00F1237A"/>
    <w:rsid w:val="00F22CBD"/>
    <w:rsid w:val="00F272F1"/>
    <w:rsid w:val="00F31412"/>
    <w:rsid w:val="00F45372"/>
    <w:rsid w:val="00F560F7"/>
    <w:rsid w:val="00F6334D"/>
    <w:rsid w:val="00F63599"/>
    <w:rsid w:val="00F64174"/>
    <w:rsid w:val="00F71781"/>
    <w:rsid w:val="00F752CB"/>
    <w:rsid w:val="00FA0B34"/>
    <w:rsid w:val="00FA49AB"/>
    <w:rsid w:val="00FC0365"/>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741FB581-1A6B-4E90-982D-F7F6B90A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AF0D2E"/>
    <w:pPr>
      <w:ind w:right="567"/>
      <w:jc w:val="both"/>
      <w:outlineLvl w:val="0"/>
    </w:pPr>
    <w:rPr>
      <w:rFonts w:ascii="Arial" w:hAnsi="Arial"/>
      <w:caps/>
      <w:szCs w:val="18"/>
    </w:rPr>
  </w:style>
  <w:style w:type="paragraph" w:styleId="Heading2">
    <w:name w:val="heading 2"/>
    <w:next w:val="Normal"/>
    <w:link w:val="Heading2Char"/>
    <w:autoRedefine/>
    <w:qFormat/>
    <w:rsid w:val="00A3664D"/>
    <w:pPr>
      <w:keepNext/>
      <w:jc w:val="both"/>
      <w:outlineLvl w:val="1"/>
    </w:pPr>
    <w:rPr>
      <w:rFonts w:ascii="Arial" w:hAnsi="Arial"/>
      <w:snapToGrid w:val="0"/>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AF0D2E"/>
    <w:pPr>
      <w:tabs>
        <w:tab w:val="right" w:leader="dot" w:pos="9639"/>
      </w:tabs>
      <w:spacing w:before="60"/>
      <w:ind w:left="720"/>
    </w:pPr>
    <w:rPr>
      <w:rFonts w:ascii="Arial" w:hAnsi="Arial"/>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017DB3"/>
    <w:pPr>
      <w:keepNext/>
      <w:tabs>
        <w:tab w:val="right" w:leader="dot" w:pos="9639"/>
      </w:tabs>
      <w:spacing w:before="120"/>
    </w:pPr>
    <w:rPr>
      <w:rFonts w:ascii="Arial" w:hAnsi="Arial"/>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AF0D2E"/>
    <w:rPr>
      <w:rFonts w:ascii="Arial" w:hAnsi="Arial"/>
      <w:caps/>
      <w:szCs w:val="18"/>
    </w:rPr>
  </w:style>
  <w:style w:type="character" w:customStyle="1" w:styleId="FootnoteTextChar">
    <w:name w:val="Footnote Text Char"/>
    <w:link w:val="FootnoteText"/>
    <w:rsid w:val="00210079"/>
    <w:rPr>
      <w:rFonts w:ascii="Arial" w:hAnsi="Arial"/>
      <w:sz w:val="16"/>
    </w:rPr>
  </w:style>
  <w:style w:type="paragraph" w:styleId="ListParagraph">
    <w:name w:val="List Paragraph"/>
    <w:basedOn w:val="Normal"/>
    <w:uiPriority w:val="34"/>
    <w:qFormat/>
    <w:rsid w:val="00210079"/>
    <w:pPr>
      <w:ind w:left="720"/>
      <w:contextualSpacing/>
    </w:pPr>
  </w:style>
  <w:style w:type="character" w:customStyle="1" w:styleId="Heading2Char">
    <w:name w:val="Heading 2 Char"/>
    <w:basedOn w:val="DefaultParagraphFont"/>
    <w:link w:val="Heading2"/>
    <w:rsid w:val="00A3664D"/>
    <w:rPr>
      <w:rFonts w:ascii="Arial" w:hAnsi="Arial"/>
      <w:snapToGrid w:val="0"/>
      <w:u w:val="single"/>
    </w:rPr>
  </w:style>
  <w:style w:type="character" w:customStyle="1" w:styleId="DecisionParagraphsChar">
    <w:name w:val="DecisionParagraphs Char"/>
    <w:basedOn w:val="DefaultParagraphFont"/>
    <w:link w:val="DecisionParagraphs"/>
    <w:rsid w:val="007C5CA5"/>
    <w:rPr>
      <w:rFonts w:ascii="Arial" w:hAnsi="Arial"/>
      <w:i/>
    </w:rPr>
  </w:style>
  <w:style w:type="paragraph" w:styleId="TOCHeading">
    <w:name w:val="TOC Heading"/>
    <w:basedOn w:val="Heading1"/>
    <w:next w:val="Normal"/>
    <w:uiPriority w:val="39"/>
    <w:unhideWhenUsed/>
    <w:qFormat/>
    <w:rsid w:val="000C14A1"/>
    <w:pPr>
      <w:keepLines/>
      <w:spacing w:before="240" w:line="259" w:lineRule="auto"/>
      <w:ind w:right="0"/>
      <w:jc w:val="left"/>
      <w:outlineLvl w:val="9"/>
    </w:pPr>
    <w:rPr>
      <w:rFonts w:asciiTheme="majorHAnsi" w:eastAsiaTheme="majorEastAsia" w:hAnsiTheme="majorHAnsi" w:cstheme="majorBidi"/>
      <w:caps w:val="0"/>
      <w:color w:val="365F91" w:themeColor="accent1" w:themeShade="BF"/>
      <w:sz w:val="32"/>
      <w:szCs w:val="32"/>
    </w:rPr>
  </w:style>
  <w:style w:type="character" w:styleId="FollowedHyperlink">
    <w:name w:val="FollowedHyperlink"/>
    <w:basedOn w:val="DefaultParagraphFont"/>
    <w:semiHidden/>
    <w:unhideWhenUsed/>
    <w:rsid w:val="001E6650"/>
    <w:rPr>
      <w:color w:val="800080" w:themeColor="followedHyperlink"/>
      <w:u w:val="single"/>
    </w:rPr>
  </w:style>
  <w:style w:type="paragraph" w:customStyle="1" w:styleId="Default">
    <w:name w:val="Default"/>
    <w:rsid w:val="001E665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951840"/>
    <w:rPr>
      <w:rFonts w:ascii="Arial" w:hAnsi="Arial"/>
      <w:lang w:val="fr-FR"/>
    </w:rPr>
  </w:style>
  <w:style w:type="character" w:customStyle="1" w:styleId="TitleofdocChar">
    <w:name w:val="Title_of_doc Char"/>
    <w:basedOn w:val="DefaultParagraphFont"/>
    <w:link w:val="Titleofdoc0"/>
    <w:rsid w:val="00951840"/>
    <w:rPr>
      <w:rFonts w:ascii="Arial" w:hAnsi="Arial"/>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21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etails.jsp?meeting_id=6304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99FD0-4DDE-4C93-BC6F-5FE6B100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3595</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CAJ/78/5</vt:lpstr>
    </vt:vector>
  </TitlesOfParts>
  <Company>UPOV</Company>
  <LinksUpToDate>false</LinksUpToDate>
  <CharactersWithSpaces>23582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CAJ/78/5</dc:title>
  <dc:subject/>
  <dc:creator>SANCHEZ VIZCAINO GOMEZ Rosa Maria</dc:creator>
  <cp:keywords/>
  <dc:description/>
  <cp:lastModifiedBy>SANTOS Carla Marina</cp:lastModifiedBy>
  <cp:revision>12</cp:revision>
  <cp:lastPrinted>2021-06-16T18:25:00Z</cp:lastPrinted>
  <dcterms:created xsi:type="dcterms:W3CDTF">2021-06-10T18:41:00Z</dcterms:created>
  <dcterms:modified xsi:type="dcterms:W3CDTF">2021-06-21T10:09:00Z</dcterms:modified>
</cp:coreProperties>
</file>