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571B4D" w:rsidP="003C7FBE">
            <w:pPr>
              <w:pStyle w:val="Doccode"/>
            </w:pPr>
            <w:r>
              <w:t>CAJ/78/4</w:t>
            </w:r>
            <w:r w:rsidR="00A765C5">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765C5">
            <w:pPr>
              <w:pStyle w:val="Docoriginal"/>
            </w:pPr>
            <w:bookmarkStart w:id="0" w:name="_GoBack"/>
            <w:bookmarkEnd w:id="0"/>
            <w:r w:rsidRPr="006473EA">
              <w:t>Date:</w:t>
            </w:r>
            <w:r w:rsidRPr="006473EA">
              <w:rPr>
                <w:b w:val="0"/>
                <w:spacing w:val="0"/>
              </w:rPr>
              <w:t xml:space="preserve">  </w:t>
            </w:r>
            <w:r w:rsidR="00A765C5" w:rsidRPr="006473EA">
              <w:rPr>
                <w:b w:val="0"/>
                <w:spacing w:val="0"/>
              </w:rPr>
              <w:t>October 19</w:t>
            </w:r>
            <w:r w:rsidR="006D04C6" w:rsidRPr="006473EA">
              <w:rPr>
                <w:b w:val="0"/>
                <w:spacing w:val="0"/>
              </w:rPr>
              <w:t>, 2</w:t>
            </w:r>
            <w:r w:rsidR="006D04C6" w:rsidRPr="00BE0929">
              <w:rPr>
                <w:b w:val="0"/>
                <w:spacing w:val="0"/>
              </w:rPr>
              <w:t>021</w:t>
            </w:r>
          </w:p>
        </w:tc>
      </w:tr>
    </w:tbl>
    <w:p w:rsidR="000D7780" w:rsidRPr="006A644A" w:rsidRDefault="00A765C5" w:rsidP="006A644A">
      <w:pPr>
        <w:pStyle w:val="Titleofdoc0"/>
      </w:pPr>
      <w:bookmarkStart w:id="1" w:name="TitleOfDoc"/>
      <w:bookmarkEnd w:id="1"/>
      <w:r>
        <w:t xml:space="preserve">Addendum to </w:t>
      </w:r>
      <w:r w:rsidR="0050731E" w:rsidRPr="0050731E">
        <w:t>Explanatory Notes on Essentially Derived Varieties under the 1991 Act of the UPOV Convention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545DC" w:rsidRPr="00EE1215" w:rsidRDefault="005545DC" w:rsidP="005545DC">
      <w:pPr>
        <w:keepNext/>
        <w:outlineLvl w:val="0"/>
        <w:rPr>
          <w:caps/>
          <w:snapToGrid w:val="0"/>
        </w:rPr>
      </w:pPr>
      <w:bookmarkStart w:id="3" w:name="_Toc522523019"/>
      <w:bookmarkStart w:id="4" w:name="_Toc522523121"/>
      <w:bookmarkStart w:id="5" w:name="_Toc14799780"/>
      <w:bookmarkStart w:id="6" w:name="_Toc81922469"/>
      <w:bookmarkStart w:id="7" w:name="_Toc82174224"/>
      <w:r w:rsidRPr="00E65BE1">
        <w:rPr>
          <w:caps/>
          <w:snapToGrid w:val="0"/>
        </w:rPr>
        <w:t>EX</w:t>
      </w:r>
      <w:r w:rsidRPr="00EE1215">
        <w:rPr>
          <w:caps/>
          <w:snapToGrid w:val="0"/>
        </w:rPr>
        <w:t>ECUTIVE SUMMARY</w:t>
      </w:r>
      <w:bookmarkEnd w:id="3"/>
      <w:bookmarkEnd w:id="4"/>
      <w:bookmarkEnd w:id="5"/>
      <w:bookmarkEnd w:id="6"/>
      <w:bookmarkEnd w:id="7"/>
    </w:p>
    <w:p w:rsidR="005545DC" w:rsidRPr="00EE1215" w:rsidRDefault="005545DC" w:rsidP="005545DC">
      <w:pPr>
        <w:keepNext/>
        <w:outlineLvl w:val="0"/>
        <w:rPr>
          <w:b/>
          <w:caps/>
          <w:snapToGrid w:val="0"/>
        </w:rPr>
      </w:pPr>
    </w:p>
    <w:p w:rsidR="00E30BCC" w:rsidRPr="00E30BCC" w:rsidRDefault="005545DC" w:rsidP="00E30BCC">
      <w:pPr>
        <w:rPr>
          <w:spacing w:val="-2"/>
        </w:rPr>
      </w:pPr>
      <w:r w:rsidRPr="00E30BCC">
        <w:rPr>
          <w:spacing w:val="-2"/>
        </w:rPr>
        <w:fldChar w:fldCharType="begin"/>
      </w:r>
      <w:r w:rsidRPr="00E30BCC">
        <w:rPr>
          <w:spacing w:val="-2"/>
        </w:rPr>
        <w:instrText xml:space="preserve"> AUTONUM  </w:instrText>
      </w:r>
      <w:r w:rsidRPr="00E30BCC">
        <w:rPr>
          <w:spacing w:val="-2"/>
        </w:rPr>
        <w:fldChar w:fldCharType="end"/>
      </w:r>
      <w:r w:rsidRPr="00E30BCC">
        <w:rPr>
          <w:spacing w:val="-2"/>
        </w:rPr>
        <w:tab/>
      </w:r>
      <w:proofErr w:type="gramStart"/>
      <w:r w:rsidR="00E30BCC" w:rsidRPr="009536A2">
        <w:rPr>
          <w:spacing w:val="-2"/>
        </w:rPr>
        <w:t xml:space="preserve">The purpose of this addendum is to </w:t>
      </w:r>
      <w:r w:rsidR="009536A2" w:rsidRPr="009536A2">
        <w:rPr>
          <w:spacing w:val="-2"/>
        </w:rPr>
        <w:t xml:space="preserve">present </w:t>
      </w:r>
      <w:r w:rsidR="00E30BCC" w:rsidRPr="009536A2">
        <w:rPr>
          <w:spacing w:val="-2"/>
        </w:rPr>
        <w:t>the recommendations of the</w:t>
      </w:r>
      <w:r w:rsidR="00D056BA" w:rsidRPr="009536A2">
        <w:rPr>
          <w:rFonts w:cs="Arial"/>
          <w:color w:val="000000"/>
        </w:rPr>
        <w:t xml:space="preserve"> Working Group on Essentially Derived Varieties</w:t>
      </w:r>
      <w:r w:rsidR="00E30BCC" w:rsidRPr="009536A2">
        <w:rPr>
          <w:spacing w:val="-2"/>
        </w:rPr>
        <w:t xml:space="preserve"> </w:t>
      </w:r>
      <w:r w:rsidR="00D056BA" w:rsidRPr="009536A2">
        <w:rPr>
          <w:spacing w:val="-2"/>
        </w:rPr>
        <w:t>(</w:t>
      </w:r>
      <w:r w:rsidR="00E30BCC" w:rsidRPr="009536A2">
        <w:rPr>
          <w:spacing w:val="-2"/>
        </w:rPr>
        <w:t>WG-EDV</w:t>
      </w:r>
      <w:r w:rsidR="00D056BA" w:rsidRPr="009536A2">
        <w:rPr>
          <w:spacing w:val="-2"/>
        </w:rPr>
        <w:t>)</w:t>
      </w:r>
      <w:r w:rsidR="00E30BCC" w:rsidRPr="009536A2">
        <w:rPr>
          <w:spacing w:val="-2"/>
        </w:rPr>
        <w:t>, at its fourth meeting, held via electronic means on October 19, 2021, with regard to document UPOV/EXN/EDV/3 Draft 2, as announced in document CAJ/78/4 “Explanatory Notes on Essentially Derived Varieties under the 1991 Act of the UPOV Convention”, paragraphs 17 to 19(b).</w:t>
      </w:r>
      <w:proofErr w:type="gramEnd"/>
    </w:p>
    <w:p w:rsidR="00E30BCC" w:rsidRDefault="00E30BCC" w:rsidP="005545DC">
      <w:pPr>
        <w:tabs>
          <w:tab w:val="left" w:pos="567"/>
          <w:tab w:val="left" w:pos="1134"/>
          <w:tab w:val="left" w:pos="1701"/>
          <w:tab w:val="left" w:pos="2268"/>
          <w:tab w:val="left" w:pos="2835"/>
          <w:tab w:val="left" w:pos="3402"/>
          <w:tab w:val="left" w:pos="4154"/>
        </w:tabs>
      </w:pPr>
    </w:p>
    <w:p w:rsidR="00D056BA" w:rsidRDefault="00D056BA" w:rsidP="005545DC">
      <w:pPr>
        <w:tabs>
          <w:tab w:val="left" w:pos="567"/>
          <w:tab w:val="left" w:pos="1134"/>
          <w:tab w:val="left" w:pos="1701"/>
          <w:tab w:val="left" w:pos="2268"/>
          <w:tab w:val="left" w:pos="2835"/>
          <w:tab w:val="left" w:pos="3402"/>
          <w:tab w:val="left" w:pos="4154"/>
        </w:tabs>
      </w:pPr>
    </w:p>
    <w:p w:rsidR="00D056BA" w:rsidRDefault="00D056BA" w:rsidP="005545DC">
      <w:pPr>
        <w:tabs>
          <w:tab w:val="left" w:pos="567"/>
          <w:tab w:val="left" w:pos="1134"/>
          <w:tab w:val="left" w:pos="1701"/>
          <w:tab w:val="left" w:pos="2268"/>
          <w:tab w:val="left" w:pos="2835"/>
          <w:tab w:val="left" w:pos="3402"/>
          <w:tab w:val="left" w:pos="4154"/>
        </w:tabs>
      </w:pPr>
    </w:p>
    <w:p w:rsidR="00D056BA" w:rsidRPr="000C4AFF" w:rsidRDefault="00D056BA" w:rsidP="00D056BA">
      <w:pPr>
        <w:pStyle w:val="Heading1"/>
      </w:pPr>
      <w:r w:rsidRPr="000C4AFF">
        <w:t>Recommendati</w:t>
      </w:r>
      <w:r>
        <w:t>ons from the WG-EDV to the CAJ</w:t>
      </w:r>
    </w:p>
    <w:p w:rsidR="00D056BA" w:rsidRDefault="00D056BA" w:rsidP="00D056BA">
      <w:pPr>
        <w:keepNext/>
        <w:rPr>
          <w:rFonts w:cs="Arial"/>
          <w:spacing w:val="-2"/>
        </w:rPr>
      </w:pPr>
    </w:p>
    <w:p w:rsidR="009005D0" w:rsidRDefault="00E30BCC" w:rsidP="009005D0">
      <w:pPr>
        <w:rPr>
          <w:rFonts w:cs="Arial"/>
          <w:spacing w:val="-2"/>
        </w:rPr>
      </w:pPr>
      <w:r w:rsidRPr="00960D52">
        <w:rPr>
          <w:rFonts w:cs="Arial"/>
          <w:spacing w:val="-2"/>
        </w:rPr>
        <w:fldChar w:fldCharType="begin"/>
      </w:r>
      <w:r w:rsidRPr="00960D52">
        <w:rPr>
          <w:rFonts w:cs="Arial"/>
          <w:spacing w:val="-2"/>
        </w:rPr>
        <w:instrText xml:space="preserve"> AUTONUM  </w:instrText>
      </w:r>
      <w:r w:rsidRPr="00960D52">
        <w:rPr>
          <w:rFonts w:cs="Arial"/>
          <w:spacing w:val="-2"/>
        </w:rPr>
        <w:fldChar w:fldCharType="end"/>
      </w:r>
      <w:r w:rsidR="00243455">
        <w:rPr>
          <w:rFonts w:cs="Arial"/>
          <w:spacing w:val="-2"/>
        </w:rPr>
        <w:tab/>
      </w:r>
      <w:r w:rsidR="00645872">
        <w:rPr>
          <w:rFonts w:cs="Arial"/>
          <w:spacing w:val="-2"/>
        </w:rPr>
        <w:t>The WG-EDV</w:t>
      </w:r>
      <w:r w:rsidR="003E6BAA">
        <w:t xml:space="preserve">, </w:t>
      </w:r>
      <w:r w:rsidR="003E6BAA" w:rsidRPr="00827FE1">
        <w:t>at its fourth meeting</w:t>
      </w:r>
      <w:r w:rsidR="00411D19">
        <w:t>,</w:t>
      </w:r>
      <w:r w:rsidR="009536A2">
        <w:t xml:space="preserve"> agreed</w:t>
      </w:r>
      <w:r w:rsidR="003E6BAA">
        <w:t xml:space="preserve"> </w:t>
      </w:r>
      <w:r w:rsidR="00827FE1">
        <w:t>the following changes to the text of</w:t>
      </w:r>
      <w:r w:rsidR="009536A2">
        <w:rPr>
          <w:rFonts w:cs="Arial"/>
          <w:spacing w:val="-2"/>
        </w:rPr>
        <w:t xml:space="preserve"> </w:t>
      </w:r>
      <w:r w:rsidR="009536A2" w:rsidRPr="009536A2">
        <w:rPr>
          <w:rFonts w:cs="Arial"/>
          <w:spacing w:val="-2"/>
        </w:rPr>
        <w:t>document UPOV/EXN/EDV/3 Draft 2 “Explanatory Notes on Essentially Derived Varieties</w:t>
      </w:r>
      <w:r w:rsidR="00411D19">
        <w:rPr>
          <w:rFonts w:cs="Arial"/>
          <w:spacing w:val="-2"/>
        </w:rPr>
        <w:t xml:space="preserve"> under the 1991 Act of the UPOV </w:t>
      </w:r>
      <w:r w:rsidR="009536A2" w:rsidRPr="009536A2">
        <w:rPr>
          <w:rFonts w:cs="Arial"/>
          <w:spacing w:val="-2"/>
        </w:rPr>
        <w:t>Convention (Revision)”</w:t>
      </w:r>
      <w:r w:rsidR="00827FE1">
        <w:rPr>
          <w:rFonts w:cs="Arial"/>
          <w:spacing w:val="-2"/>
        </w:rPr>
        <w:t>:</w:t>
      </w:r>
    </w:p>
    <w:p w:rsidR="009536A2" w:rsidRDefault="009536A2" w:rsidP="009005D0">
      <w:pPr>
        <w:rPr>
          <w:rFonts w:cs="Arial"/>
          <w:spacing w:val="-2"/>
          <w:highlight w:val="yellow"/>
        </w:rPr>
      </w:pPr>
    </w:p>
    <w:tbl>
      <w:tblPr>
        <w:tblStyle w:val="TableGrid"/>
        <w:tblW w:w="0" w:type="auto"/>
        <w:tblLook w:val="04A0" w:firstRow="1" w:lastRow="0" w:firstColumn="1" w:lastColumn="0" w:noHBand="0" w:noVBand="1"/>
      </w:tblPr>
      <w:tblGrid>
        <w:gridCol w:w="4814"/>
        <w:gridCol w:w="4815"/>
      </w:tblGrid>
      <w:tr w:rsidR="00645872" w:rsidTr="00645872">
        <w:tc>
          <w:tcPr>
            <w:tcW w:w="4814" w:type="dxa"/>
            <w:shd w:val="clear" w:color="auto" w:fill="F2F2F2" w:themeFill="background1" w:themeFillShade="F2"/>
            <w:vAlign w:val="center"/>
          </w:tcPr>
          <w:p w:rsidR="00645872" w:rsidRPr="00645872" w:rsidRDefault="00645872" w:rsidP="00645872">
            <w:pPr>
              <w:rPr>
                <w:rFonts w:cs="Arial"/>
                <w:spacing w:val="-2"/>
                <w:sz w:val="18"/>
              </w:rPr>
            </w:pPr>
            <w:r w:rsidRPr="00645872">
              <w:rPr>
                <w:rFonts w:cs="Arial"/>
                <w:spacing w:val="-2"/>
                <w:sz w:val="18"/>
              </w:rPr>
              <w:t xml:space="preserve">Document </w:t>
            </w:r>
            <w:r w:rsidRPr="00645872">
              <w:rPr>
                <w:spacing w:val="-2"/>
                <w:sz w:val="18"/>
              </w:rPr>
              <w:t>UPOV/EXN/EDV/3 Draft 2</w:t>
            </w:r>
          </w:p>
        </w:tc>
        <w:tc>
          <w:tcPr>
            <w:tcW w:w="4815" w:type="dxa"/>
            <w:shd w:val="clear" w:color="auto" w:fill="F2F2F2" w:themeFill="background1" w:themeFillShade="F2"/>
            <w:vAlign w:val="center"/>
          </w:tcPr>
          <w:p w:rsidR="00645872" w:rsidRPr="00645872" w:rsidRDefault="00645872" w:rsidP="00AA3041">
            <w:pPr>
              <w:keepNext/>
              <w:spacing w:before="120" w:after="120"/>
              <w:rPr>
                <w:rFonts w:cs="Arial"/>
                <w:sz w:val="18"/>
              </w:rPr>
            </w:pPr>
            <w:r w:rsidRPr="00645872">
              <w:rPr>
                <w:rFonts w:cs="Arial"/>
                <w:sz w:val="18"/>
              </w:rPr>
              <w:t xml:space="preserve">Changes agreed </w:t>
            </w:r>
            <w:r w:rsidR="00AA3041">
              <w:rPr>
                <w:rFonts w:cs="Arial"/>
                <w:sz w:val="18"/>
              </w:rPr>
              <w:t xml:space="preserve">by the WG-EDV </w:t>
            </w:r>
            <w:r w:rsidRPr="00645872">
              <w:rPr>
                <w:rFonts w:cs="Arial"/>
                <w:sz w:val="18"/>
              </w:rPr>
              <w:t xml:space="preserve">at </w:t>
            </w:r>
            <w:r w:rsidR="00AA3041">
              <w:rPr>
                <w:rFonts w:cs="Arial"/>
                <w:sz w:val="18"/>
              </w:rPr>
              <w:t>its fourth</w:t>
            </w:r>
            <w:r w:rsidRPr="00645872">
              <w:rPr>
                <w:rFonts w:cs="Arial"/>
                <w:sz w:val="18"/>
              </w:rPr>
              <w:t xml:space="preserve"> meeting</w:t>
            </w:r>
          </w:p>
        </w:tc>
      </w:tr>
      <w:tr w:rsidR="00645872" w:rsidTr="00645872">
        <w:tc>
          <w:tcPr>
            <w:tcW w:w="4814" w:type="dxa"/>
          </w:tcPr>
          <w:p w:rsidR="00645872" w:rsidRPr="00645872" w:rsidRDefault="00645872" w:rsidP="009005D0">
            <w:pPr>
              <w:rPr>
                <w:rFonts w:cs="Arial"/>
                <w:spacing w:val="-2"/>
                <w:sz w:val="18"/>
              </w:rPr>
            </w:pPr>
            <w:r w:rsidRPr="00645872">
              <w:rPr>
                <w:rFonts w:cs="Arial"/>
                <w:spacing w:val="-2"/>
                <w:sz w:val="18"/>
              </w:rPr>
              <w:t>Paragraph 7</w:t>
            </w:r>
          </w:p>
          <w:p w:rsidR="00645872" w:rsidRPr="00645872" w:rsidRDefault="00645872" w:rsidP="009005D0">
            <w:pPr>
              <w:rPr>
                <w:rFonts w:cs="Arial"/>
                <w:spacing w:val="-2"/>
                <w:sz w:val="18"/>
                <w:highlight w:val="yellow"/>
              </w:rPr>
            </w:pPr>
          </w:p>
        </w:tc>
        <w:tc>
          <w:tcPr>
            <w:tcW w:w="4815" w:type="dxa"/>
          </w:tcPr>
          <w:p w:rsidR="00645872" w:rsidRPr="00645872" w:rsidRDefault="00645872" w:rsidP="00645872">
            <w:pPr>
              <w:pStyle w:val="NormalWeb"/>
              <w:spacing w:before="0" w:beforeAutospacing="0" w:after="0" w:afterAutospacing="0"/>
              <w:jc w:val="both"/>
              <w:textAlignment w:val="baseline"/>
              <w:rPr>
                <w:rFonts w:eastAsia="+mn-ea"/>
                <w:kern w:val="24"/>
                <w:sz w:val="18"/>
                <w:szCs w:val="20"/>
              </w:rPr>
            </w:pPr>
            <w:r w:rsidRPr="00645872">
              <w:rPr>
                <w:rFonts w:eastAsia="+mn-ea"/>
                <w:kern w:val="24"/>
                <w:sz w:val="18"/>
                <w:szCs w:val="20"/>
              </w:rPr>
              <w:t xml:space="preserve">“An essential characteristic is a characteristic that results from the expression of </w:t>
            </w:r>
            <w:r w:rsidRPr="00645872">
              <w:rPr>
                <w:rFonts w:eastAsia="+mn-ea"/>
                <w:strike/>
                <w:kern w:val="24"/>
                <w:sz w:val="18"/>
                <w:szCs w:val="20"/>
                <w:highlight w:val="lightGray"/>
              </w:rPr>
              <w:t>one or more genes or other heritable determinants</w:t>
            </w:r>
            <w:r w:rsidRPr="00645872">
              <w:rPr>
                <w:rFonts w:eastAsia="+mn-ea"/>
                <w:kern w:val="24"/>
                <w:sz w:val="18"/>
                <w:szCs w:val="20"/>
              </w:rPr>
              <w:t xml:space="preserve"> </w:t>
            </w:r>
            <w:r w:rsidRPr="00645872">
              <w:rPr>
                <w:rFonts w:eastAsia="+mn-ea"/>
                <w:kern w:val="24"/>
                <w:sz w:val="18"/>
                <w:szCs w:val="20"/>
                <w:highlight w:val="lightGray"/>
                <w:u w:val="single"/>
              </w:rPr>
              <w:t>the genotype</w:t>
            </w:r>
            <w:r w:rsidRPr="00645872">
              <w:rPr>
                <w:rFonts w:eastAsia="+mn-ea"/>
                <w:kern w:val="24"/>
                <w:sz w:val="18"/>
                <w:szCs w:val="20"/>
              </w:rPr>
              <w:t xml:space="preserve"> </w:t>
            </w:r>
            <w:r w:rsidRPr="00645872">
              <w:rPr>
                <w:kern w:val="24"/>
                <w:sz w:val="18"/>
                <w:szCs w:val="20"/>
              </w:rPr>
              <w:t>and includes, but is not limited to, morphological, physiological, agronomic, industrial (e.g. oil characteristics) and/or biochemical characteristics.”</w:t>
            </w:r>
          </w:p>
          <w:p w:rsidR="00645872" w:rsidRPr="00645872" w:rsidRDefault="00645872" w:rsidP="009005D0">
            <w:pPr>
              <w:rPr>
                <w:rFonts w:cs="Arial"/>
                <w:spacing w:val="-2"/>
                <w:sz w:val="18"/>
                <w:highlight w:val="yellow"/>
              </w:rPr>
            </w:pPr>
          </w:p>
        </w:tc>
      </w:tr>
      <w:tr w:rsidR="00645872" w:rsidTr="00645872">
        <w:tc>
          <w:tcPr>
            <w:tcW w:w="4814" w:type="dxa"/>
          </w:tcPr>
          <w:p w:rsidR="00645872" w:rsidRPr="00645872" w:rsidRDefault="00645872" w:rsidP="009005D0">
            <w:pPr>
              <w:rPr>
                <w:rFonts w:cs="Arial"/>
                <w:spacing w:val="-2"/>
                <w:sz w:val="18"/>
              </w:rPr>
            </w:pPr>
            <w:r w:rsidRPr="00645872">
              <w:rPr>
                <w:rFonts w:cs="Arial"/>
                <w:spacing w:val="-2"/>
                <w:sz w:val="18"/>
              </w:rPr>
              <w:t>Paragraph 8</w:t>
            </w:r>
          </w:p>
          <w:p w:rsidR="00645872" w:rsidRPr="00645872" w:rsidRDefault="00645872" w:rsidP="009005D0">
            <w:pPr>
              <w:rPr>
                <w:rFonts w:cs="Arial"/>
                <w:spacing w:val="-2"/>
                <w:sz w:val="18"/>
                <w:highlight w:val="yellow"/>
              </w:rPr>
            </w:pPr>
          </w:p>
        </w:tc>
        <w:tc>
          <w:tcPr>
            <w:tcW w:w="4815" w:type="dxa"/>
          </w:tcPr>
          <w:p w:rsidR="00645872" w:rsidRPr="00645872" w:rsidRDefault="00645872" w:rsidP="009005D0">
            <w:pPr>
              <w:rPr>
                <w:rFonts w:cs="Arial"/>
                <w:spacing w:val="-2"/>
                <w:sz w:val="18"/>
              </w:rPr>
            </w:pPr>
            <w:r w:rsidRPr="00645872">
              <w:rPr>
                <w:rFonts w:cs="Arial"/>
                <w:spacing w:val="-2"/>
                <w:sz w:val="18"/>
              </w:rPr>
              <w:t xml:space="preserve">“An ‘essential characteristic’ is a characteristic that is </w:t>
            </w:r>
            <w:r w:rsidRPr="00645872">
              <w:rPr>
                <w:rFonts w:cs="Arial"/>
                <w:strike/>
                <w:spacing w:val="-2"/>
                <w:sz w:val="18"/>
                <w:highlight w:val="lightGray"/>
              </w:rPr>
              <w:t>essential</w:t>
            </w:r>
            <w:r w:rsidRPr="00645872">
              <w:rPr>
                <w:rFonts w:cs="Arial"/>
                <w:spacing w:val="-2"/>
                <w:sz w:val="18"/>
              </w:rPr>
              <w:t xml:space="preserve"> </w:t>
            </w:r>
            <w:r w:rsidRPr="00645872">
              <w:rPr>
                <w:rFonts w:cs="Arial"/>
                <w:spacing w:val="-2"/>
                <w:sz w:val="18"/>
                <w:highlight w:val="lightGray"/>
                <w:u w:val="single"/>
              </w:rPr>
              <w:t>fundamental</w:t>
            </w:r>
            <w:r w:rsidRPr="00645872">
              <w:rPr>
                <w:rFonts w:cs="Arial"/>
                <w:spacing w:val="-2"/>
                <w:sz w:val="18"/>
              </w:rPr>
              <w:t xml:space="preserve"> for the variety as a whole.  It should contribute to the principal features, performance or value for use of the variety and be relevant for one the following:  the producer, seller, supplier, buyer, recipient, </w:t>
            </w:r>
            <w:proofErr w:type="gramStart"/>
            <w:r w:rsidRPr="00645872">
              <w:rPr>
                <w:rFonts w:cs="Arial"/>
                <w:spacing w:val="-2"/>
                <w:sz w:val="18"/>
              </w:rPr>
              <w:t>user</w:t>
            </w:r>
            <w:proofErr w:type="gramEnd"/>
            <w:r w:rsidRPr="00645872">
              <w:rPr>
                <w:rFonts w:cs="Arial"/>
                <w:spacing w:val="-2"/>
                <w:sz w:val="18"/>
              </w:rPr>
              <w:t xml:space="preserve"> of the propagating material and/or of the harvested material and/or of the directly obtained products and/or the value chain.”</w:t>
            </w:r>
          </w:p>
          <w:p w:rsidR="00645872" w:rsidRPr="00645872" w:rsidRDefault="00645872" w:rsidP="009005D0">
            <w:pPr>
              <w:rPr>
                <w:rFonts w:cs="Arial"/>
                <w:spacing w:val="-2"/>
                <w:sz w:val="18"/>
                <w:highlight w:val="yellow"/>
              </w:rPr>
            </w:pPr>
          </w:p>
        </w:tc>
      </w:tr>
      <w:tr w:rsidR="00645872" w:rsidTr="00645872">
        <w:tc>
          <w:tcPr>
            <w:tcW w:w="4814" w:type="dxa"/>
          </w:tcPr>
          <w:p w:rsidR="00645872" w:rsidRPr="00645872" w:rsidRDefault="00645872" w:rsidP="009005D0">
            <w:pPr>
              <w:rPr>
                <w:rFonts w:cs="Arial"/>
                <w:spacing w:val="-2"/>
                <w:sz w:val="18"/>
              </w:rPr>
            </w:pPr>
            <w:r w:rsidRPr="00645872">
              <w:rPr>
                <w:rFonts w:cs="Arial"/>
                <w:spacing w:val="-2"/>
                <w:sz w:val="18"/>
              </w:rPr>
              <w:t>Paragraph 11</w:t>
            </w:r>
          </w:p>
          <w:p w:rsidR="00645872" w:rsidRPr="00645872" w:rsidRDefault="00645872" w:rsidP="009005D0">
            <w:pPr>
              <w:rPr>
                <w:rFonts w:cs="Arial"/>
                <w:spacing w:val="-2"/>
                <w:sz w:val="18"/>
                <w:highlight w:val="yellow"/>
              </w:rPr>
            </w:pPr>
          </w:p>
        </w:tc>
        <w:tc>
          <w:tcPr>
            <w:tcW w:w="4815" w:type="dxa"/>
          </w:tcPr>
          <w:p w:rsidR="00645872" w:rsidRPr="00645872" w:rsidRDefault="00645872" w:rsidP="00645872">
            <w:pPr>
              <w:rPr>
                <w:rFonts w:cs="Arial"/>
                <w:spacing w:val="-2"/>
                <w:sz w:val="18"/>
              </w:rPr>
            </w:pPr>
            <w:r w:rsidRPr="00645872">
              <w:rPr>
                <w:rFonts w:cs="Arial"/>
                <w:spacing w:val="-2"/>
                <w:sz w:val="18"/>
              </w:rPr>
              <w:t>“</w:t>
            </w:r>
            <w:r w:rsidRPr="00645872">
              <w:rPr>
                <w:rFonts w:cs="Arial"/>
                <w:strike/>
                <w:spacing w:val="-2"/>
                <w:sz w:val="18"/>
                <w:highlight w:val="lightGray"/>
              </w:rPr>
              <w:t>A predominantly</w:t>
            </w:r>
            <w:r w:rsidRPr="00645872">
              <w:rPr>
                <w:rFonts w:cs="Arial"/>
                <w:spacing w:val="-2"/>
                <w:sz w:val="18"/>
              </w:rPr>
              <w:t xml:space="preserve"> </w:t>
            </w:r>
            <w:r w:rsidRPr="00645872">
              <w:rPr>
                <w:rFonts w:cs="Arial"/>
                <w:spacing w:val="-2"/>
                <w:sz w:val="18"/>
                <w:highlight w:val="lightGray"/>
                <w:u w:val="single"/>
              </w:rPr>
              <w:t>An essentially</w:t>
            </w:r>
            <w:r w:rsidRPr="00645872">
              <w:rPr>
                <w:rFonts w:cs="Arial"/>
                <w:spacing w:val="-2"/>
                <w:sz w:val="18"/>
              </w:rPr>
              <w:t xml:space="preserve"> derived variety typically retains the expression of essential characteristics of the variety from which it is derived, except for those differences resulting from act(s) of derivation, which may also include differences in essential characteristics.”</w:t>
            </w:r>
          </w:p>
          <w:p w:rsidR="00645872" w:rsidRPr="00645872" w:rsidRDefault="00645872" w:rsidP="00645872">
            <w:pPr>
              <w:rPr>
                <w:rFonts w:cs="Arial"/>
                <w:spacing w:val="-2"/>
                <w:sz w:val="18"/>
                <w:highlight w:val="yellow"/>
              </w:rPr>
            </w:pPr>
          </w:p>
        </w:tc>
      </w:tr>
      <w:tr w:rsidR="00645872" w:rsidTr="00645872">
        <w:tc>
          <w:tcPr>
            <w:tcW w:w="4814" w:type="dxa"/>
          </w:tcPr>
          <w:p w:rsidR="00645872" w:rsidRPr="00645872" w:rsidRDefault="00645872" w:rsidP="00645872">
            <w:pPr>
              <w:rPr>
                <w:rFonts w:cs="Arial"/>
                <w:spacing w:val="-2"/>
                <w:sz w:val="18"/>
              </w:rPr>
            </w:pPr>
            <w:r w:rsidRPr="00645872">
              <w:rPr>
                <w:rFonts w:cs="Arial"/>
                <w:spacing w:val="-2"/>
                <w:sz w:val="18"/>
              </w:rPr>
              <w:t xml:space="preserve">Figures 2, 3, 4, 5, box 3: </w:t>
            </w:r>
          </w:p>
          <w:p w:rsidR="00645872" w:rsidRPr="00645872" w:rsidRDefault="00645872" w:rsidP="00645872">
            <w:pPr>
              <w:rPr>
                <w:rFonts w:cs="Arial"/>
                <w:spacing w:val="-2"/>
                <w:sz w:val="18"/>
                <w:highlight w:val="yellow"/>
              </w:rPr>
            </w:pPr>
          </w:p>
        </w:tc>
        <w:tc>
          <w:tcPr>
            <w:tcW w:w="4815" w:type="dxa"/>
          </w:tcPr>
          <w:p w:rsidR="00645872" w:rsidRPr="00645872" w:rsidRDefault="00645872" w:rsidP="009005D0">
            <w:pPr>
              <w:rPr>
                <w:rFonts w:cs="Arial"/>
                <w:spacing w:val="-2"/>
                <w:sz w:val="18"/>
              </w:rPr>
            </w:pPr>
            <w:r w:rsidRPr="00645872">
              <w:rPr>
                <w:rFonts w:cs="Arial"/>
                <w:spacing w:val="-2"/>
                <w:sz w:val="18"/>
              </w:rPr>
              <w:t>“-  predominantly derived from A ‘</w:t>
            </w:r>
            <w:r w:rsidRPr="00645872">
              <w:rPr>
                <w:rFonts w:cs="Arial"/>
                <w:spacing w:val="-2"/>
                <w:sz w:val="18"/>
                <w:highlight w:val="lightGray"/>
                <w:u w:val="single"/>
              </w:rPr>
              <w:t>or B</w:t>
            </w:r>
            <w:r w:rsidRPr="00645872">
              <w:rPr>
                <w:rFonts w:cs="Arial"/>
                <w:spacing w:val="-2"/>
                <w:sz w:val="18"/>
              </w:rPr>
              <w:t>’”</w:t>
            </w:r>
          </w:p>
          <w:p w:rsidR="00645872" w:rsidRPr="00645872" w:rsidRDefault="00645872" w:rsidP="009005D0">
            <w:pPr>
              <w:rPr>
                <w:rFonts w:cs="Arial"/>
                <w:spacing w:val="-2"/>
                <w:sz w:val="18"/>
                <w:highlight w:val="yellow"/>
              </w:rPr>
            </w:pPr>
          </w:p>
        </w:tc>
      </w:tr>
      <w:tr w:rsidR="00645872" w:rsidTr="00645872">
        <w:tc>
          <w:tcPr>
            <w:tcW w:w="4814" w:type="dxa"/>
          </w:tcPr>
          <w:p w:rsidR="00645872" w:rsidRPr="00645872" w:rsidRDefault="00645872" w:rsidP="009005D0">
            <w:pPr>
              <w:rPr>
                <w:rFonts w:cs="Arial"/>
                <w:spacing w:val="-2"/>
                <w:sz w:val="18"/>
              </w:rPr>
            </w:pPr>
            <w:r w:rsidRPr="00645872">
              <w:rPr>
                <w:rFonts w:cs="Arial"/>
                <w:spacing w:val="-2"/>
                <w:sz w:val="18"/>
              </w:rPr>
              <w:t>Figures 2, 3, 4, 5, box 6:</w:t>
            </w:r>
          </w:p>
          <w:p w:rsidR="00645872" w:rsidRPr="00645872" w:rsidRDefault="00645872" w:rsidP="009005D0">
            <w:pPr>
              <w:rPr>
                <w:rFonts w:cs="Arial"/>
                <w:spacing w:val="-2"/>
                <w:sz w:val="18"/>
                <w:highlight w:val="yellow"/>
              </w:rPr>
            </w:pPr>
          </w:p>
        </w:tc>
        <w:tc>
          <w:tcPr>
            <w:tcW w:w="4815" w:type="dxa"/>
          </w:tcPr>
          <w:p w:rsidR="00645872" w:rsidRPr="00645872" w:rsidRDefault="00645872" w:rsidP="009005D0">
            <w:pPr>
              <w:rPr>
                <w:rFonts w:cs="Arial"/>
                <w:spacing w:val="-2"/>
                <w:sz w:val="18"/>
              </w:rPr>
            </w:pPr>
            <w:r w:rsidRPr="00645872">
              <w:rPr>
                <w:rFonts w:cs="Arial"/>
                <w:spacing w:val="-2"/>
                <w:sz w:val="18"/>
              </w:rPr>
              <w:t>“-  predominantly derived from A ‘</w:t>
            </w:r>
            <w:r w:rsidRPr="00645872">
              <w:rPr>
                <w:rFonts w:cs="Arial"/>
                <w:spacing w:val="-2"/>
                <w:sz w:val="18"/>
                <w:highlight w:val="lightGray"/>
                <w:u w:val="single"/>
              </w:rPr>
              <w:t>or Z-1</w:t>
            </w:r>
            <w:r w:rsidRPr="00645872">
              <w:rPr>
                <w:rFonts w:cs="Arial"/>
                <w:spacing w:val="-2"/>
                <w:sz w:val="18"/>
              </w:rPr>
              <w:t>’”</w:t>
            </w:r>
          </w:p>
          <w:p w:rsidR="00645872" w:rsidRPr="00645872" w:rsidRDefault="00645872" w:rsidP="009005D0">
            <w:pPr>
              <w:rPr>
                <w:rFonts w:cs="Arial"/>
                <w:spacing w:val="-2"/>
                <w:sz w:val="18"/>
                <w:highlight w:val="yellow"/>
              </w:rPr>
            </w:pPr>
          </w:p>
        </w:tc>
      </w:tr>
    </w:tbl>
    <w:p w:rsidR="00243455" w:rsidRPr="00237F89" w:rsidRDefault="00243455" w:rsidP="009005D0">
      <w:pPr>
        <w:rPr>
          <w:rFonts w:cs="Arial"/>
          <w:color w:val="000000"/>
          <w:highlight w:val="yellow"/>
        </w:rPr>
      </w:pPr>
    </w:p>
    <w:p w:rsidR="006329AB" w:rsidRDefault="00645872" w:rsidP="00411D19">
      <w:pPr>
        <w:keepLines/>
        <w:rPr>
          <w:rFonts w:cs="Arial"/>
          <w:spacing w:val="-2"/>
        </w:rPr>
      </w:pPr>
      <w:r w:rsidRPr="002B022C">
        <w:rPr>
          <w:rFonts w:cs="Arial"/>
          <w:spacing w:val="-2"/>
        </w:rPr>
        <w:lastRenderedPageBreak/>
        <w:fldChar w:fldCharType="begin"/>
      </w:r>
      <w:r w:rsidRPr="002B022C">
        <w:rPr>
          <w:rFonts w:cs="Arial"/>
          <w:spacing w:val="-2"/>
        </w:rPr>
        <w:instrText xml:space="preserve"> AUTONUM  </w:instrText>
      </w:r>
      <w:r w:rsidRPr="002B022C">
        <w:rPr>
          <w:rFonts w:cs="Arial"/>
          <w:spacing w:val="-2"/>
        </w:rPr>
        <w:fldChar w:fldCharType="end"/>
      </w:r>
      <w:r w:rsidRPr="002B022C">
        <w:rPr>
          <w:rFonts w:cs="Arial"/>
          <w:spacing w:val="-2"/>
        </w:rPr>
        <w:tab/>
      </w:r>
      <w:r w:rsidR="006329AB" w:rsidRPr="006329AB">
        <w:rPr>
          <w:rFonts w:cs="Arial"/>
          <w:spacing w:val="-2"/>
        </w:rPr>
        <w:t xml:space="preserve">The WG-EDV </w:t>
      </w:r>
      <w:r w:rsidR="005F1F8D">
        <w:rPr>
          <w:rFonts w:cs="Arial"/>
          <w:spacing w:val="-2"/>
        </w:rPr>
        <w:t>recommended</w:t>
      </w:r>
      <w:r w:rsidR="005F1F8D" w:rsidRPr="006329AB">
        <w:rPr>
          <w:rFonts w:cs="Arial"/>
          <w:spacing w:val="-2"/>
        </w:rPr>
        <w:t xml:space="preserve"> </w:t>
      </w:r>
      <w:r w:rsidR="005F1F8D">
        <w:rPr>
          <w:rFonts w:cs="Arial"/>
          <w:spacing w:val="-2"/>
        </w:rPr>
        <w:t xml:space="preserve">that </w:t>
      </w:r>
      <w:r w:rsidR="006329AB" w:rsidRPr="006329AB">
        <w:rPr>
          <w:rFonts w:cs="Arial"/>
          <w:spacing w:val="-2"/>
        </w:rPr>
        <w:t xml:space="preserve">the CAJ, at its seventy-eighth session, to </w:t>
      </w:r>
      <w:proofErr w:type="gramStart"/>
      <w:r w:rsidR="006329AB" w:rsidRPr="006329AB">
        <w:rPr>
          <w:rFonts w:cs="Arial"/>
          <w:spacing w:val="-2"/>
        </w:rPr>
        <w:t>be held</w:t>
      </w:r>
      <w:proofErr w:type="gramEnd"/>
      <w:r w:rsidR="006329AB" w:rsidRPr="006329AB">
        <w:rPr>
          <w:rFonts w:cs="Arial"/>
          <w:spacing w:val="-2"/>
        </w:rPr>
        <w:t xml:space="preserve"> on October 27, 2021, consider document UPOV/EXN/EDV/3 Draft 2 “Explanatory Notes on Essentially Derived Varieties under the 1991 Act of the UPOV Convention (Revision)”, in conjunction with the changes agreed by the WG-EDV, </w:t>
      </w:r>
      <w:r w:rsidR="00827FE1" w:rsidRPr="00827FE1">
        <w:rPr>
          <w:rFonts w:cs="Arial"/>
          <w:spacing w:val="-2"/>
        </w:rPr>
        <w:t xml:space="preserve">as presented in </w:t>
      </w:r>
      <w:r w:rsidR="005F1F8D" w:rsidRPr="00411D19">
        <w:rPr>
          <w:rFonts w:cs="Arial"/>
          <w:spacing w:val="-2"/>
        </w:rPr>
        <w:t>paragraph 2</w:t>
      </w:r>
      <w:r w:rsidR="003E6BAA" w:rsidRPr="00411D19">
        <w:rPr>
          <w:rFonts w:cs="Arial"/>
          <w:spacing w:val="-2"/>
        </w:rPr>
        <w:t xml:space="preserve"> and</w:t>
      </w:r>
      <w:r w:rsidR="003E6BAA">
        <w:rPr>
          <w:rFonts w:cs="Arial"/>
          <w:spacing w:val="-2"/>
        </w:rPr>
        <w:t xml:space="preserve"> the following comments:</w:t>
      </w:r>
    </w:p>
    <w:p w:rsidR="00827FE1" w:rsidRDefault="00827FE1" w:rsidP="00D056BA">
      <w:pPr>
        <w:rPr>
          <w:spacing w:val="-2"/>
        </w:rPr>
      </w:pPr>
    </w:p>
    <w:p w:rsidR="00411D19" w:rsidRDefault="00411D19" w:rsidP="00411D19">
      <w:pPr>
        <w:pStyle w:val="ListParagraph"/>
        <w:numPr>
          <w:ilvl w:val="0"/>
          <w:numId w:val="33"/>
        </w:numPr>
        <w:ind w:left="540" w:firstLine="0"/>
        <w:rPr>
          <w:spacing w:val="-2"/>
        </w:rPr>
      </w:pPr>
      <w:r>
        <w:rPr>
          <w:spacing w:val="-2"/>
        </w:rPr>
        <w:t>t</w:t>
      </w:r>
      <w:r w:rsidR="003E6BAA">
        <w:rPr>
          <w:spacing w:val="-2"/>
        </w:rPr>
        <w:t>he WG-EDV noted the comments made by</w:t>
      </w:r>
      <w:r w:rsidR="009536A2" w:rsidRPr="00827FE1">
        <w:rPr>
          <w:spacing w:val="-2"/>
        </w:rPr>
        <w:t xml:space="preserve"> the Delegation of Spain </w:t>
      </w:r>
      <w:r w:rsidR="00024654">
        <w:rPr>
          <w:spacing w:val="-2"/>
        </w:rPr>
        <w:t xml:space="preserve">in </w:t>
      </w:r>
      <w:r w:rsidR="003E6BAA">
        <w:rPr>
          <w:spacing w:val="-2"/>
        </w:rPr>
        <w:t xml:space="preserve">relation to </w:t>
      </w:r>
      <w:r w:rsidR="00024654" w:rsidRPr="00024654">
        <w:rPr>
          <w:spacing w:val="-2"/>
        </w:rPr>
        <w:t>document UPOV/EXN/EDV/3</w:t>
      </w:r>
      <w:r w:rsidR="00842C7D">
        <w:rPr>
          <w:spacing w:val="-2"/>
        </w:rPr>
        <w:t xml:space="preserve"> Draft 2 </w:t>
      </w:r>
      <w:r w:rsidR="003E6BAA">
        <w:rPr>
          <w:spacing w:val="-2"/>
        </w:rPr>
        <w:t>and agreed it would be important for</w:t>
      </w:r>
      <w:r w:rsidR="00842C7D">
        <w:rPr>
          <w:spacing w:val="-2"/>
        </w:rPr>
        <w:t xml:space="preserve"> </w:t>
      </w:r>
      <w:r w:rsidR="009005D0" w:rsidRPr="00827FE1">
        <w:rPr>
          <w:spacing w:val="-2"/>
        </w:rPr>
        <w:t>members of the WG</w:t>
      </w:r>
      <w:r w:rsidR="006329AB" w:rsidRPr="00827FE1">
        <w:rPr>
          <w:spacing w:val="-2"/>
        </w:rPr>
        <w:noBreakHyphen/>
      </w:r>
      <w:r w:rsidR="009005D0" w:rsidRPr="00827FE1">
        <w:rPr>
          <w:spacing w:val="-2"/>
        </w:rPr>
        <w:t xml:space="preserve">EDV to </w:t>
      </w:r>
      <w:r w:rsidR="001E7466">
        <w:rPr>
          <w:spacing w:val="-2"/>
        </w:rPr>
        <w:t xml:space="preserve">take the opportunity to </w:t>
      </w:r>
      <w:r w:rsidR="009005D0" w:rsidRPr="00827FE1">
        <w:rPr>
          <w:spacing w:val="-2"/>
        </w:rPr>
        <w:t xml:space="preserve">discuss </w:t>
      </w:r>
      <w:r w:rsidR="00027111">
        <w:rPr>
          <w:spacing w:val="-2"/>
        </w:rPr>
        <w:t xml:space="preserve">those </w:t>
      </w:r>
      <w:r w:rsidR="003E6BAA">
        <w:rPr>
          <w:spacing w:val="-2"/>
        </w:rPr>
        <w:t xml:space="preserve">comments </w:t>
      </w:r>
      <w:r w:rsidR="009005D0" w:rsidRPr="00827FE1">
        <w:rPr>
          <w:spacing w:val="-2"/>
        </w:rPr>
        <w:t xml:space="preserve">with </w:t>
      </w:r>
      <w:r w:rsidR="006329AB" w:rsidRPr="00827FE1">
        <w:rPr>
          <w:spacing w:val="-2"/>
        </w:rPr>
        <w:t xml:space="preserve">the Delegation of Spain </w:t>
      </w:r>
      <w:r w:rsidR="009005D0" w:rsidRPr="00827FE1">
        <w:rPr>
          <w:spacing w:val="-2"/>
        </w:rPr>
        <w:t>prior to the CAJ</w:t>
      </w:r>
      <w:r w:rsidR="00827FE1">
        <w:rPr>
          <w:spacing w:val="-2"/>
        </w:rPr>
        <w:t>;</w:t>
      </w:r>
      <w:r w:rsidR="00024654">
        <w:rPr>
          <w:spacing w:val="-2"/>
        </w:rPr>
        <w:t xml:space="preserve"> and </w:t>
      </w:r>
    </w:p>
    <w:p w:rsidR="00411D19" w:rsidRDefault="00411D19" w:rsidP="00411D19">
      <w:pPr>
        <w:pStyle w:val="ListParagraph"/>
        <w:ind w:left="1123"/>
        <w:contextualSpacing w:val="0"/>
        <w:rPr>
          <w:spacing w:val="-2"/>
        </w:rPr>
      </w:pPr>
    </w:p>
    <w:p w:rsidR="00827FE1" w:rsidRPr="00411D19" w:rsidRDefault="00827FE1" w:rsidP="00411D19">
      <w:pPr>
        <w:pStyle w:val="ListParagraph"/>
        <w:numPr>
          <w:ilvl w:val="0"/>
          <w:numId w:val="33"/>
        </w:numPr>
        <w:ind w:left="540" w:firstLine="0"/>
        <w:rPr>
          <w:spacing w:val="-2"/>
        </w:rPr>
      </w:pPr>
      <w:proofErr w:type="gramStart"/>
      <w:r w:rsidRPr="00411D19">
        <w:rPr>
          <w:spacing w:val="-2"/>
        </w:rPr>
        <w:t xml:space="preserve">the </w:t>
      </w:r>
      <w:r w:rsidR="00024654" w:rsidRPr="00411D19">
        <w:rPr>
          <w:spacing w:val="-2"/>
        </w:rPr>
        <w:t xml:space="preserve">representative of the </w:t>
      </w:r>
      <w:r w:rsidRPr="00411D19">
        <w:rPr>
          <w:spacing w:val="-2"/>
        </w:rPr>
        <w:t xml:space="preserve">Association for Plant Breeding for the Benefit of Society (APBREBES) </w:t>
      </w:r>
      <w:r w:rsidR="00024654" w:rsidRPr="00411D19">
        <w:rPr>
          <w:spacing w:val="-2"/>
        </w:rPr>
        <w:t xml:space="preserve">did not agree with the </w:t>
      </w:r>
      <w:r w:rsidR="003E6BAA" w:rsidRPr="00411D19">
        <w:rPr>
          <w:spacing w:val="-2"/>
        </w:rPr>
        <w:t>text of</w:t>
      </w:r>
      <w:r w:rsidR="00024654" w:rsidRPr="00411D19">
        <w:rPr>
          <w:spacing w:val="-2"/>
        </w:rPr>
        <w:t xml:space="preserve"> </w:t>
      </w:r>
      <w:r w:rsidRPr="00411D19">
        <w:rPr>
          <w:spacing w:val="-2"/>
        </w:rPr>
        <w:t xml:space="preserve">Section II and </w:t>
      </w:r>
      <w:r w:rsidR="00024654" w:rsidRPr="00411D19">
        <w:rPr>
          <w:spacing w:val="-2"/>
        </w:rPr>
        <w:t xml:space="preserve">the inclusion of Section </w:t>
      </w:r>
      <w:r w:rsidRPr="00411D19">
        <w:rPr>
          <w:spacing w:val="-2"/>
        </w:rPr>
        <w:t>III</w:t>
      </w:r>
      <w:r w:rsidR="00024654" w:rsidRPr="00411D19">
        <w:rPr>
          <w:spacing w:val="-2"/>
        </w:rPr>
        <w:t xml:space="preserve"> in </w:t>
      </w:r>
      <w:r w:rsidR="00411D19">
        <w:rPr>
          <w:spacing w:val="-2"/>
        </w:rPr>
        <w:t>document UPOV/EXN/EDV/3</w:t>
      </w:r>
      <w:r w:rsidR="00AA3041" w:rsidRPr="00411D19">
        <w:rPr>
          <w:spacing w:val="-2"/>
        </w:rPr>
        <w:t> Draft </w:t>
      </w:r>
      <w:r w:rsidR="00024654" w:rsidRPr="00411D19">
        <w:rPr>
          <w:spacing w:val="-2"/>
        </w:rPr>
        <w:t xml:space="preserve">2, as </w:t>
      </w:r>
      <w:r w:rsidR="003E6BAA" w:rsidRPr="00411D19">
        <w:rPr>
          <w:spacing w:val="-2"/>
        </w:rPr>
        <w:t xml:space="preserve">explained </w:t>
      </w:r>
      <w:r w:rsidR="00024654" w:rsidRPr="00411D19">
        <w:rPr>
          <w:spacing w:val="-2"/>
        </w:rPr>
        <w:t xml:space="preserve">in the comments of APBREBES, </w:t>
      </w:r>
      <w:r w:rsidR="00027111" w:rsidRPr="00411D19">
        <w:rPr>
          <w:spacing w:val="-2"/>
        </w:rPr>
        <w:t>in document UPOV/WG-EDV/4/2, Annex, Appendix IV</w:t>
      </w:r>
      <w:r w:rsidR="00411D19">
        <w:rPr>
          <w:spacing w:val="-2"/>
        </w:rPr>
        <w:t xml:space="preserve"> (see </w:t>
      </w:r>
      <w:r w:rsidR="00027111" w:rsidRPr="00411D19">
        <w:rPr>
          <w:spacing w:val="-2"/>
        </w:rPr>
        <w:t xml:space="preserve">at </w:t>
      </w:r>
      <w:hyperlink r:id="rId9" w:history="1">
        <w:r w:rsidR="00027111" w:rsidRPr="00411D19">
          <w:rPr>
            <w:rStyle w:val="Hyperlink"/>
            <w:spacing w:val="-2"/>
          </w:rPr>
          <w:t>https://www.upov.int/edocs/mdocs/upov/en/wg_edv_4/upov_wg_edv_4_2.pdf</w:t>
        </w:r>
      </w:hyperlink>
      <w:r w:rsidR="00027111" w:rsidRPr="00411D19">
        <w:rPr>
          <w:spacing w:val="-2"/>
        </w:rPr>
        <w:t>).</w:t>
      </w:r>
      <w:proofErr w:type="gramEnd"/>
      <w:r w:rsidR="00027111" w:rsidRPr="00411D19">
        <w:rPr>
          <w:spacing w:val="-2"/>
        </w:rPr>
        <w:t xml:space="preserve"> </w:t>
      </w:r>
    </w:p>
    <w:p w:rsidR="002B022C" w:rsidRDefault="002B022C" w:rsidP="002B022C"/>
    <w:p w:rsidR="009536A2" w:rsidRPr="00B9141D" w:rsidRDefault="005545DC" w:rsidP="00411D19">
      <w:pPr>
        <w:tabs>
          <w:tab w:val="left" w:pos="5387"/>
          <w:tab w:val="left" w:pos="5954"/>
        </w:tabs>
        <w:ind w:left="4820"/>
        <w:rPr>
          <w:rFonts w:cs="Arial"/>
          <w:i/>
        </w:rPr>
      </w:pPr>
      <w:r w:rsidRPr="00E65BE1">
        <w:rPr>
          <w:i/>
        </w:rPr>
        <w:fldChar w:fldCharType="begin"/>
      </w:r>
      <w:r w:rsidRPr="00E65BE1">
        <w:rPr>
          <w:i/>
        </w:rPr>
        <w:instrText xml:space="preserve"> AUTONUM  </w:instrText>
      </w:r>
      <w:r w:rsidRPr="00E65BE1">
        <w:rPr>
          <w:i/>
        </w:rPr>
        <w:fldChar w:fldCharType="end"/>
      </w:r>
      <w:r w:rsidR="00350F0B">
        <w:rPr>
          <w:i/>
        </w:rPr>
        <w:tab/>
        <w:t xml:space="preserve">The CAJ </w:t>
      </w:r>
      <w:proofErr w:type="gramStart"/>
      <w:r w:rsidR="00350F0B">
        <w:rPr>
          <w:i/>
        </w:rPr>
        <w:t>is invited</w:t>
      </w:r>
      <w:proofErr w:type="gramEnd"/>
      <w:r w:rsidR="00350F0B">
        <w:rPr>
          <w:i/>
        </w:rPr>
        <w:t xml:space="preserve"> to</w:t>
      </w:r>
      <w:r w:rsidR="00411D19">
        <w:rPr>
          <w:i/>
        </w:rPr>
        <w:t xml:space="preserve"> co</w:t>
      </w:r>
      <w:r w:rsidR="009536A2" w:rsidRPr="00B9141D">
        <w:rPr>
          <w:rFonts w:cs="Arial"/>
          <w:i/>
        </w:rPr>
        <w:t xml:space="preserve">nsider document UPOV/EXN/EDV/3 Draft 2 “Explanatory Notes on Essentially Derived Varieties under the 1991 Act of the UPOV Convention (Revision)”, in conjunction with the </w:t>
      </w:r>
      <w:r w:rsidR="005F1F8D">
        <w:rPr>
          <w:rFonts w:cs="Arial"/>
          <w:i/>
        </w:rPr>
        <w:t>recommendation</w:t>
      </w:r>
      <w:r w:rsidR="009536A2" w:rsidRPr="00B9141D">
        <w:rPr>
          <w:rFonts w:cs="Arial"/>
          <w:i/>
        </w:rPr>
        <w:t xml:space="preserve"> by the WG-EDV</w:t>
      </w:r>
      <w:r w:rsidR="00B9141D" w:rsidRPr="00B9141D">
        <w:rPr>
          <w:rFonts w:cs="Arial"/>
          <w:i/>
        </w:rPr>
        <w:t>,</w:t>
      </w:r>
      <w:r w:rsidR="009536A2" w:rsidRPr="00B9141D">
        <w:rPr>
          <w:rFonts w:cs="Arial"/>
          <w:i/>
        </w:rPr>
        <w:t xml:space="preserve"> at its fourth meeting, held on October 19, 2021, as presented</w:t>
      </w:r>
      <w:r w:rsidR="00842C7D">
        <w:rPr>
          <w:rFonts w:cs="Arial"/>
          <w:i/>
        </w:rPr>
        <w:t xml:space="preserve"> in </w:t>
      </w:r>
      <w:r w:rsidR="005F1F8D" w:rsidRPr="00411D19">
        <w:rPr>
          <w:rFonts w:cs="Arial"/>
          <w:i/>
        </w:rPr>
        <w:t>paragraph 3</w:t>
      </w:r>
      <w:r w:rsidR="009536A2" w:rsidRPr="00B9141D">
        <w:rPr>
          <w:rFonts w:cs="Arial"/>
          <w:i/>
        </w:rPr>
        <w:t xml:space="preserve"> </w:t>
      </w:r>
      <w:r w:rsidR="005F1F8D">
        <w:rPr>
          <w:rFonts w:cs="Arial"/>
          <w:i/>
        </w:rPr>
        <w:t>of</w:t>
      </w:r>
      <w:r w:rsidR="009536A2" w:rsidRPr="00B9141D">
        <w:rPr>
          <w:rFonts w:cs="Arial"/>
          <w:i/>
        </w:rPr>
        <w:t xml:space="preserve"> this document</w:t>
      </w:r>
      <w:r w:rsidR="00B9141D" w:rsidRPr="00B9141D">
        <w:rPr>
          <w:rFonts w:cs="Arial"/>
          <w:i/>
        </w:rPr>
        <w:t>.</w:t>
      </w:r>
      <w:r w:rsidR="009536A2" w:rsidRPr="00B9141D">
        <w:rPr>
          <w:rFonts w:cs="Arial"/>
          <w:i/>
        </w:rPr>
        <w:t xml:space="preserve"> </w:t>
      </w:r>
    </w:p>
    <w:p w:rsidR="00820042" w:rsidRPr="00B9141D" w:rsidRDefault="00820042" w:rsidP="00D056BA"/>
    <w:p w:rsidR="005545DC" w:rsidRPr="00B9141D" w:rsidRDefault="005545DC" w:rsidP="00D056BA"/>
    <w:p w:rsidR="002B022C" w:rsidRPr="00B9141D" w:rsidRDefault="002B022C" w:rsidP="0050731E">
      <w:pPr>
        <w:jc w:val="right"/>
        <w:rPr>
          <w:spacing w:val="-2"/>
        </w:rPr>
      </w:pPr>
    </w:p>
    <w:p w:rsidR="002B022C" w:rsidRDefault="002B022C" w:rsidP="0050731E">
      <w:pPr>
        <w:jc w:val="right"/>
        <w:rPr>
          <w:spacing w:val="-2"/>
        </w:rPr>
      </w:pPr>
      <w:r w:rsidRPr="00B9141D">
        <w:rPr>
          <w:spacing w:val="-2"/>
        </w:rPr>
        <w:t>[End of document]</w:t>
      </w:r>
    </w:p>
    <w:p w:rsidR="00401263" w:rsidRDefault="00401263" w:rsidP="0050731E">
      <w:pPr>
        <w:jc w:val="right"/>
        <w:rPr>
          <w:spacing w:val="-2"/>
        </w:rPr>
      </w:pPr>
    </w:p>
    <w:sectPr w:rsidR="00401263"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69" w:rsidRDefault="006A6069" w:rsidP="006655D3">
      <w:r>
        <w:separator/>
      </w:r>
    </w:p>
    <w:p w:rsidR="006A6069" w:rsidRDefault="006A6069" w:rsidP="006655D3"/>
    <w:p w:rsidR="006A6069" w:rsidRDefault="006A6069" w:rsidP="006655D3"/>
  </w:endnote>
  <w:endnote w:type="continuationSeparator" w:id="0">
    <w:p w:rsidR="006A6069" w:rsidRDefault="006A6069" w:rsidP="006655D3">
      <w:r>
        <w:separator/>
      </w:r>
    </w:p>
    <w:p w:rsidR="006A6069" w:rsidRPr="00294751" w:rsidRDefault="006A6069">
      <w:pPr>
        <w:pStyle w:val="Footer"/>
        <w:spacing w:after="60"/>
        <w:rPr>
          <w:sz w:val="18"/>
          <w:lang w:val="fr-FR"/>
        </w:rPr>
      </w:pPr>
      <w:r w:rsidRPr="00294751">
        <w:rPr>
          <w:sz w:val="18"/>
          <w:lang w:val="fr-FR"/>
        </w:rPr>
        <w:t>[Suite de la note de la page précédente]</w:t>
      </w:r>
    </w:p>
    <w:p w:rsidR="006A6069" w:rsidRPr="00294751" w:rsidRDefault="006A6069" w:rsidP="006655D3">
      <w:pPr>
        <w:rPr>
          <w:lang w:val="fr-FR"/>
        </w:rPr>
      </w:pPr>
    </w:p>
    <w:p w:rsidR="006A6069" w:rsidRPr="00294751" w:rsidRDefault="006A6069" w:rsidP="006655D3">
      <w:pPr>
        <w:rPr>
          <w:lang w:val="fr-FR"/>
        </w:rPr>
      </w:pPr>
    </w:p>
  </w:endnote>
  <w:endnote w:type="continuationNotice" w:id="1">
    <w:p w:rsidR="006A6069" w:rsidRPr="00294751" w:rsidRDefault="006A6069" w:rsidP="006655D3">
      <w:pPr>
        <w:rPr>
          <w:lang w:val="fr-FR"/>
        </w:rPr>
      </w:pPr>
      <w:r w:rsidRPr="00294751">
        <w:rPr>
          <w:lang w:val="fr-FR"/>
        </w:rPr>
        <w:t>[Suite de la note page suivante]</w:t>
      </w:r>
    </w:p>
    <w:p w:rsidR="006A6069" w:rsidRPr="00294751" w:rsidRDefault="006A6069" w:rsidP="006655D3">
      <w:pPr>
        <w:rPr>
          <w:lang w:val="fr-FR"/>
        </w:rPr>
      </w:pPr>
    </w:p>
    <w:p w:rsidR="006A6069" w:rsidRPr="00294751" w:rsidRDefault="006A60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69" w:rsidRDefault="006A6069" w:rsidP="006655D3">
      <w:r>
        <w:separator/>
      </w:r>
    </w:p>
  </w:footnote>
  <w:footnote w:type="continuationSeparator" w:id="0">
    <w:p w:rsidR="006A6069" w:rsidRDefault="006A6069" w:rsidP="006655D3">
      <w:r>
        <w:separator/>
      </w:r>
    </w:p>
  </w:footnote>
  <w:footnote w:type="continuationNotice" w:id="1">
    <w:p w:rsidR="006A6069" w:rsidRPr="00AB530F" w:rsidRDefault="006A60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15" w:rsidRDefault="00EE1215" w:rsidP="00EE1215">
    <w:pPr>
      <w:pStyle w:val="Header"/>
      <w:rPr>
        <w:rStyle w:val="PageNumber"/>
        <w:lang w:val="fr-CH"/>
      </w:rPr>
    </w:pPr>
    <w:proofErr w:type="spellStart"/>
    <w:r>
      <w:rPr>
        <w:rStyle w:val="PageNumber"/>
        <w:lang w:val="fr-CH"/>
      </w:rPr>
      <w:t>CAJ</w:t>
    </w:r>
    <w:proofErr w:type="spellEnd"/>
    <w:r>
      <w:rPr>
        <w:rStyle w:val="PageNumber"/>
        <w:lang w:val="fr-CH"/>
      </w:rPr>
      <w:t>/78/4</w:t>
    </w:r>
    <w:r w:rsidR="002B022C">
      <w:rPr>
        <w:rStyle w:val="PageNumber"/>
        <w:lang w:val="fr-CH"/>
      </w:rPr>
      <w:t xml:space="preserve"> </w:t>
    </w:r>
    <w:proofErr w:type="spellStart"/>
    <w:r w:rsidR="002B022C">
      <w:rPr>
        <w:rStyle w:val="PageNumber"/>
        <w:lang w:val="fr-CH"/>
      </w:rPr>
      <w:t>Add</w:t>
    </w:r>
    <w:proofErr w:type="spellEnd"/>
    <w:r w:rsidR="002B022C">
      <w:rPr>
        <w:rStyle w:val="PageNumber"/>
        <w:lang w:val="fr-CH"/>
      </w:rPr>
      <w:t>.</w:t>
    </w:r>
  </w:p>
  <w:p w:rsidR="00EE1215" w:rsidRPr="003825C6" w:rsidRDefault="00EE1215" w:rsidP="00EE1215">
    <w:pPr>
      <w:pStyle w:val="Header"/>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6473EA">
      <w:rPr>
        <w:rStyle w:val="PageNumber"/>
        <w:noProof/>
        <w:lang w:val="fr-CH"/>
      </w:rPr>
      <w:t>2</w:t>
    </w:r>
    <w:r w:rsidRPr="00C5280D">
      <w:rPr>
        <w:rStyle w:val="PageNumber"/>
        <w:lang w:val="en-US"/>
      </w:rPr>
      <w:fldChar w:fldCharType="end"/>
    </w:r>
  </w:p>
  <w:p w:rsidR="00EE1215" w:rsidRPr="00F06564" w:rsidRDefault="00EE1215" w:rsidP="00EE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672DFD"/>
    <w:multiLevelType w:val="hybridMultilevel"/>
    <w:tmpl w:val="F7425E96"/>
    <w:lvl w:ilvl="0" w:tplc="104A2F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5"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6"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9"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65894"/>
    <w:multiLevelType w:val="hybridMultilevel"/>
    <w:tmpl w:val="D5C0AD76"/>
    <w:lvl w:ilvl="0" w:tplc="E132EE04">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7"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6"/>
  </w:num>
  <w:num w:numId="2">
    <w:abstractNumId w:val="2"/>
  </w:num>
  <w:num w:numId="3">
    <w:abstractNumId w:val="10"/>
  </w:num>
  <w:num w:numId="4">
    <w:abstractNumId w:val="14"/>
  </w:num>
  <w:num w:numId="5">
    <w:abstractNumId w:val="15"/>
  </w:num>
  <w:num w:numId="6">
    <w:abstractNumId w:val="31"/>
  </w:num>
  <w:num w:numId="7">
    <w:abstractNumId w:val="18"/>
  </w:num>
  <w:num w:numId="8">
    <w:abstractNumId w:val="22"/>
  </w:num>
  <w:num w:numId="9">
    <w:abstractNumId w:val="17"/>
  </w:num>
  <w:num w:numId="10">
    <w:abstractNumId w:val="13"/>
  </w:num>
  <w:num w:numId="11">
    <w:abstractNumId w:val="6"/>
  </w:num>
  <w:num w:numId="12">
    <w:abstractNumId w:val="23"/>
  </w:num>
  <w:num w:numId="13">
    <w:abstractNumId w:val="29"/>
  </w:num>
  <w:num w:numId="14">
    <w:abstractNumId w:val="11"/>
  </w:num>
  <w:num w:numId="15">
    <w:abstractNumId w:val="9"/>
  </w:num>
  <w:num w:numId="16">
    <w:abstractNumId w:val="0"/>
  </w:num>
  <w:num w:numId="17">
    <w:abstractNumId w:val="28"/>
  </w:num>
  <w:num w:numId="18">
    <w:abstractNumId w:val="25"/>
  </w:num>
  <w:num w:numId="19">
    <w:abstractNumId w:val="19"/>
  </w:num>
  <w:num w:numId="20">
    <w:abstractNumId w:val="21"/>
  </w:num>
  <w:num w:numId="21">
    <w:abstractNumId w:val="27"/>
  </w:num>
  <w:num w:numId="22">
    <w:abstractNumId w:val="20"/>
  </w:num>
  <w:num w:numId="23">
    <w:abstractNumId w:val="8"/>
  </w:num>
  <w:num w:numId="24">
    <w:abstractNumId w:val="3"/>
  </w:num>
  <w:num w:numId="25">
    <w:abstractNumId w:val="1"/>
  </w:num>
  <w:num w:numId="26">
    <w:abstractNumId w:val="24"/>
  </w:num>
  <w:num w:numId="27">
    <w:abstractNumId w:val="30"/>
  </w:num>
  <w:num w:numId="28">
    <w:abstractNumId w:val="24"/>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9">
    <w:abstractNumId w:val="4"/>
  </w:num>
  <w:num w:numId="30">
    <w:abstractNumId w:val="7"/>
  </w:num>
  <w:num w:numId="31">
    <w:abstractNumId w:val="12"/>
  </w:num>
  <w:num w:numId="32">
    <w:abstractNumId w:val="2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8F"/>
    <w:rsid w:val="00010CF3"/>
    <w:rsid w:val="00011E27"/>
    <w:rsid w:val="000148BC"/>
    <w:rsid w:val="00024654"/>
    <w:rsid w:val="00024AB8"/>
    <w:rsid w:val="00027111"/>
    <w:rsid w:val="00030854"/>
    <w:rsid w:val="00036028"/>
    <w:rsid w:val="0004198B"/>
    <w:rsid w:val="00044642"/>
    <w:rsid w:val="000446B9"/>
    <w:rsid w:val="000471E2"/>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5CA5"/>
    <w:rsid w:val="00172084"/>
    <w:rsid w:val="0017474A"/>
    <w:rsid w:val="001758C6"/>
    <w:rsid w:val="00182B99"/>
    <w:rsid w:val="001C1525"/>
    <w:rsid w:val="001E7466"/>
    <w:rsid w:val="0021332C"/>
    <w:rsid w:val="00213982"/>
    <w:rsid w:val="00243455"/>
    <w:rsid w:val="0024416D"/>
    <w:rsid w:val="002454A5"/>
    <w:rsid w:val="002645BE"/>
    <w:rsid w:val="00264714"/>
    <w:rsid w:val="00271911"/>
    <w:rsid w:val="00273187"/>
    <w:rsid w:val="002800A0"/>
    <w:rsid w:val="002801B3"/>
    <w:rsid w:val="00281060"/>
    <w:rsid w:val="0028242E"/>
    <w:rsid w:val="00285BD0"/>
    <w:rsid w:val="002940E8"/>
    <w:rsid w:val="00294751"/>
    <w:rsid w:val="002A53B1"/>
    <w:rsid w:val="002A6E50"/>
    <w:rsid w:val="002B022C"/>
    <w:rsid w:val="002B4298"/>
    <w:rsid w:val="002B7A36"/>
    <w:rsid w:val="002C256A"/>
    <w:rsid w:val="002D5226"/>
    <w:rsid w:val="00305A7F"/>
    <w:rsid w:val="003152FE"/>
    <w:rsid w:val="00327436"/>
    <w:rsid w:val="00344BD6"/>
    <w:rsid w:val="00350F0B"/>
    <w:rsid w:val="0035528D"/>
    <w:rsid w:val="00361821"/>
    <w:rsid w:val="00361E9E"/>
    <w:rsid w:val="003753EE"/>
    <w:rsid w:val="00394329"/>
    <w:rsid w:val="003A0835"/>
    <w:rsid w:val="003A459D"/>
    <w:rsid w:val="003A5AAF"/>
    <w:rsid w:val="003B700A"/>
    <w:rsid w:val="003C7FBE"/>
    <w:rsid w:val="003D227C"/>
    <w:rsid w:val="003D2B4D"/>
    <w:rsid w:val="003D65A3"/>
    <w:rsid w:val="003E6BAA"/>
    <w:rsid w:val="003F0F8D"/>
    <w:rsid w:val="003F37F5"/>
    <w:rsid w:val="00401263"/>
    <w:rsid w:val="00411D19"/>
    <w:rsid w:val="00425A6A"/>
    <w:rsid w:val="00444A88"/>
    <w:rsid w:val="00474DA4"/>
    <w:rsid w:val="00476B4D"/>
    <w:rsid w:val="004805FA"/>
    <w:rsid w:val="004935D2"/>
    <w:rsid w:val="004B1215"/>
    <w:rsid w:val="004D047D"/>
    <w:rsid w:val="004E655E"/>
    <w:rsid w:val="004F1E9E"/>
    <w:rsid w:val="004F305A"/>
    <w:rsid w:val="0050731E"/>
    <w:rsid w:val="00512164"/>
    <w:rsid w:val="00520297"/>
    <w:rsid w:val="005338F9"/>
    <w:rsid w:val="0054281C"/>
    <w:rsid w:val="00544581"/>
    <w:rsid w:val="0055268D"/>
    <w:rsid w:val="005545DC"/>
    <w:rsid w:val="00571B4D"/>
    <w:rsid w:val="00575DE2"/>
    <w:rsid w:val="00576BE4"/>
    <w:rsid w:val="005779DB"/>
    <w:rsid w:val="005A400A"/>
    <w:rsid w:val="005B269D"/>
    <w:rsid w:val="005F1F8D"/>
    <w:rsid w:val="005F7B92"/>
    <w:rsid w:val="00612379"/>
    <w:rsid w:val="006153B6"/>
    <w:rsid w:val="0061555F"/>
    <w:rsid w:val="006245ED"/>
    <w:rsid w:val="00625215"/>
    <w:rsid w:val="006329AB"/>
    <w:rsid w:val="00636CA6"/>
    <w:rsid w:val="00641200"/>
    <w:rsid w:val="00645872"/>
    <w:rsid w:val="00645CA8"/>
    <w:rsid w:val="006473EA"/>
    <w:rsid w:val="006655D3"/>
    <w:rsid w:val="00667404"/>
    <w:rsid w:val="00687EB4"/>
    <w:rsid w:val="00694F73"/>
    <w:rsid w:val="00695C56"/>
    <w:rsid w:val="006A5CDE"/>
    <w:rsid w:val="006A6069"/>
    <w:rsid w:val="006A644A"/>
    <w:rsid w:val="006B17D2"/>
    <w:rsid w:val="006C224E"/>
    <w:rsid w:val="006D04C6"/>
    <w:rsid w:val="006D780A"/>
    <w:rsid w:val="006E446C"/>
    <w:rsid w:val="0071271E"/>
    <w:rsid w:val="00713B8D"/>
    <w:rsid w:val="00732DEC"/>
    <w:rsid w:val="00735BD5"/>
    <w:rsid w:val="0074325E"/>
    <w:rsid w:val="007451EC"/>
    <w:rsid w:val="00751613"/>
    <w:rsid w:val="00753EE9"/>
    <w:rsid w:val="007556F6"/>
    <w:rsid w:val="00760EEF"/>
    <w:rsid w:val="00777EE5"/>
    <w:rsid w:val="00784836"/>
    <w:rsid w:val="0079023E"/>
    <w:rsid w:val="007A2854"/>
    <w:rsid w:val="007C1D92"/>
    <w:rsid w:val="007C4CB9"/>
    <w:rsid w:val="007C74B9"/>
    <w:rsid w:val="007D0B9D"/>
    <w:rsid w:val="007D19B0"/>
    <w:rsid w:val="007E1B3A"/>
    <w:rsid w:val="007F498F"/>
    <w:rsid w:val="0080679D"/>
    <w:rsid w:val="008108B0"/>
    <w:rsid w:val="00811B20"/>
    <w:rsid w:val="00812609"/>
    <w:rsid w:val="00820042"/>
    <w:rsid w:val="008211B5"/>
    <w:rsid w:val="0082296E"/>
    <w:rsid w:val="00824099"/>
    <w:rsid w:val="00827FE1"/>
    <w:rsid w:val="00842C7D"/>
    <w:rsid w:val="00846D7C"/>
    <w:rsid w:val="00867AC1"/>
    <w:rsid w:val="008751DE"/>
    <w:rsid w:val="00890DF8"/>
    <w:rsid w:val="008A0ADE"/>
    <w:rsid w:val="008A743F"/>
    <w:rsid w:val="008C0970"/>
    <w:rsid w:val="008D0BC5"/>
    <w:rsid w:val="008D2CF7"/>
    <w:rsid w:val="008F4F03"/>
    <w:rsid w:val="009005D0"/>
    <w:rsid w:val="00900C26"/>
    <w:rsid w:val="0090197F"/>
    <w:rsid w:val="00903264"/>
    <w:rsid w:val="00906DDC"/>
    <w:rsid w:val="00934E09"/>
    <w:rsid w:val="00936253"/>
    <w:rsid w:val="00940D46"/>
    <w:rsid w:val="009413F1"/>
    <w:rsid w:val="00952DD4"/>
    <w:rsid w:val="009536A2"/>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765C5"/>
    <w:rsid w:val="00A80F2A"/>
    <w:rsid w:val="00A96C33"/>
    <w:rsid w:val="00AA3041"/>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9141D"/>
    <w:rsid w:val="00BA0E8F"/>
    <w:rsid w:val="00BA43FB"/>
    <w:rsid w:val="00BA62F3"/>
    <w:rsid w:val="00BC127D"/>
    <w:rsid w:val="00BC1FE6"/>
    <w:rsid w:val="00BE0929"/>
    <w:rsid w:val="00C061B6"/>
    <w:rsid w:val="00C2446C"/>
    <w:rsid w:val="00C36AE5"/>
    <w:rsid w:val="00C41F17"/>
    <w:rsid w:val="00C4733D"/>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56BA"/>
    <w:rsid w:val="00D3708D"/>
    <w:rsid w:val="00D40426"/>
    <w:rsid w:val="00D57C96"/>
    <w:rsid w:val="00D57D18"/>
    <w:rsid w:val="00D70E65"/>
    <w:rsid w:val="00D91203"/>
    <w:rsid w:val="00D95174"/>
    <w:rsid w:val="00D95E22"/>
    <w:rsid w:val="00DA4973"/>
    <w:rsid w:val="00DA6F36"/>
    <w:rsid w:val="00DB596E"/>
    <w:rsid w:val="00DB7773"/>
    <w:rsid w:val="00DC00EA"/>
    <w:rsid w:val="00DC3802"/>
    <w:rsid w:val="00DD6208"/>
    <w:rsid w:val="00DF7E99"/>
    <w:rsid w:val="00E07D87"/>
    <w:rsid w:val="00E249C8"/>
    <w:rsid w:val="00E30BCC"/>
    <w:rsid w:val="00E32F7E"/>
    <w:rsid w:val="00E5267B"/>
    <w:rsid w:val="00E559F0"/>
    <w:rsid w:val="00E63C0E"/>
    <w:rsid w:val="00E72D49"/>
    <w:rsid w:val="00E7593C"/>
    <w:rsid w:val="00E7678A"/>
    <w:rsid w:val="00E935F1"/>
    <w:rsid w:val="00E94A81"/>
    <w:rsid w:val="00EA1FFB"/>
    <w:rsid w:val="00EB048E"/>
    <w:rsid w:val="00EB4E9C"/>
    <w:rsid w:val="00EE1215"/>
    <w:rsid w:val="00EE34DF"/>
    <w:rsid w:val="00EF2F89"/>
    <w:rsid w:val="00F03E98"/>
    <w:rsid w:val="00F1237A"/>
    <w:rsid w:val="00F22CBD"/>
    <w:rsid w:val="00F272F1"/>
    <w:rsid w:val="00F31412"/>
    <w:rsid w:val="00F45372"/>
    <w:rsid w:val="00F560F7"/>
    <w:rsid w:val="00F6334D"/>
    <w:rsid w:val="00F63599"/>
    <w:rsid w:val="00F63D1E"/>
    <w:rsid w:val="00F71781"/>
    <w:rsid w:val="00FA49AB"/>
    <w:rsid w:val="00FC5FD0"/>
    <w:rsid w:val="00FE229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55A6B851-5F7B-4DA8-A3CB-394D5E95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A53B1"/>
    <w:pPr>
      <w:keepNext/>
      <w:jc w:val="both"/>
      <w:outlineLvl w:val="0"/>
    </w:pPr>
    <w:rPr>
      <w:rFonts w:ascii="Arial" w:hAnsi="Arial"/>
      <w:caps/>
      <w:spacing w:val="-2"/>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E1215"/>
    <w:pPr>
      <w:tabs>
        <w:tab w:val="right" w:leader="dot" w:pos="9639"/>
      </w:tabs>
      <w:spacing w:before="60"/>
      <w:ind w:lef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EE1215"/>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A459D"/>
    <w:pPr>
      <w:ind w:left="720"/>
      <w:contextualSpacing/>
    </w:pPr>
  </w:style>
  <w:style w:type="table" w:styleId="TableGrid">
    <w:name w:val="Table Grid"/>
    <w:basedOn w:val="TableNormal"/>
    <w:rsid w:val="003A45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3A459D"/>
    <w:rPr>
      <w:rFonts w:ascii="Arial" w:hAnsi="Arial"/>
    </w:rPr>
  </w:style>
  <w:style w:type="character" w:customStyle="1" w:styleId="Heading2Char">
    <w:name w:val="Heading 2 Char"/>
    <w:aliases w:val="VARIETY Char,variety Char"/>
    <w:basedOn w:val="DefaultParagraphFont"/>
    <w:link w:val="Heading2"/>
    <w:rsid w:val="007E1B3A"/>
    <w:rPr>
      <w:rFonts w:ascii="Arial" w:hAnsi="Arial"/>
      <w:u w:val="single"/>
    </w:rPr>
  </w:style>
  <w:style w:type="paragraph" w:styleId="TOCHeading">
    <w:name w:val="TOC Heading"/>
    <w:basedOn w:val="Heading1"/>
    <w:next w:val="Normal"/>
    <w:uiPriority w:val="39"/>
    <w:unhideWhenUsed/>
    <w:qFormat/>
    <w:rsid w:val="002A53B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erChar">
    <w:name w:val="Header Char"/>
    <w:basedOn w:val="DefaultParagraphFont"/>
    <w:link w:val="Header"/>
    <w:uiPriority w:val="99"/>
    <w:rsid w:val="0050731E"/>
    <w:rPr>
      <w:rFonts w:ascii="Arial" w:hAnsi="Arial"/>
      <w:lang w:val="fr-FR"/>
    </w:rPr>
  </w:style>
  <w:style w:type="paragraph" w:styleId="NormalWeb">
    <w:name w:val="Normal (Web)"/>
    <w:basedOn w:val="Normal"/>
    <w:uiPriority w:val="99"/>
    <w:rsid w:val="0050731E"/>
    <w:pPr>
      <w:spacing w:before="100" w:beforeAutospacing="1" w:after="100" w:afterAutospacing="1"/>
      <w:jc w:val="left"/>
    </w:pPr>
    <w:rPr>
      <w:rFonts w:eastAsia="Arial" w:cs="Arial"/>
      <w:szCs w:val="24"/>
      <w:lang w:eastAsia="es-MX"/>
    </w:rPr>
  </w:style>
  <w:style w:type="paragraph" w:customStyle="1" w:styleId="WW-Default">
    <w:name w:val="WW-Default"/>
    <w:rsid w:val="0050731E"/>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50731E"/>
  </w:style>
  <w:style w:type="character" w:customStyle="1" w:styleId="FooterChar">
    <w:name w:val="Footer Char"/>
    <w:aliases w:val="doc_path_name Char"/>
    <w:basedOn w:val="DefaultParagraphFont"/>
    <w:link w:val="Footer"/>
    <w:uiPriority w:val="99"/>
    <w:rsid w:val="0050731E"/>
    <w:rPr>
      <w:rFonts w:ascii="Arial" w:hAnsi="Arial"/>
      <w:sz w:val="14"/>
    </w:rPr>
  </w:style>
  <w:style w:type="paragraph" w:styleId="NoSpacing">
    <w:name w:val="No Spacing"/>
    <w:uiPriority w:val="1"/>
    <w:qFormat/>
    <w:rsid w:val="0050731E"/>
    <w:pPr>
      <w:suppressAutoHyphens/>
      <w:autoSpaceDN w:val="0"/>
      <w:textAlignment w:val="baseline"/>
    </w:pPr>
    <w:rPr>
      <w:rFonts w:ascii="Calibri" w:eastAsia="Calibri" w:hAnsi="Calibri"/>
      <w:sz w:val="22"/>
      <w:szCs w:val="22"/>
      <w:lang w:val="fr-FR"/>
    </w:rPr>
  </w:style>
  <w:style w:type="table" w:customStyle="1" w:styleId="TableGrid1">
    <w:name w:val="Table Grid1"/>
    <w:basedOn w:val="TableNormal"/>
    <w:next w:val="TableGrid"/>
    <w:uiPriority w:val="39"/>
    <w:rsid w:val="0050731E"/>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50731E"/>
    <w:rPr>
      <w:rFonts w:ascii="Arial" w:hAnsi="Arial"/>
      <w:sz w:val="16"/>
    </w:rPr>
  </w:style>
  <w:style w:type="character" w:styleId="CommentReference">
    <w:name w:val="annotation reference"/>
    <w:basedOn w:val="DefaultParagraphFont"/>
    <w:uiPriority w:val="99"/>
    <w:semiHidden/>
    <w:unhideWhenUsed/>
    <w:rsid w:val="0050731E"/>
    <w:rPr>
      <w:sz w:val="16"/>
      <w:szCs w:val="16"/>
    </w:rPr>
  </w:style>
  <w:style w:type="paragraph" w:styleId="CommentText">
    <w:name w:val="annotation text"/>
    <w:basedOn w:val="Normal"/>
    <w:link w:val="CommentTextChar"/>
    <w:uiPriority w:val="99"/>
    <w:semiHidden/>
    <w:unhideWhenUsed/>
    <w:rsid w:val="0050731E"/>
    <w:pPr>
      <w:suppressAutoHyphens/>
      <w:autoSpaceDN w:val="0"/>
      <w:spacing w:after="160"/>
      <w:jc w:val="left"/>
      <w:textAlignment w:val="baseline"/>
    </w:pPr>
    <w:rPr>
      <w:rFonts w:ascii="Calibri" w:eastAsia="Calibri" w:hAnsi="Calibri"/>
      <w:lang w:val="fr-FR"/>
    </w:rPr>
  </w:style>
  <w:style w:type="character" w:customStyle="1" w:styleId="CommentTextChar">
    <w:name w:val="Comment Text Char"/>
    <w:basedOn w:val="DefaultParagraphFont"/>
    <w:link w:val="CommentText"/>
    <w:uiPriority w:val="99"/>
    <w:semiHidden/>
    <w:rsid w:val="0050731E"/>
    <w:rPr>
      <w:rFonts w:ascii="Calibri" w:eastAsia="Calibri" w:hAnsi="Calibri"/>
      <w:lang w:val="fr-FR"/>
    </w:rPr>
  </w:style>
  <w:style w:type="paragraph" w:styleId="CommentSubject">
    <w:name w:val="annotation subject"/>
    <w:basedOn w:val="CommentText"/>
    <w:next w:val="CommentText"/>
    <w:link w:val="CommentSubjectChar"/>
    <w:uiPriority w:val="99"/>
    <w:semiHidden/>
    <w:unhideWhenUsed/>
    <w:rsid w:val="0050731E"/>
    <w:rPr>
      <w:b/>
      <w:bCs/>
    </w:rPr>
  </w:style>
  <w:style w:type="character" w:customStyle="1" w:styleId="CommentSubjectChar">
    <w:name w:val="Comment Subject Char"/>
    <w:basedOn w:val="CommentTextChar"/>
    <w:link w:val="CommentSubject"/>
    <w:uiPriority w:val="99"/>
    <w:semiHidden/>
    <w:rsid w:val="0050731E"/>
    <w:rPr>
      <w:rFonts w:ascii="Calibri" w:eastAsia="Calibri" w:hAnsi="Calibri"/>
      <w:b/>
      <w:bCs/>
      <w:lang w:val="fr-FR"/>
    </w:rPr>
  </w:style>
  <w:style w:type="paragraph" w:styleId="Revision">
    <w:name w:val="Revision"/>
    <w:hidden/>
    <w:uiPriority w:val="99"/>
    <w:semiHidden/>
    <w:rsid w:val="0050731E"/>
    <w:rPr>
      <w:rFonts w:ascii="Calibri" w:eastAsia="Calibri" w:hAnsi="Calibri"/>
      <w:sz w:val="22"/>
      <w:szCs w:val="22"/>
      <w:lang w:val="fr-FR"/>
    </w:rPr>
  </w:style>
  <w:style w:type="paragraph" w:customStyle="1" w:styleId="NormalContent">
    <w:name w:val="Normal Content"/>
    <w:basedOn w:val="Normal"/>
    <w:rsid w:val="0050731E"/>
    <w:pPr>
      <w:autoSpaceDE w:val="0"/>
      <w:autoSpaceDN w:val="0"/>
      <w:spacing w:before="120" w:after="120"/>
      <w:jc w:val="left"/>
    </w:pPr>
    <w:rPr>
      <w:rFonts w:ascii="PT Sans" w:eastAsiaTheme="minorHAnsi" w:hAnsi="PT Sans" w:cs="Calibri"/>
      <w:color w:val="54646E"/>
      <w:sz w:val="22"/>
      <w:szCs w:val="22"/>
      <w:lang w:val="de-DE" w:eastAsia="fr-FR"/>
    </w:rPr>
  </w:style>
  <w:style w:type="paragraph" w:customStyle="1" w:styleId="TableParagraph">
    <w:name w:val="Table Paragraph"/>
    <w:basedOn w:val="Normal"/>
    <w:uiPriority w:val="1"/>
    <w:qFormat/>
    <w:rsid w:val="0050731E"/>
    <w:pPr>
      <w:widowControl w:val="0"/>
      <w:autoSpaceDE w:val="0"/>
      <w:autoSpaceDN w:val="0"/>
      <w:spacing w:line="210" w:lineRule="exact"/>
      <w:ind w:left="71"/>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edv_4/upov_wg_edv_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1678-C85A-40BE-875D-251F82B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565</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CAJ/78/4</vt:lpstr>
    </vt:vector>
  </TitlesOfParts>
  <Company>UPOV</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CAJ/78/4</dc:title>
  <dc:creator>SANCHEZ VIZCAINO GOMEZ Rosa Maria</dc:creator>
  <cp:lastModifiedBy>SANTOS Carla Marina</cp:lastModifiedBy>
  <cp:revision>8</cp:revision>
  <cp:lastPrinted>2016-11-22T15:41:00Z</cp:lastPrinted>
  <dcterms:created xsi:type="dcterms:W3CDTF">2021-10-19T19:32:00Z</dcterms:created>
  <dcterms:modified xsi:type="dcterms:W3CDTF">2021-10-20T14:47:00Z</dcterms:modified>
</cp:coreProperties>
</file>