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1C2857" w:rsidRPr="00E76087" w:rsidTr="004A0054">
        <w:tc>
          <w:tcPr>
            <w:tcW w:w="6522" w:type="dxa"/>
          </w:tcPr>
          <w:p w:rsidR="001C2857" w:rsidRPr="00E76087" w:rsidRDefault="001C2857" w:rsidP="004A0054">
            <w:r w:rsidRPr="00E76087">
              <w:rPr>
                <w:noProof/>
              </w:rPr>
              <w:drawing>
                <wp:inline distT="0" distB="0" distL="0" distR="0" wp14:anchorId="484E1D41" wp14:editId="77C515A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1C2857" w:rsidRPr="00E76087" w:rsidRDefault="001C2857" w:rsidP="004A0054">
            <w:pPr>
              <w:pStyle w:val="Lettrine"/>
            </w:pPr>
            <w:r w:rsidRPr="00E76087">
              <w:t>E</w:t>
            </w:r>
          </w:p>
        </w:tc>
      </w:tr>
      <w:tr w:rsidR="001C2857" w:rsidRPr="00E76087" w:rsidTr="004A0054">
        <w:trPr>
          <w:trHeight w:val="219"/>
        </w:trPr>
        <w:tc>
          <w:tcPr>
            <w:tcW w:w="6522" w:type="dxa"/>
          </w:tcPr>
          <w:p w:rsidR="001C2857" w:rsidRPr="00E76087" w:rsidRDefault="001C2857" w:rsidP="004A0054">
            <w:pPr>
              <w:pStyle w:val="upove"/>
            </w:pPr>
            <w:r w:rsidRPr="00E76087">
              <w:t>International Union for the Protection of New Varieties of Plants</w:t>
            </w:r>
          </w:p>
        </w:tc>
        <w:tc>
          <w:tcPr>
            <w:tcW w:w="3117" w:type="dxa"/>
          </w:tcPr>
          <w:p w:rsidR="001C2857" w:rsidRPr="00E76087" w:rsidRDefault="001C2857" w:rsidP="004A0054"/>
        </w:tc>
      </w:tr>
    </w:tbl>
    <w:p w:rsidR="001C2857" w:rsidRPr="00E76087" w:rsidRDefault="001C2857" w:rsidP="001C2857"/>
    <w:p w:rsidR="001C2857" w:rsidRPr="00E76087" w:rsidRDefault="001C2857" w:rsidP="001C2857"/>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C2857" w:rsidRPr="00E76087" w:rsidTr="004A0054">
        <w:tc>
          <w:tcPr>
            <w:tcW w:w="6512" w:type="dxa"/>
          </w:tcPr>
          <w:p w:rsidR="001C2857" w:rsidRPr="00E76087" w:rsidRDefault="001C2857" w:rsidP="004A0054">
            <w:pPr>
              <w:pStyle w:val="Sessiontc"/>
              <w:spacing w:line="240" w:lineRule="auto"/>
            </w:pPr>
            <w:r w:rsidRPr="00E76087">
              <w:t>Administrative and Legal Committee</w:t>
            </w:r>
          </w:p>
          <w:p w:rsidR="001C2857" w:rsidRPr="00E76087" w:rsidRDefault="001C2857" w:rsidP="004A0054">
            <w:pPr>
              <w:pStyle w:val="Sessiontcplacedate"/>
            </w:pPr>
            <w:r w:rsidRPr="00E76087">
              <w:t>Seventy-Eighth Session</w:t>
            </w:r>
          </w:p>
          <w:p w:rsidR="001C2857" w:rsidRPr="00E76087" w:rsidRDefault="001C2857" w:rsidP="004A0054">
            <w:pPr>
              <w:pStyle w:val="Sessiontcplacedate"/>
              <w:rPr>
                <w:sz w:val="22"/>
              </w:rPr>
            </w:pPr>
            <w:r w:rsidRPr="00E76087">
              <w:t>Geneva, October 27, 2021</w:t>
            </w:r>
          </w:p>
        </w:tc>
        <w:tc>
          <w:tcPr>
            <w:tcW w:w="3127" w:type="dxa"/>
          </w:tcPr>
          <w:p w:rsidR="001C2857" w:rsidRPr="00E76087" w:rsidRDefault="00410154" w:rsidP="004A0054">
            <w:pPr>
              <w:pStyle w:val="Doccode"/>
            </w:pPr>
            <w:proofErr w:type="spellStart"/>
            <w:r>
              <w:t>CAJ</w:t>
            </w:r>
            <w:proofErr w:type="spellEnd"/>
            <w:r>
              <w:t>/78/13</w:t>
            </w:r>
            <w:r w:rsidR="00190C83">
              <w:t>.</w:t>
            </w:r>
          </w:p>
          <w:p w:rsidR="001C2857" w:rsidRPr="00E76087" w:rsidRDefault="001C2857" w:rsidP="004A0054">
            <w:pPr>
              <w:pStyle w:val="Docoriginal"/>
            </w:pPr>
            <w:r w:rsidRPr="00E76087">
              <w:t>Original:</w:t>
            </w:r>
            <w:r w:rsidRPr="00E76087">
              <w:rPr>
                <w:b w:val="0"/>
                <w:spacing w:val="0"/>
              </w:rPr>
              <w:t xml:space="preserve">  English</w:t>
            </w:r>
          </w:p>
          <w:p w:rsidR="001C2857" w:rsidRPr="00E76087" w:rsidRDefault="001C2857" w:rsidP="004A0054">
            <w:pPr>
              <w:pStyle w:val="Docoriginal"/>
            </w:pPr>
            <w:r w:rsidRPr="00E76087">
              <w:t>Date:</w:t>
            </w:r>
            <w:r w:rsidRPr="00E76087">
              <w:rPr>
                <w:b w:val="0"/>
                <w:spacing w:val="0"/>
              </w:rPr>
              <w:t xml:space="preserve">  October </w:t>
            </w:r>
            <w:r w:rsidR="00A40545" w:rsidRPr="00E76087">
              <w:rPr>
                <w:b w:val="0"/>
                <w:spacing w:val="0"/>
              </w:rPr>
              <w:t>2</w:t>
            </w:r>
            <w:r w:rsidR="00D82819" w:rsidRPr="00E76087">
              <w:rPr>
                <w:b w:val="0"/>
                <w:spacing w:val="0"/>
              </w:rPr>
              <w:t>7</w:t>
            </w:r>
            <w:r w:rsidRPr="00E76087">
              <w:rPr>
                <w:b w:val="0"/>
                <w:spacing w:val="0"/>
              </w:rPr>
              <w:t>, 2021</w:t>
            </w:r>
          </w:p>
        </w:tc>
      </w:tr>
    </w:tbl>
    <w:p w:rsidR="000D7780" w:rsidRPr="00E76087" w:rsidRDefault="00233B74" w:rsidP="006A644A">
      <w:pPr>
        <w:pStyle w:val="Titleofdoc0"/>
      </w:pPr>
      <w:r w:rsidRPr="00E76087">
        <w:t>Report</w:t>
      </w:r>
    </w:p>
    <w:p w:rsidR="006A644A" w:rsidRPr="00E76087" w:rsidRDefault="00410154" w:rsidP="006A644A">
      <w:pPr>
        <w:pStyle w:val="preparedby1"/>
        <w:jc w:val="left"/>
      </w:pPr>
      <w:proofErr w:type="gramStart"/>
      <w:r w:rsidRPr="00410154">
        <w:t>adopted</w:t>
      </w:r>
      <w:proofErr w:type="gramEnd"/>
      <w:r w:rsidRPr="00410154">
        <w:t xml:space="preserve"> by the Administrative and Legal Committee</w:t>
      </w:r>
    </w:p>
    <w:p w:rsidR="00050E16" w:rsidRPr="00E76087" w:rsidRDefault="00050E16" w:rsidP="006A644A">
      <w:pPr>
        <w:pStyle w:val="Disclaimer"/>
      </w:pPr>
      <w:r w:rsidRPr="00E76087">
        <w:t>Disclaimer:  this document does not represent UPOV policies or guidance</w:t>
      </w:r>
    </w:p>
    <w:p w:rsidR="001C2857" w:rsidRPr="00E76087" w:rsidRDefault="001C2857" w:rsidP="001C2857">
      <w:pPr>
        <w:keepNext/>
        <w:outlineLvl w:val="1"/>
        <w:rPr>
          <w:u w:val="single"/>
        </w:rPr>
      </w:pPr>
      <w:r w:rsidRPr="00E76087">
        <w:rPr>
          <w:u w:val="single"/>
        </w:rPr>
        <w:t>Opening of the session</w:t>
      </w:r>
    </w:p>
    <w:p w:rsidR="001C2857" w:rsidRPr="00E76087" w:rsidRDefault="001C2857" w:rsidP="001C2857"/>
    <w:p w:rsidR="001C2857" w:rsidRPr="00E76087" w:rsidRDefault="001C2857" w:rsidP="001C2857">
      <w:r w:rsidRPr="00E76087">
        <w:rPr>
          <w:spacing w:val="-2"/>
        </w:rPr>
        <w:fldChar w:fldCharType="begin"/>
      </w:r>
      <w:r w:rsidRPr="00E76087">
        <w:rPr>
          <w:spacing w:val="-2"/>
        </w:rPr>
        <w:instrText xml:space="preserve"> AUTONUM  </w:instrText>
      </w:r>
      <w:r w:rsidRPr="00E76087">
        <w:rPr>
          <w:spacing w:val="-2"/>
        </w:rPr>
        <w:fldChar w:fldCharType="end"/>
      </w:r>
      <w:r w:rsidRPr="00E76087">
        <w:rPr>
          <w:spacing w:val="-2"/>
        </w:rPr>
        <w:tab/>
      </w:r>
      <w:r w:rsidRPr="00E76087">
        <w:t>The Administrative and Legal Committee (CAJ) held its seventy-</w:t>
      </w:r>
      <w:r w:rsidR="004F2C2F" w:rsidRPr="00E76087">
        <w:t xml:space="preserve">eighth </w:t>
      </w:r>
      <w:r w:rsidRPr="00E76087">
        <w:t xml:space="preserve">session via electronic means </w:t>
      </w:r>
      <w:r w:rsidR="004F2C2F" w:rsidRPr="00E76087">
        <w:t>on October 27</w:t>
      </w:r>
      <w:r w:rsidRPr="00E76087">
        <w:t>, 202</w:t>
      </w:r>
      <w:r w:rsidR="004F2C2F" w:rsidRPr="00E76087">
        <w:t>1</w:t>
      </w:r>
      <w:r w:rsidRPr="00E76087">
        <w:t xml:space="preserve">.  The list of participants </w:t>
      </w:r>
      <w:proofErr w:type="gramStart"/>
      <w:r w:rsidRPr="00E76087">
        <w:t>is reproduced</w:t>
      </w:r>
      <w:proofErr w:type="gramEnd"/>
      <w:r w:rsidRPr="00E76087">
        <w:t xml:space="preserve"> in the Annex to this report.</w:t>
      </w:r>
    </w:p>
    <w:p w:rsidR="001C2857" w:rsidRPr="00E76087" w:rsidRDefault="001C2857" w:rsidP="001C2857"/>
    <w:p w:rsidR="001C2857" w:rsidRPr="00E76087" w:rsidRDefault="001C2857" w:rsidP="001C2857">
      <w:r w:rsidRPr="00E76087">
        <w:fldChar w:fldCharType="begin"/>
      </w:r>
      <w:r w:rsidRPr="00E76087">
        <w:instrText xml:space="preserve"> AUTONUM  </w:instrText>
      </w:r>
      <w:r w:rsidRPr="00E76087">
        <w:fldChar w:fldCharType="end"/>
      </w:r>
      <w:r w:rsidRPr="00E76087">
        <w:tab/>
      </w:r>
      <w:proofErr w:type="gramStart"/>
      <w:r w:rsidRPr="00E76087">
        <w:t>The session was opened by</w:t>
      </w:r>
      <w:r w:rsidR="001C7552" w:rsidRPr="00E76087">
        <w:t xml:space="preserve"> Mr. Manuel Antonio Toro </w:t>
      </w:r>
      <w:proofErr w:type="spellStart"/>
      <w:r w:rsidR="001C7552" w:rsidRPr="00E76087">
        <w:t>Ugalde</w:t>
      </w:r>
      <w:proofErr w:type="spellEnd"/>
      <w:r w:rsidR="001C7552" w:rsidRPr="00E76087">
        <w:t xml:space="preserve"> (Chile), Vice</w:t>
      </w:r>
      <w:r w:rsidR="001C7552" w:rsidRPr="00E76087">
        <w:noBreakHyphen/>
      </w:r>
      <w:r w:rsidRPr="00E76087">
        <w:t>Chair of the CAJ, who joined the meeting by electronic means</w:t>
      </w:r>
      <w:proofErr w:type="gramEnd"/>
      <w:r w:rsidRPr="00E76087">
        <w:t xml:space="preserve">.  The </w:t>
      </w:r>
      <w:r w:rsidR="001C7552" w:rsidRPr="00E76087">
        <w:t>Vice</w:t>
      </w:r>
      <w:r w:rsidR="001C7552" w:rsidRPr="00E76087">
        <w:noBreakHyphen/>
      </w:r>
      <w:r w:rsidRPr="00E76087">
        <w:t xml:space="preserve">Chair welcomed the </w:t>
      </w:r>
      <w:r w:rsidR="004F2C2F" w:rsidRPr="00E76087">
        <w:t>participants.</w:t>
      </w:r>
    </w:p>
    <w:p w:rsidR="001C2857" w:rsidRPr="00E76087" w:rsidRDefault="001C2857" w:rsidP="001C2857">
      <w:pPr>
        <w:rPr>
          <w:rFonts w:cs="Arial"/>
          <w:color w:val="000000"/>
          <w:spacing w:val="-2"/>
        </w:rPr>
      </w:pPr>
    </w:p>
    <w:p w:rsidR="001C7552" w:rsidRPr="00E76087" w:rsidRDefault="001C7552" w:rsidP="001C2857">
      <w:pPr>
        <w:rPr>
          <w:rFonts w:cs="Arial"/>
          <w:color w:val="000000"/>
          <w:spacing w:val="-2"/>
        </w:rPr>
      </w:pPr>
      <w:r w:rsidRPr="00E76087">
        <w:fldChar w:fldCharType="begin"/>
      </w:r>
      <w:r w:rsidRPr="00E76087">
        <w:instrText xml:space="preserve"> AUTONUM  </w:instrText>
      </w:r>
      <w:r w:rsidRPr="00E76087">
        <w:fldChar w:fldCharType="end"/>
      </w:r>
      <w:r w:rsidRPr="00E76087">
        <w:tab/>
      </w:r>
      <w:r w:rsidRPr="00E76087">
        <w:rPr>
          <w:rFonts w:cs="Arial"/>
          <w:color w:val="000000"/>
          <w:spacing w:val="-2"/>
        </w:rPr>
        <w:t>The CAJ noted that</w:t>
      </w:r>
      <w:r w:rsidR="00FF6021" w:rsidRPr="00E76087">
        <w:rPr>
          <w:rFonts w:cs="Arial"/>
          <w:color w:val="000000"/>
          <w:spacing w:val="-2"/>
        </w:rPr>
        <w:t>,</w:t>
      </w:r>
      <w:r w:rsidRPr="00E76087">
        <w:rPr>
          <w:rFonts w:cs="Arial"/>
          <w:color w:val="000000"/>
          <w:spacing w:val="-2"/>
        </w:rPr>
        <w:t xml:space="preserve"> </w:t>
      </w:r>
      <w:r w:rsidR="00FF6021" w:rsidRPr="00E76087">
        <w:rPr>
          <w:rFonts w:cs="Arial"/>
          <w:color w:val="000000"/>
          <w:spacing w:val="-2"/>
        </w:rPr>
        <w:t xml:space="preserve">due to </w:t>
      </w:r>
      <w:r w:rsidR="00E76087">
        <w:rPr>
          <w:rFonts w:cs="Arial"/>
          <w:color w:val="000000"/>
          <w:spacing w:val="-2"/>
        </w:rPr>
        <w:t>unavoidable</w:t>
      </w:r>
      <w:r w:rsidR="00E76087" w:rsidRPr="00FF6021">
        <w:rPr>
          <w:rFonts w:cs="Arial"/>
          <w:color w:val="000000"/>
          <w:spacing w:val="-2"/>
        </w:rPr>
        <w:t xml:space="preserve"> </w:t>
      </w:r>
      <w:r w:rsidR="00FF6021" w:rsidRPr="00E76087">
        <w:rPr>
          <w:rFonts w:cs="Arial"/>
          <w:color w:val="000000"/>
          <w:spacing w:val="-2"/>
        </w:rPr>
        <w:t xml:space="preserve">circumstances, </w:t>
      </w:r>
      <w:r w:rsidRPr="00E76087">
        <w:rPr>
          <w:rFonts w:cs="Arial"/>
          <w:color w:val="000000"/>
          <w:spacing w:val="-2"/>
        </w:rPr>
        <w:t xml:space="preserve">Mr. Patrick </w:t>
      </w:r>
      <w:proofErr w:type="spellStart"/>
      <w:r w:rsidRPr="00E76087">
        <w:rPr>
          <w:rFonts w:cs="Arial"/>
          <w:color w:val="000000"/>
          <w:spacing w:val="-2"/>
        </w:rPr>
        <w:t>Ngwediagi</w:t>
      </w:r>
      <w:proofErr w:type="spellEnd"/>
      <w:r w:rsidRPr="00E76087">
        <w:rPr>
          <w:rFonts w:cs="Arial"/>
          <w:color w:val="000000"/>
          <w:spacing w:val="-2"/>
        </w:rPr>
        <w:t xml:space="preserve"> was not in a position to Chair the CAJ and </w:t>
      </w:r>
      <w:r w:rsidR="00FF6021" w:rsidRPr="00E76087">
        <w:rPr>
          <w:rFonts w:cs="Arial"/>
          <w:color w:val="000000"/>
          <w:spacing w:val="-2"/>
        </w:rPr>
        <w:t xml:space="preserve">had requested </w:t>
      </w:r>
      <w:r w:rsidRPr="00E76087">
        <w:t xml:space="preserve">Mr. </w:t>
      </w:r>
      <w:r w:rsidR="00FF6021" w:rsidRPr="00E76087">
        <w:t> </w:t>
      </w:r>
      <w:r w:rsidRPr="00E76087">
        <w:t xml:space="preserve">Manuel Antonio Toro </w:t>
      </w:r>
      <w:proofErr w:type="spellStart"/>
      <w:r w:rsidRPr="00E76087">
        <w:t>Ugalde</w:t>
      </w:r>
      <w:proofErr w:type="spellEnd"/>
      <w:r w:rsidRPr="00E76087">
        <w:rPr>
          <w:rFonts w:cs="Arial"/>
          <w:color w:val="000000"/>
          <w:spacing w:val="-2"/>
        </w:rPr>
        <w:t xml:space="preserve">, Vice Chair of the CAJ, </w:t>
      </w:r>
      <w:r w:rsidR="00FF6021" w:rsidRPr="00E76087">
        <w:rPr>
          <w:rFonts w:cs="Arial"/>
          <w:color w:val="000000"/>
          <w:spacing w:val="-2"/>
        </w:rPr>
        <w:t>to preside over the</w:t>
      </w:r>
      <w:r w:rsidR="00E76087" w:rsidRPr="00E76087">
        <w:rPr>
          <w:rFonts w:cs="Arial"/>
          <w:color w:val="000000"/>
          <w:spacing w:val="-2"/>
        </w:rPr>
        <w:t> </w:t>
      </w:r>
      <w:r w:rsidRPr="00E76087">
        <w:rPr>
          <w:rFonts w:cs="Arial"/>
          <w:color w:val="000000"/>
          <w:spacing w:val="-2"/>
        </w:rPr>
        <w:t>CAJ.</w:t>
      </w:r>
    </w:p>
    <w:p w:rsidR="001C7552" w:rsidRPr="00E76087" w:rsidRDefault="001C7552" w:rsidP="001C2857">
      <w:pPr>
        <w:rPr>
          <w:rFonts w:cs="Arial"/>
          <w:color w:val="000000"/>
          <w:spacing w:val="-2"/>
        </w:rPr>
      </w:pPr>
    </w:p>
    <w:p w:rsidR="001C7552" w:rsidRPr="00E76087" w:rsidRDefault="001C7552" w:rsidP="001C2857">
      <w:pPr>
        <w:rPr>
          <w:rFonts w:cs="Arial"/>
          <w:color w:val="000000"/>
          <w:spacing w:val="-2"/>
        </w:rPr>
      </w:pPr>
    </w:p>
    <w:p w:rsidR="001C2857" w:rsidRPr="00E76087" w:rsidRDefault="001C2857" w:rsidP="001C2857">
      <w:pPr>
        <w:pStyle w:val="Heading2"/>
      </w:pPr>
      <w:r w:rsidRPr="00E76087">
        <w:t>Adoption of the agenda</w:t>
      </w:r>
    </w:p>
    <w:p w:rsidR="001C2857" w:rsidRPr="00E76087" w:rsidRDefault="001C2857" w:rsidP="001C2857">
      <w:pPr>
        <w:pStyle w:val="Heading2"/>
        <w:rPr>
          <w:snapToGrid w:val="0"/>
        </w:rPr>
      </w:pPr>
    </w:p>
    <w:p w:rsidR="001C2857" w:rsidRPr="00E76087" w:rsidRDefault="004F2C2F" w:rsidP="00D82819">
      <w:pPr>
        <w:rPr>
          <w:rFonts w:cs="Arial"/>
        </w:rPr>
      </w:pPr>
      <w:r w:rsidRPr="00E76087">
        <w:rPr>
          <w:spacing w:val="-2"/>
        </w:rPr>
        <w:fldChar w:fldCharType="begin"/>
      </w:r>
      <w:r w:rsidRPr="00E76087">
        <w:rPr>
          <w:spacing w:val="-2"/>
        </w:rPr>
        <w:instrText xml:space="preserve"> AUTONUM  </w:instrText>
      </w:r>
      <w:r w:rsidRPr="00E76087">
        <w:rPr>
          <w:spacing w:val="-2"/>
        </w:rPr>
        <w:fldChar w:fldCharType="end"/>
      </w:r>
      <w:r w:rsidRPr="00E76087">
        <w:rPr>
          <w:spacing w:val="-2"/>
        </w:rPr>
        <w:tab/>
        <w:t xml:space="preserve">The </w:t>
      </w:r>
      <w:r w:rsidRPr="00E76087">
        <w:rPr>
          <w:rFonts w:cs="Arial"/>
        </w:rPr>
        <w:t>CAJ</w:t>
      </w:r>
      <w:r w:rsidRPr="00E76087">
        <w:rPr>
          <w:spacing w:val="-2"/>
        </w:rPr>
        <w:t xml:space="preserve"> adopted the revised draft agenda, as presented in document </w:t>
      </w:r>
      <w:r w:rsidRPr="00E76087">
        <w:rPr>
          <w:rFonts w:cs="Arial"/>
        </w:rPr>
        <w:t>CAJ/78/1 Rev.2</w:t>
      </w:r>
      <w:r w:rsidRPr="00E76087">
        <w:rPr>
          <w:spacing w:val="-2"/>
        </w:rPr>
        <w:t>, and agreed to move item 9</w:t>
      </w:r>
      <w:r w:rsidRPr="00E76087">
        <w:t xml:space="preserve"> “</w:t>
      </w:r>
      <w:r w:rsidRPr="00E76087">
        <w:rPr>
          <w:spacing w:val="-2"/>
        </w:rPr>
        <w:t>PLUTO Plant Variety Database”</w:t>
      </w:r>
      <w:r w:rsidR="007213D3" w:rsidRPr="00E76087">
        <w:rPr>
          <w:spacing w:val="-2"/>
        </w:rPr>
        <w:t xml:space="preserve">, </w:t>
      </w:r>
      <w:r w:rsidRPr="00E76087">
        <w:rPr>
          <w:spacing w:val="-2"/>
        </w:rPr>
        <w:t>after item </w:t>
      </w:r>
      <w:r w:rsidR="007213D3" w:rsidRPr="00E76087">
        <w:rPr>
          <w:spacing w:val="-2"/>
        </w:rPr>
        <w:t>12 “Measures to enhance cooperation in examination (document CAJ/78/9</w:t>
      </w:r>
      <w:r w:rsidR="00E76087" w:rsidRPr="00E76087">
        <w:rPr>
          <w:spacing w:val="-2"/>
          <w:sz w:val="18"/>
        </w:rPr>
        <w:t>)”</w:t>
      </w:r>
      <w:r w:rsidR="00C7365C" w:rsidRPr="00E76087">
        <w:rPr>
          <w:spacing w:val="-2"/>
          <w:sz w:val="18"/>
        </w:rPr>
        <w:t>.</w:t>
      </w:r>
      <w:r w:rsidR="007213D3" w:rsidRPr="00E76087">
        <w:rPr>
          <w:spacing w:val="-2"/>
          <w:sz w:val="18"/>
        </w:rPr>
        <w:t xml:space="preserve"> </w:t>
      </w:r>
    </w:p>
    <w:p w:rsidR="004F2C2F" w:rsidRPr="00E76087" w:rsidRDefault="004F2C2F" w:rsidP="001C2857">
      <w:pPr>
        <w:autoSpaceDE w:val="0"/>
        <w:autoSpaceDN w:val="0"/>
        <w:adjustRightInd w:val="0"/>
        <w:jc w:val="left"/>
        <w:rPr>
          <w:rFonts w:cs="Arial"/>
        </w:rPr>
      </w:pPr>
    </w:p>
    <w:p w:rsidR="00E76087" w:rsidRPr="00E76087" w:rsidRDefault="00E76087" w:rsidP="001C2857">
      <w:pPr>
        <w:autoSpaceDE w:val="0"/>
        <w:autoSpaceDN w:val="0"/>
        <w:adjustRightInd w:val="0"/>
        <w:jc w:val="left"/>
        <w:rPr>
          <w:rFonts w:cs="Arial"/>
        </w:rPr>
      </w:pPr>
    </w:p>
    <w:p w:rsidR="001C2857" w:rsidRPr="00E76087" w:rsidRDefault="001C2857" w:rsidP="001C2857">
      <w:pPr>
        <w:pStyle w:val="Heading2"/>
      </w:pPr>
      <w:r w:rsidRPr="00E76087">
        <w:t xml:space="preserve">Outcome of the consideration of documents by correspondence (document </w:t>
      </w:r>
      <w:r w:rsidR="00093945" w:rsidRPr="00E76087">
        <w:t>CAJ/78/12</w:t>
      </w:r>
      <w:r w:rsidRPr="00E76087">
        <w:t xml:space="preserve">) </w:t>
      </w:r>
    </w:p>
    <w:p w:rsidR="001C2857" w:rsidRPr="00E76087" w:rsidRDefault="001C2857" w:rsidP="001C2857"/>
    <w:p w:rsidR="001C2857" w:rsidRPr="00E76087" w:rsidRDefault="001C2857" w:rsidP="001C2857">
      <w:pPr>
        <w:ind w:left="567" w:hanging="567"/>
        <w:jc w:val="left"/>
      </w:pPr>
      <w:r w:rsidRPr="00E76087">
        <w:rPr>
          <w:snapToGrid w:val="0"/>
        </w:rPr>
        <w:fldChar w:fldCharType="begin"/>
      </w:r>
      <w:r w:rsidRPr="00E76087">
        <w:rPr>
          <w:snapToGrid w:val="0"/>
        </w:rPr>
        <w:instrText xml:space="preserve"> AUTONUM  </w:instrText>
      </w:r>
      <w:r w:rsidRPr="00E76087">
        <w:rPr>
          <w:snapToGrid w:val="0"/>
        </w:rPr>
        <w:fldChar w:fldCharType="end"/>
      </w:r>
      <w:r w:rsidRPr="00E76087">
        <w:rPr>
          <w:snapToGrid w:val="0"/>
        </w:rPr>
        <w:tab/>
      </w:r>
      <w:r w:rsidRPr="00E76087">
        <w:t xml:space="preserve">The </w:t>
      </w:r>
      <w:r w:rsidRPr="00E76087">
        <w:rPr>
          <w:rFonts w:cs="Arial"/>
        </w:rPr>
        <w:t xml:space="preserve">CAJ considered </w:t>
      </w:r>
      <w:r w:rsidR="00093945" w:rsidRPr="00E76087">
        <w:t>document CAJ/78/12</w:t>
      </w:r>
      <w:r w:rsidRPr="00E76087">
        <w:t xml:space="preserve">. </w:t>
      </w:r>
    </w:p>
    <w:p w:rsidR="001C2857" w:rsidRPr="00E76087" w:rsidRDefault="001C2857" w:rsidP="001C2857">
      <w:pPr>
        <w:autoSpaceDE w:val="0"/>
        <w:autoSpaceDN w:val="0"/>
        <w:adjustRightInd w:val="0"/>
        <w:jc w:val="left"/>
        <w:rPr>
          <w:rFonts w:cs="Arial"/>
        </w:rPr>
      </w:pPr>
    </w:p>
    <w:p w:rsidR="00093945" w:rsidRPr="00E76087" w:rsidRDefault="00093945" w:rsidP="00093945">
      <w:pPr>
        <w:spacing w:after="120"/>
      </w:pPr>
      <w:r w:rsidRPr="00E76087">
        <w:fldChar w:fldCharType="begin"/>
      </w:r>
      <w:r w:rsidRPr="00E76087">
        <w:instrText xml:space="preserve"> AUTONUM  </w:instrText>
      </w:r>
      <w:r w:rsidRPr="00E76087">
        <w:fldChar w:fldCharType="end"/>
      </w:r>
      <w:r w:rsidRPr="00E76087">
        <w:tab/>
        <w:t>The CAJ note</w:t>
      </w:r>
      <w:r w:rsidR="00B14365" w:rsidRPr="00E76087">
        <w:t>d</w:t>
      </w:r>
      <w:r w:rsidRPr="00E76087">
        <w:t xml:space="preserve"> the approval of the CAJ by corre</w:t>
      </w:r>
      <w:r w:rsidR="00B2037A" w:rsidRPr="00E76087">
        <w:t>spondence on September 21, 2021</w:t>
      </w:r>
      <w:r w:rsidRPr="00E76087">
        <w:t>, of the decisions contained in the following documents</w:t>
      </w:r>
      <w:r w:rsidR="00C7365C" w:rsidRPr="00E76087">
        <w:t xml:space="preserve"> (see document </w:t>
      </w:r>
      <w:r w:rsidR="007213D3" w:rsidRPr="00E76087">
        <w:t>CAJ/78/12, paragraph 35)</w:t>
      </w:r>
      <w:r w:rsidRPr="00E76087">
        <w:t>:</w:t>
      </w:r>
    </w:p>
    <w:p w:rsidR="00093945" w:rsidRPr="00E76087" w:rsidRDefault="00093945" w:rsidP="00093945">
      <w:pPr>
        <w:spacing w:after="120"/>
      </w:pPr>
      <w:r w:rsidRPr="00E76087">
        <w:tab/>
        <w:t>Development of guidance and information mat</w:t>
      </w:r>
      <w:r w:rsidR="00E76087">
        <w:t>erials (document CAJ/78/3 Rev.)</w:t>
      </w:r>
    </w:p>
    <w:p w:rsidR="00093945" w:rsidRPr="00E76087" w:rsidRDefault="00093945" w:rsidP="00E76087">
      <w:pPr>
        <w:spacing w:after="120"/>
        <w:ind w:left="2694" w:hanging="1701"/>
      </w:pPr>
      <w:r w:rsidRPr="00E76087">
        <w:t>UPOV/INF/16:</w:t>
      </w:r>
      <w:r w:rsidRPr="00E76087">
        <w:tab/>
        <w:t>Exchangeable Software (Revision) (document UPOV/INF/16/10 Draft 2)</w:t>
      </w:r>
    </w:p>
    <w:p w:rsidR="00093945" w:rsidRPr="00E76087" w:rsidRDefault="00093945" w:rsidP="00E76087">
      <w:pPr>
        <w:spacing w:after="120"/>
        <w:ind w:left="2694" w:hanging="1701"/>
      </w:pPr>
      <w:r w:rsidRPr="00E76087">
        <w:t>UPOV/INF/17:</w:t>
      </w:r>
      <w:r w:rsidRPr="00E76087">
        <w:tab/>
        <w:t>Guidelines for DNA Profiling: Molecular Marker Selection and Database Construction (“BMT Guidelines”) (Revision) (document UPOV/INF/17/2 Draft 6)</w:t>
      </w:r>
    </w:p>
    <w:p w:rsidR="00093945" w:rsidRPr="00E76087" w:rsidRDefault="00093945" w:rsidP="00E76087">
      <w:pPr>
        <w:spacing w:after="120"/>
        <w:ind w:left="2694" w:hanging="1701"/>
      </w:pPr>
      <w:r w:rsidRPr="00E76087">
        <w:t>UPOV/INF/22:</w:t>
      </w:r>
      <w:r w:rsidRPr="00E76087">
        <w:tab/>
        <w:t>Software and Equipment Used by Members of the Union (Revision) (document UPOV/INF/22/8 Draft 2)</w:t>
      </w:r>
    </w:p>
    <w:p w:rsidR="00093945" w:rsidRPr="00E76087" w:rsidRDefault="00093945" w:rsidP="00E76087">
      <w:pPr>
        <w:spacing w:after="120"/>
        <w:ind w:left="2694" w:hanging="1701"/>
      </w:pPr>
      <w:r w:rsidRPr="00E76087">
        <w:t>UPOV/INF/23:</w:t>
      </w:r>
      <w:r w:rsidRPr="00E76087">
        <w:tab/>
        <w:t>UPOV Code System (document UPOV/INF/23/1 Draft 3)</w:t>
      </w:r>
    </w:p>
    <w:p w:rsidR="00093945" w:rsidRPr="00E76087" w:rsidRDefault="00093945" w:rsidP="00093945">
      <w:pPr>
        <w:spacing w:after="120"/>
        <w:ind w:left="567"/>
      </w:pPr>
      <w:r w:rsidRPr="00E76087">
        <w:t xml:space="preserve">Explanatory Notes on Variety Denominations under the </w:t>
      </w:r>
      <w:r w:rsidR="007273A5">
        <w:t>UPOV Convention</w:t>
      </w:r>
      <w:r w:rsidRPr="00E76087">
        <w:t xml:space="preserve"> (document CAJ/78/11)</w:t>
      </w:r>
    </w:p>
    <w:p w:rsidR="00093945" w:rsidRPr="00E76087" w:rsidRDefault="00093945" w:rsidP="00E76087">
      <w:pPr>
        <w:spacing w:after="120"/>
        <w:ind w:left="2694" w:hanging="1701"/>
      </w:pPr>
      <w:r w:rsidRPr="00E76087">
        <w:t>UPOV/EXN/DEN:</w:t>
      </w:r>
      <w:r w:rsidRPr="00E76087">
        <w:tab/>
        <w:t xml:space="preserve">Explanatory Notes on Variety Denominations under the </w:t>
      </w:r>
      <w:r w:rsidR="007273A5">
        <w:t>UPOV Convention</w:t>
      </w:r>
      <w:r w:rsidRPr="00E76087">
        <w:t xml:space="preserve"> (document UPOV/EXN/DEN/1 Draft 6)</w:t>
      </w:r>
    </w:p>
    <w:p w:rsidR="00093945" w:rsidRPr="00E76087" w:rsidRDefault="00093945" w:rsidP="00093945">
      <w:r w:rsidRPr="00E76087">
        <w:tab/>
        <w:t>Harvested material (document CAJ/78/5).</w:t>
      </w:r>
    </w:p>
    <w:p w:rsidR="00C03B6D" w:rsidRPr="00E76087" w:rsidRDefault="00C03B6D" w:rsidP="00C03B6D">
      <w:pPr>
        <w:pStyle w:val="Default"/>
      </w:pPr>
    </w:p>
    <w:p w:rsidR="00093945" w:rsidRPr="00E76087" w:rsidRDefault="00C7365C" w:rsidP="00C7365C">
      <w:pPr>
        <w:spacing w:after="480"/>
      </w:pPr>
      <w:r w:rsidRPr="00E76087">
        <w:fldChar w:fldCharType="begin"/>
      </w:r>
      <w:r w:rsidRPr="00E76087">
        <w:instrText xml:space="preserve"> AUTONUM  </w:instrText>
      </w:r>
      <w:r w:rsidRPr="00E76087">
        <w:fldChar w:fldCharType="end"/>
      </w:r>
      <w:r w:rsidRPr="00E76087">
        <w:tab/>
      </w:r>
      <w:r w:rsidR="00C03B6D" w:rsidRPr="00E76087">
        <w:t>The CAJ note</w:t>
      </w:r>
      <w:r w:rsidRPr="00E76087">
        <w:t>d</w:t>
      </w:r>
      <w:r w:rsidR="00C03B6D" w:rsidRPr="00E76087">
        <w:t xml:space="preserve"> the comments on document CAJ/78/5 “Harvested material”, received in response to Circular E-21/123 of August 23, 2021, that ha</w:t>
      </w:r>
      <w:r w:rsidR="00E76087">
        <w:t>d</w:t>
      </w:r>
      <w:r w:rsidR="00C03B6D" w:rsidRPr="00E76087">
        <w:t xml:space="preserve"> not resulted in a rev</w:t>
      </w:r>
      <w:r w:rsidRPr="00E76087">
        <w:t>ision of document CAJ/78/5 (see </w:t>
      </w:r>
      <w:r w:rsidR="00C03B6D" w:rsidRPr="00E76087">
        <w:t>paragraph</w:t>
      </w:r>
      <w:r w:rsidRPr="00E76087">
        <w:t> </w:t>
      </w:r>
      <w:r w:rsidR="00C03B6D" w:rsidRPr="00E76087">
        <w:t>33)</w:t>
      </w:r>
      <w:r w:rsidRPr="00E76087">
        <w:t>.</w:t>
      </w:r>
    </w:p>
    <w:p w:rsidR="001C2857" w:rsidRPr="00E76087" w:rsidRDefault="001C2857" w:rsidP="00E44E22">
      <w:pPr>
        <w:keepNext/>
        <w:rPr>
          <w:u w:val="single"/>
        </w:rPr>
      </w:pPr>
      <w:r w:rsidRPr="00E76087">
        <w:rPr>
          <w:u w:val="single"/>
        </w:rPr>
        <w:lastRenderedPageBreak/>
        <w:t>Report by the Vice Secretary-General on developments in UPOV (document CAJ/7</w:t>
      </w:r>
      <w:r w:rsidR="00B14365" w:rsidRPr="00E76087">
        <w:rPr>
          <w:u w:val="single"/>
        </w:rPr>
        <w:t>8</w:t>
      </w:r>
      <w:r w:rsidRPr="00E76087">
        <w:rPr>
          <w:u w:val="single"/>
        </w:rPr>
        <w:t>/INF/2 and video)</w:t>
      </w:r>
    </w:p>
    <w:p w:rsidR="001C2857" w:rsidRPr="00E76087" w:rsidRDefault="001C2857" w:rsidP="00E44E22">
      <w:pPr>
        <w:keepNext/>
        <w:rPr>
          <w:u w:val="single"/>
        </w:rPr>
      </w:pPr>
    </w:p>
    <w:p w:rsidR="001C2857" w:rsidRPr="00E76087" w:rsidRDefault="001C2857" w:rsidP="001C2857">
      <w:r w:rsidRPr="00E76087">
        <w:fldChar w:fldCharType="begin"/>
      </w:r>
      <w:r w:rsidRPr="00E76087">
        <w:instrText xml:space="preserve"> AUTONUM  </w:instrText>
      </w:r>
      <w:r w:rsidRPr="00E76087">
        <w:fldChar w:fldCharType="end"/>
      </w:r>
      <w:r w:rsidRPr="00E76087">
        <w:tab/>
        <w:t xml:space="preserve">The CAJ noted that a video presentation in English, with subtitles in English, French, German and Spanish, had been made available on the </w:t>
      </w:r>
      <w:r w:rsidR="00B14365" w:rsidRPr="00E76087">
        <w:t>CAJ/78</w:t>
      </w:r>
      <w:r w:rsidRPr="00E76087">
        <w:t xml:space="preserve"> webpage</w:t>
      </w:r>
      <w:r w:rsidR="00F26270" w:rsidRPr="00E76087">
        <w:t xml:space="preserve"> in advance of the CAJ session</w:t>
      </w:r>
      <w:r w:rsidRPr="00E76087">
        <w:t xml:space="preserve">.  A copy of the presentation </w:t>
      </w:r>
      <w:proofErr w:type="gramStart"/>
      <w:r w:rsidRPr="00E76087">
        <w:t>was provided</w:t>
      </w:r>
      <w:proofErr w:type="gramEnd"/>
      <w:r w:rsidRPr="00E76087">
        <w:t xml:space="preserve"> in document C</w:t>
      </w:r>
      <w:r w:rsidR="00B14365" w:rsidRPr="00E76087">
        <w:t>AJ/78</w:t>
      </w:r>
      <w:r w:rsidRPr="00E76087">
        <w:t>/INF/2.</w:t>
      </w:r>
    </w:p>
    <w:p w:rsidR="001C2857" w:rsidRPr="00E76087" w:rsidRDefault="001C2857" w:rsidP="001C2857"/>
    <w:p w:rsidR="001C2857" w:rsidRPr="00E76087" w:rsidRDefault="001C2857" w:rsidP="001C2857">
      <w:r w:rsidRPr="00E76087">
        <w:fldChar w:fldCharType="begin"/>
      </w:r>
      <w:r w:rsidRPr="00E76087">
        <w:instrText xml:space="preserve"> AUTONUM  </w:instrText>
      </w:r>
      <w:r w:rsidRPr="00E76087">
        <w:fldChar w:fldCharType="end"/>
      </w:r>
      <w:r w:rsidRPr="00E76087">
        <w:tab/>
        <w:t>The</w:t>
      </w:r>
      <w:r w:rsidR="00F26270" w:rsidRPr="00E76087">
        <w:t xml:space="preserve"> Vice Secretary</w:t>
      </w:r>
      <w:r w:rsidR="00F26270" w:rsidRPr="00E76087">
        <w:noBreakHyphen/>
        <w:t>General reported that</w:t>
      </w:r>
      <w:r w:rsidRPr="00E76087">
        <w:t xml:space="preserve"> </w:t>
      </w:r>
      <w:r w:rsidR="00B14365" w:rsidRPr="00E76087">
        <w:t xml:space="preserve">Ms. Nadia </w:t>
      </w:r>
      <w:proofErr w:type="spellStart"/>
      <w:r w:rsidR="00B14365" w:rsidRPr="00E76087">
        <w:t>Gianoli</w:t>
      </w:r>
      <w:proofErr w:type="spellEnd"/>
      <w:r w:rsidRPr="00E76087">
        <w:t xml:space="preserve"> </w:t>
      </w:r>
      <w:r w:rsidR="00B14365" w:rsidRPr="00E76087">
        <w:t>had started working at UPOV under an agency contract</w:t>
      </w:r>
      <w:r w:rsidRPr="00E76087">
        <w:t>, s</w:t>
      </w:r>
      <w:r w:rsidR="00B14365" w:rsidRPr="00E76087">
        <w:t>ince</w:t>
      </w:r>
      <w:r w:rsidRPr="00E76087">
        <w:t xml:space="preserve"> </w:t>
      </w:r>
      <w:r w:rsidR="00B14365" w:rsidRPr="00E76087">
        <w:t>September 1, 2021</w:t>
      </w:r>
      <w:r w:rsidR="001A50C3">
        <w:t>,</w:t>
      </w:r>
      <w:r w:rsidR="00F26270" w:rsidRPr="00E76087">
        <w:t xml:space="preserve"> to provide cover for </w:t>
      </w:r>
      <w:r w:rsidR="001A50C3">
        <w:t xml:space="preserve">the </w:t>
      </w:r>
      <w:r w:rsidR="00F26270" w:rsidRPr="00E76087">
        <w:t xml:space="preserve">maternity leave of </w:t>
      </w:r>
      <w:r w:rsidR="00C7365C" w:rsidRPr="00E76087">
        <w:t xml:space="preserve">Ms. </w:t>
      </w:r>
      <w:proofErr w:type="spellStart"/>
      <w:r w:rsidR="00F26270" w:rsidRPr="00E76087">
        <w:t>Urska</w:t>
      </w:r>
      <w:proofErr w:type="spellEnd"/>
      <w:r w:rsidR="00F26270" w:rsidRPr="00E76087">
        <w:t xml:space="preserve"> </w:t>
      </w:r>
      <w:proofErr w:type="spellStart"/>
      <w:r w:rsidR="00F26270" w:rsidRPr="00E76087">
        <w:t>Cerv</w:t>
      </w:r>
      <w:proofErr w:type="spellEnd"/>
      <w:r w:rsidRPr="00E76087">
        <w:t>.</w:t>
      </w:r>
    </w:p>
    <w:p w:rsidR="001C2857" w:rsidRPr="00E76087" w:rsidRDefault="001C2857" w:rsidP="001C2857"/>
    <w:p w:rsidR="001C2857" w:rsidRPr="00E76087" w:rsidRDefault="001C2857" w:rsidP="001C2857"/>
    <w:p w:rsidR="001C2857" w:rsidRPr="00E76087" w:rsidRDefault="001C2857" w:rsidP="001C2857">
      <w:pPr>
        <w:keepNext/>
        <w:rPr>
          <w:u w:val="single"/>
        </w:rPr>
      </w:pPr>
      <w:r w:rsidRPr="00E76087">
        <w:rPr>
          <w:u w:val="single"/>
        </w:rPr>
        <w:t>Report on developments in the Tech</w:t>
      </w:r>
      <w:r w:rsidR="00B14365" w:rsidRPr="00E76087">
        <w:rPr>
          <w:u w:val="single"/>
        </w:rPr>
        <w:t>nical Committee (document CAJ/78</w:t>
      </w:r>
      <w:r w:rsidRPr="00E76087">
        <w:rPr>
          <w:u w:val="single"/>
        </w:rPr>
        <w:t>/2)</w:t>
      </w:r>
    </w:p>
    <w:p w:rsidR="001C2857" w:rsidRPr="00E76087" w:rsidRDefault="001C2857" w:rsidP="001C2857">
      <w:pPr>
        <w:keepNext/>
        <w:rPr>
          <w:u w:val="single"/>
        </w:rPr>
      </w:pPr>
    </w:p>
    <w:p w:rsidR="001C2857" w:rsidRPr="00E76087" w:rsidRDefault="001C2857" w:rsidP="001C2857">
      <w:r w:rsidRPr="00E76087">
        <w:fldChar w:fldCharType="begin"/>
      </w:r>
      <w:r w:rsidRPr="00E76087">
        <w:instrText xml:space="preserve"> AUTONUM  </w:instrText>
      </w:r>
      <w:r w:rsidRPr="00E76087">
        <w:fldChar w:fldCharType="end"/>
      </w:r>
      <w:r w:rsidRPr="00E76087">
        <w:tab/>
        <w:t>The CAJ noted the information in document CAJ/7</w:t>
      </w:r>
      <w:r w:rsidR="00B14365" w:rsidRPr="00E76087">
        <w:t>8</w:t>
      </w:r>
      <w:r w:rsidRPr="00E76087">
        <w:t xml:space="preserve">/2 and in the oral report </w:t>
      </w:r>
      <w:r w:rsidR="001A50C3">
        <w:t xml:space="preserve">made </w:t>
      </w:r>
      <w:r w:rsidRPr="00E76087">
        <w:t>by Mr. Nik </w:t>
      </w:r>
      <w:proofErr w:type="spellStart"/>
      <w:r w:rsidRPr="00E76087">
        <w:t>Hulse</w:t>
      </w:r>
      <w:proofErr w:type="spellEnd"/>
      <w:r w:rsidRPr="00E76087">
        <w:t>, Chair of the Technical Committee (TC).</w:t>
      </w:r>
    </w:p>
    <w:p w:rsidR="00B14365" w:rsidRDefault="00B14365" w:rsidP="001C2857">
      <w:pPr>
        <w:jc w:val="left"/>
        <w:rPr>
          <w:snapToGrid w:val="0"/>
          <w:spacing w:val="-4"/>
          <w:u w:val="single"/>
        </w:rPr>
      </w:pPr>
    </w:p>
    <w:p w:rsidR="00E76087" w:rsidRPr="00E76087" w:rsidRDefault="00E76087" w:rsidP="001C2857">
      <w:pPr>
        <w:jc w:val="left"/>
        <w:rPr>
          <w:snapToGrid w:val="0"/>
          <w:spacing w:val="-4"/>
          <w:u w:val="single"/>
        </w:rPr>
      </w:pPr>
    </w:p>
    <w:p w:rsidR="001C2857" w:rsidRPr="00E76087" w:rsidRDefault="001C2857" w:rsidP="001C2857">
      <w:pPr>
        <w:keepNext/>
        <w:rPr>
          <w:snapToGrid w:val="0"/>
          <w:spacing w:val="-4"/>
          <w:u w:val="single"/>
        </w:rPr>
      </w:pPr>
      <w:r w:rsidRPr="00E76087">
        <w:rPr>
          <w:snapToGrid w:val="0"/>
          <w:spacing w:val="-4"/>
          <w:u w:val="single"/>
        </w:rPr>
        <w:t xml:space="preserve">Development of information materials concerning the </w:t>
      </w:r>
      <w:r w:rsidR="007273A5">
        <w:rPr>
          <w:snapToGrid w:val="0"/>
          <w:spacing w:val="-4"/>
          <w:u w:val="single"/>
        </w:rPr>
        <w:t>UPOV Convention</w:t>
      </w:r>
      <w:r w:rsidRPr="00E76087">
        <w:rPr>
          <w:snapToGrid w:val="0"/>
          <w:spacing w:val="-4"/>
          <w:u w:val="single"/>
        </w:rPr>
        <w:t xml:space="preserve"> (documents</w:t>
      </w:r>
      <w:r w:rsidR="00B14365" w:rsidRPr="00E76087">
        <w:rPr>
          <w:snapToGrid w:val="0"/>
          <w:spacing w:val="-4"/>
          <w:u w:val="single"/>
        </w:rPr>
        <w:t xml:space="preserve"> CAJ/78</w:t>
      </w:r>
      <w:r w:rsidRPr="00E76087">
        <w:rPr>
          <w:snapToGrid w:val="0"/>
          <w:spacing w:val="-4"/>
          <w:u w:val="single"/>
        </w:rPr>
        <w:t>/3 Rev.</w:t>
      </w:r>
      <w:r w:rsidR="00E76087">
        <w:rPr>
          <w:snapToGrid w:val="0"/>
          <w:spacing w:val="-4"/>
          <w:u w:val="single"/>
        </w:rPr>
        <w:t>,</w:t>
      </w:r>
      <w:r w:rsidRPr="00E76087">
        <w:rPr>
          <w:spacing w:val="-4"/>
          <w:u w:val="single"/>
        </w:rPr>
        <w:t xml:space="preserve"> </w:t>
      </w:r>
      <w:r w:rsidR="00B14365" w:rsidRPr="00E76087">
        <w:rPr>
          <w:snapToGrid w:val="0"/>
          <w:spacing w:val="-4"/>
          <w:u w:val="single"/>
        </w:rPr>
        <w:t>CAJ/78/4, CAJ/78/4 Add. and CAJ/78/11</w:t>
      </w:r>
      <w:r w:rsidRPr="00E76087">
        <w:rPr>
          <w:snapToGrid w:val="0"/>
          <w:spacing w:val="-4"/>
          <w:u w:val="single"/>
        </w:rPr>
        <w:t>)</w:t>
      </w:r>
    </w:p>
    <w:p w:rsidR="001C2857" w:rsidRPr="00E76087" w:rsidRDefault="001C2857" w:rsidP="001C2857">
      <w:pPr>
        <w:keepNext/>
      </w:pPr>
    </w:p>
    <w:p w:rsidR="001C2857" w:rsidRPr="00E76087" w:rsidRDefault="001C2857" w:rsidP="001C2857">
      <w:pPr>
        <w:rPr>
          <w:snapToGrid w:val="0"/>
        </w:rPr>
      </w:pPr>
      <w:r w:rsidRPr="00E76087">
        <w:rPr>
          <w:snapToGrid w:val="0"/>
        </w:rPr>
        <w:fldChar w:fldCharType="begin"/>
      </w:r>
      <w:r w:rsidRPr="00E76087">
        <w:rPr>
          <w:snapToGrid w:val="0"/>
        </w:rPr>
        <w:instrText xml:space="preserve"> AUTONUM  </w:instrText>
      </w:r>
      <w:r w:rsidRPr="00E76087">
        <w:rPr>
          <w:snapToGrid w:val="0"/>
        </w:rPr>
        <w:fldChar w:fldCharType="end"/>
      </w:r>
      <w:r w:rsidRPr="00E76087">
        <w:rPr>
          <w:snapToGrid w:val="0"/>
        </w:rPr>
        <w:tab/>
        <w:t>The CAJ</w:t>
      </w:r>
      <w:r w:rsidR="007213D3" w:rsidRPr="00E76087">
        <w:rPr>
          <w:snapToGrid w:val="0"/>
        </w:rPr>
        <w:t xml:space="preserve"> noted that documents </w:t>
      </w:r>
      <w:r w:rsidR="006C19FF" w:rsidRPr="00E76087">
        <w:rPr>
          <w:snapToGrid w:val="0"/>
        </w:rPr>
        <w:t>CAJ/78</w:t>
      </w:r>
      <w:r w:rsidRPr="00E76087">
        <w:rPr>
          <w:snapToGrid w:val="0"/>
        </w:rPr>
        <w:t xml:space="preserve">/3 Rev. </w:t>
      </w:r>
      <w:r w:rsidR="007213D3" w:rsidRPr="00E76087">
        <w:rPr>
          <w:snapToGrid w:val="0"/>
        </w:rPr>
        <w:t xml:space="preserve">and CAJ/78/11 </w:t>
      </w:r>
      <w:proofErr w:type="gramStart"/>
      <w:r w:rsidRPr="00E76087">
        <w:rPr>
          <w:snapToGrid w:val="0"/>
        </w:rPr>
        <w:t>had been considered</w:t>
      </w:r>
      <w:proofErr w:type="gramEnd"/>
      <w:r w:rsidRPr="00E76087">
        <w:rPr>
          <w:snapToGrid w:val="0"/>
        </w:rPr>
        <w:t xml:space="preserve"> by correspondence.  </w:t>
      </w:r>
    </w:p>
    <w:p w:rsidR="001C2857" w:rsidRPr="00E76087" w:rsidRDefault="001C2857" w:rsidP="001C2857">
      <w:pPr>
        <w:rPr>
          <w:snapToGrid w:val="0"/>
        </w:rPr>
      </w:pPr>
    </w:p>
    <w:p w:rsidR="001C2857" w:rsidRPr="00E76087" w:rsidRDefault="001C2857" w:rsidP="001C2857">
      <w:pPr>
        <w:keepNext/>
        <w:rPr>
          <w:snapToGrid w:val="0"/>
        </w:rPr>
      </w:pPr>
      <w:r w:rsidRPr="00E76087">
        <w:rPr>
          <w:snapToGrid w:val="0"/>
        </w:rPr>
        <w:fldChar w:fldCharType="begin"/>
      </w:r>
      <w:r w:rsidRPr="00E76087">
        <w:rPr>
          <w:snapToGrid w:val="0"/>
        </w:rPr>
        <w:instrText xml:space="preserve"> AUTONUM  </w:instrText>
      </w:r>
      <w:r w:rsidRPr="00E76087">
        <w:rPr>
          <w:snapToGrid w:val="0"/>
        </w:rPr>
        <w:fldChar w:fldCharType="end"/>
      </w:r>
      <w:r w:rsidRPr="00E76087">
        <w:rPr>
          <w:snapToGrid w:val="0"/>
        </w:rPr>
        <w:tab/>
        <w:t xml:space="preserve">The CAJ </w:t>
      </w:r>
      <w:r w:rsidRPr="00E76087">
        <w:t>noted</w:t>
      </w:r>
      <w:r w:rsidRPr="00E76087">
        <w:rPr>
          <w:spacing w:val="-2"/>
        </w:rPr>
        <w:t xml:space="preserve"> that the decisions in document</w:t>
      </w:r>
      <w:r w:rsidR="00B2037A" w:rsidRPr="00E76087">
        <w:rPr>
          <w:spacing w:val="-2"/>
        </w:rPr>
        <w:t>s</w:t>
      </w:r>
      <w:r w:rsidRPr="00E76087">
        <w:rPr>
          <w:spacing w:val="-2"/>
        </w:rPr>
        <w:t xml:space="preserve"> </w:t>
      </w:r>
      <w:r w:rsidRPr="00E76087">
        <w:rPr>
          <w:snapToGrid w:val="0"/>
        </w:rPr>
        <w:t>CAJ/7</w:t>
      </w:r>
      <w:r w:rsidR="006C19FF" w:rsidRPr="00E76087">
        <w:rPr>
          <w:snapToGrid w:val="0"/>
        </w:rPr>
        <w:t>8</w:t>
      </w:r>
      <w:r w:rsidRPr="00E76087">
        <w:rPr>
          <w:snapToGrid w:val="0"/>
        </w:rPr>
        <w:t xml:space="preserve">/3 Rev. </w:t>
      </w:r>
      <w:r w:rsidR="007213D3" w:rsidRPr="00E76087">
        <w:rPr>
          <w:snapToGrid w:val="0"/>
        </w:rPr>
        <w:t xml:space="preserve">and CAJ/78/11 </w:t>
      </w:r>
      <w:proofErr w:type="gramStart"/>
      <w:r w:rsidRPr="00E76087">
        <w:rPr>
          <w:spacing w:val="-2"/>
        </w:rPr>
        <w:t>had been taken</w:t>
      </w:r>
      <w:proofErr w:type="gramEnd"/>
      <w:r w:rsidRPr="00E76087">
        <w:rPr>
          <w:spacing w:val="-2"/>
        </w:rPr>
        <w:t xml:space="preserve"> and the following documents had been approved by the</w:t>
      </w:r>
      <w:r w:rsidRPr="00E76087">
        <w:rPr>
          <w:snapToGrid w:val="0"/>
        </w:rPr>
        <w:t xml:space="preserve"> CAJ by correspondence, </w:t>
      </w:r>
      <w:r w:rsidRPr="00E76087">
        <w:rPr>
          <w:spacing w:val="-2"/>
        </w:rPr>
        <w:t xml:space="preserve">as provided in document </w:t>
      </w:r>
      <w:r w:rsidRPr="00E76087">
        <w:rPr>
          <w:snapToGrid w:val="0"/>
        </w:rPr>
        <w:t>CAJ/7</w:t>
      </w:r>
      <w:r w:rsidR="00B14365" w:rsidRPr="00E76087">
        <w:rPr>
          <w:snapToGrid w:val="0"/>
        </w:rPr>
        <w:t>8</w:t>
      </w:r>
      <w:r w:rsidRPr="00E76087">
        <w:rPr>
          <w:snapToGrid w:val="0"/>
        </w:rPr>
        <w:t>/</w:t>
      </w:r>
      <w:r w:rsidR="00B14365" w:rsidRPr="00E76087">
        <w:rPr>
          <w:snapToGrid w:val="0"/>
        </w:rPr>
        <w:t>12, paragraph</w:t>
      </w:r>
      <w:r w:rsidRPr="00E76087">
        <w:rPr>
          <w:snapToGrid w:val="0"/>
        </w:rPr>
        <w:t> </w:t>
      </w:r>
      <w:r w:rsidR="00B14365" w:rsidRPr="00E76087">
        <w:rPr>
          <w:snapToGrid w:val="0"/>
        </w:rPr>
        <w:t>35</w:t>
      </w:r>
      <w:r w:rsidRPr="00E76087">
        <w:rPr>
          <w:snapToGrid w:val="0"/>
        </w:rPr>
        <w:t>.</w:t>
      </w:r>
    </w:p>
    <w:p w:rsidR="001C2857" w:rsidRPr="00E76087" w:rsidRDefault="001C2857" w:rsidP="001C2857"/>
    <w:p w:rsidR="001C2857" w:rsidRPr="00E76087" w:rsidRDefault="001C2857" w:rsidP="00E44E22">
      <w:pPr>
        <w:pStyle w:val="Heading3"/>
        <w:ind w:left="3402"/>
      </w:pPr>
      <w:r w:rsidRPr="00E76087">
        <w:t>Information Materials</w:t>
      </w:r>
    </w:p>
    <w:p w:rsidR="001C2857" w:rsidRPr="00E76087" w:rsidRDefault="001C2857" w:rsidP="00E44E22">
      <w:pPr>
        <w:keepNext/>
        <w:ind w:left="567"/>
        <w:rPr>
          <w:snapToGrid w:val="0"/>
        </w:rPr>
      </w:pPr>
    </w:p>
    <w:p w:rsidR="001C2857" w:rsidRPr="00E76087" w:rsidRDefault="001C2857" w:rsidP="00E44E22">
      <w:pPr>
        <w:pStyle w:val="ListParagraph"/>
        <w:keepNext/>
        <w:ind w:left="3969" w:hanging="2835"/>
        <w:contextualSpacing w:val="0"/>
        <w:rPr>
          <w:rFonts w:cs="Angsana New"/>
          <w:spacing w:val="-2"/>
          <w:szCs w:val="24"/>
          <w:lang w:eastAsia="ja-JP" w:bidi="th-TH"/>
        </w:rPr>
      </w:pPr>
      <w:bookmarkStart w:id="0" w:name="_Toc54004066"/>
      <w:bookmarkStart w:id="1" w:name="_Toc54090408"/>
      <w:bookmarkStart w:id="2" w:name="_Toc54097483"/>
      <w:bookmarkStart w:id="3" w:name="_Toc54097617"/>
      <w:bookmarkStart w:id="4" w:name="_Toc54342182"/>
      <w:r w:rsidRPr="00E76087">
        <w:rPr>
          <w:rFonts w:cs="Angsana New"/>
          <w:spacing w:val="-2"/>
          <w:szCs w:val="24"/>
          <w:lang w:eastAsia="ja-JP" w:bidi="th-TH"/>
        </w:rPr>
        <w:t>Document UPOV/INF/16:</w:t>
      </w:r>
      <w:r w:rsidRPr="00E76087">
        <w:rPr>
          <w:rFonts w:cs="Angsana New"/>
          <w:spacing w:val="-2"/>
          <w:szCs w:val="24"/>
          <w:lang w:eastAsia="ja-JP" w:bidi="th-TH"/>
        </w:rPr>
        <w:tab/>
        <w:t xml:space="preserve">Exchangeable Software (Revision) </w:t>
      </w:r>
      <w:r w:rsidRPr="00E76087">
        <w:rPr>
          <w:rFonts w:cs="Arial"/>
          <w:spacing w:val="-2"/>
        </w:rPr>
        <w:t xml:space="preserve">(document </w:t>
      </w:r>
      <w:r w:rsidRPr="00E76087">
        <w:rPr>
          <w:rFonts w:cs="Angsana New"/>
          <w:spacing w:val="-2"/>
          <w:szCs w:val="24"/>
          <w:lang w:eastAsia="ja-JP" w:bidi="th-TH"/>
        </w:rPr>
        <w:t>UPOV/INF/16/</w:t>
      </w:r>
      <w:r w:rsidR="00B14365" w:rsidRPr="00E76087">
        <w:rPr>
          <w:rFonts w:cs="Angsana New"/>
          <w:spacing w:val="-2"/>
          <w:szCs w:val="24"/>
          <w:lang w:eastAsia="ja-JP" w:bidi="th-TH"/>
        </w:rPr>
        <w:t>10</w:t>
      </w:r>
      <w:r w:rsidRPr="00E76087">
        <w:rPr>
          <w:rFonts w:cs="Angsana New"/>
          <w:spacing w:val="-2"/>
          <w:szCs w:val="24"/>
          <w:lang w:eastAsia="ja-JP" w:bidi="th-TH"/>
        </w:rPr>
        <w:t> Draft 2</w:t>
      </w:r>
      <w:r w:rsidRPr="00E76087">
        <w:rPr>
          <w:rFonts w:cs="Arial"/>
          <w:spacing w:val="-2"/>
        </w:rPr>
        <w:t>)</w:t>
      </w:r>
    </w:p>
    <w:p w:rsidR="00B14365" w:rsidRPr="00E76087" w:rsidRDefault="00B14365" w:rsidP="00E44E22">
      <w:pPr>
        <w:pStyle w:val="ListParagraph"/>
        <w:keepNext/>
        <w:spacing w:before="120"/>
        <w:ind w:left="3969" w:hanging="2835"/>
        <w:contextualSpacing w:val="0"/>
        <w:rPr>
          <w:rFonts w:cs="Angsana New"/>
          <w:szCs w:val="24"/>
          <w:lang w:eastAsia="ja-JP" w:bidi="th-TH"/>
        </w:rPr>
      </w:pPr>
      <w:r w:rsidRPr="00E76087">
        <w:rPr>
          <w:rFonts w:cs="Angsana New"/>
          <w:szCs w:val="24"/>
          <w:lang w:eastAsia="ja-JP" w:bidi="th-TH"/>
        </w:rPr>
        <w:t>Document UPOV/INF/17:</w:t>
      </w:r>
      <w:r w:rsidRPr="00E76087">
        <w:rPr>
          <w:rFonts w:cs="Angsana New"/>
          <w:szCs w:val="24"/>
          <w:lang w:eastAsia="ja-JP" w:bidi="th-TH"/>
        </w:rPr>
        <w:tab/>
      </w:r>
      <w:r w:rsidRPr="00E76087">
        <w:rPr>
          <w:rFonts w:cs="Angsana New"/>
          <w:spacing w:val="2"/>
          <w:szCs w:val="24"/>
          <w:lang w:eastAsia="ja-JP" w:bidi="th-TH"/>
        </w:rPr>
        <w:t xml:space="preserve">Guidelines for DNA Profiling: Molecular Marker Selection and Database Construction (“BMT Guidelines”) (Revision) </w:t>
      </w:r>
      <w:r w:rsidRPr="00E76087">
        <w:rPr>
          <w:rFonts w:cs="Angsana New"/>
          <w:szCs w:val="24"/>
          <w:lang w:eastAsia="ja-JP" w:bidi="th-TH"/>
        </w:rPr>
        <w:t>(document UPOV/INF/17/2 Draft 6)</w:t>
      </w:r>
    </w:p>
    <w:p w:rsidR="001C2857" w:rsidRPr="00E76087" w:rsidRDefault="001C2857" w:rsidP="00E44E22">
      <w:pPr>
        <w:pStyle w:val="ListParagraph"/>
        <w:keepNext/>
        <w:spacing w:before="120"/>
        <w:ind w:left="3969" w:hanging="2835"/>
        <w:contextualSpacing w:val="0"/>
        <w:rPr>
          <w:rFonts w:cs="Angsana New"/>
          <w:szCs w:val="24"/>
          <w:lang w:eastAsia="ja-JP" w:bidi="th-TH"/>
        </w:rPr>
      </w:pPr>
      <w:r w:rsidRPr="00E76087">
        <w:rPr>
          <w:rFonts w:cs="Angsana New"/>
          <w:szCs w:val="24"/>
          <w:lang w:eastAsia="ja-JP" w:bidi="th-TH"/>
        </w:rPr>
        <w:t>Document UPOV/INF/22:</w:t>
      </w:r>
      <w:r w:rsidRPr="00E76087">
        <w:rPr>
          <w:rFonts w:cs="Angsana New"/>
          <w:szCs w:val="24"/>
          <w:lang w:eastAsia="ja-JP" w:bidi="th-TH"/>
        </w:rPr>
        <w:tab/>
        <w:t xml:space="preserve">Software and Equipment Used by Members of the Union (Revision) </w:t>
      </w:r>
      <w:r w:rsidRPr="00E76087">
        <w:rPr>
          <w:rFonts w:cs="Arial"/>
        </w:rPr>
        <w:t>(document </w:t>
      </w:r>
      <w:r w:rsidR="00B14365" w:rsidRPr="00E76087">
        <w:rPr>
          <w:rFonts w:cs="Angsana New"/>
          <w:szCs w:val="24"/>
          <w:lang w:eastAsia="ja-JP" w:bidi="th-TH"/>
        </w:rPr>
        <w:t>UPOV/INF/22/8</w:t>
      </w:r>
      <w:r w:rsidRPr="00E76087">
        <w:rPr>
          <w:rFonts w:cs="Angsana New"/>
          <w:szCs w:val="24"/>
          <w:lang w:eastAsia="ja-JP" w:bidi="th-TH"/>
        </w:rPr>
        <w:t> Draft </w:t>
      </w:r>
      <w:r w:rsidR="00B14365" w:rsidRPr="00E76087">
        <w:rPr>
          <w:rFonts w:cs="Angsana New"/>
          <w:szCs w:val="24"/>
          <w:lang w:eastAsia="ja-JP" w:bidi="th-TH"/>
        </w:rPr>
        <w:t>2</w:t>
      </w:r>
      <w:r w:rsidRPr="00E76087">
        <w:rPr>
          <w:rFonts w:cs="Arial"/>
        </w:rPr>
        <w:t>)</w:t>
      </w:r>
    </w:p>
    <w:p w:rsidR="001C2857" w:rsidRPr="00E76087" w:rsidRDefault="001C2857" w:rsidP="00E44E22">
      <w:pPr>
        <w:pStyle w:val="ListParagraph"/>
        <w:keepNext/>
        <w:spacing w:before="120"/>
        <w:ind w:left="3969" w:hanging="2835"/>
        <w:contextualSpacing w:val="0"/>
        <w:rPr>
          <w:rFonts w:cs="Angsana New"/>
          <w:szCs w:val="24"/>
          <w:lang w:eastAsia="ja-JP" w:bidi="th-TH"/>
        </w:rPr>
      </w:pPr>
      <w:r w:rsidRPr="00E76087">
        <w:rPr>
          <w:rFonts w:cs="Angsana New"/>
          <w:szCs w:val="24"/>
          <w:lang w:eastAsia="ja-JP" w:bidi="th-TH"/>
        </w:rPr>
        <w:t>Document UPOV/INF/23:</w:t>
      </w:r>
      <w:r w:rsidRPr="00E76087">
        <w:rPr>
          <w:rFonts w:cs="Angsana New"/>
          <w:szCs w:val="24"/>
          <w:lang w:eastAsia="ja-JP" w:bidi="th-TH"/>
        </w:rPr>
        <w:tab/>
        <w:t>UPOV Code System (document UPOV/INF/23/1 Draft </w:t>
      </w:r>
      <w:r w:rsidR="00B14365" w:rsidRPr="00E76087">
        <w:rPr>
          <w:rFonts w:cs="Angsana New"/>
          <w:szCs w:val="24"/>
          <w:lang w:eastAsia="ja-JP" w:bidi="th-TH"/>
        </w:rPr>
        <w:t>3</w:t>
      </w:r>
      <w:r w:rsidRPr="00E76087">
        <w:rPr>
          <w:rFonts w:cs="Angsana New"/>
          <w:szCs w:val="24"/>
          <w:lang w:eastAsia="ja-JP" w:bidi="th-TH"/>
        </w:rPr>
        <w:t>)</w:t>
      </w:r>
    </w:p>
    <w:p w:rsidR="001C2857" w:rsidRPr="00E76087" w:rsidRDefault="001C2857" w:rsidP="00E44E22">
      <w:pPr>
        <w:pStyle w:val="Heading3"/>
        <w:ind w:left="3402"/>
      </w:pPr>
    </w:p>
    <w:p w:rsidR="001C2857" w:rsidRPr="00E76087" w:rsidRDefault="00B14365" w:rsidP="00E44E22">
      <w:pPr>
        <w:pStyle w:val="Heading3"/>
        <w:ind w:left="3402"/>
      </w:pPr>
      <w:r w:rsidRPr="00E76087">
        <w:t>Explanatory Notes</w:t>
      </w:r>
    </w:p>
    <w:p w:rsidR="001C2857" w:rsidRPr="00E76087" w:rsidRDefault="00B14365" w:rsidP="00E44E22">
      <w:pPr>
        <w:pStyle w:val="ListParagraph"/>
        <w:spacing w:before="120"/>
        <w:ind w:left="3402" w:hanging="2268"/>
        <w:contextualSpacing w:val="0"/>
        <w:rPr>
          <w:rFonts w:cs="Angsana New"/>
          <w:szCs w:val="24"/>
          <w:lang w:eastAsia="ja-JP" w:bidi="th-TH"/>
        </w:rPr>
      </w:pPr>
      <w:r w:rsidRPr="00E76087">
        <w:rPr>
          <w:rFonts w:cs="Angsana New"/>
          <w:szCs w:val="24"/>
          <w:lang w:eastAsia="ja-JP" w:bidi="th-TH"/>
        </w:rPr>
        <w:t>UPOV/EXN/DEN</w:t>
      </w:r>
      <w:r w:rsidR="001C2857" w:rsidRPr="00E76087">
        <w:rPr>
          <w:rFonts w:cs="Arial"/>
          <w:lang w:eastAsia="ja-JP" w:bidi="th-TH"/>
        </w:rPr>
        <w:t>:</w:t>
      </w:r>
      <w:r w:rsidR="001C2857" w:rsidRPr="00E76087">
        <w:rPr>
          <w:rFonts w:cs="Arial"/>
          <w:lang w:eastAsia="ja-JP" w:bidi="th-TH"/>
        </w:rPr>
        <w:tab/>
      </w:r>
      <w:r w:rsidRPr="00E76087">
        <w:rPr>
          <w:rFonts w:cs="Arial"/>
          <w:lang w:eastAsia="ja-JP" w:bidi="th-TH"/>
        </w:rPr>
        <w:t xml:space="preserve">Explanatory Notes on Variety Denominations under the </w:t>
      </w:r>
      <w:r w:rsidR="007273A5">
        <w:rPr>
          <w:rFonts w:cs="Arial"/>
          <w:lang w:eastAsia="ja-JP" w:bidi="th-TH"/>
        </w:rPr>
        <w:t>UPOV Convention</w:t>
      </w:r>
      <w:r w:rsidRPr="00E76087">
        <w:rPr>
          <w:rFonts w:cs="Arial"/>
          <w:lang w:eastAsia="ja-JP" w:bidi="th-TH"/>
        </w:rPr>
        <w:t xml:space="preserve"> (document UPOV/EXN/DEN/1 Draft 6)</w:t>
      </w:r>
    </w:p>
    <w:p w:rsidR="00B14365" w:rsidRPr="00E76087" w:rsidRDefault="00B14365" w:rsidP="001C2857">
      <w:pPr>
        <w:keepNext/>
        <w:jc w:val="left"/>
      </w:pPr>
    </w:p>
    <w:p w:rsidR="001C2857" w:rsidRPr="00E76087" w:rsidRDefault="001C2857" w:rsidP="001C2857">
      <w:r w:rsidRPr="00E76087">
        <w:fldChar w:fldCharType="begin"/>
      </w:r>
      <w:r w:rsidRPr="00E76087">
        <w:instrText xml:space="preserve"> AUTONUM  </w:instrText>
      </w:r>
      <w:r w:rsidRPr="00E76087">
        <w:fldChar w:fldCharType="end"/>
      </w:r>
      <w:r w:rsidRPr="00E76087">
        <w:tab/>
        <w:t xml:space="preserve">The CAJ noted the report from the Office of the Union that the </w:t>
      </w:r>
      <w:r w:rsidRPr="00E76087">
        <w:rPr>
          <w:rFonts w:eastAsia="MS Mincho"/>
          <w:lang w:eastAsia="ja-JP"/>
        </w:rPr>
        <w:t>information materials</w:t>
      </w:r>
      <w:r w:rsidRPr="00E76087">
        <w:rPr>
          <w:rFonts w:eastAsia="MS Mincho"/>
          <w:spacing w:val="-2"/>
          <w:lang w:eastAsia="ja-JP"/>
        </w:rPr>
        <w:t xml:space="preserve"> </w:t>
      </w:r>
      <w:r w:rsidRPr="00E76087">
        <w:rPr>
          <w:rFonts w:eastAsia="MS Mincho"/>
          <w:lang w:eastAsia="ja-JP"/>
        </w:rPr>
        <w:t xml:space="preserve">and </w:t>
      </w:r>
      <w:r w:rsidR="00A1165A" w:rsidRPr="00E76087">
        <w:t xml:space="preserve">explanatory notes </w:t>
      </w:r>
      <w:r w:rsidRPr="00E76087">
        <w:rPr>
          <w:rFonts w:eastAsia="MS Mincho"/>
          <w:spacing w:val="-2"/>
          <w:lang w:eastAsia="ja-JP"/>
        </w:rPr>
        <w:t xml:space="preserve">above </w:t>
      </w:r>
      <w:r w:rsidRPr="00E76087">
        <w:t xml:space="preserve">had been adopted by the Council on </w:t>
      </w:r>
      <w:r w:rsidR="00A1165A" w:rsidRPr="00E76087">
        <w:t>September 21</w:t>
      </w:r>
      <w:r w:rsidRPr="00E76087">
        <w:t>, 202</w:t>
      </w:r>
      <w:r w:rsidR="00A1165A" w:rsidRPr="00E76087">
        <w:t>1</w:t>
      </w:r>
      <w:r w:rsidRPr="00E76087">
        <w:t>, in the procedure by correspondence (see document C/5</w:t>
      </w:r>
      <w:r w:rsidR="00A1165A" w:rsidRPr="00E76087">
        <w:t>5</w:t>
      </w:r>
      <w:r w:rsidRPr="00E76087">
        <w:t>/1</w:t>
      </w:r>
      <w:r w:rsidR="00A1165A" w:rsidRPr="00E76087">
        <w:t>2</w:t>
      </w:r>
      <w:r w:rsidRPr="00E76087">
        <w:t xml:space="preserve"> “Outcome of consideration of documents by correspondence”, paragraph</w:t>
      </w:r>
      <w:r w:rsidR="00250EFC" w:rsidRPr="00E76087">
        <w:t>s 11 and</w:t>
      </w:r>
      <w:r w:rsidR="00A1165A" w:rsidRPr="00E76087">
        <w:t> 32</w:t>
      </w:r>
      <w:r w:rsidRPr="00E76087">
        <w:t xml:space="preserve">).  </w:t>
      </w:r>
    </w:p>
    <w:bookmarkEnd w:id="0"/>
    <w:bookmarkEnd w:id="1"/>
    <w:bookmarkEnd w:id="2"/>
    <w:bookmarkEnd w:id="3"/>
    <w:bookmarkEnd w:id="4"/>
    <w:p w:rsidR="001C2857" w:rsidRPr="00E76087" w:rsidRDefault="001C2857" w:rsidP="00A21386"/>
    <w:p w:rsidR="001C2857" w:rsidRPr="00E76087" w:rsidRDefault="001C2857" w:rsidP="00A1165A">
      <w:pPr>
        <w:pStyle w:val="Heading4"/>
        <w:rPr>
          <w:snapToGrid w:val="0"/>
          <w:kern w:val="28"/>
        </w:rPr>
      </w:pPr>
      <w:bookmarkStart w:id="5" w:name="_Toc54004067"/>
      <w:bookmarkStart w:id="6" w:name="_Toc54090409"/>
      <w:bookmarkStart w:id="7" w:name="_Toc54097484"/>
      <w:bookmarkStart w:id="8" w:name="_Toc54097618"/>
      <w:bookmarkStart w:id="9" w:name="_Toc54342183"/>
      <w:r w:rsidRPr="00E76087">
        <w:t>UPOV/EXN/</w:t>
      </w:r>
      <w:r w:rsidR="00E44E22" w:rsidRPr="00E76087">
        <w:t>EDV</w:t>
      </w:r>
      <w:r w:rsidRPr="00E76087">
        <w:t xml:space="preserve">:  </w:t>
      </w:r>
      <w:r w:rsidR="00A1165A" w:rsidRPr="00E76087">
        <w:t xml:space="preserve">Explanatory Notes on Essentially Derived Varieties under the 1991 Act of the </w:t>
      </w:r>
      <w:r w:rsidR="007273A5">
        <w:t>UPOV Convention</w:t>
      </w:r>
      <w:r w:rsidRPr="00E76087">
        <w:t xml:space="preserve"> (documents</w:t>
      </w:r>
      <w:r w:rsidRPr="00E76087">
        <w:rPr>
          <w:snapToGrid w:val="0"/>
        </w:rPr>
        <w:t> </w:t>
      </w:r>
      <w:r w:rsidR="00A1165A" w:rsidRPr="00E76087">
        <w:rPr>
          <w:snapToGrid w:val="0"/>
        </w:rPr>
        <w:t>CAJ/78/4, CAJ/78/4 Add. and UPOV/EXN/EDV/3 Draft 2</w:t>
      </w:r>
      <w:r w:rsidRPr="00E76087">
        <w:rPr>
          <w:snapToGrid w:val="0"/>
        </w:rPr>
        <w:t>)</w:t>
      </w:r>
      <w:bookmarkEnd w:id="5"/>
      <w:bookmarkEnd w:id="6"/>
      <w:bookmarkEnd w:id="7"/>
      <w:bookmarkEnd w:id="8"/>
      <w:bookmarkEnd w:id="9"/>
    </w:p>
    <w:p w:rsidR="006501D4" w:rsidRPr="00E76087" w:rsidRDefault="006501D4" w:rsidP="001C2857"/>
    <w:p w:rsidR="001C2857" w:rsidRPr="00E76087" w:rsidRDefault="00467B99" w:rsidP="001C2857">
      <w:r w:rsidRPr="00E76087">
        <w:fldChar w:fldCharType="begin"/>
      </w:r>
      <w:r w:rsidRPr="00E76087">
        <w:instrText xml:space="preserve"> AUTONUM  </w:instrText>
      </w:r>
      <w:r w:rsidRPr="00E76087">
        <w:fldChar w:fldCharType="end"/>
      </w:r>
      <w:r w:rsidRPr="00E76087">
        <w:tab/>
      </w:r>
      <w:r w:rsidR="001C2857" w:rsidRPr="00E76087">
        <w:t xml:space="preserve">The </w:t>
      </w:r>
      <w:r w:rsidR="001C2857" w:rsidRPr="00E76087">
        <w:rPr>
          <w:snapToGrid w:val="0"/>
        </w:rPr>
        <w:t xml:space="preserve">CAJ </w:t>
      </w:r>
      <w:r w:rsidR="001C2857" w:rsidRPr="00E76087">
        <w:t xml:space="preserve">considered documents </w:t>
      </w:r>
      <w:r w:rsidR="006501D4" w:rsidRPr="00E76087">
        <w:rPr>
          <w:snapToGrid w:val="0"/>
        </w:rPr>
        <w:t xml:space="preserve">CAJ/78/4, CAJ/78/4 Add. </w:t>
      </w:r>
      <w:proofErr w:type="gramStart"/>
      <w:r w:rsidR="001C2857" w:rsidRPr="00E76087">
        <w:t>and</w:t>
      </w:r>
      <w:proofErr w:type="gramEnd"/>
      <w:r w:rsidR="001C2857" w:rsidRPr="00E76087">
        <w:t xml:space="preserve"> document</w:t>
      </w:r>
      <w:r w:rsidR="001C2857" w:rsidRPr="00E76087">
        <w:rPr>
          <w:snapToGrid w:val="0"/>
        </w:rPr>
        <w:t> </w:t>
      </w:r>
      <w:r w:rsidR="00A1165A" w:rsidRPr="00E76087">
        <w:rPr>
          <w:snapToGrid w:val="0"/>
        </w:rPr>
        <w:t>UPOV/EXN/EDV/3 Draft 2</w:t>
      </w:r>
      <w:r w:rsidR="001C2857" w:rsidRPr="00E76087">
        <w:t>.</w:t>
      </w:r>
    </w:p>
    <w:p w:rsidR="001C2857" w:rsidRPr="00E76087" w:rsidRDefault="001C2857" w:rsidP="001C2857">
      <w:pPr>
        <w:rPr>
          <w:highlight w:val="yellow"/>
        </w:rPr>
      </w:pPr>
    </w:p>
    <w:p w:rsidR="00467B99" w:rsidRPr="00E76087" w:rsidRDefault="00467B99" w:rsidP="00467B99">
      <w:r w:rsidRPr="00E76087">
        <w:fldChar w:fldCharType="begin"/>
      </w:r>
      <w:r w:rsidRPr="00E76087">
        <w:instrText xml:space="preserve"> AUTONUM  </w:instrText>
      </w:r>
      <w:r w:rsidRPr="00E76087">
        <w:fldChar w:fldCharType="end"/>
      </w:r>
      <w:r w:rsidRPr="00E76087">
        <w:tab/>
        <w:t xml:space="preserve">The CAJ noted the developments concerning the revision of document UPOV/EXN/EDV/2 “Explanatory Notes on Essentially Derived Varieties under the 1991 Act of the </w:t>
      </w:r>
      <w:r w:rsidR="007273A5">
        <w:t>UPOV Convention</w:t>
      </w:r>
      <w:r w:rsidR="00694AFE" w:rsidRPr="00E76087">
        <w:t>” and the work of the WG</w:t>
      </w:r>
      <w:r w:rsidR="006501D4" w:rsidRPr="00E76087">
        <w:noBreakHyphen/>
      </w:r>
      <w:r w:rsidRPr="00E76087">
        <w:t xml:space="preserve">EDV, as reported in </w:t>
      </w:r>
      <w:r w:rsidR="006501D4" w:rsidRPr="00E76087">
        <w:t>document CAJ/78/4.</w:t>
      </w:r>
    </w:p>
    <w:p w:rsidR="00D82819" w:rsidRPr="00E76087" w:rsidRDefault="00D82819" w:rsidP="00467B99"/>
    <w:p w:rsidR="007273A5" w:rsidRDefault="007273A5">
      <w:pPr>
        <w:jc w:val="left"/>
        <w:rPr>
          <w:highlight w:val="cyan"/>
        </w:rPr>
      </w:pPr>
      <w:r>
        <w:rPr>
          <w:highlight w:val="cyan"/>
        </w:rPr>
        <w:br w:type="page"/>
      </w:r>
    </w:p>
    <w:p w:rsidR="00250EFC" w:rsidRPr="00E76087" w:rsidRDefault="00250EFC" w:rsidP="00250EFC">
      <w:pPr>
        <w:rPr>
          <w:rFonts w:cs="Arial"/>
          <w:spacing w:val="-2"/>
        </w:rPr>
      </w:pPr>
      <w:r w:rsidRPr="007273A5">
        <w:lastRenderedPageBreak/>
        <w:fldChar w:fldCharType="begin"/>
      </w:r>
      <w:r w:rsidRPr="007273A5">
        <w:instrText xml:space="preserve"> AUTONUM  </w:instrText>
      </w:r>
      <w:r w:rsidRPr="007273A5">
        <w:fldChar w:fldCharType="end"/>
      </w:r>
      <w:r w:rsidRPr="007273A5">
        <w:tab/>
        <w:t xml:space="preserve">The CAJ noted </w:t>
      </w:r>
      <w:r w:rsidRPr="007273A5">
        <w:rPr>
          <w:rFonts w:cs="Arial"/>
          <w:spacing w:val="-2"/>
        </w:rPr>
        <w:t>that the WG-EDV</w:t>
      </w:r>
      <w:r w:rsidRPr="007273A5">
        <w:t>, at its fourth meeting, had agreed the following changes to the text of</w:t>
      </w:r>
      <w:r w:rsidRPr="007273A5">
        <w:rPr>
          <w:rFonts w:cs="Arial"/>
          <w:spacing w:val="-2"/>
        </w:rPr>
        <w:t xml:space="preserve"> document UPOV/EXN/EDV/3 Draft 2 “Explanatory Notes on Essentially Derived Varieties under the 1991 Act of the </w:t>
      </w:r>
      <w:r w:rsidR="007273A5">
        <w:rPr>
          <w:rFonts w:cs="Arial"/>
          <w:spacing w:val="-2"/>
        </w:rPr>
        <w:t>UPOV Convention</w:t>
      </w:r>
      <w:r w:rsidRPr="007273A5">
        <w:rPr>
          <w:rFonts w:cs="Arial"/>
          <w:spacing w:val="-2"/>
        </w:rPr>
        <w:t xml:space="preserve"> (Revision)”:</w:t>
      </w:r>
    </w:p>
    <w:p w:rsidR="00250EFC" w:rsidRPr="00E76087" w:rsidRDefault="00250EFC" w:rsidP="00250EFC">
      <w:pPr>
        <w:rPr>
          <w:rFonts w:cs="Arial"/>
          <w:spacing w:val="-2"/>
          <w:highlight w:val="yellow"/>
        </w:rPr>
      </w:pPr>
    </w:p>
    <w:tbl>
      <w:tblPr>
        <w:tblStyle w:val="TableGrid"/>
        <w:tblW w:w="0" w:type="auto"/>
        <w:tblLook w:val="04A0" w:firstRow="1" w:lastRow="0" w:firstColumn="1" w:lastColumn="0" w:noHBand="0" w:noVBand="1"/>
      </w:tblPr>
      <w:tblGrid>
        <w:gridCol w:w="4814"/>
        <w:gridCol w:w="4815"/>
      </w:tblGrid>
      <w:tr w:rsidR="00250EFC" w:rsidRPr="00E76087" w:rsidTr="004A0054">
        <w:tc>
          <w:tcPr>
            <w:tcW w:w="4814" w:type="dxa"/>
            <w:shd w:val="clear" w:color="auto" w:fill="F2F2F2" w:themeFill="background1" w:themeFillShade="F2"/>
            <w:vAlign w:val="center"/>
          </w:tcPr>
          <w:p w:rsidR="00250EFC" w:rsidRPr="00E76087" w:rsidRDefault="00250EFC" w:rsidP="004A0054">
            <w:pPr>
              <w:rPr>
                <w:rFonts w:cs="Arial"/>
                <w:spacing w:val="-2"/>
                <w:sz w:val="18"/>
              </w:rPr>
            </w:pPr>
            <w:r w:rsidRPr="00E76087">
              <w:rPr>
                <w:rFonts w:cs="Arial"/>
                <w:spacing w:val="-2"/>
                <w:sz w:val="18"/>
              </w:rPr>
              <w:t xml:space="preserve">Document </w:t>
            </w:r>
            <w:r w:rsidRPr="00E76087">
              <w:rPr>
                <w:spacing w:val="-2"/>
                <w:sz w:val="18"/>
              </w:rPr>
              <w:t>UPOV/EXN/EDV/3 Draft 2</w:t>
            </w:r>
          </w:p>
        </w:tc>
        <w:tc>
          <w:tcPr>
            <w:tcW w:w="4815" w:type="dxa"/>
            <w:shd w:val="clear" w:color="auto" w:fill="F2F2F2" w:themeFill="background1" w:themeFillShade="F2"/>
            <w:vAlign w:val="center"/>
          </w:tcPr>
          <w:p w:rsidR="00250EFC" w:rsidRPr="00E76087" w:rsidRDefault="00250EFC" w:rsidP="004A0054">
            <w:pPr>
              <w:keepNext/>
              <w:spacing w:before="120" w:after="120"/>
              <w:rPr>
                <w:rFonts w:cs="Arial"/>
                <w:sz w:val="18"/>
              </w:rPr>
            </w:pPr>
            <w:r w:rsidRPr="00E76087">
              <w:rPr>
                <w:rFonts w:cs="Arial"/>
                <w:sz w:val="18"/>
              </w:rPr>
              <w:t>Changes agreed by the WG-EDV at its fourth meeting</w:t>
            </w:r>
          </w:p>
        </w:tc>
      </w:tr>
      <w:tr w:rsidR="00250EFC" w:rsidRPr="00E76087" w:rsidTr="004A0054">
        <w:tc>
          <w:tcPr>
            <w:tcW w:w="4814" w:type="dxa"/>
          </w:tcPr>
          <w:p w:rsidR="00250EFC" w:rsidRPr="00E76087" w:rsidRDefault="00250EFC" w:rsidP="004A0054">
            <w:pPr>
              <w:rPr>
                <w:rFonts w:cs="Arial"/>
                <w:spacing w:val="-2"/>
                <w:sz w:val="18"/>
              </w:rPr>
            </w:pPr>
            <w:r w:rsidRPr="00E76087">
              <w:rPr>
                <w:rFonts w:cs="Arial"/>
                <w:spacing w:val="-2"/>
                <w:sz w:val="18"/>
              </w:rPr>
              <w:t>Paragraph 7</w:t>
            </w:r>
          </w:p>
          <w:p w:rsidR="00250EFC" w:rsidRPr="00E76087" w:rsidRDefault="00250EFC" w:rsidP="004A0054">
            <w:pPr>
              <w:rPr>
                <w:rFonts w:cs="Arial"/>
                <w:spacing w:val="-2"/>
                <w:sz w:val="18"/>
                <w:highlight w:val="yellow"/>
              </w:rPr>
            </w:pPr>
          </w:p>
        </w:tc>
        <w:tc>
          <w:tcPr>
            <w:tcW w:w="4815" w:type="dxa"/>
          </w:tcPr>
          <w:p w:rsidR="00250EFC" w:rsidRPr="00E76087" w:rsidRDefault="00250EFC" w:rsidP="004A0054">
            <w:pPr>
              <w:pStyle w:val="NormalWeb"/>
              <w:spacing w:before="0" w:beforeAutospacing="0" w:after="0" w:afterAutospacing="0"/>
              <w:jc w:val="both"/>
              <w:textAlignment w:val="baseline"/>
              <w:rPr>
                <w:rFonts w:eastAsia="+mn-ea"/>
                <w:kern w:val="24"/>
                <w:sz w:val="18"/>
                <w:szCs w:val="20"/>
              </w:rPr>
            </w:pPr>
            <w:r w:rsidRPr="00E76087">
              <w:rPr>
                <w:rFonts w:eastAsia="+mn-ea"/>
                <w:kern w:val="24"/>
                <w:sz w:val="18"/>
                <w:szCs w:val="20"/>
              </w:rPr>
              <w:t xml:space="preserve">“An essential characteristic is a characteristic that results from the expression of </w:t>
            </w:r>
            <w:r w:rsidRPr="00E76087">
              <w:rPr>
                <w:rFonts w:eastAsia="+mn-ea"/>
                <w:strike/>
                <w:kern w:val="24"/>
                <w:sz w:val="18"/>
                <w:szCs w:val="20"/>
                <w:highlight w:val="lightGray"/>
              </w:rPr>
              <w:t>one or more genes or other heritable determinants</w:t>
            </w:r>
            <w:r w:rsidRPr="00E76087">
              <w:rPr>
                <w:rFonts w:eastAsia="+mn-ea"/>
                <w:kern w:val="24"/>
                <w:sz w:val="18"/>
                <w:szCs w:val="20"/>
              </w:rPr>
              <w:t xml:space="preserve"> </w:t>
            </w:r>
            <w:r w:rsidRPr="00E76087">
              <w:rPr>
                <w:rFonts w:eastAsia="+mn-ea"/>
                <w:kern w:val="24"/>
                <w:sz w:val="18"/>
                <w:szCs w:val="20"/>
                <w:highlight w:val="lightGray"/>
                <w:u w:val="single"/>
              </w:rPr>
              <w:t>the genotype</w:t>
            </w:r>
            <w:r w:rsidRPr="00E76087">
              <w:rPr>
                <w:rFonts w:eastAsia="+mn-ea"/>
                <w:kern w:val="24"/>
                <w:sz w:val="18"/>
                <w:szCs w:val="20"/>
              </w:rPr>
              <w:t xml:space="preserve"> </w:t>
            </w:r>
            <w:r w:rsidRPr="00E76087">
              <w:rPr>
                <w:kern w:val="24"/>
                <w:sz w:val="18"/>
                <w:szCs w:val="20"/>
              </w:rPr>
              <w:t>and includes, but is not limited to, morphological, physiological, agronomic, industrial (e.g. oil characteristics) and/or biochemical characteristics.”</w:t>
            </w:r>
          </w:p>
          <w:p w:rsidR="00250EFC" w:rsidRPr="00E76087" w:rsidRDefault="00250EFC" w:rsidP="004A0054">
            <w:pPr>
              <w:rPr>
                <w:rFonts w:cs="Arial"/>
                <w:spacing w:val="-2"/>
                <w:sz w:val="18"/>
                <w:highlight w:val="yellow"/>
              </w:rPr>
            </w:pPr>
          </w:p>
        </w:tc>
      </w:tr>
      <w:tr w:rsidR="00250EFC" w:rsidRPr="00E76087" w:rsidTr="004A0054">
        <w:tc>
          <w:tcPr>
            <w:tcW w:w="4814" w:type="dxa"/>
          </w:tcPr>
          <w:p w:rsidR="00250EFC" w:rsidRPr="00E76087" w:rsidRDefault="00250EFC" w:rsidP="004A0054">
            <w:pPr>
              <w:rPr>
                <w:rFonts w:cs="Arial"/>
                <w:spacing w:val="-2"/>
                <w:sz w:val="18"/>
              </w:rPr>
            </w:pPr>
            <w:r w:rsidRPr="00E76087">
              <w:rPr>
                <w:rFonts w:cs="Arial"/>
                <w:spacing w:val="-2"/>
                <w:sz w:val="18"/>
              </w:rPr>
              <w:t>Paragraph 8</w:t>
            </w:r>
          </w:p>
          <w:p w:rsidR="00250EFC" w:rsidRPr="00E76087" w:rsidRDefault="00250EFC" w:rsidP="004A0054">
            <w:pPr>
              <w:rPr>
                <w:rFonts w:cs="Arial"/>
                <w:spacing w:val="-2"/>
                <w:sz w:val="18"/>
                <w:highlight w:val="yellow"/>
              </w:rPr>
            </w:pPr>
          </w:p>
        </w:tc>
        <w:tc>
          <w:tcPr>
            <w:tcW w:w="4815" w:type="dxa"/>
          </w:tcPr>
          <w:p w:rsidR="00250EFC" w:rsidRPr="00E76087" w:rsidRDefault="00250EFC" w:rsidP="004A0054">
            <w:pPr>
              <w:rPr>
                <w:rFonts w:cs="Arial"/>
                <w:spacing w:val="-2"/>
                <w:sz w:val="18"/>
              </w:rPr>
            </w:pPr>
            <w:r w:rsidRPr="00E76087">
              <w:rPr>
                <w:rFonts w:cs="Arial"/>
                <w:spacing w:val="-2"/>
                <w:sz w:val="18"/>
              </w:rPr>
              <w:t xml:space="preserve">“An ‘essential characteristic’ is a characteristic that is </w:t>
            </w:r>
            <w:r w:rsidRPr="00E76087">
              <w:rPr>
                <w:rFonts w:cs="Arial"/>
                <w:strike/>
                <w:spacing w:val="-2"/>
                <w:sz w:val="18"/>
                <w:highlight w:val="lightGray"/>
              </w:rPr>
              <w:t>essential</w:t>
            </w:r>
            <w:r w:rsidRPr="00E76087">
              <w:rPr>
                <w:rFonts w:cs="Arial"/>
                <w:spacing w:val="-2"/>
                <w:sz w:val="18"/>
              </w:rPr>
              <w:t xml:space="preserve"> </w:t>
            </w:r>
            <w:r w:rsidRPr="00E76087">
              <w:rPr>
                <w:rFonts w:cs="Arial"/>
                <w:spacing w:val="-2"/>
                <w:sz w:val="18"/>
                <w:highlight w:val="lightGray"/>
                <w:u w:val="single"/>
              </w:rPr>
              <w:t>fundamental</w:t>
            </w:r>
            <w:r w:rsidRPr="00E76087">
              <w:rPr>
                <w:rFonts w:cs="Arial"/>
                <w:spacing w:val="-2"/>
                <w:sz w:val="18"/>
              </w:rPr>
              <w:t xml:space="preserve"> for the variety as a whole.  It should contribute to the principal features, performance or value for use of the variety and be relevant for one the following:  the producer, seller, supplier, buyer, recipient, </w:t>
            </w:r>
            <w:proofErr w:type="gramStart"/>
            <w:r w:rsidRPr="00E76087">
              <w:rPr>
                <w:rFonts w:cs="Arial"/>
                <w:spacing w:val="-2"/>
                <w:sz w:val="18"/>
              </w:rPr>
              <w:t>user</w:t>
            </w:r>
            <w:proofErr w:type="gramEnd"/>
            <w:r w:rsidRPr="00E76087">
              <w:rPr>
                <w:rFonts w:cs="Arial"/>
                <w:spacing w:val="-2"/>
                <w:sz w:val="18"/>
              </w:rPr>
              <w:t xml:space="preserve"> of the propagating material and/or of the harvested material and/or of the directly obtained products and/or the value chain.”</w:t>
            </w:r>
          </w:p>
          <w:p w:rsidR="00250EFC" w:rsidRPr="00E76087" w:rsidRDefault="00250EFC" w:rsidP="004A0054">
            <w:pPr>
              <w:rPr>
                <w:rFonts w:cs="Arial"/>
                <w:spacing w:val="-2"/>
                <w:sz w:val="18"/>
                <w:highlight w:val="yellow"/>
              </w:rPr>
            </w:pPr>
          </w:p>
        </w:tc>
      </w:tr>
      <w:tr w:rsidR="00250EFC" w:rsidRPr="00E76087" w:rsidTr="004A0054">
        <w:tc>
          <w:tcPr>
            <w:tcW w:w="4814" w:type="dxa"/>
          </w:tcPr>
          <w:p w:rsidR="00250EFC" w:rsidRPr="00E76087" w:rsidRDefault="00250EFC" w:rsidP="004A0054">
            <w:pPr>
              <w:rPr>
                <w:rFonts w:cs="Arial"/>
                <w:spacing w:val="-2"/>
                <w:sz w:val="18"/>
              </w:rPr>
            </w:pPr>
            <w:r w:rsidRPr="00E76087">
              <w:rPr>
                <w:rFonts w:cs="Arial"/>
                <w:spacing w:val="-2"/>
                <w:sz w:val="18"/>
              </w:rPr>
              <w:t>Paragraph 11</w:t>
            </w:r>
          </w:p>
          <w:p w:rsidR="00250EFC" w:rsidRPr="00E76087" w:rsidRDefault="00250EFC" w:rsidP="004A0054">
            <w:pPr>
              <w:rPr>
                <w:rFonts w:cs="Arial"/>
                <w:spacing w:val="-2"/>
                <w:sz w:val="18"/>
                <w:highlight w:val="yellow"/>
              </w:rPr>
            </w:pPr>
          </w:p>
        </w:tc>
        <w:tc>
          <w:tcPr>
            <w:tcW w:w="4815" w:type="dxa"/>
          </w:tcPr>
          <w:p w:rsidR="00250EFC" w:rsidRPr="00E76087" w:rsidRDefault="00250EFC" w:rsidP="004A0054">
            <w:pPr>
              <w:rPr>
                <w:rFonts w:cs="Arial"/>
                <w:spacing w:val="-2"/>
                <w:sz w:val="18"/>
              </w:rPr>
            </w:pPr>
            <w:r w:rsidRPr="00E76087">
              <w:rPr>
                <w:rFonts w:cs="Arial"/>
                <w:spacing w:val="-2"/>
                <w:sz w:val="18"/>
              </w:rPr>
              <w:t>“</w:t>
            </w:r>
            <w:r w:rsidRPr="00E76087">
              <w:rPr>
                <w:rFonts w:cs="Arial"/>
                <w:strike/>
                <w:spacing w:val="-2"/>
                <w:sz w:val="18"/>
                <w:highlight w:val="lightGray"/>
              </w:rPr>
              <w:t>A predominantly</w:t>
            </w:r>
            <w:r w:rsidRPr="00E76087">
              <w:rPr>
                <w:rFonts w:cs="Arial"/>
                <w:spacing w:val="-2"/>
                <w:sz w:val="18"/>
              </w:rPr>
              <w:t xml:space="preserve"> </w:t>
            </w:r>
            <w:r w:rsidRPr="00E76087">
              <w:rPr>
                <w:rFonts w:cs="Arial"/>
                <w:spacing w:val="-2"/>
                <w:sz w:val="18"/>
                <w:highlight w:val="lightGray"/>
                <w:u w:val="single"/>
              </w:rPr>
              <w:t>An essentially</w:t>
            </w:r>
            <w:r w:rsidRPr="00E76087">
              <w:rPr>
                <w:rFonts w:cs="Arial"/>
                <w:spacing w:val="-2"/>
                <w:sz w:val="18"/>
              </w:rPr>
              <w:t xml:space="preserve"> derived variety typically retains the expression of essential characteristics of the variety from which it is derived, except for those differences resulting from act(s) of derivation, which may also include differences in essential characteristics.”</w:t>
            </w:r>
          </w:p>
          <w:p w:rsidR="00250EFC" w:rsidRPr="00E76087" w:rsidRDefault="00250EFC" w:rsidP="004A0054">
            <w:pPr>
              <w:rPr>
                <w:rFonts w:cs="Arial"/>
                <w:spacing w:val="-2"/>
                <w:sz w:val="18"/>
                <w:highlight w:val="yellow"/>
              </w:rPr>
            </w:pPr>
          </w:p>
        </w:tc>
      </w:tr>
      <w:tr w:rsidR="00250EFC" w:rsidRPr="00E76087" w:rsidTr="004A0054">
        <w:tc>
          <w:tcPr>
            <w:tcW w:w="4814" w:type="dxa"/>
          </w:tcPr>
          <w:p w:rsidR="00250EFC" w:rsidRPr="00E76087" w:rsidRDefault="00250EFC" w:rsidP="004A0054">
            <w:pPr>
              <w:rPr>
                <w:rFonts w:cs="Arial"/>
                <w:spacing w:val="-2"/>
                <w:sz w:val="18"/>
              </w:rPr>
            </w:pPr>
            <w:r w:rsidRPr="00E76087">
              <w:rPr>
                <w:rFonts w:cs="Arial"/>
                <w:spacing w:val="-2"/>
                <w:sz w:val="18"/>
              </w:rPr>
              <w:t xml:space="preserve">Figures 2, 3, 4, 5, box 3: </w:t>
            </w:r>
          </w:p>
          <w:p w:rsidR="00250EFC" w:rsidRPr="00E76087" w:rsidRDefault="00250EFC" w:rsidP="004A0054">
            <w:pPr>
              <w:rPr>
                <w:rFonts w:cs="Arial"/>
                <w:spacing w:val="-2"/>
                <w:sz w:val="18"/>
                <w:highlight w:val="yellow"/>
              </w:rPr>
            </w:pPr>
          </w:p>
        </w:tc>
        <w:tc>
          <w:tcPr>
            <w:tcW w:w="4815" w:type="dxa"/>
          </w:tcPr>
          <w:p w:rsidR="00250EFC" w:rsidRPr="00E76087" w:rsidRDefault="00250EFC" w:rsidP="004A0054">
            <w:pPr>
              <w:rPr>
                <w:rFonts w:cs="Arial"/>
                <w:spacing w:val="-2"/>
                <w:sz w:val="18"/>
              </w:rPr>
            </w:pPr>
            <w:r w:rsidRPr="00E76087">
              <w:rPr>
                <w:rFonts w:cs="Arial"/>
                <w:spacing w:val="-2"/>
                <w:sz w:val="18"/>
              </w:rPr>
              <w:t>“-  predominantly derived from A ‘</w:t>
            </w:r>
            <w:r w:rsidRPr="00E76087">
              <w:rPr>
                <w:rFonts w:cs="Arial"/>
                <w:spacing w:val="-2"/>
                <w:sz w:val="18"/>
                <w:highlight w:val="lightGray"/>
                <w:u w:val="single"/>
              </w:rPr>
              <w:t>or B</w:t>
            </w:r>
            <w:r w:rsidRPr="00E76087">
              <w:rPr>
                <w:rFonts w:cs="Arial"/>
                <w:spacing w:val="-2"/>
                <w:sz w:val="18"/>
              </w:rPr>
              <w:t>’”</w:t>
            </w:r>
          </w:p>
          <w:p w:rsidR="00250EFC" w:rsidRPr="00E76087" w:rsidRDefault="00250EFC" w:rsidP="004A0054">
            <w:pPr>
              <w:rPr>
                <w:rFonts w:cs="Arial"/>
                <w:spacing w:val="-2"/>
                <w:sz w:val="18"/>
                <w:highlight w:val="yellow"/>
              </w:rPr>
            </w:pPr>
          </w:p>
        </w:tc>
      </w:tr>
      <w:tr w:rsidR="00250EFC" w:rsidRPr="00E76087" w:rsidTr="004A0054">
        <w:tc>
          <w:tcPr>
            <w:tcW w:w="4814" w:type="dxa"/>
          </w:tcPr>
          <w:p w:rsidR="00250EFC" w:rsidRPr="00E76087" w:rsidRDefault="00250EFC" w:rsidP="004A0054">
            <w:pPr>
              <w:rPr>
                <w:rFonts w:cs="Arial"/>
                <w:spacing w:val="-2"/>
                <w:sz w:val="18"/>
              </w:rPr>
            </w:pPr>
            <w:r w:rsidRPr="00E76087">
              <w:rPr>
                <w:rFonts w:cs="Arial"/>
                <w:spacing w:val="-2"/>
                <w:sz w:val="18"/>
              </w:rPr>
              <w:t>Figures 2, 3, 4, 5, box 6:</w:t>
            </w:r>
          </w:p>
          <w:p w:rsidR="00250EFC" w:rsidRPr="00E76087" w:rsidRDefault="00250EFC" w:rsidP="004A0054">
            <w:pPr>
              <w:rPr>
                <w:rFonts w:cs="Arial"/>
                <w:spacing w:val="-2"/>
                <w:sz w:val="18"/>
                <w:highlight w:val="yellow"/>
              </w:rPr>
            </w:pPr>
          </w:p>
        </w:tc>
        <w:tc>
          <w:tcPr>
            <w:tcW w:w="4815" w:type="dxa"/>
          </w:tcPr>
          <w:p w:rsidR="00250EFC" w:rsidRPr="00E76087" w:rsidRDefault="00250EFC" w:rsidP="004A0054">
            <w:pPr>
              <w:rPr>
                <w:rFonts w:cs="Arial"/>
                <w:spacing w:val="-2"/>
                <w:sz w:val="18"/>
              </w:rPr>
            </w:pPr>
            <w:r w:rsidRPr="00E76087">
              <w:rPr>
                <w:rFonts w:cs="Arial"/>
                <w:spacing w:val="-2"/>
                <w:sz w:val="18"/>
              </w:rPr>
              <w:t>“-  predominantly derived from A ‘</w:t>
            </w:r>
            <w:r w:rsidRPr="00E76087">
              <w:rPr>
                <w:rFonts w:cs="Arial"/>
                <w:spacing w:val="-2"/>
                <w:sz w:val="18"/>
                <w:highlight w:val="lightGray"/>
                <w:u w:val="single"/>
              </w:rPr>
              <w:t>or Z-1</w:t>
            </w:r>
            <w:r w:rsidRPr="00E76087">
              <w:rPr>
                <w:rFonts w:cs="Arial"/>
                <w:spacing w:val="-2"/>
                <w:sz w:val="18"/>
              </w:rPr>
              <w:t>’”</w:t>
            </w:r>
          </w:p>
          <w:p w:rsidR="00250EFC" w:rsidRPr="00E76087" w:rsidRDefault="00250EFC" w:rsidP="004A0054">
            <w:pPr>
              <w:rPr>
                <w:rFonts w:cs="Arial"/>
                <w:spacing w:val="-2"/>
                <w:sz w:val="18"/>
                <w:highlight w:val="yellow"/>
              </w:rPr>
            </w:pPr>
          </w:p>
        </w:tc>
      </w:tr>
    </w:tbl>
    <w:p w:rsidR="00250EFC" w:rsidRPr="00E76087" w:rsidRDefault="00250EFC" w:rsidP="00250EFC">
      <w:pPr>
        <w:rPr>
          <w:rFonts w:cs="Arial"/>
          <w:color w:val="000000"/>
          <w:highlight w:val="yellow"/>
        </w:rPr>
      </w:pPr>
    </w:p>
    <w:p w:rsidR="00250EFC" w:rsidRPr="00E76087" w:rsidRDefault="00250EFC" w:rsidP="00250EFC">
      <w:pPr>
        <w:keepLines/>
        <w:rPr>
          <w:rFonts w:cs="Arial"/>
          <w:spacing w:val="-2"/>
        </w:rPr>
      </w:pPr>
      <w:r w:rsidRPr="00E76087">
        <w:rPr>
          <w:rFonts w:cs="Arial"/>
          <w:spacing w:val="-2"/>
        </w:rPr>
        <w:fldChar w:fldCharType="begin"/>
      </w:r>
      <w:r w:rsidRPr="00E76087">
        <w:rPr>
          <w:rFonts w:cs="Arial"/>
          <w:spacing w:val="-2"/>
        </w:rPr>
        <w:instrText xml:space="preserve"> AUTONUM  </w:instrText>
      </w:r>
      <w:r w:rsidRPr="00E76087">
        <w:rPr>
          <w:rFonts w:cs="Arial"/>
          <w:spacing w:val="-2"/>
        </w:rPr>
        <w:fldChar w:fldCharType="end"/>
      </w:r>
      <w:r w:rsidRPr="00E76087">
        <w:rPr>
          <w:rFonts w:cs="Arial"/>
          <w:spacing w:val="-2"/>
        </w:rPr>
        <w:tab/>
      </w:r>
      <w:r w:rsidRPr="00E76087">
        <w:t xml:space="preserve">The CAJ noted </w:t>
      </w:r>
      <w:r w:rsidRPr="00E76087">
        <w:rPr>
          <w:rFonts w:cs="Arial"/>
          <w:spacing w:val="-2"/>
        </w:rPr>
        <w:t xml:space="preserve">that the WG-EDV had recommended that the CAJ, at its seventy-eighth session, consider document UPOV/EXN/EDV/3 Draft 2 “Explanatory Notes on Essentially Derived Varieties under the 1991 Act of the </w:t>
      </w:r>
      <w:r w:rsidR="007273A5">
        <w:rPr>
          <w:rFonts w:cs="Arial"/>
          <w:spacing w:val="-2"/>
        </w:rPr>
        <w:t>UPOV Convention</w:t>
      </w:r>
      <w:r w:rsidRPr="00E76087">
        <w:rPr>
          <w:rFonts w:cs="Arial"/>
          <w:spacing w:val="-2"/>
        </w:rPr>
        <w:t xml:space="preserve"> (Revision)”, in conjunction with the changes agreed by the WG-EDV, as presented in </w:t>
      </w:r>
      <w:r w:rsidR="003601E4" w:rsidRPr="00E76087">
        <w:rPr>
          <w:rFonts w:cs="Arial"/>
          <w:spacing w:val="-2"/>
        </w:rPr>
        <w:t xml:space="preserve">the </w:t>
      </w:r>
      <w:r w:rsidR="003601E4" w:rsidRPr="007273A5">
        <w:rPr>
          <w:rFonts w:cs="Arial"/>
          <w:spacing w:val="-2"/>
        </w:rPr>
        <w:t xml:space="preserve">above </w:t>
      </w:r>
      <w:r w:rsidRPr="007273A5">
        <w:rPr>
          <w:rFonts w:cs="Arial"/>
          <w:spacing w:val="-2"/>
        </w:rPr>
        <w:t>paragraph</w:t>
      </w:r>
      <w:r w:rsidR="003601E4" w:rsidRPr="007273A5">
        <w:rPr>
          <w:rFonts w:cs="Arial"/>
          <w:spacing w:val="-2"/>
        </w:rPr>
        <w:t xml:space="preserve"> </w:t>
      </w:r>
      <w:r w:rsidRPr="007273A5">
        <w:rPr>
          <w:rFonts w:cs="Arial"/>
          <w:spacing w:val="-2"/>
        </w:rPr>
        <w:t>and the following comments:</w:t>
      </w:r>
    </w:p>
    <w:p w:rsidR="00250EFC" w:rsidRPr="00E76087" w:rsidRDefault="00250EFC" w:rsidP="00250EFC">
      <w:pPr>
        <w:rPr>
          <w:spacing w:val="-2"/>
        </w:rPr>
      </w:pPr>
    </w:p>
    <w:p w:rsidR="00250EFC" w:rsidRPr="00E76087" w:rsidRDefault="00250EFC" w:rsidP="00250EFC">
      <w:pPr>
        <w:pStyle w:val="ListParagraph"/>
        <w:numPr>
          <w:ilvl w:val="0"/>
          <w:numId w:val="7"/>
        </w:numPr>
        <w:ind w:left="540" w:firstLine="0"/>
        <w:rPr>
          <w:spacing w:val="-2"/>
        </w:rPr>
      </w:pPr>
      <w:r w:rsidRPr="00E76087">
        <w:rPr>
          <w:spacing w:val="-2"/>
        </w:rPr>
        <w:t>the WG-EDV noted the comments made by the Delegation of Spain in relation to document UPOV/EXN/EDV/3 Draft 2 and agreed it would be important for members of the WG</w:t>
      </w:r>
      <w:r w:rsidRPr="00E76087">
        <w:rPr>
          <w:spacing w:val="-2"/>
        </w:rPr>
        <w:noBreakHyphen/>
        <w:t xml:space="preserve">EDV to take the opportunity to discuss those comments with the Delegation of Spain prior to the CAJ; and </w:t>
      </w:r>
    </w:p>
    <w:p w:rsidR="00250EFC" w:rsidRPr="00E76087" w:rsidRDefault="00250EFC" w:rsidP="00250EFC">
      <w:pPr>
        <w:pStyle w:val="ListParagraph"/>
        <w:ind w:left="1123"/>
        <w:contextualSpacing w:val="0"/>
        <w:rPr>
          <w:spacing w:val="-2"/>
        </w:rPr>
      </w:pPr>
    </w:p>
    <w:p w:rsidR="00250EFC" w:rsidRPr="00E76087" w:rsidRDefault="00250EFC" w:rsidP="00250EFC">
      <w:pPr>
        <w:pStyle w:val="ListParagraph"/>
        <w:numPr>
          <w:ilvl w:val="0"/>
          <w:numId w:val="7"/>
        </w:numPr>
        <w:ind w:left="540" w:firstLine="0"/>
        <w:rPr>
          <w:spacing w:val="-2"/>
        </w:rPr>
      </w:pPr>
      <w:proofErr w:type="gramStart"/>
      <w:r w:rsidRPr="00E76087">
        <w:rPr>
          <w:spacing w:val="-2"/>
        </w:rPr>
        <w:t xml:space="preserve">the representative of the Association for Plant Breeding for the Benefit of Society (APBREBES) did not agree with the text of Section II and the inclusion of Section III in document UPOV/EXN/EDV/3 Draft 2, as explained in the comments of APBREBES, in document UPOV/WG-EDV/4/2, Annex, Appendix IV (see at </w:t>
      </w:r>
      <w:hyperlink r:id="rId9" w:history="1">
        <w:r w:rsidRPr="00E76087">
          <w:rPr>
            <w:rStyle w:val="Hyperlink"/>
            <w:spacing w:val="-2"/>
          </w:rPr>
          <w:t>https://www.upov.int/edocs/mdocs/upov/en/wg_edv_4/upov_wg_edv_4_2.pdf</w:t>
        </w:r>
      </w:hyperlink>
      <w:r w:rsidRPr="00E76087">
        <w:rPr>
          <w:spacing w:val="-2"/>
        </w:rPr>
        <w:t>).</w:t>
      </w:r>
      <w:proofErr w:type="gramEnd"/>
      <w:r w:rsidRPr="00E76087">
        <w:rPr>
          <w:spacing w:val="-2"/>
        </w:rPr>
        <w:t xml:space="preserve"> </w:t>
      </w:r>
    </w:p>
    <w:p w:rsidR="003601E4" w:rsidRPr="00E76087" w:rsidRDefault="003601E4" w:rsidP="003601E4">
      <w:pPr>
        <w:rPr>
          <w:spacing w:val="-2"/>
        </w:rPr>
      </w:pPr>
    </w:p>
    <w:p w:rsidR="003601E4" w:rsidRPr="00E76087" w:rsidRDefault="003601E4" w:rsidP="003601E4">
      <w:pPr>
        <w:rPr>
          <w:spacing w:val="-2"/>
        </w:rPr>
      </w:pPr>
      <w:r w:rsidRPr="007273A5">
        <w:rPr>
          <w:spacing w:val="-2"/>
        </w:rPr>
        <w:fldChar w:fldCharType="begin"/>
      </w:r>
      <w:r w:rsidRPr="007273A5">
        <w:rPr>
          <w:spacing w:val="-2"/>
        </w:rPr>
        <w:instrText xml:space="preserve"> AUTONUM  </w:instrText>
      </w:r>
      <w:r w:rsidRPr="007273A5">
        <w:rPr>
          <w:spacing w:val="-2"/>
        </w:rPr>
        <w:fldChar w:fldCharType="end"/>
      </w:r>
      <w:r w:rsidRPr="007273A5">
        <w:rPr>
          <w:spacing w:val="-2"/>
        </w:rPr>
        <w:tab/>
        <w:t xml:space="preserve">The CAJ </w:t>
      </w:r>
      <w:r w:rsidR="00A96182" w:rsidRPr="007273A5">
        <w:rPr>
          <w:spacing w:val="-2"/>
        </w:rPr>
        <w:t>approved</w:t>
      </w:r>
      <w:r w:rsidRPr="007273A5">
        <w:rPr>
          <w:spacing w:val="-2"/>
        </w:rPr>
        <w:t xml:space="preserve"> the</w:t>
      </w:r>
      <w:r w:rsidRPr="007273A5">
        <w:t xml:space="preserve"> </w:t>
      </w:r>
      <w:r w:rsidR="00A96182" w:rsidRPr="007273A5">
        <w:t xml:space="preserve">text in </w:t>
      </w:r>
      <w:r w:rsidR="00A96182" w:rsidRPr="007273A5">
        <w:rPr>
          <w:spacing w:val="-2"/>
        </w:rPr>
        <w:t xml:space="preserve">document UPOV/EXN/EDV/3 Draft 2 with the </w:t>
      </w:r>
      <w:r w:rsidRPr="007273A5">
        <w:t xml:space="preserve">changes </w:t>
      </w:r>
      <w:r w:rsidR="00A96182" w:rsidRPr="007273A5">
        <w:t xml:space="preserve">that the </w:t>
      </w:r>
      <w:r w:rsidRPr="007273A5">
        <w:rPr>
          <w:spacing w:val="-2"/>
        </w:rPr>
        <w:t>WG-EDV</w:t>
      </w:r>
      <w:r w:rsidR="00A96182" w:rsidRPr="007273A5">
        <w:rPr>
          <w:spacing w:val="-2"/>
        </w:rPr>
        <w:t xml:space="preserve"> had agreed</w:t>
      </w:r>
      <w:r w:rsidRPr="007273A5">
        <w:rPr>
          <w:spacing w:val="-2"/>
        </w:rPr>
        <w:t>, at its fourth meeting</w:t>
      </w:r>
      <w:r w:rsidR="00D82819" w:rsidRPr="007273A5">
        <w:rPr>
          <w:spacing w:val="-2"/>
        </w:rPr>
        <w:t xml:space="preserve"> (see paragraph 16</w:t>
      </w:r>
      <w:r w:rsidRPr="007273A5">
        <w:rPr>
          <w:spacing w:val="-2"/>
        </w:rPr>
        <w:t xml:space="preserve">, </w:t>
      </w:r>
      <w:r w:rsidR="00D82819" w:rsidRPr="007273A5">
        <w:rPr>
          <w:spacing w:val="-2"/>
        </w:rPr>
        <w:t xml:space="preserve">above) and </w:t>
      </w:r>
      <w:r w:rsidR="00A96182" w:rsidRPr="007273A5">
        <w:rPr>
          <w:spacing w:val="-2"/>
        </w:rPr>
        <w:t>subject to</w:t>
      </w:r>
      <w:r w:rsidRPr="007273A5">
        <w:rPr>
          <w:spacing w:val="-2"/>
        </w:rPr>
        <w:t xml:space="preserve"> the following additional changes:</w:t>
      </w:r>
    </w:p>
    <w:p w:rsidR="00E77586" w:rsidRPr="00E76087" w:rsidRDefault="00E77586" w:rsidP="00E77586">
      <w:pPr>
        <w:rPr>
          <w:spacing w:val="-2"/>
        </w:rPr>
      </w:pPr>
    </w:p>
    <w:tbl>
      <w:tblPr>
        <w:tblStyle w:val="TableGrid1"/>
        <w:tblW w:w="0" w:type="auto"/>
        <w:tblLook w:val="04A0" w:firstRow="1" w:lastRow="0" w:firstColumn="1" w:lastColumn="0" w:noHBand="0" w:noVBand="1"/>
      </w:tblPr>
      <w:tblGrid>
        <w:gridCol w:w="4658"/>
        <w:gridCol w:w="4692"/>
      </w:tblGrid>
      <w:tr w:rsidR="00E77586" w:rsidRPr="00E76087" w:rsidTr="004A0054">
        <w:tc>
          <w:tcPr>
            <w:tcW w:w="4658" w:type="dxa"/>
            <w:shd w:val="clear" w:color="auto" w:fill="F2F2F2"/>
            <w:vAlign w:val="center"/>
          </w:tcPr>
          <w:p w:rsidR="00E77586" w:rsidRPr="00E76087" w:rsidRDefault="00E77586" w:rsidP="00E77586">
            <w:pPr>
              <w:rPr>
                <w:rFonts w:cs="Arial"/>
                <w:spacing w:val="-2"/>
                <w:sz w:val="18"/>
              </w:rPr>
            </w:pPr>
            <w:r w:rsidRPr="00E76087">
              <w:rPr>
                <w:rFonts w:cs="Arial"/>
                <w:spacing w:val="-2"/>
                <w:sz w:val="18"/>
              </w:rPr>
              <w:t xml:space="preserve">Document </w:t>
            </w:r>
            <w:r w:rsidRPr="00E76087">
              <w:rPr>
                <w:spacing w:val="-2"/>
                <w:sz w:val="18"/>
              </w:rPr>
              <w:t>UPOV/EXN/EDV/3 Draft 2</w:t>
            </w:r>
          </w:p>
        </w:tc>
        <w:tc>
          <w:tcPr>
            <w:tcW w:w="4692" w:type="dxa"/>
            <w:shd w:val="clear" w:color="auto" w:fill="F2F2F2"/>
            <w:vAlign w:val="center"/>
          </w:tcPr>
          <w:p w:rsidR="00E77586" w:rsidRPr="00E76087" w:rsidRDefault="00E77586" w:rsidP="00E77586">
            <w:pPr>
              <w:keepNext/>
              <w:spacing w:before="120" w:after="120"/>
              <w:rPr>
                <w:rFonts w:cs="Arial"/>
                <w:sz w:val="18"/>
              </w:rPr>
            </w:pPr>
            <w:r w:rsidRPr="00E76087">
              <w:rPr>
                <w:rFonts w:cs="Arial"/>
                <w:sz w:val="18"/>
              </w:rPr>
              <w:t>Changes agreed by the CAJ at its</w:t>
            </w:r>
            <w:r w:rsidRPr="00E76087">
              <w:t xml:space="preserve"> </w:t>
            </w:r>
            <w:r w:rsidRPr="00E76087">
              <w:rPr>
                <w:rFonts w:cs="Arial"/>
                <w:sz w:val="18"/>
              </w:rPr>
              <w:t>seventy-eighth session</w:t>
            </w:r>
          </w:p>
        </w:tc>
      </w:tr>
      <w:tr w:rsidR="00E77586" w:rsidRPr="00E76087" w:rsidTr="004A0054">
        <w:tc>
          <w:tcPr>
            <w:tcW w:w="4658" w:type="dxa"/>
          </w:tcPr>
          <w:p w:rsidR="00E77586" w:rsidRPr="00E76087" w:rsidRDefault="00E77586" w:rsidP="00E77586">
            <w:pPr>
              <w:rPr>
                <w:rFonts w:cs="Arial"/>
                <w:spacing w:val="-2"/>
                <w:sz w:val="18"/>
              </w:rPr>
            </w:pPr>
            <w:r w:rsidRPr="00E76087">
              <w:rPr>
                <w:rFonts w:cs="Arial"/>
                <w:spacing w:val="-2"/>
                <w:sz w:val="18"/>
              </w:rPr>
              <w:t>Paragraph 2</w:t>
            </w:r>
          </w:p>
          <w:p w:rsidR="00E77586" w:rsidRPr="00E76087" w:rsidRDefault="00E77586" w:rsidP="00E77586">
            <w:pPr>
              <w:rPr>
                <w:rFonts w:cs="Arial"/>
                <w:spacing w:val="-2"/>
                <w:sz w:val="18"/>
              </w:rPr>
            </w:pPr>
          </w:p>
        </w:tc>
        <w:tc>
          <w:tcPr>
            <w:tcW w:w="4692" w:type="dxa"/>
          </w:tcPr>
          <w:p w:rsidR="00E77586" w:rsidRPr="00E76087" w:rsidRDefault="00E77586" w:rsidP="00E77586">
            <w:pPr>
              <w:textAlignment w:val="baseline"/>
              <w:rPr>
                <w:rFonts w:eastAsia="Arial" w:cs="Arial"/>
                <w:sz w:val="18"/>
                <w:szCs w:val="18"/>
                <w:lang w:eastAsia="es-MX"/>
              </w:rPr>
            </w:pPr>
            <w:r w:rsidRPr="00E76087">
              <w:rPr>
                <w:rFonts w:eastAsia="Arial" w:cs="Arial"/>
                <w:sz w:val="18"/>
                <w:szCs w:val="18"/>
                <w:lang w:eastAsia="es-MX"/>
              </w:rPr>
              <w:t>“</w:t>
            </w:r>
            <w:r w:rsidRPr="00E76087">
              <w:rPr>
                <w:rFonts w:eastAsia="Arial" w:cs="Arial"/>
                <w:sz w:val="18"/>
                <w:szCs w:val="18"/>
                <w:u w:val="single"/>
                <w:lang w:eastAsia="es-MX"/>
              </w:rPr>
              <w:t>The purpose of</w:t>
            </w:r>
            <w:r w:rsidRPr="00E76087">
              <w:rPr>
                <w:rFonts w:eastAsia="Arial" w:cs="Arial"/>
                <w:sz w:val="18"/>
                <w:szCs w:val="18"/>
                <w:lang w:eastAsia="es-MX"/>
              </w:rPr>
              <w:t xml:space="preserve"> </w:t>
            </w:r>
            <w:proofErr w:type="spellStart"/>
            <w:r w:rsidRPr="00E76087">
              <w:rPr>
                <w:rFonts w:eastAsia="Arial" w:cs="Arial"/>
                <w:strike/>
                <w:sz w:val="18"/>
                <w:szCs w:val="18"/>
                <w:lang w:eastAsia="es-MX"/>
              </w:rPr>
              <w:t>T</w:t>
            </w:r>
            <w:r w:rsidRPr="00E76087">
              <w:rPr>
                <w:rFonts w:eastAsia="Arial" w:cs="Arial"/>
                <w:sz w:val="18"/>
                <w:szCs w:val="18"/>
                <w:u w:val="single"/>
                <w:lang w:eastAsia="es-MX"/>
              </w:rPr>
              <w:t>t</w:t>
            </w:r>
            <w:r w:rsidRPr="00E76087">
              <w:rPr>
                <w:rFonts w:eastAsia="Arial" w:cs="Arial"/>
                <w:sz w:val="18"/>
                <w:szCs w:val="18"/>
                <w:lang w:eastAsia="es-MX"/>
              </w:rPr>
              <w:t>hese</w:t>
            </w:r>
            <w:proofErr w:type="spellEnd"/>
            <w:r w:rsidRPr="00E76087">
              <w:rPr>
                <w:rFonts w:eastAsia="Arial" w:cs="Arial"/>
                <w:sz w:val="18"/>
                <w:szCs w:val="18"/>
                <w:lang w:eastAsia="es-MX"/>
              </w:rPr>
              <w:t xml:space="preserve"> Explanatory Notes </w:t>
            </w:r>
            <w:r w:rsidRPr="00E76087">
              <w:rPr>
                <w:rFonts w:eastAsia="Arial" w:cs="Arial"/>
                <w:sz w:val="18"/>
                <w:szCs w:val="18"/>
                <w:u w:val="single"/>
                <w:lang w:eastAsia="es-MX"/>
              </w:rPr>
              <w:t>is to</w:t>
            </w:r>
            <w:r w:rsidRPr="00E76087">
              <w:rPr>
                <w:rFonts w:eastAsia="Arial" w:cs="Arial"/>
                <w:sz w:val="18"/>
                <w:szCs w:val="18"/>
                <w:lang w:eastAsia="es-MX"/>
              </w:rPr>
              <w:t xml:space="preserve"> provide guidance on ‘Essentially Derived Varieties’ under the 1991 Act of the International Convention for the Protection of New Varieties of Plants (</w:t>
            </w:r>
            <w:r w:rsidR="007273A5">
              <w:rPr>
                <w:rFonts w:eastAsia="Arial" w:cs="Arial"/>
                <w:sz w:val="18"/>
                <w:szCs w:val="18"/>
                <w:lang w:eastAsia="es-MX"/>
              </w:rPr>
              <w:t>UPOV Convention</w:t>
            </w:r>
            <w:r w:rsidRPr="00E76087">
              <w:rPr>
                <w:rFonts w:eastAsia="Arial" w:cs="Arial"/>
                <w:sz w:val="18"/>
                <w:szCs w:val="18"/>
                <w:lang w:eastAsia="es-MX"/>
              </w:rPr>
              <w:t xml:space="preserve">).  </w:t>
            </w:r>
            <w:r w:rsidRPr="00E76087">
              <w:rPr>
                <w:rFonts w:eastAsia="Arial" w:cs="Arial"/>
                <w:strike/>
                <w:sz w:val="18"/>
                <w:szCs w:val="18"/>
                <w:lang w:eastAsia="es-MX"/>
              </w:rPr>
              <w:t>The purpose of this guidance is to assist members of the Union and relevant stakeholders in their considerations in matters concerning essentially derived varieties</w:t>
            </w:r>
            <w:r w:rsidRPr="00E76087">
              <w:rPr>
                <w:rFonts w:eastAsia="Arial" w:cs="Arial"/>
                <w:sz w:val="18"/>
                <w:szCs w:val="18"/>
                <w:lang w:eastAsia="es-MX"/>
              </w:rPr>
              <w:t xml:space="preserve">.  The only binding obligations on members of the Union are those contained in the text of the </w:t>
            </w:r>
            <w:r w:rsidR="007273A5">
              <w:rPr>
                <w:rFonts w:eastAsia="Arial" w:cs="Arial"/>
                <w:sz w:val="18"/>
                <w:szCs w:val="18"/>
                <w:lang w:eastAsia="es-MX"/>
              </w:rPr>
              <w:t>UPOV Convention</w:t>
            </w:r>
            <w:r w:rsidRPr="00E76087">
              <w:rPr>
                <w:rFonts w:eastAsia="Arial" w:cs="Arial"/>
                <w:sz w:val="18"/>
                <w:szCs w:val="18"/>
                <w:lang w:eastAsia="es-MX"/>
              </w:rPr>
              <w:t xml:space="preserve"> itself, and these Explanatory Notes </w:t>
            </w:r>
            <w:proofErr w:type="gramStart"/>
            <w:r w:rsidRPr="00E76087">
              <w:rPr>
                <w:rFonts w:eastAsia="Arial" w:cs="Arial"/>
                <w:sz w:val="18"/>
                <w:szCs w:val="18"/>
                <w:lang w:eastAsia="es-MX"/>
              </w:rPr>
              <w:t>must not be interpreted</w:t>
            </w:r>
            <w:proofErr w:type="gramEnd"/>
            <w:r w:rsidRPr="00E76087">
              <w:rPr>
                <w:rFonts w:eastAsia="Arial" w:cs="Arial"/>
                <w:sz w:val="18"/>
                <w:szCs w:val="18"/>
                <w:lang w:eastAsia="es-MX"/>
              </w:rPr>
              <w:t xml:space="preserve"> in a way that is inconsistent with the relevant Act for the member of the Union concerned.</w:t>
            </w:r>
          </w:p>
          <w:p w:rsidR="00E77586" w:rsidRPr="00E76087" w:rsidRDefault="00E77586" w:rsidP="00E77586">
            <w:pPr>
              <w:textAlignment w:val="baseline"/>
              <w:rPr>
                <w:rFonts w:eastAsia="Arial" w:cs="Arial"/>
                <w:spacing w:val="-2"/>
                <w:sz w:val="18"/>
                <w:szCs w:val="18"/>
                <w:lang w:eastAsia="es-MX"/>
              </w:rPr>
            </w:pPr>
          </w:p>
        </w:tc>
      </w:tr>
      <w:tr w:rsidR="00E77586" w:rsidRPr="00E76087" w:rsidTr="004A0054">
        <w:tc>
          <w:tcPr>
            <w:tcW w:w="4658" w:type="dxa"/>
          </w:tcPr>
          <w:p w:rsidR="00E77586" w:rsidRPr="00E76087" w:rsidRDefault="00E77586" w:rsidP="00E77586">
            <w:pPr>
              <w:rPr>
                <w:rFonts w:cs="Arial"/>
                <w:spacing w:val="-2"/>
                <w:sz w:val="18"/>
              </w:rPr>
            </w:pPr>
            <w:r w:rsidRPr="00E76087">
              <w:rPr>
                <w:rFonts w:cs="Arial"/>
                <w:spacing w:val="-2"/>
                <w:sz w:val="18"/>
              </w:rPr>
              <w:lastRenderedPageBreak/>
              <w:t>Paragraph 3</w:t>
            </w:r>
          </w:p>
        </w:tc>
        <w:tc>
          <w:tcPr>
            <w:tcW w:w="4692" w:type="dxa"/>
          </w:tcPr>
          <w:p w:rsidR="00E77586" w:rsidRPr="00E76087" w:rsidRDefault="00E77586" w:rsidP="00E77586">
            <w:pPr>
              <w:textAlignment w:val="baseline"/>
              <w:rPr>
                <w:rFonts w:eastAsia="Arial" w:cs="Arial"/>
                <w:sz w:val="18"/>
                <w:szCs w:val="18"/>
                <w:lang w:eastAsia="es-MX"/>
              </w:rPr>
            </w:pPr>
            <w:r w:rsidRPr="00E76087">
              <w:rPr>
                <w:rFonts w:eastAsia="Arial" w:cs="Arial"/>
                <w:sz w:val="18"/>
                <w:szCs w:val="18"/>
                <w:lang w:eastAsia="es-MX"/>
              </w:rPr>
              <w:t>These Explanatory Notes are divided into the following four sections: Section I Provisions of essentially derived varieties; Section II Assessment of essentially derived varieties</w:t>
            </w:r>
            <w:proofErr w:type="gramStart"/>
            <w:r w:rsidRPr="00E76087">
              <w:rPr>
                <w:rFonts w:eastAsia="Arial" w:cs="Arial"/>
                <w:sz w:val="18"/>
                <w:szCs w:val="18"/>
                <w:lang w:eastAsia="es-MX"/>
              </w:rPr>
              <w:t xml:space="preserve">;  </w:t>
            </w:r>
            <w:r w:rsidRPr="00E76087">
              <w:rPr>
                <w:rFonts w:eastAsia="Arial" w:cs="Arial"/>
                <w:strike/>
                <w:sz w:val="18"/>
                <w:szCs w:val="18"/>
                <w:lang w:eastAsia="es-MX"/>
              </w:rPr>
              <w:t>Section</w:t>
            </w:r>
            <w:proofErr w:type="gramEnd"/>
            <w:r w:rsidRPr="00E76087">
              <w:rPr>
                <w:rFonts w:eastAsia="Arial" w:cs="Arial"/>
                <w:strike/>
                <w:sz w:val="18"/>
                <w:szCs w:val="18"/>
                <w:lang w:eastAsia="es-MX"/>
              </w:rPr>
              <w:t xml:space="preserve"> III Options for the enforcement of breeders’ rights in relation to essentially derived varieties</w:t>
            </w:r>
            <w:r w:rsidRPr="00E76087">
              <w:rPr>
                <w:rFonts w:eastAsia="Arial" w:cs="Arial"/>
                <w:sz w:val="18"/>
                <w:szCs w:val="18"/>
                <w:lang w:eastAsia="es-MX"/>
              </w:rPr>
              <w:t xml:space="preserve">; and Section </w:t>
            </w:r>
            <w:r w:rsidRPr="00E76087">
              <w:rPr>
                <w:rFonts w:eastAsia="Arial" w:cs="Arial"/>
                <w:strike/>
                <w:sz w:val="18"/>
                <w:szCs w:val="18"/>
                <w:lang w:eastAsia="es-MX"/>
              </w:rPr>
              <w:t>IV</w:t>
            </w:r>
            <w:r w:rsidRPr="00E76087">
              <w:rPr>
                <w:rFonts w:eastAsia="Arial" w:cs="Arial"/>
                <w:sz w:val="18"/>
                <w:szCs w:val="18"/>
                <w:lang w:eastAsia="es-MX"/>
              </w:rPr>
              <w:t xml:space="preserve"> </w:t>
            </w:r>
            <w:r w:rsidRPr="00E76087">
              <w:rPr>
                <w:rFonts w:eastAsia="Arial" w:cs="Arial"/>
                <w:sz w:val="18"/>
                <w:szCs w:val="18"/>
                <w:u w:val="single"/>
                <w:lang w:eastAsia="es-MX"/>
              </w:rPr>
              <w:t>III</w:t>
            </w:r>
            <w:r w:rsidRPr="00E76087">
              <w:rPr>
                <w:rFonts w:eastAsia="Arial" w:cs="Arial"/>
                <w:sz w:val="18"/>
                <w:szCs w:val="18"/>
                <w:lang w:eastAsia="es-MX"/>
              </w:rPr>
              <w:t xml:space="preserve"> Facilitating EDV understanding and implementation.</w:t>
            </w:r>
          </w:p>
          <w:p w:rsidR="00E77586" w:rsidRPr="00E76087" w:rsidRDefault="00E77586" w:rsidP="00E77586">
            <w:pPr>
              <w:textAlignment w:val="baseline"/>
              <w:rPr>
                <w:rFonts w:eastAsia="Arial" w:cs="Arial"/>
                <w:sz w:val="18"/>
                <w:szCs w:val="18"/>
                <w:lang w:eastAsia="es-MX"/>
              </w:rPr>
            </w:pPr>
          </w:p>
        </w:tc>
      </w:tr>
      <w:tr w:rsidR="00E77586" w:rsidRPr="00E76087" w:rsidTr="004A0054">
        <w:tc>
          <w:tcPr>
            <w:tcW w:w="4658" w:type="dxa"/>
          </w:tcPr>
          <w:p w:rsidR="00E77586" w:rsidRPr="00E76087" w:rsidRDefault="00E77586" w:rsidP="00E77586">
            <w:pPr>
              <w:rPr>
                <w:rFonts w:cs="Arial"/>
                <w:spacing w:val="-2"/>
                <w:sz w:val="18"/>
              </w:rPr>
            </w:pPr>
            <w:r w:rsidRPr="00E76087">
              <w:rPr>
                <w:rFonts w:cs="Arial"/>
                <w:spacing w:val="-2"/>
                <w:sz w:val="18"/>
              </w:rPr>
              <w:t>Paragraph 29</w:t>
            </w:r>
          </w:p>
          <w:p w:rsidR="00E77586" w:rsidRPr="00E76087" w:rsidRDefault="00E77586" w:rsidP="00E77586">
            <w:pPr>
              <w:rPr>
                <w:rFonts w:cs="Arial"/>
                <w:spacing w:val="-2"/>
                <w:sz w:val="18"/>
              </w:rPr>
            </w:pPr>
          </w:p>
        </w:tc>
        <w:tc>
          <w:tcPr>
            <w:tcW w:w="4692" w:type="dxa"/>
          </w:tcPr>
          <w:p w:rsidR="00E77586" w:rsidRPr="00E76087" w:rsidRDefault="00E77586" w:rsidP="00E77586">
            <w:pPr>
              <w:rPr>
                <w:rFonts w:ascii="Times New Roman" w:eastAsia="Calibri" w:hAnsi="Times New Roman"/>
                <w:iCs/>
                <w:sz w:val="18"/>
                <w:szCs w:val="18"/>
              </w:rPr>
            </w:pPr>
            <w:r w:rsidRPr="00E76087">
              <w:rPr>
                <w:rFonts w:eastAsia="Calibri" w:cs="Arial"/>
                <w:iCs/>
                <w:sz w:val="18"/>
                <w:szCs w:val="18"/>
              </w:rPr>
              <w:t xml:space="preserve">An EDV is a variety and may require a variety denomination.  Regardless of whether an EDV </w:t>
            </w:r>
            <w:proofErr w:type="gramStart"/>
            <w:r w:rsidRPr="00E76087">
              <w:rPr>
                <w:rFonts w:eastAsia="Calibri" w:cs="Arial"/>
                <w:iCs/>
                <w:sz w:val="18"/>
                <w:szCs w:val="18"/>
              </w:rPr>
              <w:t>is protected</w:t>
            </w:r>
            <w:proofErr w:type="gramEnd"/>
            <w:r w:rsidRPr="00E76087">
              <w:rPr>
                <w:rFonts w:eastAsia="Calibri" w:cs="Arial"/>
                <w:iCs/>
                <w:sz w:val="18"/>
                <w:szCs w:val="18"/>
              </w:rPr>
              <w:t xml:space="preserve"> in its own right or not, </w:t>
            </w:r>
            <w:r w:rsidRPr="00E76087">
              <w:rPr>
                <w:rFonts w:eastAsia="Calibri" w:cs="Arial"/>
                <w:iCs/>
                <w:sz w:val="18"/>
                <w:szCs w:val="18"/>
                <w:u w:val="single"/>
              </w:rPr>
              <w:t xml:space="preserve">the denomination that is used for the variety should be in accordance with the Explanatory Notes on Variety Denominations under the </w:t>
            </w:r>
            <w:r w:rsidR="007273A5">
              <w:rPr>
                <w:rFonts w:eastAsia="Calibri" w:cs="Arial"/>
                <w:iCs/>
                <w:sz w:val="18"/>
                <w:szCs w:val="18"/>
                <w:u w:val="single"/>
              </w:rPr>
              <w:t>UPOV Convention</w:t>
            </w:r>
            <w:r w:rsidRPr="00E76087">
              <w:rPr>
                <w:rFonts w:eastAsia="Calibri" w:cs="Arial"/>
                <w:iCs/>
                <w:sz w:val="18"/>
                <w:szCs w:val="18"/>
                <w:u w:val="single"/>
              </w:rPr>
              <w:t xml:space="preserve"> UPOV/EXN/DEN and, in particular,</w:t>
            </w:r>
            <w:r w:rsidRPr="00E76087">
              <w:rPr>
                <w:rFonts w:ascii="Times New Roman" w:eastAsia="Calibri" w:hAnsi="Times New Roman"/>
                <w:iCs/>
                <w:sz w:val="18"/>
                <w:szCs w:val="18"/>
              </w:rPr>
              <w:t xml:space="preserve"> </w:t>
            </w:r>
            <w:r w:rsidRPr="00E76087">
              <w:rPr>
                <w:rFonts w:eastAsia="Calibri" w:cs="Arial"/>
                <w:iCs/>
                <w:strike/>
                <w:sz w:val="18"/>
                <w:szCs w:val="18"/>
              </w:rPr>
              <w:t>shall not be identical</w:t>
            </w:r>
            <w:r w:rsidRPr="00E76087">
              <w:rPr>
                <w:rFonts w:eastAsia="Calibri" w:cs="Arial"/>
                <w:iCs/>
                <w:sz w:val="18"/>
                <w:szCs w:val="18"/>
                <w:u w:val="single"/>
              </w:rPr>
              <w:t xml:space="preserve"> should be different</w:t>
            </w:r>
            <w:r w:rsidRPr="00E76087">
              <w:rPr>
                <w:rFonts w:eastAsia="Calibri" w:cs="Arial"/>
                <w:iCs/>
                <w:sz w:val="18"/>
                <w:szCs w:val="18"/>
              </w:rPr>
              <w:t xml:space="preserve"> to the denomination of the initial variety.</w:t>
            </w:r>
          </w:p>
          <w:p w:rsidR="00E77586" w:rsidRPr="00E76087" w:rsidRDefault="00E77586" w:rsidP="00E77586">
            <w:pPr>
              <w:rPr>
                <w:rFonts w:cs="Arial"/>
                <w:spacing w:val="-2"/>
                <w:sz w:val="18"/>
                <w:szCs w:val="18"/>
              </w:rPr>
            </w:pPr>
          </w:p>
        </w:tc>
      </w:tr>
      <w:tr w:rsidR="00E77586" w:rsidRPr="00E76087" w:rsidTr="004A0054">
        <w:tc>
          <w:tcPr>
            <w:tcW w:w="4658" w:type="dxa"/>
          </w:tcPr>
          <w:p w:rsidR="00E77586" w:rsidRPr="00E76087" w:rsidRDefault="00E77586" w:rsidP="00E77586">
            <w:pPr>
              <w:rPr>
                <w:rFonts w:cs="Arial"/>
                <w:spacing w:val="-2"/>
                <w:sz w:val="18"/>
              </w:rPr>
            </w:pPr>
            <w:r w:rsidRPr="00E76087">
              <w:rPr>
                <w:rFonts w:cs="Arial"/>
                <w:spacing w:val="-2"/>
                <w:sz w:val="18"/>
              </w:rPr>
              <w:t>Paragraph 35</w:t>
            </w:r>
          </w:p>
          <w:p w:rsidR="00E77586" w:rsidRPr="00E76087" w:rsidRDefault="00E77586" w:rsidP="00E77586">
            <w:pPr>
              <w:rPr>
                <w:rFonts w:cs="Arial"/>
                <w:spacing w:val="-2"/>
                <w:sz w:val="18"/>
              </w:rPr>
            </w:pPr>
          </w:p>
        </w:tc>
        <w:tc>
          <w:tcPr>
            <w:tcW w:w="4692" w:type="dxa"/>
          </w:tcPr>
          <w:p w:rsidR="00E77586" w:rsidRPr="00E76087" w:rsidRDefault="00E77586" w:rsidP="00E77586">
            <w:pPr>
              <w:rPr>
                <w:rFonts w:cs="Arial"/>
                <w:spacing w:val="-2"/>
                <w:sz w:val="18"/>
                <w:szCs w:val="18"/>
              </w:rPr>
            </w:pPr>
            <w:r w:rsidRPr="00E76087">
              <w:rPr>
                <w:rFonts w:cs="Arial"/>
                <w:spacing w:val="-2"/>
                <w:sz w:val="18"/>
                <w:szCs w:val="18"/>
              </w:rPr>
              <w:t>deleted</w:t>
            </w:r>
          </w:p>
        </w:tc>
      </w:tr>
      <w:tr w:rsidR="00E77586" w:rsidRPr="00E76087" w:rsidTr="004A0054">
        <w:tc>
          <w:tcPr>
            <w:tcW w:w="4658" w:type="dxa"/>
          </w:tcPr>
          <w:p w:rsidR="00E77586" w:rsidRPr="00E76087" w:rsidRDefault="00E77586" w:rsidP="00E77586">
            <w:pPr>
              <w:rPr>
                <w:rFonts w:cs="Arial"/>
                <w:spacing w:val="-2"/>
                <w:sz w:val="18"/>
              </w:rPr>
            </w:pPr>
            <w:r w:rsidRPr="00E76087">
              <w:rPr>
                <w:rFonts w:cs="Arial"/>
                <w:spacing w:val="-2"/>
                <w:sz w:val="18"/>
              </w:rPr>
              <w:t>Paragraph 36 (in English and Spanish)</w:t>
            </w:r>
          </w:p>
        </w:tc>
        <w:tc>
          <w:tcPr>
            <w:tcW w:w="4692" w:type="dxa"/>
          </w:tcPr>
          <w:p w:rsidR="00E77586" w:rsidRPr="00E76087" w:rsidRDefault="00E77586" w:rsidP="00E77586">
            <w:pPr>
              <w:rPr>
                <w:iCs/>
                <w:color w:val="000000"/>
                <w:sz w:val="18"/>
                <w:szCs w:val="18"/>
              </w:rPr>
            </w:pPr>
            <w:r w:rsidRPr="00E76087">
              <w:rPr>
                <w:iCs/>
                <w:color w:val="000000"/>
                <w:sz w:val="18"/>
                <w:szCs w:val="18"/>
              </w:rPr>
              <w:t xml:space="preserve">First two sentences to be merged in one sentence to </w:t>
            </w:r>
            <w:r w:rsidR="00105F54">
              <w:rPr>
                <w:iCs/>
                <w:color w:val="000000"/>
                <w:sz w:val="18"/>
                <w:szCs w:val="18"/>
              </w:rPr>
              <w:t xml:space="preserve">read </w:t>
            </w:r>
            <w:r w:rsidRPr="00E76087">
              <w:rPr>
                <w:iCs/>
                <w:color w:val="000000"/>
                <w:sz w:val="18"/>
                <w:szCs w:val="18"/>
              </w:rPr>
              <w:t>as follows:</w:t>
            </w:r>
          </w:p>
          <w:p w:rsidR="00E77586" w:rsidRPr="00E76087" w:rsidRDefault="00E77586" w:rsidP="00E77586">
            <w:pPr>
              <w:rPr>
                <w:iCs/>
                <w:color w:val="000000"/>
                <w:sz w:val="18"/>
                <w:szCs w:val="18"/>
              </w:rPr>
            </w:pPr>
          </w:p>
          <w:p w:rsidR="00E77586" w:rsidRPr="00E76087" w:rsidRDefault="00E77586" w:rsidP="00E77586">
            <w:pPr>
              <w:rPr>
                <w:iCs/>
                <w:color w:val="000000"/>
                <w:sz w:val="18"/>
                <w:szCs w:val="18"/>
              </w:rPr>
            </w:pPr>
            <w:r w:rsidRPr="00E76087">
              <w:rPr>
                <w:iCs/>
                <w:color w:val="000000"/>
                <w:sz w:val="18"/>
                <w:szCs w:val="18"/>
              </w:rPr>
              <w:t>“In some situations, relevant information provided by the breeder of the initial variety on predominant derivation and/or on conformity of the essential characteristics might be used as the basis for the breeder of the putative EDV to be required to prove that their variety is not essentially derived from the initial variety.[…].”</w:t>
            </w:r>
          </w:p>
          <w:p w:rsidR="00E77586" w:rsidRPr="00E76087" w:rsidRDefault="00E77586" w:rsidP="00E77586">
            <w:pPr>
              <w:rPr>
                <w:rFonts w:cs="Arial"/>
                <w:spacing w:val="-2"/>
                <w:sz w:val="18"/>
                <w:szCs w:val="18"/>
              </w:rPr>
            </w:pPr>
          </w:p>
          <w:p w:rsidR="00E77586" w:rsidRPr="00E76087" w:rsidRDefault="00E77586" w:rsidP="00E77586">
            <w:pPr>
              <w:rPr>
                <w:rFonts w:cs="Arial"/>
                <w:spacing w:val="-2"/>
                <w:sz w:val="18"/>
                <w:szCs w:val="18"/>
                <w:u w:val="single"/>
              </w:rPr>
            </w:pPr>
          </w:p>
          <w:p w:rsidR="00E77586" w:rsidRPr="00E76087" w:rsidRDefault="00E77586" w:rsidP="00E77586">
            <w:pPr>
              <w:rPr>
                <w:rFonts w:eastAsia="Calibri"/>
                <w:sz w:val="18"/>
                <w:szCs w:val="18"/>
                <w:u w:val="single"/>
              </w:rPr>
            </w:pPr>
            <w:r w:rsidRPr="00553675">
              <w:rPr>
                <w:rFonts w:eastAsia="Calibri"/>
                <w:sz w:val="18"/>
                <w:szCs w:val="18"/>
                <w:lang w:val="es-ES"/>
              </w:rPr>
              <w:t>“En algunas situaciones, información pertinente proporcionada por el (la) obtentor(a) de la variedad inicial relativa a la derivación principal y/o la conformidad de los caracteres esenciales podría utilizarse como base para requerir al (</w:t>
            </w:r>
            <w:proofErr w:type="spellStart"/>
            <w:r w:rsidRPr="00553675">
              <w:rPr>
                <w:rFonts w:eastAsia="Calibri"/>
                <w:sz w:val="18"/>
                <w:szCs w:val="18"/>
                <w:lang w:val="es-ES"/>
              </w:rPr>
              <w:t>a la</w:t>
            </w:r>
            <w:proofErr w:type="spellEnd"/>
            <w:r w:rsidRPr="00553675">
              <w:rPr>
                <w:rFonts w:eastAsia="Calibri"/>
                <w:sz w:val="18"/>
                <w:szCs w:val="18"/>
                <w:lang w:val="es-ES"/>
              </w:rPr>
              <w:t xml:space="preserve">) obtentor(a) de la presunta variedad esencialmente derivada que demuestre que su variedad no es esencialmente derivada de la variedad inicial. </w:t>
            </w:r>
            <w:r w:rsidRPr="00E76087">
              <w:rPr>
                <w:rFonts w:eastAsia="Calibri"/>
                <w:sz w:val="18"/>
                <w:szCs w:val="18"/>
              </w:rPr>
              <w:t>[...]”</w:t>
            </w:r>
          </w:p>
          <w:p w:rsidR="00E77586" w:rsidRPr="00E76087" w:rsidRDefault="00E77586" w:rsidP="00E77586">
            <w:pPr>
              <w:rPr>
                <w:rFonts w:cs="Arial"/>
                <w:spacing w:val="-2"/>
                <w:sz w:val="18"/>
                <w:szCs w:val="18"/>
                <w:u w:val="single"/>
              </w:rPr>
            </w:pPr>
          </w:p>
        </w:tc>
      </w:tr>
      <w:tr w:rsidR="00E77586" w:rsidRPr="00E76087" w:rsidTr="004A0054">
        <w:trPr>
          <w:trHeight w:val="559"/>
        </w:trPr>
        <w:tc>
          <w:tcPr>
            <w:tcW w:w="4658" w:type="dxa"/>
          </w:tcPr>
          <w:p w:rsidR="00E77586" w:rsidRPr="00E76087" w:rsidRDefault="00E77586" w:rsidP="00E77586">
            <w:pPr>
              <w:rPr>
                <w:rFonts w:cs="Arial"/>
                <w:spacing w:val="-2"/>
                <w:sz w:val="18"/>
              </w:rPr>
            </w:pPr>
            <w:r w:rsidRPr="00E76087">
              <w:rPr>
                <w:rFonts w:cs="Arial"/>
                <w:spacing w:val="-2"/>
                <w:sz w:val="18"/>
              </w:rPr>
              <w:t>Paragraph 37</w:t>
            </w:r>
          </w:p>
        </w:tc>
        <w:tc>
          <w:tcPr>
            <w:tcW w:w="4692" w:type="dxa"/>
          </w:tcPr>
          <w:p w:rsidR="00E77586" w:rsidRPr="00E76087" w:rsidRDefault="00E77586" w:rsidP="00E77586">
            <w:pPr>
              <w:rPr>
                <w:rFonts w:cs="Arial"/>
                <w:spacing w:val="-2"/>
                <w:sz w:val="18"/>
              </w:rPr>
            </w:pPr>
            <w:r w:rsidRPr="00E76087">
              <w:rPr>
                <w:rFonts w:cs="Arial"/>
                <w:spacing w:val="-2"/>
                <w:sz w:val="18"/>
              </w:rPr>
              <w:t>deleted</w:t>
            </w:r>
          </w:p>
        </w:tc>
      </w:tr>
      <w:tr w:rsidR="00E77586" w:rsidRPr="00E76087" w:rsidTr="004A0054">
        <w:tc>
          <w:tcPr>
            <w:tcW w:w="4658" w:type="dxa"/>
          </w:tcPr>
          <w:p w:rsidR="00E77586" w:rsidRPr="00E76087" w:rsidRDefault="00E77586" w:rsidP="00E77586">
            <w:pPr>
              <w:rPr>
                <w:rFonts w:cs="Arial"/>
                <w:spacing w:val="-2"/>
                <w:sz w:val="18"/>
              </w:rPr>
            </w:pPr>
            <w:r w:rsidRPr="00E76087">
              <w:rPr>
                <w:rFonts w:cs="Arial"/>
                <w:spacing w:val="-2"/>
                <w:sz w:val="18"/>
              </w:rPr>
              <w:t>Sections II and III</w:t>
            </w:r>
          </w:p>
          <w:p w:rsidR="00E77586" w:rsidRPr="00E76087" w:rsidRDefault="00E77586" w:rsidP="00E77586">
            <w:pPr>
              <w:rPr>
                <w:rFonts w:cs="Arial"/>
                <w:spacing w:val="-2"/>
                <w:sz w:val="18"/>
              </w:rPr>
            </w:pPr>
          </w:p>
        </w:tc>
        <w:tc>
          <w:tcPr>
            <w:tcW w:w="4692" w:type="dxa"/>
          </w:tcPr>
          <w:p w:rsidR="00E77586" w:rsidRPr="00E76087" w:rsidRDefault="00E77586" w:rsidP="00E77586">
            <w:pPr>
              <w:rPr>
                <w:rFonts w:cs="Arial"/>
                <w:spacing w:val="-2"/>
                <w:sz w:val="18"/>
              </w:rPr>
            </w:pPr>
            <w:r w:rsidRPr="00E76087">
              <w:rPr>
                <w:rFonts w:cs="Arial"/>
                <w:spacing w:val="-2"/>
                <w:sz w:val="18"/>
              </w:rPr>
              <w:t>Merge the contents of Sections II and III in one single section with the title of Section II and update the table of contents accordingly.</w:t>
            </w:r>
          </w:p>
          <w:p w:rsidR="00E77586" w:rsidRPr="00E76087" w:rsidRDefault="00E77586" w:rsidP="00E77586">
            <w:pPr>
              <w:rPr>
                <w:rFonts w:cs="Arial"/>
                <w:spacing w:val="-2"/>
                <w:sz w:val="18"/>
              </w:rPr>
            </w:pPr>
          </w:p>
        </w:tc>
      </w:tr>
    </w:tbl>
    <w:p w:rsidR="00467B99" w:rsidRPr="00E76087" w:rsidRDefault="00467B99" w:rsidP="00FF6021">
      <w:pPr>
        <w:rPr>
          <w:spacing w:val="-2"/>
          <w:highlight w:val="lightGray"/>
        </w:rPr>
      </w:pPr>
    </w:p>
    <w:p w:rsidR="00917FE8" w:rsidRPr="00E76087" w:rsidRDefault="00917FE8" w:rsidP="00467B99">
      <w:r w:rsidRPr="00E76087">
        <w:fldChar w:fldCharType="begin"/>
      </w:r>
      <w:r w:rsidRPr="00E76087">
        <w:instrText xml:space="preserve"> AUTONUM  </w:instrText>
      </w:r>
      <w:r w:rsidRPr="00E76087">
        <w:fldChar w:fldCharType="end"/>
      </w:r>
      <w:r w:rsidRPr="00E76087">
        <w:tab/>
        <w:t xml:space="preserve">The CAJ </w:t>
      </w:r>
      <w:r w:rsidR="00A54877" w:rsidRPr="00E76087">
        <w:t xml:space="preserve">agreed </w:t>
      </w:r>
      <w:r w:rsidRPr="00E76087">
        <w:t>that the WG</w:t>
      </w:r>
      <w:r w:rsidRPr="00E76087">
        <w:noBreakHyphen/>
        <w:t xml:space="preserve">EDV had </w:t>
      </w:r>
      <w:r w:rsidR="00A54877" w:rsidRPr="00E76087">
        <w:t xml:space="preserve">successfully </w:t>
      </w:r>
      <w:r w:rsidRPr="00E76087">
        <w:t>concluded</w:t>
      </w:r>
      <w:r w:rsidR="00A96182" w:rsidRPr="00E76087">
        <w:t xml:space="preserve"> its work.</w:t>
      </w:r>
    </w:p>
    <w:p w:rsidR="00917FE8" w:rsidRPr="00E76087" w:rsidRDefault="00917FE8" w:rsidP="00467B99"/>
    <w:p w:rsidR="00C7365C" w:rsidRPr="00E76087" w:rsidRDefault="00467B99" w:rsidP="00250EFC">
      <w:r w:rsidRPr="00E76087">
        <w:fldChar w:fldCharType="begin"/>
      </w:r>
      <w:r w:rsidRPr="00E76087">
        <w:instrText xml:space="preserve"> AUTONUM  </w:instrText>
      </w:r>
      <w:r w:rsidRPr="00E76087">
        <w:fldChar w:fldCharType="end"/>
      </w:r>
      <w:r w:rsidRPr="00E76087">
        <w:tab/>
        <w:t xml:space="preserve">The CAJ </w:t>
      </w:r>
      <w:r w:rsidR="00250EFC" w:rsidRPr="00E76087">
        <w:t xml:space="preserve">approved </w:t>
      </w:r>
      <w:r w:rsidRPr="00E76087">
        <w:t>the proposed rev</w:t>
      </w:r>
      <w:r w:rsidR="00B2037A" w:rsidRPr="00E76087">
        <w:t>ision of document UPOV/EXN/EDV/3</w:t>
      </w:r>
      <w:r w:rsidR="00917FE8" w:rsidRPr="00E76087">
        <w:t xml:space="preserve"> “Explanatory Notes on </w:t>
      </w:r>
      <w:r w:rsidR="00917FE8" w:rsidRPr="007273A5">
        <w:t xml:space="preserve">Essentially Derived Varieties under the 1991 Act of the </w:t>
      </w:r>
      <w:r w:rsidR="007273A5">
        <w:t>UPOV Convention</w:t>
      </w:r>
      <w:r w:rsidR="00917FE8" w:rsidRPr="007273A5">
        <w:t>”</w:t>
      </w:r>
      <w:r w:rsidRPr="007273A5">
        <w:t xml:space="preserve">, </w:t>
      </w:r>
      <w:proofErr w:type="gramStart"/>
      <w:r w:rsidRPr="007273A5">
        <w:t>on the basis of</w:t>
      </w:r>
      <w:proofErr w:type="gramEnd"/>
      <w:r w:rsidRPr="007273A5">
        <w:t xml:space="preserve"> document</w:t>
      </w:r>
      <w:r w:rsidRPr="00E76087">
        <w:t xml:space="preserve"> </w:t>
      </w:r>
      <w:r w:rsidRPr="007273A5">
        <w:t xml:space="preserve">UPOV/EXN/EDV/3 Draft 2, </w:t>
      </w:r>
      <w:r w:rsidR="00FF6021" w:rsidRPr="007273A5">
        <w:t>as provided in paragraph 18.</w:t>
      </w:r>
    </w:p>
    <w:p w:rsidR="00917FE8" w:rsidRPr="00E76087" w:rsidRDefault="00917FE8" w:rsidP="00250EFC"/>
    <w:p w:rsidR="00250EFC" w:rsidRPr="00E76087" w:rsidRDefault="00917FE8" w:rsidP="00250EFC">
      <w:r w:rsidRPr="00E76087">
        <w:fldChar w:fldCharType="begin"/>
      </w:r>
      <w:r w:rsidRPr="00E76087">
        <w:instrText xml:space="preserve"> AUTONUM  </w:instrText>
      </w:r>
      <w:r w:rsidRPr="00E76087">
        <w:fldChar w:fldCharType="end"/>
      </w:r>
      <w:r w:rsidRPr="00E76087">
        <w:tab/>
      </w:r>
      <w:r w:rsidR="00250EFC" w:rsidRPr="00E76087">
        <w:t>The CAJ agree</w:t>
      </w:r>
      <w:r w:rsidRPr="00E76087">
        <w:t>d</w:t>
      </w:r>
      <w:r w:rsidR="00250EFC" w:rsidRPr="00E76087">
        <w:t xml:space="preserve">, on the above basis, </w:t>
      </w:r>
      <w:r w:rsidRPr="00E76087">
        <w:t xml:space="preserve">that </w:t>
      </w:r>
      <w:proofErr w:type="gramStart"/>
      <w:r w:rsidR="00250EFC" w:rsidRPr="00E76087">
        <w:t>a draft of document UPOV/EXN/EDV/3</w:t>
      </w:r>
      <w:r w:rsidRPr="00E76087">
        <w:t>, as approved by the CAJ,</w:t>
      </w:r>
      <w:r w:rsidR="00E77586" w:rsidRPr="00E76087">
        <w:t xml:space="preserve"> </w:t>
      </w:r>
      <w:r w:rsidR="00250EFC" w:rsidRPr="00E76087">
        <w:t>be circulated for approval by the Consultative Committee and adoption by the Council</w:t>
      </w:r>
      <w:proofErr w:type="gramEnd"/>
      <w:r w:rsidR="00250EFC" w:rsidRPr="00E76087">
        <w:t xml:space="preserve"> by correspondence.</w:t>
      </w:r>
    </w:p>
    <w:p w:rsidR="00917FE8" w:rsidRPr="00E76087" w:rsidRDefault="00917FE8" w:rsidP="00250EFC"/>
    <w:p w:rsidR="00467B99" w:rsidRPr="00E76087" w:rsidRDefault="00917FE8" w:rsidP="00250EFC">
      <w:r w:rsidRPr="00E76087">
        <w:fldChar w:fldCharType="begin"/>
      </w:r>
      <w:r w:rsidRPr="00E76087">
        <w:instrText xml:space="preserve"> AUTONUM  </w:instrText>
      </w:r>
      <w:r w:rsidRPr="00E76087">
        <w:fldChar w:fldCharType="end"/>
      </w:r>
      <w:r w:rsidRPr="00E76087">
        <w:tab/>
      </w:r>
      <w:r w:rsidR="00250EFC" w:rsidRPr="00E76087">
        <w:t xml:space="preserve">The CAJ noted that </w:t>
      </w:r>
      <w:r w:rsidRPr="00E76087">
        <w:t xml:space="preserve">the procedure for adoption of document UPOV/EXN/EDV/3 by the Council by correspondence </w:t>
      </w:r>
      <w:proofErr w:type="gramStart"/>
      <w:r w:rsidRPr="00E76087">
        <w:t>would</w:t>
      </w:r>
      <w:r w:rsidR="00250EFC" w:rsidRPr="00E76087">
        <w:t xml:space="preserve"> be </w:t>
      </w:r>
      <w:r w:rsidR="00A54877" w:rsidRPr="00E76087">
        <w:t>proposed</w:t>
      </w:r>
      <w:proofErr w:type="gramEnd"/>
      <w:r w:rsidR="00A54877" w:rsidRPr="00E76087">
        <w:t xml:space="preserve"> </w:t>
      </w:r>
      <w:r w:rsidR="00250EFC" w:rsidRPr="00E76087">
        <w:t>to the Council, at its fifty-fifth ordinary session, on October 29, 2021, under agenda item 16.</w:t>
      </w:r>
    </w:p>
    <w:p w:rsidR="00917FE8" w:rsidRPr="00E76087" w:rsidRDefault="00917FE8" w:rsidP="00250EFC"/>
    <w:p w:rsidR="001C2857" w:rsidRPr="00E76087" w:rsidRDefault="001C2857" w:rsidP="001C2857"/>
    <w:p w:rsidR="007273A5" w:rsidRDefault="007273A5">
      <w:pPr>
        <w:jc w:val="left"/>
        <w:rPr>
          <w:snapToGrid w:val="0"/>
          <w:u w:val="single"/>
        </w:rPr>
      </w:pPr>
      <w:r>
        <w:rPr>
          <w:snapToGrid w:val="0"/>
          <w:u w:val="single"/>
        </w:rPr>
        <w:br w:type="page"/>
      </w:r>
    </w:p>
    <w:p w:rsidR="001C2857" w:rsidRPr="00E76087" w:rsidRDefault="001C2857" w:rsidP="004E0DA2">
      <w:pPr>
        <w:keepNext/>
        <w:rPr>
          <w:snapToGrid w:val="0"/>
          <w:u w:val="single"/>
        </w:rPr>
      </w:pPr>
      <w:r w:rsidRPr="00E76087">
        <w:rPr>
          <w:snapToGrid w:val="0"/>
          <w:u w:val="single"/>
        </w:rPr>
        <w:lastRenderedPageBreak/>
        <w:t>Harvested Material (documents CAJ/7</w:t>
      </w:r>
      <w:r w:rsidR="00E44E22" w:rsidRPr="00E76087">
        <w:rPr>
          <w:snapToGrid w:val="0"/>
          <w:u w:val="single"/>
        </w:rPr>
        <w:t>8</w:t>
      </w:r>
      <w:r w:rsidRPr="00E76087">
        <w:rPr>
          <w:snapToGrid w:val="0"/>
          <w:u w:val="single"/>
        </w:rPr>
        <w:t>/5</w:t>
      </w:r>
      <w:r w:rsidR="00E44E22" w:rsidRPr="00E76087">
        <w:rPr>
          <w:snapToGrid w:val="0"/>
          <w:u w:val="single"/>
        </w:rPr>
        <w:t>, CAJ/78/5 Add.</w:t>
      </w:r>
      <w:r w:rsidRPr="00E76087">
        <w:rPr>
          <w:snapToGrid w:val="0"/>
          <w:u w:val="single"/>
        </w:rPr>
        <w:t xml:space="preserve"> and CAJ/7</w:t>
      </w:r>
      <w:r w:rsidR="00E44E22" w:rsidRPr="00E76087">
        <w:rPr>
          <w:snapToGrid w:val="0"/>
          <w:u w:val="single"/>
        </w:rPr>
        <w:t>8/12</w:t>
      </w:r>
      <w:r w:rsidRPr="00E76087">
        <w:rPr>
          <w:snapToGrid w:val="0"/>
          <w:u w:val="single"/>
        </w:rPr>
        <w:t xml:space="preserve">) </w:t>
      </w:r>
    </w:p>
    <w:p w:rsidR="001C2857" w:rsidRPr="00E76087" w:rsidRDefault="001C2857" w:rsidP="004E0DA2">
      <w:pPr>
        <w:keepNext/>
      </w:pPr>
    </w:p>
    <w:p w:rsidR="001C2857" w:rsidRPr="00E76087" w:rsidRDefault="001C2857" w:rsidP="001C2857">
      <w:r w:rsidRPr="00E76087">
        <w:rPr>
          <w:snapToGrid w:val="0"/>
        </w:rPr>
        <w:fldChar w:fldCharType="begin"/>
      </w:r>
      <w:r w:rsidRPr="00E76087">
        <w:rPr>
          <w:snapToGrid w:val="0"/>
        </w:rPr>
        <w:instrText xml:space="preserve"> AUTONUM  </w:instrText>
      </w:r>
      <w:r w:rsidRPr="00E76087">
        <w:rPr>
          <w:snapToGrid w:val="0"/>
        </w:rPr>
        <w:fldChar w:fldCharType="end"/>
      </w:r>
      <w:r w:rsidRPr="00E76087">
        <w:rPr>
          <w:snapToGrid w:val="0"/>
        </w:rPr>
        <w:tab/>
      </w:r>
      <w:r w:rsidRPr="00E76087">
        <w:t xml:space="preserve">The </w:t>
      </w:r>
      <w:r w:rsidRPr="00E76087">
        <w:rPr>
          <w:snapToGrid w:val="0"/>
        </w:rPr>
        <w:t xml:space="preserve">CAJ </w:t>
      </w:r>
      <w:r w:rsidRPr="00E76087">
        <w:t xml:space="preserve">noted that document </w:t>
      </w:r>
      <w:r w:rsidR="00E44E22" w:rsidRPr="00E76087">
        <w:rPr>
          <w:snapToGrid w:val="0"/>
        </w:rPr>
        <w:t>CAJ/78</w:t>
      </w:r>
      <w:r w:rsidRPr="00E76087">
        <w:rPr>
          <w:snapToGrid w:val="0"/>
        </w:rPr>
        <w:t xml:space="preserve">/5 </w:t>
      </w:r>
      <w:proofErr w:type="gramStart"/>
      <w:r w:rsidRPr="00E76087">
        <w:rPr>
          <w:rFonts w:cs="Arial"/>
        </w:rPr>
        <w:t>had been considered</w:t>
      </w:r>
      <w:proofErr w:type="gramEnd"/>
      <w:r w:rsidRPr="00E76087">
        <w:rPr>
          <w:rFonts w:cs="Arial"/>
        </w:rPr>
        <w:t xml:space="preserve"> by correspondence</w:t>
      </w:r>
      <w:r w:rsidRPr="00E76087">
        <w:t xml:space="preserve">.  </w:t>
      </w:r>
    </w:p>
    <w:p w:rsidR="001C2857" w:rsidRPr="00E76087" w:rsidRDefault="001C2857" w:rsidP="001C2857"/>
    <w:p w:rsidR="001C2857" w:rsidRPr="00E76087" w:rsidRDefault="001C2857" w:rsidP="001C2857">
      <w:pPr>
        <w:rPr>
          <w:snapToGrid w:val="0"/>
        </w:rPr>
      </w:pPr>
      <w:r w:rsidRPr="00E76087">
        <w:fldChar w:fldCharType="begin"/>
      </w:r>
      <w:r w:rsidRPr="00E76087">
        <w:instrText xml:space="preserve"> AUTONUM  </w:instrText>
      </w:r>
      <w:r w:rsidRPr="00E76087">
        <w:fldChar w:fldCharType="end"/>
      </w:r>
      <w:r w:rsidRPr="00E76087">
        <w:tab/>
        <w:t xml:space="preserve">The </w:t>
      </w:r>
      <w:r w:rsidRPr="00E76087">
        <w:rPr>
          <w:snapToGrid w:val="0"/>
        </w:rPr>
        <w:t xml:space="preserve">CAJ </w:t>
      </w:r>
      <w:r w:rsidRPr="00E76087">
        <w:t>noted</w:t>
      </w:r>
      <w:r w:rsidRPr="00E76087">
        <w:rPr>
          <w:spacing w:val="-2"/>
        </w:rPr>
        <w:t xml:space="preserve"> that the decisions in document </w:t>
      </w:r>
      <w:r w:rsidR="00E44E22" w:rsidRPr="00E76087">
        <w:rPr>
          <w:snapToGrid w:val="0"/>
        </w:rPr>
        <w:t>CAJ/78</w:t>
      </w:r>
      <w:r w:rsidRPr="00E76087">
        <w:rPr>
          <w:snapToGrid w:val="0"/>
        </w:rPr>
        <w:t xml:space="preserve">/5 </w:t>
      </w:r>
      <w:proofErr w:type="gramStart"/>
      <w:r w:rsidRPr="00E76087">
        <w:rPr>
          <w:spacing w:val="-2"/>
        </w:rPr>
        <w:t>had been taken</w:t>
      </w:r>
      <w:proofErr w:type="gramEnd"/>
      <w:r w:rsidRPr="00E76087">
        <w:rPr>
          <w:spacing w:val="-2"/>
        </w:rPr>
        <w:t xml:space="preserve"> by the </w:t>
      </w:r>
      <w:r w:rsidRPr="00E76087">
        <w:rPr>
          <w:snapToGrid w:val="0"/>
        </w:rPr>
        <w:t xml:space="preserve">CAJ </w:t>
      </w:r>
      <w:r w:rsidRPr="00E76087">
        <w:rPr>
          <w:spacing w:val="-2"/>
        </w:rPr>
        <w:t>by correspondence</w:t>
      </w:r>
      <w:r w:rsidR="00C91DFB" w:rsidRPr="00E76087">
        <w:rPr>
          <w:spacing w:val="-2"/>
        </w:rPr>
        <w:t xml:space="preserve"> on September 21, 2021</w:t>
      </w:r>
      <w:r w:rsidRPr="00E76087">
        <w:rPr>
          <w:spacing w:val="-2"/>
        </w:rPr>
        <w:t>, as provided in document </w:t>
      </w:r>
      <w:proofErr w:type="spellStart"/>
      <w:r w:rsidR="00E44E22" w:rsidRPr="00E76087">
        <w:rPr>
          <w:snapToGrid w:val="0"/>
        </w:rPr>
        <w:t>CAJ</w:t>
      </w:r>
      <w:proofErr w:type="spellEnd"/>
      <w:r w:rsidR="00E44E22" w:rsidRPr="00E76087">
        <w:rPr>
          <w:snapToGrid w:val="0"/>
        </w:rPr>
        <w:t>/7</w:t>
      </w:r>
      <w:r w:rsidR="00C8670E" w:rsidRPr="00E76087">
        <w:rPr>
          <w:snapToGrid w:val="0"/>
        </w:rPr>
        <w:t>8</w:t>
      </w:r>
      <w:r w:rsidR="00E44E22" w:rsidRPr="00E76087">
        <w:rPr>
          <w:snapToGrid w:val="0"/>
        </w:rPr>
        <w:t>/12</w:t>
      </w:r>
      <w:r w:rsidRPr="00E76087">
        <w:rPr>
          <w:snapToGrid w:val="0"/>
        </w:rPr>
        <w:t>, paragrap</w:t>
      </w:r>
      <w:r w:rsidRPr="00190C83">
        <w:rPr>
          <w:spacing w:val="-2"/>
        </w:rPr>
        <w:t>h</w:t>
      </w:r>
      <w:r w:rsidR="00C91DFB" w:rsidRPr="00190C83">
        <w:rPr>
          <w:spacing w:val="-2"/>
        </w:rPr>
        <w:t> </w:t>
      </w:r>
      <w:r w:rsidR="00A41B69" w:rsidRPr="00190C83">
        <w:rPr>
          <w:spacing w:val="-2"/>
        </w:rPr>
        <w:t>31</w:t>
      </w:r>
      <w:r w:rsidR="00C91DFB" w:rsidRPr="00190C83">
        <w:rPr>
          <w:spacing w:val="-2"/>
        </w:rPr>
        <w:t xml:space="preserve">, as </w:t>
      </w:r>
      <w:r w:rsidR="00C91DFB" w:rsidRPr="00E76087">
        <w:rPr>
          <w:snapToGrid w:val="0"/>
        </w:rPr>
        <w:t>follows</w:t>
      </w:r>
      <w:r w:rsidR="001A50C3">
        <w:rPr>
          <w:snapToGrid w:val="0"/>
        </w:rPr>
        <w:t>.</w:t>
      </w:r>
      <w:r w:rsidR="00C91DFB" w:rsidRPr="00E76087">
        <w:rPr>
          <w:snapToGrid w:val="0"/>
        </w:rPr>
        <w:t xml:space="preserve"> </w:t>
      </w:r>
      <w:r w:rsidR="001A50C3">
        <w:rPr>
          <w:snapToGrid w:val="0"/>
        </w:rPr>
        <w:t xml:space="preserve"> T</w:t>
      </w:r>
      <w:r w:rsidR="00C91DFB" w:rsidRPr="00E76087">
        <w:rPr>
          <w:snapToGrid w:val="0"/>
        </w:rPr>
        <w:t>he CAJ:</w:t>
      </w:r>
    </w:p>
    <w:p w:rsidR="00C91DFB" w:rsidRPr="00E76087" w:rsidRDefault="00C91DFB" w:rsidP="00C91DFB">
      <w:pPr>
        <w:keepNext/>
        <w:keepLines/>
        <w:rPr>
          <w:snapToGrid w:val="0"/>
          <w:spacing w:val="-2"/>
        </w:rPr>
      </w:pPr>
    </w:p>
    <w:p w:rsidR="00C91DFB" w:rsidRPr="00E76087" w:rsidRDefault="00C91DFB" w:rsidP="00C91DFB">
      <w:pPr>
        <w:keepLines/>
        <w:ind w:left="567" w:firstLine="567"/>
        <w:rPr>
          <w:snapToGrid w:val="0"/>
          <w:spacing w:val="-2"/>
        </w:rPr>
      </w:pPr>
      <w:r w:rsidRPr="00E76087">
        <w:rPr>
          <w:snapToGrid w:val="0"/>
          <w:spacing w:val="-2"/>
        </w:rPr>
        <w:t xml:space="preserve">(i) </w:t>
      </w:r>
      <w:r w:rsidRPr="00E76087">
        <w:rPr>
          <w:snapToGrid w:val="0"/>
          <w:spacing w:val="-2"/>
        </w:rPr>
        <w:tab/>
        <w:t xml:space="preserve">agreed to initiate a revision of the “Explanatory Notes on Acts in Respect of Harvested Material under the 1991 Act of the </w:t>
      </w:r>
      <w:r w:rsidR="007273A5">
        <w:rPr>
          <w:snapToGrid w:val="0"/>
          <w:spacing w:val="-2"/>
        </w:rPr>
        <w:t>UPOV Convention</w:t>
      </w:r>
      <w:r w:rsidRPr="00E76087">
        <w:rPr>
          <w:snapToGrid w:val="0"/>
          <w:spacing w:val="-2"/>
        </w:rPr>
        <w:t xml:space="preserve">” (document UPOV/EXN/HRV/1), “Explanatory Notes on Propagating Material under the </w:t>
      </w:r>
      <w:r w:rsidR="007273A5">
        <w:rPr>
          <w:snapToGrid w:val="0"/>
          <w:spacing w:val="-2"/>
        </w:rPr>
        <w:t>UPOV Convention</w:t>
      </w:r>
      <w:r w:rsidRPr="00E76087">
        <w:rPr>
          <w:snapToGrid w:val="0"/>
          <w:spacing w:val="-2"/>
        </w:rPr>
        <w:t xml:space="preserve">” (UPOV/EXN/PPM/1), and “Explanatory Notes on Provisional Protection under the </w:t>
      </w:r>
      <w:r w:rsidR="007273A5">
        <w:rPr>
          <w:snapToGrid w:val="0"/>
          <w:spacing w:val="-2"/>
        </w:rPr>
        <w:t>UPOV Convention</w:t>
      </w:r>
      <w:r w:rsidRPr="00E76087">
        <w:rPr>
          <w:snapToGrid w:val="0"/>
          <w:spacing w:val="-2"/>
        </w:rPr>
        <w:t>” (UPOV/EXN/PRP/2);</w:t>
      </w:r>
    </w:p>
    <w:p w:rsidR="00C91DFB" w:rsidRPr="00E76087" w:rsidRDefault="00C91DFB" w:rsidP="00C91DFB">
      <w:pPr>
        <w:ind w:left="567"/>
        <w:rPr>
          <w:snapToGrid w:val="0"/>
          <w:spacing w:val="-2"/>
        </w:rPr>
      </w:pPr>
    </w:p>
    <w:p w:rsidR="00C91DFB" w:rsidRPr="00E76087" w:rsidRDefault="00C91DFB" w:rsidP="00C91DFB">
      <w:pPr>
        <w:ind w:left="567" w:firstLine="567"/>
        <w:rPr>
          <w:snapToGrid w:val="0"/>
          <w:spacing w:val="-2"/>
        </w:rPr>
      </w:pPr>
      <w:r w:rsidRPr="00E76087">
        <w:rPr>
          <w:snapToGrid w:val="0"/>
          <w:spacing w:val="-2"/>
        </w:rPr>
        <w:t xml:space="preserve">(ii) </w:t>
      </w:r>
      <w:r w:rsidRPr="00E76087">
        <w:rPr>
          <w:snapToGrid w:val="0"/>
          <w:spacing w:val="-2"/>
        </w:rPr>
        <w:tab/>
      </w:r>
      <w:proofErr w:type="gramStart"/>
      <w:r w:rsidRPr="00E76087">
        <w:rPr>
          <w:snapToGrid w:val="0"/>
          <w:spacing w:val="-2"/>
        </w:rPr>
        <w:t>agreed</w:t>
      </w:r>
      <w:proofErr w:type="gramEnd"/>
      <w:r w:rsidRPr="00E76087">
        <w:rPr>
          <w:snapToGrid w:val="0"/>
          <w:spacing w:val="-2"/>
        </w:rPr>
        <w:t xml:space="preserve"> to establish a working group on harvested material and unauthorized use of propagating material (WG-HRV);</w:t>
      </w:r>
    </w:p>
    <w:p w:rsidR="00C91DFB" w:rsidRPr="00E76087" w:rsidRDefault="00C91DFB" w:rsidP="00C91DFB">
      <w:pPr>
        <w:ind w:left="567"/>
        <w:rPr>
          <w:snapToGrid w:val="0"/>
          <w:spacing w:val="-2"/>
        </w:rPr>
      </w:pPr>
    </w:p>
    <w:p w:rsidR="00C91DFB" w:rsidRPr="00E76087" w:rsidRDefault="00C91DFB" w:rsidP="00C91DFB">
      <w:pPr>
        <w:ind w:left="567" w:firstLine="567"/>
        <w:rPr>
          <w:snapToGrid w:val="0"/>
          <w:spacing w:val="-2"/>
        </w:rPr>
      </w:pPr>
      <w:r w:rsidRPr="00E76087">
        <w:rPr>
          <w:snapToGrid w:val="0"/>
          <w:spacing w:val="-2"/>
        </w:rPr>
        <w:t xml:space="preserve">(iii) </w:t>
      </w:r>
      <w:r w:rsidRPr="00E76087">
        <w:rPr>
          <w:snapToGrid w:val="0"/>
          <w:spacing w:val="-2"/>
        </w:rPr>
        <w:tab/>
      </w:r>
      <w:proofErr w:type="gramStart"/>
      <w:r w:rsidRPr="00E76087">
        <w:rPr>
          <w:snapToGrid w:val="0"/>
          <w:spacing w:val="-2"/>
        </w:rPr>
        <w:t>approved</w:t>
      </w:r>
      <w:proofErr w:type="gramEnd"/>
      <w:r w:rsidRPr="00E76087">
        <w:rPr>
          <w:snapToGrid w:val="0"/>
          <w:spacing w:val="-2"/>
        </w:rPr>
        <w:t xml:space="preserve"> the terms of reference (</w:t>
      </w:r>
      <w:proofErr w:type="spellStart"/>
      <w:r w:rsidRPr="00E76087">
        <w:rPr>
          <w:snapToGrid w:val="0"/>
          <w:spacing w:val="-2"/>
        </w:rPr>
        <w:t>ToRs</w:t>
      </w:r>
      <w:proofErr w:type="spellEnd"/>
      <w:r w:rsidRPr="00E76087">
        <w:rPr>
          <w:snapToGrid w:val="0"/>
          <w:spacing w:val="-2"/>
        </w:rPr>
        <w:t xml:space="preserve">) for the </w:t>
      </w:r>
      <w:proofErr w:type="spellStart"/>
      <w:r w:rsidRPr="00E76087">
        <w:rPr>
          <w:snapToGrid w:val="0"/>
          <w:spacing w:val="-2"/>
        </w:rPr>
        <w:t>WG-HRV</w:t>
      </w:r>
      <w:proofErr w:type="spellEnd"/>
      <w:r w:rsidRPr="00E76087">
        <w:rPr>
          <w:snapToGrid w:val="0"/>
          <w:spacing w:val="-2"/>
        </w:rPr>
        <w:t xml:space="preserve">, as presented in the Annex to document </w:t>
      </w:r>
      <w:r w:rsidRPr="00E76087">
        <w:rPr>
          <w:snapToGrid w:val="0"/>
        </w:rPr>
        <w:t>CAJ/78/12</w:t>
      </w:r>
      <w:r w:rsidRPr="00E76087">
        <w:rPr>
          <w:snapToGrid w:val="0"/>
          <w:spacing w:val="-2"/>
        </w:rPr>
        <w:t xml:space="preserve">; </w:t>
      </w:r>
    </w:p>
    <w:p w:rsidR="00C91DFB" w:rsidRPr="00E76087" w:rsidRDefault="00C91DFB" w:rsidP="00C91DFB">
      <w:pPr>
        <w:ind w:left="567"/>
        <w:rPr>
          <w:snapToGrid w:val="0"/>
          <w:spacing w:val="-2"/>
        </w:rPr>
      </w:pPr>
    </w:p>
    <w:p w:rsidR="00C91DFB" w:rsidRPr="00E76087" w:rsidRDefault="00C91DFB" w:rsidP="00C91DFB">
      <w:pPr>
        <w:ind w:left="567" w:firstLine="567"/>
        <w:rPr>
          <w:snapToGrid w:val="0"/>
          <w:spacing w:val="-2"/>
        </w:rPr>
      </w:pPr>
      <w:r w:rsidRPr="00E76087">
        <w:rPr>
          <w:snapToGrid w:val="0"/>
          <w:spacing w:val="-2"/>
        </w:rPr>
        <w:t xml:space="preserve">(iv) </w:t>
      </w:r>
      <w:r w:rsidRPr="00E76087">
        <w:rPr>
          <w:snapToGrid w:val="0"/>
          <w:spacing w:val="-2"/>
        </w:rPr>
        <w:tab/>
      </w:r>
      <w:proofErr w:type="gramStart"/>
      <w:r w:rsidRPr="00E76087">
        <w:rPr>
          <w:snapToGrid w:val="0"/>
          <w:spacing w:val="-2"/>
        </w:rPr>
        <w:t>requested</w:t>
      </w:r>
      <w:proofErr w:type="gramEnd"/>
      <w:r w:rsidRPr="00E76087">
        <w:rPr>
          <w:snapToGrid w:val="0"/>
          <w:spacing w:val="-2"/>
        </w:rPr>
        <w:t xml:space="preserve"> the Office of the Union to issue a Circular to invite members of the Union and observers to the CAJ to express their interest to be a member of the WG-HRV;  and</w:t>
      </w:r>
    </w:p>
    <w:p w:rsidR="00C91DFB" w:rsidRPr="00E76087" w:rsidRDefault="00C91DFB" w:rsidP="00C91DFB">
      <w:pPr>
        <w:ind w:left="567"/>
        <w:rPr>
          <w:snapToGrid w:val="0"/>
          <w:spacing w:val="-2"/>
        </w:rPr>
      </w:pPr>
    </w:p>
    <w:p w:rsidR="00C91DFB" w:rsidRPr="00E76087" w:rsidRDefault="00C91DFB" w:rsidP="00C91DFB">
      <w:pPr>
        <w:ind w:left="567" w:firstLine="567"/>
        <w:rPr>
          <w:snapToGrid w:val="0"/>
          <w:spacing w:val="-2"/>
        </w:rPr>
      </w:pPr>
      <w:r w:rsidRPr="00E76087">
        <w:rPr>
          <w:snapToGrid w:val="0"/>
          <w:spacing w:val="-2"/>
        </w:rPr>
        <w:t xml:space="preserve">(v) </w:t>
      </w:r>
      <w:r w:rsidRPr="00E76087">
        <w:rPr>
          <w:snapToGrid w:val="0"/>
          <w:spacing w:val="-2"/>
        </w:rPr>
        <w:tab/>
      </w:r>
      <w:proofErr w:type="gramStart"/>
      <w:r w:rsidRPr="00E76087">
        <w:rPr>
          <w:snapToGrid w:val="0"/>
          <w:spacing w:val="-2"/>
        </w:rPr>
        <w:t>noted</w:t>
      </w:r>
      <w:proofErr w:type="gramEnd"/>
      <w:r w:rsidRPr="00E76087">
        <w:rPr>
          <w:snapToGrid w:val="0"/>
          <w:spacing w:val="-2"/>
        </w:rPr>
        <w:t xml:space="preserve"> that, at its seventy-eighth session, the CAJ would receive a report of the replies to the Circular with the expressions of interest to be part of the WG-HRV, with a request for the CAJ to agree its composition and the date for its first meeting.</w:t>
      </w:r>
    </w:p>
    <w:p w:rsidR="00E44E22" w:rsidRPr="00E76087" w:rsidRDefault="00E44E22" w:rsidP="001C2857">
      <w:pPr>
        <w:rPr>
          <w:snapToGrid w:val="0"/>
        </w:rPr>
      </w:pPr>
    </w:p>
    <w:p w:rsidR="00E44E22" w:rsidRPr="00E76087" w:rsidRDefault="00E44E22" w:rsidP="00B32CF7">
      <w:pPr>
        <w:keepLines/>
        <w:rPr>
          <w:spacing w:val="-4"/>
        </w:rPr>
      </w:pPr>
      <w:r w:rsidRPr="00E76087">
        <w:fldChar w:fldCharType="begin"/>
      </w:r>
      <w:r w:rsidRPr="00E76087">
        <w:instrText xml:space="preserve"> AUTONUM  </w:instrText>
      </w:r>
      <w:r w:rsidRPr="00E76087">
        <w:fldChar w:fldCharType="end"/>
      </w:r>
      <w:r w:rsidRPr="00E76087">
        <w:tab/>
        <w:t>The CAJ noted the comments on document CAJ/78/5 “Harvested material”, received in response to Circular E-21/123 of August 23, 2021, that ha</w:t>
      </w:r>
      <w:r w:rsidR="001A50C3">
        <w:t>d</w:t>
      </w:r>
      <w:r w:rsidRPr="00E76087">
        <w:t xml:space="preserve"> not resulted in </w:t>
      </w:r>
      <w:r w:rsidR="00B32CF7" w:rsidRPr="00E76087">
        <w:t>a revision of document CAJ/78/5.</w:t>
      </w:r>
      <w:r w:rsidR="00BD20B3" w:rsidRPr="00E76087">
        <w:t xml:space="preserve"> </w:t>
      </w:r>
      <w:r w:rsidR="00B32CF7" w:rsidRPr="00E76087">
        <w:t xml:space="preserve"> </w:t>
      </w:r>
      <w:r w:rsidR="00307003" w:rsidRPr="00E76087">
        <w:br/>
        <w:t xml:space="preserve">Comments and the reply provided by the Office of the Union </w:t>
      </w:r>
      <w:proofErr w:type="gramStart"/>
      <w:r w:rsidR="00307003" w:rsidRPr="00E76087">
        <w:t>are</w:t>
      </w:r>
      <w:r w:rsidR="00B32CF7" w:rsidRPr="00E76087">
        <w:rPr>
          <w:spacing w:val="-4"/>
        </w:rPr>
        <w:t xml:space="preserve"> presented in paragraph</w:t>
      </w:r>
      <w:r w:rsidR="00983A07" w:rsidRPr="00E76087">
        <w:rPr>
          <w:spacing w:val="-4"/>
        </w:rPr>
        <w:t>s</w:t>
      </w:r>
      <w:r w:rsidR="00B32CF7" w:rsidRPr="00E76087">
        <w:rPr>
          <w:spacing w:val="-4"/>
        </w:rPr>
        <w:t xml:space="preserve"> 33 and 34 of document CAJ/78/12 (see para</w:t>
      </w:r>
      <w:r w:rsidR="00C91DFB" w:rsidRPr="00E76087">
        <w:rPr>
          <w:spacing w:val="-4"/>
        </w:rPr>
        <w:t>graph 36 of document CAJ/78/12) and reproduced below</w:t>
      </w:r>
      <w:proofErr w:type="gramEnd"/>
      <w:r w:rsidR="00C91DFB" w:rsidRPr="00E76087">
        <w:rPr>
          <w:spacing w:val="-4"/>
        </w:rPr>
        <w:t>:</w:t>
      </w:r>
    </w:p>
    <w:p w:rsidR="00C91DFB" w:rsidRPr="00E76087" w:rsidRDefault="00C91DFB" w:rsidP="00C91DFB">
      <w:pPr>
        <w:keepNext/>
        <w:ind w:left="562" w:right="562"/>
        <w:outlineLvl w:val="1"/>
        <w:rPr>
          <w:sz w:val="18"/>
          <w:u w:val="single"/>
        </w:rPr>
      </w:pPr>
    </w:p>
    <w:p w:rsidR="00C91DFB" w:rsidRPr="00E76087" w:rsidRDefault="00C91DFB" w:rsidP="00C91DFB">
      <w:pPr>
        <w:keepNext/>
        <w:ind w:left="562" w:right="562"/>
        <w:outlineLvl w:val="1"/>
        <w:rPr>
          <w:sz w:val="18"/>
          <w:u w:val="single"/>
        </w:rPr>
      </w:pPr>
      <w:r w:rsidRPr="00E76087">
        <w:rPr>
          <w:sz w:val="18"/>
          <w:u w:val="single"/>
        </w:rPr>
        <w:t xml:space="preserve">“Comments from the European Union </w:t>
      </w:r>
    </w:p>
    <w:p w:rsidR="00C91DFB" w:rsidRPr="00E76087" w:rsidRDefault="00C91DFB" w:rsidP="00C91DFB">
      <w:pPr>
        <w:keepNext/>
        <w:ind w:left="562" w:right="562"/>
        <w:rPr>
          <w:sz w:val="16"/>
        </w:rPr>
      </w:pPr>
    </w:p>
    <w:p w:rsidR="00C91DFB" w:rsidRPr="00E76087" w:rsidRDefault="00C91DFB" w:rsidP="00C91DFB">
      <w:pPr>
        <w:ind w:left="562" w:right="562"/>
        <w:rPr>
          <w:sz w:val="18"/>
        </w:rPr>
      </w:pPr>
      <w:r w:rsidRPr="00E76087">
        <w:rPr>
          <w:sz w:val="18"/>
        </w:rPr>
        <w:t>“33.</w:t>
      </w:r>
      <w:r w:rsidRPr="00E76087">
        <w:rPr>
          <w:sz w:val="18"/>
        </w:rPr>
        <w:tab/>
        <w:t>In reply to Circular E-21/123 of August 23, 2021, the following comments on document CAJ/78/5 were received from the European Union:”</w:t>
      </w:r>
    </w:p>
    <w:p w:rsidR="00C91DFB" w:rsidRPr="00E76087" w:rsidRDefault="00C91DFB" w:rsidP="00C91DFB">
      <w:pPr>
        <w:ind w:left="562" w:right="562"/>
        <w:rPr>
          <w:sz w:val="18"/>
        </w:rPr>
      </w:pPr>
    </w:p>
    <w:p w:rsidR="00C91DFB" w:rsidRPr="00E76087" w:rsidRDefault="00C91DFB" w:rsidP="00C91DFB">
      <w:pPr>
        <w:ind w:left="562" w:right="562"/>
        <w:rPr>
          <w:sz w:val="18"/>
        </w:rPr>
      </w:pPr>
      <w:r w:rsidRPr="00E76087">
        <w:rPr>
          <w:sz w:val="18"/>
        </w:rPr>
        <w:t>“The EU and its Member States wish to thank for the very informative seminar on harvested material, in</w:t>
      </w:r>
    </w:p>
    <w:p w:rsidR="00C91DFB" w:rsidRPr="00E76087" w:rsidRDefault="00C91DFB" w:rsidP="00C91DFB">
      <w:pPr>
        <w:ind w:left="562" w:right="562"/>
        <w:rPr>
          <w:sz w:val="16"/>
        </w:rPr>
      </w:pPr>
      <w:proofErr w:type="gramStart"/>
      <w:r w:rsidRPr="00E76087">
        <w:rPr>
          <w:sz w:val="18"/>
        </w:rPr>
        <w:t>particular</w:t>
      </w:r>
      <w:proofErr w:type="gramEnd"/>
      <w:r w:rsidRPr="00E76087">
        <w:rPr>
          <w:sz w:val="18"/>
        </w:rPr>
        <w:t xml:space="preserve"> in relation to the EU Court of Justice case on fruit trees (“</w:t>
      </w:r>
      <w:proofErr w:type="spellStart"/>
      <w:r w:rsidRPr="00E76087">
        <w:rPr>
          <w:sz w:val="18"/>
        </w:rPr>
        <w:t>Nadorcott</w:t>
      </w:r>
      <w:proofErr w:type="spellEnd"/>
      <w:r w:rsidRPr="00E76087">
        <w:rPr>
          <w:sz w:val="18"/>
        </w:rPr>
        <w:t xml:space="preserve">”). It seems that in the first place the provisional protection and </w:t>
      </w:r>
      <w:proofErr w:type="spellStart"/>
      <w:r w:rsidRPr="00E76087">
        <w:rPr>
          <w:sz w:val="18"/>
        </w:rPr>
        <w:t>unauthorised</w:t>
      </w:r>
      <w:proofErr w:type="spellEnd"/>
      <w:r w:rsidRPr="00E76087">
        <w:rPr>
          <w:sz w:val="18"/>
        </w:rPr>
        <w:t xml:space="preserve"> use of propagating material </w:t>
      </w:r>
      <w:proofErr w:type="gramStart"/>
      <w:r w:rsidRPr="00E76087">
        <w:rPr>
          <w:sz w:val="18"/>
        </w:rPr>
        <w:t>should be looked at and assessed in their current form</w:t>
      </w:r>
      <w:proofErr w:type="gramEnd"/>
      <w:r w:rsidRPr="00E76087">
        <w:rPr>
          <w:sz w:val="18"/>
        </w:rPr>
        <w:t>. We wish to highlight that if propagating material is stolen effective national criminal law should be primarily applicable.”</w:t>
      </w:r>
      <w:r w:rsidRPr="00E76087">
        <w:rPr>
          <w:sz w:val="18"/>
        </w:rPr>
        <w:cr/>
      </w:r>
    </w:p>
    <w:p w:rsidR="00C91DFB" w:rsidRPr="00E76087" w:rsidRDefault="00C91DFB" w:rsidP="00C91DFB">
      <w:pPr>
        <w:keepNext/>
        <w:ind w:left="562" w:right="562"/>
        <w:rPr>
          <w:spacing w:val="-4"/>
          <w:sz w:val="18"/>
        </w:rPr>
      </w:pPr>
      <w:r w:rsidRPr="00E76087">
        <w:rPr>
          <w:spacing w:val="-4"/>
          <w:sz w:val="18"/>
        </w:rPr>
        <w:t>“34.</w:t>
      </w:r>
      <w:r w:rsidRPr="00E76087">
        <w:rPr>
          <w:spacing w:val="-4"/>
          <w:sz w:val="18"/>
        </w:rPr>
        <w:tab/>
        <w:t>The Office of the Union suggested that the European Union raise the above comments in the WG</w:t>
      </w:r>
      <w:r w:rsidRPr="00E76087">
        <w:rPr>
          <w:spacing w:val="-4"/>
          <w:sz w:val="18"/>
        </w:rPr>
        <w:noBreakHyphen/>
        <w:t>HRV.”</w:t>
      </w:r>
    </w:p>
    <w:p w:rsidR="00B32CF7" w:rsidRPr="00E76087" w:rsidRDefault="00B32CF7" w:rsidP="00B32CF7">
      <w:pPr>
        <w:keepLines/>
        <w:rPr>
          <w:snapToGrid w:val="0"/>
        </w:rPr>
      </w:pPr>
    </w:p>
    <w:p w:rsidR="00C8670E" w:rsidRPr="00E76087" w:rsidRDefault="00C8670E" w:rsidP="001C2857">
      <w:pPr>
        <w:rPr>
          <w:snapToGrid w:val="0"/>
        </w:rPr>
      </w:pPr>
      <w:r w:rsidRPr="00E76087">
        <w:fldChar w:fldCharType="begin"/>
      </w:r>
      <w:r w:rsidRPr="00E76087">
        <w:instrText xml:space="preserve"> AUTONUM  </w:instrText>
      </w:r>
      <w:r w:rsidRPr="00E76087">
        <w:fldChar w:fldCharType="end"/>
      </w:r>
      <w:r w:rsidRPr="00E76087">
        <w:tab/>
        <w:t xml:space="preserve">The CAJ considered document CAJ/78/5 </w:t>
      </w:r>
      <w:proofErr w:type="gramStart"/>
      <w:r w:rsidRPr="00E76087">
        <w:t>Add..</w:t>
      </w:r>
      <w:proofErr w:type="gramEnd"/>
      <w:r w:rsidRPr="00E76087">
        <w:t xml:space="preserve"> </w:t>
      </w:r>
    </w:p>
    <w:p w:rsidR="00C8670E" w:rsidRPr="00E76087" w:rsidRDefault="00C8670E" w:rsidP="001C2857">
      <w:pPr>
        <w:rPr>
          <w:snapToGrid w:val="0"/>
        </w:rPr>
      </w:pPr>
    </w:p>
    <w:p w:rsidR="00C8670E" w:rsidRPr="001A50C3" w:rsidRDefault="00C8670E" w:rsidP="00C8670E">
      <w:pPr>
        <w:rPr>
          <w:snapToGrid w:val="0"/>
        </w:rPr>
      </w:pPr>
      <w:r w:rsidRPr="001A50C3">
        <w:fldChar w:fldCharType="begin"/>
      </w:r>
      <w:r w:rsidRPr="001A50C3">
        <w:instrText xml:space="preserve"> AUTONUM  </w:instrText>
      </w:r>
      <w:r w:rsidRPr="001A50C3">
        <w:fldChar w:fldCharType="end"/>
      </w:r>
      <w:r w:rsidRPr="001A50C3">
        <w:tab/>
        <w:t>The CAJ</w:t>
      </w:r>
      <w:r w:rsidRPr="001A50C3">
        <w:rPr>
          <w:snapToGrid w:val="0"/>
        </w:rPr>
        <w:t xml:space="preserve"> approved the </w:t>
      </w:r>
      <w:r w:rsidR="00B2037A" w:rsidRPr="001A50C3">
        <w:rPr>
          <w:snapToGrid w:val="0"/>
        </w:rPr>
        <w:t xml:space="preserve">following </w:t>
      </w:r>
      <w:r w:rsidRPr="001A50C3">
        <w:rPr>
          <w:snapToGrid w:val="0"/>
        </w:rPr>
        <w:t>composition of the WG-HRV</w:t>
      </w:r>
      <w:r w:rsidR="001A50C3" w:rsidRPr="001A50C3">
        <w:rPr>
          <w:snapToGrid w:val="0"/>
        </w:rPr>
        <w:t>:</w:t>
      </w:r>
    </w:p>
    <w:p w:rsidR="00B2037A" w:rsidRPr="00E76087" w:rsidRDefault="00B2037A" w:rsidP="00C8670E">
      <w:pPr>
        <w:rPr>
          <w:snapToGrid w:val="0"/>
          <w:spacing w:val="-2"/>
        </w:rPr>
      </w:pPr>
    </w:p>
    <w:p w:rsidR="00FF6021" w:rsidRPr="00C15FC9" w:rsidRDefault="00C1432C" w:rsidP="00FF6021">
      <w:pPr>
        <w:ind w:left="562" w:right="562"/>
        <w:rPr>
          <w:spacing w:val="-2"/>
          <w:sz w:val="22"/>
          <w:highlight w:val="lightGray"/>
        </w:rPr>
      </w:pPr>
      <w:proofErr w:type="gramStart"/>
      <w:r w:rsidRPr="00C15FC9">
        <w:rPr>
          <w:snapToGrid w:val="0"/>
          <w:spacing w:val="2"/>
        </w:rPr>
        <w:t>In reply to Circular E-21/157 of September 23, 2021, the following members of the Union and observers in the CAJ expressed an interest to be members of the WG-HRV: Arge</w:t>
      </w:r>
      <w:r w:rsidR="00E77586" w:rsidRPr="00C15FC9">
        <w:rPr>
          <w:snapToGrid w:val="0"/>
          <w:spacing w:val="2"/>
        </w:rPr>
        <w:t xml:space="preserve">ntina, Australia, Brazil, Chile, China, </w:t>
      </w:r>
      <w:r w:rsidRPr="00C15FC9">
        <w:rPr>
          <w:snapToGrid w:val="0"/>
          <w:spacing w:val="2"/>
        </w:rPr>
        <w:t>Czech Republic, European Union, France, Japan, Netherlands, New Zealand, Norway, Republic of Korea, Spain, United Kingdom, United Republic of Tanzania, United States of America, Association for Plant Breeding for the Benefit of Society (</w:t>
      </w:r>
      <w:proofErr w:type="spellStart"/>
      <w:r w:rsidRPr="00C15FC9">
        <w:rPr>
          <w:snapToGrid w:val="0"/>
          <w:spacing w:val="2"/>
        </w:rPr>
        <w:t>APBREBES</w:t>
      </w:r>
      <w:proofErr w:type="spellEnd"/>
      <w:r w:rsidRPr="00C15FC9">
        <w:rPr>
          <w:snapToGrid w:val="0"/>
          <w:spacing w:val="2"/>
        </w:rPr>
        <w:t xml:space="preserve">), </w:t>
      </w:r>
      <w:proofErr w:type="spellStart"/>
      <w:r w:rsidRPr="00C15FC9">
        <w:rPr>
          <w:snapToGrid w:val="0"/>
          <w:spacing w:val="2"/>
        </w:rPr>
        <w:t>CropLife</w:t>
      </w:r>
      <w:proofErr w:type="spellEnd"/>
      <w:r w:rsidRPr="00C15FC9">
        <w:rPr>
          <w:snapToGrid w:val="0"/>
          <w:spacing w:val="2"/>
        </w:rPr>
        <w:t xml:space="preserve"> International, </w:t>
      </w:r>
      <w:proofErr w:type="spellStart"/>
      <w:r w:rsidRPr="00C15FC9">
        <w:rPr>
          <w:snapToGrid w:val="0"/>
          <w:spacing w:val="2"/>
        </w:rPr>
        <w:t>Euroseeds</w:t>
      </w:r>
      <w:proofErr w:type="spellEnd"/>
      <w:r w:rsidRPr="00C15FC9">
        <w:rPr>
          <w:snapToGrid w:val="0"/>
          <w:spacing w:val="2"/>
        </w:rPr>
        <w:t>, International Association of Horticultural Producers (AIPH), International Community of Breeders of Asexually Reproduced Horticultural Plants (CIOPORA), International Seed Federation (ISF) and the Seed Ass</w:t>
      </w:r>
      <w:r w:rsidR="00C15FC9" w:rsidRPr="00C15FC9">
        <w:rPr>
          <w:snapToGrid w:val="0"/>
          <w:spacing w:val="2"/>
        </w:rPr>
        <w:t>ociation of the Americas (SAA).</w:t>
      </w:r>
      <w:proofErr w:type="gramEnd"/>
    </w:p>
    <w:p w:rsidR="00C91DFB" w:rsidRPr="00E76087" w:rsidRDefault="00C91DFB" w:rsidP="00C8670E">
      <w:pPr>
        <w:rPr>
          <w:snapToGrid w:val="0"/>
        </w:rPr>
      </w:pPr>
    </w:p>
    <w:p w:rsidR="001C2857" w:rsidRPr="00E76087" w:rsidRDefault="00C8670E" w:rsidP="00C8670E">
      <w:pPr>
        <w:rPr>
          <w:snapToGrid w:val="0"/>
        </w:rPr>
      </w:pPr>
      <w:r w:rsidRPr="00E76087">
        <w:fldChar w:fldCharType="begin"/>
      </w:r>
      <w:r w:rsidRPr="00E76087">
        <w:instrText xml:space="preserve"> AUTONUM  </w:instrText>
      </w:r>
      <w:r w:rsidRPr="00E76087">
        <w:fldChar w:fldCharType="end"/>
      </w:r>
      <w:r w:rsidRPr="00E76087">
        <w:tab/>
        <w:t>The CAJ</w:t>
      </w:r>
      <w:r w:rsidRPr="00E76087">
        <w:rPr>
          <w:snapToGrid w:val="0"/>
        </w:rPr>
        <w:t xml:space="preserve"> approved</w:t>
      </w:r>
      <w:r w:rsidR="00B2037A" w:rsidRPr="00E76087">
        <w:rPr>
          <w:snapToGrid w:val="0"/>
        </w:rPr>
        <w:t xml:space="preserve"> the date of March 15, 2022</w:t>
      </w:r>
      <w:r w:rsidRPr="00E76087">
        <w:rPr>
          <w:snapToGrid w:val="0"/>
        </w:rPr>
        <w:t xml:space="preserve">, for the first meeting of the WG-HRV, to </w:t>
      </w:r>
      <w:proofErr w:type="gramStart"/>
      <w:r w:rsidRPr="00E76087">
        <w:rPr>
          <w:snapToGrid w:val="0"/>
        </w:rPr>
        <w:t>be held</w:t>
      </w:r>
      <w:proofErr w:type="gramEnd"/>
      <w:r w:rsidRPr="00E76087">
        <w:rPr>
          <w:snapToGrid w:val="0"/>
        </w:rPr>
        <w:t xml:space="preserve"> by electronic means.</w:t>
      </w:r>
    </w:p>
    <w:p w:rsidR="001C2857" w:rsidRPr="00E76087" w:rsidRDefault="001C2857" w:rsidP="001C2857">
      <w:pPr>
        <w:rPr>
          <w:snapToGrid w:val="0"/>
        </w:rPr>
      </w:pPr>
    </w:p>
    <w:p w:rsidR="00C8670E" w:rsidRPr="00E76087" w:rsidRDefault="00C8670E" w:rsidP="001C2857">
      <w:pPr>
        <w:rPr>
          <w:snapToGrid w:val="0"/>
        </w:rPr>
      </w:pPr>
    </w:p>
    <w:p w:rsidR="007273A5" w:rsidRDefault="007273A5">
      <w:pPr>
        <w:jc w:val="left"/>
        <w:rPr>
          <w:snapToGrid w:val="0"/>
          <w:u w:val="single"/>
        </w:rPr>
      </w:pPr>
      <w:r>
        <w:rPr>
          <w:snapToGrid w:val="0"/>
          <w:u w:val="single"/>
        </w:rPr>
        <w:br w:type="page"/>
      </w:r>
    </w:p>
    <w:p w:rsidR="001C2857" w:rsidRPr="00E76087" w:rsidRDefault="001C2857" w:rsidP="001C2857">
      <w:pPr>
        <w:keepNext/>
        <w:rPr>
          <w:snapToGrid w:val="0"/>
          <w:u w:val="single"/>
        </w:rPr>
      </w:pPr>
      <w:r w:rsidRPr="00E76087">
        <w:rPr>
          <w:snapToGrid w:val="0"/>
          <w:u w:val="single"/>
        </w:rPr>
        <w:lastRenderedPageBreak/>
        <w:t xml:space="preserve">Novelty of parent lines with regard to the exploitation of the hybrid variety (document </w:t>
      </w:r>
      <w:r w:rsidR="00C8670E" w:rsidRPr="00E76087">
        <w:rPr>
          <w:snapToGrid w:val="0"/>
          <w:u w:val="single"/>
        </w:rPr>
        <w:t>CAJ/78</w:t>
      </w:r>
      <w:r w:rsidRPr="00E76087">
        <w:rPr>
          <w:snapToGrid w:val="0"/>
          <w:u w:val="single"/>
        </w:rPr>
        <w:t xml:space="preserve">/6) </w:t>
      </w:r>
    </w:p>
    <w:p w:rsidR="001C2857" w:rsidRPr="00E76087" w:rsidRDefault="001C2857" w:rsidP="001C2857"/>
    <w:p w:rsidR="001C2857" w:rsidRPr="00E76087" w:rsidRDefault="001C2857" w:rsidP="001C2857">
      <w:r w:rsidRPr="00E76087">
        <w:fldChar w:fldCharType="begin"/>
      </w:r>
      <w:r w:rsidRPr="00E76087">
        <w:instrText xml:space="preserve"> AUTONUM  </w:instrText>
      </w:r>
      <w:r w:rsidRPr="00E76087">
        <w:fldChar w:fldCharType="end"/>
      </w:r>
      <w:r w:rsidRPr="00E76087">
        <w:tab/>
        <w:t xml:space="preserve">The </w:t>
      </w:r>
      <w:r w:rsidRPr="00E76087">
        <w:rPr>
          <w:snapToGrid w:val="0"/>
        </w:rPr>
        <w:t xml:space="preserve">CAJ </w:t>
      </w:r>
      <w:r w:rsidRPr="00E76087">
        <w:t xml:space="preserve">considered document </w:t>
      </w:r>
      <w:r w:rsidRPr="00E76087">
        <w:rPr>
          <w:snapToGrid w:val="0"/>
        </w:rPr>
        <w:t>CAJ/7</w:t>
      </w:r>
      <w:r w:rsidR="00F0459F" w:rsidRPr="00E76087">
        <w:rPr>
          <w:snapToGrid w:val="0"/>
        </w:rPr>
        <w:t>8/6</w:t>
      </w:r>
      <w:r w:rsidRPr="00E76087">
        <w:t>.</w:t>
      </w:r>
    </w:p>
    <w:p w:rsidR="001C2857" w:rsidRPr="00E76087" w:rsidRDefault="001C2857" w:rsidP="001C2857">
      <w:pPr>
        <w:rPr>
          <w:highlight w:val="yellow"/>
        </w:rPr>
      </w:pPr>
    </w:p>
    <w:p w:rsidR="00F0459F" w:rsidRPr="007273A5" w:rsidRDefault="00F0459F" w:rsidP="00F0459F">
      <w:pPr>
        <w:rPr>
          <w:strike/>
          <w:snapToGrid w:val="0"/>
        </w:rPr>
      </w:pPr>
      <w:r w:rsidRPr="007273A5">
        <w:rPr>
          <w:snapToGrid w:val="0"/>
        </w:rPr>
        <w:fldChar w:fldCharType="begin"/>
      </w:r>
      <w:r w:rsidRPr="007273A5">
        <w:rPr>
          <w:snapToGrid w:val="0"/>
        </w:rPr>
        <w:instrText xml:space="preserve"> AUTONUM  </w:instrText>
      </w:r>
      <w:r w:rsidRPr="007273A5">
        <w:rPr>
          <w:snapToGrid w:val="0"/>
        </w:rPr>
        <w:fldChar w:fldCharType="end"/>
      </w:r>
      <w:r w:rsidRPr="007273A5">
        <w:rPr>
          <w:snapToGrid w:val="0"/>
        </w:rPr>
        <w:tab/>
        <w:t xml:space="preserve">The CAJ invited </w:t>
      </w:r>
      <w:r w:rsidRPr="007273A5">
        <w:t>members of the Union</w:t>
      </w:r>
      <w:r w:rsidR="00E77586" w:rsidRPr="007273A5">
        <w:t xml:space="preserve"> and observers to the CAJ</w:t>
      </w:r>
      <w:r w:rsidRPr="007273A5">
        <w:t xml:space="preserve"> to make presentations on the novelty of parent lines with regard to the exploitation of the hybrid variety at the seventy-ninth session of the CAJ, </w:t>
      </w:r>
      <w:r w:rsidR="00E77586" w:rsidRPr="007273A5">
        <w:t>and after considering the presentations and discussions, the CAJ would consider next steps, as appropriate.</w:t>
      </w:r>
    </w:p>
    <w:p w:rsidR="00E77586" w:rsidRPr="007273A5" w:rsidRDefault="00E77586" w:rsidP="00F0459F">
      <w:pPr>
        <w:rPr>
          <w:strike/>
          <w:snapToGrid w:val="0"/>
        </w:rPr>
      </w:pPr>
    </w:p>
    <w:p w:rsidR="00E77586" w:rsidRPr="00E76087" w:rsidRDefault="00E77586" w:rsidP="00E77586">
      <w:pPr>
        <w:rPr>
          <w:rFonts w:ascii="Calibri" w:hAnsi="Calibri"/>
        </w:rPr>
      </w:pPr>
      <w:r w:rsidRPr="007273A5">
        <w:fldChar w:fldCharType="begin"/>
      </w:r>
      <w:r w:rsidRPr="007273A5">
        <w:instrText xml:space="preserve"> AUTONUM  </w:instrText>
      </w:r>
      <w:r w:rsidRPr="007273A5">
        <w:fldChar w:fldCharType="end"/>
      </w:r>
      <w:r w:rsidRPr="007273A5">
        <w:tab/>
        <w:t>In reply to the comment of AP</w:t>
      </w:r>
      <w:r w:rsidR="00105F54">
        <w:t>B</w:t>
      </w:r>
      <w:r w:rsidRPr="007273A5">
        <w:t xml:space="preserve">REBES, the Office of the Union expressed its commitment to ensuring that events </w:t>
      </w:r>
      <w:proofErr w:type="gramStart"/>
      <w:r w:rsidRPr="007273A5">
        <w:t>were organized</w:t>
      </w:r>
      <w:proofErr w:type="gramEnd"/>
      <w:r w:rsidRPr="007273A5">
        <w:t xml:space="preserve"> with</w:t>
      </w:r>
      <w:r w:rsidR="00105F54">
        <w:t xml:space="preserve"> a balance of perspectives.  It</w:t>
      </w:r>
      <w:r w:rsidRPr="007273A5">
        <w:t xml:space="preserve"> recalled that the procedure for organizing seminars </w:t>
      </w:r>
      <w:proofErr w:type="gramStart"/>
      <w:r w:rsidRPr="007273A5">
        <w:t>was determined</w:t>
      </w:r>
      <w:proofErr w:type="gramEnd"/>
      <w:r w:rsidRPr="007273A5">
        <w:t xml:space="preserve"> by the UPOV body concerned with the aim of ensuring a balanced event.  This procedure usually involved a circular inviting members and </w:t>
      </w:r>
      <w:proofErr w:type="gramStart"/>
      <w:r w:rsidRPr="007273A5">
        <w:t>observers</w:t>
      </w:r>
      <w:proofErr w:type="gramEnd"/>
      <w:r w:rsidRPr="007273A5">
        <w:t xml:space="preserve"> offers for topics and speakers and approval of the program.</w:t>
      </w:r>
    </w:p>
    <w:p w:rsidR="00E77586" w:rsidRPr="00E76087" w:rsidRDefault="00E77586" w:rsidP="00F0459F"/>
    <w:p w:rsidR="001C2857" w:rsidRPr="00E76087" w:rsidRDefault="001C2857" w:rsidP="001C2857">
      <w:bookmarkStart w:id="10" w:name="_GoBack"/>
      <w:bookmarkEnd w:id="10"/>
    </w:p>
    <w:p w:rsidR="001C2857" w:rsidRPr="00E76087" w:rsidRDefault="001C2857" w:rsidP="00C1432C">
      <w:pPr>
        <w:keepNext/>
        <w:rPr>
          <w:snapToGrid w:val="0"/>
          <w:u w:val="single"/>
        </w:rPr>
      </w:pPr>
      <w:r w:rsidRPr="00E76087">
        <w:rPr>
          <w:snapToGrid w:val="0"/>
          <w:u w:val="single"/>
        </w:rPr>
        <w:t>PLUTO Plant Variety Database (document CAJ/7</w:t>
      </w:r>
      <w:r w:rsidR="00C8670E" w:rsidRPr="00E76087">
        <w:rPr>
          <w:snapToGrid w:val="0"/>
          <w:u w:val="single"/>
        </w:rPr>
        <w:t>8</w:t>
      </w:r>
      <w:r w:rsidRPr="00E76087">
        <w:rPr>
          <w:snapToGrid w:val="0"/>
          <w:u w:val="single"/>
        </w:rPr>
        <w:t>/</w:t>
      </w:r>
      <w:r w:rsidR="00C8670E" w:rsidRPr="00E76087">
        <w:rPr>
          <w:snapToGrid w:val="0"/>
          <w:u w:val="single"/>
        </w:rPr>
        <w:t>7</w:t>
      </w:r>
      <w:r w:rsidRPr="00E76087">
        <w:rPr>
          <w:snapToGrid w:val="0"/>
          <w:u w:val="single"/>
        </w:rPr>
        <w:t>)</w:t>
      </w:r>
    </w:p>
    <w:p w:rsidR="001C2857" w:rsidRPr="00E76087" w:rsidRDefault="001C2857" w:rsidP="00C1432C">
      <w:pPr>
        <w:keepNext/>
      </w:pPr>
    </w:p>
    <w:p w:rsidR="001C2857" w:rsidRPr="00E76087" w:rsidRDefault="001C2857" w:rsidP="001C2857">
      <w:pPr>
        <w:rPr>
          <w:snapToGrid w:val="0"/>
        </w:rPr>
      </w:pPr>
      <w:r w:rsidRPr="00E76087">
        <w:fldChar w:fldCharType="begin"/>
      </w:r>
      <w:r w:rsidRPr="00E76087">
        <w:instrText xml:space="preserve"> AUTONUM  </w:instrText>
      </w:r>
      <w:r w:rsidRPr="00E76087">
        <w:fldChar w:fldCharType="end"/>
      </w:r>
      <w:r w:rsidRPr="00E76087">
        <w:tab/>
        <w:t>The CAJ considered document</w:t>
      </w:r>
      <w:r w:rsidRPr="00E76087">
        <w:rPr>
          <w:snapToGrid w:val="0"/>
        </w:rPr>
        <w:t> CAJ/7</w:t>
      </w:r>
      <w:r w:rsidR="00F0459F" w:rsidRPr="00E76087">
        <w:rPr>
          <w:snapToGrid w:val="0"/>
        </w:rPr>
        <w:t>8</w:t>
      </w:r>
      <w:r w:rsidRPr="00E76087">
        <w:rPr>
          <w:snapToGrid w:val="0"/>
        </w:rPr>
        <w:t>/</w:t>
      </w:r>
      <w:r w:rsidR="00F0459F" w:rsidRPr="00E76087">
        <w:rPr>
          <w:snapToGrid w:val="0"/>
        </w:rPr>
        <w:t>7</w:t>
      </w:r>
      <w:r w:rsidR="00F65D3A" w:rsidRPr="00E76087">
        <w:rPr>
          <w:snapToGrid w:val="0"/>
        </w:rPr>
        <w:t xml:space="preserve"> and received a demonstration of the new version of the PLUTO database</w:t>
      </w:r>
      <w:r w:rsidRPr="00E76087">
        <w:rPr>
          <w:snapToGrid w:val="0"/>
        </w:rPr>
        <w:t>.</w:t>
      </w:r>
    </w:p>
    <w:p w:rsidR="001C2857" w:rsidRPr="00E76087" w:rsidRDefault="001C2857" w:rsidP="001C2857">
      <w:pPr>
        <w:rPr>
          <w:snapToGrid w:val="0"/>
          <w:highlight w:val="yellow"/>
        </w:rPr>
      </w:pPr>
    </w:p>
    <w:p w:rsidR="00F0459F" w:rsidRPr="00E76087" w:rsidRDefault="00F0459F" w:rsidP="00F0459F">
      <w:pPr>
        <w:rPr>
          <w:snapToGrid w:val="0"/>
        </w:rPr>
      </w:pPr>
      <w:r w:rsidRPr="00E76087">
        <w:fldChar w:fldCharType="begin"/>
      </w:r>
      <w:r w:rsidRPr="00E76087">
        <w:instrText xml:space="preserve"> AUTONUM  </w:instrText>
      </w:r>
      <w:r w:rsidRPr="00E76087">
        <w:fldChar w:fldCharType="end"/>
      </w:r>
      <w:r w:rsidRPr="00E76087">
        <w:tab/>
        <w:t>The CAJ</w:t>
      </w:r>
      <w:r w:rsidRPr="00E76087">
        <w:rPr>
          <w:snapToGrid w:val="0"/>
        </w:rPr>
        <w:t xml:space="preserve"> noted the summary of contributions to the PLUTO database from 2016 to 2021, as set out in Annex II to document</w:t>
      </w:r>
      <w:r w:rsidRPr="00E76087">
        <w:t xml:space="preserve"> </w:t>
      </w:r>
      <w:r w:rsidRPr="00E76087">
        <w:rPr>
          <w:snapToGrid w:val="0"/>
        </w:rPr>
        <w:t>CAJ/78/7.</w:t>
      </w:r>
    </w:p>
    <w:p w:rsidR="00F0459F" w:rsidRPr="00E76087" w:rsidRDefault="00F0459F" w:rsidP="00F0459F">
      <w:pPr>
        <w:rPr>
          <w:snapToGrid w:val="0"/>
        </w:rPr>
      </w:pPr>
    </w:p>
    <w:p w:rsidR="00F0459F" w:rsidRPr="00E76087" w:rsidRDefault="00F0459F">
      <w:pPr>
        <w:rPr>
          <w:snapToGrid w:val="0"/>
        </w:rPr>
      </w:pPr>
      <w:r w:rsidRPr="00E76087">
        <w:fldChar w:fldCharType="begin"/>
      </w:r>
      <w:r w:rsidRPr="00E76087">
        <w:instrText xml:space="preserve"> AUTONUM  </w:instrText>
      </w:r>
      <w:r w:rsidRPr="00E76087">
        <w:fldChar w:fldCharType="end"/>
      </w:r>
      <w:r w:rsidRPr="00E76087">
        <w:tab/>
        <w:t>The CAJ</w:t>
      </w:r>
      <w:r w:rsidRPr="00E76087">
        <w:rPr>
          <w:snapToGrid w:val="0"/>
        </w:rPr>
        <w:t xml:space="preserve"> noted the information concerning the development of the new version of the PLUTO database</w:t>
      </w:r>
      <w:r w:rsidR="00F65D3A" w:rsidRPr="00E76087">
        <w:rPr>
          <w:snapToGrid w:val="0"/>
        </w:rPr>
        <w:t xml:space="preserve"> and </w:t>
      </w:r>
      <w:r w:rsidRPr="00E76087">
        <w:rPr>
          <w:snapToGrid w:val="0"/>
        </w:rPr>
        <w:t>the launch of the new version of the PLUTO database on October 11, 2021.</w:t>
      </w:r>
    </w:p>
    <w:p w:rsidR="00F0459F" w:rsidRPr="00E76087" w:rsidRDefault="00F0459F" w:rsidP="00F0459F">
      <w:pPr>
        <w:rPr>
          <w:snapToGrid w:val="0"/>
        </w:rPr>
      </w:pPr>
    </w:p>
    <w:p w:rsidR="001C2857" w:rsidRPr="00E76087" w:rsidRDefault="001C2857" w:rsidP="00C8670E"/>
    <w:p w:rsidR="001C2857" w:rsidRPr="00E76087" w:rsidRDefault="001C2857" w:rsidP="001C2857">
      <w:pPr>
        <w:rPr>
          <w:snapToGrid w:val="0"/>
          <w:u w:val="single"/>
        </w:rPr>
      </w:pPr>
      <w:proofErr w:type="gramStart"/>
      <w:r w:rsidRPr="00E76087">
        <w:rPr>
          <w:snapToGrid w:val="0"/>
          <w:u w:val="single"/>
        </w:rPr>
        <w:t>UPOV denomination similarity search tool</w:t>
      </w:r>
      <w:proofErr w:type="gramEnd"/>
      <w:r w:rsidRPr="00E76087">
        <w:rPr>
          <w:snapToGrid w:val="0"/>
          <w:u w:val="single"/>
        </w:rPr>
        <w:t xml:space="preserve"> (documents</w:t>
      </w:r>
      <w:r w:rsidR="00C8670E" w:rsidRPr="00E76087">
        <w:rPr>
          <w:snapToGrid w:val="0"/>
          <w:u w:val="single"/>
        </w:rPr>
        <w:t xml:space="preserve"> CAJ/78</w:t>
      </w:r>
      <w:r w:rsidRPr="00E76087">
        <w:rPr>
          <w:snapToGrid w:val="0"/>
          <w:u w:val="single"/>
        </w:rPr>
        <w:t>/</w:t>
      </w:r>
      <w:r w:rsidR="00C8670E" w:rsidRPr="00E76087">
        <w:rPr>
          <w:snapToGrid w:val="0"/>
          <w:u w:val="single"/>
        </w:rPr>
        <w:t>8</w:t>
      </w:r>
      <w:r w:rsidRPr="00E76087">
        <w:rPr>
          <w:snapToGrid w:val="0"/>
          <w:u w:val="single"/>
        </w:rPr>
        <w:t>)</w:t>
      </w:r>
    </w:p>
    <w:p w:rsidR="001C2857" w:rsidRPr="00E76087" w:rsidRDefault="001C2857" w:rsidP="001C2857"/>
    <w:p w:rsidR="001C2857" w:rsidRPr="00E76087" w:rsidRDefault="001C2857" w:rsidP="001C2857">
      <w:r w:rsidRPr="00E76087">
        <w:rPr>
          <w:snapToGrid w:val="0"/>
        </w:rPr>
        <w:fldChar w:fldCharType="begin"/>
      </w:r>
      <w:r w:rsidRPr="00E76087">
        <w:rPr>
          <w:snapToGrid w:val="0"/>
        </w:rPr>
        <w:instrText xml:space="preserve"> AUTONUM  </w:instrText>
      </w:r>
      <w:r w:rsidRPr="00E76087">
        <w:rPr>
          <w:snapToGrid w:val="0"/>
        </w:rPr>
        <w:fldChar w:fldCharType="end"/>
      </w:r>
      <w:r w:rsidRPr="00E76087">
        <w:rPr>
          <w:snapToGrid w:val="0"/>
        </w:rPr>
        <w:tab/>
        <w:t xml:space="preserve">The CAJ </w:t>
      </w:r>
      <w:r w:rsidR="00F0459F" w:rsidRPr="00E76087">
        <w:t>considered document CAJ/78/8.</w:t>
      </w:r>
    </w:p>
    <w:p w:rsidR="00F0459F" w:rsidRPr="00E76087" w:rsidRDefault="00F0459F" w:rsidP="001C2857"/>
    <w:p w:rsidR="00C91DFB" w:rsidRPr="00E76087" w:rsidRDefault="00F0459F" w:rsidP="00E77586">
      <w:r w:rsidRPr="00E76087">
        <w:rPr>
          <w:snapToGrid w:val="0"/>
        </w:rPr>
        <w:fldChar w:fldCharType="begin"/>
      </w:r>
      <w:r w:rsidRPr="00E76087">
        <w:rPr>
          <w:snapToGrid w:val="0"/>
        </w:rPr>
        <w:instrText xml:space="preserve"> AUTONUM  </w:instrText>
      </w:r>
      <w:r w:rsidRPr="00E76087">
        <w:rPr>
          <w:snapToGrid w:val="0"/>
        </w:rPr>
        <w:fldChar w:fldCharType="end"/>
      </w:r>
      <w:r w:rsidRPr="00E76087">
        <w:rPr>
          <w:snapToGrid w:val="0"/>
        </w:rPr>
        <w:tab/>
      </w:r>
      <w:r w:rsidRPr="00E76087">
        <w:t xml:space="preserve">The CAJ noted the latest situation concerning the possible development of a </w:t>
      </w:r>
      <w:proofErr w:type="gramStart"/>
      <w:r w:rsidRPr="00E76087">
        <w:t>UPOV deno</w:t>
      </w:r>
      <w:r w:rsidR="00C91DFB" w:rsidRPr="00E76087">
        <w:t>m</w:t>
      </w:r>
      <w:r w:rsidR="00E77586" w:rsidRPr="00E76087">
        <w:t xml:space="preserve">ination </w:t>
      </w:r>
      <w:r w:rsidR="00E77586" w:rsidRPr="007273A5">
        <w:t>similarity search tool</w:t>
      </w:r>
      <w:proofErr w:type="gramEnd"/>
      <w:r w:rsidR="00E77586" w:rsidRPr="007273A5">
        <w:t xml:space="preserve">, </w:t>
      </w:r>
      <w:r w:rsidR="00C91DFB" w:rsidRPr="007273A5">
        <w:t>as reported in paragraph 21 of document CAJ/78/8</w:t>
      </w:r>
      <w:r w:rsidR="00E77586" w:rsidRPr="007273A5">
        <w:t>.</w:t>
      </w:r>
    </w:p>
    <w:p w:rsidR="001C2857" w:rsidRPr="00E76087" w:rsidRDefault="001C2857" w:rsidP="00C8670E"/>
    <w:p w:rsidR="00C7365C" w:rsidRPr="00E76087" w:rsidRDefault="00C7365C" w:rsidP="00C8670E"/>
    <w:p w:rsidR="00C8670E" w:rsidRPr="00E76087" w:rsidRDefault="00C8670E" w:rsidP="00C8670E">
      <w:pPr>
        <w:keepNext/>
        <w:rPr>
          <w:snapToGrid w:val="0"/>
          <w:u w:val="single"/>
        </w:rPr>
      </w:pPr>
      <w:r w:rsidRPr="00E76087">
        <w:rPr>
          <w:snapToGrid w:val="0"/>
          <w:u w:val="single"/>
        </w:rPr>
        <w:t>Possible guidance on take-over of DUS reports when the applicants cannot submit plant material (document CAJ/78/10)</w:t>
      </w:r>
    </w:p>
    <w:p w:rsidR="00C8670E" w:rsidRPr="00E76087" w:rsidRDefault="00C8670E" w:rsidP="00C8670E"/>
    <w:p w:rsidR="00F0459F" w:rsidRPr="00E76087" w:rsidRDefault="00C8670E" w:rsidP="00F0459F">
      <w:r w:rsidRPr="00E76087">
        <w:rPr>
          <w:snapToGrid w:val="0"/>
        </w:rPr>
        <w:fldChar w:fldCharType="begin"/>
      </w:r>
      <w:r w:rsidRPr="00E76087">
        <w:rPr>
          <w:snapToGrid w:val="0"/>
        </w:rPr>
        <w:instrText xml:space="preserve"> AUTONUM  </w:instrText>
      </w:r>
      <w:r w:rsidRPr="00E76087">
        <w:rPr>
          <w:snapToGrid w:val="0"/>
        </w:rPr>
        <w:fldChar w:fldCharType="end"/>
      </w:r>
      <w:r w:rsidRPr="00E76087">
        <w:rPr>
          <w:snapToGrid w:val="0"/>
        </w:rPr>
        <w:tab/>
        <w:t xml:space="preserve">The CAJ </w:t>
      </w:r>
      <w:r w:rsidR="00F0459F" w:rsidRPr="00E76087">
        <w:rPr>
          <w:snapToGrid w:val="0"/>
        </w:rPr>
        <w:t>c</w:t>
      </w:r>
      <w:r w:rsidR="00F0459F" w:rsidRPr="00E76087">
        <w:t>onsidered document CAJ/78/10.</w:t>
      </w:r>
    </w:p>
    <w:p w:rsidR="00C8670E" w:rsidRPr="00E76087" w:rsidRDefault="00C8670E" w:rsidP="00C8670E"/>
    <w:p w:rsidR="00F0459F" w:rsidRPr="00E76087" w:rsidRDefault="00F0459F" w:rsidP="00F0459F">
      <w:r w:rsidRPr="00E76087">
        <w:rPr>
          <w:snapToGrid w:val="0"/>
        </w:rPr>
        <w:fldChar w:fldCharType="begin"/>
      </w:r>
      <w:r w:rsidRPr="00E76087">
        <w:rPr>
          <w:snapToGrid w:val="0"/>
        </w:rPr>
        <w:instrText xml:space="preserve"> AUTONUM  </w:instrText>
      </w:r>
      <w:r w:rsidRPr="00E76087">
        <w:rPr>
          <w:snapToGrid w:val="0"/>
        </w:rPr>
        <w:fldChar w:fldCharType="end"/>
      </w:r>
      <w:r w:rsidRPr="00E76087">
        <w:rPr>
          <w:snapToGrid w:val="0"/>
        </w:rPr>
        <w:tab/>
      </w:r>
      <w:r w:rsidRPr="00E76087">
        <w:t xml:space="preserve">The CAJ noted that proposals for enhancing cooperation and take-over of DUS test reports </w:t>
      </w:r>
      <w:proofErr w:type="gramStart"/>
      <w:r w:rsidR="001A50C3">
        <w:t>we</w:t>
      </w:r>
      <w:r w:rsidRPr="00E76087">
        <w:t>re provided</w:t>
      </w:r>
      <w:proofErr w:type="gramEnd"/>
      <w:r w:rsidRPr="00E76087">
        <w:t xml:space="preserve"> in document CAJ/78/9 “Measures to enhance cooperation in examination”.</w:t>
      </w:r>
    </w:p>
    <w:p w:rsidR="00F0459F" w:rsidRPr="00E76087" w:rsidRDefault="00F0459F" w:rsidP="00F0459F">
      <w:r w:rsidRPr="00E76087">
        <w:t xml:space="preserve"> </w:t>
      </w:r>
    </w:p>
    <w:p w:rsidR="00F0459F" w:rsidRPr="00E76087" w:rsidRDefault="00F0459F" w:rsidP="00F0459F">
      <w:r w:rsidRPr="00E76087">
        <w:rPr>
          <w:snapToGrid w:val="0"/>
        </w:rPr>
        <w:fldChar w:fldCharType="begin"/>
      </w:r>
      <w:r w:rsidRPr="00E76087">
        <w:rPr>
          <w:snapToGrid w:val="0"/>
        </w:rPr>
        <w:instrText xml:space="preserve"> AUTONUM  </w:instrText>
      </w:r>
      <w:r w:rsidRPr="00E76087">
        <w:rPr>
          <w:snapToGrid w:val="0"/>
        </w:rPr>
        <w:fldChar w:fldCharType="end"/>
      </w:r>
      <w:r w:rsidRPr="00E76087">
        <w:rPr>
          <w:snapToGrid w:val="0"/>
        </w:rPr>
        <w:tab/>
      </w:r>
      <w:proofErr w:type="gramStart"/>
      <w:r w:rsidRPr="00E76087">
        <w:t xml:space="preserve">The CAJ </w:t>
      </w:r>
      <w:r w:rsidR="00A96182" w:rsidRPr="00E76087">
        <w:t xml:space="preserve">agreed to include </w:t>
      </w:r>
      <w:r w:rsidRPr="00E76087">
        <w:t xml:space="preserve">possible “guidance to encourage members of the Union, on a voluntary basis, to take over DUS test reports when the applicants could not submit plant material due to </w:t>
      </w:r>
      <w:proofErr w:type="spellStart"/>
      <w:r w:rsidRPr="00E76087">
        <w:t>phytosanitary</w:t>
      </w:r>
      <w:proofErr w:type="spellEnd"/>
      <w:r w:rsidRPr="00E76087">
        <w:t xml:space="preserve"> or other related issues where acceptable to the members of the Union concerned” as part of the work to be </w:t>
      </w:r>
      <w:r w:rsidR="00A96182" w:rsidRPr="00E76087">
        <w:t>agreed by</w:t>
      </w:r>
      <w:r w:rsidRPr="00E76087">
        <w:t xml:space="preserve"> the CAJ under document CAJ/78/9.</w:t>
      </w:r>
      <w:proofErr w:type="gramEnd"/>
    </w:p>
    <w:p w:rsidR="00C8670E" w:rsidRPr="00E76087" w:rsidRDefault="00C8670E" w:rsidP="00C8670E"/>
    <w:p w:rsidR="008C79B2" w:rsidRPr="00E76087" w:rsidRDefault="008C79B2" w:rsidP="00C8670E"/>
    <w:p w:rsidR="008C79B2" w:rsidRPr="00E76087" w:rsidRDefault="00A4664D" w:rsidP="008C79B2">
      <w:pPr>
        <w:keepNext/>
        <w:rPr>
          <w:snapToGrid w:val="0"/>
          <w:u w:val="single"/>
        </w:rPr>
      </w:pPr>
      <w:r w:rsidRPr="00E76087">
        <w:rPr>
          <w:snapToGrid w:val="0"/>
          <w:u w:val="single"/>
        </w:rPr>
        <w:t>Measures to enhance cooperation in examination</w:t>
      </w:r>
      <w:r w:rsidRPr="00E76087" w:rsidDel="00A4664D">
        <w:rPr>
          <w:snapToGrid w:val="0"/>
          <w:u w:val="single"/>
        </w:rPr>
        <w:t xml:space="preserve"> </w:t>
      </w:r>
      <w:r w:rsidR="008C79B2" w:rsidRPr="00E76087">
        <w:rPr>
          <w:snapToGrid w:val="0"/>
          <w:u w:val="single"/>
        </w:rPr>
        <w:t>(document CAJ/78/9)</w:t>
      </w:r>
    </w:p>
    <w:p w:rsidR="00C8670E" w:rsidRPr="00E76087" w:rsidRDefault="00C8670E" w:rsidP="00C1432C">
      <w:pPr>
        <w:keepNext/>
      </w:pPr>
    </w:p>
    <w:p w:rsidR="008C79B2" w:rsidRPr="00E76087" w:rsidRDefault="008C79B2" w:rsidP="008C79B2">
      <w:r w:rsidRPr="00E76087">
        <w:rPr>
          <w:snapToGrid w:val="0"/>
        </w:rPr>
        <w:fldChar w:fldCharType="begin"/>
      </w:r>
      <w:r w:rsidRPr="00E76087">
        <w:rPr>
          <w:snapToGrid w:val="0"/>
        </w:rPr>
        <w:instrText xml:space="preserve"> AUTONUM  </w:instrText>
      </w:r>
      <w:r w:rsidRPr="00E76087">
        <w:rPr>
          <w:snapToGrid w:val="0"/>
        </w:rPr>
        <w:fldChar w:fldCharType="end"/>
      </w:r>
      <w:r w:rsidRPr="00E76087">
        <w:rPr>
          <w:snapToGrid w:val="0"/>
        </w:rPr>
        <w:tab/>
        <w:t>The CAJ c</w:t>
      </w:r>
      <w:r w:rsidRPr="00E76087">
        <w:t>onsidered document CAJ/78/9.</w:t>
      </w:r>
    </w:p>
    <w:p w:rsidR="00E77586" w:rsidRPr="00E76087" w:rsidRDefault="00E77586" w:rsidP="008C79B2"/>
    <w:p w:rsidR="00E76087" w:rsidRPr="00E76087" w:rsidRDefault="00E76087" w:rsidP="00E76087">
      <w:r w:rsidRPr="00E76087">
        <w:fldChar w:fldCharType="begin"/>
      </w:r>
      <w:r w:rsidRPr="00E76087">
        <w:instrText xml:space="preserve"> AUTONUM  </w:instrText>
      </w:r>
      <w:r w:rsidRPr="00E76087">
        <w:fldChar w:fldCharType="end"/>
      </w:r>
      <w:r w:rsidRPr="00E76087">
        <w:tab/>
        <w:t xml:space="preserve">The CAJ agreed that the survey should include the taking-over of test reports where the variety descriptions did not match the UPOV Test Guidelines characteristics. </w:t>
      </w:r>
    </w:p>
    <w:p w:rsidR="00E76087" w:rsidRPr="00E76087" w:rsidRDefault="00E76087" w:rsidP="00E76087"/>
    <w:p w:rsidR="00E77586" w:rsidRPr="00E76087" w:rsidRDefault="00E76087" w:rsidP="00E76087">
      <w:r w:rsidRPr="00E76087">
        <w:fldChar w:fldCharType="begin"/>
      </w:r>
      <w:r w:rsidRPr="00E76087">
        <w:instrText xml:space="preserve"> AUTONUM  </w:instrText>
      </w:r>
      <w:r w:rsidRPr="00E76087">
        <w:fldChar w:fldCharType="end"/>
      </w:r>
      <w:r w:rsidRPr="00E76087">
        <w:tab/>
        <w:t xml:space="preserve">In response to the comment from the European Union, the CAJ noted that the Explanatory Notes on “Examination of the Application” should explain all options for examination of varieties, as </w:t>
      </w:r>
      <w:r w:rsidR="007273A5">
        <w:t>set out in the UPOV Convention</w:t>
      </w:r>
      <w:r w:rsidRPr="00E76087">
        <w:t>.</w:t>
      </w:r>
    </w:p>
    <w:p w:rsidR="008C79B2" w:rsidRDefault="008C79B2" w:rsidP="008C79B2"/>
    <w:p w:rsidR="008C79B2" w:rsidRPr="00E76087" w:rsidRDefault="008C79B2" w:rsidP="00C15FC9">
      <w:pPr>
        <w:keepNext/>
        <w:keepLines/>
      </w:pPr>
      <w:r w:rsidRPr="00E76087">
        <w:rPr>
          <w:snapToGrid w:val="0"/>
        </w:rPr>
        <w:lastRenderedPageBreak/>
        <w:fldChar w:fldCharType="begin"/>
      </w:r>
      <w:r w:rsidRPr="00E76087">
        <w:rPr>
          <w:snapToGrid w:val="0"/>
        </w:rPr>
        <w:instrText xml:space="preserve"> AUTONUM  </w:instrText>
      </w:r>
      <w:r w:rsidRPr="00E76087">
        <w:rPr>
          <w:snapToGrid w:val="0"/>
        </w:rPr>
        <w:fldChar w:fldCharType="end"/>
      </w:r>
      <w:r w:rsidRPr="00E76087">
        <w:rPr>
          <w:snapToGrid w:val="0"/>
        </w:rPr>
        <w:tab/>
      </w:r>
      <w:r w:rsidRPr="00E76087">
        <w:t>The CAJ agreed the following measures to address policy or legal barriers that the TC had identified as preventing international cooperation in DUS examination:</w:t>
      </w:r>
    </w:p>
    <w:p w:rsidR="008C79B2" w:rsidRPr="00E76087" w:rsidRDefault="008C79B2" w:rsidP="00C15FC9">
      <w:pPr>
        <w:keepNext/>
      </w:pPr>
    </w:p>
    <w:p w:rsidR="008C79B2" w:rsidRPr="00E76087" w:rsidRDefault="008C79B2" w:rsidP="008C79B2">
      <w:r w:rsidRPr="00E76087">
        <w:tab/>
        <w:t xml:space="preserve">(a) </w:t>
      </w:r>
      <w:r w:rsidRPr="00E76087">
        <w:tab/>
      </w:r>
      <w:proofErr w:type="gramStart"/>
      <w:r w:rsidRPr="00E76087">
        <w:t>survey</w:t>
      </w:r>
      <w:proofErr w:type="gramEnd"/>
      <w:r w:rsidRPr="00E76087">
        <w:t xml:space="preserve"> members of the Union for information on their policies or legal barriers that could prevent international cooperation in DUS examination;</w:t>
      </w:r>
    </w:p>
    <w:p w:rsidR="008C79B2" w:rsidRPr="00E76087" w:rsidRDefault="008C79B2" w:rsidP="008C79B2"/>
    <w:p w:rsidR="008C79B2" w:rsidRPr="00E76087" w:rsidRDefault="008C79B2" w:rsidP="008C79B2">
      <w:r w:rsidRPr="00E76087">
        <w:tab/>
        <w:t xml:space="preserve">(b) </w:t>
      </w:r>
      <w:r w:rsidRPr="00E76087">
        <w:tab/>
      </w:r>
      <w:proofErr w:type="gramStart"/>
      <w:r w:rsidRPr="00E76087">
        <w:t>develop</w:t>
      </w:r>
      <w:proofErr w:type="gramEnd"/>
      <w:r w:rsidRPr="00E76087">
        <w:t xml:space="preserve"> explanatory notes to Article 12 of the </w:t>
      </w:r>
      <w:r w:rsidR="007273A5">
        <w:t>UPOV Convention</w:t>
      </w:r>
      <w:r w:rsidRPr="00E76087">
        <w:t xml:space="preserve"> (“Examination of the Application”);  and</w:t>
      </w:r>
    </w:p>
    <w:p w:rsidR="008C79B2" w:rsidRPr="00E76087" w:rsidRDefault="008C79B2" w:rsidP="008C79B2"/>
    <w:p w:rsidR="008C79B2" w:rsidRPr="00E76087" w:rsidRDefault="008C79B2" w:rsidP="008C79B2">
      <w:r w:rsidRPr="00E76087">
        <w:tab/>
        <w:t xml:space="preserve">(c) </w:t>
      </w:r>
      <w:r w:rsidRPr="00E76087">
        <w:tab/>
      </w:r>
      <w:proofErr w:type="gramStart"/>
      <w:r w:rsidRPr="00E76087">
        <w:t>request</w:t>
      </w:r>
      <w:proofErr w:type="gramEnd"/>
      <w:r w:rsidRPr="00E76087">
        <w:t xml:space="preserve"> breeders’ organizations to clarify the issues concerning the wish of breeders to use, or not to use, existing DUS reports.</w:t>
      </w:r>
    </w:p>
    <w:p w:rsidR="008C79B2" w:rsidRPr="00E76087" w:rsidRDefault="008C79B2" w:rsidP="00C8670E"/>
    <w:p w:rsidR="008C79B2" w:rsidRPr="00E76087" w:rsidRDefault="008C79B2" w:rsidP="00C8670E"/>
    <w:p w:rsidR="001C2857" w:rsidRPr="00E76087" w:rsidRDefault="001C2857" w:rsidP="001C2857">
      <w:pPr>
        <w:keepNext/>
        <w:ind w:left="567" w:hanging="567"/>
        <w:rPr>
          <w:snapToGrid w:val="0"/>
          <w:u w:val="single"/>
        </w:rPr>
      </w:pPr>
      <w:r w:rsidRPr="00E76087">
        <w:rPr>
          <w:snapToGrid w:val="0"/>
          <w:u w:val="single"/>
        </w:rPr>
        <w:t>Matters for information:</w:t>
      </w:r>
    </w:p>
    <w:p w:rsidR="001C2857" w:rsidRPr="00E76087" w:rsidRDefault="001C2857" w:rsidP="00C1432C">
      <w:pPr>
        <w:keepNext/>
      </w:pPr>
    </w:p>
    <w:p w:rsidR="001C2857" w:rsidRPr="00E76087" w:rsidRDefault="001C2857" w:rsidP="00C1432C">
      <w:pPr>
        <w:keepNext/>
        <w:jc w:val="left"/>
        <w:rPr>
          <w:rFonts w:cs="Arial"/>
        </w:rPr>
      </w:pPr>
      <w:r w:rsidRPr="00E76087">
        <w:fldChar w:fldCharType="begin"/>
      </w:r>
      <w:r w:rsidRPr="00E76087">
        <w:instrText xml:space="preserve"> AUTONUM  </w:instrText>
      </w:r>
      <w:r w:rsidRPr="00E76087">
        <w:fldChar w:fldCharType="end"/>
      </w:r>
      <w:r w:rsidRPr="00E76087">
        <w:tab/>
        <w:t xml:space="preserve">The CAJ </w:t>
      </w:r>
      <w:r w:rsidR="00A4664D" w:rsidRPr="00E76087">
        <w:t xml:space="preserve">noted </w:t>
      </w:r>
      <w:r w:rsidRPr="00E76087">
        <w:rPr>
          <w:rFonts w:cs="Arial"/>
        </w:rPr>
        <w:t xml:space="preserve">the following documents </w:t>
      </w:r>
      <w:r w:rsidR="00C8670E" w:rsidRPr="00E76087">
        <w:rPr>
          <w:rFonts w:cs="Arial"/>
        </w:rPr>
        <w:t>under item 13</w:t>
      </w:r>
      <w:r w:rsidR="00C7365C" w:rsidRPr="00E76087">
        <w:rPr>
          <w:rFonts w:cs="Arial"/>
        </w:rPr>
        <w:t xml:space="preserve"> “Matters for information”</w:t>
      </w:r>
      <w:r w:rsidRPr="00E76087">
        <w:rPr>
          <w:rFonts w:cs="Arial"/>
        </w:rPr>
        <w:t>:</w:t>
      </w:r>
    </w:p>
    <w:p w:rsidR="001C2857" w:rsidRPr="00E76087" w:rsidRDefault="001C2857" w:rsidP="00C1432C">
      <w:pPr>
        <w:keepNext/>
        <w:ind w:left="567" w:hanging="567"/>
      </w:pPr>
    </w:p>
    <w:p w:rsidR="001C2857" w:rsidRPr="00553675" w:rsidRDefault="001C2857" w:rsidP="001C2857">
      <w:pPr>
        <w:tabs>
          <w:tab w:val="left" w:pos="5812"/>
        </w:tabs>
        <w:ind w:left="1134" w:right="567" w:hanging="567"/>
        <w:rPr>
          <w:spacing w:val="-2"/>
          <w:lang w:val="fr-CH"/>
        </w:rPr>
      </w:pPr>
      <w:r w:rsidRPr="00553675">
        <w:rPr>
          <w:lang w:val="fr-CH"/>
        </w:rPr>
        <w:t>“(a)</w:t>
      </w:r>
      <w:r w:rsidRPr="00553675">
        <w:rPr>
          <w:lang w:val="fr-CH"/>
        </w:rPr>
        <w:tab/>
      </w:r>
      <w:proofErr w:type="spellStart"/>
      <w:r w:rsidRPr="00553675">
        <w:rPr>
          <w:rFonts w:cs="Arial"/>
          <w:snapToGrid w:val="0"/>
          <w:spacing w:val="-2"/>
          <w:lang w:val="fr-CH"/>
        </w:rPr>
        <w:t>UPOV</w:t>
      </w:r>
      <w:proofErr w:type="spellEnd"/>
      <w:r w:rsidRPr="00553675">
        <w:rPr>
          <w:rFonts w:cs="Arial"/>
          <w:snapToGrid w:val="0"/>
          <w:spacing w:val="-2"/>
          <w:lang w:val="fr-CH"/>
        </w:rPr>
        <w:t xml:space="preserve"> information </w:t>
      </w:r>
      <w:proofErr w:type="spellStart"/>
      <w:r w:rsidRPr="00553675">
        <w:rPr>
          <w:rFonts w:cs="Arial"/>
          <w:snapToGrid w:val="0"/>
          <w:spacing w:val="-2"/>
          <w:lang w:val="fr-CH"/>
        </w:rPr>
        <w:t>databases</w:t>
      </w:r>
      <w:proofErr w:type="spellEnd"/>
      <w:r w:rsidRPr="00553675">
        <w:rPr>
          <w:rFonts w:cs="Arial"/>
          <w:snapToGrid w:val="0"/>
          <w:spacing w:val="-2"/>
          <w:lang w:val="fr-CH"/>
        </w:rPr>
        <w:t xml:space="preserve"> (document </w:t>
      </w:r>
      <w:proofErr w:type="spellStart"/>
      <w:r w:rsidRPr="00553675">
        <w:rPr>
          <w:rFonts w:cs="Arial"/>
          <w:snapToGrid w:val="0"/>
          <w:spacing w:val="-2"/>
          <w:lang w:val="fr-CH"/>
        </w:rPr>
        <w:t>CAJ</w:t>
      </w:r>
      <w:proofErr w:type="spellEnd"/>
      <w:r w:rsidRPr="00553675">
        <w:rPr>
          <w:rFonts w:cs="Arial"/>
          <w:snapToGrid w:val="0"/>
          <w:spacing w:val="-2"/>
          <w:lang w:val="fr-CH"/>
        </w:rPr>
        <w:t>/7</w:t>
      </w:r>
      <w:r w:rsidR="00C8670E" w:rsidRPr="00553675">
        <w:rPr>
          <w:rFonts w:cs="Arial"/>
          <w:snapToGrid w:val="0"/>
          <w:spacing w:val="-2"/>
          <w:lang w:val="fr-CH"/>
        </w:rPr>
        <w:t>8</w:t>
      </w:r>
      <w:r w:rsidRPr="00553675">
        <w:rPr>
          <w:rFonts w:cs="Arial"/>
          <w:snapToGrid w:val="0"/>
          <w:spacing w:val="-2"/>
          <w:lang w:val="fr-CH"/>
        </w:rPr>
        <w:t>/</w:t>
      </w:r>
      <w:proofErr w:type="spellStart"/>
      <w:r w:rsidRPr="00553675">
        <w:rPr>
          <w:rFonts w:cs="Arial"/>
          <w:snapToGrid w:val="0"/>
          <w:spacing w:val="-2"/>
          <w:lang w:val="fr-CH"/>
        </w:rPr>
        <w:t>INF</w:t>
      </w:r>
      <w:proofErr w:type="spellEnd"/>
      <w:r w:rsidRPr="00553675">
        <w:rPr>
          <w:rFonts w:cs="Arial"/>
          <w:snapToGrid w:val="0"/>
          <w:spacing w:val="-2"/>
          <w:lang w:val="fr-CH"/>
        </w:rPr>
        <w:t>/3)</w:t>
      </w:r>
    </w:p>
    <w:p w:rsidR="001C2857" w:rsidRPr="00553675" w:rsidRDefault="001C2857" w:rsidP="001C2857">
      <w:pPr>
        <w:tabs>
          <w:tab w:val="left" w:pos="5812"/>
        </w:tabs>
        <w:ind w:left="1134" w:right="567" w:hanging="567"/>
        <w:rPr>
          <w:lang w:val="fr-CH"/>
        </w:rPr>
      </w:pPr>
    </w:p>
    <w:p w:rsidR="001C2857" w:rsidRPr="00553675" w:rsidRDefault="001C2857" w:rsidP="001C2857">
      <w:pPr>
        <w:ind w:left="1134" w:right="567" w:hanging="567"/>
        <w:rPr>
          <w:kern w:val="28"/>
          <w:lang w:val="fr-CH"/>
        </w:rPr>
      </w:pPr>
      <w:r w:rsidRPr="00553675">
        <w:rPr>
          <w:lang w:val="fr-CH"/>
        </w:rPr>
        <w:t>“</w:t>
      </w:r>
      <w:r w:rsidRPr="00553675">
        <w:rPr>
          <w:kern w:val="28"/>
          <w:lang w:val="fr-CH"/>
        </w:rPr>
        <w:t>(b)</w:t>
      </w:r>
      <w:r w:rsidRPr="00553675">
        <w:rPr>
          <w:kern w:val="28"/>
          <w:lang w:val="fr-CH"/>
        </w:rPr>
        <w:tab/>
      </w:r>
      <w:r w:rsidRPr="00553675">
        <w:rPr>
          <w:lang w:val="fr-CH"/>
        </w:rPr>
        <w:t>UPOV PRISMA (document CAJ/7</w:t>
      </w:r>
      <w:r w:rsidR="00C8670E" w:rsidRPr="00553675">
        <w:rPr>
          <w:lang w:val="fr-CH"/>
        </w:rPr>
        <w:t>8</w:t>
      </w:r>
      <w:r w:rsidRPr="00553675">
        <w:rPr>
          <w:lang w:val="fr-CH"/>
        </w:rPr>
        <w:t>/INF/4)</w:t>
      </w:r>
    </w:p>
    <w:p w:rsidR="001C2857" w:rsidRPr="00553675" w:rsidRDefault="001C2857" w:rsidP="001C2857">
      <w:pPr>
        <w:tabs>
          <w:tab w:val="left" w:pos="5812"/>
        </w:tabs>
        <w:ind w:left="1134" w:right="567" w:hanging="567"/>
        <w:rPr>
          <w:kern w:val="28"/>
          <w:lang w:val="fr-CH"/>
        </w:rPr>
      </w:pPr>
    </w:p>
    <w:p w:rsidR="001C2857" w:rsidRPr="00553675" w:rsidRDefault="001C2857" w:rsidP="001C2857">
      <w:pPr>
        <w:tabs>
          <w:tab w:val="left" w:pos="5812"/>
        </w:tabs>
        <w:ind w:left="1134" w:right="567" w:hanging="567"/>
        <w:rPr>
          <w:kern w:val="28"/>
          <w:lang w:val="fr-CH"/>
        </w:rPr>
      </w:pPr>
      <w:r w:rsidRPr="00553675">
        <w:rPr>
          <w:lang w:val="fr-CH"/>
        </w:rPr>
        <w:t>“</w:t>
      </w:r>
      <w:r w:rsidRPr="00553675">
        <w:rPr>
          <w:kern w:val="28"/>
          <w:lang w:val="fr-CH"/>
        </w:rPr>
        <w:t>(c)</w:t>
      </w:r>
      <w:r w:rsidRPr="00553675">
        <w:rPr>
          <w:kern w:val="28"/>
          <w:lang w:val="fr-CH"/>
        </w:rPr>
        <w:tab/>
      </w:r>
      <w:proofErr w:type="spellStart"/>
      <w:r w:rsidRPr="00553675">
        <w:rPr>
          <w:lang w:val="fr-CH"/>
        </w:rPr>
        <w:t>Molecular</w:t>
      </w:r>
      <w:proofErr w:type="spellEnd"/>
      <w:r w:rsidRPr="00553675">
        <w:rPr>
          <w:lang w:val="fr-CH"/>
        </w:rPr>
        <w:t xml:space="preserve"> techniques (document </w:t>
      </w:r>
      <w:proofErr w:type="spellStart"/>
      <w:r w:rsidRPr="00553675">
        <w:rPr>
          <w:lang w:val="fr-CH"/>
        </w:rPr>
        <w:t>CAJ</w:t>
      </w:r>
      <w:proofErr w:type="spellEnd"/>
      <w:r w:rsidRPr="00553675">
        <w:rPr>
          <w:lang w:val="fr-CH"/>
        </w:rPr>
        <w:t>/7</w:t>
      </w:r>
      <w:r w:rsidR="00C8670E" w:rsidRPr="00553675">
        <w:rPr>
          <w:lang w:val="fr-CH"/>
        </w:rPr>
        <w:t>8</w:t>
      </w:r>
      <w:r w:rsidRPr="00553675">
        <w:rPr>
          <w:lang w:val="fr-CH"/>
        </w:rPr>
        <w:t>/</w:t>
      </w:r>
      <w:proofErr w:type="spellStart"/>
      <w:r w:rsidRPr="00553675">
        <w:rPr>
          <w:lang w:val="fr-CH"/>
        </w:rPr>
        <w:t>INF</w:t>
      </w:r>
      <w:proofErr w:type="spellEnd"/>
      <w:r w:rsidRPr="00553675">
        <w:rPr>
          <w:lang w:val="fr-CH"/>
        </w:rPr>
        <w:t>/5)”</w:t>
      </w:r>
    </w:p>
    <w:p w:rsidR="001C2857" w:rsidRPr="00553675" w:rsidRDefault="001C2857" w:rsidP="001C2857">
      <w:pPr>
        <w:rPr>
          <w:sz w:val="18"/>
          <w:lang w:val="fr-CH"/>
        </w:rPr>
      </w:pPr>
    </w:p>
    <w:p w:rsidR="00A96182" w:rsidRPr="00553675" w:rsidRDefault="00A96182" w:rsidP="001C2857">
      <w:pPr>
        <w:rPr>
          <w:sz w:val="18"/>
          <w:lang w:val="fr-CH"/>
        </w:rPr>
      </w:pPr>
    </w:p>
    <w:p w:rsidR="001C2857" w:rsidRPr="00E76087" w:rsidRDefault="001C2857" w:rsidP="001C2857">
      <w:pPr>
        <w:keepNext/>
        <w:ind w:left="567" w:hanging="567"/>
        <w:rPr>
          <w:snapToGrid w:val="0"/>
          <w:u w:val="single"/>
        </w:rPr>
      </w:pPr>
      <w:r w:rsidRPr="00E76087">
        <w:rPr>
          <w:snapToGrid w:val="0"/>
          <w:u w:val="single"/>
        </w:rPr>
        <w:t>Program for the seventy-</w:t>
      </w:r>
      <w:r w:rsidR="00C8670E" w:rsidRPr="00E76087">
        <w:rPr>
          <w:snapToGrid w:val="0"/>
          <w:u w:val="single"/>
        </w:rPr>
        <w:t>ninth</w:t>
      </w:r>
      <w:r w:rsidRPr="00E76087">
        <w:rPr>
          <w:snapToGrid w:val="0"/>
          <w:u w:val="single"/>
        </w:rPr>
        <w:t xml:space="preserve"> session</w:t>
      </w:r>
    </w:p>
    <w:p w:rsidR="003A6CF5" w:rsidRPr="00E76087" w:rsidRDefault="003A6CF5" w:rsidP="001C2857"/>
    <w:p w:rsidR="001C2857" w:rsidRPr="00E76087" w:rsidRDefault="001C2857" w:rsidP="001C2857">
      <w:pPr>
        <w:keepNext/>
        <w:tabs>
          <w:tab w:val="left" w:pos="567"/>
          <w:tab w:val="left" w:pos="851"/>
        </w:tabs>
        <w:rPr>
          <w:kern w:val="28"/>
        </w:rPr>
      </w:pPr>
      <w:r w:rsidRPr="00E76087">
        <w:rPr>
          <w:kern w:val="28"/>
        </w:rPr>
        <w:fldChar w:fldCharType="begin"/>
      </w:r>
      <w:r w:rsidRPr="00E76087">
        <w:rPr>
          <w:kern w:val="28"/>
        </w:rPr>
        <w:instrText xml:space="preserve"> AUTONUM  </w:instrText>
      </w:r>
      <w:r w:rsidRPr="00E76087">
        <w:rPr>
          <w:kern w:val="28"/>
        </w:rPr>
        <w:fldChar w:fldCharType="end"/>
      </w:r>
      <w:r w:rsidRPr="00E76087">
        <w:rPr>
          <w:kern w:val="28"/>
        </w:rPr>
        <w:tab/>
        <w:t xml:space="preserve">The CAJ agreed the following program for its </w:t>
      </w:r>
      <w:r w:rsidRPr="00E76087">
        <w:t>seventy-</w:t>
      </w:r>
      <w:r w:rsidR="00C8670E" w:rsidRPr="00E76087">
        <w:t>ninth</w:t>
      </w:r>
      <w:r w:rsidRPr="00E76087">
        <w:t xml:space="preserve"> session</w:t>
      </w:r>
      <w:r w:rsidR="00C8670E" w:rsidRPr="00E76087">
        <w:t xml:space="preserve"> to </w:t>
      </w:r>
      <w:proofErr w:type="gramStart"/>
      <w:r w:rsidR="00C8670E" w:rsidRPr="00E76087">
        <w:t>be held</w:t>
      </w:r>
      <w:proofErr w:type="gramEnd"/>
      <w:r w:rsidR="00C8670E" w:rsidRPr="00E76087">
        <w:t xml:space="preserve"> on October 26</w:t>
      </w:r>
      <w:r w:rsidRPr="00E76087">
        <w:t>, 202</w:t>
      </w:r>
      <w:r w:rsidR="00C8670E" w:rsidRPr="00E76087">
        <w:t>2</w:t>
      </w:r>
      <w:r w:rsidRPr="00E76087">
        <w:t>:</w:t>
      </w:r>
    </w:p>
    <w:p w:rsidR="001C2857" w:rsidRPr="00E76087" w:rsidRDefault="001C2857" w:rsidP="001C2857">
      <w:pPr>
        <w:rPr>
          <w:kern w:val="28"/>
        </w:rPr>
      </w:pPr>
    </w:p>
    <w:p w:rsidR="00E76087" w:rsidRPr="00E76087" w:rsidRDefault="00E76087" w:rsidP="00E76087">
      <w:pPr>
        <w:ind w:left="567"/>
        <w:rPr>
          <w:kern w:val="28"/>
        </w:rPr>
      </w:pPr>
      <w:r w:rsidRPr="00E76087">
        <w:rPr>
          <w:kern w:val="28"/>
        </w:rPr>
        <w:t>1.</w:t>
      </w:r>
      <w:r w:rsidRPr="00E76087">
        <w:rPr>
          <w:kern w:val="28"/>
        </w:rPr>
        <w:tab/>
        <w:t>Opening of the session</w:t>
      </w:r>
    </w:p>
    <w:p w:rsidR="00E76087" w:rsidRPr="00E76087" w:rsidRDefault="00E76087" w:rsidP="00E76087">
      <w:pPr>
        <w:ind w:left="567"/>
        <w:rPr>
          <w:kern w:val="28"/>
        </w:rPr>
      </w:pPr>
    </w:p>
    <w:p w:rsidR="00E76087" w:rsidRPr="00E76087" w:rsidRDefault="00E76087" w:rsidP="00E76087">
      <w:pPr>
        <w:ind w:left="567"/>
        <w:rPr>
          <w:kern w:val="28"/>
        </w:rPr>
      </w:pPr>
      <w:r w:rsidRPr="00E76087">
        <w:rPr>
          <w:kern w:val="28"/>
        </w:rPr>
        <w:t>2.</w:t>
      </w:r>
      <w:r w:rsidRPr="00E76087">
        <w:rPr>
          <w:kern w:val="28"/>
        </w:rPr>
        <w:tab/>
        <w:t>Adoption of the agenda</w:t>
      </w:r>
    </w:p>
    <w:p w:rsidR="00E76087" w:rsidRPr="00E76087" w:rsidRDefault="00E76087" w:rsidP="00E76087">
      <w:pPr>
        <w:ind w:left="567"/>
        <w:rPr>
          <w:kern w:val="28"/>
        </w:rPr>
      </w:pPr>
    </w:p>
    <w:p w:rsidR="00E76087" w:rsidRPr="00E76087" w:rsidRDefault="00E76087" w:rsidP="00E76087">
      <w:pPr>
        <w:ind w:left="567"/>
        <w:rPr>
          <w:kern w:val="28"/>
        </w:rPr>
      </w:pPr>
      <w:r w:rsidRPr="00E76087">
        <w:rPr>
          <w:kern w:val="28"/>
        </w:rPr>
        <w:t>3.</w:t>
      </w:r>
      <w:r w:rsidRPr="00E76087">
        <w:rPr>
          <w:kern w:val="28"/>
        </w:rPr>
        <w:tab/>
        <w:t xml:space="preserve">Report by the Vice Secretary-General on developments in UPOV </w:t>
      </w:r>
    </w:p>
    <w:p w:rsidR="00E76087" w:rsidRPr="00E76087" w:rsidRDefault="00E76087" w:rsidP="00E76087">
      <w:pPr>
        <w:ind w:left="567"/>
        <w:rPr>
          <w:kern w:val="28"/>
        </w:rPr>
      </w:pPr>
    </w:p>
    <w:p w:rsidR="00E76087" w:rsidRPr="00E76087" w:rsidRDefault="00E76087" w:rsidP="00E76087">
      <w:pPr>
        <w:ind w:left="567"/>
        <w:rPr>
          <w:kern w:val="28"/>
        </w:rPr>
      </w:pPr>
      <w:r w:rsidRPr="00E76087">
        <w:rPr>
          <w:kern w:val="28"/>
        </w:rPr>
        <w:t>4.</w:t>
      </w:r>
      <w:r w:rsidRPr="00E76087">
        <w:rPr>
          <w:kern w:val="28"/>
        </w:rPr>
        <w:tab/>
        <w:t xml:space="preserve">Report on developments in the Technical Committee </w:t>
      </w:r>
    </w:p>
    <w:p w:rsidR="00E76087" w:rsidRPr="00E76087" w:rsidRDefault="00E76087" w:rsidP="00E76087">
      <w:pPr>
        <w:ind w:left="567"/>
        <w:rPr>
          <w:kern w:val="28"/>
        </w:rPr>
      </w:pPr>
    </w:p>
    <w:p w:rsidR="00E76087" w:rsidRPr="00E76087" w:rsidRDefault="00E76087" w:rsidP="00E76087">
      <w:pPr>
        <w:ind w:left="567"/>
        <w:rPr>
          <w:kern w:val="28"/>
        </w:rPr>
      </w:pPr>
      <w:r w:rsidRPr="00E76087">
        <w:rPr>
          <w:kern w:val="28"/>
        </w:rPr>
        <w:t>5.</w:t>
      </w:r>
      <w:r w:rsidRPr="00E76087">
        <w:rPr>
          <w:kern w:val="28"/>
        </w:rPr>
        <w:tab/>
        <w:t xml:space="preserve">Development of guidance and information materials </w:t>
      </w:r>
    </w:p>
    <w:p w:rsidR="00E76087" w:rsidRPr="00E76087" w:rsidRDefault="00E76087" w:rsidP="00E76087">
      <w:pPr>
        <w:ind w:left="567"/>
        <w:rPr>
          <w:kern w:val="28"/>
        </w:rPr>
      </w:pPr>
    </w:p>
    <w:p w:rsidR="00E76087" w:rsidRPr="00E76087" w:rsidRDefault="00E76087" w:rsidP="00E76087">
      <w:pPr>
        <w:ind w:left="1134"/>
        <w:rPr>
          <w:kern w:val="28"/>
        </w:rPr>
      </w:pPr>
      <w:r w:rsidRPr="00E76087">
        <w:rPr>
          <w:kern w:val="28"/>
        </w:rPr>
        <w:t>(a)</w:t>
      </w:r>
      <w:r w:rsidRPr="00E76087">
        <w:rPr>
          <w:kern w:val="28"/>
        </w:rPr>
        <w:tab/>
        <w:t>Information documents</w:t>
      </w:r>
    </w:p>
    <w:p w:rsidR="00E76087" w:rsidRPr="00E76087" w:rsidRDefault="00E76087" w:rsidP="00E76087">
      <w:pPr>
        <w:ind w:left="1134"/>
        <w:rPr>
          <w:kern w:val="28"/>
        </w:rPr>
      </w:pPr>
    </w:p>
    <w:p w:rsidR="00E76087" w:rsidRPr="00E76087" w:rsidRDefault="00E76087" w:rsidP="00E76087">
      <w:pPr>
        <w:ind w:left="3402" w:hanging="1701"/>
        <w:rPr>
          <w:kern w:val="28"/>
        </w:rPr>
      </w:pPr>
      <w:r w:rsidRPr="00E76087">
        <w:rPr>
          <w:kern w:val="28"/>
        </w:rPr>
        <w:t>UPOV/INF/16</w:t>
      </w:r>
      <w:r w:rsidRPr="00E76087">
        <w:rPr>
          <w:kern w:val="28"/>
        </w:rPr>
        <w:tab/>
        <w:t xml:space="preserve">Exchangeable Software (Revision) </w:t>
      </w:r>
    </w:p>
    <w:p w:rsidR="00E76087" w:rsidRPr="00E76087" w:rsidRDefault="00E76087" w:rsidP="00E76087">
      <w:pPr>
        <w:ind w:left="1701"/>
        <w:rPr>
          <w:kern w:val="28"/>
        </w:rPr>
      </w:pPr>
    </w:p>
    <w:p w:rsidR="00E76087" w:rsidRPr="00E76087" w:rsidRDefault="00E76087" w:rsidP="00E76087">
      <w:pPr>
        <w:ind w:left="3402" w:hanging="1701"/>
        <w:rPr>
          <w:kern w:val="28"/>
        </w:rPr>
      </w:pPr>
      <w:r w:rsidRPr="00E76087">
        <w:rPr>
          <w:kern w:val="28"/>
        </w:rPr>
        <w:t>UPOV/INF/22</w:t>
      </w:r>
      <w:r w:rsidRPr="00E76087">
        <w:rPr>
          <w:kern w:val="28"/>
        </w:rPr>
        <w:tab/>
        <w:t xml:space="preserve">Software and Equipment Used by Members of the Union (Revision) </w:t>
      </w:r>
    </w:p>
    <w:p w:rsidR="00E76087" w:rsidRPr="00E76087" w:rsidRDefault="00E76087" w:rsidP="00E76087">
      <w:pPr>
        <w:ind w:left="1134"/>
        <w:rPr>
          <w:kern w:val="28"/>
        </w:rPr>
      </w:pPr>
    </w:p>
    <w:p w:rsidR="00E76087" w:rsidRPr="00E76087" w:rsidRDefault="00E76087" w:rsidP="00E76087">
      <w:pPr>
        <w:ind w:left="1134"/>
        <w:rPr>
          <w:kern w:val="28"/>
        </w:rPr>
      </w:pPr>
      <w:r w:rsidRPr="00E76087">
        <w:rPr>
          <w:kern w:val="28"/>
        </w:rPr>
        <w:t>(b)</w:t>
      </w:r>
      <w:r w:rsidRPr="00E76087">
        <w:rPr>
          <w:kern w:val="28"/>
        </w:rPr>
        <w:tab/>
        <w:t>Explanatory Notes</w:t>
      </w:r>
    </w:p>
    <w:p w:rsidR="00E76087" w:rsidRPr="00E76087" w:rsidRDefault="00E76087" w:rsidP="00E76087">
      <w:pPr>
        <w:ind w:left="1134"/>
        <w:rPr>
          <w:kern w:val="28"/>
        </w:rPr>
      </w:pPr>
    </w:p>
    <w:p w:rsidR="00E76087" w:rsidRPr="00E76087" w:rsidRDefault="00E76087" w:rsidP="00E76087">
      <w:pPr>
        <w:ind w:left="3402" w:hanging="1701"/>
        <w:rPr>
          <w:kern w:val="28"/>
        </w:rPr>
      </w:pPr>
      <w:r w:rsidRPr="00E76087">
        <w:rPr>
          <w:kern w:val="28"/>
        </w:rPr>
        <w:t xml:space="preserve">UPOV/EXN/HRV </w:t>
      </w:r>
      <w:r w:rsidRPr="00E76087">
        <w:rPr>
          <w:kern w:val="28"/>
        </w:rPr>
        <w:tab/>
        <w:t xml:space="preserve">Explanatory Notes on Acts in Respect of Harvested Material under the 1991 Act of the </w:t>
      </w:r>
      <w:r w:rsidR="007273A5">
        <w:rPr>
          <w:kern w:val="28"/>
        </w:rPr>
        <w:t>UPOV Convention</w:t>
      </w:r>
    </w:p>
    <w:p w:rsidR="00E76087" w:rsidRPr="00E76087" w:rsidRDefault="00E76087" w:rsidP="00E76087">
      <w:pPr>
        <w:ind w:left="3402" w:hanging="1701"/>
        <w:rPr>
          <w:kern w:val="28"/>
        </w:rPr>
      </w:pPr>
    </w:p>
    <w:p w:rsidR="00E76087" w:rsidRPr="00E76087" w:rsidRDefault="00E76087" w:rsidP="00E76087">
      <w:pPr>
        <w:ind w:left="3402" w:hanging="1701"/>
        <w:rPr>
          <w:kern w:val="28"/>
        </w:rPr>
      </w:pPr>
      <w:r w:rsidRPr="00E76087">
        <w:rPr>
          <w:kern w:val="28"/>
        </w:rPr>
        <w:t xml:space="preserve">UPOV/EXN/PPM </w:t>
      </w:r>
      <w:r w:rsidRPr="00E76087">
        <w:rPr>
          <w:kern w:val="28"/>
        </w:rPr>
        <w:tab/>
        <w:t xml:space="preserve">Explanatory Notes on Propagating Material under the </w:t>
      </w:r>
      <w:r w:rsidR="007273A5">
        <w:rPr>
          <w:kern w:val="28"/>
        </w:rPr>
        <w:t>UPOV Convention</w:t>
      </w:r>
    </w:p>
    <w:p w:rsidR="00E76087" w:rsidRPr="00E76087" w:rsidRDefault="00E76087" w:rsidP="00E76087">
      <w:pPr>
        <w:ind w:left="3402" w:hanging="1701"/>
        <w:rPr>
          <w:kern w:val="28"/>
        </w:rPr>
      </w:pPr>
    </w:p>
    <w:p w:rsidR="00E76087" w:rsidRPr="00E76087" w:rsidRDefault="00E76087" w:rsidP="00E76087">
      <w:pPr>
        <w:ind w:left="3402" w:hanging="1701"/>
        <w:rPr>
          <w:kern w:val="28"/>
        </w:rPr>
      </w:pPr>
      <w:r w:rsidRPr="00E76087">
        <w:rPr>
          <w:kern w:val="28"/>
        </w:rPr>
        <w:t xml:space="preserve">UPOV/EXN/PRP </w:t>
      </w:r>
      <w:r w:rsidRPr="00E76087">
        <w:rPr>
          <w:kern w:val="28"/>
        </w:rPr>
        <w:tab/>
        <w:t xml:space="preserve">Explanatory Notes on Provisional Protection under the </w:t>
      </w:r>
      <w:r w:rsidR="007273A5">
        <w:rPr>
          <w:kern w:val="28"/>
        </w:rPr>
        <w:t>UPOV Convention</w:t>
      </w:r>
    </w:p>
    <w:p w:rsidR="00E76087" w:rsidRPr="00E76087" w:rsidRDefault="00E76087" w:rsidP="00E76087">
      <w:pPr>
        <w:ind w:left="3402" w:hanging="1701"/>
        <w:rPr>
          <w:kern w:val="28"/>
        </w:rPr>
      </w:pPr>
    </w:p>
    <w:p w:rsidR="00E76087" w:rsidRPr="00E76087" w:rsidRDefault="00E76087" w:rsidP="00E76087">
      <w:pPr>
        <w:ind w:left="3402" w:hanging="1701"/>
        <w:rPr>
          <w:kern w:val="28"/>
        </w:rPr>
      </w:pPr>
      <w:r w:rsidRPr="00E76087">
        <w:rPr>
          <w:kern w:val="28"/>
        </w:rPr>
        <w:t>UPOV/EXN/DEN</w:t>
      </w:r>
      <w:r w:rsidRPr="00E76087">
        <w:rPr>
          <w:kern w:val="28"/>
        </w:rPr>
        <w:tab/>
        <w:t xml:space="preserve">Explanatory Notes on Variety Denominations under the </w:t>
      </w:r>
      <w:r w:rsidR="007273A5">
        <w:rPr>
          <w:kern w:val="28"/>
        </w:rPr>
        <w:t>UPOV Convention</w:t>
      </w:r>
      <w:r w:rsidRPr="00E76087">
        <w:rPr>
          <w:kern w:val="28"/>
        </w:rPr>
        <w:t xml:space="preserve"> </w:t>
      </w:r>
    </w:p>
    <w:p w:rsidR="00E76087" w:rsidRPr="00E76087" w:rsidRDefault="00E76087" w:rsidP="00E76087">
      <w:pPr>
        <w:ind w:left="3402" w:hanging="1701"/>
        <w:rPr>
          <w:kern w:val="28"/>
        </w:rPr>
      </w:pPr>
    </w:p>
    <w:p w:rsidR="00E76087" w:rsidRPr="00E76087" w:rsidRDefault="00E76087" w:rsidP="00E76087">
      <w:pPr>
        <w:ind w:left="3402" w:hanging="1701"/>
        <w:rPr>
          <w:kern w:val="28"/>
        </w:rPr>
      </w:pPr>
      <w:r w:rsidRPr="00E76087">
        <w:rPr>
          <w:kern w:val="28"/>
        </w:rPr>
        <w:t>UPOV/EXN</w:t>
      </w:r>
      <w:proofErr w:type="gramStart"/>
      <w:r w:rsidRPr="00E76087">
        <w:rPr>
          <w:kern w:val="28"/>
        </w:rPr>
        <w:t>/[</w:t>
      </w:r>
      <w:proofErr w:type="gramEnd"/>
      <w:r w:rsidRPr="00E76087">
        <w:rPr>
          <w:kern w:val="28"/>
        </w:rPr>
        <w:t xml:space="preserve">  ] </w:t>
      </w:r>
      <w:r w:rsidRPr="00E76087">
        <w:rPr>
          <w:kern w:val="28"/>
        </w:rPr>
        <w:tab/>
        <w:t xml:space="preserve">Explanatory Notes on Examination of the Application under the </w:t>
      </w:r>
      <w:r w:rsidR="007273A5">
        <w:rPr>
          <w:kern w:val="28"/>
        </w:rPr>
        <w:t>UPOV Convention</w:t>
      </w:r>
    </w:p>
    <w:p w:rsidR="00E76087" w:rsidRPr="00E76087" w:rsidRDefault="00E76087" w:rsidP="00E76087">
      <w:pPr>
        <w:ind w:left="3402" w:hanging="1701"/>
        <w:rPr>
          <w:kern w:val="28"/>
        </w:rPr>
      </w:pPr>
    </w:p>
    <w:p w:rsidR="00E76087" w:rsidRPr="00E76087" w:rsidRDefault="00E76087" w:rsidP="00C15FC9">
      <w:pPr>
        <w:keepNext/>
        <w:ind w:left="1134"/>
        <w:rPr>
          <w:kern w:val="28"/>
        </w:rPr>
      </w:pPr>
      <w:r w:rsidRPr="00E76087">
        <w:rPr>
          <w:kern w:val="28"/>
        </w:rPr>
        <w:lastRenderedPageBreak/>
        <w:t>(c)</w:t>
      </w:r>
      <w:r w:rsidRPr="00E76087">
        <w:rPr>
          <w:kern w:val="28"/>
        </w:rPr>
        <w:tab/>
        <w:t>TGP documents</w:t>
      </w:r>
    </w:p>
    <w:p w:rsidR="00E76087" w:rsidRPr="00E76087" w:rsidRDefault="00E76087" w:rsidP="00C15FC9">
      <w:pPr>
        <w:keepNext/>
        <w:ind w:left="1134"/>
        <w:rPr>
          <w:kern w:val="28"/>
        </w:rPr>
      </w:pPr>
    </w:p>
    <w:p w:rsidR="00E76087" w:rsidRPr="00E76087" w:rsidRDefault="00E76087" w:rsidP="00E76087">
      <w:pPr>
        <w:ind w:left="2127" w:hanging="993"/>
        <w:rPr>
          <w:kern w:val="28"/>
        </w:rPr>
      </w:pPr>
      <w:r w:rsidRPr="00E76087">
        <w:rPr>
          <w:kern w:val="28"/>
        </w:rPr>
        <w:t>TGP/5</w:t>
      </w:r>
      <w:r w:rsidRPr="00E76087">
        <w:rPr>
          <w:kern w:val="28"/>
        </w:rPr>
        <w:tab/>
        <w:t>Experience and Cooperation in DUS Testing</w:t>
      </w:r>
    </w:p>
    <w:p w:rsidR="00E76087" w:rsidRPr="00E76087" w:rsidRDefault="00E76087" w:rsidP="00E76087">
      <w:pPr>
        <w:ind w:left="2127"/>
        <w:rPr>
          <w:kern w:val="28"/>
        </w:rPr>
      </w:pPr>
      <w:r w:rsidRPr="00E76087">
        <w:rPr>
          <w:kern w:val="28"/>
        </w:rPr>
        <w:t>Section 6: UPOV Report on Technical Examination and UPOV Variety Description</w:t>
      </w:r>
    </w:p>
    <w:p w:rsidR="00E76087" w:rsidRPr="00E76087" w:rsidRDefault="00E76087" w:rsidP="00E76087">
      <w:pPr>
        <w:ind w:left="567"/>
        <w:rPr>
          <w:kern w:val="28"/>
        </w:rPr>
      </w:pPr>
    </w:p>
    <w:p w:rsidR="00E76087" w:rsidRPr="00E76087" w:rsidRDefault="00E76087" w:rsidP="00E76087">
      <w:pPr>
        <w:ind w:left="567"/>
        <w:rPr>
          <w:kern w:val="28"/>
        </w:rPr>
      </w:pPr>
      <w:r w:rsidRPr="00E76087">
        <w:rPr>
          <w:kern w:val="28"/>
        </w:rPr>
        <w:t>6.</w:t>
      </w:r>
      <w:r w:rsidRPr="00E76087">
        <w:rPr>
          <w:kern w:val="28"/>
        </w:rPr>
        <w:tab/>
        <w:t xml:space="preserve">Novelty of parent lines with regard to the exploitation of the hybrid variety </w:t>
      </w:r>
    </w:p>
    <w:p w:rsidR="00E76087" w:rsidRPr="00E76087" w:rsidRDefault="00E76087" w:rsidP="00E76087">
      <w:pPr>
        <w:ind w:left="567"/>
        <w:rPr>
          <w:kern w:val="28"/>
        </w:rPr>
      </w:pPr>
    </w:p>
    <w:p w:rsidR="00E76087" w:rsidRPr="00E76087" w:rsidRDefault="00E76087" w:rsidP="00E76087">
      <w:pPr>
        <w:ind w:left="567"/>
        <w:rPr>
          <w:kern w:val="28"/>
        </w:rPr>
      </w:pPr>
      <w:r w:rsidRPr="00E76087">
        <w:rPr>
          <w:kern w:val="28"/>
        </w:rPr>
        <w:t>7.</w:t>
      </w:r>
      <w:r w:rsidRPr="00E76087">
        <w:rPr>
          <w:kern w:val="28"/>
        </w:rPr>
        <w:tab/>
        <w:t xml:space="preserve">PLUTO Plant Variety Database </w:t>
      </w:r>
    </w:p>
    <w:p w:rsidR="00E76087" w:rsidRPr="00E76087" w:rsidRDefault="00E76087" w:rsidP="00E76087">
      <w:pPr>
        <w:ind w:left="567"/>
        <w:rPr>
          <w:kern w:val="28"/>
        </w:rPr>
      </w:pPr>
    </w:p>
    <w:p w:rsidR="00E76087" w:rsidRPr="00E76087" w:rsidRDefault="00E76087" w:rsidP="00E76087">
      <w:pPr>
        <w:ind w:left="567"/>
        <w:rPr>
          <w:kern w:val="28"/>
        </w:rPr>
      </w:pPr>
      <w:r w:rsidRPr="00E76087">
        <w:rPr>
          <w:kern w:val="28"/>
        </w:rPr>
        <w:t>8.</w:t>
      </w:r>
      <w:r w:rsidRPr="00E76087">
        <w:rPr>
          <w:kern w:val="28"/>
        </w:rPr>
        <w:tab/>
        <w:t xml:space="preserve">UPOV denomination similarity search tool </w:t>
      </w:r>
    </w:p>
    <w:p w:rsidR="00E76087" w:rsidRPr="00E76087" w:rsidRDefault="00E76087" w:rsidP="00E76087">
      <w:pPr>
        <w:ind w:left="567"/>
        <w:rPr>
          <w:kern w:val="28"/>
        </w:rPr>
      </w:pPr>
    </w:p>
    <w:p w:rsidR="00E76087" w:rsidRPr="00E76087" w:rsidRDefault="00E76087" w:rsidP="00E76087">
      <w:pPr>
        <w:ind w:left="567"/>
        <w:rPr>
          <w:kern w:val="28"/>
        </w:rPr>
      </w:pPr>
      <w:r w:rsidRPr="00E76087">
        <w:rPr>
          <w:kern w:val="28"/>
        </w:rPr>
        <w:t>9.</w:t>
      </w:r>
      <w:r w:rsidRPr="00E76087">
        <w:rPr>
          <w:kern w:val="28"/>
        </w:rPr>
        <w:tab/>
        <w:t>Measures to enhance cooperation in examination</w:t>
      </w:r>
    </w:p>
    <w:p w:rsidR="00E76087" w:rsidRPr="00E76087" w:rsidRDefault="00E76087" w:rsidP="00E76087">
      <w:pPr>
        <w:ind w:left="567"/>
        <w:rPr>
          <w:kern w:val="28"/>
        </w:rPr>
      </w:pPr>
    </w:p>
    <w:p w:rsidR="00E76087" w:rsidRPr="00E76087" w:rsidRDefault="00E76087" w:rsidP="00E76087">
      <w:pPr>
        <w:ind w:left="567"/>
        <w:rPr>
          <w:kern w:val="28"/>
        </w:rPr>
      </w:pPr>
      <w:r w:rsidRPr="00E76087">
        <w:rPr>
          <w:kern w:val="28"/>
        </w:rPr>
        <w:t>10.</w:t>
      </w:r>
      <w:r w:rsidRPr="00E76087">
        <w:rPr>
          <w:kern w:val="28"/>
        </w:rPr>
        <w:tab/>
        <w:t>Matters for information*:</w:t>
      </w:r>
    </w:p>
    <w:p w:rsidR="00E76087" w:rsidRPr="00E76087" w:rsidRDefault="00E76087" w:rsidP="00E76087">
      <w:pPr>
        <w:ind w:left="567"/>
        <w:rPr>
          <w:kern w:val="28"/>
        </w:rPr>
      </w:pPr>
    </w:p>
    <w:p w:rsidR="00E76087" w:rsidRPr="00E76087" w:rsidRDefault="00E76087" w:rsidP="00E76087">
      <w:pPr>
        <w:ind w:left="1134"/>
        <w:rPr>
          <w:kern w:val="28"/>
        </w:rPr>
      </w:pPr>
      <w:r w:rsidRPr="00E76087">
        <w:rPr>
          <w:kern w:val="28"/>
        </w:rPr>
        <w:t>(a)</w:t>
      </w:r>
      <w:r w:rsidRPr="00E76087">
        <w:rPr>
          <w:kern w:val="28"/>
        </w:rPr>
        <w:tab/>
        <w:t xml:space="preserve">UPOV information databases </w:t>
      </w:r>
    </w:p>
    <w:p w:rsidR="00E76087" w:rsidRPr="00E76087" w:rsidRDefault="00E76087" w:rsidP="00E76087">
      <w:pPr>
        <w:ind w:left="1134"/>
        <w:rPr>
          <w:kern w:val="28"/>
        </w:rPr>
      </w:pPr>
    </w:p>
    <w:p w:rsidR="00E76087" w:rsidRPr="00E76087" w:rsidRDefault="00E76087" w:rsidP="00E76087">
      <w:pPr>
        <w:ind w:left="1134"/>
        <w:rPr>
          <w:kern w:val="28"/>
        </w:rPr>
      </w:pPr>
      <w:r w:rsidRPr="00E76087">
        <w:rPr>
          <w:kern w:val="28"/>
        </w:rPr>
        <w:t>(b)</w:t>
      </w:r>
      <w:r w:rsidRPr="00E76087">
        <w:rPr>
          <w:kern w:val="28"/>
        </w:rPr>
        <w:tab/>
        <w:t xml:space="preserve">UPOV PRISMA </w:t>
      </w:r>
    </w:p>
    <w:p w:rsidR="00E76087" w:rsidRPr="00E76087" w:rsidRDefault="00E76087" w:rsidP="00E76087">
      <w:pPr>
        <w:ind w:left="1134"/>
        <w:rPr>
          <w:kern w:val="28"/>
        </w:rPr>
      </w:pPr>
    </w:p>
    <w:p w:rsidR="00E76087" w:rsidRPr="00E76087" w:rsidRDefault="00E76087" w:rsidP="00E76087">
      <w:pPr>
        <w:ind w:left="1134"/>
        <w:rPr>
          <w:kern w:val="28"/>
        </w:rPr>
      </w:pPr>
      <w:r w:rsidRPr="00E76087">
        <w:rPr>
          <w:kern w:val="28"/>
        </w:rPr>
        <w:t>(c)</w:t>
      </w:r>
      <w:r w:rsidRPr="00E76087">
        <w:rPr>
          <w:kern w:val="28"/>
        </w:rPr>
        <w:tab/>
        <w:t xml:space="preserve">Molecular techniques </w:t>
      </w:r>
    </w:p>
    <w:p w:rsidR="00E76087" w:rsidRPr="00E76087" w:rsidRDefault="00E76087" w:rsidP="00E76087">
      <w:pPr>
        <w:ind w:left="567"/>
        <w:rPr>
          <w:kern w:val="28"/>
        </w:rPr>
      </w:pPr>
    </w:p>
    <w:p w:rsidR="00E76087" w:rsidRPr="00E76087" w:rsidRDefault="00E76087" w:rsidP="00E76087">
      <w:pPr>
        <w:ind w:left="567"/>
        <w:rPr>
          <w:kern w:val="28"/>
        </w:rPr>
      </w:pPr>
      <w:r w:rsidRPr="00E76087">
        <w:rPr>
          <w:kern w:val="28"/>
        </w:rPr>
        <w:t>11.</w:t>
      </w:r>
      <w:r w:rsidRPr="00E76087">
        <w:rPr>
          <w:kern w:val="28"/>
        </w:rPr>
        <w:tab/>
        <w:t>Program for the eightieth session</w:t>
      </w:r>
    </w:p>
    <w:p w:rsidR="00E76087" w:rsidRPr="00E76087" w:rsidRDefault="00E76087" w:rsidP="00E76087">
      <w:pPr>
        <w:ind w:left="567"/>
        <w:rPr>
          <w:kern w:val="28"/>
        </w:rPr>
      </w:pPr>
    </w:p>
    <w:p w:rsidR="00E76087" w:rsidRPr="00E76087" w:rsidRDefault="00E76087" w:rsidP="00E76087">
      <w:pPr>
        <w:ind w:left="567"/>
        <w:rPr>
          <w:kern w:val="28"/>
        </w:rPr>
      </w:pPr>
      <w:r w:rsidRPr="00E76087">
        <w:rPr>
          <w:kern w:val="28"/>
        </w:rPr>
        <w:t>12.</w:t>
      </w:r>
      <w:r w:rsidRPr="00E76087">
        <w:rPr>
          <w:kern w:val="28"/>
        </w:rPr>
        <w:tab/>
        <w:t>Adoption of the report (if time permits)</w:t>
      </w:r>
    </w:p>
    <w:p w:rsidR="00E76087" w:rsidRPr="00E76087" w:rsidRDefault="00E76087" w:rsidP="00E76087">
      <w:pPr>
        <w:ind w:left="567"/>
        <w:rPr>
          <w:kern w:val="28"/>
        </w:rPr>
      </w:pPr>
    </w:p>
    <w:p w:rsidR="000723B3" w:rsidRDefault="00E76087" w:rsidP="00E76087">
      <w:pPr>
        <w:ind w:left="567"/>
        <w:rPr>
          <w:kern w:val="28"/>
        </w:rPr>
      </w:pPr>
      <w:r w:rsidRPr="00E76087">
        <w:rPr>
          <w:kern w:val="28"/>
        </w:rPr>
        <w:t>13.</w:t>
      </w:r>
      <w:r w:rsidRPr="00E76087">
        <w:rPr>
          <w:kern w:val="28"/>
        </w:rPr>
        <w:tab/>
        <w:t>Closing of the session</w:t>
      </w:r>
    </w:p>
    <w:p w:rsidR="00E76087" w:rsidRDefault="00E76087" w:rsidP="00410154"/>
    <w:p w:rsidR="00410154" w:rsidRPr="00DF3AC6" w:rsidRDefault="00410154" w:rsidP="00410154">
      <w:pPr>
        <w:pStyle w:val="DecisionParagraphs"/>
        <w:rPr>
          <w:rFonts w:eastAsia="Calibri"/>
        </w:rPr>
      </w:pPr>
      <w:r w:rsidRPr="00DF3AC6">
        <w:rPr>
          <w:spacing w:val="2"/>
        </w:rPr>
        <w:fldChar w:fldCharType="begin"/>
      </w:r>
      <w:r w:rsidRPr="00DF3AC6">
        <w:rPr>
          <w:spacing w:val="2"/>
        </w:rPr>
        <w:instrText xml:space="preserve"> AUTONUM  </w:instrText>
      </w:r>
      <w:r w:rsidRPr="00DF3AC6">
        <w:rPr>
          <w:spacing w:val="2"/>
        </w:rPr>
        <w:fldChar w:fldCharType="end"/>
      </w:r>
      <w:r w:rsidRPr="00DF3AC6">
        <w:rPr>
          <w:spacing w:val="2"/>
        </w:rPr>
        <w:tab/>
      </w:r>
      <w:r w:rsidRPr="00410154">
        <w:rPr>
          <w:spacing w:val="2"/>
        </w:rPr>
        <w:t xml:space="preserve">This report </w:t>
      </w:r>
      <w:proofErr w:type="gramStart"/>
      <w:r w:rsidRPr="00410154">
        <w:rPr>
          <w:spacing w:val="2"/>
        </w:rPr>
        <w:t>was adopted</w:t>
      </w:r>
      <w:proofErr w:type="gramEnd"/>
      <w:r w:rsidRPr="00410154">
        <w:rPr>
          <w:spacing w:val="2"/>
        </w:rPr>
        <w:t xml:space="preserve"> at the close of its</w:t>
      </w:r>
      <w:r>
        <w:rPr>
          <w:spacing w:val="2"/>
        </w:rPr>
        <w:t xml:space="preserve"> session, on October 27, 2021</w:t>
      </w:r>
      <w:r w:rsidRPr="00410154">
        <w:rPr>
          <w:spacing w:val="2"/>
        </w:rPr>
        <w:t>.</w:t>
      </w:r>
    </w:p>
    <w:p w:rsidR="00410154" w:rsidRDefault="00410154" w:rsidP="00410154">
      <w:pPr>
        <w:jc w:val="right"/>
      </w:pPr>
    </w:p>
    <w:p w:rsidR="00410154" w:rsidRPr="00410154" w:rsidRDefault="00410154" w:rsidP="00410154">
      <w:pPr>
        <w:jc w:val="right"/>
      </w:pPr>
    </w:p>
    <w:p w:rsidR="009B440E" w:rsidRPr="00105F54" w:rsidRDefault="00050E16" w:rsidP="002F46E4">
      <w:pPr>
        <w:jc w:val="right"/>
        <w:rPr>
          <w:lang w:val="fr-CH"/>
        </w:rPr>
      </w:pPr>
      <w:r w:rsidRPr="00105F54">
        <w:rPr>
          <w:lang w:val="fr-CH"/>
        </w:rPr>
        <w:t>[</w:t>
      </w:r>
      <w:proofErr w:type="spellStart"/>
      <w:r w:rsidR="008765A3" w:rsidRPr="00105F54">
        <w:rPr>
          <w:lang w:val="fr-CH"/>
        </w:rPr>
        <w:t>Annex</w:t>
      </w:r>
      <w:proofErr w:type="spellEnd"/>
      <w:r w:rsidR="008765A3" w:rsidRPr="00105F54">
        <w:rPr>
          <w:lang w:val="fr-CH"/>
        </w:rPr>
        <w:t xml:space="preserve"> </w:t>
      </w:r>
      <w:proofErr w:type="spellStart"/>
      <w:r w:rsidR="008765A3" w:rsidRPr="00105F54">
        <w:rPr>
          <w:lang w:val="fr-CH"/>
        </w:rPr>
        <w:t>follows</w:t>
      </w:r>
      <w:proofErr w:type="spellEnd"/>
      <w:r w:rsidRPr="00105F54">
        <w:rPr>
          <w:lang w:val="fr-CH"/>
        </w:rPr>
        <w:t>]</w:t>
      </w:r>
    </w:p>
    <w:p w:rsidR="008765A3" w:rsidRPr="00105F54" w:rsidRDefault="008765A3" w:rsidP="002F46E4">
      <w:pPr>
        <w:jc w:val="right"/>
        <w:rPr>
          <w:lang w:val="fr-CH"/>
        </w:rPr>
      </w:pPr>
    </w:p>
    <w:p w:rsidR="008765A3" w:rsidRPr="00105F54" w:rsidRDefault="008765A3">
      <w:pPr>
        <w:jc w:val="left"/>
        <w:rPr>
          <w:lang w:val="fr-CH"/>
        </w:rPr>
        <w:sectPr w:rsidR="008765A3" w:rsidRPr="00105F54" w:rsidSect="00906DDC">
          <w:headerReference w:type="default" r:id="rId10"/>
          <w:pgSz w:w="11907" w:h="16840" w:code="9"/>
          <w:pgMar w:top="510" w:right="1134" w:bottom="1134" w:left="1134" w:header="510" w:footer="680" w:gutter="0"/>
          <w:cols w:space="720"/>
          <w:titlePg/>
        </w:sectPr>
      </w:pPr>
    </w:p>
    <w:p w:rsidR="00846B16" w:rsidRPr="00C84FD3" w:rsidRDefault="00846B16" w:rsidP="00846B16">
      <w:pPr>
        <w:jc w:val="center"/>
        <w:rPr>
          <w:lang w:val="fr-CH"/>
        </w:rPr>
      </w:pPr>
      <w:r w:rsidRPr="00C84FD3">
        <w:rPr>
          <w:lang w:val="fr-CH"/>
        </w:rPr>
        <w:lastRenderedPageBreak/>
        <w:t xml:space="preserve">LISTE DES PARTICIPANTS / LIST OF PARTICIPANTS / </w:t>
      </w:r>
      <w:r w:rsidRPr="00C84FD3">
        <w:rPr>
          <w:lang w:val="fr-CH"/>
        </w:rPr>
        <w:br/>
        <w:t>TEILNEHMERLISTE / LISTA DE PARTICIPANTES</w:t>
      </w:r>
    </w:p>
    <w:p w:rsidR="00846B16" w:rsidRPr="00C84FD3" w:rsidRDefault="00846B16" w:rsidP="00846B16">
      <w:pPr>
        <w:jc w:val="center"/>
        <w:rPr>
          <w:lang w:val="fr-CH"/>
        </w:rPr>
      </w:pPr>
    </w:p>
    <w:p w:rsidR="00846B16" w:rsidRPr="00C84FD3" w:rsidRDefault="00846B16" w:rsidP="00846B16">
      <w:pPr>
        <w:jc w:val="center"/>
        <w:rPr>
          <w:lang w:val="fr-CH"/>
        </w:rPr>
      </w:pPr>
      <w:r w:rsidRPr="00C84FD3">
        <w:rPr>
          <w:lang w:val="fr-CH"/>
        </w:rPr>
        <w:t>(dans l’ordre alphabétique des noms français des membres /</w:t>
      </w:r>
      <w:r w:rsidRPr="00C84FD3">
        <w:rPr>
          <w:lang w:val="fr-CH"/>
        </w:rPr>
        <w:br/>
        <w:t xml:space="preserve">in the </w:t>
      </w:r>
      <w:proofErr w:type="spellStart"/>
      <w:r w:rsidRPr="00C84FD3">
        <w:rPr>
          <w:lang w:val="fr-CH"/>
        </w:rPr>
        <w:t>alphabetical</w:t>
      </w:r>
      <w:proofErr w:type="spellEnd"/>
      <w:r w:rsidRPr="00C84FD3">
        <w:rPr>
          <w:lang w:val="fr-CH"/>
        </w:rPr>
        <w:t xml:space="preserve"> </w:t>
      </w:r>
      <w:proofErr w:type="spellStart"/>
      <w:r w:rsidRPr="00C84FD3">
        <w:rPr>
          <w:lang w:val="fr-CH"/>
        </w:rPr>
        <w:t>order</w:t>
      </w:r>
      <w:proofErr w:type="spellEnd"/>
      <w:r w:rsidRPr="00C84FD3">
        <w:rPr>
          <w:lang w:val="fr-CH"/>
        </w:rPr>
        <w:t xml:space="preserve"> of the French </w:t>
      </w:r>
      <w:proofErr w:type="spellStart"/>
      <w:r w:rsidRPr="00C84FD3">
        <w:rPr>
          <w:lang w:val="fr-CH"/>
        </w:rPr>
        <w:t>names</w:t>
      </w:r>
      <w:proofErr w:type="spellEnd"/>
      <w:r w:rsidRPr="00C84FD3">
        <w:rPr>
          <w:lang w:val="fr-CH"/>
        </w:rPr>
        <w:t xml:space="preserve"> of the </w:t>
      </w:r>
      <w:proofErr w:type="spellStart"/>
      <w:r w:rsidRPr="00C84FD3">
        <w:rPr>
          <w:lang w:val="fr-CH"/>
        </w:rPr>
        <w:t>Members</w:t>
      </w:r>
      <w:proofErr w:type="spellEnd"/>
      <w:r w:rsidRPr="00C84FD3">
        <w:rPr>
          <w:lang w:val="fr-CH"/>
        </w:rPr>
        <w:t xml:space="preserve"> /</w:t>
      </w:r>
      <w:r w:rsidRPr="00C84FD3">
        <w:rPr>
          <w:lang w:val="fr-CH"/>
        </w:rPr>
        <w:br/>
        <w:t xml:space="preserve">in </w:t>
      </w:r>
      <w:proofErr w:type="spellStart"/>
      <w:r w:rsidRPr="00C84FD3">
        <w:rPr>
          <w:lang w:val="fr-CH"/>
        </w:rPr>
        <w:t>alphabetischer</w:t>
      </w:r>
      <w:proofErr w:type="spellEnd"/>
      <w:r w:rsidRPr="00C84FD3">
        <w:rPr>
          <w:lang w:val="fr-CH"/>
        </w:rPr>
        <w:t xml:space="preserve"> </w:t>
      </w:r>
      <w:proofErr w:type="spellStart"/>
      <w:r w:rsidRPr="00C84FD3">
        <w:rPr>
          <w:lang w:val="fr-CH"/>
        </w:rPr>
        <w:t>Reihenfolge</w:t>
      </w:r>
      <w:proofErr w:type="spellEnd"/>
      <w:r w:rsidRPr="00C84FD3">
        <w:rPr>
          <w:lang w:val="fr-CH"/>
        </w:rPr>
        <w:t xml:space="preserve"> der </w:t>
      </w:r>
      <w:proofErr w:type="spellStart"/>
      <w:r w:rsidRPr="00C84FD3">
        <w:rPr>
          <w:lang w:val="fr-CH"/>
        </w:rPr>
        <w:t>französischen</w:t>
      </w:r>
      <w:proofErr w:type="spellEnd"/>
      <w:r w:rsidRPr="00C84FD3">
        <w:rPr>
          <w:lang w:val="fr-CH"/>
        </w:rPr>
        <w:t xml:space="preserve"> </w:t>
      </w:r>
      <w:proofErr w:type="spellStart"/>
      <w:r w:rsidRPr="00C84FD3">
        <w:rPr>
          <w:lang w:val="fr-CH"/>
        </w:rPr>
        <w:t>Namen</w:t>
      </w:r>
      <w:proofErr w:type="spellEnd"/>
      <w:r w:rsidRPr="00C84FD3">
        <w:rPr>
          <w:lang w:val="fr-CH"/>
        </w:rPr>
        <w:t xml:space="preserve"> der </w:t>
      </w:r>
      <w:proofErr w:type="spellStart"/>
      <w:r w:rsidRPr="00C84FD3">
        <w:rPr>
          <w:lang w:val="fr-CH"/>
        </w:rPr>
        <w:t>Mitglieder</w:t>
      </w:r>
      <w:proofErr w:type="spellEnd"/>
      <w:r w:rsidRPr="00C84FD3">
        <w:rPr>
          <w:lang w:val="fr-CH"/>
        </w:rPr>
        <w:t xml:space="preserve"> /</w:t>
      </w:r>
      <w:r w:rsidRPr="00C84FD3">
        <w:rPr>
          <w:lang w:val="fr-CH"/>
        </w:rPr>
        <w:br/>
      </w:r>
      <w:proofErr w:type="spellStart"/>
      <w:r w:rsidRPr="00C84FD3">
        <w:rPr>
          <w:lang w:val="fr-CH"/>
        </w:rPr>
        <w:t>por</w:t>
      </w:r>
      <w:proofErr w:type="spellEnd"/>
      <w:r w:rsidRPr="00C84FD3">
        <w:rPr>
          <w:lang w:val="fr-CH"/>
        </w:rPr>
        <w:t xml:space="preserve"> </w:t>
      </w:r>
      <w:proofErr w:type="spellStart"/>
      <w:r w:rsidRPr="00C84FD3">
        <w:rPr>
          <w:lang w:val="fr-CH"/>
        </w:rPr>
        <w:t>orden</w:t>
      </w:r>
      <w:proofErr w:type="spellEnd"/>
      <w:r w:rsidRPr="00C84FD3">
        <w:rPr>
          <w:lang w:val="fr-CH"/>
        </w:rPr>
        <w:t xml:space="preserve"> </w:t>
      </w:r>
      <w:proofErr w:type="spellStart"/>
      <w:r w:rsidRPr="00C84FD3">
        <w:rPr>
          <w:lang w:val="fr-CH"/>
        </w:rPr>
        <w:t>alfabético</w:t>
      </w:r>
      <w:proofErr w:type="spellEnd"/>
      <w:r w:rsidRPr="00C84FD3">
        <w:rPr>
          <w:lang w:val="fr-CH"/>
        </w:rPr>
        <w:t xml:space="preserve"> de los nombres en </w:t>
      </w:r>
      <w:proofErr w:type="spellStart"/>
      <w:r w:rsidRPr="00C84FD3">
        <w:rPr>
          <w:lang w:val="fr-CH"/>
        </w:rPr>
        <w:t>francés</w:t>
      </w:r>
      <w:proofErr w:type="spellEnd"/>
      <w:r w:rsidRPr="00C84FD3">
        <w:rPr>
          <w:lang w:val="fr-CH"/>
        </w:rPr>
        <w:t xml:space="preserve"> de los </w:t>
      </w:r>
      <w:proofErr w:type="spellStart"/>
      <w:r w:rsidRPr="00C84FD3">
        <w:rPr>
          <w:lang w:val="fr-CH"/>
        </w:rPr>
        <w:t>miembros</w:t>
      </w:r>
      <w:proofErr w:type="spellEnd"/>
      <w:r w:rsidRPr="00C84FD3">
        <w:rPr>
          <w:lang w:val="fr-CH"/>
        </w:rPr>
        <w:t>)</w:t>
      </w:r>
    </w:p>
    <w:p w:rsidR="00846B16" w:rsidRPr="000578DF" w:rsidRDefault="00846B16" w:rsidP="00846B16">
      <w:pPr>
        <w:pStyle w:val="plheading"/>
        <w:rPr>
          <w:lang w:val="fr-CH"/>
        </w:rPr>
      </w:pPr>
      <w:r w:rsidRPr="000578DF">
        <w:rPr>
          <w:lang w:val="fr-CH"/>
        </w:rPr>
        <w:t>I. MEMBRES / MEMBERS / VERBANDSMITGLIEDER / MIEMBROS</w:t>
      </w:r>
    </w:p>
    <w:p w:rsidR="00846B16" w:rsidRPr="000578DF" w:rsidRDefault="00846B16" w:rsidP="00846B16">
      <w:pPr>
        <w:pStyle w:val="plcountry"/>
        <w:rPr>
          <w:lang w:val="fr-CH"/>
        </w:rPr>
      </w:pPr>
      <w:r w:rsidRPr="000578DF">
        <w:rPr>
          <w:lang w:val="fr-CH"/>
        </w:rPr>
        <w:t>AFRIQUE DU SUD / SOUTH AFRICA / SÜDAFRIKA / SUDÁFRICA</w:t>
      </w:r>
    </w:p>
    <w:p w:rsidR="00846B16" w:rsidRPr="00190C83" w:rsidRDefault="00846B16" w:rsidP="00846B16">
      <w:pPr>
        <w:pStyle w:val="pldetails"/>
      </w:pPr>
      <w:r w:rsidRPr="00190C83">
        <w:t xml:space="preserve">Noluthando NETNOU-NKOANA (Ms.), Director, Genetic Resources, Department of Agriculture, Rural development and Land Reform, Pretoria </w:t>
      </w:r>
      <w:r w:rsidRPr="00190C83">
        <w:br/>
        <w:t>(e-mail: noluthandon@daff.gov.za)</w:t>
      </w:r>
    </w:p>
    <w:p w:rsidR="00846B16" w:rsidRPr="00054329" w:rsidRDefault="00846B16" w:rsidP="00846B16">
      <w:pPr>
        <w:pStyle w:val="pldetails"/>
      </w:pPr>
      <w:r w:rsidRPr="00054329">
        <w:t xml:space="preserve">Elna DE BRUYN (CJ) (Ms.), Acting Registrar: PBR Act, Directorate:  Genetic Resources, Division: Plant Breeder’s Rights, Department of Agriculture, Land Reform and rural Development, Pretoria </w:t>
      </w:r>
      <w:r w:rsidRPr="00054329">
        <w:br/>
        <w:t>(e-mail: elnadb@dalrrd.gov.za)</w:t>
      </w:r>
    </w:p>
    <w:p w:rsidR="00846B16" w:rsidRPr="00054329" w:rsidRDefault="00846B16" w:rsidP="00846B16">
      <w:pPr>
        <w:pStyle w:val="pldetails"/>
      </w:pPr>
      <w:r w:rsidRPr="00054329">
        <w:t xml:space="preserve">Thapelo Martin SEKELE (Mr.), Scientist Production, Department of Agriculture, Land Reform and Rural Deveolpment, Pretoria </w:t>
      </w:r>
      <w:r w:rsidRPr="00054329">
        <w:br/>
        <w:t>(e-mail: ThapeloS@dalrrd.gov.za)</w:t>
      </w:r>
    </w:p>
    <w:p w:rsidR="00846B16" w:rsidRPr="00054329" w:rsidRDefault="00846B16" w:rsidP="00846B16">
      <w:pPr>
        <w:pStyle w:val="plcountry"/>
      </w:pPr>
      <w:r w:rsidRPr="00054329">
        <w:t>ALLEMAGNE / GERMANY / DEUTSCHLAND / ALEMANIA</w:t>
      </w:r>
    </w:p>
    <w:p w:rsidR="00846B16" w:rsidRPr="00054329" w:rsidRDefault="00846B16" w:rsidP="00846B16">
      <w:pPr>
        <w:pStyle w:val="pldetails"/>
      </w:pPr>
      <w:r w:rsidRPr="00054329">
        <w:t xml:space="preserve">Elmar PFÜLB (Mr.), President, Federal Plant Variety Office, Bundessortenamt, Hannover </w:t>
      </w:r>
      <w:r w:rsidRPr="00054329">
        <w:br/>
        <w:t>(e-mail: postfach.praesident@bundessortenamt.de)</w:t>
      </w:r>
    </w:p>
    <w:p w:rsidR="00846B16" w:rsidRPr="00054329" w:rsidRDefault="00846B16" w:rsidP="00846B16">
      <w:pPr>
        <w:pStyle w:val="pldetails"/>
      </w:pPr>
      <w:r w:rsidRPr="00054329">
        <w:t>Cathleen FARR (Ms.), Head of Section, Legal Affairs Section, Federal Plant Variety Office, Bundessortenamt, Hannover</w:t>
      </w:r>
      <w:r w:rsidRPr="00054329">
        <w:br/>
        <w:t>(e-mail: cathleen.farr@bundessortenamt.de)</w:t>
      </w:r>
    </w:p>
    <w:p w:rsidR="00846B16" w:rsidRPr="00054329" w:rsidRDefault="00846B16" w:rsidP="00846B16">
      <w:pPr>
        <w:pStyle w:val="plcountry"/>
        <w:rPr>
          <w:lang w:val="es-ES"/>
        </w:rPr>
      </w:pPr>
      <w:r w:rsidRPr="00054329">
        <w:rPr>
          <w:lang w:val="es-ES"/>
        </w:rPr>
        <w:t>ARGENTINE / ARGENTINA / ARGENTINIEN / ARGENTINA</w:t>
      </w:r>
    </w:p>
    <w:p w:rsidR="00846B16" w:rsidRPr="00054329" w:rsidRDefault="00846B16" w:rsidP="00846B16">
      <w:pPr>
        <w:pStyle w:val="pldetails"/>
        <w:rPr>
          <w:lang w:val="es-ES"/>
        </w:rPr>
      </w:pPr>
      <w:r w:rsidRPr="00054329">
        <w:rPr>
          <w:lang w:val="es-ES"/>
        </w:rPr>
        <w:t xml:space="preserve">María Laura VILLAMAYOR (Sra.), Coordinadora de Relaciones Institucionales e Interjurisdiccionales, Instituto Nacional de Semillas (INASE), Secretaría de Agricultura, Ganadería, Pesca y Alimentación, Buenos Aires </w:t>
      </w:r>
      <w:r w:rsidRPr="00054329">
        <w:rPr>
          <w:lang w:val="es-ES"/>
        </w:rPr>
        <w:br/>
        <w:t>(e-mail: mlvillamayor@inase.gob.ar)</w:t>
      </w:r>
    </w:p>
    <w:p w:rsidR="00846B16" w:rsidRPr="00054329" w:rsidRDefault="00846B16" w:rsidP="00846B16">
      <w:pPr>
        <w:pStyle w:val="plcountry"/>
      </w:pPr>
      <w:r w:rsidRPr="00054329">
        <w:t>AUSTRALIE / AUSTRALIA / AUSTRALIEN / AUSTRALIA</w:t>
      </w:r>
    </w:p>
    <w:p w:rsidR="00846B16" w:rsidRPr="00054329" w:rsidRDefault="00846B16" w:rsidP="00846B16">
      <w:pPr>
        <w:pStyle w:val="pldetails"/>
      </w:pPr>
      <w:r w:rsidRPr="00054329">
        <w:t xml:space="preserve">Edwina VANDINE (Ms.), Chief of Plant Breeders' Rights, Plant Breeder's Rights Office, IP Australia, Woden </w:t>
      </w:r>
      <w:r w:rsidRPr="00054329">
        <w:br/>
        <w:t>(e-mail: edwina.vandine@ipaustralia.gov.au)</w:t>
      </w:r>
    </w:p>
    <w:p w:rsidR="00846B16" w:rsidRPr="00054329" w:rsidRDefault="00846B16" w:rsidP="00846B16">
      <w:pPr>
        <w:pStyle w:val="pldetails"/>
      </w:pPr>
      <w:r w:rsidRPr="00054329">
        <w:t xml:space="preserve">Nik HULSE (Mr.), Director, Plant Breeder's Rights Office, IP Australia, Woden </w:t>
      </w:r>
      <w:r w:rsidRPr="00054329">
        <w:br/>
        <w:t>(e-mail: nik.hulse@ipaustralia.gov.au)</w:t>
      </w:r>
    </w:p>
    <w:p w:rsidR="00846B16" w:rsidRPr="00054329" w:rsidRDefault="00846B16" w:rsidP="00846B16">
      <w:pPr>
        <w:pStyle w:val="pldetails"/>
      </w:pPr>
      <w:r w:rsidRPr="00054329">
        <w:t>Paul GARDNER (Mr.), Director, Policy and International Affairs, IP Australia, Woden</w:t>
      </w:r>
      <w:r w:rsidRPr="00054329">
        <w:br/>
        <w:t>(e-mail: paul.gardner@ipaustralia.gov.au)</w:t>
      </w:r>
    </w:p>
    <w:p w:rsidR="00846B16" w:rsidRPr="00054329" w:rsidRDefault="00846B16" w:rsidP="00846B16">
      <w:pPr>
        <w:pStyle w:val="pldetails"/>
      </w:pPr>
      <w:r w:rsidRPr="00054329">
        <w:t>Isabel Louise WARD (Ms.), Assistant Director, IP Australia, Woden</w:t>
      </w:r>
      <w:r w:rsidRPr="00054329">
        <w:br/>
        <w:t>(e-mail: Isabel.Ward@ipaustralia.gov.au)</w:t>
      </w:r>
    </w:p>
    <w:p w:rsidR="00846B16" w:rsidRPr="00190C83" w:rsidRDefault="00846B16" w:rsidP="00846B16">
      <w:pPr>
        <w:pStyle w:val="plcountry"/>
      </w:pPr>
      <w:r w:rsidRPr="00190C83">
        <w:t>AUTRICHE / AUSTRIA / ÖSTERREICH / AUSTRIA</w:t>
      </w:r>
    </w:p>
    <w:p w:rsidR="00846B16" w:rsidRPr="00190C83" w:rsidRDefault="00846B16" w:rsidP="00846B16">
      <w:pPr>
        <w:pStyle w:val="pldetails"/>
      </w:pPr>
      <w:r w:rsidRPr="00190C83">
        <w:t xml:space="preserve">Maximilian POCK (Mr.), Policy Officer - Plant Health, Seed and Varieties, Abteilung II/5, Pflanzliche Produkte, Bundesministerium für Landwirtschaft, Regionen und Tourismus, Vienna </w:t>
      </w:r>
      <w:r w:rsidRPr="00190C83">
        <w:br/>
        <w:t>(e-mail: maximilian.pock@bmlrt.gv.at)</w:t>
      </w:r>
    </w:p>
    <w:p w:rsidR="00846B16" w:rsidRPr="00054329" w:rsidRDefault="00846B16" w:rsidP="00846B16">
      <w:pPr>
        <w:pStyle w:val="pldetails"/>
      </w:pPr>
      <w:r w:rsidRPr="00054329">
        <w:t xml:space="preserve">Birgit GULZ-KUSCHER (Ms.), Legal Advisor for Seed Law and Plant Variety Protection Law, Federal, Ministry for Agriculture Regions and Tourism, Vienna </w:t>
      </w:r>
      <w:r w:rsidRPr="00054329">
        <w:br/>
        <w:t>(e-mail: birgit.gulz-kuscher@bmlrt.gv.at)</w:t>
      </w:r>
    </w:p>
    <w:p w:rsidR="00846B16" w:rsidRPr="00054329" w:rsidRDefault="00846B16" w:rsidP="00846B16">
      <w:pPr>
        <w:pStyle w:val="plcountry"/>
      </w:pPr>
      <w:r w:rsidRPr="00054329">
        <w:t>BÉLARUS / BELARUS / BELARUS / BELARÚS</w:t>
      </w:r>
    </w:p>
    <w:p w:rsidR="00846B16" w:rsidRPr="00054329" w:rsidRDefault="00846B16" w:rsidP="00846B16">
      <w:pPr>
        <w:pStyle w:val="pldetails"/>
      </w:pPr>
      <w:r w:rsidRPr="00054329">
        <w:t xml:space="preserve">Tatsiana SIAMASHKA (Ms.), Deputy Director, State Inspection for Testing and Protection of Plant Varieties, Minsk </w:t>
      </w:r>
      <w:r w:rsidRPr="00054329">
        <w:br/>
        <w:t>(e-mail: belsort@mail.ru)</w:t>
      </w:r>
    </w:p>
    <w:p w:rsidR="00846B16" w:rsidRPr="00054329" w:rsidRDefault="00846B16" w:rsidP="00846B16">
      <w:pPr>
        <w:pStyle w:val="pldetails"/>
      </w:pPr>
      <w:r w:rsidRPr="00054329">
        <w:lastRenderedPageBreak/>
        <w:t xml:space="preserve">Maryna SALADUKHA (Ms.), Deputy Head, International Cooperation Department, State Inspection for Testing and Protection of Plant Varieties, Minsk </w:t>
      </w:r>
      <w:r w:rsidRPr="00054329">
        <w:br/>
        <w:t>(e-mail: belsort@mail.ru)</w:t>
      </w:r>
    </w:p>
    <w:p w:rsidR="00846B16" w:rsidRPr="00054329" w:rsidRDefault="00846B16" w:rsidP="00846B16">
      <w:pPr>
        <w:pStyle w:val="plcountry"/>
      </w:pPr>
      <w:r w:rsidRPr="00054329">
        <w:t>BELGIQUE / BELGIUM / BELGIEN / BÉLGICA</w:t>
      </w:r>
    </w:p>
    <w:p w:rsidR="00846B16" w:rsidRPr="00054329" w:rsidRDefault="00846B16" w:rsidP="00846B16">
      <w:pPr>
        <w:pStyle w:val="pldetails"/>
      </w:pPr>
      <w:r w:rsidRPr="00054329">
        <w:t xml:space="preserve">Shannah BOENS (Ms.), Attaché, FOD Economie, KMO, Middenstand en Energie, Algemene Directie Economische Reglementering, Dienst voor de Intellectuele Eigendom, Bruxelles </w:t>
      </w:r>
      <w:r w:rsidRPr="00054329">
        <w:br/>
        <w:t>(e-mail: shannah.boens@economie.fgov.be)</w:t>
      </w:r>
    </w:p>
    <w:p w:rsidR="00846B16" w:rsidRPr="00054329" w:rsidRDefault="00846B16" w:rsidP="00846B16">
      <w:pPr>
        <w:pStyle w:val="pldetails"/>
        <w:rPr>
          <w:lang w:val="fr-CH"/>
        </w:rPr>
      </w:pPr>
      <w:r w:rsidRPr="00054329">
        <w:rPr>
          <w:lang w:val="fr-CH"/>
        </w:rPr>
        <w:t xml:space="preserve">Florence BERNARD (Ms.), Attaché, Dienst voor de Intellectuele Eigendom, Bruxelles </w:t>
      </w:r>
      <w:r w:rsidRPr="00054329">
        <w:rPr>
          <w:lang w:val="fr-CH"/>
        </w:rPr>
        <w:br/>
        <w:t>(e-mail: florence.bernard@economie.fgov.be)</w:t>
      </w:r>
    </w:p>
    <w:p w:rsidR="00846B16" w:rsidRPr="00190C83" w:rsidRDefault="00846B16" w:rsidP="00846B16">
      <w:pPr>
        <w:pStyle w:val="plcountry"/>
        <w:rPr>
          <w:lang w:val="fr-CH"/>
        </w:rPr>
      </w:pPr>
      <w:r w:rsidRPr="00190C83">
        <w:rPr>
          <w:lang w:val="fr-CH"/>
        </w:rPr>
        <w:t>BRÉSIL / BRAZIL / BRASILIEN / BRASIL</w:t>
      </w:r>
    </w:p>
    <w:p w:rsidR="00846B16" w:rsidRPr="00054329" w:rsidRDefault="00846B16" w:rsidP="00846B16">
      <w:pPr>
        <w:pStyle w:val="pldetails"/>
      </w:pPr>
      <w:r w:rsidRPr="00054329">
        <w:t xml:space="preserve">Laís TAMANINI (Mr.), Second Secretary, Permanent Mission of Brazil to the United Nations Office and other international organizations in Geneva, Geneva </w:t>
      </w:r>
      <w:r w:rsidRPr="00054329">
        <w:br/>
        <w:t>(e-mail: lais.tamanini@itamaraty.gov.br)</w:t>
      </w:r>
    </w:p>
    <w:p w:rsidR="00846B16" w:rsidRPr="00054329" w:rsidRDefault="00846B16" w:rsidP="00846B16">
      <w:pPr>
        <w:pStyle w:val="pldetails"/>
      </w:pPr>
      <w:r w:rsidRPr="00054329">
        <w:t xml:space="preserve">Stefânia PALMA ARAUJO (Ms.), Federal Agricultural Inspector, Plant Variety Protection Office, National Plant Variety Protection Service (Serviço Nacional de Proteção de Cultivares - SNPC), Brasilia </w:t>
      </w:r>
      <w:r w:rsidRPr="00054329">
        <w:br/>
        <w:t>(e-mail: stefania.araujo@agricultura.gov.br)</w:t>
      </w:r>
    </w:p>
    <w:p w:rsidR="00846B16" w:rsidRPr="00054329" w:rsidRDefault="00846B16" w:rsidP="00846B16">
      <w:pPr>
        <w:pStyle w:val="plcountry"/>
      </w:pPr>
      <w:r w:rsidRPr="00054329">
        <w:t>BULGARIE / BULGARIA / BULGARIEN / BULGARIA</w:t>
      </w:r>
    </w:p>
    <w:p w:rsidR="00846B16" w:rsidRPr="00190C83" w:rsidRDefault="00846B16" w:rsidP="00846B16">
      <w:pPr>
        <w:pStyle w:val="pldetails"/>
      </w:pPr>
      <w:r w:rsidRPr="00190C83">
        <w:t xml:space="preserve">Diliyan Rousev DIMITROV, Head of DUS Methodology Department, Executive Agency for Variety Testing, Field Inspection and Seed Control (EAVTFISC), Sofia </w:t>
      </w:r>
      <w:r w:rsidRPr="00190C83">
        <w:br/>
        <w:t>(e-mail: ddimitrov@iasas.government.bg)</w:t>
      </w:r>
    </w:p>
    <w:p w:rsidR="00846B16" w:rsidRPr="00190C83" w:rsidRDefault="00846B16" w:rsidP="00846B16">
      <w:pPr>
        <w:pStyle w:val="plcountry"/>
      </w:pPr>
      <w:r w:rsidRPr="00190C83">
        <w:t>CANADA / CANADA / KANADA / CANADÁ</w:t>
      </w:r>
    </w:p>
    <w:p w:rsidR="00846B16" w:rsidRPr="00190C83" w:rsidRDefault="00846B16" w:rsidP="00846B16">
      <w:pPr>
        <w:pStyle w:val="pldetails"/>
      </w:pPr>
      <w:r w:rsidRPr="00054329">
        <w:t xml:space="preserve">Anthony PARKER (Mr.), Commissioner, Plant Breeders' Rights Office, Canadian Food Inspection Agency (CFIA), Ottawa </w:t>
      </w:r>
      <w:r w:rsidRPr="00054329">
        <w:br/>
        <w:t>(e-mail: anthony.parker@inspection.gc.ca)</w:t>
      </w:r>
    </w:p>
    <w:p w:rsidR="00846B16" w:rsidRPr="00054329" w:rsidRDefault="00846B16" w:rsidP="00846B16">
      <w:pPr>
        <w:pStyle w:val="pldetails"/>
      </w:pPr>
      <w:r w:rsidRPr="00054329">
        <w:t xml:space="preserve">Marc DE WIT (Mr.), Examiner, Plant Breeders' Rights Office, Canadian Food Inspection Agency (CFIA), Ottawa </w:t>
      </w:r>
      <w:r w:rsidRPr="00054329">
        <w:br/>
        <w:t>(e-mail: Marc.deWit@Inspection.gc.ca)</w:t>
      </w:r>
    </w:p>
    <w:p w:rsidR="00846B16" w:rsidRPr="00190C83" w:rsidRDefault="00846B16" w:rsidP="00846B16">
      <w:pPr>
        <w:pStyle w:val="plcountry"/>
        <w:rPr>
          <w:lang w:val="es-ES"/>
        </w:rPr>
      </w:pPr>
      <w:r w:rsidRPr="00190C83">
        <w:rPr>
          <w:lang w:val="es-ES"/>
        </w:rPr>
        <w:t>CHILI / CHILE / CHILE / CHILE</w:t>
      </w:r>
    </w:p>
    <w:p w:rsidR="00846B16" w:rsidRPr="00054329" w:rsidRDefault="00846B16" w:rsidP="00846B16">
      <w:pPr>
        <w:pStyle w:val="pldetails"/>
        <w:rPr>
          <w:lang w:val="es-ES"/>
        </w:rPr>
      </w:pPr>
      <w:r w:rsidRPr="00054329">
        <w:rPr>
          <w:lang w:val="es-ES"/>
        </w:rPr>
        <w:t xml:space="preserve">Manuel Antonio TORO UGALDE (Sr.), Jefe Departamento, Registro de Variedades Protegidas, División Semillas, Servicio Agrícola y Ganadero (SAG), Santiago de Chile </w:t>
      </w:r>
      <w:r w:rsidRPr="00054329">
        <w:rPr>
          <w:lang w:val="es-ES"/>
        </w:rPr>
        <w:br/>
        <w:t xml:space="preserve">(e-mail: manuel.toro@sag.gob.cl) </w:t>
      </w:r>
    </w:p>
    <w:p w:rsidR="00846B16" w:rsidRPr="00054329" w:rsidRDefault="00846B16" w:rsidP="00846B16">
      <w:pPr>
        <w:pStyle w:val="pldetails"/>
        <w:rPr>
          <w:lang w:val="es-ES"/>
        </w:rPr>
      </w:pPr>
      <w:r w:rsidRPr="00054329">
        <w:rPr>
          <w:lang w:val="es-ES"/>
        </w:rPr>
        <w:t xml:space="preserve">Alejandro Ignacio SAAVEDRA PÉREZ (Sr.), Profesional Registro de Variedades, Servicio Agrícola y Ganadero (SAG), Santiago de Chile </w:t>
      </w:r>
      <w:r w:rsidRPr="00054329">
        <w:rPr>
          <w:lang w:val="es-ES"/>
        </w:rPr>
        <w:br/>
        <w:t>(e-mail: alejandro.saavedra@sag.gob.cl)</w:t>
      </w:r>
    </w:p>
    <w:p w:rsidR="00846B16" w:rsidRPr="00190C83" w:rsidRDefault="00846B16" w:rsidP="00846B16">
      <w:pPr>
        <w:pStyle w:val="plcountry"/>
      </w:pPr>
      <w:r w:rsidRPr="00190C83">
        <w:t>CHINE / CHINA / CHINA / CHINA</w:t>
      </w:r>
    </w:p>
    <w:p w:rsidR="00846B16" w:rsidRPr="00054329" w:rsidRDefault="00846B16" w:rsidP="00846B16">
      <w:pPr>
        <w:pStyle w:val="pldetails"/>
      </w:pPr>
      <w:r w:rsidRPr="00054329">
        <w:t xml:space="preserve">Yehan CUI (Mr.), Principal Consultant, Division of Plant Variety Protection, Development Center of Science and Technology (DCST), Ministry of Agriculture and Rural Affairs (MARA), Beijing </w:t>
      </w:r>
      <w:r w:rsidRPr="00054329">
        <w:br/>
        <w:t>(e-mail: cuiyehan@agri.gov.cn)</w:t>
      </w:r>
    </w:p>
    <w:p w:rsidR="00846B16" w:rsidRPr="00190C83" w:rsidRDefault="00846B16" w:rsidP="00846B16">
      <w:pPr>
        <w:pStyle w:val="pldetails"/>
      </w:pPr>
      <w:r w:rsidRPr="00054329">
        <w:t xml:space="preserve">Ruixi HAN (Mr.), Deputy Director, Division of DUS Tests, Development Center of Science and Technology (DCST), Ministry of Agriculture and Rural Affairs (MARA), Beijing </w:t>
      </w:r>
      <w:r w:rsidRPr="00054329">
        <w:br/>
        <w:t>(e-mail: wudifeixue007@163.com)</w:t>
      </w:r>
    </w:p>
    <w:p w:rsidR="00846B16" w:rsidRPr="00054329" w:rsidRDefault="00846B16" w:rsidP="00846B16">
      <w:pPr>
        <w:pStyle w:val="pldetails"/>
      </w:pPr>
      <w:r w:rsidRPr="00054329">
        <w:t xml:space="preserve">Yongqi ZHENG (Mr.), Research Professor, Laboratory of Molecular Identification of Plant Varieties, Office of Protection of New Varieties of Plants, National Forestry and Grassland Administration of China (NFGA), Beijing </w:t>
      </w:r>
      <w:r w:rsidRPr="00054329">
        <w:br/>
        <w:t>(e-mail: zyq8565@126.com)</w:t>
      </w:r>
    </w:p>
    <w:p w:rsidR="00846B16" w:rsidRPr="00190C83" w:rsidRDefault="00846B16" w:rsidP="00846B16">
      <w:pPr>
        <w:pStyle w:val="pldetails"/>
      </w:pPr>
      <w:r w:rsidRPr="00054329">
        <w:t xml:space="preserve">Ping YANG (Ms.), Consultant, International Cooperation Department, China National Intellectual Property Administration (CNIPA), Beijing </w:t>
      </w:r>
      <w:r w:rsidRPr="00054329">
        <w:br/>
        <w:t>(e-mail: yangping@cnipa.gov.cn)</w:t>
      </w:r>
    </w:p>
    <w:p w:rsidR="00846B16" w:rsidRPr="00054329" w:rsidRDefault="00846B16" w:rsidP="00846B16">
      <w:pPr>
        <w:pStyle w:val="pldetails"/>
      </w:pPr>
      <w:r w:rsidRPr="00054329">
        <w:t xml:space="preserve">Chuanhong ZHANG (Ms.), Associate Research Professor, Research Institute of Forestry, Chinese Academy of Forestry, Beijing </w:t>
      </w:r>
      <w:r w:rsidRPr="00054329">
        <w:br/>
        <w:t>(e-mail: zhangch@caf.ac.cn)</w:t>
      </w:r>
    </w:p>
    <w:p w:rsidR="00846B16" w:rsidRPr="00054329" w:rsidRDefault="00846B16" w:rsidP="00846B16">
      <w:pPr>
        <w:pStyle w:val="pldetails"/>
      </w:pPr>
      <w:r w:rsidRPr="00054329">
        <w:lastRenderedPageBreak/>
        <w:t xml:space="preserve">Yifan WU (Ms.), Program Administrator, International Cooperation Department, National Intellectual Property Administration (CNIPA), Beijing </w:t>
      </w:r>
      <w:r w:rsidRPr="00054329">
        <w:br/>
        <w:t>(e-mail: wuyifan_1@cnipa.gov.cn)</w:t>
      </w:r>
    </w:p>
    <w:p w:rsidR="00846B16" w:rsidRPr="00054329" w:rsidRDefault="00846B16" w:rsidP="00846B16">
      <w:pPr>
        <w:pStyle w:val="pldetails"/>
      </w:pPr>
      <w:r w:rsidRPr="00054329">
        <w:t xml:space="preserve">Yilei HOU (Ms.), Lecturer, Beijing Forestry University, Beijing </w:t>
      </w:r>
      <w:r w:rsidRPr="00054329">
        <w:br/>
        <w:t>(e-mail: houyilei427@163.com)</w:t>
      </w:r>
    </w:p>
    <w:p w:rsidR="00846B16" w:rsidRPr="00054329" w:rsidRDefault="00846B16" w:rsidP="00846B16">
      <w:pPr>
        <w:pStyle w:val="pldetails"/>
      </w:pPr>
      <w:r w:rsidRPr="00054329">
        <w:t xml:space="preserve">Yuxia LIU (Ms.), Principal Staff Member, Division of Plant Variety Protection, Office for Protection of New Varieties of Plant, National Forestry and Grassland Administration of China (NFGA), Beijing </w:t>
      </w:r>
      <w:r w:rsidRPr="00054329">
        <w:br/>
        <w:t>(e-mail: liuyuxia@cnpvp.net)</w:t>
      </w:r>
    </w:p>
    <w:p w:rsidR="00846B16" w:rsidRPr="00190C83" w:rsidRDefault="00846B16" w:rsidP="00846B16">
      <w:pPr>
        <w:pStyle w:val="plcountry"/>
      </w:pPr>
      <w:r w:rsidRPr="00190C83">
        <w:t>COLOMBIE / COLOMBIA / KOLUMBIEN / COLOMBIA</w:t>
      </w:r>
    </w:p>
    <w:p w:rsidR="00846B16" w:rsidRPr="00190C83" w:rsidRDefault="00846B16" w:rsidP="00846B16">
      <w:pPr>
        <w:pStyle w:val="pldetails"/>
      </w:pPr>
      <w:r w:rsidRPr="00190C83">
        <w:t xml:space="preserve">Alfonso Alberto ROSERO (Sr.), Director Técnico de Semillas, Subgerencia de Protección Vegetal, Instituto Colombiano Agropecuario (ICA), Bogotá </w:t>
      </w:r>
      <w:r w:rsidRPr="00190C83">
        <w:br/>
        <w:t>(e-mail: alberto.rosero@ica.gov.co)</w:t>
      </w:r>
    </w:p>
    <w:p w:rsidR="00846B16" w:rsidRPr="00054329" w:rsidRDefault="00846B16" w:rsidP="00846B16">
      <w:pPr>
        <w:pStyle w:val="plcountry"/>
      </w:pPr>
      <w:r w:rsidRPr="00054329">
        <w:t>DANEMARK / DENMARK / DÄNEMARK / DINAMARCA</w:t>
      </w:r>
    </w:p>
    <w:p w:rsidR="00846B16" w:rsidRPr="00190C83" w:rsidRDefault="00846B16" w:rsidP="00846B16">
      <w:pPr>
        <w:pStyle w:val="pldetails"/>
      </w:pPr>
      <w:r w:rsidRPr="00054329">
        <w:t xml:space="preserve">Kristine Bech KLINDT (Ms.), Special Consultant, Ministry of Environment and Food of Denmark, The Danish AgriFish Agency, Copenhagen </w:t>
      </w:r>
      <w:r w:rsidRPr="00054329">
        <w:br/>
        <w:t>(e-mail: krba@naturerhverv.dk)</w:t>
      </w:r>
    </w:p>
    <w:p w:rsidR="00846B16" w:rsidRPr="00054329" w:rsidRDefault="00846B16" w:rsidP="00846B16">
      <w:pPr>
        <w:pStyle w:val="plcountry"/>
      </w:pPr>
      <w:r w:rsidRPr="00054329">
        <w:t>ÉGYPTE / EGYPT / ÄGYPTEN / EGIPTO</w:t>
      </w:r>
    </w:p>
    <w:p w:rsidR="00846B16" w:rsidRPr="00190C83" w:rsidRDefault="00846B16" w:rsidP="00846B16">
      <w:pPr>
        <w:pStyle w:val="pldetails"/>
      </w:pPr>
      <w:r w:rsidRPr="00054329">
        <w:t xml:space="preserve">Mahasen Fawaz Mohamed GAD (Ms.), General Manager, Plant Variety Protection Office, Central Administration for Seed Certification (CASC), Giza </w:t>
      </w:r>
      <w:r w:rsidRPr="00054329">
        <w:br/>
        <w:t>(e-mail: mahasen.f.gad@gmail.com)</w:t>
      </w:r>
    </w:p>
    <w:p w:rsidR="00846B16" w:rsidRPr="00190C83" w:rsidRDefault="00846B16" w:rsidP="00846B16">
      <w:pPr>
        <w:pStyle w:val="pldetails"/>
      </w:pPr>
      <w:r w:rsidRPr="00054329">
        <w:t xml:space="preserve">Shymaa ABOSHOSHA (Ms.), Agronomist, Plant Variety Protection Office (PVPO), Central Administration for Seed Testing and Certification (CASC), Giza </w:t>
      </w:r>
      <w:r w:rsidRPr="00054329">
        <w:br/>
        <w:t>(e-mail: sh_z9@hotmail.com)</w:t>
      </w:r>
    </w:p>
    <w:p w:rsidR="00846B16" w:rsidRPr="00190C83" w:rsidRDefault="00846B16" w:rsidP="00846B16">
      <w:pPr>
        <w:pStyle w:val="plcountry"/>
        <w:rPr>
          <w:lang w:val="es-ES"/>
        </w:rPr>
      </w:pPr>
      <w:r w:rsidRPr="00054329">
        <w:rPr>
          <w:lang w:val="es-ES"/>
        </w:rPr>
        <w:t>ÉQUATEUR / ECUADOR / ECUADOR / ECUADOR</w:t>
      </w:r>
    </w:p>
    <w:p w:rsidR="00846B16" w:rsidRPr="00054329" w:rsidRDefault="00846B16" w:rsidP="00846B16">
      <w:pPr>
        <w:pStyle w:val="pldetails"/>
        <w:rPr>
          <w:lang w:val="es-ES"/>
        </w:rPr>
      </w:pPr>
      <w:r w:rsidRPr="00054329">
        <w:rPr>
          <w:lang w:val="es-ES"/>
        </w:rPr>
        <w:t xml:space="preserve">Paulina MOSQUERA HIDALGO (Sra.), Directora Nacional de Obtenciones Vegetales y Conocimientos Tradicionales, Servicio Nacional de Derechos Intelectuales (SENADI), Quito </w:t>
      </w:r>
      <w:r w:rsidRPr="00054329">
        <w:rPr>
          <w:lang w:val="es-ES"/>
        </w:rPr>
        <w:br/>
        <w:t>(e-mail: pcmosquera@senadi.gob.ec)</w:t>
      </w:r>
    </w:p>
    <w:p w:rsidR="00846B16" w:rsidRPr="00054329" w:rsidRDefault="00846B16" w:rsidP="00846B16">
      <w:pPr>
        <w:pStyle w:val="pldetails"/>
        <w:rPr>
          <w:lang w:val="es-ES"/>
        </w:rPr>
      </w:pPr>
      <w:r w:rsidRPr="00054329">
        <w:rPr>
          <w:lang w:val="es-ES"/>
        </w:rPr>
        <w:t xml:space="preserve">Yadira YACELGA (Sra.), Delegada, Dirección Nacional de Obtenciones Vegetales, Servicio Nacional de Derechos Intelectuales, Quito </w:t>
      </w:r>
      <w:r w:rsidRPr="00054329">
        <w:rPr>
          <w:lang w:val="es-ES"/>
        </w:rPr>
        <w:br/>
        <w:t>(e-mail: yadiyacelga@gmail.com)</w:t>
      </w:r>
    </w:p>
    <w:p w:rsidR="00846B16" w:rsidRPr="00054329" w:rsidRDefault="00846B16" w:rsidP="00846B16">
      <w:pPr>
        <w:pStyle w:val="plcountry"/>
        <w:rPr>
          <w:lang w:val="es-ES_tradnl"/>
        </w:rPr>
      </w:pPr>
      <w:r w:rsidRPr="00054329">
        <w:rPr>
          <w:lang w:val="es-ES_tradnl"/>
        </w:rPr>
        <w:t>ESPAGNE / SPAIN / SPANIEN / ESPAÑA</w:t>
      </w:r>
    </w:p>
    <w:p w:rsidR="00846B16" w:rsidRPr="00190C83" w:rsidRDefault="00846B16" w:rsidP="00846B16">
      <w:pPr>
        <w:pStyle w:val="pldetails"/>
        <w:rPr>
          <w:lang w:val="es-ES"/>
        </w:rPr>
      </w:pPr>
      <w:r w:rsidRPr="00190C83">
        <w:rPr>
          <w:lang w:val="es-ES"/>
        </w:rPr>
        <w:t>Nuria URQUÍA FERNÁNDEZ (Sra.), Jefe de Área de Registro de Variedades, Subdirección General de Medios de Producción Agrícola y Oficina Española de Variedades Vegetales (OEVV), Dirección General de Producciones y Mercados Agrarios, Ministerio de Agricultura, Pesca y Alimentación (MAPA), Madrid</w:t>
      </w:r>
      <w:r w:rsidRPr="00190C83">
        <w:rPr>
          <w:lang w:val="es-ES"/>
        </w:rPr>
        <w:br/>
        <w:t>(e-mail: nurquia@mapa.es)</w:t>
      </w:r>
    </w:p>
    <w:p w:rsidR="00846B16" w:rsidRPr="00054329" w:rsidRDefault="00846B16" w:rsidP="00846B16">
      <w:pPr>
        <w:pStyle w:val="plcountry"/>
      </w:pPr>
      <w:r w:rsidRPr="00054329">
        <w:t>ESTONIE / ESTONIA / ESTLAND / ESTONIA</w:t>
      </w:r>
    </w:p>
    <w:p w:rsidR="00846B16" w:rsidRPr="00054329" w:rsidRDefault="00846B16" w:rsidP="00846B16">
      <w:pPr>
        <w:pStyle w:val="pldetails"/>
      </w:pPr>
      <w:r w:rsidRPr="00054329">
        <w:t xml:space="preserve">Laima PUUR (Ms.), Counsellor, Organic Farming and Seed Department, Estonian Agricultural and Food Board, Viljandi </w:t>
      </w:r>
      <w:r w:rsidRPr="00054329">
        <w:br/>
        <w:t>(e-mail: laima.puur@pta.agri.ee)</w:t>
      </w:r>
    </w:p>
    <w:p w:rsidR="00846B16" w:rsidRPr="00190C83" w:rsidRDefault="00846B16" w:rsidP="00846B16">
      <w:pPr>
        <w:pStyle w:val="pldetails"/>
      </w:pPr>
      <w:r w:rsidRPr="00190C83">
        <w:t xml:space="preserve">Merjan SAVILA (Ms.), Head, Plant Material, Plant Health Department, Ministry of Rural Affairs, Tallinn </w:t>
      </w:r>
      <w:r w:rsidRPr="00190C83">
        <w:br/>
        <w:t>(e-mail: Marjan.Savila@agri.ee)</w:t>
      </w:r>
    </w:p>
    <w:p w:rsidR="00846B16" w:rsidRPr="00190C83" w:rsidRDefault="00846B16" w:rsidP="00846B16">
      <w:pPr>
        <w:pStyle w:val="plcountry"/>
      </w:pPr>
      <w:r w:rsidRPr="00190C83">
        <w:t xml:space="preserve">ÉTATS-UNIS D'AMÉRIQUE / UNITED STATES OF AMERICA / VEREINIGTE STAATEN VON AMERIKA / </w:t>
      </w:r>
      <w:r w:rsidRPr="00190C83">
        <w:br/>
        <w:t>ESTADOS UNIDOS DE AMÉRICA</w:t>
      </w:r>
    </w:p>
    <w:p w:rsidR="00846B16" w:rsidRDefault="00846B16" w:rsidP="00846B16">
      <w:pPr>
        <w:pStyle w:val="pldetails"/>
      </w:pPr>
      <w:r w:rsidRPr="00190C83">
        <w:t xml:space="preserve">Elaine WU (Ms.), Principal Counsel and Director, Office of Policy and International Affairs (OPIA), </w:t>
      </w:r>
      <w:r w:rsidRPr="00B82DA1">
        <w:t xml:space="preserve">U.S. Patent and Trademark Office (USPTO), Department of Commerce, Alexandria </w:t>
      </w:r>
      <w:r w:rsidRPr="00B82DA1">
        <w:br/>
        <w:t>(e-mail: elaine.wu@uspto.gov)</w:t>
      </w:r>
    </w:p>
    <w:p w:rsidR="00846B16" w:rsidRPr="00054329" w:rsidRDefault="00846B16" w:rsidP="00846B16">
      <w:pPr>
        <w:pStyle w:val="pldetails"/>
      </w:pPr>
      <w:r w:rsidRPr="00054329">
        <w:t xml:space="preserve">Christian HANNON (Mr.), Patent Attorney, Office of Policy and International Affairs (OPIA), U.S. Patent and Trademark Office (USPTO), Department of Commerce, Alexandria </w:t>
      </w:r>
      <w:r w:rsidRPr="00054329">
        <w:br/>
        <w:t>(e-mail: christian.hannon@uspto.gov)</w:t>
      </w:r>
    </w:p>
    <w:p w:rsidR="00846B16" w:rsidRPr="00054329" w:rsidRDefault="00846B16" w:rsidP="00846B16">
      <w:pPr>
        <w:pStyle w:val="pldetails"/>
      </w:pPr>
      <w:r w:rsidRPr="00190C83">
        <w:t xml:space="preserve">Jeffery HAYNES (Mr.), Commissioner, Plant Variety Protection Office, USDA, AMS, S&amp;T, Washington D.C. </w:t>
      </w:r>
      <w:r w:rsidRPr="00190C83">
        <w:br/>
      </w:r>
      <w:r w:rsidRPr="00054329">
        <w:t>(e-mail: Jeffery.Haynes@usda.gov)</w:t>
      </w:r>
    </w:p>
    <w:p w:rsidR="00846B16" w:rsidRPr="00054329" w:rsidRDefault="00846B16" w:rsidP="00846B16">
      <w:pPr>
        <w:pStyle w:val="pldetails"/>
      </w:pPr>
      <w:r w:rsidRPr="00054329">
        <w:lastRenderedPageBreak/>
        <w:t xml:space="preserve">Yasmine Nicole FULENA (Ms.), Intellectual Property Adviser, Permanent Mission of the United States of America to the United Nations Office and other international organizations in Geneva, Chambésy </w:t>
      </w:r>
      <w:r w:rsidRPr="00054329">
        <w:br/>
        <w:t>(e-mail: fulenayn@state.gov)</w:t>
      </w:r>
    </w:p>
    <w:p w:rsidR="00846B16" w:rsidRPr="00054329" w:rsidRDefault="00846B16" w:rsidP="00846B16">
      <w:pPr>
        <w:pStyle w:val="plcountry"/>
      </w:pPr>
      <w:r w:rsidRPr="00054329">
        <w:t xml:space="preserve">FÉDÉRATION DE RUSSIE / RUSSIAN FEDERATION / RUSSISCHE FÖDERATION / </w:t>
      </w:r>
      <w:r w:rsidRPr="00054329">
        <w:br/>
        <w:t>FEDERACIÓN DE RUSIA</w:t>
      </w:r>
    </w:p>
    <w:p w:rsidR="00846B16" w:rsidRPr="00054329" w:rsidRDefault="00846B16" w:rsidP="00846B16">
      <w:pPr>
        <w:pStyle w:val="pldetails"/>
      </w:pPr>
      <w:r w:rsidRPr="00054329">
        <w:t xml:space="preserve">Ekaterina BOYKO (Ms.), Deputy Head, Department for Methodology and International Cooperation, State Commission of the Russian Federation for Selection Achievements Test and Protection, Moscow </w:t>
      </w:r>
      <w:r w:rsidRPr="00054329">
        <w:br/>
        <w:t>(e-mail: metod@gossortrf.ru)</w:t>
      </w:r>
    </w:p>
    <w:p w:rsidR="00846B16" w:rsidRPr="00054329" w:rsidRDefault="00846B16" w:rsidP="00846B16">
      <w:pPr>
        <w:pStyle w:val="plcountry"/>
      </w:pPr>
      <w:r w:rsidRPr="00054329">
        <w:t>FINLANDE / FINLAND / FINNLAND / FINLANDIA</w:t>
      </w:r>
    </w:p>
    <w:p w:rsidR="00846B16" w:rsidRPr="00054329" w:rsidRDefault="00846B16" w:rsidP="00846B16">
      <w:pPr>
        <w:pStyle w:val="pldetails"/>
      </w:pPr>
      <w:r w:rsidRPr="00054329">
        <w:t>Tarja Päivikki HIETARANTA (Ms.), Senior Officer, Plant Variety Registration, Finnish Food Authority, Loimaa</w:t>
      </w:r>
      <w:r w:rsidRPr="00054329">
        <w:br/>
        <w:t>(e-mail: tarja.hietaranta@ruokavirasto.fi)</w:t>
      </w:r>
    </w:p>
    <w:p w:rsidR="00846B16" w:rsidRPr="00054329" w:rsidRDefault="00846B16" w:rsidP="00846B16">
      <w:pPr>
        <w:pStyle w:val="plcountry"/>
        <w:rPr>
          <w:lang w:val="fr-CH"/>
        </w:rPr>
      </w:pPr>
      <w:r w:rsidRPr="00054329">
        <w:rPr>
          <w:lang w:val="fr-CH"/>
        </w:rPr>
        <w:t>FRANCE / France / FRANKREICH / FRANCIA</w:t>
      </w:r>
    </w:p>
    <w:p w:rsidR="00846B16" w:rsidRPr="00054329" w:rsidRDefault="00846B16" w:rsidP="00846B16">
      <w:pPr>
        <w:pStyle w:val="pldetails"/>
        <w:rPr>
          <w:lang w:val="fr-CH"/>
        </w:rPr>
      </w:pPr>
      <w:r w:rsidRPr="00054329">
        <w:rPr>
          <w:lang w:val="fr-CH"/>
        </w:rPr>
        <w:t xml:space="preserve">Mariem OMRANI (Mme), Chargée de mission semences, Bureau des semences et de la protection intégrée des cultures, Sous-direction de la qualité, de la santé et de la protection des végétaux, Ministère de l’Agriculture et de l'Alimentation, Paris </w:t>
      </w:r>
      <w:r w:rsidRPr="00054329">
        <w:rPr>
          <w:lang w:val="fr-CH"/>
        </w:rPr>
        <w:br/>
        <w:t>(e-mail: mariem.omrani@agriculture.gouv.fr)</w:t>
      </w:r>
    </w:p>
    <w:p w:rsidR="00846B16" w:rsidRPr="00054329" w:rsidRDefault="00846B16" w:rsidP="00846B16">
      <w:pPr>
        <w:pStyle w:val="pldetails"/>
        <w:rPr>
          <w:lang w:val="fr-CH"/>
        </w:rPr>
      </w:pPr>
      <w:r w:rsidRPr="00054329">
        <w:rPr>
          <w:lang w:val="fr-CH"/>
        </w:rPr>
        <w:t xml:space="preserve">Alain TRIDON (M.), Directeur Général, Groupe d'Etude et de contrôle des Variétés et des Semences (GEVES), Beaucouzé </w:t>
      </w:r>
      <w:r w:rsidRPr="00054329">
        <w:rPr>
          <w:lang w:val="fr-CH"/>
        </w:rPr>
        <w:br/>
        <w:t>(e-mail: alain.tridon@geves.fr)</w:t>
      </w:r>
    </w:p>
    <w:p w:rsidR="00846B16" w:rsidRPr="00054329" w:rsidRDefault="00846B16" w:rsidP="00846B16">
      <w:pPr>
        <w:pStyle w:val="pldetails"/>
        <w:rPr>
          <w:lang w:val="fr-CH"/>
        </w:rPr>
      </w:pPr>
      <w:r w:rsidRPr="00054329">
        <w:rPr>
          <w:lang w:val="fr-CH"/>
        </w:rPr>
        <w:t xml:space="preserve">Yvane MERESSE (Mme), Responsable INOV, Groupe d'Étude et de Contrôle des Variétés et des Semences (GEVES), Beaucouzé cedex </w:t>
      </w:r>
      <w:r w:rsidRPr="00054329">
        <w:rPr>
          <w:lang w:val="fr-CH"/>
        </w:rPr>
        <w:br/>
        <w:t>(e-mail: yvane.meresse@geves.fr)</w:t>
      </w:r>
    </w:p>
    <w:p w:rsidR="00846B16" w:rsidRPr="00054329" w:rsidRDefault="00846B16" w:rsidP="00846B16">
      <w:pPr>
        <w:pStyle w:val="plcountry"/>
      </w:pPr>
      <w:r w:rsidRPr="00054329">
        <w:t>GÉORGIE / GEORGIA / GEORGIEN / GEORGIA</w:t>
      </w:r>
    </w:p>
    <w:p w:rsidR="00846B16" w:rsidRPr="00054329" w:rsidRDefault="00846B16" w:rsidP="00846B16">
      <w:pPr>
        <w:pStyle w:val="pldetails"/>
      </w:pPr>
      <w:r w:rsidRPr="00054329">
        <w:t xml:space="preserve">Merab KUTSIA (Mr.), Head, Department of Inventions and New Plant Varieties and Animal Breeds, National Intellectual Property Center (SAKPATENTI), Mtskheta </w:t>
      </w:r>
      <w:r w:rsidRPr="00054329">
        <w:br/>
        <w:t>(e-mail: mkutsia@sakpatenti.org.ge)</w:t>
      </w:r>
    </w:p>
    <w:p w:rsidR="00846B16" w:rsidRPr="00054329" w:rsidRDefault="00846B16" w:rsidP="00846B16">
      <w:pPr>
        <w:pStyle w:val="plcountry"/>
      </w:pPr>
      <w:r w:rsidRPr="00054329">
        <w:t>HONGRIE / HUNGARY / UNGARN / HUNGRÍA</w:t>
      </w:r>
    </w:p>
    <w:p w:rsidR="00846B16" w:rsidRPr="00054329" w:rsidRDefault="00846B16" w:rsidP="00846B16">
      <w:pPr>
        <w:pStyle w:val="pldetails"/>
      </w:pPr>
      <w:r w:rsidRPr="00054329">
        <w:t xml:space="preserve">Katalin MIKLÓ (Ms.), Head, Patent Department, Hungarian Intellectual Property Office, Budapest </w:t>
      </w:r>
      <w:r w:rsidRPr="00054329">
        <w:br/>
        <w:t>(e-mail: katalin.miklo@hipo.gov.hu)</w:t>
      </w:r>
    </w:p>
    <w:p w:rsidR="00846B16" w:rsidRPr="00054329" w:rsidRDefault="00846B16" w:rsidP="00846B16">
      <w:pPr>
        <w:pStyle w:val="plcountry"/>
      </w:pPr>
      <w:r w:rsidRPr="00054329">
        <w:t>IRLANDE / IRELAND / IRLAND / IRLANDA</w:t>
      </w:r>
    </w:p>
    <w:p w:rsidR="00846B16" w:rsidRPr="00054329" w:rsidRDefault="00846B16" w:rsidP="00846B16">
      <w:pPr>
        <w:pStyle w:val="pldetails"/>
      </w:pPr>
      <w:r w:rsidRPr="00054329">
        <w:t xml:space="preserve">Elizabeth HYLAND (Ms.), Agricultural Inspector, Office of the Controller of Plant Breeders Rights, Department of Agriculture, Food and the Marine, Piltown, Carrick-on-Suir </w:t>
      </w:r>
      <w:r w:rsidRPr="00054329">
        <w:br/>
        <w:t>(e-mail: Elizabeth.Hyland@agriculture.gov.ie)</w:t>
      </w:r>
    </w:p>
    <w:p w:rsidR="00846B16" w:rsidRPr="00054329" w:rsidRDefault="00846B16" w:rsidP="00846B16">
      <w:pPr>
        <w:pStyle w:val="plcountry"/>
      </w:pPr>
      <w:r w:rsidRPr="00054329">
        <w:t>ISRAËL / ISRAEL / ISRAEL / ISRAEL</w:t>
      </w:r>
    </w:p>
    <w:p w:rsidR="00846B16" w:rsidRPr="00054329" w:rsidRDefault="00846B16" w:rsidP="00846B16">
      <w:pPr>
        <w:pStyle w:val="pldetails"/>
      </w:pPr>
      <w:r w:rsidRPr="00054329">
        <w:t xml:space="preserve">Dikla DABBY-NAOR (Ms.), Chairperson, Plant Breeders' Rights Council, Ministry of Agriculture and Rural Development, Beit-Dagan </w:t>
      </w:r>
      <w:r w:rsidRPr="00054329">
        <w:br/>
        <w:t>(e-mail: diklad@moag.gov.il)</w:t>
      </w:r>
    </w:p>
    <w:p w:rsidR="00846B16" w:rsidRPr="00054329" w:rsidRDefault="00846B16" w:rsidP="00846B16">
      <w:pPr>
        <w:pStyle w:val="pldetails"/>
      </w:pPr>
      <w:r w:rsidRPr="00054329">
        <w:t xml:space="preserve">Zipora RASABY (Ms.), PBR Coordinator, Plant Breeders' Rights Council, Ministry of Agriculture and Rural Development, Beit-Dagan </w:t>
      </w:r>
      <w:r w:rsidRPr="00054329">
        <w:br/>
        <w:t>(e-mail: tsippyr@moag.gov.il)</w:t>
      </w:r>
    </w:p>
    <w:p w:rsidR="00846B16" w:rsidRPr="00054329" w:rsidRDefault="00846B16" w:rsidP="00846B16">
      <w:pPr>
        <w:pStyle w:val="plcountry"/>
      </w:pPr>
      <w:r w:rsidRPr="00054329">
        <w:t>JAPON / JAPAN / JAPAN / JAPÓN</w:t>
      </w:r>
    </w:p>
    <w:p w:rsidR="00846B16" w:rsidRPr="00054329" w:rsidRDefault="00846B16" w:rsidP="00846B16">
      <w:pPr>
        <w:pStyle w:val="pldetails"/>
      </w:pPr>
      <w:r w:rsidRPr="00054329">
        <w:t xml:space="preserve">Hayato FUKUI (Mr.), Director, Intellectual Property Division, Export and International Affairs Bureau, Ministry of Agriculture, Forestry and Fisheries (MAFF), Tokyo </w:t>
      </w:r>
      <w:r w:rsidRPr="00054329">
        <w:br/>
        <w:t>(e-mail: hayato_fukui420@maff.go.jp)</w:t>
      </w:r>
    </w:p>
    <w:p w:rsidR="00846B16" w:rsidRPr="00054329" w:rsidRDefault="00846B16" w:rsidP="00846B16">
      <w:pPr>
        <w:pStyle w:val="pldetails"/>
      </w:pPr>
      <w:r w:rsidRPr="00054329">
        <w:t xml:space="preserve">Teruhisa MIYAMOTO (Mr.), Deputy Director for International Affairs, Intellectual Propetry Division, Export and International Affairs Bureau, Ministry of Agriculture, Forestry and Fisheries (MAFF), Tokyo </w:t>
      </w:r>
      <w:r w:rsidRPr="00054329">
        <w:br/>
        <w:t>(e-mail: teruhisa_miyamoto170@maff.go.jp)</w:t>
      </w:r>
    </w:p>
    <w:p w:rsidR="00846B16" w:rsidRPr="00054329" w:rsidRDefault="00846B16" w:rsidP="00846B16">
      <w:pPr>
        <w:pStyle w:val="pldetails"/>
      </w:pPr>
      <w:r w:rsidRPr="00054329">
        <w:t xml:space="preserve">Ryusaku KASHIWAGI (Mr.), Chief Examiner, Plant Variety Protection Office, Intellectual Property Division, Export and International Affairs Bureau, Ministry of Agriculture, Forestry and Fisheries (MAFF), Tokyo </w:t>
      </w:r>
      <w:r w:rsidRPr="00054329">
        <w:br/>
        <w:t>(e-mail: ryusaku_kashiwagi840@maff.go.jp)</w:t>
      </w:r>
    </w:p>
    <w:p w:rsidR="00846B16" w:rsidRPr="00054329" w:rsidRDefault="00846B16" w:rsidP="00846B16">
      <w:pPr>
        <w:pStyle w:val="pldetails"/>
      </w:pPr>
      <w:r w:rsidRPr="00054329">
        <w:lastRenderedPageBreak/>
        <w:t xml:space="preserve">Daisuke FUJITSUKA (Mr.), Technical Official, Intellectual Property Division, Export and International Affairs Bureau, Ministry of Agriculture, Forestry and Fisheries (MAFF), Tokyo </w:t>
      </w:r>
      <w:r w:rsidRPr="00054329">
        <w:br/>
        <w:t>(e-mail: daisuke_fujitsuka080@maff.go.jp)</w:t>
      </w:r>
    </w:p>
    <w:p w:rsidR="00846B16" w:rsidRPr="00054329" w:rsidRDefault="00846B16" w:rsidP="00846B16">
      <w:pPr>
        <w:pStyle w:val="pldetails"/>
      </w:pPr>
      <w:r w:rsidRPr="00054329">
        <w:t xml:space="preserve">Yoshiyuki OHNO (Mr.), Examiner, Intellectual Property Division , Export and International Affairs Bureau, Ministry of Agriculture, Forestry and Fisheries (MAFF), Tokyo </w:t>
      </w:r>
      <w:r w:rsidRPr="00054329">
        <w:br/>
        <w:t>(e-mail: yoshiyuki_ono300@maff.go.jp)</w:t>
      </w:r>
    </w:p>
    <w:p w:rsidR="00846B16" w:rsidRPr="00054329" w:rsidRDefault="00846B16" w:rsidP="00846B16">
      <w:pPr>
        <w:pStyle w:val="plcountry"/>
      </w:pPr>
      <w:r w:rsidRPr="00054329">
        <w:t>LITUANIE / LITHUANIA / LITAUEN / LITUANIA</w:t>
      </w:r>
    </w:p>
    <w:p w:rsidR="00846B16" w:rsidRPr="00054329" w:rsidRDefault="00846B16" w:rsidP="00846B16">
      <w:pPr>
        <w:pStyle w:val="pldetails"/>
      </w:pPr>
      <w:r w:rsidRPr="00054329">
        <w:t xml:space="preserve">Jovita KULIKAUSKAITE (Ms.), Acting Head, Plant Variety Division, State Plant Service under the Ministry of Agriculture (MoA), Vilnius </w:t>
      </w:r>
      <w:r w:rsidRPr="00054329">
        <w:br/>
        <w:t>(e-mail: jovita.kulikauskaite@vatzum.lt)</w:t>
      </w:r>
    </w:p>
    <w:p w:rsidR="00846B16" w:rsidRPr="00054329" w:rsidRDefault="00846B16" w:rsidP="00846B16">
      <w:pPr>
        <w:pStyle w:val="plcountry"/>
        <w:rPr>
          <w:lang w:val="fr-CH"/>
        </w:rPr>
      </w:pPr>
      <w:r w:rsidRPr="00054329">
        <w:rPr>
          <w:lang w:val="fr-CH"/>
        </w:rPr>
        <w:t>MAROC / MOROCCO / MAROKKO / MARRUECOS</w:t>
      </w:r>
    </w:p>
    <w:p w:rsidR="00846B16" w:rsidRPr="00054329" w:rsidRDefault="00846B16" w:rsidP="00846B16">
      <w:pPr>
        <w:pStyle w:val="pldetails"/>
        <w:rPr>
          <w:lang w:val="fr-CH"/>
        </w:rPr>
      </w:pPr>
      <w:r w:rsidRPr="00054329">
        <w:rPr>
          <w:lang w:val="fr-CH"/>
        </w:rPr>
        <w:t xml:space="preserve">Ibtihaj BELMEHDI (Mme), Chef de service de contrôle des plants, Office National de Sécurité de Produits Alimentaires (ONSSA), Rabat  </w:t>
      </w:r>
      <w:r w:rsidRPr="00054329">
        <w:rPr>
          <w:lang w:val="fr-CH"/>
        </w:rPr>
        <w:br/>
        <w:t>(e-mail: ibtibelmehdi@hotmail.com)</w:t>
      </w:r>
    </w:p>
    <w:p w:rsidR="00846B16" w:rsidRPr="00190C83" w:rsidRDefault="00846B16" w:rsidP="00846B16">
      <w:pPr>
        <w:pStyle w:val="plcountry"/>
        <w:rPr>
          <w:lang w:val="fr-CH"/>
        </w:rPr>
      </w:pPr>
      <w:r w:rsidRPr="00190C83">
        <w:rPr>
          <w:lang w:val="fr-CH"/>
        </w:rPr>
        <w:t>MEXIQUE / MEXICO / MEXIKO / MÉXICO</w:t>
      </w:r>
    </w:p>
    <w:p w:rsidR="00846B16" w:rsidRPr="00190C83" w:rsidRDefault="00846B16" w:rsidP="00846B16">
      <w:pPr>
        <w:pStyle w:val="pldetails"/>
        <w:rPr>
          <w:lang w:val="fr-CH"/>
        </w:rPr>
      </w:pPr>
      <w:r w:rsidRPr="00190C83">
        <w:rPr>
          <w:lang w:val="fr-CH"/>
        </w:rPr>
        <w:t xml:space="preserve">Filiberto GASTELUM SERNA (Mr.), Administrative Director, Ciudad de México </w:t>
      </w:r>
      <w:r w:rsidRPr="00190C83">
        <w:rPr>
          <w:lang w:val="fr-CH"/>
        </w:rPr>
        <w:br/>
        <w:t>(e-mail: filiberto.gastelum@agricultura.gob.mx)</w:t>
      </w:r>
    </w:p>
    <w:p w:rsidR="00846B16" w:rsidRPr="00054329" w:rsidRDefault="00846B16" w:rsidP="00846B16">
      <w:pPr>
        <w:pStyle w:val="pldetails"/>
        <w:rPr>
          <w:lang w:val="es-ES"/>
        </w:rPr>
      </w:pPr>
      <w:r w:rsidRPr="00054329">
        <w:rPr>
          <w:lang w:val="es-ES"/>
        </w:rPr>
        <w:t xml:space="preserve">Víctor Manuel VÁSQUEZ NAVARRETE (Sr.), Director de área, Servicio Nacional de Inspección y Certificación de Semillas (SNICS), Secretaria de Agricultura y Desarrollo Rural (Agricultura), Ciudad de México </w:t>
      </w:r>
      <w:r w:rsidRPr="00054329">
        <w:rPr>
          <w:lang w:val="es-ES"/>
        </w:rPr>
        <w:br/>
        <w:t>(e-mail: victor.vasquez@agricultura.gob.mx)</w:t>
      </w:r>
    </w:p>
    <w:p w:rsidR="00846B16" w:rsidRPr="00054329" w:rsidRDefault="00846B16" w:rsidP="00846B16">
      <w:pPr>
        <w:pStyle w:val="plcountry"/>
      </w:pPr>
      <w:r w:rsidRPr="00054329">
        <w:t>NORVÈGE / NORWAY / NORWEGEN / NORUEGA</w:t>
      </w:r>
    </w:p>
    <w:p w:rsidR="00846B16" w:rsidRPr="00054329" w:rsidRDefault="00846B16" w:rsidP="00846B16">
      <w:pPr>
        <w:pStyle w:val="pldetails"/>
      </w:pPr>
      <w:r w:rsidRPr="00054329">
        <w:t xml:space="preserve">Pia BORG (Ms.), Senior Advisor, Norwegian Food Safety Authority, Brumunddal </w:t>
      </w:r>
      <w:r w:rsidRPr="00054329">
        <w:br/>
        <w:t>(e-mail: pia.borg@mattilsynet.no)</w:t>
      </w:r>
    </w:p>
    <w:p w:rsidR="00846B16" w:rsidRPr="00054329" w:rsidRDefault="00846B16" w:rsidP="00846B16">
      <w:pPr>
        <w:pStyle w:val="pldetails"/>
      </w:pPr>
      <w:r w:rsidRPr="00054329">
        <w:t xml:space="preserve">Elin Cecilie RANUM (Ms.), Advisor, Oslo </w:t>
      </w:r>
      <w:r w:rsidRPr="00054329">
        <w:br/>
        <w:t>(e-mail: elin@utviklingsfondet.no)</w:t>
      </w:r>
    </w:p>
    <w:p w:rsidR="00846B16" w:rsidRPr="00054329" w:rsidRDefault="00846B16" w:rsidP="00846B16">
      <w:pPr>
        <w:pStyle w:val="plcountry"/>
      </w:pPr>
      <w:r w:rsidRPr="00054329">
        <w:t>NOUVELLE-ZÉLANDE / NEW ZEALAND / NEUSEELAND / NUEVA ZELANDIA</w:t>
      </w:r>
    </w:p>
    <w:p w:rsidR="00846B16" w:rsidRPr="00054329" w:rsidRDefault="00846B16" w:rsidP="00846B16">
      <w:pPr>
        <w:pStyle w:val="pldetails"/>
      </w:pPr>
      <w:r w:rsidRPr="00054329">
        <w:t xml:space="preserve">Christopher James BARNABY (Mr.), PVR Manager / Assistant Commissioner, Plant Variety Rights Office, Intellectual Property Office of New Zealand, Ministry of Business, Innovation and Employment, Christchurch </w:t>
      </w:r>
      <w:r w:rsidRPr="00054329">
        <w:br/>
        <w:t>(e-mail: Chris.Barnaby@pvr.govt.nz)</w:t>
      </w:r>
    </w:p>
    <w:p w:rsidR="00846B16" w:rsidRPr="00190C83" w:rsidRDefault="00846B16" w:rsidP="00846B16">
      <w:pPr>
        <w:pStyle w:val="plcountry"/>
        <w:rPr>
          <w:lang w:val="fr-CH"/>
        </w:rPr>
      </w:pPr>
      <w:r w:rsidRPr="00190C83">
        <w:rPr>
          <w:lang w:val="fr-CH"/>
        </w:rPr>
        <w:t xml:space="preserve">ORGANISATION AFRICAINE DE LA PROPRIÉTÉ INTELLECTUELLE / </w:t>
      </w:r>
      <w:r w:rsidRPr="00190C83">
        <w:rPr>
          <w:lang w:val="fr-CH"/>
        </w:rPr>
        <w:br/>
        <w:t xml:space="preserve">AFRICAN INTELLECTUAL PROPERTY ORGANIZATION / </w:t>
      </w:r>
      <w:r w:rsidRPr="00190C83">
        <w:rPr>
          <w:lang w:val="fr-CH"/>
        </w:rPr>
        <w:br/>
        <w:t xml:space="preserve">AFRIKANISCHE ORGANISATION FÜR GEISTIGES EIGENTUM / </w:t>
      </w:r>
      <w:r w:rsidRPr="00190C83">
        <w:rPr>
          <w:lang w:val="fr-CH"/>
        </w:rPr>
        <w:br/>
        <w:t>ORGANIZACIÓN AFRICANA DE LA PROPIEDAD INTELECTUAL</w:t>
      </w:r>
    </w:p>
    <w:p w:rsidR="00846B16" w:rsidRPr="00A656E7" w:rsidRDefault="00846B16" w:rsidP="00846B16">
      <w:pPr>
        <w:pStyle w:val="pldetails"/>
        <w:rPr>
          <w:lang w:val="fr-CH"/>
        </w:rPr>
      </w:pPr>
      <w:r w:rsidRPr="000578DF">
        <w:rPr>
          <w:lang w:val="fr-CH"/>
        </w:rPr>
        <w:t xml:space="preserve">Odile FOUDA KOUNOU (Mme), Chargée de la délivrance des brevets et certificats d’obtention végétale, Direction des Brevets et autres créations techniques (DBCT), Organisation africaine de la propriété intellectuelle (OAPI), Yaoundé </w:t>
      </w:r>
      <w:r w:rsidRPr="000578DF">
        <w:rPr>
          <w:lang w:val="fr-CH"/>
        </w:rPr>
        <w:br/>
        <w:t>(e-mail: odile.fouda-kounou@oapi.int)</w:t>
      </w:r>
    </w:p>
    <w:p w:rsidR="00846B16" w:rsidRPr="00054329" w:rsidRDefault="00846B16" w:rsidP="00846B16">
      <w:pPr>
        <w:pStyle w:val="plcountry"/>
      </w:pPr>
      <w:r w:rsidRPr="00054329">
        <w:t>PAYS-BAS / NETHERLANDS / NIEDERLANDE / PAÍSES BAJOS</w:t>
      </w:r>
    </w:p>
    <w:p w:rsidR="00846B16" w:rsidRPr="00054329" w:rsidRDefault="00846B16" w:rsidP="00846B16">
      <w:pPr>
        <w:pStyle w:val="pldetails"/>
      </w:pPr>
      <w:r w:rsidRPr="00054329">
        <w:t xml:space="preserve">Marien VALSTAR (Mr.), Senior Policy Officer, Seeds and Plant Propagation Material, DG Agro, Ministry of Agriculture, Nature and Food Quality, The Hague </w:t>
      </w:r>
      <w:r w:rsidRPr="00054329">
        <w:br/>
        <w:t>(e-mail: m.valstar@minlnv.nl)</w:t>
      </w:r>
    </w:p>
    <w:p w:rsidR="00846B16" w:rsidRPr="00054329" w:rsidRDefault="00846B16" w:rsidP="00846B16">
      <w:pPr>
        <w:pStyle w:val="pldetails"/>
      </w:pPr>
      <w:r w:rsidRPr="00054329">
        <w:t xml:space="preserve">Kees Jan GROENEWOUD (Mr.), Secretary, Dutch Board for Plant Varieties (Raad voor Plantenrassen), Roelofarendsveen </w:t>
      </w:r>
      <w:r w:rsidRPr="00054329">
        <w:br/>
        <w:t>(e-mail: c.j.a.groenewoud@raadvoorplantenrassen.nl)</w:t>
      </w:r>
    </w:p>
    <w:p w:rsidR="00846B16" w:rsidRPr="00054329" w:rsidRDefault="00846B16" w:rsidP="00846B16">
      <w:pPr>
        <w:pStyle w:val="pldetails"/>
      </w:pPr>
      <w:r w:rsidRPr="00054329">
        <w:t xml:space="preserve">Bert SCHOLTE (Mr.), Head Department Variety Testing, Naktuinbouw NL, Roelofarendsveen </w:t>
      </w:r>
      <w:r w:rsidRPr="00054329">
        <w:br/>
        <w:t>(e-mail: b.scholte@naktuinbouw.nl)</w:t>
      </w:r>
    </w:p>
    <w:p w:rsidR="00846B16" w:rsidRPr="00054329" w:rsidRDefault="00846B16" w:rsidP="00846B16">
      <w:pPr>
        <w:pStyle w:val="plcountry"/>
      </w:pPr>
      <w:r w:rsidRPr="00054329">
        <w:lastRenderedPageBreak/>
        <w:t>POLOGNE / POLAND / POLEN / POLONIA</w:t>
      </w:r>
    </w:p>
    <w:p w:rsidR="00846B16" w:rsidRPr="00054329" w:rsidRDefault="00846B16" w:rsidP="00846B16">
      <w:pPr>
        <w:pStyle w:val="pldetails"/>
      </w:pPr>
      <w:r w:rsidRPr="00054329">
        <w:t xml:space="preserve">Marcin BEHNKE (Mr.), Deputy Director General for Experimental Affairs, Research Centre for Cultivar Testing (COBORU), Slupia Wielka </w:t>
      </w:r>
      <w:r w:rsidRPr="00054329">
        <w:br/>
        <w:t>(e-mail: m.behnke@coboru.gov.pl)</w:t>
      </w:r>
    </w:p>
    <w:p w:rsidR="00846B16" w:rsidRPr="00054329" w:rsidRDefault="00846B16" w:rsidP="00846B16">
      <w:pPr>
        <w:pStyle w:val="pldetails"/>
      </w:pPr>
      <w:r w:rsidRPr="00054329">
        <w:t xml:space="preserve">Małgorzata JANISZEWSKA-MICHALSKA (Ms.), Head, Legal and Human Resources Office, Research Centre for Cultivar Testing (COBORU), Slupia Wielka </w:t>
      </w:r>
      <w:r w:rsidRPr="00054329">
        <w:br/>
        <w:t>(e-mail: m.janiszewska@coboru.pl)</w:t>
      </w:r>
    </w:p>
    <w:p w:rsidR="00846B16" w:rsidRPr="00054329" w:rsidRDefault="00846B16" w:rsidP="00846B16">
      <w:pPr>
        <w:pStyle w:val="pldetails"/>
      </w:pPr>
      <w:r w:rsidRPr="00054329">
        <w:t xml:space="preserve">Alicja RUTKOWSKA-LOS (Mrs.), Head, National Listing and Plant Breeders' Rights Protection Office, The Research Centre for Cultivar Testing (COBORU), Slupia Wielka </w:t>
      </w:r>
      <w:r w:rsidRPr="00054329">
        <w:br/>
        <w:t>(e-mail: a.rutkowska-los@coboru.gov.pl)</w:t>
      </w:r>
    </w:p>
    <w:p w:rsidR="00846B16" w:rsidRPr="00054329" w:rsidRDefault="00846B16" w:rsidP="00846B16">
      <w:pPr>
        <w:pStyle w:val="pldetails"/>
      </w:pPr>
      <w:r w:rsidRPr="00054329">
        <w:t xml:space="preserve">Marcin KRÓL (Mr.), Head, DUS Testing Department, Research Centre for Cultivar Testing (COBORU), Slupia Wielka </w:t>
      </w:r>
      <w:r w:rsidRPr="00054329">
        <w:br/>
        <w:t>(e-mail: M.Krol@coboru.gov.pl)</w:t>
      </w:r>
    </w:p>
    <w:p w:rsidR="00846B16" w:rsidRPr="00190C83" w:rsidRDefault="00846B16" w:rsidP="00846B16">
      <w:pPr>
        <w:pStyle w:val="plcountry"/>
      </w:pPr>
      <w:r w:rsidRPr="00190C83">
        <w:t>RÉPUBLIQUE DE CORÉE / REPUBLIC OF KOREA / REPUBLIK KOREA / REPÚBLICA DE COREA</w:t>
      </w:r>
    </w:p>
    <w:p w:rsidR="00846B16" w:rsidRPr="00054329" w:rsidRDefault="00846B16" w:rsidP="00846B16">
      <w:pPr>
        <w:pStyle w:val="pldetails"/>
      </w:pPr>
      <w:r w:rsidRPr="00054329">
        <w:t xml:space="preserve">Hyung-Geun AHN (Mr.), Director, Plant Variety Protection Division, Korean Seed and Variety Service (KSVS), Gimcheon </w:t>
      </w:r>
      <w:r w:rsidRPr="00054329">
        <w:br/>
        <w:t>(e-mail: hgahn@korea.kr)</w:t>
      </w:r>
    </w:p>
    <w:p w:rsidR="00846B16" w:rsidRPr="00054329" w:rsidRDefault="00846B16" w:rsidP="00846B16">
      <w:pPr>
        <w:pStyle w:val="pldetails"/>
      </w:pPr>
      <w:r w:rsidRPr="00054329">
        <w:t xml:space="preserve">Yongseok JANG (Mr.), Director, Plant Variety Protection Division, National Forest Seed Variety Center (NFSV), Chungcheongbuk-do </w:t>
      </w:r>
      <w:r w:rsidRPr="00054329">
        <w:br/>
        <w:t>(e-mail: mushrm@korea.kr)</w:t>
      </w:r>
    </w:p>
    <w:p w:rsidR="00846B16" w:rsidRPr="00054329" w:rsidRDefault="00846B16" w:rsidP="00846B16">
      <w:pPr>
        <w:pStyle w:val="pldetails"/>
      </w:pPr>
      <w:r w:rsidRPr="00054329">
        <w:t xml:space="preserve">Yoon-Young KIM (Mr.), Researcher, Plant Variety Protection Division, National Forest Seed Variety Center (NFSV), Chungcheongbuk-do </w:t>
      </w:r>
      <w:r w:rsidRPr="00054329">
        <w:br/>
        <w:t>(e-mail: wildflower2@korea.kr)</w:t>
      </w:r>
    </w:p>
    <w:p w:rsidR="00846B16" w:rsidRPr="00054329" w:rsidRDefault="00846B16" w:rsidP="00846B16">
      <w:pPr>
        <w:pStyle w:val="pldetails"/>
      </w:pPr>
      <w:r w:rsidRPr="00054329">
        <w:t xml:space="preserve">Kwanghong LEE (Mr.), DUS Examiner, Korea Seed and Variety Service (KSVS), Gyeongsangbuk-do </w:t>
      </w:r>
      <w:r w:rsidRPr="00054329">
        <w:br/>
        <w:t>(e-mail: grin@korea.kr)</w:t>
      </w:r>
    </w:p>
    <w:p w:rsidR="00846B16" w:rsidRPr="00054329" w:rsidRDefault="00846B16" w:rsidP="00846B16">
      <w:pPr>
        <w:pStyle w:val="pldetails"/>
      </w:pPr>
      <w:r w:rsidRPr="00054329">
        <w:t xml:space="preserve">Chan Woong PARK (Mr.), Examiner, International Cooperation Division, Korea Seed &amp; Variety Service (KSVS), Gyeongsangbuk-do </w:t>
      </w:r>
      <w:r w:rsidRPr="00054329">
        <w:br/>
        <w:t>(e-mail: chwopark@korea.kr)</w:t>
      </w:r>
    </w:p>
    <w:p w:rsidR="00846B16" w:rsidRPr="00190C83" w:rsidRDefault="00846B16" w:rsidP="00846B16">
      <w:pPr>
        <w:pStyle w:val="plcountry"/>
      </w:pPr>
      <w:r w:rsidRPr="00190C83">
        <w:t xml:space="preserve">RÉPUBLIQUE Dominicaine / dominican REPUBLIC / dominikanische REPUBLIK / </w:t>
      </w:r>
      <w:r w:rsidRPr="00190C83">
        <w:br/>
        <w:t>REPÚBLICA Dominicana</w:t>
      </w:r>
    </w:p>
    <w:p w:rsidR="00846B16" w:rsidRPr="00190C83" w:rsidRDefault="00846B16" w:rsidP="00846B16">
      <w:pPr>
        <w:pStyle w:val="pldetails"/>
      </w:pPr>
      <w:r w:rsidRPr="00190C83">
        <w:t xml:space="preserve">María Ayalivis GARCÍA MEDRANO (Sra.), Directora, Oficina para el Registro de Variedades y Obtenciones Vegetales (OREVADO), Ministerio de Agricultura, Santo Domingo </w:t>
      </w:r>
      <w:r w:rsidRPr="00190C83">
        <w:br/>
        <w:t>(e-mail: mgarcia@orevado.gob.do)</w:t>
      </w:r>
    </w:p>
    <w:p w:rsidR="00846B16" w:rsidRPr="00190C83" w:rsidRDefault="00846B16" w:rsidP="00846B16">
      <w:pPr>
        <w:pStyle w:val="pldetails"/>
      </w:pPr>
      <w:r w:rsidRPr="00190C83">
        <w:t xml:space="preserve">Octavio Augusto BERAS-GOICO JUSTINIANO (Sr.), Encargado del Departamento Legal, Oficina de Registro de Variedades y Obtenciones Vegetales (OREVADO), Santo Domingo </w:t>
      </w:r>
      <w:r w:rsidRPr="00190C83">
        <w:br/>
        <w:t>(e-mail: ota470@gmail.com)</w:t>
      </w:r>
    </w:p>
    <w:p w:rsidR="00846B16" w:rsidRPr="00190C83" w:rsidRDefault="00846B16" w:rsidP="00846B16">
      <w:pPr>
        <w:pStyle w:val="plcountry"/>
      </w:pPr>
      <w:r w:rsidRPr="00190C83">
        <w:t>RÉPUBLIQUE TCHÈQUE / CZECH REPUBLIC / TSCHECHISCHE REPUBLIK / REPÚBLICA CHECA</w:t>
      </w:r>
    </w:p>
    <w:p w:rsidR="00846B16" w:rsidRPr="00054329" w:rsidRDefault="00846B16" w:rsidP="00846B16">
      <w:pPr>
        <w:pStyle w:val="pldetails"/>
      </w:pPr>
      <w:r w:rsidRPr="00054329">
        <w:t xml:space="preserve">Andrea POVOLNÁ (Ms.), Head of DUS Department, National Plant Variety Office, Central Institute for Supervising and Testing in Agriculture (ÚKZÚZ), Brno </w:t>
      </w:r>
      <w:r w:rsidRPr="00054329">
        <w:br/>
        <w:t>(e-mail: andrea.povolna@ukzuz.cz)</w:t>
      </w:r>
    </w:p>
    <w:p w:rsidR="00846B16" w:rsidRPr="00190C83" w:rsidRDefault="00846B16" w:rsidP="00846B16">
      <w:pPr>
        <w:pStyle w:val="plcountry"/>
      </w:pPr>
      <w:r w:rsidRPr="00190C83">
        <w:t xml:space="preserve">RÉPUBLIQUE-UNIE DE TANZANIE / UNITED REPUBLIC OF TANZANIA / </w:t>
      </w:r>
      <w:r w:rsidRPr="00190C83">
        <w:br/>
        <w:t>VEREINIGTE REPUBLIK TANSANIA / REPÚBLICA UNIDA DE TANZANÍA</w:t>
      </w:r>
    </w:p>
    <w:p w:rsidR="00846B16" w:rsidRPr="00054329" w:rsidRDefault="00846B16" w:rsidP="00846B16">
      <w:pPr>
        <w:pStyle w:val="pldetails"/>
      </w:pPr>
      <w:r w:rsidRPr="00054329">
        <w:t xml:space="preserve">Twalib Mustafa NJOHOLE (Mr.), Registrar of Plant Breeders' Rights, Plant Breeders Rights' Office, Ministry of Agriculture (MoA), Dodoma </w:t>
      </w:r>
      <w:r w:rsidRPr="00054329">
        <w:br/>
        <w:t>(e-mail: twalib.njohole@kilimo.go.tz)</w:t>
      </w:r>
    </w:p>
    <w:p w:rsidR="00846B16" w:rsidRPr="00054329" w:rsidRDefault="00846B16" w:rsidP="00846B16">
      <w:pPr>
        <w:pStyle w:val="pldetails"/>
      </w:pPr>
      <w:r w:rsidRPr="00054329">
        <w:t xml:space="preserve">Dorah Herman BIVUGILE (Ms.), Research Officer, Tanzania Official Seed Certification Institute (TOSCI), Morogoro </w:t>
      </w:r>
      <w:r w:rsidRPr="00054329">
        <w:br/>
        <w:t>(e-mail: info@tosci.go.tz)</w:t>
      </w:r>
    </w:p>
    <w:p w:rsidR="00846B16" w:rsidRPr="00054329" w:rsidRDefault="00846B16" w:rsidP="00846B16">
      <w:pPr>
        <w:pStyle w:val="pldetails"/>
      </w:pPr>
      <w:r w:rsidRPr="00054329">
        <w:t xml:space="preserve">Jacqueline MBUYA MHANDO (Ms.), Principal Agricultural Officer, Ministry of Foreign Affairs and East African Cooperation, Dodoma </w:t>
      </w:r>
      <w:r w:rsidRPr="00054329">
        <w:br/>
        <w:t>(e-mail: jacqueline.mbuya@nje.go.tz)</w:t>
      </w:r>
    </w:p>
    <w:p w:rsidR="00846B16" w:rsidRPr="00054329" w:rsidRDefault="00846B16" w:rsidP="00846B16">
      <w:pPr>
        <w:pStyle w:val="pldetails"/>
      </w:pPr>
      <w:r w:rsidRPr="00054329">
        <w:lastRenderedPageBreak/>
        <w:t xml:space="preserve">Joyce Eligi MOSILE (Ms.), Agricultural Officer, Plant Breeders' Rights Office, Ministry of Agriculture (MoA), Dodoma </w:t>
      </w:r>
      <w:r w:rsidRPr="00054329">
        <w:br/>
        <w:t>(e-mail: Joyce.mosile@kilimo.go.tz)</w:t>
      </w:r>
    </w:p>
    <w:p w:rsidR="00846B16" w:rsidRPr="00054329" w:rsidRDefault="00846B16" w:rsidP="00846B16">
      <w:pPr>
        <w:pStyle w:val="pldetails"/>
      </w:pPr>
      <w:r w:rsidRPr="00054329">
        <w:t xml:space="preserve">Lawrence NDOSI (Mr.), Agricultural Officer, Plant Breeders' Rights Office, Ministry of Agriculture (MoA), Dodoma </w:t>
      </w:r>
      <w:r w:rsidRPr="00054329">
        <w:br/>
        <w:t>(e-mail: lawrenceyobu@gmail.com)</w:t>
      </w:r>
    </w:p>
    <w:p w:rsidR="00846B16" w:rsidRPr="00054329" w:rsidRDefault="00846B16" w:rsidP="00846B16">
      <w:pPr>
        <w:pStyle w:val="pldetails"/>
      </w:pPr>
      <w:r w:rsidRPr="00054329">
        <w:t xml:space="preserve">Kelvin Charles HERI (Mr.), Policy and Planning, Ministry of Agriculture (MoA), Dodoma </w:t>
      </w:r>
      <w:r w:rsidRPr="00054329">
        <w:br/>
        <w:t>(e-mail: kelvin.heri@kilimo.go.tz)</w:t>
      </w:r>
    </w:p>
    <w:p w:rsidR="00846B16" w:rsidRPr="00054329" w:rsidRDefault="00846B16" w:rsidP="00846B16">
      <w:pPr>
        <w:pStyle w:val="plcountry"/>
      </w:pPr>
      <w:r w:rsidRPr="00054329">
        <w:t>ROUMANIE / ROMANIA / RUMÄNIEN / RUMANIA</w:t>
      </w:r>
    </w:p>
    <w:p w:rsidR="00846B16" w:rsidRPr="00054329" w:rsidRDefault="00846B16" w:rsidP="00846B16">
      <w:pPr>
        <w:pStyle w:val="pldetails"/>
      </w:pPr>
      <w:r w:rsidRPr="00054329">
        <w:t>Teodor Dan ENESCU (Mr.), Counsellor, State Institute for Variety Testing and Registration (ISTIS), Bucarest</w:t>
      </w:r>
      <w:r w:rsidRPr="00054329">
        <w:br/>
        <w:t>(e-mail: enescu_teodor@istis.ro)</w:t>
      </w:r>
    </w:p>
    <w:p w:rsidR="00846B16" w:rsidRPr="00054329" w:rsidRDefault="00846B16" w:rsidP="00846B16">
      <w:pPr>
        <w:pStyle w:val="plcountry"/>
      </w:pPr>
      <w:r w:rsidRPr="00054329">
        <w:t>ROYAUME-UNI / UNITED KINGDOM / VEREINIGTES KÖNIGREICH / REINO UNIDO</w:t>
      </w:r>
    </w:p>
    <w:p w:rsidR="00846B16" w:rsidRPr="00054329" w:rsidRDefault="00846B16" w:rsidP="00846B16">
      <w:pPr>
        <w:pStyle w:val="pldetails"/>
      </w:pPr>
      <w:r w:rsidRPr="00054329">
        <w:t xml:space="preserve">Christina BRADLEY (Ms.), Head of Plant Varieties &amp; Seeds, Department for Environment, Food and Rural Affairs (DEFRA), London </w:t>
      </w:r>
      <w:r w:rsidRPr="00054329">
        <w:br/>
        <w:t>(e-mail: Fasham-Bradley.Jobshare@defra.gov.uk)</w:t>
      </w:r>
    </w:p>
    <w:p w:rsidR="00846B16" w:rsidRPr="00054329" w:rsidRDefault="00846B16" w:rsidP="00846B16">
      <w:pPr>
        <w:pStyle w:val="pldetails"/>
      </w:pPr>
      <w:r w:rsidRPr="00054329">
        <w:t xml:space="preserve">Helen FASHAM (Ms.), Head of Plant Varieties and Seeds, Department for Environment, Food and Rural Affairs (DEFRA), London </w:t>
      </w:r>
      <w:r w:rsidRPr="00054329">
        <w:br/>
        <w:t>(e-mail: helen.fasham@defra.gov.uk)</w:t>
      </w:r>
    </w:p>
    <w:p w:rsidR="00846B16" w:rsidRPr="00054329" w:rsidRDefault="00846B16" w:rsidP="00846B16">
      <w:pPr>
        <w:pStyle w:val="plcountry"/>
      </w:pPr>
      <w:r w:rsidRPr="00054329">
        <w:t>SERBIE / SERBIA / SERBIEN / SERBIA</w:t>
      </w:r>
    </w:p>
    <w:p w:rsidR="00846B16" w:rsidRPr="00054329" w:rsidRDefault="00846B16" w:rsidP="00846B16">
      <w:pPr>
        <w:pStyle w:val="pldetails"/>
      </w:pPr>
      <w:r w:rsidRPr="00054329">
        <w:t xml:space="preserve">Gordana LONCAR (Ms.), Senior Adviser for Plant Variety protection, Plant Protection Directorate, Group for Plant Variety Protection and Biosafety, Ministry of Agriculture, Forestry and Water Management, Belgrade </w:t>
      </w:r>
      <w:r w:rsidRPr="00054329">
        <w:br/>
        <w:t>(e-mail: gordana.loncar@minpolj.gov.rs)</w:t>
      </w:r>
    </w:p>
    <w:p w:rsidR="00846B16" w:rsidRPr="00054329" w:rsidRDefault="00846B16" w:rsidP="00846B16">
      <w:pPr>
        <w:pStyle w:val="plcountry"/>
      </w:pPr>
      <w:r w:rsidRPr="00054329">
        <w:t>SLOVAQUIE / SLOVAKIA / SLOWAKEI / ESLOVAQUIA</w:t>
      </w:r>
    </w:p>
    <w:p w:rsidR="00846B16" w:rsidRPr="00054329" w:rsidRDefault="00846B16" w:rsidP="00846B16">
      <w:pPr>
        <w:pStyle w:val="pldetails"/>
      </w:pPr>
      <w:r w:rsidRPr="00054329">
        <w:t xml:space="preserve">Ľubomir BASTA (Mr.), National Coordinator for the Cooperation of the Slovak Republic with UPOV, Head of DUS testing, Department of Variety Testing, Central Control and Testing Institute in Agriculture (ÚKSÚP), Bratislava </w:t>
      </w:r>
      <w:r w:rsidRPr="00054329">
        <w:br/>
        <w:t>(e-mail: lubomir.basta@uksup.sk)</w:t>
      </w:r>
    </w:p>
    <w:p w:rsidR="00846B16" w:rsidRPr="00054329" w:rsidRDefault="00846B16" w:rsidP="00846B16">
      <w:pPr>
        <w:pStyle w:val="plcountry"/>
      </w:pPr>
      <w:r w:rsidRPr="00054329">
        <w:t>SLOVÉNIE / SLOVENIA / SLOWENIEN / ESLOVENIA</w:t>
      </w:r>
    </w:p>
    <w:p w:rsidR="00846B16" w:rsidRPr="00054329" w:rsidRDefault="00846B16" w:rsidP="00846B16">
      <w:pPr>
        <w:pStyle w:val="pldetails"/>
      </w:pPr>
      <w:r w:rsidRPr="00054329">
        <w:t>Sasa VUKSANOVIC (Mr.), Senior advisor, Ministry of Agriculture, Forestry and Food (MAFF), Ljubljana</w:t>
      </w:r>
      <w:r w:rsidRPr="00054329">
        <w:br/>
        <w:t>(e-mail: Sasa.Vuksanovic@gov.si)</w:t>
      </w:r>
    </w:p>
    <w:p w:rsidR="00846B16" w:rsidRPr="00054329" w:rsidRDefault="00846B16" w:rsidP="00846B16">
      <w:pPr>
        <w:pStyle w:val="pldetails"/>
      </w:pPr>
      <w:r w:rsidRPr="00054329">
        <w:t xml:space="preserve">Volker WACHTLER (Mr.), Political Administrator, General Secretariat, Council of the European Union, Brussels </w:t>
      </w:r>
      <w:r w:rsidRPr="00054329">
        <w:br/>
        <w:t>(e-mail: volker.wachtler@consilium.europa.eu)</w:t>
      </w:r>
    </w:p>
    <w:p w:rsidR="00846B16" w:rsidRPr="00054329" w:rsidRDefault="00846B16" w:rsidP="00846B16">
      <w:pPr>
        <w:pStyle w:val="plcountry"/>
      </w:pPr>
      <w:r w:rsidRPr="00054329">
        <w:t>SUÈDE / SWEDEN / SCHWEDEN / SUECIA</w:t>
      </w:r>
    </w:p>
    <w:p w:rsidR="00846B16" w:rsidRPr="00054329" w:rsidRDefault="00846B16" w:rsidP="00846B16">
      <w:pPr>
        <w:pStyle w:val="pldetails"/>
      </w:pPr>
      <w:r w:rsidRPr="00054329">
        <w:t xml:space="preserve">Magnus FRANZÉN (Mr.), Deputy Head, Plant and Control Department, Swedish Board of Agriculture, Jönköping </w:t>
      </w:r>
      <w:r w:rsidRPr="00054329">
        <w:br/>
        <w:t>(e-mail: magnus.franzen@jordbruksverket.se)</w:t>
      </w:r>
    </w:p>
    <w:p w:rsidR="00846B16" w:rsidRPr="00054329" w:rsidRDefault="00846B16" w:rsidP="00846B16">
      <w:pPr>
        <w:pStyle w:val="plcountry"/>
      </w:pPr>
      <w:r w:rsidRPr="00054329">
        <w:t>SUISSE / SWITZERLAND / SCHWEIZ / SUIZA</w:t>
      </w:r>
    </w:p>
    <w:p w:rsidR="00846B16" w:rsidRPr="00054329" w:rsidRDefault="00846B16" w:rsidP="00846B16">
      <w:pPr>
        <w:pStyle w:val="pldetails"/>
      </w:pPr>
      <w:r w:rsidRPr="00054329">
        <w:t xml:space="preserve">Manuela BRAND (Ms.), Plant Variety Rights Office, Plant Health and Varieties, Office fédéral de l'agriculture (OFAG), Bern </w:t>
      </w:r>
      <w:r w:rsidRPr="00054329">
        <w:br/>
        <w:t>(e-mail: manuela.brand@blw.admin.ch)</w:t>
      </w:r>
    </w:p>
    <w:p w:rsidR="00846B16" w:rsidRPr="00054329" w:rsidRDefault="00846B16" w:rsidP="00846B16">
      <w:pPr>
        <w:pStyle w:val="pldetails"/>
        <w:rPr>
          <w:lang w:val="de-DE"/>
        </w:rPr>
      </w:pPr>
      <w:r w:rsidRPr="00054329">
        <w:rPr>
          <w:lang w:val="de-DE"/>
        </w:rPr>
        <w:t xml:space="preserve">Eva TSCHARLAND (Frau), Juristin, Fachbereich Recht und Verfahren, Office fédéral de l'agriculture (OFAG), Bern </w:t>
      </w:r>
      <w:r w:rsidRPr="00054329">
        <w:rPr>
          <w:lang w:val="de-DE"/>
        </w:rPr>
        <w:br/>
        <w:t>(e-mail: eva.tscharland@blw.admin.ch)</w:t>
      </w:r>
    </w:p>
    <w:p w:rsidR="00846B16" w:rsidRPr="00054329" w:rsidRDefault="00846B16" w:rsidP="00846B16">
      <w:pPr>
        <w:pStyle w:val="plcountry"/>
      </w:pPr>
      <w:r w:rsidRPr="00054329">
        <w:t>UKRAINE / UKRAINE / UKRAINE / UCRANIA</w:t>
      </w:r>
    </w:p>
    <w:p w:rsidR="00846B16" w:rsidRPr="00054329" w:rsidRDefault="00846B16" w:rsidP="00846B16">
      <w:pPr>
        <w:pStyle w:val="pldetails"/>
      </w:pPr>
      <w:r w:rsidRPr="00054329">
        <w:t xml:space="preserve">Evgen BOBONYCH (Mr.), Head, Legal Department, Ukrainian Institute for Plant Variety Examination, Kyiv </w:t>
      </w:r>
      <w:r w:rsidRPr="00054329">
        <w:br/>
        <w:t>(e-mail: bobonicevgenij@gmail.com)</w:t>
      </w:r>
    </w:p>
    <w:p w:rsidR="00846B16" w:rsidRPr="00054329" w:rsidRDefault="00846B16" w:rsidP="00846B16">
      <w:pPr>
        <w:pStyle w:val="pldetails"/>
      </w:pPr>
      <w:r w:rsidRPr="00054329">
        <w:t xml:space="preserve">Nataliya YAKUBENKO (Ms.), Head, Department of International Cooperation and Support of the UPOV Council Representative, Ukrainian Institute for Plant Variety Examination, Kyiv </w:t>
      </w:r>
      <w:r w:rsidRPr="00054329">
        <w:br/>
        <w:t>(e-mail: nataliya.yakubenko@gmail.com)</w:t>
      </w:r>
    </w:p>
    <w:p w:rsidR="00846B16" w:rsidRPr="00054329" w:rsidRDefault="00846B16" w:rsidP="00846B16">
      <w:pPr>
        <w:pStyle w:val="pldetails"/>
      </w:pPr>
      <w:r w:rsidRPr="00054329">
        <w:lastRenderedPageBreak/>
        <w:t xml:space="preserve">Halyna KARAZHBEI (Ms.), Head, Division of Registration of Plant Varity Rights, Ministry of Agrarian Policy and Food of Ukraine, Kyiv </w:t>
      </w:r>
      <w:r w:rsidRPr="00054329">
        <w:br/>
        <w:t>(e-mail: galinakar@ukr.net)</w:t>
      </w:r>
    </w:p>
    <w:p w:rsidR="00846B16" w:rsidRPr="00054329" w:rsidRDefault="00846B16" w:rsidP="00846B16">
      <w:pPr>
        <w:pStyle w:val="pldetails"/>
      </w:pPr>
      <w:r w:rsidRPr="00054329">
        <w:t xml:space="preserve">Polina IVASHCHENKO (Ms.), Chief Specialist, Department of International Policy, Ministry of Agrarian Policy and Food of Ukraine, Kyiv </w:t>
      </w:r>
      <w:r w:rsidRPr="00054329">
        <w:br/>
        <w:t>(e-mail: polina.ivashchenko@gmail.com)</w:t>
      </w:r>
    </w:p>
    <w:p w:rsidR="00846B16" w:rsidRPr="00054329" w:rsidRDefault="00846B16" w:rsidP="00846B16">
      <w:pPr>
        <w:pStyle w:val="plcountry"/>
      </w:pPr>
      <w:r w:rsidRPr="00054329">
        <w:t>UNION EUROPÉENNE / EUROPEAN UNION / EUROPÄISCHE UNION / UNIÓN EUROPEA</w:t>
      </w:r>
    </w:p>
    <w:p w:rsidR="00846B16" w:rsidRPr="00054329" w:rsidRDefault="00846B16" w:rsidP="00846B16">
      <w:pPr>
        <w:pStyle w:val="pldetails"/>
      </w:pPr>
      <w:r w:rsidRPr="00054329">
        <w:t xml:space="preserve">Päivi MANNERKORPI (Ms.), Team Leader - Plant Reproductive Material, Unit G1 Plant Health, Directorate General for Health and Food Safety (DG SANTE), European Commission, Brussels </w:t>
      </w:r>
      <w:r w:rsidRPr="00054329">
        <w:br/>
        <w:t>(e-mail: paivi.mannerkorpi@ec.europa.eu)</w:t>
      </w:r>
    </w:p>
    <w:p w:rsidR="00846B16" w:rsidRPr="00054329" w:rsidRDefault="00846B16" w:rsidP="00846B16">
      <w:pPr>
        <w:pStyle w:val="pldetails"/>
      </w:pPr>
      <w:r w:rsidRPr="00054329">
        <w:t xml:space="preserve">Francesco MATTINA (Mr.), Acting President, Community Plant Variety Office (CPVO), Angers </w:t>
      </w:r>
      <w:r w:rsidRPr="00054329">
        <w:br/>
        <w:t>(e-mail: mattina@cpvo.europa.eu)</w:t>
      </w:r>
    </w:p>
    <w:p w:rsidR="00846B16" w:rsidRPr="00054329" w:rsidRDefault="00846B16" w:rsidP="00846B16">
      <w:pPr>
        <w:pStyle w:val="pldetails"/>
      </w:pPr>
      <w:r w:rsidRPr="00054329">
        <w:t xml:space="preserve">Dirk THEOBALD (Mr.), Senior Adviser, Community Plant Variety Office (CPVO), Angers </w:t>
      </w:r>
      <w:r w:rsidRPr="00054329">
        <w:br/>
        <w:t>(e-mail: theobald@cpvo.europa.eu)</w:t>
      </w:r>
    </w:p>
    <w:p w:rsidR="00846B16" w:rsidRPr="00054329" w:rsidRDefault="00846B16" w:rsidP="00846B16">
      <w:pPr>
        <w:pStyle w:val="pldetails"/>
      </w:pPr>
      <w:r w:rsidRPr="00054329">
        <w:t xml:space="preserve">Volker WACHTLER (Mr.), Political Administrator, General Secretariat, Council of the European Union, Brussels </w:t>
      </w:r>
      <w:r w:rsidRPr="00054329">
        <w:br/>
        <w:t>(e-mail: volker.wachtler@consilium.europa.eu)</w:t>
      </w:r>
    </w:p>
    <w:p w:rsidR="00846B16" w:rsidRPr="00054329" w:rsidRDefault="00846B16" w:rsidP="00846B16">
      <w:pPr>
        <w:pStyle w:val="pldetails"/>
      </w:pPr>
      <w:r w:rsidRPr="00054329">
        <w:t>Stefan HAFFKE (Mr.), Policy Officer, Directorate General for Health and Food Safety (DG SANTE), Brussels</w:t>
      </w:r>
      <w:r w:rsidRPr="00054329">
        <w:br/>
        <w:t>(e-mail: stefan.haffke@ec.europa.eu)</w:t>
      </w:r>
    </w:p>
    <w:p w:rsidR="00846B16" w:rsidRPr="00054329" w:rsidRDefault="00846B16" w:rsidP="00846B16">
      <w:pPr>
        <w:pStyle w:val="plcountry"/>
      </w:pPr>
      <w:r w:rsidRPr="00054329">
        <w:t>VIET NAM / VIETNAM / VIET NAM</w:t>
      </w:r>
    </w:p>
    <w:p w:rsidR="00846B16" w:rsidRPr="00054329" w:rsidRDefault="00846B16" w:rsidP="00846B16">
      <w:pPr>
        <w:pStyle w:val="pldetails"/>
      </w:pPr>
      <w:r w:rsidRPr="00054329">
        <w:t xml:space="preserve">Thi Hoa TRAN (Ms.), Director, Plant Variety Protection Office (PVPO), Deputy Director General Department of Crop Production (DCP), Ministry of Agriculture and Rural Development (MARD), Hanoi </w:t>
      </w:r>
      <w:r w:rsidRPr="00054329">
        <w:br/>
        <w:t>(e-mail: Hoalinh85@gmail.com)</w:t>
      </w:r>
    </w:p>
    <w:p w:rsidR="00846B16" w:rsidRPr="00054329" w:rsidRDefault="00846B16" w:rsidP="00846B16">
      <w:pPr>
        <w:pStyle w:val="pldetails"/>
      </w:pPr>
      <w:r w:rsidRPr="00054329">
        <w:t xml:space="preserve">Ngoc Lam LE (Mr.), Counsellor, Permanent Mission of Viet Nam to the United Nations, the World Trade Organization and other International Organizations in Geneva, Geneva </w:t>
      </w:r>
      <w:r w:rsidRPr="00054329">
        <w:br/>
        <w:t>(e-mail: lengoclamip@gmail.com)</w:t>
      </w:r>
    </w:p>
    <w:p w:rsidR="00846B16" w:rsidRPr="00054329" w:rsidRDefault="00846B16" w:rsidP="00846B16">
      <w:pPr>
        <w:pStyle w:val="plheading"/>
        <w:rPr>
          <w:lang w:val="de-DE"/>
        </w:rPr>
      </w:pPr>
      <w:r w:rsidRPr="00054329">
        <w:rPr>
          <w:lang w:val="de-DE"/>
        </w:rPr>
        <w:t>II. OBSERVATEURS / OBSERVERS / BEOBACHTER / OBSERVADORES</w:t>
      </w:r>
    </w:p>
    <w:p w:rsidR="00846B16" w:rsidRPr="00846B16" w:rsidRDefault="00846B16" w:rsidP="00846B16">
      <w:pPr>
        <w:pStyle w:val="plcountry"/>
        <w:rPr>
          <w:lang w:val="de-DE"/>
        </w:rPr>
      </w:pPr>
      <w:r w:rsidRPr="00846B16">
        <w:rPr>
          <w:lang w:val="de-DE"/>
        </w:rPr>
        <w:t>ALGÉRIE / ALGERIA / ALGERIEN / ARGELIA</w:t>
      </w:r>
    </w:p>
    <w:p w:rsidR="00846B16" w:rsidRPr="00821B2A" w:rsidRDefault="00846B16" w:rsidP="00846B16">
      <w:pPr>
        <w:pStyle w:val="pldetails"/>
        <w:rPr>
          <w:lang w:val="fr-CH"/>
        </w:rPr>
      </w:pPr>
      <w:r w:rsidRPr="00732D80">
        <w:rPr>
          <w:lang w:val="fr-CH"/>
        </w:rPr>
        <w:t xml:space="preserve">Naila BOUDISSA (Mme), Assistante technique, Ministère de l'agriculture et du développement rural, Alger </w:t>
      </w:r>
      <w:r w:rsidRPr="00732D80">
        <w:rPr>
          <w:lang w:val="fr-CH"/>
        </w:rPr>
        <w:br/>
        <w:t>(e-mail: n.boudissa@inapi.org)</w:t>
      </w:r>
    </w:p>
    <w:p w:rsidR="00846B16" w:rsidRPr="00190C83" w:rsidRDefault="00846B16" w:rsidP="00846B16">
      <w:pPr>
        <w:pStyle w:val="plcountry"/>
        <w:rPr>
          <w:lang w:val="fr-CH"/>
        </w:rPr>
      </w:pPr>
      <w:r w:rsidRPr="00190C83">
        <w:rPr>
          <w:lang w:val="fr-CH"/>
        </w:rPr>
        <w:t>KAZAKHSTAN / KAZAKHSTAN / KASACHSTAN / KAZAJSTÁN</w:t>
      </w:r>
    </w:p>
    <w:p w:rsidR="00846B16" w:rsidRPr="00190C83" w:rsidRDefault="00846B16" w:rsidP="00846B16">
      <w:pPr>
        <w:pStyle w:val="pldetails"/>
        <w:rPr>
          <w:lang w:val="fr-CH"/>
        </w:rPr>
      </w:pPr>
      <w:r w:rsidRPr="00190C83">
        <w:rPr>
          <w:lang w:val="fr-CH"/>
        </w:rPr>
        <w:t xml:space="preserve">Ademi GABDOLA (Ms.), Specialist, State Commission for variety testing of agricultural crops, Nur-Sultan </w:t>
      </w:r>
      <w:r w:rsidRPr="00190C83">
        <w:rPr>
          <w:lang w:val="fr-CH"/>
        </w:rPr>
        <w:br/>
        <w:t>(e-mail: for_work_15@mail.ru)</w:t>
      </w:r>
    </w:p>
    <w:p w:rsidR="00846B16" w:rsidRPr="00054329" w:rsidRDefault="00846B16" w:rsidP="00846B16">
      <w:pPr>
        <w:pStyle w:val="plcountry"/>
      </w:pPr>
      <w:r w:rsidRPr="00054329">
        <w:t>THAÏLANDE / THAILAND / THAILAND / TAILANDIA</w:t>
      </w:r>
    </w:p>
    <w:p w:rsidR="00846B16" w:rsidRPr="00054329" w:rsidRDefault="00846B16" w:rsidP="00846B16">
      <w:pPr>
        <w:pStyle w:val="pldetails"/>
      </w:pPr>
      <w:r w:rsidRPr="00054329">
        <w:t xml:space="preserve">Kunyaporn PIPITHSANGCHAN (Ms.), Director of Genebank Research and Development Group, Biotechnology Research and Development Office, Ministry of Agriculture and Cooperatives, Rangsit </w:t>
      </w:r>
      <w:r w:rsidRPr="00054329">
        <w:br/>
        <w:t>(e-mail: kunyapithsan1@gmail.com)</w:t>
      </w:r>
    </w:p>
    <w:p w:rsidR="00846B16" w:rsidRPr="00054329" w:rsidRDefault="00846B16" w:rsidP="00846B16">
      <w:pPr>
        <w:pStyle w:val="plcountry"/>
      </w:pPr>
      <w:r w:rsidRPr="00054329">
        <w:t>ZIMBABWE / ZIMBABWE / SIMBABWE / ZIMBABWE</w:t>
      </w:r>
    </w:p>
    <w:p w:rsidR="00846B16" w:rsidRPr="00054329" w:rsidRDefault="00846B16" w:rsidP="00846B16">
      <w:pPr>
        <w:pStyle w:val="pldetails"/>
      </w:pPr>
      <w:r w:rsidRPr="00054329">
        <w:t xml:space="preserve">Tambudzai CHIKUTUMA MUCHOKOMORI (Ms.), Principal Seed Technologist, Plant Breeders' Rights Officer, Seed Services Institute, Ministry of Lands, Agriculture, Water, Climate and Rural Resettlement, Harare </w:t>
      </w:r>
      <w:r w:rsidRPr="00054329">
        <w:br/>
        <w:t>(e-mail: muchokomorit@gmail.com)</w:t>
      </w:r>
    </w:p>
    <w:p w:rsidR="00846B16" w:rsidRPr="00054329" w:rsidRDefault="00846B16" w:rsidP="00846B16">
      <w:pPr>
        <w:pStyle w:val="pldetails"/>
      </w:pPr>
      <w:r w:rsidRPr="00054329">
        <w:t xml:space="preserve">Memory Z. Mlambo BUSAYI (Ms.), Legal Officer, Ministry of Lands, Agriculture, Fisheries, Water and Rural Resettlement, Harare </w:t>
      </w:r>
      <w:r w:rsidRPr="00054329">
        <w:br/>
        <w:t>(e-mail: memory.busayi2020@gmail.com)</w:t>
      </w:r>
    </w:p>
    <w:p w:rsidR="00846B16" w:rsidRPr="00190C83" w:rsidRDefault="00846B16" w:rsidP="00846B16">
      <w:pPr>
        <w:pStyle w:val="plheading"/>
      </w:pPr>
      <w:r w:rsidRPr="00190C83">
        <w:lastRenderedPageBreak/>
        <w:t xml:space="preserve">III. </w:t>
      </w:r>
      <w:proofErr w:type="spellStart"/>
      <w:r w:rsidRPr="00190C83">
        <w:t>ORGANISATIONS</w:t>
      </w:r>
      <w:proofErr w:type="spellEnd"/>
      <w:r w:rsidRPr="00190C83">
        <w:t xml:space="preserve"> / ORGANIZATIONS / </w:t>
      </w:r>
      <w:proofErr w:type="spellStart"/>
      <w:r w:rsidRPr="00190C83">
        <w:t>ORGANISATIONEN</w:t>
      </w:r>
      <w:proofErr w:type="spellEnd"/>
      <w:r w:rsidRPr="00190C83">
        <w:t xml:space="preserve"> / </w:t>
      </w:r>
      <w:proofErr w:type="spellStart"/>
      <w:r w:rsidRPr="00190C83">
        <w:t>ORGANIZACIONES</w:t>
      </w:r>
      <w:proofErr w:type="spellEnd"/>
    </w:p>
    <w:p w:rsidR="00846B16" w:rsidRPr="00190C83" w:rsidRDefault="00846B16" w:rsidP="00846B16">
      <w:pPr>
        <w:pStyle w:val="plcountry"/>
      </w:pPr>
      <w:r w:rsidRPr="00190C83">
        <w:t xml:space="preserve">ASSOCIATION INTERNATIONALE DES PRODUCTEURS HORTICOLES (AIPH) / </w:t>
      </w:r>
      <w:r w:rsidRPr="00190C83">
        <w:br/>
        <w:t xml:space="preserve">INTERNATIONAL ASSOCIATION OF HORTICULTURAL PRODUCERS (AIPH) / </w:t>
      </w:r>
      <w:r w:rsidRPr="00190C83">
        <w:br/>
        <w:t xml:space="preserve">INTERNATIONALER VERBAND DES ERWERBSGARTENBAUES (AIPH) / </w:t>
      </w:r>
      <w:r w:rsidRPr="00190C83">
        <w:br/>
        <w:t>ASOCIACIÓN INTERNACIONAL DE PRODUCTORES HORTÍCOLAS (AIPH)</w:t>
      </w:r>
    </w:p>
    <w:p w:rsidR="00846B16" w:rsidRPr="00054329" w:rsidRDefault="00846B16" w:rsidP="00846B16">
      <w:pPr>
        <w:pStyle w:val="pldetails"/>
      </w:pPr>
      <w:r w:rsidRPr="00054329">
        <w:t xml:space="preserve">Mia HOPPERUS BUMA (Ms.), Secretary, Committee for Novelty Protection, International Association of Horticultural Producers (AIPH), Oxfordshire, United Kingdom </w:t>
      </w:r>
      <w:r w:rsidRPr="00054329">
        <w:br/>
        <w:t>(e-mail: info@miabuma.nl)</w:t>
      </w:r>
    </w:p>
    <w:p w:rsidR="00846B16" w:rsidRPr="00054329" w:rsidRDefault="00846B16" w:rsidP="00846B16">
      <w:pPr>
        <w:pStyle w:val="plcountry"/>
      </w:pPr>
      <w:r w:rsidRPr="00054329">
        <w:t>ASSOCIATION FOR PLANT BREEDING FOR THE BENEFIT OF SOCIETY (APBREBES)</w:t>
      </w:r>
    </w:p>
    <w:p w:rsidR="00846B16" w:rsidRPr="00054329" w:rsidRDefault="00846B16" w:rsidP="00846B16">
      <w:pPr>
        <w:pStyle w:val="pldetails"/>
      </w:pPr>
      <w:r w:rsidRPr="00054329">
        <w:t>François MEIENBERG (Mr.), Coordinator, Association for Plant Breeding for the Benefit of Society (APBREBES), Zürich, Switzerland</w:t>
      </w:r>
      <w:r w:rsidRPr="00054329">
        <w:br/>
        <w:t>(e-mail: contact@apbrebes.org)</w:t>
      </w:r>
    </w:p>
    <w:p w:rsidR="00846B16" w:rsidRPr="00054329" w:rsidRDefault="00846B16" w:rsidP="00846B16">
      <w:pPr>
        <w:pStyle w:val="plcountry"/>
      </w:pPr>
      <w:r w:rsidRPr="00054329">
        <w:t xml:space="preserve">COMMUNAUTÉ INTERNATIONALE DES OBTENTEURS DE PLANTES HORTICOLES À REPRODUCTION ASEXUÉE (CIOPORA) / </w:t>
      </w:r>
      <w:r w:rsidRPr="00054329">
        <w:br/>
        <w:t xml:space="preserve">INTERNATIONAL COMMUNITY OF BREEDERS OF ASEXUALLY REPRODUCED HORTICULTURAL PLANTS (CIOPORA) / </w:t>
      </w:r>
      <w:r w:rsidRPr="00054329">
        <w:br/>
        <w:t xml:space="preserve">Internationale Gemeinschaft der Züchter vegetativ vermehrbarer gartenbaulicher Pflanzen (CIOPORA) / </w:t>
      </w:r>
      <w:r w:rsidRPr="00054329">
        <w:br/>
        <w:t>Comunidad Internacional de Obtentores de Plantas Hortícolas de Reproducción Asexuada (CIOPORA)</w:t>
      </w:r>
    </w:p>
    <w:p w:rsidR="00846B16" w:rsidRPr="00054329" w:rsidRDefault="00846B16" w:rsidP="00846B16">
      <w:pPr>
        <w:pStyle w:val="pldetails"/>
      </w:pPr>
      <w:r w:rsidRPr="00054329">
        <w:t xml:space="preserve">Edgar KRIEGER (Mr.), Secretary General, International Community of Breeders of Asexually Reproduced Horticultural Plants (CIOPORA), Hamburg, Germany </w:t>
      </w:r>
      <w:r w:rsidRPr="00054329">
        <w:br/>
        <w:t>(e-mail: edgar.krieger@ciopora.org)</w:t>
      </w:r>
    </w:p>
    <w:p w:rsidR="00846B16" w:rsidRPr="00054329" w:rsidRDefault="00846B16" w:rsidP="00846B16">
      <w:pPr>
        <w:pStyle w:val="pldetails"/>
      </w:pPr>
      <w:r w:rsidRPr="00054329">
        <w:t xml:space="preserve">Selena TRAVAGLIO (Ms.), Legal Counsel, International Community of Breeders of Asexually Reproduced Horticultural Plants (CIOPORA), Hamburg, Germany </w:t>
      </w:r>
      <w:r w:rsidRPr="00054329">
        <w:br/>
        <w:t>(e-mail: Selena.Travaglio@ciopora.org)</w:t>
      </w:r>
    </w:p>
    <w:p w:rsidR="00846B16" w:rsidRPr="00054329" w:rsidRDefault="00846B16" w:rsidP="00846B16">
      <w:pPr>
        <w:pStyle w:val="pldetails"/>
      </w:pPr>
      <w:r w:rsidRPr="00054329">
        <w:t>Dominique THÉVENON (Ms.), President - AOHE, Boad Member and Treasurer - CIOPORA, Association of European Horticultural Breeders (AOHE), Piolenc, France</w:t>
      </w:r>
      <w:r w:rsidRPr="00054329">
        <w:br/>
        <w:t>(e-mail: t.dominique4@orange.fr)</w:t>
      </w:r>
    </w:p>
    <w:p w:rsidR="00846B16" w:rsidRPr="00054329" w:rsidRDefault="00846B16" w:rsidP="00846B16">
      <w:pPr>
        <w:pStyle w:val="plcountry"/>
      </w:pPr>
      <w:r w:rsidRPr="00054329">
        <w:t>CROPLIFE INTERNATIONAL</w:t>
      </w:r>
    </w:p>
    <w:p w:rsidR="00846B16" w:rsidRPr="00054329" w:rsidRDefault="00846B16" w:rsidP="00846B16">
      <w:pPr>
        <w:pStyle w:val="pldetails"/>
      </w:pPr>
      <w:r w:rsidRPr="00054329">
        <w:t>Marcel BRUINS (Mr.), Consultant, CropLife International, Bruxelles, Belgium</w:t>
      </w:r>
      <w:r w:rsidRPr="00054329">
        <w:br/>
        <w:t>(e-mail: marcel@bruinsseedconsultancy.com)</w:t>
      </w:r>
    </w:p>
    <w:p w:rsidR="00846B16" w:rsidRPr="00054329" w:rsidRDefault="00846B16" w:rsidP="00846B16">
      <w:pPr>
        <w:pStyle w:val="plcountry"/>
      </w:pPr>
      <w:r w:rsidRPr="00054329">
        <w:t>EUROSEEDS</w:t>
      </w:r>
    </w:p>
    <w:p w:rsidR="00846B16" w:rsidRPr="00054329" w:rsidRDefault="00846B16" w:rsidP="00846B16">
      <w:pPr>
        <w:pStyle w:val="pldetails"/>
      </w:pPr>
      <w:r w:rsidRPr="00054329">
        <w:t>Szonja CSÖRGÖ (Ms.), Director, Intellectual Property &amp; Legal Affairs, Euroseeds, Bruxelles, Belgium</w:t>
      </w:r>
      <w:r w:rsidRPr="00054329">
        <w:br/>
        <w:t>(e-mail: szonjacsorgo@euroseeds.eu)</w:t>
      </w:r>
    </w:p>
    <w:p w:rsidR="00846B16" w:rsidRPr="00054329" w:rsidRDefault="00846B16" w:rsidP="00846B16">
      <w:pPr>
        <w:pStyle w:val="pldetails"/>
      </w:pPr>
      <w:r w:rsidRPr="00054329">
        <w:t>Catherine Chepkurui LANG'AT (Ms.), Technical Manager Plant Breeding &amp; Variety Registration, Euroseeds, Bruxelles, Belgium</w:t>
      </w:r>
      <w:r w:rsidRPr="00054329">
        <w:br/>
        <w:t>(e-mail: catherinelangat@euroseeds.eu)</w:t>
      </w:r>
    </w:p>
    <w:p w:rsidR="00846B16" w:rsidRPr="00054329" w:rsidRDefault="00846B16" w:rsidP="00846B16">
      <w:pPr>
        <w:pStyle w:val="plcountry"/>
      </w:pPr>
      <w:r w:rsidRPr="00054329">
        <w:t>INTERNATIONAL SEED FEDERATION (ISF)</w:t>
      </w:r>
    </w:p>
    <w:p w:rsidR="00846B16" w:rsidRPr="00054329" w:rsidRDefault="00846B16" w:rsidP="00846B16">
      <w:pPr>
        <w:pStyle w:val="pldetails"/>
      </w:pPr>
      <w:r w:rsidRPr="00054329">
        <w:t>Hélène KHAN NIAZI (Ms.), International Agriculture Manager, International Seed Federation (ISF), Nyon, Switzerland</w:t>
      </w:r>
      <w:r w:rsidRPr="00054329">
        <w:br/>
        <w:t>(e-mail: h.khanniazi@worldseed.org)</w:t>
      </w:r>
    </w:p>
    <w:p w:rsidR="00846B16" w:rsidRPr="00054329" w:rsidRDefault="00846B16" w:rsidP="00846B16">
      <w:pPr>
        <w:pStyle w:val="pldetails"/>
      </w:pPr>
      <w:r w:rsidRPr="00054329">
        <w:t xml:space="preserve">Astrid M. SCHENKEVELD (Ms.), Specialist, Plant Breeder's Rights &amp; Variety Registration | Legal, Rijk Zwaan Zaadteelt en Zaadhandel B.V., De Lier, Netherlands </w:t>
      </w:r>
      <w:r w:rsidRPr="00054329">
        <w:br/>
        <w:t>(e-mail: a.schenkeveld@rijkzwaan.nl)</w:t>
      </w:r>
    </w:p>
    <w:p w:rsidR="00846B16" w:rsidRPr="00054329" w:rsidRDefault="00846B16" w:rsidP="00846B16">
      <w:pPr>
        <w:pStyle w:val="pldetails"/>
      </w:pPr>
      <w:r w:rsidRPr="00054329">
        <w:t>John Howard DUESING (Mr.), Consultant, Consulting EDV Project Manager, American Seed Trade Association (ASTA), Des Moines, United States of America</w:t>
      </w:r>
      <w:r w:rsidRPr="00054329">
        <w:br/>
        <w:t>(e-mail: jhd3@mchsi.com)</w:t>
      </w:r>
    </w:p>
    <w:p w:rsidR="00846B16" w:rsidRPr="00054329" w:rsidRDefault="00846B16" w:rsidP="00846B16">
      <w:pPr>
        <w:pStyle w:val="plcountry"/>
      </w:pPr>
      <w:r w:rsidRPr="00054329">
        <w:lastRenderedPageBreak/>
        <w:t xml:space="preserve">ORGANISATION RÉGIONALE AFRICAINE DE LA PROPRIÉTÉ INTELLECTUELLE (ARIPO) / </w:t>
      </w:r>
      <w:r w:rsidRPr="00054329">
        <w:br/>
        <w:t xml:space="preserve">AFRICAN REGIONAL INTELLECTUAL PROPERTY ORGANIZATION (ARIPO) / </w:t>
      </w:r>
      <w:r w:rsidRPr="00054329">
        <w:br/>
        <w:t>Afrikanische Regionalorganisation für gewerbliches Eigentum (ARIPO)</w:t>
      </w:r>
      <w:r w:rsidRPr="00054329">
        <w:br/>
        <w:t>ORGANIZACIÓN REGIONAL AFRICANA DE LA PROPIEDAD INTELECTUAL (ARIPO)</w:t>
      </w:r>
    </w:p>
    <w:p w:rsidR="00846B16" w:rsidRPr="00054329" w:rsidRDefault="00846B16" w:rsidP="00846B16">
      <w:pPr>
        <w:pStyle w:val="pldetails"/>
      </w:pPr>
      <w:r w:rsidRPr="00054329">
        <w:t xml:space="preserve">Flora Kokwihyukya MPANJU (Ms.), Head, Search and Substantive Examination, Harare, Zimbabwe </w:t>
      </w:r>
      <w:r w:rsidRPr="00054329">
        <w:br/>
        <w:t>(e-mail: fmpanju@aripo.org)</w:t>
      </w:r>
    </w:p>
    <w:p w:rsidR="00846B16" w:rsidRPr="00054329" w:rsidRDefault="00846B16" w:rsidP="00846B16">
      <w:pPr>
        <w:pStyle w:val="plcountry"/>
      </w:pPr>
      <w:r w:rsidRPr="00054329">
        <w:t>SEED ASSOCIATION OF THE AMERICAS (SAA)</w:t>
      </w:r>
    </w:p>
    <w:p w:rsidR="00846B16" w:rsidRPr="00054329" w:rsidRDefault="00846B16" w:rsidP="00846B16">
      <w:pPr>
        <w:pStyle w:val="pldetails"/>
      </w:pPr>
      <w:r w:rsidRPr="00054329">
        <w:t>Diego A. RISSO (Mr.), Director Ejecutivo, Seed Association of the Americas (SAA), Montevideo, Uruguay</w:t>
      </w:r>
      <w:r w:rsidRPr="00054329">
        <w:br/>
        <w:t>(e-mail: drisso@saaseed.org)</w:t>
      </w:r>
    </w:p>
    <w:p w:rsidR="00846B16" w:rsidRDefault="00846B16" w:rsidP="00846B16">
      <w:pPr>
        <w:pStyle w:val="pldetails"/>
      </w:pPr>
      <w:r w:rsidRPr="00054329">
        <w:t xml:space="preserve">Marymar BUTRUILLE (Ms.), Germplasm IP Scientist Lead, Bayer Crop Science, Ankeny, United States of America </w:t>
      </w:r>
      <w:r w:rsidRPr="00054329">
        <w:br/>
        <w:t>(e-mail: marymar.butruille@bayer.com)</w:t>
      </w:r>
    </w:p>
    <w:p w:rsidR="00846B16" w:rsidRPr="004071DD" w:rsidRDefault="00846B16" w:rsidP="00846B16">
      <w:pPr>
        <w:pStyle w:val="plheading"/>
        <w:rPr>
          <w:rFonts w:cs="Arial"/>
        </w:rPr>
      </w:pPr>
      <w:r>
        <w:rPr>
          <w:rFonts w:cs="Arial"/>
        </w:rPr>
        <w:t>I</w:t>
      </w:r>
      <w:r w:rsidRPr="004071DD">
        <w:rPr>
          <w:rFonts w:cs="Arial"/>
        </w:rPr>
        <w:t>V. BUREAU / OFFICER / VORSITZ / OFICINA</w:t>
      </w:r>
    </w:p>
    <w:p w:rsidR="00846B16" w:rsidRPr="000578DF" w:rsidRDefault="00846B16" w:rsidP="00846B16">
      <w:pPr>
        <w:pStyle w:val="pldetails"/>
      </w:pPr>
      <w:r w:rsidRPr="000578DF">
        <w:t>Manuel Antonio TORO UGALDE (Mr.), Vice-Chair</w:t>
      </w:r>
    </w:p>
    <w:p w:rsidR="00846B16" w:rsidRPr="004071DD" w:rsidRDefault="00846B16" w:rsidP="00846B16">
      <w:pPr>
        <w:pStyle w:val="plheading"/>
        <w:keepLines/>
        <w:rPr>
          <w:rFonts w:cs="Arial"/>
        </w:rPr>
      </w:pPr>
      <w:r w:rsidRPr="004071DD">
        <w:rPr>
          <w:rFonts w:cs="Arial"/>
        </w:rPr>
        <w:t>V. BUREAU DE L’UPOV / OFFICE OF UPOV / BÜRO DER UPOV / OFICINA DE LA UPOV</w:t>
      </w:r>
    </w:p>
    <w:p w:rsidR="00846B16" w:rsidRPr="00841411" w:rsidRDefault="00846B16" w:rsidP="00846B16">
      <w:pPr>
        <w:pStyle w:val="pldetails"/>
        <w:keepNext/>
      </w:pPr>
      <w:r w:rsidRPr="00841411">
        <w:t>Peter BUTTON</w:t>
      </w:r>
      <w:r>
        <w:t xml:space="preserve"> (Mr.)</w:t>
      </w:r>
      <w:r w:rsidRPr="00841411">
        <w:t>, Vice Secretary-General</w:t>
      </w:r>
    </w:p>
    <w:p w:rsidR="00846B16" w:rsidRPr="00841411" w:rsidRDefault="00846B16" w:rsidP="00846B16">
      <w:pPr>
        <w:pStyle w:val="pldetails"/>
        <w:keepNext/>
      </w:pPr>
      <w:r w:rsidRPr="00841411">
        <w:t xml:space="preserve">Yolanda HUERTA (Ms.), </w:t>
      </w:r>
      <w:r w:rsidRPr="00115E79">
        <w:t>Legal Counsel and Director of Training and Assistance</w:t>
      </w:r>
    </w:p>
    <w:p w:rsidR="00846B16" w:rsidRPr="00C53674" w:rsidRDefault="00846B16" w:rsidP="00846B16">
      <w:pPr>
        <w:pStyle w:val="pldetails"/>
        <w:keepNext/>
      </w:pPr>
      <w:r w:rsidRPr="00C53674">
        <w:t>Ben RIVOIRE (Mr.), Head of Seed Sector Cooperation and Regional Development (Africa, Arab Countries)</w:t>
      </w:r>
    </w:p>
    <w:p w:rsidR="00846B16" w:rsidRPr="00C53674" w:rsidRDefault="00846B16" w:rsidP="00846B16">
      <w:pPr>
        <w:pStyle w:val="pldetails"/>
        <w:keepNext/>
      </w:pPr>
      <w:r w:rsidRPr="00C53674">
        <w:t>Leontino TAVEIRA (Mr.), Head of Technical Affairs and Regional Development (Latin America, Caribbean)</w:t>
      </w:r>
    </w:p>
    <w:p w:rsidR="00846B16" w:rsidRPr="00AF437E" w:rsidRDefault="00846B16" w:rsidP="00846B16">
      <w:pPr>
        <w:pStyle w:val="pldetails"/>
        <w:keepNext/>
      </w:pPr>
      <w:r w:rsidRPr="00C53674">
        <w:t>Hend MADHOUR (Ms.), IT Officer</w:t>
      </w:r>
    </w:p>
    <w:p w:rsidR="00846B16" w:rsidRDefault="00846B16" w:rsidP="00846B16">
      <w:pPr>
        <w:pStyle w:val="pldetails"/>
        <w:keepNext/>
      </w:pPr>
      <w:r>
        <w:t>Manabu SUZUKI (Mr.)</w:t>
      </w:r>
      <w:r w:rsidRPr="00841411">
        <w:t>, Technical/Regional Officer (Asia)</w:t>
      </w:r>
    </w:p>
    <w:p w:rsidR="00846B16" w:rsidRPr="00601CBB" w:rsidRDefault="00846B16" w:rsidP="00846B16">
      <w:pPr>
        <w:pStyle w:val="pldetails"/>
      </w:pPr>
      <w:r w:rsidRPr="00601CBB">
        <w:t>Amit SHARMA (Mr.</w:t>
      </w:r>
      <w:r>
        <w:t>)</w:t>
      </w:r>
      <w:r w:rsidRPr="00601CBB">
        <w:t>, IT Support Officer</w:t>
      </w:r>
    </w:p>
    <w:p w:rsidR="00846B16" w:rsidRPr="000578DF" w:rsidRDefault="00846B16" w:rsidP="00846B16">
      <w:pPr>
        <w:pStyle w:val="pldetails"/>
        <w:rPr>
          <w:lang w:val="fr-CH"/>
        </w:rPr>
      </w:pPr>
      <w:r w:rsidRPr="000578DF">
        <w:rPr>
          <w:lang w:val="fr-CH"/>
        </w:rPr>
        <w:t>Ariane BESSE (Ms.), Administrative Assistant</w:t>
      </w:r>
    </w:p>
    <w:p w:rsidR="00846B16" w:rsidRDefault="00846B16" w:rsidP="00846B16">
      <w:pPr>
        <w:rPr>
          <w:lang w:val="fr-CH"/>
        </w:rPr>
      </w:pPr>
    </w:p>
    <w:p w:rsidR="00C15FC9" w:rsidRPr="000578DF" w:rsidRDefault="00C15FC9" w:rsidP="00846B16">
      <w:pPr>
        <w:rPr>
          <w:lang w:val="fr-CH"/>
        </w:rPr>
      </w:pPr>
    </w:p>
    <w:p w:rsidR="00C15FC9" w:rsidRPr="00C15FC9" w:rsidRDefault="00C15FC9" w:rsidP="00C15FC9">
      <w:pPr>
        <w:keepNext/>
        <w:jc w:val="right"/>
        <w:rPr>
          <w:rFonts w:cs="Arial"/>
          <w:lang w:val="fr-CH"/>
        </w:rPr>
      </w:pPr>
      <w:r w:rsidRPr="00C15FC9">
        <w:rPr>
          <w:rFonts w:cs="Arial"/>
          <w:lang w:val="fr-CH"/>
        </w:rPr>
        <w:t>[Fin de l’annexe et du document/</w:t>
      </w:r>
    </w:p>
    <w:p w:rsidR="00C15FC9" w:rsidRPr="00C15FC9" w:rsidRDefault="00C15FC9" w:rsidP="00C15FC9">
      <w:pPr>
        <w:keepNext/>
        <w:jc w:val="right"/>
        <w:rPr>
          <w:rFonts w:cs="Arial"/>
        </w:rPr>
      </w:pPr>
      <w:r w:rsidRPr="00C15FC9">
        <w:rPr>
          <w:rFonts w:cs="Arial"/>
        </w:rPr>
        <w:t>End of Annex and of document/</w:t>
      </w:r>
    </w:p>
    <w:p w:rsidR="00C15FC9" w:rsidRPr="00C15FC9" w:rsidRDefault="00C15FC9" w:rsidP="00C15FC9">
      <w:pPr>
        <w:keepNext/>
        <w:jc w:val="right"/>
        <w:rPr>
          <w:rFonts w:cs="Arial"/>
          <w:lang w:val="de-DE"/>
        </w:rPr>
      </w:pPr>
      <w:r w:rsidRPr="00C15FC9">
        <w:rPr>
          <w:rFonts w:cs="Arial"/>
          <w:lang w:val="de-DE"/>
        </w:rPr>
        <w:t>Ende der Anlage und des Dokuments/</w:t>
      </w:r>
    </w:p>
    <w:p w:rsidR="00846B16" w:rsidRPr="00C15FC9" w:rsidRDefault="00C15FC9" w:rsidP="00C15FC9">
      <w:pPr>
        <w:keepNext/>
        <w:jc w:val="right"/>
        <w:rPr>
          <w:rFonts w:cs="Arial"/>
          <w:lang w:val="es-ES" w:eastAsia="zh-CN"/>
        </w:rPr>
      </w:pPr>
      <w:r w:rsidRPr="00C15FC9">
        <w:rPr>
          <w:rFonts w:cs="Arial"/>
          <w:lang w:val="es-ES"/>
        </w:rPr>
        <w:t>Fin del Anexo y del documento]</w:t>
      </w:r>
    </w:p>
    <w:p w:rsidR="001A0014" w:rsidRPr="00C15FC9" w:rsidRDefault="001A0014" w:rsidP="00846B16">
      <w:pPr>
        <w:jc w:val="center"/>
        <w:rPr>
          <w:lang w:val="es-ES"/>
        </w:rPr>
      </w:pPr>
    </w:p>
    <w:sectPr w:rsidR="001A0014" w:rsidRPr="00C15FC9" w:rsidSect="001A0014">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054" w:rsidRDefault="004A0054" w:rsidP="006655D3">
      <w:r>
        <w:separator/>
      </w:r>
    </w:p>
    <w:p w:rsidR="004A0054" w:rsidRDefault="004A0054" w:rsidP="006655D3"/>
    <w:p w:rsidR="004A0054" w:rsidRDefault="004A0054" w:rsidP="006655D3"/>
  </w:endnote>
  <w:endnote w:type="continuationSeparator" w:id="0">
    <w:p w:rsidR="004A0054" w:rsidRDefault="004A0054" w:rsidP="006655D3">
      <w:r>
        <w:separator/>
      </w:r>
    </w:p>
    <w:p w:rsidR="004A0054" w:rsidRPr="00294751" w:rsidRDefault="004A0054">
      <w:pPr>
        <w:pStyle w:val="Footer"/>
        <w:spacing w:after="60"/>
        <w:rPr>
          <w:sz w:val="18"/>
          <w:lang w:val="fr-FR"/>
        </w:rPr>
      </w:pPr>
      <w:r w:rsidRPr="00294751">
        <w:rPr>
          <w:sz w:val="18"/>
          <w:lang w:val="fr-FR"/>
        </w:rPr>
        <w:t>[Suite de la note de la page précédente]</w:t>
      </w:r>
    </w:p>
    <w:p w:rsidR="004A0054" w:rsidRPr="00294751" w:rsidRDefault="004A0054" w:rsidP="006655D3">
      <w:pPr>
        <w:rPr>
          <w:lang w:val="fr-FR"/>
        </w:rPr>
      </w:pPr>
    </w:p>
    <w:p w:rsidR="004A0054" w:rsidRPr="00294751" w:rsidRDefault="004A0054" w:rsidP="006655D3">
      <w:pPr>
        <w:rPr>
          <w:lang w:val="fr-FR"/>
        </w:rPr>
      </w:pPr>
    </w:p>
  </w:endnote>
  <w:endnote w:type="continuationNotice" w:id="1">
    <w:p w:rsidR="004A0054" w:rsidRPr="00294751" w:rsidRDefault="004A0054" w:rsidP="006655D3">
      <w:pPr>
        <w:rPr>
          <w:lang w:val="fr-FR"/>
        </w:rPr>
      </w:pPr>
      <w:r w:rsidRPr="00294751">
        <w:rPr>
          <w:lang w:val="fr-FR"/>
        </w:rPr>
        <w:t>[Suite de la note page suivante]</w:t>
      </w:r>
    </w:p>
    <w:p w:rsidR="004A0054" w:rsidRPr="00294751" w:rsidRDefault="004A0054" w:rsidP="006655D3">
      <w:pPr>
        <w:rPr>
          <w:lang w:val="fr-FR"/>
        </w:rPr>
      </w:pPr>
    </w:p>
    <w:p w:rsidR="004A0054" w:rsidRPr="00294751" w:rsidRDefault="004A005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altName w:val="Arial Unicode MS"/>
    <w:panose1 w:val="02020603050405020304"/>
    <w:charset w:val="00"/>
    <w:family w:val="roman"/>
    <w:pitch w:val="variable"/>
    <w:sig w:usb0="00000000" w:usb1="00000000" w:usb2="00000000" w:usb3="00000000" w:csb0="00010001" w:csb1="00000000"/>
  </w:font>
  <w:font w:name="+mn-e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054" w:rsidRDefault="004A0054" w:rsidP="006655D3">
      <w:r>
        <w:separator/>
      </w:r>
    </w:p>
  </w:footnote>
  <w:footnote w:type="continuationSeparator" w:id="0">
    <w:p w:rsidR="004A0054" w:rsidRDefault="004A0054" w:rsidP="006655D3">
      <w:r>
        <w:separator/>
      </w:r>
    </w:p>
  </w:footnote>
  <w:footnote w:type="continuationNotice" w:id="1">
    <w:p w:rsidR="004A0054" w:rsidRPr="00AB530F" w:rsidRDefault="004A005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054" w:rsidRPr="00C5280D" w:rsidRDefault="004A0054" w:rsidP="00EB048E">
    <w:pPr>
      <w:pStyle w:val="Header"/>
      <w:rPr>
        <w:rStyle w:val="PageNumber"/>
        <w:lang w:val="en-US"/>
      </w:rPr>
    </w:pPr>
    <w:r w:rsidRPr="00991322">
      <w:rPr>
        <w:rStyle w:val="PageNumber"/>
        <w:lang w:val="en-US"/>
      </w:rPr>
      <w:t>CAJ/7</w:t>
    </w:r>
    <w:r>
      <w:rPr>
        <w:rStyle w:val="PageNumber"/>
        <w:lang w:val="en-US"/>
      </w:rPr>
      <w:t>8</w:t>
    </w:r>
    <w:r w:rsidRPr="00991322">
      <w:rPr>
        <w:rStyle w:val="PageNumber"/>
        <w:lang w:val="en-US"/>
      </w:rPr>
      <w:t>/1</w:t>
    </w:r>
    <w:r>
      <w:rPr>
        <w:rStyle w:val="PageNumber"/>
        <w:lang w:val="en-US"/>
      </w:rPr>
      <w:t>3</w:t>
    </w:r>
  </w:p>
  <w:p w:rsidR="004A0054" w:rsidRPr="00C5280D" w:rsidRDefault="004A0054"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90C83">
      <w:rPr>
        <w:rStyle w:val="PageNumber"/>
        <w:noProof/>
        <w:lang w:val="en-US"/>
      </w:rPr>
      <w:t>8</w:t>
    </w:r>
    <w:r w:rsidRPr="00C5280D">
      <w:rPr>
        <w:rStyle w:val="PageNumber"/>
        <w:lang w:val="en-US"/>
      </w:rPr>
      <w:fldChar w:fldCharType="end"/>
    </w:r>
  </w:p>
  <w:p w:rsidR="004A0054" w:rsidRPr="00C5280D" w:rsidRDefault="004A0054"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054" w:rsidRPr="001A0014" w:rsidRDefault="004A0054" w:rsidP="001A0014">
    <w:pPr>
      <w:pStyle w:val="Header"/>
      <w:rPr>
        <w:rStyle w:val="PageNumber"/>
        <w:lang w:val="fr-CH"/>
      </w:rPr>
    </w:pPr>
    <w:r>
      <w:rPr>
        <w:rStyle w:val="PageNumber"/>
        <w:lang w:val="fr-CH"/>
      </w:rPr>
      <w:t>CAJ/78/13</w:t>
    </w:r>
  </w:p>
  <w:p w:rsidR="004A0054" w:rsidRPr="001A0014" w:rsidRDefault="004A0054" w:rsidP="001A0014">
    <w:pPr>
      <w:jc w:val="center"/>
      <w:rPr>
        <w:lang w:val="fr-CH"/>
      </w:rPr>
    </w:pPr>
    <w:r w:rsidRPr="001A0014">
      <w:rPr>
        <w:lang w:val="fr-CH"/>
      </w:rPr>
      <w:t xml:space="preserve">Annexe / </w:t>
    </w:r>
    <w:proofErr w:type="spellStart"/>
    <w:r w:rsidRPr="001A0014">
      <w:rPr>
        <w:lang w:val="fr-CH"/>
      </w:rPr>
      <w:t>Annex</w:t>
    </w:r>
    <w:proofErr w:type="spellEnd"/>
    <w:r w:rsidRPr="001A0014">
      <w:rPr>
        <w:lang w:val="fr-CH"/>
      </w:rPr>
      <w:t xml:space="preserve"> / </w:t>
    </w:r>
    <w:proofErr w:type="spellStart"/>
    <w:r w:rsidRPr="001A0014">
      <w:rPr>
        <w:lang w:val="fr-CH"/>
      </w:rPr>
      <w:t>Anlage</w:t>
    </w:r>
    <w:proofErr w:type="spellEnd"/>
    <w:r w:rsidRPr="001A0014">
      <w:rPr>
        <w:lang w:val="fr-CH"/>
      </w:rPr>
      <w:t xml:space="preserve"> / </w:t>
    </w:r>
    <w:proofErr w:type="spellStart"/>
    <w:r w:rsidRPr="001A0014">
      <w:rPr>
        <w:lang w:val="fr-CH"/>
      </w:rPr>
      <w:t>Anexo</w:t>
    </w:r>
    <w:proofErr w:type="spellEnd"/>
  </w:p>
  <w:p w:rsidR="004A0054" w:rsidRDefault="004A0054" w:rsidP="001A0014">
    <w:pPr>
      <w:pStyle w:val="Header"/>
      <w:rPr>
        <w:lang w:val="en-US"/>
      </w:rPr>
    </w:pPr>
    <w:r w:rsidRPr="001A0014">
      <w:rPr>
        <w:lang w:val="fr-CH"/>
      </w:rPr>
      <w:t xml:space="preserve">page </w:t>
    </w:r>
    <w:r>
      <w:rPr>
        <w:rStyle w:val="PageNumber"/>
        <w:lang w:val="en-US"/>
      </w:rPr>
      <w:fldChar w:fldCharType="begin"/>
    </w:r>
    <w:r>
      <w:rPr>
        <w:rStyle w:val="PageNumber"/>
        <w:lang w:val="en-US"/>
      </w:rPr>
      <w:instrText xml:space="preserve"> PAGE </w:instrText>
    </w:r>
    <w:r>
      <w:rPr>
        <w:rStyle w:val="PageNumber"/>
        <w:lang w:val="en-US"/>
      </w:rPr>
      <w:fldChar w:fldCharType="separate"/>
    </w:r>
    <w:r w:rsidR="00190C83">
      <w:rPr>
        <w:rStyle w:val="PageNumber"/>
        <w:noProof/>
        <w:lang w:val="en-US"/>
      </w:rPr>
      <w:t>10</w:t>
    </w:r>
    <w:r>
      <w:rPr>
        <w:rStyle w:val="PageNumber"/>
        <w:lang w:val="en-US"/>
      </w:rPr>
      <w:fldChar w:fldCharType="end"/>
    </w:r>
    <w:r>
      <w:rPr>
        <w:rFonts w:cs="Arial"/>
      </w:rPr>
      <w:t xml:space="preserve">/ </w:t>
    </w:r>
    <w:proofErr w:type="spellStart"/>
    <w:r>
      <w:rPr>
        <w:rFonts w:cs="Arial"/>
      </w:rPr>
      <w:t>Seite</w:t>
    </w:r>
    <w:proofErr w:type="spellEnd"/>
    <w:r>
      <w:rPr>
        <w:rFonts w:cs="Arial"/>
      </w:rPr>
      <w:t xml:space="preserve"> </w:t>
    </w:r>
    <w:r>
      <w:rPr>
        <w:rStyle w:val="PageNumber"/>
      </w:rPr>
      <w:fldChar w:fldCharType="begin"/>
    </w:r>
    <w:r>
      <w:rPr>
        <w:rStyle w:val="PageNumber"/>
      </w:rPr>
      <w:instrText xml:space="preserve"> PAGE </w:instrText>
    </w:r>
    <w:r>
      <w:rPr>
        <w:rStyle w:val="PageNumber"/>
      </w:rPr>
      <w:fldChar w:fldCharType="separate"/>
    </w:r>
    <w:r w:rsidR="00190C83">
      <w:rPr>
        <w:rStyle w:val="PageNumber"/>
        <w:noProof/>
      </w:rPr>
      <w:t>10</w:t>
    </w:r>
    <w:r>
      <w:rPr>
        <w:rStyle w:val="PageNumber"/>
      </w:rPr>
      <w:fldChar w:fldCharType="end"/>
    </w:r>
    <w:r>
      <w:rPr>
        <w:rStyle w:val="PageNumber"/>
      </w:rPr>
      <w:t xml:space="preserve"> </w:t>
    </w:r>
    <w:r>
      <w:rPr>
        <w:rFonts w:cs="Arial"/>
      </w:rPr>
      <w:t xml:space="preserve">/ </w:t>
    </w:r>
    <w:proofErr w:type="spellStart"/>
    <w:r>
      <w:rPr>
        <w:rFonts w:cs="Arial"/>
      </w:rPr>
      <w:t>página</w:t>
    </w:r>
    <w:proofErr w:type="spellEnd"/>
    <w:r>
      <w:rPr>
        <w:rFonts w:cs="Arial"/>
      </w:rPr>
      <w:t xml:space="preserve"> </w:t>
    </w:r>
    <w:r>
      <w:rPr>
        <w:rFonts w:cs="Arial"/>
      </w:rPr>
      <w:fldChar w:fldCharType="begin"/>
    </w:r>
    <w:r>
      <w:rPr>
        <w:rFonts w:cs="Arial"/>
      </w:rPr>
      <w:instrText xml:space="preserve"> PAGE  \* MERGEFORMAT </w:instrText>
    </w:r>
    <w:r>
      <w:rPr>
        <w:rFonts w:cs="Arial"/>
      </w:rPr>
      <w:fldChar w:fldCharType="separate"/>
    </w:r>
    <w:r w:rsidR="00190C83">
      <w:rPr>
        <w:rFonts w:cs="Arial"/>
        <w:noProof/>
      </w:rPr>
      <w:t>10</w:t>
    </w:r>
    <w:r>
      <w:rPr>
        <w:rFonts w:cs="Arial"/>
      </w:rPr>
      <w:fldChar w:fldCharType="end"/>
    </w:r>
  </w:p>
  <w:p w:rsidR="004A0054" w:rsidRPr="00C5280D" w:rsidRDefault="004A0054"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054" w:rsidRPr="00BF4550" w:rsidRDefault="004A0054" w:rsidP="001A0014">
    <w:pPr>
      <w:pStyle w:val="Header"/>
      <w:rPr>
        <w:lang w:val="en-US"/>
      </w:rPr>
    </w:pPr>
    <w:r w:rsidRPr="009935C2">
      <w:rPr>
        <w:lang w:val="en-US"/>
      </w:rPr>
      <w:t>CAJ/7</w:t>
    </w:r>
    <w:r>
      <w:rPr>
        <w:lang w:val="en-US"/>
      </w:rPr>
      <w:t>8/13</w:t>
    </w:r>
  </w:p>
  <w:p w:rsidR="004A0054" w:rsidRPr="00BF4550" w:rsidRDefault="004A0054" w:rsidP="001A0014">
    <w:pPr>
      <w:pStyle w:val="Header"/>
      <w:rPr>
        <w:lang w:val="en-US"/>
      </w:rPr>
    </w:pPr>
  </w:p>
  <w:p w:rsidR="004A0054" w:rsidRDefault="004A0054" w:rsidP="001A0014">
    <w:pPr>
      <w:pStyle w:val="Header"/>
      <w:rPr>
        <w:lang w:val="en-US"/>
      </w:rPr>
    </w:pPr>
    <w:r>
      <w:rPr>
        <w:lang w:val="en-US"/>
      </w:rPr>
      <w:t xml:space="preserve">ANNEXE </w:t>
    </w:r>
    <w:r w:rsidRPr="002742B2">
      <w:rPr>
        <w:lang w:val="en-US"/>
      </w:rPr>
      <w:t xml:space="preserve">/ </w:t>
    </w:r>
    <w:r>
      <w:rPr>
        <w:lang w:val="en-US"/>
      </w:rPr>
      <w:t>ANNEX / ANLAGE / ANEXO</w:t>
    </w:r>
  </w:p>
  <w:p w:rsidR="004A0054" w:rsidRDefault="004A0054" w:rsidP="001A0014">
    <w:pPr>
      <w:pStyle w:val="Header"/>
      <w:rPr>
        <w:lang w:val="en-US"/>
      </w:rPr>
    </w:pPr>
  </w:p>
  <w:p w:rsidR="004A0054" w:rsidRPr="002742B2" w:rsidRDefault="004A0054" w:rsidP="001A001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B71EE"/>
    <w:multiLevelType w:val="hybridMultilevel"/>
    <w:tmpl w:val="DDACCD44"/>
    <w:lvl w:ilvl="0" w:tplc="06286B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595D03"/>
    <w:multiLevelType w:val="hybridMultilevel"/>
    <w:tmpl w:val="9154E0AC"/>
    <w:lvl w:ilvl="0" w:tplc="6D386E26">
      <w:start w:val="5"/>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FE117A"/>
    <w:multiLevelType w:val="hybridMultilevel"/>
    <w:tmpl w:val="8FDA07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5642A7E"/>
    <w:multiLevelType w:val="hybridMultilevel"/>
    <w:tmpl w:val="7E02972A"/>
    <w:lvl w:ilvl="0" w:tplc="9196C7D2">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66F750B8"/>
    <w:multiLevelType w:val="hybridMultilevel"/>
    <w:tmpl w:val="AA52A0A2"/>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781332E5"/>
    <w:multiLevelType w:val="hybridMultilevel"/>
    <w:tmpl w:val="1D162F92"/>
    <w:lvl w:ilvl="0" w:tplc="8416A3D8">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465C81"/>
    <w:multiLevelType w:val="hybridMultilevel"/>
    <w:tmpl w:val="0228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65A"/>
    <w:rsid w:val="00010CF3"/>
    <w:rsid w:val="00011E27"/>
    <w:rsid w:val="000126BB"/>
    <w:rsid w:val="000148BC"/>
    <w:rsid w:val="00024AB8"/>
    <w:rsid w:val="00030854"/>
    <w:rsid w:val="00036028"/>
    <w:rsid w:val="00037BC3"/>
    <w:rsid w:val="00041F0D"/>
    <w:rsid w:val="00044642"/>
    <w:rsid w:val="000446B9"/>
    <w:rsid w:val="00047E21"/>
    <w:rsid w:val="00050E16"/>
    <w:rsid w:val="00064F50"/>
    <w:rsid w:val="000723B3"/>
    <w:rsid w:val="00085505"/>
    <w:rsid w:val="00093945"/>
    <w:rsid w:val="00093B69"/>
    <w:rsid w:val="00093BD3"/>
    <w:rsid w:val="000A72CC"/>
    <w:rsid w:val="000B4E35"/>
    <w:rsid w:val="000C288C"/>
    <w:rsid w:val="000C372E"/>
    <w:rsid w:val="000C4E25"/>
    <w:rsid w:val="000C7021"/>
    <w:rsid w:val="000D5152"/>
    <w:rsid w:val="000D6BBC"/>
    <w:rsid w:val="000D7780"/>
    <w:rsid w:val="000E636A"/>
    <w:rsid w:val="000F1564"/>
    <w:rsid w:val="000F1BFB"/>
    <w:rsid w:val="000F2F11"/>
    <w:rsid w:val="0010024F"/>
    <w:rsid w:val="00105929"/>
    <w:rsid w:val="00105F54"/>
    <w:rsid w:val="00110BED"/>
    <w:rsid w:val="00110C36"/>
    <w:rsid w:val="001131D5"/>
    <w:rsid w:val="0011506C"/>
    <w:rsid w:val="00125EE1"/>
    <w:rsid w:val="00141DB8"/>
    <w:rsid w:val="001527A3"/>
    <w:rsid w:val="001631B7"/>
    <w:rsid w:val="00172084"/>
    <w:rsid w:val="0017474A"/>
    <w:rsid w:val="001758C6"/>
    <w:rsid w:val="00175FDF"/>
    <w:rsid w:val="0017763C"/>
    <w:rsid w:val="00182B99"/>
    <w:rsid w:val="00190C83"/>
    <w:rsid w:val="00197509"/>
    <w:rsid w:val="001A0014"/>
    <w:rsid w:val="001A50C3"/>
    <w:rsid w:val="001C1525"/>
    <w:rsid w:val="001C1FC8"/>
    <w:rsid w:val="001C2857"/>
    <w:rsid w:val="001C365A"/>
    <w:rsid w:val="001C7552"/>
    <w:rsid w:val="00210A9E"/>
    <w:rsid w:val="0021332C"/>
    <w:rsid w:val="00213982"/>
    <w:rsid w:val="0021592A"/>
    <w:rsid w:val="00225870"/>
    <w:rsid w:val="00233B74"/>
    <w:rsid w:val="0024416D"/>
    <w:rsid w:val="00250975"/>
    <w:rsid w:val="00250EFC"/>
    <w:rsid w:val="002535BB"/>
    <w:rsid w:val="00271911"/>
    <w:rsid w:val="002800A0"/>
    <w:rsid w:val="002801B3"/>
    <w:rsid w:val="00281060"/>
    <w:rsid w:val="00286983"/>
    <w:rsid w:val="002940E8"/>
    <w:rsid w:val="00294751"/>
    <w:rsid w:val="00295CC0"/>
    <w:rsid w:val="00296A91"/>
    <w:rsid w:val="002A6E50"/>
    <w:rsid w:val="002B4298"/>
    <w:rsid w:val="002B7A36"/>
    <w:rsid w:val="002C256A"/>
    <w:rsid w:val="002F46E4"/>
    <w:rsid w:val="002F530C"/>
    <w:rsid w:val="00300F07"/>
    <w:rsid w:val="0030122A"/>
    <w:rsid w:val="00305A7F"/>
    <w:rsid w:val="00307003"/>
    <w:rsid w:val="003152FE"/>
    <w:rsid w:val="00326E06"/>
    <w:rsid w:val="00327436"/>
    <w:rsid w:val="00336A4C"/>
    <w:rsid w:val="00344BD6"/>
    <w:rsid w:val="00346C6F"/>
    <w:rsid w:val="0035528D"/>
    <w:rsid w:val="003601E4"/>
    <w:rsid w:val="00361821"/>
    <w:rsid w:val="00361E9E"/>
    <w:rsid w:val="00366D94"/>
    <w:rsid w:val="003930F6"/>
    <w:rsid w:val="003A6CF5"/>
    <w:rsid w:val="003C7FBE"/>
    <w:rsid w:val="003D227C"/>
    <w:rsid w:val="003D2B4D"/>
    <w:rsid w:val="00404F03"/>
    <w:rsid w:val="004073B1"/>
    <w:rsid w:val="00410154"/>
    <w:rsid w:val="004323AB"/>
    <w:rsid w:val="00444A88"/>
    <w:rsid w:val="00457D15"/>
    <w:rsid w:val="004637B8"/>
    <w:rsid w:val="00467B99"/>
    <w:rsid w:val="00474DA4"/>
    <w:rsid w:val="00476B4D"/>
    <w:rsid w:val="004805FA"/>
    <w:rsid w:val="00492484"/>
    <w:rsid w:val="004935D2"/>
    <w:rsid w:val="004A0054"/>
    <w:rsid w:val="004B1215"/>
    <w:rsid w:val="004B21DB"/>
    <w:rsid w:val="004D047D"/>
    <w:rsid w:val="004D6C77"/>
    <w:rsid w:val="004E0C97"/>
    <w:rsid w:val="004E0DA2"/>
    <w:rsid w:val="004F1E9E"/>
    <w:rsid w:val="004F2C2F"/>
    <w:rsid w:val="004F305A"/>
    <w:rsid w:val="00512164"/>
    <w:rsid w:val="00520297"/>
    <w:rsid w:val="005338F9"/>
    <w:rsid w:val="0054281C"/>
    <w:rsid w:val="00544581"/>
    <w:rsid w:val="0055268D"/>
    <w:rsid w:val="00553675"/>
    <w:rsid w:val="00564D66"/>
    <w:rsid w:val="005704F5"/>
    <w:rsid w:val="00576BE4"/>
    <w:rsid w:val="005779DB"/>
    <w:rsid w:val="00583874"/>
    <w:rsid w:val="00586F31"/>
    <w:rsid w:val="005A400A"/>
    <w:rsid w:val="005E1686"/>
    <w:rsid w:val="005F7B92"/>
    <w:rsid w:val="00604DFB"/>
    <w:rsid w:val="00606008"/>
    <w:rsid w:val="00612379"/>
    <w:rsid w:val="006153B6"/>
    <w:rsid w:val="0061555F"/>
    <w:rsid w:val="00616EAA"/>
    <w:rsid w:val="006365B2"/>
    <w:rsid w:val="00636AEB"/>
    <w:rsid w:val="00636CA6"/>
    <w:rsid w:val="00641200"/>
    <w:rsid w:val="00645CA8"/>
    <w:rsid w:val="006501D4"/>
    <w:rsid w:val="006655D3"/>
    <w:rsid w:val="00667404"/>
    <w:rsid w:val="0067021D"/>
    <w:rsid w:val="00671042"/>
    <w:rsid w:val="00685412"/>
    <w:rsid w:val="00685D65"/>
    <w:rsid w:val="00687EB4"/>
    <w:rsid w:val="00694AFE"/>
    <w:rsid w:val="00695C56"/>
    <w:rsid w:val="006A5CDE"/>
    <w:rsid w:val="006A644A"/>
    <w:rsid w:val="006A7976"/>
    <w:rsid w:val="006B17D2"/>
    <w:rsid w:val="006C19FF"/>
    <w:rsid w:val="006C224E"/>
    <w:rsid w:val="006C59FA"/>
    <w:rsid w:val="006D780A"/>
    <w:rsid w:val="006E603A"/>
    <w:rsid w:val="007077CE"/>
    <w:rsid w:val="00711396"/>
    <w:rsid w:val="0071271E"/>
    <w:rsid w:val="007213D3"/>
    <w:rsid w:val="007215F7"/>
    <w:rsid w:val="007273A5"/>
    <w:rsid w:val="00732DEC"/>
    <w:rsid w:val="00735BD5"/>
    <w:rsid w:val="00744679"/>
    <w:rsid w:val="007451EC"/>
    <w:rsid w:val="00750C09"/>
    <w:rsid w:val="00751613"/>
    <w:rsid w:val="00753EE9"/>
    <w:rsid w:val="007556F6"/>
    <w:rsid w:val="00760EEF"/>
    <w:rsid w:val="00777966"/>
    <w:rsid w:val="00777EE5"/>
    <w:rsid w:val="00784836"/>
    <w:rsid w:val="0079023E"/>
    <w:rsid w:val="007A2854"/>
    <w:rsid w:val="007B499F"/>
    <w:rsid w:val="007C00FB"/>
    <w:rsid w:val="007C1D92"/>
    <w:rsid w:val="007C4CB9"/>
    <w:rsid w:val="007D0B9D"/>
    <w:rsid w:val="007D19B0"/>
    <w:rsid w:val="007E286A"/>
    <w:rsid w:val="007F269D"/>
    <w:rsid w:val="007F498F"/>
    <w:rsid w:val="0080679D"/>
    <w:rsid w:val="008108B0"/>
    <w:rsid w:val="00811B20"/>
    <w:rsid w:val="00812609"/>
    <w:rsid w:val="00814292"/>
    <w:rsid w:val="0081716C"/>
    <w:rsid w:val="008211B5"/>
    <w:rsid w:val="008222E3"/>
    <w:rsid w:val="0082296E"/>
    <w:rsid w:val="00824099"/>
    <w:rsid w:val="00846B16"/>
    <w:rsid w:val="00846D7C"/>
    <w:rsid w:val="008552BF"/>
    <w:rsid w:val="00867AC1"/>
    <w:rsid w:val="00870347"/>
    <w:rsid w:val="008765A3"/>
    <w:rsid w:val="008834E4"/>
    <w:rsid w:val="0088404E"/>
    <w:rsid w:val="00890DF8"/>
    <w:rsid w:val="00894372"/>
    <w:rsid w:val="008A743F"/>
    <w:rsid w:val="008B55CE"/>
    <w:rsid w:val="008C0970"/>
    <w:rsid w:val="008C79B2"/>
    <w:rsid w:val="008D0BC5"/>
    <w:rsid w:val="008D2CF7"/>
    <w:rsid w:val="008E586F"/>
    <w:rsid w:val="00900C26"/>
    <w:rsid w:val="0090197F"/>
    <w:rsid w:val="00903264"/>
    <w:rsid w:val="00906DDC"/>
    <w:rsid w:val="00917FE8"/>
    <w:rsid w:val="00931EBB"/>
    <w:rsid w:val="00934E09"/>
    <w:rsid w:val="00936253"/>
    <w:rsid w:val="00940D46"/>
    <w:rsid w:val="00952DD4"/>
    <w:rsid w:val="00965AE7"/>
    <w:rsid w:val="00970FED"/>
    <w:rsid w:val="00980D7F"/>
    <w:rsid w:val="00983A07"/>
    <w:rsid w:val="00991322"/>
    <w:rsid w:val="00992D82"/>
    <w:rsid w:val="00997029"/>
    <w:rsid w:val="009A7339"/>
    <w:rsid w:val="009B440E"/>
    <w:rsid w:val="009D690D"/>
    <w:rsid w:val="009E6285"/>
    <w:rsid w:val="009E65B6"/>
    <w:rsid w:val="009F77CF"/>
    <w:rsid w:val="00A1165A"/>
    <w:rsid w:val="00A12A35"/>
    <w:rsid w:val="00A21386"/>
    <w:rsid w:val="00A24C10"/>
    <w:rsid w:val="00A367BD"/>
    <w:rsid w:val="00A40545"/>
    <w:rsid w:val="00A41B69"/>
    <w:rsid w:val="00A42AC3"/>
    <w:rsid w:val="00A430CF"/>
    <w:rsid w:val="00A4664D"/>
    <w:rsid w:val="00A54309"/>
    <w:rsid w:val="00A54877"/>
    <w:rsid w:val="00A80F2A"/>
    <w:rsid w:val="00A96182"/>
    <w:rsid w:val="00AA5F66"/>
    <w:rsid w:val="00AB0804"/>
    <w:rsid w:val="00AB2A05"/>
    <w:rsid w:val="00AB2B93"/>
    <w:rsid w:val="00AB530F"/>
    <w:rsid w:val="00AB7E5B"/>
    <w:rsid w:val="00AC2883"/>
    <w:rsid w:val="00AC34E8"/>
    <w:rsid w:val="00AE0EF1"/>
    <w:rsid w:val="00AE2937"/>
    <w:rsid w:val="00B07301"/>
    <w:rsid w:val="00B11F3E"/>
    <w:rsid w:val="00B14365"/>
    <w:rsid w:val="00B2037A"/>
    <w:rsid w:val="00B21685"/>
    <w:rsid w:val="00B224DE"/>
    <w:rsid w:val="00B324D4"/>
    <w:rsid w:val="00B32CF7"/>
    <w:rsid w:val="00B34482"/>
    <w:rsid w:val="00B41EE4"/>
    <w:rsid w:val="00B44CE4"/>
    <w:rsid w:val="00B46575"/>
    <w:rsid w:val="00B61777"/>
    <w:rsid w:val="00B622E6"/>
    <w:rsid w:val="00B84BBD"/>
    <w:rsid w:val="00B93E6A"/>
    <w:rsid w:val="00BA43FB"/>
    <w:rsid w:val="00BC127D"/>
    <w:rsid w:val="00BC15DD"/>
    <w:rsid w:val="00BC1FE6"/>
    <w:rsid w:val="00BD20B3"/>
    <w:rsid w:val="00C03B6D"/>
    <w:rsid w:val="00C061B6"/>
    <w:rsid w:val="00C06379"/>
    <w:rsid w:val="00C1432C"/>
    <w:rsid w:val="00C15745"/>
    <w:rsid w:val="00C15FC9"/>
    <w:rsid w:val="00C2446C"/>
    <w:rsid w:val="00C36AE5"/>
    <w:rsid w:val="00C41F17"/>
    <w:rsid w:val="00C45B43"/>
    <w:rsid w:val="00C527FA"/>
    <w:rsid w:val="00C5280D"/>
    <w:rsid w:val="00C53EB3"/>
    <w:rsid w:val="00C5791C"/>
    <w:rsid w:val="00C61504"/>
    <w:rsid w:val="00C66290"/>
    <w:rsid w:val="00C72B7A"/>
    <w:rsid w:val="00C7365C"/>
    <w:rsid w:val="00C8670E"/>
    <w:rsid w:val="00C91DFB"/>
    <w:rsid w:val="00C96DD9"/>
    <w:rsid w:val="00C973F2"/>
    <w:rsid w:val="00CA304C"/>
    <w:rsid w:val="00CA774A"/>
    <w:rsid w:val="00CC11B0"/>
    <w:rsid w:val="00CC2841"/>
    <w:rsid w:val="00CD61F8"/>
    <w:rsid w:val="00CF1330"/>
    <w:rsid w:val="00CF7E36"/>
    <w:rsid w:val="00D15BCD"/>
    <w:rsid w:val="00D25F20"/>
    <w:rsid w:val="00D3708D"/>
    <w:rsid w:val="00D40426"/>
    <w:rsid w:val="00D531AB"/>
    <w:rsid w:val="00D54B08"/>
    <w:rsid w:val="00D5799A"/>
    <w:rsid w:val="00D57C96"/>
    <w:rsid w:val="00D57D18"/>
    <w:rsid w:val="00D61E93"/>
    <w:rsid w:val="00D82819"/>
    <w:rsid w:val="00D85606"/>
    <w:rsid w:val="00D91203"/>
    <w:rsid w:val="00D95174"/>
    <w:rsid w:val="00DA35E4"/>
    <w:rsid w:val="00DA4973"/>
    <w:rsid w:val="00DA6F36"/>
    <w:rsid w:val="00DB596E"/>
    <w:rsid w:val="00DB7773"/>
    <w:rsid w:val="00DC00EA"/>
    <w:rsid w:val="00DC37D4"/>
    <w:rsid w:val="00DC3802"/>
    <w:rsid w:val="00DD6208"/>
    <w:rsid w:val="00DE2C42"/>
    <w:rsid w:val="00DE388C"/>
    <w:rsid w:val="00E07D87"/>
    <w:rsid w:val="00E249C8"/>
    <w:rsid w:val="00E32F7E"/>
    <w:rsid w:val="00E43EC7"/>
    <w:rsid w:val="00E44E22"/>
    <w:rsid w:val="00E5267B"/>
    <w:rsid w:val="00E559F0"/>
    <w:rsid w:val="00E63C0E"/>
    <w:rsid w:val="00E64F2C"/>
    <w:rsid w:val="00E72D49"/>
    <w:rsid w:val="00E7593C"/>
    <w:rsid w:val="00E76087"/>
    <w:rsid w:val="00E7678A"/>
    <w:rsid w:val="00E77586"/>
    <w:rsid w:val="00E935F1"/>
    <w:rsid w:val="00E94A81"/>
    <w:rsid w:val="00EA1794"/>
    <w:rsid w:val="00EA1FFB"/>
    <w:rsid w:val="00EA4FEE"/>
    <w:rsid w:val="00EB048E"/>
    <w:rsid w:val="00EB4E9C"/>
    <w:rsid w:val="00ED6615"/>
    <w:rsid w:val="00EE34DF"/>
    <w:rsid w:val="00EF2F89"/>
    <w:rsid w:val="00F03E98"/>
    <w:rsid w:val="00F0459F"/>
    <w:rsid w:val="00F07208"/>
    <w:rsid w:val="00F1237A"/>
    <w:rsid w:val="00F22CBD"/>
    <w:rsid w:val="00F26270"/>
    <w:rsid w:val="00F272F1"/>
    <w:rsid w:val="00F31412"/>
    <w:rsid w:val="00F45372"/>
    <w:rsid w:val="00F560F7"/>
    <w:rsid w:val="00F6334D"/>
    <w:rsid w:val="00F63599"/>
    <w:rsid w:val="00F65D3A"/>
    <w:rsid w:val="00F74EC7"/>
    <w:rsid w:val="00F9799E"/>
    <w:rsid w:val="00FA3730"/>
    <w:rsid w:val="00FA49AB"/>
    <w:rsid w:val="00FB2FBF"/>
    <w:rsid w:val="00FE39C7"/>
    <w:rsid w:val="00FF4D07"/>
    <w:rsid w:val="00FF6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3CA4E845"/>
  <w15:docId w15:val="{790593C7-5584-40C2-8C8E-8AB47E6A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586F31"/>
    <w:pPr>
      <w:keepNext/>
      <w:jc w:val="both"/>
      <w:outlineLvl w:val="1"/>
    </w:pPr>
    <w:rPr>
      <w:rFonts w:ascii="Arial" w:hAnsi="Arial"/>
      <w:u w:val="single"/>
    </w:rPr>
  </w:style>
  <w:style w:type="paragraph" w:styleId="Heading3">
    <w:name w:val="heading 3"/>
    <w:next w:val="Normal"/>
    <w:autoRedefine/>
    <w:qFormat/>
    <w:rsid w:val="00ED6615"/>
    <w:pPr>
      <w:keepNext/>
      <w:ind w:left="2835" w:hanging="2835"/>
      <w:jc w:val="both"/>
      <w:outlineLvl w:val="2"/>
    </w:pPr>
    <w:rPr>
      <w:rFonts w:ascii="Arial" w:hAnsi="Arial"/>
      <w:i/>
      <w:snapToGrid w:val="0"/>
      <w:lang w:eastAsia="ja-JP" w:bidi="th-TH"/>
    </w:rPr>
  </w:style>
  <w:style w:type="paragraph" w:styleId="Heading4">
    <w:name w:val="heading 4"/>
    <w:next w:val="Normal"/>
    <w:autoRedefine/>
    <w:qFormat/>
    <w:rsid w:val="00A1165A"/>
    <w:pPr>
      <w:keepNext/>
      <w:ind w:left="567"/>
      <w:jc w:val="both"/>
      <w:outlineLvl w:val="3"/>
    </w:pPr>
    <w:rPr>
      <w:rFonts w:ascii="Arial" w:hAnsi="Arial"/>
      <w:spacing w:val="-2"/>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basedOn w:val="DefaultParagraphFont"/>
    <w:link w:val="Heading2"/>
    <w:rsid w:val="00586F31"/>
    <w:rPr>
      <w:rFonts w:ascii="Arial" w:hAnsi="Arial"/>
      <w:u w:val="single"/>
    </w:rPr>
  </w:style>
  <w:style w:type="character" w:customStyle="1" w:styleId="DecisionParagraphsChar">
    <w:name w:val="DecisionParagraphs Char"/>
    <w:basedOn w:val="DefaultParagraphFont"/>
    <w:link w:val="DecisionParagraphs"/>
    <w:rsid w:val="00A12A35"/>
    <w:rPr>
      <w:rFonts w:ascii="Arial" w:hAnsi="Arial"/>
      <w:i/>
    </w:rPr>
  </w:style>
  <w:style w:type="character" w:customStyle="1" w:styleId="FootnoteTextChar">
    <w:name w:val="Footnote Text Char"/>
    <w:basedOn w:val="DefaultParagraphFont"/>
    <w:link w:val="FootnoteText"/>
    <w:rsid w:val="000F1564"/>
    <w:rPr>
      <w:rFonts w:ascii="Arial" w:hAnsi="Arial"/>
      <w:sz w:val="16"/>
    </w:rPr>
  </w:style>
  <w:style w:type="paragraph" w:styleId="ListParagraph">
    <w:name w:val="List Paragraph"/>
    <w:aliases w:val="auto_list_(i),List Paragraph1"/>
    <w:basedOn w:val="Normal"/>
    <w:link w:val="ListParagraphChar"/>
    <w:uiPriority w:val="34"/>
    <w:qFormat/>
    <w:rsid w:val="000F1564"/>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0F1564"/>
    <w:rPr>
      <w:rFonts w:ascii="Arial" w:hAnsi="Arial"/>
    </w:rPr>
  </w:style>
  <w:style w:type="character" w:customStyle="1" w:styleId="HeaderChar">
    <w:name w:val="Header Char"/>
    <w:basedOn w:val="DefaultParagraphFont"/>
    <w:link w:val="Header"/>
    <w:rsid w:val="001A0014"/>
    <w:rPr>
      <w:rFonts w:ascii="Arial" w:hAnsi="Arial"/>
      <w:lang w:val="fr-FR"/>
    </w:rPr>
  </w:style>
  <w:style w:type="character" w:customStyle="1" w:styleId="pldetailsChar">
    <w:name w:val="pldetails Char"/>
    <w:link w:val="pldetails"/>
    <w:locked/>
    <w:rsid w:val="001A0014"/>
    <w:rPr>
      <w:rFonts w:ascii="Arial" w:hAnsi="Arial"/>
      <w:noProof/>
      <w:snapToGrid w:val="0"/>
    </w:rPr>
  </w:style>
  <w:style w:type="character" w:customStyle="1" w:styleId="plcountryChar">
    <w:name w:val="plcountry Char"/>
    <w:basedOn w:val="DefaultParagraphFont"/>
    <w:link w:val="plcountry"/>
    <w:rsid w:val="001A0014"/>
    <w:rPr>
      <w:rFonts w:ascii="Arial" w:hAnsi="Arial"/>
      <w:caps/>
      <w:noProof/>
      <w:snapToGrid w:val="0"/>
      <w:u w:val="single"/>
    </w:rPr>
  </w:style>
  <w:style w:type="table" w:styleId="TableGrid">
    <w:name w:val="Table Grid"/>
    <w:basedOn w:val="TableNormal"/>
    <w:rsid w:val="00250EF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50EFC"/>
    <w:pPr>
      <w:spacing w:before="100" w:beforeAutospacing="1" w:after="100" w:afterAutospacing="1"/>
      <w:jc w:val="left"/>
    </w:pPr>
    <w:rPr>
      <w:rFonts w:eastAsia="Arial" w:cs="Arial"/>
      <w:szCs w:val="24"/>
      <w:lang w:eastAsia="es-MX"/>
    </w:rPr>
  </w:style>
  <w:style w:type="paragraph" w:customStyle="1" w:styleId="Default">
    <w:name w:val="Default"/>
    <w:rsid w:val="00C03B6D"/>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rsid w:val="00E7758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159407">
      <w:bodyDiv w:val="1"/>
      <w:marLeft w:val="0"/>
      <w:marRight w:val="0"/>
      <w:marTop w:val="0"/>
      <w:marBottom w:val="0"/>
      <w:divBdr>
        <w:top w:val="none" w:sz="0" w:space="0" w:color="auto"/>
        <w:left w:val="none" w:sz="0" w:space="0" w:color="auto"/>
        <w:bottom w:val="none" w:sz="0" w:space="0" w:color="auto"/>
        <w:right w:val="none" w:sz="0" w:space="0" w:color="auto"/>
      </w:divBdr>
    </w:div>
    <w:div w:id="1546871602">
      <w:bodyDiv w:val="1"/>
      <w:marLeft w:val="0"/>
      <w:marRight w:val="0"/>
      <w:marTop w:val="0"/>
      <w:marBottom w:val="0"/>
      <w:divBdr>
        <w:top w:val="none" w:sz="0" w:space="0" w:color="auto"/>
        <w:left w:val="none" w:sz="0" w:space="0" w:color="auto"/>
        <w:bottom w:val="none" w:sz="0" w:space="0" w:color="auto"/>
        <w:right w:val="none" w:sz="0" w:space="0" w:color="auto"/>
      </w:divBdr>
    </w:div>
    <w:div w:id="1598564539">
      <w:bodyDiv w:val="1"/>
      <w:marLeft w:val="0"/>
      <w:marRight w:val="0"/>
      <w:marTop w:val="0"/>
      <w:marBottom w:val="0"/>
      <w:divBdr>
        <w:top w:val="none" w:sz="0" w:space="0" w:color="auto"/>
        <w:left w:val="none" w:sz="0" w:space="0" w:color="auto"/>
        <w:bottom w:val="none" w:sz="0" w:space="0" w:color="auto"/>
        <w:right w:val="none" w:sz="0" w:space="0" w:color="auto"/>
      </w:divBdr>
    </w:div>
    <w:div w:id="1975793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edocs/mdocs/upov/en/wg_edv_4/upov_wg_edv_4_2.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7_(2020)\templates\caj_77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84220-2F48-4B8D-BAAB-0C53D5639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caj_77_EN.dotx</Template>
  <TotalTime>14</TotalTime>
  <Pages>18</Pages>
  <Words>6305</Words>
  <Characters>41691</Characters>
  <Application>Microsoft Office Word</Application>
  <DocSecurity>0</DocSecurity>
  <Lines>347</Lines>
  <Paragraphs>95</Paragraphs>
  <ScaleCrop>false</ScaleCrop>
  <HeadingPairs>
    <vt:vector size="2" baseType="variant">
      <vt:variant>
        <vt:lpstr>Title</vt:lpstr>
      </vt:variant>
      <vt:variant>
        <vt:i4>1</vt:i4>
      </vt:variant>
    </vt:vector>
  </HeadingPairs>
  <TitlesOfParts>
    <vt:vector size="1" baseType="lpstr">
      <vt:lpstr>CAJ/77/XX</vt:lpstr>
    </vt:vector>
  </TitlesOfParts>
  <Company>UPOV</Company>
  <LinksUpToDate>false</LinksUpToDate>
  <CharactersWithSpaces>47901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CAJ/77/XX</dc:title>
  <dc:creator>SANTOS Carla Marina</dc:creator>
  <cp:lastModifiedBy>SANTOS Carla Marina</cp:lastModifiedBy>
  <cp:revision>5</cp:revision>
  <cp:lastPrinted>2021-10-24T17:08:00Z</cp:lastPrinted>
  <dcterms:created xsi:type="dcterms:W3CDTF">2021-10-27T17:47:00Z</dcterms:created>
  <dcterms:modified xsi:type="dcterms:W3CDTF">2021-11-11T16:55:00Z</dcterms:modified>
</cp:coreProperties>
</file>