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E559F0">
            <w:pPr>
              <w:pStyle w:val="Sessiontcplacedate"/>
              <w:rPr>
                <w:sz w:val="22"/>
              </w:rPr>
            </w:pPr>
            <w:r>
              <w:t>Seventy-</w:t>
            </w:r>
            <w:r w:rsidR="00F31412">
              <w:t>S</w:t>
            </w:r>
            <w:r w:rsidR="00E559F0">
              <w:t>even</w:t>
            </w:r>
            <w:r w:rsidR="00110BED">
              <w:t>th</w:t>
            </w:r>
            <w:r w:rsidR="00EB4E9C" w:rsidRPr="00DA4973">
              <w:t xml:space="preserve"> Session</w:t>
            </w:r>
            <w:r w:rsidR="00EB4E9C" w:rsidRPr="00DA4973">
              <w:br/>
              <w:t xml:space="preserve">Geneva, </w:t>
            </w:r>
            <w:r>
              <w:t xml:space="preserve">October </w:t>
            </w:r>
            <w:r w:rsidR="00E559F0">
              <w:t>28</w:t>
            </w:r>
            <w:r w:rsidR="00F31412">
              <w:t xml:space="preserve">, </w:t>
            </w:r>
            <w:r w:rsidR="00E559F0">
              <w:t>2020</w:t>
            </w:r>
          </w:p>
        </w:tc>
        <w:tc>
          <w:tcPr>
            <w:tcW w:w="3127" w:type="dxa"/>
          </w:tcPr>
          <w:p w:rsidR="00EB4E9C" w:rsidRPr="003C7FBE" w:rsidRDefault="00E559F0" w:rsidP="003C7FBE">
            <w:pPr>
              <w:pStyle w:val="Doccode"/>
            </w:pPr>
            <w:r>
              <w:t>CAJ/77</w:t>
            </w:r>
            <w:r w:rsidR="00EB4E9C" w:rsidRPr="00AC2883">
              <w:t>/</w:t>
            </w:r>
            <w:r w:rsidR="004E6FEA">
              <w:t>9</w:t>
            </w:r>
            <w:r w:rsidR="00BC381E">
              <w:t>.</w:t>
            </w:r>
            <w:bookmarkStart w:id="0" w:name="_GoBack"/>
            <w:bookmarkEnd w:id="0"/>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BC381E">
            <w:pPr>
              <w:pStyle w:val="Docoriginal"/>
            </w:pPr>
            <w:r w:rsidRPr="00AC2883">
              <w:t>Date:</w:t>
            </w:r>
            <w:r w:rsidRPr="000E636A">
              <w:rPr>
                <w:b w:val="0"/>
                <w:spacing w:val="0"/>
              </w:rPr>
              <w:t xml:space="preserve">  </w:t>
            </w:r>
            <w:r w:rsidR="008E101D" w:rsidRPr="008C1F52">
              <w:rPr>
                <w:b w:val="0"/>
                <w:spacing w:val="0"/>
              </w:rPr>
              <w:t>October 2</w:t>
            </w:r>
            <w:r w:rsidR="00BC381E">
              <w:rPr>
                <w:b w:val="0"/>
                <w:spacing w:val="0"/>
              </w:rPr>
              <w:t>6</w:t>
            </w:r>
            <w:r w:rsidRPr="008C1F52">
              <w:rPr>
                <w:b w:val="0"/>
                <w:spacing w:val="0"/>
              </w:rPr>
              <w:t xml:space="preserve">, </w:t>
            </w:r>
            <w:r w:rsidR="00E559F0" w:rsidRPr="008C1F52">
              <w:rPr>
                <w:b w:val="0"/>
                <w:spacing w:val="0"/>
              </w:rPr>
              <w:t>2020</w:t>
            </w:r>
          </w:p>
        </w:tc>
      </w:tr>
    </w:tbl>
    <w:p w:rsidR="000D7780" w:rsidRPr="006A644A" w:rsidRDefault="004E6FEA" w:rsidP="006A644A">
      <w:pPr>
        <w:pStyle w:val="Titleofdoc0"/>
      </w:pPr>
      <w:bookmarkStart w:id="1" w:name="TitleOfDoc"/>
      <w:bookmarkEnd w:id="1"/>
      <w:r w:rsidRPr="004E6FEA">
        <w:t xml:space="preserve">Outcome of the consideration of documents by correspondence </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4E6FEA" w:rsidRDefault="004E6FEA" w:rsidP="004E6FEA">
      <w:pPr>
        <w:keepNext/>
        <w:outlineLvl w:val="0"/>
        <w:rPr>
          <w:caps/>
          <w:snapToGrid w:val="0"/>
        </w:rPr>
      </w:pPr>
      <w:bookmarkStart w:id="3" w:name="_Toc51935380"/>
      <w:bookmarkStart w:id="4" w:name="_Toc42523410"/>
      <w:bookmarkStart w:id="5" w:name="_Toc522523019"/>
      <w:bookmarkStart w:id="6" w:name="_Toc54097476"/>
      <w:bookmarkStart w:id="7" w:name="_Toc54097589"/>
      <w:bookmarkStart w:id="8" w:name="_Toc54097610"/>
      <w:bookmarkStart w:id="9" w:name="_Toc54617453"/>
      <w:r>
        <w:rPr>
          <w:caps/>
          <w:snapToGrid w:val="0"/>
        </w:rPr>
        <w:t>EXECUTIVE SUMMARY</w:t>
      </w:r>
      <w:bookmarkEnd w:id="3"/>
      <w:bookmarkEnd w:id="4"/>
      <w:bookmarkEnd w:id="5"/>
      <w:bookmarkEnd w:id="6"/>
      <w:bookmarkEnd w:id="7"/>
      <w:bookmarkEnd w:id="8"/>
      <w:bookmarkEnd w:id="9"/>
      <w:r>
        <w:rPr>
          <w:caps/>
          <w:snapToGrid w:val="0"/>
        </w:rPr>
        <w:t xml:space="preserve"> </w:t>
      </w:r>
    </w:p>
    <w:p w:rsidR="004E6FEA" w:rsidRPr="00C972BF" w:rsidRDefault="004E6FEA" w:rsidP="004E6FEA">
      <w:pPr>
        <w:rPr>
          <w:caps/>
          <w:snapToGrid w:val="0"/>
        </w:rPr>
      </w:pPr>
    </w:p>
    <w:p w:rsidR="003178F4" w:rsidRPr="00C972BF" w:rsidRDefault="003178F4" w:rsidP="003178F4">
      <w:r w:rsidRPr="00C972BF">
        <w:fldChar w:fldCharType="begin"/>
      </w:r>
      <w:r w:rsidRPr="00C972BF">
        <w:instrText xml:space="preserve"> AUTONUM  </w:instrText>
      </w:r>
      <w:r w:rsidRPr="00C972BF">
        <w:fldChar w:fldCharType="end"/>
      </w:r>
      <w:r w:rsidRPr="00C972BF">
        <w:tab/>
        <w:t xml:space="preserve">The purpose of this document is to report the outcome of consideration of the </w:t>
      </w:r>
      <w:r w:rsidRPr="00C972BF">
        <w:rPr>
          <w:rFonts w:cs="Arial"/>
        </w:rPr>
        <w:t xml:space="preserve">Administrative and Legal Committee (CAJ) </w:t>
      </w:r>
      <w:r w:rsidRPr="00C972BF">
        <w:t>documents by correspondence, in accordance with the procedure adopted by the Council in 2020</w:t>
      </w:r>
      <w:r w:rsidRPr="00C972BF">
        <w:rPr>
          <w:vertAlign w:val="superscript"/>
        </w:rPr>
        <w:footnoteReference w:id="2"/>
      </w:r>
      <w:r w:rsidRPr="00C972BF">
        <w:t xml:space="preserve">.  </w:t>
      </w:r>
    </w:p>
    <w:p w:rsidR="003178F4" w:rsidRPr="00C972BF" w:rsidRDefault="003178F4" w:rsidP="003178F4"/>
    <w:p w:rsidR="003178F4" w:rsidRPr="00C972BF" w:rsidRDefault="003178F4" w:rsidP="003178F4">
      <w:r w:rsidRPr="00C972BF">
        <w:fldChar w:fldCharType="begin"/>
      </w:r>
      <w:r w:rsidRPr="00C972BF">
        <w:instrText xml:space="preserve"> AUTONUM  </w:instrText>
      </w:r>
      <w:r w:rsidRPr="00C972BF">
        <w:fldChar w:fldCharType="end"/>
      </w:r>
      <w:r w:rsidRPr="00C972BF">
        <w:tab/>
        <w:t>The CAJ approved the decision(s) contained in the following documents:</w:t>
      </w:r>
    </w:p>
    <w:p w:rsidR="003178F4" w:rsidRPr="00C972BF" w:rsidRDefault="003178F4" w:rsidP="003178F4"/>
    <w:p w:rsidR="003178F4" w:rsidRPr="00C972BF" w:rsidRDefault="003178F4" w:rsidP="00E6741B">
      <w:pPr>
        <w:spacing w:after="60"/>
        <w:ind w:left="567"/>
        <w:rPr>
          <w:rFonts w:cs="Arial"/>
        </w:rPr>
      </w:pPr>
      <w:r w:rsidRPr="00C972BF">
        <w:rPr>
          <w:rFonts w:cs="Arial"/>
        </w:rPr>
        <w:t>Development of guidance and information materials (document CAJ/77/3 Rev.)</w:t>
      </w:r>
    </w:p>
    <w:p w:rsidR="003178F4" w:rsidRPr="00C972BF" w:rsidRDefault="003178F4" w:rsidP="00E6741B">
      <w:pPr>
        <w:spacing w:after="60"/>
        <w:ind w:left="567"/>
        <w:rPr>
          <w:rFonts w:cs="Arial"/>
        </w:rPr>
      </w:pPr>
      <w:r w:rsidRPr="00C972BF">
        <w:rPr>
          <w:rFonts w:cs="Arial"/>
        </w:rPr>
        <w:t>Essentially derived varieties (document CAJ/77/4 Rev.)</w:t>
      </w:r>
    </w:p>
    <w:p w:rsidR="003178F4" w:rsidRPr="00C972BF" w:rsidRDefault="003178F4" w:rsidP="00E6741B">
      <w:pPr>
        <w:spacing w:after="60"/>
        <w:ind w:left="567"/>
        <w:rPr>
          <w:rFonts w:cs="Arial"/>
        </w:rPr>
      </w:pPr>
      <w:r w:rsidRPr="00E17198">
        <w:rPr>
          <w:rFonts w:cs="Arial"/>
        </w:rPr>
        <w:t xml:space="preserve">Harvested </w:t>
      </w:r>
      <w:r w:rsidR="001A7D64" w:rsidRPr="00E17198">
        <w:rPr>
          <w:rFonts w:cs="Arial"/>
        </w:rPr>
        <w:t>material</w:t>
      </w:r>
      <w:r w:rsidR="001A7D64" w:rsidRPr="00C972BF">
        <w:rPr>
          <w:rFonts w:cs="Arial"/>
        </w:rPr>
        <w:t xml:space="preserve"> </w:t>
      </w:r>
      <w:r w:rsidRPr="00C972BF">
        <w:rPr>
          <w:rFonts w:cs="Arial"/>
        </w:rPr>
        <w:t>(document CAJ/77/5)</w:t>
      </w:r>
    </w:p>
    <w:p w:rsidR="003178F4" w:rsidRPr="00C972BF" w:rsidRDefault="003178F4" w:rsidP="00E6741B">
      <w:pPr>
        <w:spacing w:after="60"/>
        <w:ind w:left="567"/>
        <w:rPr>
          <w:spacing w:val="-2"/>
        </w:rPr>
      </w:pPr>
      <w:r w:rsidRPr="00C972BF">
        <w:rPr>
          <w:rFonts w:cs="Arial"/>
        </w:rPr>
        <w:t>UPOV denomination similarity search tool (document CAJ/77/7)</w:t>
      </w:r>
    </w:p>
    <w:p w:rsidR="008E101D" w:rsidRPr="00C972BF" w:rsidRDefault="008E101D" w:rsidP="008E101D"/>
    <w:p w:rsidR="003178F4" w:rsidRPr="00C972BF" w:rsidRDefault="003178F4" w:rsidP="003178F4">
      <w:r w:rsidRPr="00C972BF">
        <w:fldChar w:fldCharType="begin"/>
      </w:r>
      <w:r w:rsidRPr="00C972BF">
        <w:instrText xml:space="preserve"> AUTONUM  </w:instrText>
      </w:r>
      <w:r w:rsidRPr="00C972BF">
        <w:fldChar w:fldCharType="end"/>
      </w:r>
      <w:r w:rsidRPr="00C972BF">
        <w:tab/>
      </w:r>
      <w:proofErr w:type="gramStart"/>
      <w:r w:rsidRPr="00C972BF">
        <w:t xml:space="preserve">Documents UPOV/EXN/DEN/1 Draft 4 “Explanatory Notes on Variety Denominations under the UPOV Convention” and CAJ/77/6 “Novelty of parent lines with regard to the exploitation of the hybrid variety” </w:t>
      </w:r>
      <w:r w:rsidRPr="00C972BF">
        <w:rPr>
          <w:spacing w:val="-4"/>
        </w:rPr>
        <w:t xml:space="preserve">received comments that were not of a straightforward nature and will be discussed at the virtual session of the CAJ (see </w:t>
      </w:r>
      <w:r w:rsidRPr="00CB28A3">
        <w:rPr>
          <w:spacing w:val="-4"/>
        </w:rPr>
        <w:t>paragraphs </w:t>
      </w:r>
      <w:r w:rsidR="00FA2C9E" w:rsidRPr="00CB28A3">
        <w:rPr>
          <w:spacing w:val="-4"/>
        </w:rPr>
        <w:t>34</w:t>
      </w:r>
      <w:r w:rsidRPr="00CB28A3">
        <w:rPr>
          <w:spacing w:val="-4"/>
        </w:rPr>
        <w:t xml:space="preserve"> and </w:t>
      </w:r>
      <w:r w:rsidR="00FA2C9E" w:rsidRPr="00CB28A3">
        <w:rPr>
          <w:spacing w:val="-4"/>
        </w:rPr>
        <w:t>35</w:t>
      </w:r>
      <w:r w:rsidRPr="00CB28A3">
        <w:rPr>
          <w:spacing w:val="-4"/>
        </w:rPr>
        <w:t xml:space="preserve"> and paragraphs </w:t>
      </w:r>
      <w:r w:rsidR="00FA2C9E" w:rsidRPr="00CB28A3">
        <w:rPr>
          <w:spacing w:val="-4"/>
        </w:rPr>
        <w:t>49</w:t>
      </w:r>
      <w:r w:rsidR="00E77C81" w:rsidRPr="00CB28A3">
        <w:rPr>
          <w:spacing w:val="-4"/>
        </w:rPr>
        <w:t xml:space="preserve"> </w:t>
      </w:r>
      <w:r w:rsidR="006B5618" w:rsidRPr="00CB28A3">
        <w:rPr>
          <w:spacing w:val="-4"/>
        </w:rPr>
        <w:t>and</w:t>
      </w:r>
      <w:r w:rsidR="00E6741B" w:rsidRPr="00CB28A3">
        <w:rPr>
          <w:spacing w:val="-4"/>
        </w:rPr>
        <w:t xml:space="preserve"> </w:t>
      </w:r>
      <w:r w:rsidR="00FA2C9E" w:rsidRPr="00CB28A3">
        <w:rPr>
          <w:spacing w:val="-4"/>
        </w:rPr>
        <w:t>50</w:t>
      </w:r>
      <w:r w:rsidRPr="00CB28A3">
        <w:rPr>
          <w:spacing w:val="-4"/>
        </w:rPr>
        <w:t>, respectively</w:t>
      </w:r>
      <w:r w:rsidRPr="00C972BF">
        <w:rPr>
          <w:spacing w:val="-4"/>
        </w:rPr>
        <w:t>, below).</w:t>
      </w:r>
      <w:proofErr w:type="gramEnd"/>
      <w:r w:rsidRPr="00C972BF">
        <w:rPr>
          <w:spacing w:val="-4"/>
        </w:rPr>
        <w:t xml:space="preserve">  </w:t>
      </w:r>
    </w:p>
    <w:p w:rsidR="003178F4" w:rsidRPr="00C972BF" w:rsidRDefault="003178F4" w:rsidP="003178F4">
      <w:pPr>
        <w:rPr>
          <w:spacing w:val="-4"/>
        </w:rPr>
      </w:pPr>
    </w:p>
    <w:p w:rsidR="003178F4" w:rsidRPr="00CB28A3" w:rsidRDefault="003178F4" w:rsidP="003178F4">
      <w:pPr>
        <w:rPr>
          <w:rFonts w:cs="Arial"/>
        </w:rPr>
      </w:pPr>
      <w:r w:rsidRPr="00C972BF">
        <w:fldChar w:fldCharType="begin"/>
      </w:r>
      <w:r w:rsidRPr="00C972BF">
        <w:instrText xml:space="preserve"> AUTONUM  </w:instrText>
      </w:r>
      <w:r w:rsidRPr="00C972BF">
        <w:fldChar w:fldCharType="end"/>
      </w:r>
      <w:r w:rsidRPr="00C972BF">
        <w:tab/>
        <w:t xml:space="preserve">This document </w:t>
      </w:r>
      <w:r w:rsidRPr="00C972BF">
        <w:rPr>
          <w:rFonts w:cs="Arial"/>
        </w:rPr>
        <w:t>also contains comments received in response to Circular E-</w:t>
      </w:r>
      <w:r w:rsidRPr="00DB7C1F">
        <w:rPr>
          <w:rFonts w:cs="Arial"/>
        </w:rPr>
        <w:t>20/120</w:t>
      </w:r>
      <w:r w:rsidRPr="00C972BF">
        <w:rPr>
          <w:rFonts w:cs="Arial"/>
        </w:rPr>
        <w:t xml:space="preserve">, of August 21, 2020, that have not resulted in a revision of documents </w:t>
      </w:r>
      <w:r w:rsidRPr="00CB28A3">
        <w:rPr>
          <w:rFonts w:cs="Arial"/>
        </w:rPr>
        <w:t xml:space="preserve">but which suggest possible further action for consideration by the </w:t>
      </w:r>
      <w:r w:rsidR="00E17198" w:rsidRPr="00CB28A3">
        <w:rPr>
          <w:rFonts w:cs="Arial"/>
        </w:rPr>
        <w:t xml:space="preserve">CAJ </w:t>
      </w:r>
      <w:r w:rsidRPr="00CB28A3">
        <w:rPr>
          <w:rFonts w:cs="Arial"/>
        </w:rPr>
        <w:t>at its virtual session in October 2020</w:t>
      </w:r>
      <w:r w:rsidR="00E17198" w:rsidRPr="00CB28A3">
        <w:rPr>
          <w:rFonts w:cs="Arial"/>
        </w:rPr>
        <w:t xml:space="preserve"> </w:t>
      </w:r>
      <w:r w:rsidR="0091445C" w:rsidRPr="00CB28A3">
        <w:rPr>
          <w:rFonts w:cs="Arial"/>
        </w:rPr>
        <w:t>(see paragraph</w:t>
      </w:r>
      <w:r w:rsidR="00E17198" w:rsidRPr="00CB28A3">
        <w:rPr>
          <w:rFonts w:cs="Arial"/>
        </w:rPr>
        <w:t xml:space="preserve"> </w:t>
      </w:r>
      <w:r w:rsidR="00DB7C1F" w:rsidRPr="00CB28A3">
        <w:rPr>
          <w:rFonts w:cs="Arial"/>
        </w:rPr>
        <w:t>48)</w:t>
      </w:r>
      <w:r w:rsidR="00E17198" w:rsidRPr="00CB28A3">
        <w:rPr>
          <w:rFonts w:cs="Arial"/>
        </w:rPr>
        <w:t xml:space="preserve"> </w:t>
      </w:r>
      <w:r w:rsidRPr="00CB28A3">
        <w:rPr>
          <w:rFonts w:cs="Arial"/>
        </w:rPr>
        <w:t xml:space="preserve">.  </w:t>
      </w:r>
    </w:p>
    <w:p w:rsidR="008E101D" w:rsidRPr="00CB28A3" w:rsidRDefault="008E101D" w:rsidP="008E101D"/>
    <w:p w:rsidR="00293B48" w:rsidRPr="00157E95" w:rsidRDefault="00293B48" w:rsidP="00293B48">
      <w:pPr>
        <w:spacing w:after="120"/>
        <w:rPr>
          <w:rFonts w:cs="Arial"/>
        </w:rPr>
      </w:pPr>
      <w:r w:rsidRPr="00157E95">
        <w:rPr>
          <w:rFonts w:cs="Arial"/>
        </w:rPr>
        <w:fldChar w:fldCharType="begin"/>
      </w:r>
      <w:r w:rsidRPr="00157E95">
        <w:rPr>
          <w:rFonts w:cs="Arial"/>
        </w:rPr>
        <w:instrText xml:space="preserve"> AUTONUM  </w:instrText>
      </w:r>
      <w:r w:rsidRPr="00157E95">
        <w:rPr>
          <w:rFonts w:cs="Arial"/>
        </w:rPr>
        <w:fldChar w:fldCharType="end"/>
      </w:r>
      <w:r w:rsidRPr="00157E95">
        <w:rPr>
          <w:rFonts w:cs="Arial"/>
        </w:rPr>
        <w:tab/>
        <w:t>The structure of this document is as follows:</w:t>
      </w:r>
    </w:p>
    <w:p w:rsidR="000328F3" w:rsidRDefault="002F6717">
      <w:pPr>
        <w:pStyle w:val="TOC1"/>
        <w:rPr>
          <w:rFonts w:asciiTheme="minorHAnsi" w:eastAsiaTheme="minorEastAsia" w:hAnsiTheme="minorHAnsi" w:cstheme="minorBidi"/>
          <w:caps w:val="0"/>
          <w:spacing w:val="0"/>
          <w:sz w:val="22"/>
          <w:szCs w:val="22"/>
        </w:rPr>
      </w:pPr>
      <w:r>
        <w:fldChar w:fldCharType="begin"/>
      </w:r>
      <w:r>
        <w:instrText xml:space="preserve"> TOC \o "1-5" \h \z \u </w:instrText>
      </w:r>
      <w:r>
        <w:fldChar w:fldCharType="separate"/>
      </w:r>
      <w:hyperlink w:anchor="_Toc54617453" w:history="1">
        <w:r w:rsidR="000328F3" w:rsidRPr="00F55D08">
          <w:rPr>
            <w:rStyle w:val="Hyperlink"/>
            <w:snapToGrid w:val="0"/>
          </w:rPr>
          <w:t>EXECUTIVE SUMMARY</w:t>
        </w:r>
        <w:r w:rsidR="000328F3">
          <w:rPr>
            <w:webHidden/>
          </w:rPr>
          <w:tab/>
        </w:r>
        <w:r w:rsidR="000328F3">
          <w:rPr>
            <w:webHidden/>
          </w:rPr>
          <w:fldChar w:fldCharType="begin"/>
        </w:r>
        <w:r w:rsidR="000328F3">
          <w:rPr>
            <w:webHidden/>
          </w:rPr>
          <w:instrText xml:space="preserve"> PAGEREF _Toc54617453 \h </w:instrText>
        </w:r>
        <w:r w:rsidR="000328F3">
          <w:rPr>
            <w:webHidden/>
          </w:rPr>
        </w:r>
        <w:r w:rsidR="000328F3">
          <w:rPr>
            <w:webHidden/>
          </w:rPr>
          <w:fldChar w:fldCharType="separate"/>
        </w:r>
        <w:r w:rsidR="000328F3">
          <w:rPr>
            <w:webHidden/>
          </w:rPr>
          <w:t>1</w:t>
        </w:r>
        <w:r w:rsidR="000328F3">
          <w:rPr>
            <w:webHidden/>
          </w:rPr>
          <w:fldChar w:fldCharType="end"/>
        </w:r>
      </w:hyperlink>
    </w:p>
    <w:p w:rsidR="000328F3" w:rsidRDefault="00BC381E">
      <w:pPr>
        <w:pStyle w:val="TOC1"/>
        <w:rPr>
          <w:rFonts w:asciiTheme="minorHAnsi" w:eastAsiaTheme="minorEastAsia" w:hAnsiTheme="minorHAnsi" w:cstheme="minorBidi"/>
          <w:caps w:val="0"/>
          <w:spacing w:val="0"/>
          <w:sz w:val="22"/>
          <w:szCs w:val="22"/>
        </w:rPr>
      </w:pPr>
      <w:hyperlink w:anchor="_Toc54617454" w:history="1">
        <w:r w:rsidR="000328F3" w:rsidRPr="00F55D08">
          <w:rPr>
            <w:rStyle w:val="Hyperlink"/>
          </w:rPr>
          <w:t>Background</w:t>
        </w:r>
        <w:r w:rsidR="000328F3">
          <w:rPr>
            <w:webHidden/>
          </w:rPr>
          <w:tab/>
        </w:r>
        <w:r w:rsidR="000328F3">
          <w:rPr>
            <w:webHidden/>
          </w:rPr>
          <w:fldChar w:fldCharType="begin"/>
        </w:r>
        <w:r w:rsidR="000328F3">
          <w:rPr>
            <w:webHidden/>
          </w:rPr>
          <w:instrText xml:space="preserve"> PAGEREF _Toc54617454 \h </w:instrText>
        </w:r>
        <w:r w:rsidR="000328F3">
          <w:rPr>
            <w:webHidden/>
          </w:rPr>
        </w:r>
        <w:r w:rsidR="000328F3">
          <w:rPr>
            <w:webHidden/>
          </w:rPr>
          <w:fldChar w:fldCharType="separate"/>
        </w:r>
        <w:r w:rsidR="000328F3">
          <w:rPr>
            <w:webHidden/>
          </w:rPr>
          <w:t>2</w:t>
        </w:r>
        <w:r w:rsidR="000328F3">
          <w:rPr>
            <w:webHidden/>
          </w:rPr>
          <w:fldChar w:fldCharType="end"/>
        </w:r>
      </w:hyperlink>
    </w:p>
    <w:p w:rsidR="000328F3" w:rsidRDefault="00BC381E">
      <w:pPr>
        <w:pStyle w:val="TOC1"/>
        <w:rPr>
          <w:rFonts w:asciiTheme="minorHAnsi" w:eastAsiaTheme="minorEastAsia" w:hAnsiTheme="minorHAnsi" w:cstheme="minorBidi"/>
          <w:caps w:val="0"/>
          <w:spacing w:val="0"/>
          <w:sz w:val="22"/>
          <w:szCs w:val="22"/>
        </w:rPr>
      </w:pPr>
      <w:hyperlink w:anchor="_Toc54617455" w:history="1">
        <w:r w:rsidR="000328F3" w:rsidRPr="00F55D08">
          <w:rPr>
            <w:rStyle w:val="Hyperlink"/>
          </w:rPr>
          <w:t>Agenda item 6:  Development of guidance and information materials (document </w:t>
        </w:r>
        <w:r w:rsidR="000328F3" w:rsidRPr="00F55D08">
          <w:rPr>
            <w:rStyle w:val="Hyperlink"/>
            <w:snapToGrid w:val="0"/>
          </w:rPr>
          <w:t>CAJ/77/3 Rev.)</w:t>
        </w:r>
        <w:r w:rsidR="000328F3">
          <w:rPr>
            <w:webHidden/>
          </w:rPr>
          <w:tab/>
        </w:r>
        <w:r w:rsidR="000328F3">
          <w:rPr>
            <w:webHidden/>
          </w:rPr>
          <w:fldChar w:fldCharType="begin"/>
        </w:r>
        <w:r w:rsidR="000328F3">
          <w:rPr>
            <w:webHidden/>
          </w:rPr>
          <w:instrText xml:space="preserve"> PAGEREF _Toc54617455 \h </w:instrText>
        </w:r>
        <w:r w:rsidR="000328F3">
          <w:rPr>
            <w:webHidden/>
          </w:rPr>
        </w:r>
        <w:r w:rsidR="000328F3">
          <w:rPr>
            <w:webHidden/>
          </w:rPr>
          <w:fldChar w:fldCharType="separate"/>
        </w:r>
        <w:r w:rsidR="000328F3">
          <w:rPr>
            <w:webHidden/>
          </w:rPr>
          <w:t>4</w:t>
        </w:r>
        <w:r w:rsidR="000328F3">
          <w:rPr>
            <w:webHidden/>
          </w:rPr>
          <w:fldChar w:fldCharType="end"/>
        </w:r>
      </w:hyperlink>
    </w:p>
    <w:p w:rsidR="000328F3" w:rsidRDefault="00BC381E">
      <w:pPr>
        <w:pStyle w:val="TOC2"/>
        <w:rPr>
          <w:rFonts w:asciiTheme="minorHAnsi" w:eastAsiaTheme="minorEastAsia" w:hAnsiTheme="minorHAnsi" w:cstheme="minorBidi"/>
          <w:noProof/>
          <w:sz w:val="22"/>
          <w:szCs w:val="22"/>
        </w:rPr>
      </w:pPr>
      <w:hyperlink w:anchor="_Toc54617456" w:history="1">
        <w:r w:rsidR="000328F3" w:rsidRPr="00F55D08">
          <w:rPr>
            <w:rStyle w:val="Hyperlink"/>
            <w:noProof/>
          </w:rPr>
          <w:t>Information Materials</w:t>
        </w:r>
        <w:r w:rsidR="000328F3">
          <w:rPr>
            <w:noProof/>
            <w:webHidden/>
          </w:rPr>
          <w:tab/>
        </w:r>
        <w:r w:rsidR="000328F3">
          <w:rPr>
            <w:noProof/>
            <w:webHidden/>
          </w:rPr>
          <w:fldChar w:fldCharType="begin"/>
        </w:r>
        <w:r w:rsidR="000328F3">
          <w:rPr>
            <w:noProof/>
            <w:webHidden/>
          </w:rPr>
          <w:instrText xml:space="preserve"> PAGEREF _Toc54617456 \h </w:instrText>
        </w:r>
        <w:r w:rsidR="000328F3">
          <w:rPr>
            <w:noProof/>
            <w:webHidden/>
          </w:rPr>
        </w:r>
        <w:r w:rsidR="000328F3">
          <w:rPr>
            <w:noProof/>
            <w:webHidden/>
          </w:rPr>
          <w:fldChar w:fldCharType="separate"/>
        </w:r>
        <w:r w:rsidR="000328F3">
          <w:rPr>
            <w:noProof/>
            <w:webHidden/>
          </w:rPr>
          <w:t>4</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57" w:history="1">
        <w:r w:rsidR="000328F3" w:rsidRPr="00F55D08">
          <w:rPr>
            <w:rStyle w:val="Hyperlink"/>
            <w:noProof/>
          </w:rPr>
          <w:t>UPOV/INF/16:  Exchangeable Software (Revision) (document UPOV/INF/16/9 Draft 2)</w:t>
        </w:r>
        <w:r w:rsidR="000328F3">
          <w:rPr>
            <w:noProof/>
            <w:webHidden/>
          </w:rPr>
          <w:tab/>
        </w:r>
        <w:r w:rsidR="000328F3">
          <w:rPr>
            <w:noProof/>
            <w:webHidden/>
          </w:rPr>
          <w:fldChar w:fldCharType="begin"/>
        </w:r>
        <w:r w:rsidR="000328F3">
          <w:rPr>
            <w:noProof/>
            <w:webHidden/>
          </w:rPr>
          <w:instrText xml:space="preserve"> PAGEREF _Toc54617457 \h </w:instrText>
        </w:r>
        <w:r w:rsidR="000328F3">
          <w:rPr>
            <w:noProof/>
            <w:webHidden/>
          </w:rPr>
        </w:r>
        <w:r w:rsidR="000328F3">
          <w:rPr>
            <w:noProof/>
            <w:webHidden/>
          </w:rPr>
          <w:fldChar w:fldCharType="separate"/>
        </w:r>
        <w:r w:rsidR="000328F3">
          <w:rPr>
            <w:noProof/>
            <w:webHidden/>
          </w:rPr>
          <w:t>4</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58" w:history="1">
        <w:r w:rsidR="000328F3" w:rsidRPr="00F55D08">
          <w:rPr>
            <w:rStyle w:val="Hyperlink"/>
            <w:noProof/>
          </w:rPr>
          <w:t>UPOV/INF/22:  Software and Equipment Used by Members of the Union (Revision) (document UPOV/INF/22/7 Draft 1)</w:t>
        </w:r>
        <w:r w:rsidR="000328F3">
          <w:rPr>
            <w:noProof/>
            <w:webHidden/>
          </w:rPr>
          <w:tab/>
        </w:r>
        <w:r w:rsidR="000328F3">
          <w:rPr>
            <w:noProof/>
            <w:webHidden/>
          </w:rPr>
          <w:fldChar w:fldCharType="begin"/>
        </w:r>
        <w:r w:rsidR="000328F3">
          <w:rPr>
            <w:noProof/>
            <w:webHidden/>
          </w:rPr>
          <w:instrText xml:space="preserve"> PAGEREF _Toc54617458 \h </w:instrText>
        </w:r>
        <w:r w:rsidR="000328F3">
          <w:rPr>
            <w:noProof/>
            <w:webHidden/>
          </w:rPr>
        </w:r>
        <w:r w:rsidR="000328F3">
          <w:rPr>
            <w:noProof/>
            <w:webHidden/>
          </w:rPr>
          <w:fldChar w:fldCharType="separate"/>
        </w:r>
        <w:r w:rsidR="000328F3">
          <w:rPr>
            <w:noProof/>
            <w:webHidden/>
          </w:rPr>
          <w:t>4</w:t>
        </w:r>
        <w:r w:rsidR="000328F3">
          <w:rPr>
            <w:noProof/>
            <w:webHidden/>
          </w:rPr>
          <w:fldChar w:fldCharType="end"/>
        </w:r>
      </w:hyperlink>
    </w:p>
    <w:p w:rsidR="000328F3" w:rsidRDefault="00BC381E">
      <w:pPr>
        <w:pStyle w:val="TOC2"/>
        <w:rPr>
          <w:rFonts w:asciiTheme="minorHAnsi" w:eastAsiaTheme="minorEastAsia" w:hAnsiTheme="minorHAnsi" w:cstheme="minorBidi"/>
          <w:noProof/>
          <w:sz w:val="22"/>
          <w:szCs w:val="22"/>
        </w:rPr>
      </w:pPr>
      <w:hyperlink w:anchor="_Toc54617459" w:history="1">
        <w:r w:rsidR="000328F3" w:rsidRPr="00F55D08">
          <w:rPr>
            <w:rStyle w:val="Hyperlink"/>
            <w:noProof/>
          </w:rPr>
          <w:t>TGP documents</w:t>
        </w:r>
        <w:r w:rsidR="000328F3">
          <w:rPr>
            <w:noProof/>
            <w:webHidden/>
          </w:rPr>
          <w:tab/>
        </w:r>
        <w:r w:rsidR="000328F3">
          <w:rPr>
            <w:noProof/>
            <w:webHidden/>
          </w:rPr>
          <w:fldChar w:fldCharType="begin"/>
        </w:r>
        <w:r w:rsidR="000328F3">
          <w:rPr>
            <w:noProof/>
            <w:webHidden/>
          </w:rPr>
          <w:instrText xml:space="preserve"> PAGEREF _Toc54617459 \h </w:instrText>
        </w:r>
        <w:r w:rsidR="000328F3">
          <w:rPr>
            <w:noProof/>
            <w:webHidden/>
          </w:rPr>
        </w:r>
        <w:r w:rsidR="000328F3">
          <w:rPr>
            <w:noProof/>
            <w:webHidden/>
          </w:rPr>
          <w:fldChar w:fldCharType="separate"/>
        </w:r>
        <w:r w:rsidR="000328F3">
          <w:rPr>
            <w:noProof/>
            <w:webHidden/>
          </w:rPr>
          <w:t>4</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60" w:history="1">
        <w:r w:rsidR="000328F3" w:rsidRPr="00F55D08">
          <w:rPr>
            <w:rStyle w:val="Hyperlink"/>
            <w:noProof/>
          </w:rPr>
          <w:t>TGP/5:  Experience and Cooperation in DUS Testing:  Section 6: UPOV Report on Technical Examination and UPOV Variety Description (Revision) (document TGP/5:  Section 6/3 Draft 1)</w:t>
        </w:r>
        <w:r w:rsidR="000328F3">
          <w:rPr>
            <w:noProof/>
            <w:webHidden/>
          </w:rPr>
          <w:tab/>
        </w:r>
        <w:r w:rsidR="000328F3">
          <w:rPr>
            <w:noProof/>
            <w:webHidden/>
          </w:rPr>
          <w:fldChar w:fldCharType="begin"/>
        </w:r>
        <w:r w:rsidR="000328F3">
          <w:rPr>
            <w:noProof/>
            <w:webHidden/>
          </w:rPr>
          <w:instrText xml:space="preserve"> PAGEREF _Toc54617460 \h </w:instrText>
        </w:r>
        <w:r w:rsidR="000328F3">
          <w:rPr>
            <w:noProof/>
            <w:webHidden/>
          </w:rPr>
        </w:r>
        <w:r w:rsidR="000328F3">
          <w:rPr>
            <w:noProof/>
            <w:webHidden/>
          </w:rPr>
          <w:fldChar w:fldCharType="separate"/>
        </w:r>
        <w:r w:rsidR="000328F3">
          <w:rPr>
            <w:noProof/>
            <w:webHidden/>
          </w:rPr>
          <w:t>4</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61" w:history="1">
        <w:r w:rsidR="000328F3" w:rsidRPr="00F55D08">
          <w:rPr>
            <w:rStyle w:val="Hyperlink"/>
            <w:noProof/>
          </w:rPr>
          <w:t>TGP/7:  Development of Test Guidelines (Revision) (document TGP/7/8 Draft 1)</w:t>
        </w:r>
        <w:r w:rsidR="000328F3">
          <w:rPr>
            <w:noProof/>
            <w:webHidden/>
          </w:rPr>
          <w:tab/>
        </w:r>
        <w:r w:rsidR="000328F3">
          <w:rPr>
            <w:noProof/>
            <w:webHidden/>
          </w:rPr>
          <w:fldChar w:fldCharType="begin"/>
        </w:r>
        <w:r w:rsidR="000328F3">
          <w:rPr>
            <w:noProof/>
            <w:webHidden/>
          </w:rPr>
          <w:instrText xml:space="preserve"> PAGEREF _Toc54617461 \h </w:instrText>
        </w:r>
        <w:r w:rsidR="000328F3">
          <w:rPr>
            <w:noProof/>
            <w:webHidden/>
          </w:rPr>
        </w:r>
        <w:r w:rsidR="000328F3">
          <w:rPr>
            <w:noProof/>
            <w:webHidden/>
          </w:rPr>
          <w:fldChar w:fldCharType="separate"/>
        </w:r>
        <w:r w:rsidR="000328F3">
          <w:rPr>
            <w:noProof/>
            <w:webHidden/>
          </w:rPr>
          <w:t>4</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62" w:history="1">
        <w:r w:rsidR="000328F3" w:rsidRPr="00F55D08">
          <w:rPr>
            <w:rStyle w:val="Hyperlink"/>
            <w:noProof/>
          </w:rPr>
          <w:t>TGP/14:  Glossary of Terms Used in UPOV Documents (Revision) (document TGP/14/5 Draft 1)</w:t>
        </w:r>
        <w:r w:rsidR="000328F3">
          <w:rPr>
            <w:noProof/>
            <w:webHidden/>
          </w:rPr>
          <w:tab/>
        </w:r>
        <w:r w:rsidR="000328F3">
          <w:rPr>
            <w:noProof/>
            <w:webHidden/>
          </w:rPr>
          <w:fldChar w:fldCharType="begin"/>
        </w:r>
        <w:r w:rsidR="000328F3">
          <w:rPr>
            <w:noProof/>
            <w:webHidden/>
          </w:rPr>
          <w:instrText xml:space="preserve"> PAGEREF _Toc54617462 \h </w:instrText>
        </w:r>
        <w:r w:rsidR="000328F3">
          <w:rPr>
            <w:noProof/>
            <w:webHidden/>
          </w:rPr>
        </w:r>
        <w:r w:rsidR="000328F3">
          <w:rPr>
            <w:noProof/>
            <w:webHidden/>
          </w:rPr>
          <w:fldChar w:fldCharType="separate"/>
        </w:r>
        <w:r w:rsidR="000328F3">
          <w:rPr>
            <w:noProof/>
            <w:webHidden/>
          </w:rPr>
          <w:t>4</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63" w:history="1">
        <w:r w:rsidR="000328F3" w:rsidRPr="00F55D08">
          <w:rPr>
            <w:rStyle w:val="Hyperlink"/>
            <w:noProof/>
          </w:rPr>
          <w:t>TGP/15:  Guidance on the Use of Biochemical and Molecular Markers in the Examination of Distinctness, Uniformity and Stability (DUS) (Revision) (document TGP/15/3 Draft 1)</w:t>
        </w:r>
        <w:r w:rsidR="000328F3">
          <w:rPr>
            <w:noProof/>
            <w:webHidden/>
          </w:rPr>
          <w:tab/>
        </w:r>
        <w:r w:rsidR="000328F3">
          <w:rPr>
            <w:noProof/>
            <w:webHidden/>
          </w:rPr>
          <w:fldChar w:fldCharType="begin"/>
        </w:r>
        <w:r w:rsidR="000328F3">
          <w:rPr>
            <w:noProof/>
            <w:webHidden/>
          </w:rPr>
          <w:instrText xml:space="preserve"> PAGEREF _Toc54617463 \h </w:instrText>
        </w:r>
        <w:r w:rsidR="000328F3">
          <w:rPr>
            <w:noProof/>
            <w:webHidden/>
          </w:rPr>
        </w:r>
        <w:r w:rsidR="000328F3">
          <w:rPr>
            <w:noProof/>
            <w:webHidden/>
          </w:rPr>
          <w:fldChar w:fldCharType="separate"/>
        </w:r>
        <w:r w:rsidR="000328F3">
          <w:rPr>
            <w:noProof/>
            <w:webHidden/>
          </w:rPr>
          <w:t>4</w:t>
        </w:r>
        <w:r w:rsidR="000328F3">
          <w:rPr>
            <w:noProof/>
            <w:webHidden/>
          </w:rPr>
          <w:fldChar w:fldCharType="end"/>
        </w:r>
      </w:hyperlink>
    </w:p>
    <w:p w:rsidR="000328F3" w:rsidRDefault="00BC381E">
      <w:pPr>
        <w:pStyle w:val="TOC2"/>
        <w:rPr>
          <w:rFonts w:asciiTheme="minorHAnsi" w:eastAsiaTheme="minorEastAsia" w:hAnsiTheme="minorHAnsi" w:cstheme="minorBidi"/>
          <w:noProof/>
          <w:sz w:val="22"/>
          <w:szCs w:val="22"/>
        </w:rPr>
      </w:pPr>
      <w:hyperlink w:anchor="_Toc54617464" w:history="1">
        <w:r w:rsidR="000328F3" w:rsidRPr="00F55D08">
          <w:rPr>
            <w:rStyle w:val="Hyperlink"/>
            <w:noProof/>
          </w:rPr>
          <w:t>Other matters for consideration by the CAJ</w:t>
        </w:r>
        <w:r w:rsidR="000328F3">
          <w:rPr>
            <w:noProof/>
            <w:webHidden/>
          </w:rPr>
          <w:tab/>
        </w:r>
        <w:r w:rsidR="000328F3">
          <w:rPr>
            <w:noProof/>
            <w:webHidden/>
          </w:rPr>
          <w:fldChar w:fldCharType="begin"/>
        </w:r>
        <w:r w:rsidR="000328F3">
          <w:rPr>
            <w:noProof/>
            <w:webHidden/>
          </w:rPr>
          <w:instrText xml:space="preserve"> PAGEREF _Toc54617464 \h </w:instrText>
        </w:r>
        <w:r w:rsidR="000328F3">
          <w:rPr>
            <w:noProof/>
            <w:webHidden/>
          </w:rPr>
        </w:r>
        <w:r w:rsidR="000328F3">
          <w:rPr>
            <w:noProof/>
            <w:webHidden/>
          </w:rPr>
          <w:fldChar w:fldCharType="separate"/>
        </w:r>
        <w:r w:rsidR="000328F3">
          <w:rPr>
            <w:noProof/>
            <w:webHidden/>
          </w:rPr>
          <w:t>5</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65" w:history="1">
        <w:r w:rsidR="000328F3" w:rsidRPr="00F55D08">
          <w:rPr>
            <w:rStyle w:val="Hyperlink"/>
            <w:noProof/>
          </w:rPr>
          <w:t>UPOV/INF/23:  Software and Equipment Used by Members of the Union (Revision) (document UPOV/INF/22/7 Draft 1)</w:t>
        </w:r>
        <w:r w:rsidR="000328F3">
          <w:rPr>
            <w:noProof/>
            <w:webHidden/>
          </w:rPr>
          <w:tab/>
        </w:r>
        <w:r w:rsidR="000328F3">
          <w:rPr>
            <w:noProof/>
            <w:webHidden/>
          </w:rPr>
          <w:fldChar w:fldCharType="begin"/>
        </w:r>
        <w:r w:rsidR="000328F3">
          <w:rPr>
            <w:noProof/>
            <w:webHidden/>
          </w:rPr>
          <w:instrText xml:space="preserve"> PAGEREF _Toc54617465 \h </w:instrText>
        </w:r>
        <w:r w:rsidR="000328F3">
          <w:rPr>
            <w:noProof/>
            <w:webHidden/>
          </w:rPr>
        </w:r>
        <w:r w:rsidR="000328F3">
          <w:rPr>
            <w:noProof/>
            <w:webHidden/>
          </w:rPr>
          <w:fldChar w:fldCharType="separate"/>
        </w:r>
        <w:r w:rsidR="000328F3">
          <w:rPr>
            <w:noProof/>
            <w:webHidden/>
          </w:rPr>
          <w:t>5</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66" w:history="1">
        <w:r w:rsidR="000328F3" w:rsidRPr="00F55D08">
          <w:rPr>
            <w:rStyle w:val="Hyperlink"/>
            <w:noProof/>
          </w:rPr>
          <w:t>Reference to UPOV PRISMA in UPOV guidance and information materials</w:t>
        </w:r>
        <w:r w:rsidR="000328F3">
          <w:rPr>
            <w:noProof/>
            <w:webHidden/>
          </w:rPr>
          <w:tab/>
        </w:r>
        <w:r w:rsidR="000328F3">
          <w:rPr>
            <w:noProof/>
            <w:webHidden/>
          </w:rPr>
          <w:fldChar w:fldCharType="begin"/>
        </w:r>
        <w:r w:rsidR="000328F3">
          <w:rPr>
            <w:noProof/>
            <w:webHidden/>
          </w:rPr>
          <w:instrText xml:space="preserve"> PAGEREF _Toc54617466 \h </w:instrText>
        </w:r>
        <w:r w:rsidR="000328F3">
          <w:rPr>
            <w:noProof/>
            <w:webHidden/>
          </w:rPr>
        </w:r>
        <w:r w:rsidR="000328F3">
          <w:rPr>
            <w:noProof/>
            <w:webHidden/>
          </w:rPr>
          <w:fldChar w:fldCharType="separate"/>
        </w:r>
        <w:r w:rsidR="000328F3">
          <w:rPr>
            <w:noProof/>
            <w:webHidden/>
          </w:rPr>
          <w:t>5</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67" w:history="1">
        <w:r w:rsidR="000328F3" w:rsidRPr="00F55D08">
          <w:rPr>
            <w:rStyle w:val="Hyperlink"/>
            <w:noProof/>
          </w:rPr>
          <w:t>Essentially Derived Varieties</w:t>
        </w:r>
        <w:r w:rsidR="000328F3">
          <w:rPr>
            <w:noProof/>
            <w:webHidden/>
          </w:rPr>
          <w:tab/>
        </w:r>
        <w:r w:rsidR="000328F3">
          <w:rPr>
            <w:noProof/>
            <w:webHidden/>
          </w:rPr>
          <w:fldChar w:fldCharType="begin"/>
        </w:r>
        <w:r w:rsidR="000328F3">
          <w:rPr>
            <w:noProof/>
            <w:webHidden/>
          </w:rPr>
          <w:instrText xml:space="preserve"> PAGEREF _Toc54617467 \h </w:instrText>
        </w:r>
        <w:r w:rsidR="000328F3">
          <w:rPr>
            <w:noProof/>
            <w:webHidden/>
          </w:rPr>
        </w:r>
        <w:r w:rsidR="000328F3">
          <w:rPr>
            <w:noProof/>
            <w:webHidden/>
          </w:rPr>
          <w:fldChar w:fldCharType="separate"/>
        </w:r>
        <w:r w:rsidR="000328F3">
          <w:rPr>
            <w:noProof/>
            <w:webHidden/>
          </w:rPr>
          <w:t>5</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68" w:history="1">
        <w:r w:rsidR="000328F3" w:rsidRPr="00F55D08">
          <w:rPr>
            <w:rStyle w:val="Hyperlink"/>
            <w:noProof/>
          </w:rPr>
          <w:t>Harvested Material</w:t>
        </w:r>
        <w:r w:rsidR="000328F3">
          <w:rPr>
            <w:noProof/>
            <w:webHidden/>
          </w:rPr>
          <w:tab/>
        </w:r>
        <w:r w:rsidR="000328F3">
          <w:rPr>
            <w:noProof/>
            <w:webHidden/>
          </w:rPr>
          <w:fldChar w:fldCharType="begin"/>
        </w:r>
        <w:r w:rsidR="000328F3">
          <w:rPr>
            <w:noProof/>
            <w:webHidden/>
          </w:rPr>
          <w:instrText xml:space="preserve"> PAGEREF _Toc54617468 \h </w:instrText>
        </w:r>
        <w:r w:rsidR="000328F3">
          <w:rPr>
            <w:noProof/>
            <w:webHidden/>
          </w:rPr>
        </w:r>
        <w:r w:rsidR="000328F3">
          <w:rPr>
            <w:noProof/>
            <w:webHidden/>
          </w:rPr>
          <w:fldChar w:fldCharType="separate"/>
        </w:r>
        <w:r w:rsidR="000328F3">
          <w:rPr>
            <w:noProof/>
            <w:webHidden/>
          </w:rPr>
          <w:t>5</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69" w:history="1">
        <w:r w:rsidR="000328F3" w:rsidRPr="00F55D08">
          <w:rPr>
            <w:rStyle w:val="Hyperlink"/>
            <w:noProof/>
          </w:rPr>
          <w:t>Novelty of parent lines with regard to the exploitation of the hybrid variety</w:t>
        </w:r>
        <w:r w:rsidR="000328F3">
          <w:rPr>
            <w:noProof/>
            <w:webHidden/>
          </w:rPr>
          <w:tab/>
        </w:r>
        <w:r w:rsidR="000328F3">
          <w:rPr>
            <w:noProof/>
            <w:webHidden/>
          </w:rPr>
          <w:fldChar w:fldCharType="begin"/>
        </w:r>
        <w:r w:rsidR="000328F3">
          <w:rPr>
            <w:noProof/>
            <w:webHidden/>
          </w:rPr>
          <w:instrText xml:space="preserve"> PAGEREF _Toc54617469 \h </w:instrText>
        </w:r>
        <w:r w:rsidR="000328F3">
          <w:rPr>
            <w:noProof/>
            <w:webHidden/>
          </w:rPr>
        </w:r>
        <w:r w:rsidR="000328F3">
          <w:rPr>
            <w:noProof/>
            <w:webHidden/>
          </w:rPr>
          <w:fldChar w:fldCharType="separate"/>
        </w:r>
        <w:r w:rsidR="000328F3">
          <w:rPr>
            <w:noProof/>
            <w:webHidden/>
          </w:rPr>
          <w:t>5</w:t>
        </w:r>
        <w:r w:rsidR="000328F3">
          <w:rPr>
            <w:noProof/>
            <w:webHidden/>
          </w:rPr>
          <w:fldChar w:fldCharType="end"/>
        </w:r>
      </w:hyperlink>
    </w:p>
    <w:p w:rsidR="000328F3" w:rsidRDefault="00BC381E">
      <w:pPr>
        <w:pStyle w:val="TOC2"/>
        <w:rPr>
          <w:rFonts w:asciiTheme="minorHAnsi" w:eastAsiaTheme="minorEastAsia" w:hAnsiTheme="minorHAnsi" w:cstheme="minorBidi"/>
          <w:noProof/>
          <w:sz w:val="22"/>
          <w:szCs w:val="22"/>
        </w:rPr>
      </w:pPr>
      <w:hyperlink w:anchor="_Toc54617470" w:history="1">
        <w:r w:rsidR="000328F3" w:rsidRPr="00F55D08">
          <w:rPr>
            <w:rStyle w:val="Hyperlink"/>
            <w:noProof/>
          </w:rPr>
          <w:t>Tentative program for the development of guidance and information materials</w:t>
        </w:r>
        <w:r w:rsidR="000328F3">
          <w:rPr>
            <w:noProof/>
            <w:webHidden/>
          </w:rPr>
          <w:tab/>
        </w:r>
        <w:r w:rsidR="000328F3">
          <w:rPr>
            <w:noProof/>
            <w:webHidden/>
          </w:rPr>
          <w:fldChar w:fldCharType="begin"/>
        </w:r>
        <w:r w:rsidR="000328F3">
          <w:rPr>
            <w:noProof/>
            <w:webHidden/>
          </w:rPr>
          <w:instrText xml:space="preserve"> PAGEREF _Toc54617470 \h </w:instrText>
        </w:r>
        <w:r w:rsidR="000328F3">
          <w:rPr>
            <w:noProof/>
            <w:webHidden/>
          </w:rPr>
        </w:r>
        <w:r w:rsidR="000328F3">
          <w:rPr>
            <w:noProof/>
            <w:webHidden/>
          </w:rPr>
          <w:fldChar w:fldCharType="separate"/>
        </w:r>
        <w:r w:rsidR="000328F3">
          <w:rPr>
            <w:noProof/>
            <w:webHidden/>
          </w:rPr>
          <w:t>5</w:t>
        </w:r>
        <w:r w:rsidR="000328F3">
          <w:rPr>
            <w:noProof/>
            <w:webHidden/>
          </w:rPr>
          <w:fldChar w:fldCharType="end"/>
        </w:r>
      </w:hyperlink>
    </w:p>
    <w:p w:rsidR="000328F3" w:rsidRDefault="00BC381E">
      <w:pPr>
        <w:pStyle w:val="TOC2"/>
        <w:rPr>
          <w:rFonts w:asciiTheme="minorHAnsi" w:eastAsiaTheme="minorEastAsia" w:hAnsiTheme="minorHAnsi" w:cstheme="minorBidi"/>
          <w:noProof/>
          <w:sz w:val="22"/>
          <w:szCs w:val="22"/>
        </w:rPr>
      </w:pPr>
      <w:hyperlink w:anchor="_Toc54617471" w:history="1">
        <w:r w:rsidR="000328F3" w:rsidRPr="00F55D08">
          <w:rPr>
            <w:rStyle w:val="Hyperlink"/>
            <w:noProof/>
            <w:snapToGrid w:val="0"/>
          </w:rPr>
          <w:t>Explanatory Notes</w:t>
        </w:r>
        <w:r w:rsidR="000328F3">
          <w:rPr>
            <w:noProof/>
            <w:webHidden/>
          </w:rPr>
          <w:tab/>
        </w:r>
        <w:r w:rsidR="000328F3">
          <w:rPr>
            <w:noProof/>
            <w:webHidden/>
          </w:rPr>
          <w:fldChar w:fldCharType="begin"/>
        </w:r>
        <w:r w:rsidR="000328F3">
          <w:rPr>
            <w:noProof/>
            <w:webHidden/>
          </w:rPr>
          <w:instrText xml:space="preserve"> PAGEREF _Toc54617471 \h </w:instrText>
        </w:r>
        <w:r w:rsidR="000328F3">
          <w:rPr>
            <w:noProof/>
            <w:webHidden/>
          </w:rPr>
        </w:r>
        <w:r w:rsidR="000328F3">
          <w:rPr>
            <w:noProof/>
            <w:webHidden/>
          </w:rPr>
          <w:fldChar w:fldCharType="separate"/>
        </w:r>
        <w:r w:rsidR="000328F3">
          <w:rPr>
            <w:noProof/>
            <w:webHidden/>
          </w:rPr>
          <w:t>5</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72" w:history="1">
        <w:r w:rsidR="000328F3" w:rsidRPr="00F55D08">
          <w:rPr>
            <w:rStyle w:val="Hyperlink"/>
            <w:noProof/>
          </w:rPr>
          <w:t>UPOV/EXN/DEN:  Explanatory Notes on Variety Denominations under the UPOV Convention (document UPOV/EXN/DEN/1 Draft 4)</w:t>
        </w:r>
        <w:r w:rsidR="000328F3">
          <w:rPr>
            <w:noProof/>
            <w:webHidden/>
          </w:rPr>
          <w:tab/>
        </w:r>
        <w:r w:rsidR="000328F3">
          <w:rPr>
            <w:noProof/>
            <w:webHidden/>
          </w:rPr>
          <w:fldChar w:fldCharType="begin"/>
        </w:r>
        <w:r w:rsidR="000328F3">
          <w:rPr>
            <w:noProof/>
            <w:webHidden/>
          </w:rPr>
          <w:instrText xml:space="preserve"> PAGEREF _Toc54617472 \h </w:instrText>
        </w:r>
        <w:r w:rsidR="000328F3">
          <w:rPr>
            <w:noProof/>
            <w:webHidden/>
          </w:rPr>
        </w:r>
        <w:r w:rsidR="000328F3">
          <w:rPr>
            <w:noProof/>
            <w:webHidden/>
          </w:rPr>
          <w:fldChar w:fldCharType="separate"/>
        </w:r>
        <w:r w:rsidR="000328F3">
          <w:rPr>
            <w:noProof/>
            <w:webHidden/>
          </w:rPr>
          <w:t>5</w:t>
        </w:r>
        <w:r w:rsidR="000328F3">
          <w:rPr>
            <w:noProof/>
            <w:webHidden/>
          </w:rPr>
          <w:fldChar w:fldCharType="end"/>
        </w:r>
      </w:hyperlink>
    </w:p>
    <w:p w:rsidR="000328F3" w:rsidRDefault="00BC381E">
      <w:pPr>
        <w:pStyle w:val="TOC1"/>
        <w:rPr>
          <w:rFonts w:asciiTheme="minorHAnsi" w:eastAsiaTheme="minorEastAsia" w:hAnsiTheme="minorHAnsi" w:cstheme="minorBidi"/>
          <w:caps w:val="0"/>
          <w:spacing w:val="0"/>
          <w:sz w:val="22"/>
          <w:szCs w:val="22"/>
        </w:rPr>
      </w:pPr>
      <w:hyperlink w:anchor="_Toc54617473" w:history="1">
        <w:r w:rsidR="000328F3" w:rsidRPr="00F55D08">
          <w:rPr>
            <w:rStyle w:val="Hyperlink"/>
          </w:rPr>
          <w:t>AGENDA ITEM 7:  Essentially Derived Varieties (</w:t>
        </w:r>
        <w:r w:rsidR="000328F3" w:rsidRPr="00F55D08">
          <w:rPr>
            <w:rStyle w:val="Hyperlink"/>
            <w:snapToGrid w:val="0"/>
          </w:rPr>
          <w:t>document CAJ/77/4 Rev.)</w:t>
        </w:r>
        <w:r w:rsidR="000328F3">
          <w:rPr>
            <w:webHidden/>
          </w:rPr>
          <w:tab/>
        </w:r>
        <w:r w:rsidR="000328F3">
          <w:rPr>
            <w:webHidden/>
          </w:rPr>
          <w:fldChar w:fldCharType="begin"/>
        </w:r>
        <w:r w:rsidR="000328F3">
          <w:rPr>
            <w:webHidden/>
          </w:rPr>
          <w:instrText xml:space="preserve"> PAGEREF _Toc54617473 \h </w:instrText>
        </w:r>
        <w:r w:rsidR="000328F3">
          <w:rPr>
            <w:webHidden/>
          </w:rPr>
        </w:r>
        <w:r w:rsidR="000328F3">
          <w:rPr>
            <w:webHidden/>
          </w:rPr>
          <w:fldChar w:fldCharType="separate"/>
        </w:r>
        <w:r w:rsidR="000328F3">
          <w:rPr>
            <w:webHidden/>
          </w:rPr>
          <w:t>6</w:t>
        </w:r>
        <w:r w:rsidR="000328F3">
          <w:rPr>
            <w:webHidden/>
          </w:rPr>
          <w:fldChar w:fldCharType="end"/>
        </w:r>
      </w:hyperlink>
    </w:p>
    <w:p w:rsidR="000328F3" w:rsidRDefault="00BC381E">
      <w:pPr>
        <w:pStyle w:val="TOC1"/>
        <w:rPr>
          <w:rFonts w:asciiTheme="minorHAnsi" w:eastAsiaTheme="minorEastAsia" w:hAnsiTheme="minorHAnsi" w:cstheme="minorBidi"/>
          <w:caps w:val="0"/>
          <w:spacing w:val="0"/>
          <w:sz w:val="22"/>
          <w:szCs w:val="22"/>
        </w:rPr>
      </w:pPr>
      <w:hyperlink w:anchor="_Toc54617474" w:history="1">
        <w:r w:rsidR="000328F3" w:rsidRPr="00F55D08">
          <w:rPr>
            <w:rStyle w:val="Hyperlink"/>
          </w:rPr>
          <w:t>AGENDA ITEM 8:  Harvested Material (</w:t>
        </w:r>
        <w:r w:rsidR="000328F3" w:rsidRPr="00F55D08">
          <w:rPr>
            <w:rStyle w:val="Hyperlink"/>
            <w:snapToGrid w:val="0"/>
          </w:rPr>
          <w:t>document CAJ/77/5)</w:t>
        </w:r>
        <w:r w:rsidR="000328F3">
          <w:rPr>
            <w:webHidden/>
          </w:rPr>
          <w:tab/>
        </w:r>
        <w:r w:rsidR="000328F3">
          <w:rPr>
            <w:webHidden/>
          </w:rPr>
          <w:fldChar w:fldCharType="begin"/>
        </w:r>
        <w:r w:rsidR="000328F3">
          <w:rPr>
            <w:webHidden/>
          </w:rPr>
          <w:instrText xml:space="preserve"> PAGEREF _Toc54617474 \h </w:instrText>
        </w:r>
        <w:r w:rsidR="000328F3">
          <w:rPr>
            <w:webHidden/>
          </w:rPr>
        </w:r>
        <w:r w:rsidR="000328F3">
          <w:rPr>
            <w:webHidden/>
          </w:rPr>
          <w:fldChar w:fldCharType="separate"/>
        </w:r>
        <w:r w:rsidR="000328F3">
          <w:rPr>
            <w:webHidden/>
          </w:rPr>
          <w:t>6</w:t>
        </w:r>
        <w:r w:rsidR="000328F3">
          <w:rPr>
            <w:webHidden/>
          </w:rPr>
          <w:fldChar w:fldCharType="end"/>
        </w:r>
      </w:hyperlink>
    </w:p>
    <w:p w:rsidR="000328F3" w:rsidRDefault="00BC381E">
      <w:pPr>
        <w:pStyle w:val="TOC2"/>
        <w:rPr>
          <w:rFonts w:asciiTheme="minorHAnsi" w:eastAsiaTheme="minorEastAsia" w:hAnsiTheme="minorHAnsi" w:cstheme="minorBidi"/>
          <w:noProof/>
          <w:sz w:val="22"/>
          <w:szCs w:val="22"/>
        </w:rPr>
      </w:pPr>
      <w:hyperlink w:anchor="_Toc54617475" w:history="1">
        <w:r w:rsidR="000328F3" w:rsidRPr="00F55D08">
          <w:rPr>
            <w:rStyle w:val="Hyperlink"/>
            <w:noProof/>
          </w:rPr>
          <w:t>Proposals for next steps</w:t>
        </w:r>
        <w:r w:rsidR="000328F3">
          <w:rPr>
            <w:noProof/>
            <w:webHidden/>
          </w:rPr>
          <w:tab/>
        </w:r>
        <w:r w:rsidR="000328F3">
          <w:rPr>
            <w:noProof/>
            <w:webHidden/>
          </w:rPr>
          <w:fldChar w:fldCharType="begin"/>
        </w:r>
        <w:r w:rsidR="000328F3">
          <w:rPr>
            <w:noProof/>
            <w:webHidden/>
          </w:rPr>
          <w:instrText xml:space="preserve"> PAGEREF _Toc54617475 \h </w:instrText>
        </w:r>
        <w:r w:rsidR="000328F3">
          <w:rPr>
            <w:noProof/>
            <w:webHidden/>
          </w:rPr>
        </w:r>
        <w:r w:rsidR="000328F3">
          <w:rPr>
            <w:noProof/>
            <w:webHidden/>
          </w:rPr>
          <w:fldChar w:fldCharType="separate"/>
        </w:r>
        <w:r w:rsidR="000328F3">
          <w:rPr>
            <w:noProof/>
            <w:webHidden/>
          </w:rPr>
          <w:t>6</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76" w:history="1">
        <w:r w:rsidR="000328F3" w:rsidRPr="00F55D08">
          <w:rPr>
            <w:rStyle w:val="Hyperlink"/>
            <w:noProof/>
          </w:rPr>
          <w:t>Euroseeds</w:t>
        </w:r>
        <w:r w:rsidR="000328F3">
          <w:rPr>
            <w:noProof/>
            <w:webHidden/>
          </w:rPr>
          <w:tab/>
        </w:r>
        <w:r w:rsidR="000328F3">
          <w:rPr>
            <w:noProof/>
            <w:webHidden/>
          </w:rPr>
          <w:fldChar w:fldCharType="begin"/>
        </w:r>
        <w:r w:rsidR="000328F3">
          <w:rPr>
            <w:noProof/>
            <w:webHidden/>
          </w:rPr>
          <w:instrText xml:space="preserve"> PAGEREF _Toc54617476 \h </w:instrText>
        </w:r>
        <w:r w:rsidR="000328F3">
          <w:rPr>
            <w:noProof/>
            <w:webHidden/>
          </w:rPr>
        </w:r>
        <w:r w:rsidR="000328F3">
          <w:rPr>
            <w:noProof/>
            <w:webHidden/>
          </w:rPr>
          <w:fldChar w:fldCharType="separate"/>
        </w:r>
        <w:r w:rsidR="000328F3">
          <w:rPr>
            <w:noProof/>
            <w:webHidden/>
          </w:rPr>
          <w:t>7</w:t>
        </w:r>
        <w:r w:rsidR="000328F3">
          <w:rPr>
            <w:noProof/>
            <w:webHidden/>
          </w:rPr>
          <w:fldChar w:fldCharType="end"/>
        </w:r>
      </w:hyperlink>
    </w:p>
    <w:p w:rsidR="000328F3" w:rsidRDefault="00BC381E">
      <w:pPr>
        <w:pStyle w:val="TOC3"/>
        <w:rPr>
          <w:rFonts w:asciiTheme="minorHAnsi" w:eastAsiaTheme="minorEastAsia" w:hAnsiTheme="minorHAnsi" w:cstheme="minorBidi"/>
          <w:i w:val="0"/>
          <w:noProof/>
          <w:sz w:val="22"/>
          <w:szCs w:val="22"/>
          <w:lang w:val="en-US"/>
        </w:rPr>
      </w:pPr>
      <w:hyperlink w:anchor="_Toc54617477" w:history="1">
        <w:r w:rsidR="000328F3" w:rsidRPr="00F55D08">
          <w:rPr>
            <w:rStyle w:val="Hyperlink"/>
            <w:noProof/>
          </w:rPr>
          <w:t>The International Community of Breeders of Asexually Reproduced Horticultural Plants (CIOPORA) and  the International Seed Federation (ISF)</w:t>
        </w:r>
        <w:r w:rsidR="000328F3">
          <w:rPr>
            <w:noProof/>
            <w:webHidden/>
          </w:rPr>
          <w:tab/>
        </w:r>
        <w:r w:rsidR="000328F3">
          <w:rPr>
            <w:noProof/>
            <w:webHidden/>
          </w:rPr>
          <w:fldChar w:fldCharType="begin"/>
        </w:r>
        <w:r w:rsidR="000328F3">
          <w:rPr>
            <w:noProof/>
            <w:webHidden/>
          </w:rPr>
          <w:instrText xml:space="preserve"> PAGEREF _Toc54617477 \h </w:instrText>
        </w:r>
        <w:r w:rsidR="000328F3">
          <w:rPr>
            <w:noProof/>
            <w:webHidden/>
          </w:rPr>
        </w:r>
        <w:r w:rsidR="000328F3">
          <w:rPr>
            <w:noProof/>
            <w:webHidden/>
          </w:rPr>
          <w:fldChar w:fldCharType="separate"/>
        </w:r>
        <w:r w:rsidR="000328F3">
          <w:rPr>
            <w:noProof/>
            <w:webHidden/>
          </w:rPr>
          <w:t>7</w:t>
        </w:r>
        <w:r w:rsidR="000328F3">
          <w:rPr>
            <w:noProof/>
            <w:webHidden/>
          </w:rPr>
          <w:fldChar w:fldCharType="end"/>
        </w:r>
      </w:hyperlink>
    </w:p>
    <w:p w:rsidR="000328F3" w:rsidRDefault="00BC381E">
      <w:pPr>
        <w:pStyle w:val="TOC1"/>
        <w:rPr>
          <w:rFonts w:asciiTheme="minorHAnsi" w:eastAsiaTheme="minorEastAsia" w:hAnsiTheme="minorHAnsi" w:cstheme="minorBidi"/>
          <w:caps w:val="0"/>
          <w:spacing w:val="0"/>
          <w:sz w:val="22"/>
          <w:szCs w:val="22"/>
        </w:rPr>
      </w:pPr>
      <w:hyperlink w:anchor="_Toc54617478" w:history="1">
        <w:r w:rsidR="000328F3" w:rsidRPr="00F55D08">
          <w:rPr>
            <w:rStyle w:val="Hyperlink"/>
          </w:rPr>
          <w:t>AGENDA ITEM 9:  Novelty of parent lines with regard to the exploitation of the hybrid variety (</w:t>
        </w:r>
        <w:r w:rsidR="000328F3" w:rsidRPr="00F55D08">
          <w:rPr>
            <w:rStyle w:val="Hyperlink"/>
            <w:rFonts w:cs="Arial"/>
            <w:lang w:eastAsia="fr-FR"/>
          </w:rPr>
          <w:t>document CAJ/77/6)</w:t>
        </w:r>
        <w:r w:rsidR="000328F3">
          <w:rPr>
            <w:webHidden/>
          </w:rPr>
          <w:tab/>
        </w:r>
        <w:r w:rsidR="000328F3">
          <w:rPr>
            <w:webHidden/>
          </w:rPr>
          <w:fldChar w:fldCharType="begin"/>
        </w:r>
        <w:r w:rsidR="000328F3">
          <w:rPr>
            <w:webHidden/>
          </w:rPr>
          <w:instrText xml:space="preserve"> PAGEREF _Toc54617478 \h </w:instrText>
        </w:r>
        <w:r w:rsidR="000328F3">
          <w:rPr>
            <w:webHidden/>
          </w:rPr>
        </w:r>
        <w:r w:rsidR="000328F3">
          <w:rPr>
            <w:webHidden/>
          </w:rPr>
          <w:fldChar w:fldCharType="separate"/>
        </w:r>
        <w:r w:rsidR="000328F3">
          <w:rPr>
            <w:webHidden/>
          </w:rPr>
          <w:t>8</w:t>
        </w:r>
        <w:r w:rsidR="000328F3">
          <w:rPr>
            <w:webHidden/>
          </w:rPr>
          <w:fldChar w:fldCharType="end"/>
        </w:r>
      </w:hyperlink>
    </w:p>
    <w:p w:rsidR="000328F3" w:rsidRDefault="00BC381E">
      <w:pPr>
        <w:pStyle w:val="TOC1"/>
        <w:rPr>
          <w:rFonts w:asciiTheme="minorHAnsi" w:eastAsiaTheme="minorEastAsia" w:hAnsiTheme="minorHAnsi" w:cstheme="minorBidi"/>
          <w:caps w:val="0"/>
          <w:spacing w:val="0"/>
          <w:sz w:val="22"/>
          <w:szCs w:val="22"/>
        </w:rPr>
      </w:pPr>
      <w:hyperlink w:anchor="_Toc54617479" w:history="1">
        <w:r w:rsidR="000328F3" w:rsidRPr="00F55D08">
          <w:rPr>
            <w:rStyle w:val="Hyperlink"/>
          </w:rPr>
          <w:t>AGENDA ITEM 11:  UPOV denomination similarity search tool (</w:t>
        </w:r>
        <w:r w:rsidR="000328F3" w:rsidRPr="00F55D08">
          <w:rPr>
            <w:rStyle w:val="Hyperlink"/>
            <w:snapToGrid w:val="0"/>
          </w:rPr>
          <w:t>document CAJ/77/7)</w:t>
        </w:r>
        <w:r w:rsidR="000328F3">
          <w:rPr>
            <w:webHidden/>
          </w:rPr>
          <w:tab/>
        </w:r>
        <w:r w:rsidR="000328F3">
          <w:rPr>
            <w:webHidden/>
          </w:rPr>
          <w:fldChar w:fldCharType="begin"/>
        </w:r>
        <w:r w:rsidR="000328F3">
          <w:rPr>
            <w:webHidden/>
          </w:rPr>
          <w:instrText xml:space="preserve"> PAGEREF _Toc54617479 \h </w:instrText>
        </w:r>
        <w:r w:rsidR="000328F3">
          <w:rPr>
            <w:webHidden/>
          </w:rPr>
        </w:r>
        <w:r w:rsidR="000328F3">
          <w:rPr>
            <w:webHidden/>
          </w:rPr>
          <w:fldChar w:fldCharType="separate"/>
        </w:r>
        <w:r w:rsidR="000328F3">
          <w:rPr>
            <w:webHidden/>
          </w:rPr>
          <w:t>8</w:t>
        </w:r>
        <w:r w:rsidR="000328F3">
          <w:rPr>
            <w:webHidden/>
          </w:rPr>
          <w:fldChar w:fldCharType="end"/>
        </w:r>
      </w:hyperlink>
    </w:p>
    <w:p w:rsidR="007209E0" w:rsidRPr="00456125" w:rsidRDefault="002F6717" w:rsidP="00C972BF">
      <w:pPr>
        <w:spacing w:before="120"/>
        <w:ind w:left="1134" w:hanging="1134"/>
      </w:pPr>
      <w:r>
        <w:rPr>
          <w:sz w:val="18"/>
        </w:rPr>
        <w:fldChar w:fldCharType="end"/>
      </w:r>
      <w:r w:rsidR="007209E0" w:rsidRPr="00456125">
        <w:rPr>
          <w:noProof/>
          <w:snapToGrid w:val="0"/>
        </w:rPr>
        <w:t>Annex</w:t>
      </w:r>
      <w:r w:rsidR="005C1AA5" w:rsidRPr="00456125">
        <w:rPr>
          <w:noProof/>
          <w:snapToGrid w:val="0"/>
        </w:rPr>
        <w:t xml:space="preserve"> I</w:t>
      </w:r>
      <w:r w:rsidR="007209E0" w:rsidRPr="00456125">
        <w:rPr>
          <w:noProof/>
          <w:snapToGrid w:val="0"/>
        </w:rPr>
        <w:tab/>
      </w:r>
      <w:r w:rsidR="00754590" w:rsidRPr="00456125">
        <w:rPr>
          <w:noProof/>
          <w:snapToGrid w:val="0"/>
        </w:rPr>
        <w:t>D</w:t>
      </w:r>
      <w:proofErr w:type="spellStart"/>
      <w:r w:rsidR="00A2365C" w:rsidRPr="00456125">
        <w:t>ocument</w:t>
      </w:r>
      <w:proofErr w:type="spellEnd"/>
      <w:r w:rsidR="00A2365C" w:rsidRPr="00456125">
        <w:t xml:space="preserve"> UPOV/EXN/DEN “Explanatory Notes on Varie</w:t>
      </w:r>
      <w:r w:rsidR="00456125" w:rsidRPr="00456125">
        <w:t>ty Denominations under the UPOV </w:t>
      </w:r>
      <w:r w:rsidR="00A2365C" w:rsidRPr="00456125">
        <w:t>Convention” (document UPOV/EXN/DEN/1 Draft 4)</w:t>
      </w:r>
      <w:r w:rsidR="00754590" w:rsidRPr="00456125">
        <w:t xml:space="preserve">:  Comments </w:t>
      </w:r>
      <w:r w:rsidR="00456125" w:rsidRPr="00456125">
        <w:t>received in reply to Circular </w:t>
      </w:r>
      <w:r w:rsidR="00754590" w:rsidRPr="00456125">
        <w:t>E</w:t>
      </w:r>
      <w:r w:rsidR="00754590" w:rsidRPr="00456125">
        <w:noBreakHyphen/>
      </w:r>
      <w:r w:rsidR="00456125" w:rsidRPr="00456125">
        <w:t>20/120 of August </w:t>
      </w:r>
      <w:r w:rsidR="00754590" w:rsidRPr="00456125">
        <w:t>21, 2020</w:t>
      </w:r>
    </w:p>
    <w:p w:rsidR="007209E0" w:rsidRPr="007209E0" w:rsidRDefault="002A0074" w:rsidP="001633DC">
      <w:pPr>
        <w:tabs>
          <w:tab w:val="left" w:pos="1985"/>
        </w:tabs>
        <w:spacing w:before="60"/>
        <w:ind w:left="567"/>
      </w:pPr>
      <w:r>
        <w:t>Appendix I:</w:t>
      </w:r>
      <w:r>
        <w:tab/>
      </w:r>
      <w:r w:rsidRPr="007209E0">
        <w:t>Comments from Brazil</w:t>
      </w:r>
    </w:p>
    <w:p w:rsidR="007209E0" w:rsidRPr="007209E0" w:rsidRDefault="002A0074" w:rsidP="001633DC">
      <w:pPr>
        <w:tabs>
          <w:tab w:val="left" w:pos="1985"/>
        </w:tabs>
        <w:spacing w:before="60"/>
        <w:ind w:left="567"/>
      </w:pPr>
      <w:r>
        <w:t>Appendix II:</w:t>
      </w:r>
      <w:r>
        <w:tab/>
      </w:r>
      <w:r w:rsidRPr="007209E0">
        <w:t>Comments from the European Union</w:t>
      </w:r>
    </w:p>
    <w:p w:rsidR="001633DC" w:rsidRDefault="002A0074" w:rsidP="001633DC">
      <w:pPr>
        <w:tabs>
          <w:tab w:val="left" w:pos="1985"/>
        </w:tabs>
        <w:spacing w:before="60"/>
        <w:ind w:left="567"/>
      </w:pPr>
      <w:r>
        <w:t>Appendix III:</w:t>
      </w:r>
      <w:r>
        <w:tab/>
      </w:r>
      <w:r w:rsidRPr="007209E0">
        <w:t xml:space="preserve">Comments from Euroseeds </w:t>
      </w:r>
    </w:p>
    <w:p w:rsidR="002A0074" w:rsidRDefault="00E77C81" w:rsidP="001633DC">
      <w:pPr>
        <w:tabs>
          <w:tab w:val="left" w:pos="1985"/>
        </w:tabs>
        <w:spacing w:before="60"/>
        <w:ind w:left="567"/>
      </w:pPr>
      <w:r>
        <w:t xml:space="preserve">Appendix IV: </w:t>
      </w:r>
      <w:r w:rsidR="001633DC">
        <w:tab/>
        <w:t>C</w:t>
      </w:r>
      <w:r w:rsidR="002A0074" w:rsidRPr="007209E0">
        <w:t>omments from</w:t>
      </w:r>
      <w:r w:rsidR="001633DC">
        <w:t xml:space="preserve"> the</w:t>
      </w:r>
      <w:r w:rsidR="002A0074" w:rsidRPr="007209E0">
        <w:t xml:space="preserve"> </w:t>
      </w:r>
      <w:r w:rsidR="001633DC">
        <w:t xml:space="preserve">International Seed Federation </w:t>
      </w:r>
      <w:r w:rsidR="001633DC" w:rsidRPr="00BF4A60">
        <w:t>(ISF)</w:t>
      </w:r>
      <w:r w:rsidR="002A0074" w:rsidRPr="007209E0">
        <w:t xml:space="preserve"> </w:t>
      </w:r>
    </w:p>
    <w:p w:rsidR="007209E0" w:rsidRPr="00325623" w:rsidRDefault="007209E0" w:rsidP="00325623"/>
    <w:p w:rsidR="005C1AA5" w:rsidRPr="00DB068D" w:rsidRDefault="005C1AA5" w:rsidP="003178F4">
      <w:pPr>
        <w:ind w:left="1134" w:hanging="1134"/>
      </w:pPr>
      <w:r w:rsidRPr="00DB068D">
        <w:rPr>
          <w:noProof/>
          <w:snapToGrid w:val="0"/>
        </w:rPr>
        <w:t>Annex</w:t>
      </w:r>
      <w:r>
        <w:rPr>
          <w:noProof/>
          <w:snapToGrid w:val="0"/>
        </w:rPr>
        <w:t xml:space="preserve"> II</w:t>
      </w:r>
      <w:r w:rsidRPr="00DB068D">
        <w:rPr>
          <w:noProof/>
          <w:snapToGrid w:val="0"/>
        </w:rPr>
        <w:tab/>
      </w:r>
      <w:r w:rsidR="00754590">
        <w:t xml:space="preserve">Document </w:t>
      </w:r>
      <w:r w:rsidR="00CC7D6A">
        <w:t>CAJ/77/6 “</w:t>
      </w:r>
      <w:r w:rsidR="00CC7D6A" w:rsidRPr="00CC7D6A">
        <w:t>Novelty of parent lines with regard to the exploitation of the hybrid variety</w:t>
      </w:r>
      <w:r w:rsidR="00CC7D6A">
        <w:t>”</w:t>
      </w:r>
      <w:r w:rsidR="00754590">
        <w:t xml:space="preserve">: </w:t>
      </w:r>
      <w:r w:rsidR="00754590" w:rsidRPr="00DB068D">
        <w:t xml:space="preserve"> </w:t>
      </w:r>
      <w:r w:rsidRPr="00DB068D">
        <w:t>Comments received in reply to Circular E-20/120 of August 21,</w:t>
      </w:r>
      <w:r w:rsidR="00754590">
        <w:t xml:space="preserve"> 2020</w:t>
      </w:r>
    </w:p>
    <w:p w:rsidR="00CC7D6A" w:rsidRPr="007209E0" w:rsidRDefault="00CC7D6A" w:rsidP="001633DC">
      <w:pPr>
        <w:tabs>
          <w:tab w:val="left" w:pos="1985"/>
        </w:tabs>
        <w:spacing w:before="60"/>
        <w:ind w:left="567"/>
      </w:pPr>
      <w:r>
        <w:t>Appendix I:</w:t>
      </w:r>
      <w:r>
        <w:tab/>
      </w:r>
      <w:r w:rsidRPr="007209E0">
        <w:t>Comments from the European Union</w:t>
      </w:r>
    </w:p>
    <w:p w:rsidR="00CC7D6A" w:rsidRPr="007209E0" w:rsidRDefault="00CC7D6A" w:rsidP="001633DC">
      <w:pPr>
        <w:tabs>
          <w:tab w:val="left" w:pos="1985"/>
        </w:tabs>
        <w:spacing w:before="60"/>
        <w:ind w:left="567"/>
      </w:pPr>
      <w:r>
        <w:t>Appendix II:</w:t>
      </w:r>
      <w:r>
        <w:tab/>
      </w:r>
      <w:r w:rsidRPr="007209E0">
        <w:t>Comments from Euroseeds</w:t>
      </w:r>
    </w:p>
    <w:p w:rsidR="00CC7D6A" w:rsidRPr="007209E0" w:rsidRDefault="00CC7D6A" w:rsidP="001633DC">
      <w:pPr>
        <w:tabs>
          <w:tab w:val="left" w:pos="1985"/>
        </w:tabs>
        <w:spacing w:before="60"/>
        <w:ind w:left="1985" w:hanging="1418"/>
      </w:pPr>
      <w:r>
        <w:t>Appendix III:</w:t>
      </w:r>
      <w:r>
        <w:tab/>
        <w:t>J</w:t>
      </w:r>
      <w:r w:rsidRPr="007209E0">
        <w:t xml:space="preserve">oint comments from </w:t>
      </w:r>
      <w:r w:rsidR="001633DC">
        <w:t xml:space="preserve">the International Seed Federation </w:t>
      </w:r>
      <w:r w:rsidR="001633DC" w:rsidRPr="00BF4A60">
        <w:t>(ISF)</w:t>
      </w:r>
      <w:r w:rsidRPr="007209E0">
        <w:t xml:space="preserve">, </w:t>
      </w:r>
      <w:r w:rsidR="001633DC">
        <w:t xml:space="preserve">the </w:t>
      </w:r>
      <w:r w:rsidR="001633DC" w:rsidRPr="001633DC">
        <w:t>African Seed Trade Association (AFSTA)</w:t>
      </w:r>
      <w:r w:rsidRPr="007209E0">
        <w:t xml:space="preserve">, </w:t>
      </w:r>
      <w:r w:rsidR="001633DC">
        <w:t xml:space="preserve">the </w:t>
      </w:r>
      <w:r w:rsidR="001633DC" w:rsidRPr="001633DC">
        <w:t>Asia and Pacific Seed Association (APSA)</w:t>
      </w:r>
      <w:r w:rsidRPr="007209E0">
        <w:t xml:space="preserve"> and </w:t>
      </w:r>
      <w:r w:rsidR="001633DC">
        <w:t>the Seed </w:t>
      </w:r>
      <w:r w:rsidR="001633DC" w:rsidRPr="0051706E">
        <w:t>Association of the Americas (SAA)</w:t>
      </w:r>
    </w:p>
    <w:p w:rsidR="007209E0" w:rsidRPr="006B5618" w:rsidRDefault="007209E0" w:rsidP="001633DC">
      <w:pPr>
        <w:rPr>
          <w:sz w:val="16"/>
        </w:rPr>
      </w:pPr>
    </w:p>
    <w:p w:rsidR="005C1AA5" w:rsidRPr="006B5618" w:rsidRDefault="005C1AA5" w:rsidP="001633DC">
      <w:pPr>
        <w:rPr>
          <w:sz w:val="16"/>
        </w:rPr>
      </w:pPr>
    </w:p>
    <w:p w:rsidR="005C1AA5" w:rsidRPr="006B5618" w:rsidRDefault="005C1AA5" w:rsidP="001633DC">
      <w:pPr>
        <w:rPr>
          <w:sz w:val="16"/>
        </w:rPr>
      </w:pPr>
    </w:p>
    <w:p w:rsidR="00293B48" w:rsidRPr="00157E95" w:rsidRDefault="00293B48" w:rsidP="00077288">
      <w:pPr>
        <w:pStyle w:val="Heading1"/>
      </w:pPr>
      <w:bookmarkStart w:id="10" w:name="_Toc41475411"/>
      <w:bookmarkStart w:id="11" w:name="_Toc54004062"/>
      <w:bookmarkStart w:id="12" w:name="_Toc54097477"/>
      <w:bookmarkStart w:id="13" w:name="_Toc54097590"/>
      <w:bookmarkStart w:id="14" w:name="_Toc54097611"/>
      <w:bookmarkStart w:id="15" w:name="_Toc54617454"/>
      <w:r w:rsidRPr="00157E95">
        <w:t>Background</w:t>
      </w:r>
      <w:bookmarkEnd w:id="10"/>
      <w:bookmarkEnd w:id="11"/>
      <w:bookmarkEnd w:id="12"/>
      <w:bookmarkEnd w:id="13"/>
      <w:bookmarkEnd w:id="14"/>
      <w:bookmarkEnd w:id="15"/>
    </w:p>
    <w:p w:rsidR="00293B48" w:rsidRPr="00C972BF" w:rsidRDefault="00293B48" w:rsidP="00C972BF"/>
    <w:p w:rsidR="008E101D" w:rsidRDefault="008E101D" w:rsidP="008E101D">
      <w:pPr>
        <w:rPr>
          <w:rFonts w:cs="Arial"/>
        </w:rPr>
      </w:pPr>
      <w:r w:rsidRPr="00157E95">
        <w:rPr>
          <w:rFonts w:cs="Arial"/>
        </w:rPr>
        <w:fldChar w:fldCharType="begin"/>
      </w:r>
      <w:r w:rsidRPr="00157E95">
        <w:rPr>
          <w:rFonts w:cs="Arial"/>
        </w:rPr>
        <w:instrText xml:space="preserve"> AUTONUM  </w:instrText>
      </w:r>
      <w:r w:rsidRPr="00157E95">
        <w:rPr>
          <w:rFonts w:cs="Arial"/>
        </w:rPr>
        <w:fldChar w:fldCharType="end"/>
      </w:r>
      <w:r w:rsidRPr="00157E95">
        <w:rPr>
          <w:rFonts w:cs="Arial"/>
        </w:rPr>
        <w:tab/>
      </w:r>
      <w:r>
        <w:rPr>
          <w:rFonts w:cs="Arial"/>
        </w:rPr>
        <w:t xml:space="preserve">In accordance with Circular E-20/094 of July 23, 2020 (available on the </w:t>
      </w:r>
      <w:hyperlink r:id="rId9" w:history="1">
        <w:r>
          <w:rPr>
            <w:rStyle w:val="Hyperlink"/>
            <w:rFonts w:cs="Arial"/>
          </w:rPr>
          <w:t>CAJ/77</w:t>
        </w:r>
      </w:hyperlink>
      <w:r>
        <w:rPr>
          <w:rFonts w:cs="Arial"/>
        </w:rPr>
        <w:t xml:space="preserve"> webpage), the Council decided that the UPOV Sessions in October 2020 would be held in the form of virtual meetings, in combination with prior consideration of documents by correspondence.</w:t>
      </w:r>
    </w:p>
    <w:p w:rsidR="00293B48" w:rsidRPr="00C972BF" w:rsidRDefault="00293B48" w:rsidP="00C972BF"/>
    <w:p w:rsidR="008E101D" w:rsidRDefault="00293B48" w:rsidP="003178F4">
      <w:pPr>
        <w:keepNext/>
        <w:rPr>
          <w:rFonts w:cs="Arial"/>
        </w:rPr>
      </w:pPr>
      <w:r w:rsidRPr="00157E95">
        <w:rPr>
          <w:rFonts w:cs="Arial"/>
        </w:rPr>
        <w:fldChar w:fldCharType="begin"/>
      </w:r>
      <w:r w:rsidRPr="00157E95">
        <w:rPr>
          <w:rFonts w:cs="Arial"/>
        </w:rPr>
        <w:instrText xml:space="preserve"> AUTONUM  </w:instrText>
      </w:r>
      <w:r w:rsidRPr="00157E95">
        <w:rPr>
          <w:rFonts w:cs="Arial"/>
        </w:rPr>
        <w:fldChar w:fldCharType="end"/>
      </w:r>
      <w:r w:rsidRPr="00157E95">
        <w:rPr>
          <w:rFonts w:cs="Arial"/>
        </w:rPr>
        <w:tab/>
      </w:r>
      <w:r w:rsidR="008E101D" w:rsidRPr="00157E95">
        <w:rPr>
          <w:rFonts w:cs="Arial"/>
        </w:rPr>
        <w:t>Circular E-20/</w:t>
      </w:r>
      <w:r w:rsidR="008E101D">
        <w:rPr>
          <w:rFonts w:cs="Arial"/>
        </w:rPr>
        <w:t>120</w:t>
      </w:r>
      <w:r w:rsidR="008E101D" w:rsidRPr="00157E95">
        <w:rPr>
          <w:rFonts w:cs="Arial"/>
        </w:rPr>
        <w:t xml:space="preserve"> of August 21, 2020, identified the </w:t>
      </w:r>
      <w:r w:rsidR="008E101D">
        <w:rPr>
          <w:rFonts w:cs="Arial"/>
        </w:rPr>
        <w:t xml:space="preserve">following </w:t>
      </w:r>
      <w:r w:rsidR="008E101D" w:rsidRPr="00157E95">
        <w:rPr>
          <w:rFonts w:cs="Arial"/>
        </w:rPr>
        <w:t xml:space="preserve">documents for the procedure by correspondence and provided an opportunity for comments by September 21, 2020, prior to requests for approval of the proposed decisions in </w:t>
      </w:r>
      <w:r w:rsidR="008E101D">
        <w:rPr>
          <w:rFonts w:cs="Arial"/>
        </w:rPr>
        <w:t>the documents where appropriate:</w:t>
      </w:r>
      <w:r w:rsidR="001A7D64">
        <w:rPr>
          <w:rFonts w:cs="Arial"/>
        </w:rPr>
        <w:t xml:space="preserve"> </w:t>
      </w:r>
    </w:p>
    <w:p w:rsidR="008E101D" w:rsidRPr="00E6745C" w:rsidRDefault="008E101D" w:rsidP="003178F4">
      <w:pPr>
        <w:pStyle w:val="ListParagraph"/>
        <w:keepNext/>
        <w:spacing w:before="120" w:after="60"/>
        <w:ind w:left="567"/>
        <w:contextualSpacing w:val="0"/>
      </w:pPr>
      <w:r>
        <w:t>Development of guidance and information materials</w:t>
      </w:r>
      <w:r w:rsidRPr="00E6745C">
        <w:rPr>
          <w:rFonts w:cs="Arial"/>
        </w:rPr>
        <w:t xml:space="preserve"> (document CAJ/77/3)</w:t>
      </w:r>
    </w:p>
    <w:p w:rsidR="008E101D" w:rsidRPr="00A15D22" w:rsidRDefault="001633DC" w:rsidP="001633DC">
      <w:pPr>
        <w:pStyle w:val="ListParagraph"/>
        <w:keepNext/>
        <w:spacing w:after="60"/>
        <w:ind w:left="2835" w:hanging="1701"/>
        <w:contextualSpacing w:val="0"/>
        <w:rPr>
          <w:rFonts w:cs="Angsana New"/>
          <w:szCs w:val="24"/>
          <w:lang w:eastAsia="ja-JP" w:bidi="th-TH"/>
        </w:rPr>
      </w:pPr>
      <w:r>
        <w:rPr>
          <w:rFonts w:cs="Angsana New"/>
          <w:szCs w:val="24"/>
          <w:lang w:eastAsia="ja-JP" w:bidi="th-TH"/>
        </w:rPr>
        <w:t>UPOV/INF/16:</w:t>
      </w:r>
      <w:r>
        <w:rPr>
          <w:rFonts w:cs="Angsana New"/>
          <w:szCs w:val="24"/>
          <w:lang w:eastAsia="ja-JP" w:bidi="th-TH"/>
        </w:rPr>
        <w:tab/>
      </w:r>
      <w:r w:rsidR="008E101D" w:rsidRPr="00157E95">
        <w:rPr>
          <w:rFonts w:cs="Angsana New"/>
          <w:szCs w:val="24"/>
          <w:lang w:eastAsia="ja-JP" w:bidi="th-TH"/>
        </w:rPr>
        <w:t xml:space="preserve">Exchangeable </w:t>
      </w:r>
      <w:r w:rsidR="008E101D" w:rsidRPr="00A15D22">
        <w:rPr>
          <w:rFonts w:cs="Angsana New"/>
          <w:szCs w:val="24"/>
          <w:lang w:eastAsia="ja-JP" w:bidi="th-TH"/>
        </w:rPr>
        <w:t xml:space="preserve">Software (Revision) </w:t>
      </w:r>
      <w:r w:rsidR="008E101D" w:rsidRPr="00A15D22">
        <w:rPr>
          <w:rFonts w:cs="Arial"/>
        </w:rPr>
        <w:t xml:space="preserve">(document </w:t>
      </w:r>
      <w:r w:rsidR="008E101D" w:rsidRPr="00A15D22">
        <w:rPr>
          <w:rFonts w:cs="Angsana New"/>
          <w:szCs w:val="24"/>
          <w:lang w:eastAsia="ja-JP" w:bidi="th-TH"/>
        </w:rPr>
        <w:t>UPOV/INF/16/9 Draft 1</w:t>
      </w:r>
      <w:r w:rsidR="008E101D" w:rsidRPr="00A15D22">
        <w:rPr>
          <w:rFonts w:cs="Arial"/>
        </w:rPr>
        <w:t>)</w:t>
      </w:r>
    </w:p>
    <w:p w:rsidR="008E101D" w:rsidRPr="00A15D22" w:rsidRDefault="008E101D" w:rsidP="001633DC">
      <w:pPr>
        <w:pStyle w:val="ListParagraph"/>
        <w:keepNext/>
        <w:spacing w:after="60"/>
        <w:ind w:left="2835" w:hanging="1701"/>
        <w:contextualSpacing w:val="0"/>
        <w:rPr>
          <w:rFonts w:cs="Angsana New"/>
          <w:szCs w:val="24"/>
          <w:lang w:eastAsia="ja-JP" w:bidi="th-TH"/>
        </w:rPr>
      </w:pPr>
      <w:r w:rsidRPr="00A15D22">
        <w:rPr>
          <w:rFonts w:cs="Angsana New"/>
          <w:szCs w:val="24"/>
          <w:lang w:eastAsia="ja-JP" w:bidi="th-TH"/>
        </w:rPr>
        <w:t>UPOV/INF/22:</w:t>
      </w:r>
      <w:r w:rsidR="001A7D64">
        <w:rPr>
          <w:rFonts w:cs="Angsana New"/>
          <w:szCs w:val="24"/>
          <w:lang w:eastAsia="ja-JP" w:bidi="th-TH"/>
        </w:rPr>
        <w:tab/>
      </w:r>
      <w:r w:rsidRPr="00A15D22">
        <w:rPr>
          <w:rFonts w:cs="Angsana New"/>
          <w:szCs w:val="24"/>
          <w:lang w:eastAsia="ja-JP" w:bidi="th-TH"/>
        </w:rPr>
        <w:t xml:space="preserve">Software and Equipment Used by Members of the Union (Revision) </w:t>
      </w:r>
      <w:r w:rsidRPr="00A15D22">
        <w:rPr>
          <w:rFonts w:cs="Arial"/>
        </w:rPr>
        <w:t>(document </w:t>
      </w:r>
      <w:r w:rsidRPr="00A15D22">
        <w:rPr>
          <w:rFonts w:cs="Angsana New"/>
          <w:szCs w:val="24"/>
          <w:lang w:eastAsia="ja-JP" w:bidi="th-TH"/>
        </w:rPr>
        <w:t>UPOV/INF/22/7 Draft 1</w:t>
      </w:r>
      <w:r w:rsidRPr="00A15D22">
        <w:rPr>
          <w:rFonts w:cs="Arial"/>
        </w:rPr>
        <w:t>)</w:t>
      </w:r>
    </w:p>
    <w:p w:rsidR="008E101D" w:rsidRPr="00A15D22" w:rsidRDefault="001633DC" w:rsidP="001633DC">
      <w:pPr>
        <w:pStyle w:val="ListParagraph"/>
        <w:keepNext/>
        <w:spacing w:after="60"/>
        <w:ind w:left="2835" w:hanging="1701"/>
        <w:contextualSpacing w:val="0"/>
        <w:rPr>
          <w:rFonts w:cs="Angsana New"/>
          <w:szCs w:val="24"/>
          <w:lang w:eastAsia="ja-JP" w:bidi="th-TH"/>
        </w:rPr>
      </w:pPr>
      <w:r>
        <w:rPr>
          <w:rFonts w:cs="Angsana New"/>
          <w:szCs w:val="24"/>
          <w:lang w:eastAsia="ja-JP" w:bidi="th-TH"/>
        </w:rPr>
        <w:t>UPOV/INF/23:</w:t>
      </w:r>
      <w:r>
        <w:rPr>
          <w:rFonts w:cs="Angsana New"/>
          <w:szCs w:val="24"/>
          <w:lang w:eastAsia="ja-JP" w:bidi="th-TH"/>
        </w:rPr>
        <w:tab/>
      </w:r>
      <w:r w:rsidR="008E101D" w:rsidRPr="00A15D22">
        <w:rPr>
          <w:rFonts w:cs="Angsana New"/>
          <w:szCs w:val="24"/>
          <w:lang w:eastAsia="ja-JP" w:bidi="th-TH"/>
        </w:rPr>
        <w:t>Guide to the UPOV Code System (document UPOV/INF/23/1 Draft 1)</w:t>
      </w:r>
    </w:p>
    <w:p w:rsidR="008E101D" w:rsidRPr="007A48BD" w:rsidRDefault="001633DC" w:rsidP="001633DC">
      <w:pPr>
        <w:pStyle w:val="ListParagraph"/>
        <w:spacing w:after="60"/>
        <w:ind w:left="2835" w:hanging="1701"/>
        <w:contextualSpacing w:val="0"/>
        <w:rPr>
          <w:rFonts w:cs="Angsana New"/>
          <w:szCs w:val="24"/>
          <w:lang w:eastAsia="ja-JP" w:bidi="th-TH"/>
        </w:rPr>
      </w:pPr>
      <w:r>
        <w:rPr>
          <w:rFonts w:cs="Angsana New"/>
          <w:szCs w:val="24"/>
          <w:lang w:eastAsia="ja-JP" w:bidi="th-TH"/>
        </w:rPr>
        <w:t>UPOV/EXN/DEN:</w:t>
      </w:r>
      <w:r>
        <w:rPr>
          <w:rFonts w:cs="Angsana New"/>
          <w:szCs w:val="24"/>
          <w:lang w:eastAsia="ja-JP" w:bidi="th-TH"/>
        </w:rPr>
        <w:tab/>
      </w:r>
      <w:r w:rsidR="008E101D" w:rsidRPr="00A15D22">
        <w:rPr>
          <w:rFonts w:cs="Angsana New"/>
          <w:szCs w:val="24"/>
          <w:lang w:eastAsia="ja-JP" w:bidi="th-TH"/>
        </w:rPr>
        <w:t>“Explanatory Notes on Variety Denominations under the UPOV Convention” (document UPOV/EXN/DEN/1 Draft 4)</w:t>
      </w:r>
    </w:p>
    <w:p w:rsidR="008E101D" w:rsidRPr="00157E95" w:rsidRDefault="001633DC" w:rsidP="001633DC">
      <w:pPr>
        <w:pStyle w:val="ListParagraph"/>
        <w:spacing w:after="60"/>
        <w:ind w:left="2835" w:hanging="1701"/>
        <w:contextualSpacing w:val="0"/>
        <w:rPr>
          <w:rFonts w:cs="Angsana New"/>
          <w:szCs w:val="24"/>
          <w:lang w:eastAsia="ja-JP" w:bidi="th-TH"/>
        </w:rPr>
      </w:pPr>
      <w:r>
        <w:rPr>
          <w:rFonts w:cs="Arial"/>
          <w:lang w:eastAsia="ja-JP" w:bidi="th-TH"/>
        </w:rPr>
        <w:lastRenderedPageBreak/>
        <w:t>TGP/5:</w:t>
      </w:r>
      <w:r w:rsidR="001A7D64">
        <w:rPr>
          <w:rFonts w:cs="Arial"/>
          <w:lang w:eastAsia="ja-JP" w:bidi="th-TH"/>
        </w:rPr>
        <w:tab/>
      </w:r>
      <w:r w:rsidR="008E101D" w:rsidRPr="00157E95">
        <w:rPr>
          <w:rFonts w:cs="Arial"/>
          <w:lang w:eastAsia="ja-JP" w:bidi="th-TH"/>
        </w:rPr>
        <w:t>Experience and Cooperation in DUS Testing, Section 6:  UPOV Report on Technical Examination and UPOV</w:t>
      </w:r>
      <w:r w:rsidR="008E101D">
        <w:rPr>
          <w:rFonts w:cs="Arial"/>
          <w:lang w:eastAsia="ja-JP" w:bidi="th-TH"/>
        </w:rPr>
        <w:t xml:space="preserve"> Variety Description (Revision) </w:t>
      </w:r>
      <w:r w:rsidR="008E101D" w:rsidRPr="00157E95">
        <w:rPr>
          <w:rFonts w:cs="Arial"/>
        </w:rPr>
        <w:t>(document </w:t>
      </w:r>
      <w:r w:rsidR="008E101D" w:rsidRPr="00157E95">
        <w:rPr>
          <w:rFonts w:cs="Arial"/>
          <w:lang w:eastAsia="ja-JP" w:bidi="th-TH"/>
        </w:rPr>
        <w:t>TGP/5:  Section 6/3 Draft 1</w:t>
      </w:r>
      <w:r w:rsidR="008E101D" w:rsidRPr="00157E95">
        <w:rPr>
          <w:rFonts w:cs="Arial"/>
        </w:rPr>
        <w:t>)</w:t>
      </w:r>
    </w:p>
    <w:p w:rsidR="008E101D" w:rsidRPr="00157E95" w:rsidRDefault="001633DC" w:rsidP="001633DC">
      <w:pPr>
        <w:pStyle w:val="ListParagraph"/>
        <w:spacing w:after="60"/>
        <w:ind w:left="2835" w:hanging="1701"/>
        <w:contextualSpacing w:val="0"/>
        <w:rPr>
          <w:rFonts w:cs="Angsana New"/>
          <w:szCs w:val="24"/>
          <w:lang w:eastAsia="ja-JP" w:bidi="th-TH"/>
        </w:rPr>
      </w:pPr>
      <w:r>
        <w:rPr>
          <w:rFonts w:cs="Angsana New"/>
          <w:szCs w:val="24"/>
          <w:lang w:eastAsia="ja-JP" w:bidi="th-TH"/>
        </w:rPr>
        <w:t>TGP/7:</w:t>
      </w:r>
      <w:r w:rsidR="001A7D64">
        <w:rPr>
          <w:rFonts w:cs="Angsana New"/>
          <w:szCs w:val="24"/>
          <w:lang w:eastAsia="ja-JP" w:bidi="th-TH"/>
        </w:rPr>
        <w:tab/>
      </w:r>
      <w:r w:rsidR="008E101D" w:rsidRPr="00157E95">
        <w:rPr>
          <w:rFonts w:cs="Angsana New"/>
          <w:szCs w:val="24"/>
          <w:lang w:eastAsia="ja-JP" w:bidi="th-TH"/>
        </w:rPr>
        <w:t xml:space="preserve">Development of Test Guidelines (Revision) </w:t>
      </w:r>
      <w:r w:rsidR="008E101D" w:rsidRPr="00157E95">
        <w:rPr>
          <w:rFonts w:cs="Arial"/>
        </w:rPr>
        <w:t xml:space="preserve">(document </w:t>
      </w:r>
      <w:r w:rsidR="008E101D" w:rsidRPr="00157E95">
        <w:rPr>
          <w:rFonts w:cs="Angsana New"/>
          <w:szCs w:val="24"/>
          <w:lang w:eastAsia="ja-JP" w:bidi="th-TH"/>
        </w:rPr>
        <w:t>TGP/7/8 Draft 1</w:t>
      </w:r>
      <w:r w:rsidR="008E101D" w:rsidRPr="00157E95">
        <w:rPr>
          <w:rFonts w:cs="Arial"/>
        </w:rPr>
        <w:t>)</w:t>
      </w:r>
    </w:p>
    <w:p w:rsidR="008E101D" w:rsidRPr="00157E95" w:rsidRDefault="001633DC" w:rsidP="001633DC">
      <w:pPr>
        <w:pStyle w:val="ListParagraph"/>
        <w:spacing w:after="60"/>
        <w:ind w:left="2835" w:hanging="1701"/>
        <w:contextualSpacing w:val="0"/>
        <w:rPr>
          <w:rFonts w:cs="Angsana New"/>
          <w:szCs w:val="24"/>
          <w:lang w:eastAsia="ja-JP" w:bidi="th-TH"/>
        </w:rPr>
      </w:pPr>
      <w:r>
        <w:rPr>
          <w:rFonts w:cs="Angsana New"/>
          <w:szCs w:val="24"/>
          <w:lang w:eastAsia="ja-JP" w:bidi="th-TH"/>
        </w:rPr>
        <w:t>TGP/14:</w:t>
      </w:r>
      <w:r w:rsidR="001A7D64">
        <w:rPr>
          <w:rFonts w:cs="Angsana New"/>
          <w:szCs w:val="24"/>
          <w:lang w:eastAsia="ja-JP" w:bidi="th-TH"/>
        </w:rPr>
        <w:tab/>
      </w:r>
      <w:r w:rsidR="008E101D" w:rsidRPr="00157E95">
        <w:rPr>
          <w:rFonts w:cs="Angsana New"/>
          <w:szCs w:val="24"/>
          <w:lang w:eastAsia="ja-JP" w:bidi="th-TH"/>
        </w:rPr>
        <w:t xml:space="preserve">Glossary of Terms Used in UPOV Documents (Revision) </w:t>
      </w:r>
      <w:r w:rsidR="008E101D" w:rsidRPr="00157E95">
        <w:rPr>
          <w:rFonts w:cs="Arial"/>
        </w:rPr>
        <w:t>(document </w:t>
      </w:r>
      <w:r w:rsidR="008E101D" w:rsidRPr="00157E95">
        <w:rPr>
          <w:rFonts w:cs="Angsana New"/>
          <w:szCs w:val="24"/>
          <w:lang w:eastAsia="ja-JP" w:bidi="th-TH"/>
        </w:rPr>
        <w:t>TGP/14/5 Draft 1</w:t>
      </w:r>
      <w:r w:rsidR="008E101D" w:rsidRPr="00157E95">
        <w:rPr>
          <w:rFonts w:cs="Arial"/>
        </w:rPr>
        <w:t>)</w:t>
      </w:r>
    </w:p>
    <w:p w:rsidR="008E101D" w:rsidRDefault="001633DC" w:rsidP="001633DC">
      <w:pPr>
        <w:pStyle w:val="ListParagraph"/>
        <w:spacing w:after="60"/>
        <w:ind w:left="2835" w:hanging="1701"/>
        <w:contextualSpacing w:val="0"/>
        <w:rPr>
          <w:rFonts w:cs="Angsana New"/>
          <w:szCs w:val="24"/>
          <w:lang w:eastAsia="ja-JP" w:bidi="th-TH"/>
        </w:rPr>
      </w:pPr>
      <w:r>
        <w:rPr>
          <w:rFonts w:cs="Angsana New"/>
          <w:szCs w:val="24"/>
          <w:lang w:eastAsia="ja-JP" w:bidi="th-TH"/>
        </w:rPr>
        <w:t>TGP/15:</w:t>
      </w:r>
      <w:r w:rsidR="001A7D64">
        <w:rPr>
          <w:rFonts w:cs="Angsana New"/>
          <w:szCs w:val="24"/>
          <w:lang w:eastAsia="ja-JP" w:bidi="th-TH"/>
        </w:rPr>
        <w:tab/>
      </w:r>
      <w:r w:rsidR="008E101D" w:rsidRPr="00157E95">
        <w:rPr>
          <w:rFonts w:cs="Angsana New"/>
          <w:szCs w:val="24"/>
          <w:lang w:eastAsia="ja-JP" w:bidi="th-TH"/>
        </w:rPr>
        <w:t xml:space="preserve">Guidance on the Use of Biochemical and Molecular Markers in the Examination of Distinctness, Uniformity and Stability (DUS) (Revision) </w:t>
      </w:r>
      <w:r w:rsidR="008E101D" w:rsidRPr="00157E95">
        <w:rPr>
          <w:rFonts w:cs="Arial"/>
        </w:rPr>
        <w:t xml:space="preserve">(document </w:t>
      </w:r>
      <w:r w:rsidR="008E101D" w:rsidRPr="00157E95">
        <w:rPr>
          <w:rFonts w:cs="Angsana New"/>
          <w:szCs w:val="24"/>
          <w:lang w:eastAsia="ja-JP" w:bidi="th-TH"/>
        </w:rPr>
        <w:t>TGP/15/3 Draft 1)</w:t>
      </w:r>
    </w:p>
    <w:p w:rsidR="00236DE4" w:rsidRPr="00157E95" w:rsidRDefault="00236DE4" w:rsidP="001633DC">
      <w:pPr>
        <w:pStyle w:val="ListParagraph"/>
        <w:spacing w:after="60"/>
        <w:ind w:left="2835" w:hanging="1701"/>
        <w:contextualSpacing w:val="0"/>
        <w:rPr>
          <w:rFonts w:cs="Angsana New"/>
          <w:szCs w:val="24"/>
          <w:lang w:eastAsia="ja-JP" w:bidi="th-TH"/>
        </w:rPr>
      </w:pPr>
    </w:p>
    <w:p w:rsidR="008E101D" w:rsidRPr="00293B48" w:rsidRDefault="008E101D" w:rsidP="006B5618">
      <w:pPr>
        <w:pStyle w:val="ListParagraph"/>
        <w:spacing w:after="80"/>
        <w:ind w:left="567"/>
        <w:contextualSpacing w:val="0"/>
        <w:rPr>
          <w:rFonts w:cs="Angsana New"/>
          <w:szCs w:val="24"/>
          <w:lang w:eastAsia="ja-JP" w:bidi="th-TH"/>
        </w:rPr>
      </w:pPr>
      <w:r w:rsidRPr="00293B48">
        <w:rPr>
          <w:rFonts w:cs="Arial"/>
        </w:rPr>
        <w:t xml:space="preserve">Essentially derived varieties </w:t>
      </w:r>
      <w:r w:rsidRPr="00293B48">
        <w:rPr>
          <w:bCs/>
          <w:snapToGrid w:val="0"/>
          <w:szCs w:val="24"/>
        </w:rPr>
        <w:t xml:space="preserve">(document </w:t>
      </w:r>
      <w:r w:rsidRPr="00293B48">
        <w:rPr>
          <w:rFonts w:cs="Arial"/>
        </w:rPr>
        <w:t>CAJ/77/4)</w:t>
      </w:r>
    </w:p>
    <w:p w:rsidR="008E101D" w:rsidRPr="00293B48" w:rsidRDefault="008E101D" w:rsidP="006B5618">
      <w:pPr>
        <w:pStyle w:val="ListParagraph"/>
        <w:spacing w:after="80"/>
        <w:ind w:left="567"/>
        <w:contextualSpacing w:val="0"/>
        <w:rPr>
          <w:rFonts w:cs="Angsana New"/>
          <w:szCs w:val="24"/>
          <w:lang w:eastAsia="ja-JP" w:bidi="th-TH"/>
        </w:rPr>
      </w:pPr>
      <w:r w:rsidRPr="00293B48">
        <w:rPr>
          <w:rFonts w:cs="Arial"/>
        </w:rPr>
        <w:t xml:space="preserve">Harvested </w:t>
      </w:r>
      <w:r w:rsidR="001A7D64" w:rsidRPr="00293B48">
        <w:rPr>
          <w:rFonts w:cs="Arial"/>
        </w:rPr>
        <w:t xml:space="preserve">material </w:t>
      </w:r>
      <w:r w:rsidRPr="00293B48">
        <w:rPr>
          <w:bCs/>
          <w:snapToGrid w:val="0"/>
          <w:szCs w:val="24"/>
        </w:rPr>
        <w:t xml:space="preserve">(document </w:t>
      </w:r>
      <w:r>
        <w:rPr>
          <w:rFonts w:cs="Arial"/>
        </w:rPr>
        <w:t>CAJ/77/5</w:t>
      </w:r>
      <w:r w:rsidRPr="00293B48">
        <w:rPr>
          <w:rFonts w:cs="Arial"/>
        </w:rPr>
        <w:t>)</w:t>
      </w:r>
    </w:p>
    <w:p w:rsidR="008E101D" w:rsidRPr="00293B48" w:rsidRDefault="008E101D" w:rsidP="006B5618">
      <w:pPr>
        <w:pStyle w:val="ListParagraph"/>
        <w:spacing w:after="80"/>
        <w:ind w:left="567"/>
        <w:contextualSpacing w:val="0"/>
        <w:rPr>
          <w:rFonts w:cs="Angsana New"/>
          <w:szCs w:val="24"/>
          <w:lang w:eastAsia="ja-JP" w:bidi="th-TH"/>
        </w:rPr>
      </w:pPr>
      <w:r w:rsidRPr="00293B48">
        <w:rPr>
          <w:rFonts w:cs="Arial"/>
        </w:rPr>
        <w:t>Novelty of parent lines with regard to the exploitation of the hybrid variety</w:t>
      </w:r>
      <w:r>
        <w:rPr>
          <w:rFonts w:cs="Arial"/>
        </w:rPr>
        <w:t xml:space="preserve"> </w:t>
      </w:r>
      <w:r w:rsidRPr="00293B48">
        <w:rPr>
          <w:bCs/>
          <w:snapToGrid w:val="0"/>
          <w:szCs w:val="24"/>
        </w:rPr>
        <w:t xml:space="preserve">(document </w:t>
      </w:r>
      <w:r>
        <w:rPr>
          <w:rFonts w:cs="Arial"/>
        </w:rPr>
        <w:t>CAJ/77/6</w:t>
      </w:r>
      <w:r w:rsidRPr="00293B48">
        <w:rPr>
          <w:rFonts w:cs="Arial"/>
        </w:rPr>
        <w:t>)</w:t>
      </w:r>
    </w:p>
    <w:p w:rsidR="003178F4" w:rsidRDefault="008E101D" w:rsidP="006B5618">
      <w:pPr>
        <w:pStyle w:val="ListParagraph"/>
        <w:ind w:left="567"/>
        <w:contextualSpacing w:val="0"/>
        <w:rPr>
          <w:rFonts w:cs="Arial"/>
        </w:rPr>
      </w:pPr>
      <w:r w:rsidRPr="00293B48">
        <w:rPr>
          <w:rFonts w:cs="Arial"/>
        </w:rPr>
        <w:t>UPOV denomination similarity search tool</w:t>
      </w:r>
      <w:r>
        <w:rPr>
          <w:rFonts w:cs="Arial"/>
        </w:rPr>
        <w:t xml:space="preserve"> </w:t>
      </w:r>
      <w:r w:rsidRPr="00293B48">
        <w:rPr>
          <w:bCs/>
          <w:snapToGrid w:val="0"/>
          <w:szCs w:val="24"/>
        </w:rPr>
        <w:t xml:space="preserve">(document </w:t>
      </w:r>
      <w:r>
        <w:rPr>
          <w:rFonts w:cs="Arial"/>
        </w:rPr>
        <w:t>CAJ/77/7</w:t>
      </w:r>
      <w:r w:rsidRPr="00293B48">
        <w:rPr>
          <w:rFonts w:cs="Arial"/>
        </w:rPr>
        <w:t>)</w:t>
      </w:r>
      <w:r w:rsidR="00CC7D6A">
        <w:rPr>
          <w:rFonts w:cs="Arial"/>
        </w:rPr>
        <w:t xml:space="preserve">  </w:t>
      </w:r>
    </w:p>
    <w:p w:rsidR="00CC7D6A" w:rsidRPr="00C972BF" w:rsidRDefault="00CC7D6A" w:rsidP="00C972BF"/>
    <w:p w:rsidR="00077288" w:rsidRDefault="008E101D" w:rsidP="00985875">
      <w:pPr>
        <w:keepNext/>
        <w:rPr>
          <w:rFonts w:cs="Arial"/>
        </w:rPr>
      </w:pPr>
      <w:r w:rsidRPr="007A68B4">
        <w:rPr>
          <w:rFonts w:cs="Arial"/>
        </w:rPr>
        <w:fldChar w:fldCharType="begin"/>
      </w:r>
      <w:r w:rsidRPr="007A68B4">
        <w:rPr>
          <w:rFonts w:cs="Arial"/>
        </w:rPr>
        <w:instrText xml:space="preserve"> AUTONUM  </w:instrText>
      </w:r>
      <w:r w:rsidRPr="007A68B4">
        <w:rPr>
          <w:rFonts w:cs="Arial"/>
        </w:rPr>
        <w:fldChar w:fldCharType="end"/>
      </w:r>
      <w:r w:rsidRPr="007A68B4">
        <w:rPr>
          <w:rFonts w:cs="Arial"/>
        </w:rPr>
        <w:tab/>
      </w:r>
      <w:r w:rsidR="00077288" w:rsidRPr="00157E95">
        <w:rPr>
          <w:rFonts w:cs="Arial"/>
        </w:rPr>
        <w:t xml:space="preserve">By September 21, 2020, comments </w:t>
      </w:r>
      <w:r w:rsidR="00DC51AB" w:rsidRPr="00157E95">
        <w:rPr>
          <w:rFonts w:cs="Arial"/>
        </w:rPr>
        <w:t xml:space="preserve">of a straightforward nature </w:t>
      </w:r>
      <w:proofErr w:type="gramStart"/>
      <w:r w:rsidR="00DC51AB">
        <w:rPr>
          <w:rFonts w:cs="Arial"/>
        </w:rPr>
        <w:t>were received</w:t>
      </w:r>
      <w:proofErr w:type="gramEnd"/>
      <w:r w:rsidR="00DC51AB">
        <w:rPr>
          <w:rFonts w:cs="Arial"/>
        </w:rPr>
        <w:t xml:space="preserve"> </w:t>
      </w:r>
      <w:r w:rsidR="00077288" w:rsidRPr="00157E95">
        <w:rPr>
          <w:rFonts w:cs="Arial"/>
        </w:rPr>
        <w:t>on the</w:t>
      </w:r>
      <w:r w:rsidR="001A7D64">
        <w:rPr>
          <w:rFonts w:cs="Arial"/>
        </w:rPr>
        <w:t xml:space="preserve"> following</w:t>
      </w:r>
      <w:r w:rsidR="00077288" w:rsidRPr="00157E95">
        <w:rPr>
          <w:rFonts w:cs="Arial"/>
        </w:rPr>
        <w:t xml:space="preserve"> d</w:t>
      </w:r>
      <w:r w:rsidR="004301C0">
        <w:rPr>
          <w:rFonts w:cs="Arial"/>
        </w:rPr>
        <w:t>ocuments identified in Circular </w:t>
      </w:r>
      <w:r w:rsidR="001633DC">
        <w:rPr>
          <w:rFonts w:cs="Arial"/>
        </w:rPr>
        <w:t>E</w:t>
      </w:r>
      <w:r w:rsidR="001633DC">
        <w:rPr>
          <w:rFonts w:cs="Arial"/>
        </w:rPr>
        <w:noBreakHyphen/>
      </w:r>
      <w:r w:rsidR="00077288">
        <w:rPr>
          <w:rFonts w:cs="Arial"/>
        </w:rPr>
        <w:t>20/120 of August 21, 2020</w:t>
      </w:r>
      <w:r w:rsidR="00077288" w:rsidRPr="00157E95">
        <w:rPr>
          <w:rFonts w:cs="Arial"/>
        </w:rPr>
        <w:t xml:space="preserve">.  The Office of the Union addressed </w:t>
      </w:r>
      <w:r w:rsidR="00DC51AB">
        <w:rPr>
          <w:rFonts w:cs="Arial"/>
        </w:rPr>
        <w:t xml:space="preserve">the </w:t>
      </w:r>
      <w:r w:rsidR="00077288" w:rsidRPr="00157E95">
        <w:rPr>
          <w:rFonts w:cs="Arial"/>
        </w:rPr>
        <w:t xml:space="preserve">comments in a revised version of the </w:t>
      </w:r>
      <w:r w:rsidR="00077288">
        <w:rPr>
          <w:rFonts w:cs="Arial"/>
        </w:rPr>
        <w:t xml:space="preserve">following </w:t>
      </w:r>
      <w:r w:rsidR="00077288" w:rsidRPr="00157E95">
        <w:rPr>
          <w:rFonts w:cs="Arial"/>
        </w:rPr>
        <w:t>documen</w:t>
      </w:r>
      <w:r w:rsidR="00077288">
        <w:rPr>
          <w:rFonts w:cs="Arial"/>
        </w:rPr>
        <w:t>ts, with endnote explanations:</w:t>
      </w:r>
    </w:p>
    <w:p w:rsidR="00077288" w:rsidRPr="007A68B4" w:rsidRDefault="00077288" w:rsidP="00985875">
      <w:pPr>
        <w:keepNext/>
        <w:rPr>
          <w:rFonts w:cs="Arial"/>
          <w:lang w:eastAsia="fr-FR"/>
        </w:rPr>
      </w:pPr>
    </w:p>
    <w:p w:rsidR="00077288" w:rsidRPr="00E77C81" w:rsidRDefault="00077288" w:rsidP="00077288">
      <w:pPr>
        <w:pStyle w:val="ListParagraph"/>
        <w:keepNext/>
        <w:spacing w:after="60"/>
        <w:ind w:left="567"/>
        <w:contextualSpacing w:val="0"/>
      </w:pPr>
      <w:r w:rsidRPr="00E77C81">
        <w:t>Development of guidance and information materials</w:t>
      </w:r>
      <w:r w:rsidRPr="00E77C81">
        <w:rPr>
          <w:rFonts w:cs="Arial"/>
        </w:rPr>
        <w:t xml:space="preserve"> (document CAJ/77/3 Rev.)</w:t>
      </w:r>
    </w:p>
    <w:p w:rsidR="00077288" w:rsidRPr="00E77C81" w:rsidRDefault="00077288" w:rsidP="00077288">
      <w:pPr>
        <w:pStyle w:val="ListParagraph"/>
        <w:keepNext/>
        <w:spacing w:after="60"/>
        <w:ind w:left="1134"/>
        <w:contextualSpacing w:val="0"/>
        <w:rPr>
          <w:rFonts w:cs="Angsana New"/>
          <w:szCs w:val="24"/>
          <w:lang w:eastAsia="ja-JP" w:bidi="th-TH"/>
        </w:rPr>
      </w:pPr>
      <w:r w:rsidRPr="00E77C81">
        <w:rPr>
          <w:rFonts w:cs="Angsana New"/>
          <w:szCs w:val="24"/>
          <w:lang w:eastAsia="ja-JP" w:bidi="th-TH"/>
        </w:rPr>
        <w:t xml:space="preserve">UPOV/INF/16:  Exchangeable Software (Revision) </w:t>
      </w:r>
      <w:r w:rsidRPr="00E77C81">
        <w:rPr>
          <w:rFonts w:cs="Arial"/>
        </w:rPr>
        <w:t xml:space="preserve">(document </w:t>
      </w:r>
      <w:r w:rsidRPr="00E77C81">
        <w:rPr>
          <w:rFonts w:cs="Angsana New"/>
          <w:szCs w:val="24"/>
          <w:lang w:eastAsia="ja-JP" w:bidi="th-TH"/>
        </w:rPr>
        <w:t>UPOV/INF/16/9 Draft 2</w:t>
      </w:r>
      <w:r w:rsidRPr="00E77C81">
        <w:rPr>
          <w:rFonts w:cs="Arial"/>
        </w:rPr>
        <w:t>)</w:t>
      </w:r>
      <w:r w:rsidR="001A7D64">
        <w:rPr>
          <w:rFonts w:cs="Arial"/>
        </w:rPr>
        <w:t xml:space="preserve"> </w:t>
      </w:r>
    </w:p>
    <w:p w:rsidR="00077288" w:rsidRDefault="00077288" w:rsidP="00077288">
      <w:pPr>
        <w:pStyle w:val="ListParagraph"/>
        <w:spacing w:after="120"/>
        <w:ind w:left="567"/>
        <w:contextualSpacing w:val="0"/>
        <w:rPr>
          <w:rFonts w:cs="Arial"/>
        </w:rPr>
      </w:pPr>
      <w:r w:rsidRPr="00E77C81">
        <w:rPr>
          <w:rFonts w:cs="Arial"/>
        </w:rPr>
        <w:t xml:space="preserve">Essentially derived varieties </w:t>
      </w:r>
      <w:r w:rsidRPr="00E77C81">
        <w:rPr>
          <w:bCs/>
          <w:snapToGrid w:val="0"/>
          <w:szCs w:val="24"/>
        </w:rPr>
        <w:t xml:space="preserve">(document </w:t>
      </w:r>
      <w:r w:rsidRPr="00E77C81">
        <w:rPr>
          <w:rFonts w:cs="Arial"/>
        </w:rPr>
        <w:t>CAJ/77/4 Rev.)</w:t>
      </w:r>
    </w:p>
    <w:p w:rsidR="00077288" w:rsidRPr="00077288" w:rsidRDefault="00077288" w:rsidP="00077288"/>
    <w:p w:rsidR="00077288" w:rsidRPr="00B96224" w:rsidRDefault="00077288" w:rsidP="00077288">
      <w:pPr>
        <w:rPr>
          <w:rFonts w:cs="Arial"/>
          <w:lang w:eastAsia="fr-FR"/>
        </w:rPr>
      </w:pPr>
      <w:r w:rsidRPr="007A68B4">
        <w:rPr>
          <w:rFonts w:cs="Arial"/>
        </w:rPr>
        <w:fldChar w:fldCharType="begin"/>
      </w:r>
      <w:r w:rsidRPr="007A68B4">
        <w:rPr>
          <w:rFonts w:cs="Arial"/>
        </w:rPr>
        <w:instrText xml:space="preserve"> AUTONUM  </w:instrText>
      </w:r>
      <w:r w:rsidRPr="007A68B4">
        <w:rPr>
          <w:rFonts w:cs="Arial"/>
        </w:rPr>
        <w:fldChar w:fldCharType="end"/>
      </w:r>
      <w:r w:rsidRPr="007A68B4">
        <w:rPr>
          <w:rFonts w:cs="Arial"/>
        </w:rPr>
        <w:tab/>
      </w:r>
      <w:r w:rsidRPr="00B96224">
        <w:rPr>
          <w:rFonts w:cs="Arial"/>
        </w:rPr>
        <w:t>By September 21, 2020, c</w:t>
      </w:r>
      <w:r w:rsidRPr="00B96224">
        <w:rPr>
          <w:rFonts w:cs="Arial"/>
          <w:lang w:eastAsia="fr-FR"/>
        </w:rPr>
        <w:t xml:space="preserve">omments received on the following documents were not of </w:t>
      </w:r>
      <w:r>
        <w:rPr>
          <w:rFonts w:cs="Arial"/>
          <w:lang w:eastAsia="fr-FR"/>
        </w:rPr>
        <w:t xml:space="preserve">a </w:t>
      </w:r>
      <w:r w:rsidRPr="00B96224">
        <w:rPr>
          <w:rFonts w:cs="Arial"/>
          <w:lang w:eastAsia="fr-FR"/>
        </w:rPr>
        <w:t xml:space="preserve">straightforward nature and, therefore, these documents were not included for approval </w:t>
      </w:r>
      <w:r w:rsidRPr="00B96224">
        <w:rPr>
          <w:rFonts w:cs="Arial"/>
        </w:rPr>
        <w:t xml:space="preserve">by correspondence </w:t>
      </w:r>
      <w:r w:rsidRPr="00B96224">
        <w:rPr>
          <w:rFonts w:cs="Arial"/>
          <w:lang w:eastAsia="fr-FR"/>
        </w:rPr>
        <w:t>of the</w:t>
      </w:r>
      <w:r w:rsidRPr="00B96224">
        <w:rPr>
          <w:rFonts w:cs="Arial"/>
        </w:rPr>
        <w:t xml:space="preserve"> proposed decision(s) contained</w:t>
      </w:r>
      <w:r w:rsidRPr="00B96224">
        <w:rPr>
          <w:rFonts w:cs="Arial"/>
          <w:lang w:eastAsia="fr-FR"/>
        </w:rPr>
        <w:t xml:space="preserve"> </w:t>
      </w:r>
      <w:r w:rsidRPr="00B96224">
        <w:rPr>
          <w:rFonts w:cs="Arial"/>
        </w:rPr>
        <w:t xml:space="preserve">in the documents </w:t>
      </w:r>
      <w:r w:rsidRPr="00B96224">
        <w:rPr>
          <w:rFonts w:cs="Arial"/>
          <w:lang w:eastAsia="fr-FR"/>
        </w:rPr>
        <w:t xml:space="preserve">and </w:t>
      </w:r>
      <w:proofErr w:type="gramStart"/>
      <w:r w:rsidRPr="00B96224">
        <w:rPr>
          <w:rFonts w:cs="Arial"/>
          <w:lang w:eastAsia="fr-FR"/>
        </w:rPr>
        <w:t>will be discussed</w:t>
      </w:r>
      <w:proofErr w:type="gramEnd"/>
      <w:r w:rsidRPr="00B96224">
        <w:rPr>
          <w:rFonts w:cs="Arial"/>
          <w:lang w:eastAsia="fr-FR"/>
        </w:rPr>
        <w:t xml:space="preserve"> at the relevant virtual session:</w:t>
      </w:r>
    </w:p>
    <w:p w:rsidR="00077288" w:rsidRPr="00B96224" w:rsidRDefault="00077288" w:rsidP="00077288">
      <w:pPr>
        <w:rPr>
          <w:rFonts w:cs="Arial"/>
          <w:lang w:eastAsia="fr-FR"/>
        </w:rPr>
      </w:pPr>
    </w:p>
    <w:p w:rsidR="00077288" w:rsidRPr="007A68B4" w:rsidRDefault="00077288" w:rsidP="00077288">
      <w:pPr>
        <w:keepNext/>
        <w:ind w:left="567"/>
        <w:rPr>
          <w:rFonts w:cs="Arial"/>
          <w:lang w:eastAsia="fr-FR"/>
        </w:rPr>
      </w:pPr>
      <w:r w:rsidRPr="007A68B4">
        <w:rPr>
          <w:rFonts w:cs="Arial"/>
          <w:lang w:eastAsia="fr-FR"/>
        </w:rPr>
        <w:t>Document UPOV/EXN/DEN/1 Draft 4 “Explanatory Notes on Variety Denominations under the UPOV Convention”</w:t>
      </w:r>
    </w:p>
    <w:p w:rsidR="00077288" w:rsidRPr="007A68B4" w:rsidRDefault="00077288" w:rsidP="00077288">
      <w:pPr>
        <w:keepNext/>
        <w:ind w:left="360"/>
        <w:rPr>
          <w:rFonts w:cs="Arial"/>
          <w:lang w:eastAsia="fr-FR"/>
        </w:rPr>
      </w:pPr>
    </w:p>
    <w:p w:rsidR="00077288" w:rsidRDefault="00077288" w:rsidP="00077288">
      <w:pPr>
        <w:pStyle w:val="ListParagraph"/>
        <w:ind w:left="567"/>
        <w:contextualSpacing w:val="0"/>
        <w:rPr>
          <w:rFonts w:cs="Arial"/>
        </w:rPr>
      </w:pPr>
      <w:r w:rsidRPr="007A68B4">
        <w:rPr>
          <w:bCs/>
          <w:snapToGrid w:val="0"/>
          <w:szCs w:val="24"/>
        </w:rPr>
        <w:t xml:space="preserve">Document </w:t>
      </w:r>
      <w:r w:rsidRPr="007A68B4">
        <w:rPr>
          <w:rFonts w:cs="Arial"/>
        </w:rPr>
        <w:t xml:space="preserve">CAJ/77/6 “Novelty of parent lines with regard to the exploitation of the hybrid variety” </w:t>
      </w:r>
    </w:p>
    <w:p w:rsidR="00A15D22" w:rsidRPr="00A15D22" w:rsidRDefault="00A15D22" w:rsidP="00A15D22"/>
    <w:p w:rsidR="00077288" w:rsidRPr="00392659" w:rsidRDefault="00077288" w:rsidP="00077288">
      <w:pPr>
        <w:keepNext/>
        <w:rPr>
          <w:rFonts w:cs="Arial"/>
        </w:rPr>
      </w:pPr>
      <w:r w:rsidRPr="00B96224">
        <w:rPr>
          <w:rFonts w:cs="Arial"/>
        </w:rPr>
        <w:fldChar w:fldCharType="begin"/>
      </w:r>
      <w:r w:rsidRPr="00B96224">
        <w:rPr>
          <w:rFonts w:cs="Arial"/>
        </w:rPr>
        <w:instrText xml:space="preserve"> AUTONUM  </w:instrText>
      </w:r>
      <w:r w:rsidRPr="00B96224">
        <w:rPr>
          <w:rFonts w:cs="Arial"/>
        </w:rPr>
        <w:fldChar w:fldCharType="end"/>
      </w:r>
      <w:r w:rsidRPr="00B96224">
        <w:rPr>
          <w:rFonts w:cs="Arial"/>
        </w:rPr>
        <w:tab/>
        <w:t xml:space="preserve">The comments </w:t>
      </w:r>
      <w:r w:rsidRPr="00B96224">
        <w:rPr>
          <w:rFonts w:cs="Arial"/>
          <w:lang w:eastAsia="fr-FR"/>
        </w:rPr>
        <w:t xml:space="preserve">received </w:t>
      </w:r>
      <w:r w:rsidRPr="00B96224">
        <w:rPr>
          <w:rFonts w:cs="Arial"/>
        </w:rPr>
        <w:t>in relation to document</w:t>
      </w:r>
      <w:r>
        <w:rPr>
          <w:rFonts w:cs="Arial"/>
        </w:rPr>
        <w:t>s</w:t>
      </w:r>
      <w:r w:rsidRPr="00B96224">
        <w:rPr>
          <w:rFonts w:cs="Arial"/>
        </w:rPr>
        <w:t xml:space="preserve"> </w:t>
      </w:r>
      <w:r w:rsidRPr="00B96224">
        <w:rPr>
          <w:rFonts w:cs="Arial"/>
          <w:lang w:eastAsia="fr-FR"/>
        </w:rPr>
        <w:t xml:space="preserve">UPOV/EXN/DEN/1 Draft 4 </w:t>
      </w:r>
      <w:r w:rsidRPr="00B96224">
        <w:rPr>
          <w:rFonts w:cs="Arial"/>
        </w:rPr>
        <w:t>“</w:t>
      </w:r>
      <w:r w:rsidRPr="00B96224">
        <w:rPr>
          <w:rFonts w:cs="Arial"/>
          <w:lang w:eastAsia="fr-FR"/>
        </w:rPr>
        <w:t>Explanatory Notes on Variety Denominations under the UPOV Convention</w:t>
      </w:r>
      <w:r w:rsidRPr="00B96224">
        <w:rPr>
          <w:rFonts w:cs="Arial"/>
        </w:rPr>
        <w:t xml:space="preserve">” </w:t>
      </w:r>
      <w:r>
        <w:rPr>
          <w:rFonts w:cs="Arial"/>
        </w:rPr>
        <w:t xml:space="preserve">and </w:t>
      </w:r>
      <w:r w:rsidRPr="00077288">
        <w:rPr>
          <w:rFonts w:cs="Arial"/>
          <w:lang w:eastAsia="fr-FR"/>
        </w:rPr>
        <w:t xml:space="preserve">CAJ/77/6 “Novelty of parent lines with regard to the exploitation of the hybrid variety” </w:t>
      </w:r>
      <w:proofErr w:type="gramStart"/>
      <w:r w:rsidRPr="00B96224">
        <w:rPr>
          <w:rFonts w:cs="Arial"/>
        </w:rPr>
        <w:t>are presented</w:t>
      </w:r>
      <w:proofErr w:type="gramEnd"/>
      <w:r w:rsidRPr="00B96224">
        <w:rPr>
          <w:rFonts w:cs="Arial"/>
        </w:rPr>
        <w:t xml:space="preserve"> </w:t>
      </w:r>
      <w:r w:rsidR="001A7D64">
        <w:rPr>
          <w:rFonts w:cs="Arial"/>
        </w:rPr>
        <w:t xml:space="preserve">in </w:t>
      </w:r>
      <w:r w:rsidRPr="00B96224">
        <w:rPr>
          <w:rFonts w:cs="Arial"/>
        </w:rPr>
        <w:t>this document</w:t>
      </w:r>
      <w:r>
        <w:rPr>
          <w:rFonts w:cs="Arial"/>
        </w:rPr>
        <w:t xml:space="preserve"> (see </w:t>
      </w:r>
      <w:r w:rsidR="006B5618" w:rsidRPr="00392659">
        <w:rPr>
          <w:spacing w:val="-4"/>
        </w:rPr>
        <w:t xml:space="preserve">paragraphs 34 and </w:t>
      </w:r>
      <w:r w:rsidR="00DB7C1F" w:rsidRPr="00392659">
        <w:rPr>
          <w:spacing w:val="-4"/>
        </w:rPr>
        <w:t>49</w:t>
      </w:r>
      <w:r w:rsidRPr="00392659">
        <w:rPr>
          <w:spacing w:val="-4"/>
        </w:rPr>
        <w:t xml:space="preserve">, </w:t>
      </w:r>
      <w:r w:rsidRPr="00392659">
        <w:rPr>
          <w:rFonts w:cs="Arial"/>
        </w:rPr>
        <w:t xml:space="preserve">respectively, below).  </w:t>
      </w:r>
      <w:r w:rsidR="00E17198" w:rsidRPr="00392659">
        <w:rPr>
          <w:rFonts w:cs="Arial"/>
        </w:rPr>
        <w:t xml:space="preserve">This document also contains </w:t>
      </w:r>
      <w:r w:rsidR="00DC51AB" w:rsidRPr="00392659">
        <w:rPr>
          <w:rFonts w:cs="Arial"/>
        </w:rPr>
        <w:t>proposals</w:t>
      </w:r>
      <w:r w:rsidR="00E17198" w:rsidRPr="00392659">
        <w:rPr>
          <w:rFonts w:cs="Arial"/>
        </w:rPr>
        <w:t xml:space="preserve"> </w:t>
      </w:r>
      <w:r w:rsidR="00AD0BD2" w:rsidRPr="00392659">
        <w:rPr>
          <w:rFonts w:cs="Arial"/>
        </w:rPr>
        <w:t xml:space="preserve">to address those comments in </w:t>
      </w:r>
      <w:r w:rsidR="00DB7C1F" w:rsidRPr="00392659">
        <w:rPr>
          <w:rFonts w:cs="Arial"/>
        </w:rPr>
        <w:t>paragraphs 35 and 50.</w:t>
      </w:r>
    </w:p>
    <w:p w:rsidR="00077288" w:rsidRPr="00392659" w:rsidRDefault="00077288" w:rsidP="00077288"/>
    <w:p w:rsidR="00077288" w:rsidRPr="00157E95" w:rsidRDefault="00077288" w:rsidP="00077288">
      <w:pPr>
        <w:keepNext/>
        <w:spacing w:after="120"/>
        <w:rPr>
          <w:rFonts w:cs="Arial"/>
          <w:highlight w:val="lightGray"/>
        </w:rPr>
      </w:pPr>
      <w:r w:rsidRPr="00392659">
        <w:rPr>
          <w:rFonts w:cs="Arial"/>
        </w:rPr>
        <w:fldChar w:fldCharType="begin"/>
      </w:r>
      <w:r w:rsidRPr="00392659">
        <w:rPr>
          <w:rFonts w:cs="Arial"/>
        </w:rPr>
        <w:instrText xml:space="preserve"> AUTONUM  </w:instrText>
      </w:r>
      <w:r w:rsidRPr="00392659">
        <w:rPr>
          <w:rFonts w:cs="Arial"/>
        </w:rPr>
        <w:fldChar w:fldCharType="end"/>
      </w:r>
      <w:r w:rsidRPr="00392659">
        <w:rPr>
          <w:rFonts w:cs="Arial"/>
        </w:rPr>
        <w:tab/>
        <w:t>Circular E-20/160 of September 25, 2020, invited the CAJ to approve the proposed decision(s)</w:t>
      </w:r>
      <w:r w:rsidRPr="00157E95">
        <w:rPr>
          <w:rFonts w:cs="Arial"/>
        </w:rPr>
        <w:t xml:space="preserve"> contained in the </w:t>
      </w:r>
      <w:r>
        <w:rPr>
          <w:rFonts w:cs="Arial"/>
        </w:rPr>
        <w:t xml:space="preserve">following </w:t>
      </w:r>
      <w:r w:rsidRPr="00157E95">
        <w:rPr>
          <w:rFonts w:cs="Arial"/>
        </w:rPr>
        <w:t xml:space="preserve">documents within 30 days (i.e. October 25, 2020):  </w:t>
      </w:r>
    </w:p>
    <w:p w:rsidR="008E101D" w:rsidRPr="00E77C81" w:rsidRDefault="008E101D" w:rsidP="00985875">
      <w:pPr>
        <w:pStyle w:val="ListParagraph"/>
        <w:keepNext/>
        <w:spacing w:after="60"/>
        <w:ind w:left="567"/>
        <w:contextualSpacing w:val="0"/>
      </w:pPr>
      <w:r w:rsidRPr="00E77C81">
        <w:t>Development of guidance and information materials</w:t>
      </w:r>
      <w:r w:rsidRPr="00E77C81">
        <w:rPr>
          <w:rFonts w:cs="Arial"/>
        </w:rPr>
        <w:t xml:space="preserve"> (document CAJ/77/3 Rev.)</w:t>
      </w:r>
    </w:p>
    <w:p w:rsidR="008E101D" w:rsidRPr="00E77C81" w:rsidRDefault="008E101D" w:rsidP="008E101D">
      <w:pPr>
        <w:pStyle w:val="ListParagraph"/>
        <w:spacing w:after="120"/>
        <w:ind w:left="567"/>
        <w:contextualSpacing w:val="0"/>
        <w:rPr>
          <w:rFonts w:cs="Angsana New"/>
          <w:szCs w:val="24"/>
          <w:lang w:eastAsia="ja-JP" w:bidi="th-TH"/>
        </w:rPr>
      </w:pPr>
      <w:r w:rsidRPr="00E77C81">
        <w:rPr>
          <w:rFonts w:cs="Arial"/>
        </w:rPr>
        <w:t xml:space="preserve">Essentially derived varieties </w:t>
      </w:r>
      <w:r w:rsidRPr="00E77C81">
        <w:rPr>
          <w:bCs/>
          <w:snapToGrid w:val="0"/>
          <w:szCs w:val="24"/>
        </w:rPr>
        <w:t xml:space="preserve">(document </w:t>
      </w:r>
      <w:r w:rsidRPr="00E77C81">
        <w:rPr>
          <w:rFonts w:cs="Arial"/>
        </w:rPr>
        <w:t>CAJ/77/4 Rev.)</w:t>
      </w:r>
    </w:p>
    <w:p w:rsidR="008E101D" w:rsidRPr="00E77C81" w:rsidRDefault="008E101D" w:rsidP="008E101D">
      <w:pPr>
        <w:pStyle w:val="ListParagraph"/>
        <w:spacing w:after="120"/>
        <w:ind w:left="567"/>
        <w:contextualSpacing w:val="0"/>
        <w:rPr>
          <w:rFonts w:cs="Angsana New"/>
          <w:szCs w:val="24"/>
          <w:lang w:eastAsia="ja-JP" w:bidi="th-TH"/>
        </w:rPr>
      </w:pPr>
      <w:r w:rsidRPr="00E77C81">
        <w:rPr>
          <w:rFonts w:cs="Arial"/>
        </w:rPr>
        <w:t xml:space="preserve">Harvested Material </w:t>
      </w:r>
      <w:r w:rsidRPr="00E77C81">
        <w:rPr>
          <w:bCs/>
          <w:snapToGrid w:val="0"/>
          <w:szCs w:val="24"/>
        </w:rPr>
        <w:t xml:space="preserve">(document </w:t>
      </w:r>
      <w:r w:rsidRPr="00E77C81">
        <w:rPr>
          <w:rFonts w:cs="Arial"/>
        </w:rPr>
        <w:t>CAJ/77/5)</w:t>
      </w:r>
    </w:p>
    <w:p w:rsidR="008E101D" w:rsidRPr="00293B48" w:rsidRDefault="008E101D" w:rsidP="007A48BD">
      <w:pPr>
        <w:pStyle w:val="ListParagraph"/>
        <w:ind w:left="567"/>
        <w:contextualSpacing w:val="0"/>
        <w:rPr>
          <w:rFonts w:cs="Angsana New"/>
          <w:szCs w:val="24"/>
          <w:lang w:eastAsia="ja-JP" w:bidi="th-TH"/>
        </w:rPr>
      </w:pPr>
      <w:r w:rsidRPr="00E77C81">
        <w:rPr>
          <w:rFonts w:cs="Arial"/>
        </w:rPr>
        <w:t xml:space="preserve">UPOV denomination similarity search tool </w:t>
      </w:r>
      <w:r w:rsidRPr="00E77C81">
        <w:rPr>
          <w:bCs/>
          <w:snapToGrid w:val="0"/>
          <w:szCs w:val="24"/>
        </w:rPr>
        <w:t xml:space="preserve">(document </w:t>
      </w:r>
      <w:r w:rsidRPr="00E77C81">
        <w:rPr>
          <w:rFonts w:cs="Arial"/>
        </w:rPr>
        <w:t>CAJ/77/7)</w:t>
      </w:r>
    </w:p>
    <w:p w:rsidR="008E101D" w:rsidRPr="00157E95" w:rsidRDefault="008E101D" w:rsidP="008E101D">
      <w:pPr>
        <w:ind w:left="1134" w:hanging="1134"/>
        <w:rPr>
          <w:rFonts w:cs="Arial"/>
          <w:highlight w:val="lightGray"/>
        </w:rPr>
      </w:pPr>
    </w:p>
    <w:p w:rsidR="008E101D" w:rsidRPr="00077288" w:rsidRDefault="00077288" w:rsidP="00077288">
      <w:pPr>
        <w:rPr>
          <w:highlight w:val="lightGray"/>
        </w:rPr>
      </w:pPr>
      <w:r w:rsidRPr="00157E95">
        <w:rPr>
          <w:rFonts w:cs="Arial"/>
        </w:rPr>
        <w:fldChar w:fldCharType="begin"/>
      </w:r>
      <w:r w:rsidRPr="00157E95">
        <w:rPr>
          <w:rFonts w:cs="Arial"/>
        </w:rPr>
        <w:instrText xml:space="preserve"> AUTONUM  </w:instrText>
      </w:r>
      <w:r w:rsidRPr="00157E95">
        <w:rPr>
          <w:rFonts w:cs="Arial"/>
        </w:rPr>
        <w:fldChar w:fldCharType="end"/>
      </w:r>
      <w:r w:rsidRPr="00157E95">
        <w:rPr>
          <w:rFonts w:cs="Arial"/>
        </w:rPr>
        <w:tab/>
      </w:r>
      <w:r w:rsidRPr="00392659">
        <w:rPr>
          <w:rFonts w:cs="Arial"/>
        </w:rPr>
        <w:t xml:space="preserve">As no objections </w:t>
      </w:r>
      <w:proofErr w:type="gramStart"/>
      <w:r w:rsidRPr="00392659">
        <w:rPr>
          <w:rFonts w:cs="Arial"/>
        </w:rPr>
        <w:t>were received</w:t>
      </w:r>
      <w:proofErr w:type="gramEnd"/>
      <w:r w:rsidRPr="00392659">
        <w:rPr>
          <w:rFonts w:cs="Arial"/>
        </w:rPr>
        <w:t xml:space="preserve"> by October 25, 2020, the </w:t>
      </w:r>
      <w:r w:rsidR="001A7D64" w:rsidRPr="00392659">
        <w:rPr>
          <w:rFonts w:cs="Arial"/>
        </w:rPr>
        <w:t xml:space="preserve">relevant </w:t>
      </w:r>
      <w:r w:rsidRPr="00392659">
        <w:rPr>
          <w:rFonts w:cs="Arial"/>
        </w:rPr>
        <w:t>decisions</w:t>
      </w:r>
      <w:r w:rsidR="001A7D64" w:rsidRPr="00392659">
        <w:rPr>
          <w:rFonts w:cs="Arial"/>
        </w:rPr>
        <w:t>, reproduced</w:t>
      </w:r>
      <w:r w:rsidR="00236DE4" w:rsidRPr="00392659">
        <w:rPr>
          <w:rFonts w:cs="Arial"/>
        </w:rPr>
        <w:t xml:space="preserve"> in the </w:t>
      </w:r>
      <w:r w:rsidRPr="00392659">
        <w:rPr>
          <w:rFonts w:cs="Arial"/>
        </w:rPr>
        <w:t>paragraphs</w:t>
      </w:r>
      <w:r w:rsidR="00236DE4" w:rsidRPr="00392659">
        <w:rPr>
          <w:rFonts w:cs="Arial"/>
        </w:rPr>
        <w:t xml:space="preserve"> 13 to 33, 36 to 43 and </w:t>
      </w:r>
      <w:r w:rsidR="00E17198" w:rsidRPr="00392659">
        <w:rPr>
          <w:rFonts w:cs="Arial"/>
        </w:rPr>
        <w:t>51 to 5</w:t>
      </w:r>
      <w:r w:rsidR="00AD0BD2" w:rsidRPr="00392659">
        <w:rPr>
          <w:rFonts w:cs="Arial"/>
        </w:rPr>
        <w:t>5</w:t>
      </w:r>
      <w:r w:rsidR="001A7D64" w:rsidRPr="00392659">
        <w:rPr>
          <w:rFonts w:cs="Arial"/>
        </w:rPr>
        <w:t>,</w:t>
      </w:r>
      <w:r w:rsidRPr="00392659">
        <w:rPr>
          <w:rFonts w:cs="Arial"/>
        </w:rPr>
        <w:t xml:space="preserve"> are considered</w:t>
      </w:r>
      <w:r w:rsidRPr="00246C9B">
        <w:rPr>
          <w:rFonts w:cs="Arial"/>
        </w:rPr>
        <w:t xml:space="preserve"> to have been taken by correspondence</w:t>
      </w:r>
      <w:r w:rsidRPr="00DB7C1F">
        <w:rPr>
          <w:rFonts w:cs="Arial"/>
        </w:rPr>
        <w:t xml:space="preserve">. </w:t>
      </w:r>
      <w:r w:rsidRPr="00F553A5">
        <w:rPr>
          <w:rFonts w:cs="Arial"/>
          <w:highlight w:val="lightGray"/>
        </w:rPr>
        <w:t xml:space="preserve">  </w:t>
      </w:r>
    </w:p>
    <w:p w:rsidR="007A48BD" w:rsidRPr="00077288" w:rsidRDefault="007A48BD" w:rsidP="00077288"/>
    <w:p w:rsidR="00F553A5" w:rsidRDefault="00F553A5">
      <w:pPr>
        <w:jc w:val="left"/>
      </w:pPr>
      <w:r>
        <w:br w:type="page"/>
      </w:r>
    </w:p>
    <w:p w:rsidR="003D355B" w:rsidRPr="00CB28A3" w:rsidRDefault="00A2365C" w:rsidP="00077288">
      <w:pPr>
        <w:pStyle w:val="Heading1"/>
        <w:rPr>
          <w:kern w:val="28"/>
        </w:rPr>
      </w:pPr>
      <w:bookmarkStart w:id="16" w:name="_Toc54097478"/>
      <w:bookmarkStart w:id="17" w:name="_Toc54097612"/>
      <w:bookmarkStart w:id="18" w:name="_Toc54617455"/>
      <w:r w:rsidRPr="00CB28A3">
        <w:lastRenderedPageBreak/>
        <w:t xml:space="preserve">Agenda item 6:  </w:t>
      </w:r>
      <w:r w:rsidR="003D355B" w:rsidRPr="00CB28A3">
        <w:t>Development of guidance and information materials</w:t>
      </w:r>
      <w:bookmarkEnd w:id="16"/>
      <w:bookmarkEnd w:id="17"/>
      <w:r w:rsidR="00077288" w:rsidRPr="00CB28A3">
        <w:t xml:space="preserve"> (document </w:t>
      </w:r>
      <w:r w:rsidR="00077288" w:rsidRPr="00CB28A3">
        <w:rPr>
          <w:snapToGrid w:val="0"/>
        </w:rPr>
        <w:t>CAJ/77/3 Rev.)</w:t>
      </w:r>
      <w:bookmarkEnd w:id="18"/>
    </w:p>
    <w:p w:rsidR="00AF1E6C" w:rsidRPr="00CB28A3" w:rsidRDefault="00AF1E6C" w:rsidP="00050E16">
      <w:pPr>
        <w:rPr>
          <w:sz w:val="18"/>
        </w:rPr>
      </w:pPr>
    </w:p>
    <w:p w:rsidR="003D355B" w:rsidRPr="00174343" w:rsidRDefault="00AF1E6C" w:rsidP="003D355B">
      <w:pPr>
        <w:keepNext/>
        <w:rPr>
          <w:snapToGrid w:val="0"/>
        </w:rPr>
      </w:pPr>
      <w:r w:rsidRPr="00CB28A3">
        <w:fldChar w:fldCharType="begin"/>
      </w:r>
      <w:r w:rsidRPr="00CB28A3">
        <w:instrText xml:space="preserve"> AUTONUM  </w:instrText>
      </w:r>
      <w:r w:rsidRPr="00CB28A3">
        <w:fldChar w:fldCharType="end"/>
      </w:r>
      <w:r w:rsidRPr="00CB28A3">
        <w:tab/>
      </w:r>
      <w:r w:rsidR="003D355B" w:rsidRPr="00CB28A3">
        <w:rPr>
          <w:snapToGrid w:val="0"/>
        </w:rPr>
        <w:t xml:space="preserve">The CAJ considered document </w:t>
      </w:r>
      <w:r w:rsidR="007C0975" w:rsidRPr="00CB28A3">
        <w:rPr>
          <w:snapToGrid w:val="0"/>
        </w:rPr>
        <w:t>CAJ/77/3 Rev</w:t>
      </w:r>
      <w:r w:rsidR="003D355B" w:rsidRPr="00CB28A3">
        <w:rPr>
          <w:snapToGrid w:val="0"/>
        </w:rPr>
        <w:t>.</w:t>
      </w:r>
    </w:p>
    <w:p w:rsidR="00AF1E6C" w:rsidRPr="00C66C3C" w:rsidRDefault="00AF1E6C" w:rsidP="00050E16">
      <w:pPr>
        <w:rPr>
          <w:sz w:val="12"/>
        </w:rPr>
      </w:pPr>
    </w:p>
    <w:p w:rsidR="00C66C3C" w:rsidRPr="00C66C3C" w:rsidRDefault="00C66C3C" w:rsidP="00050E16">
      <w:pPr>
        <w:rPr>
          <w:sz w:val="16"/>
        </w:rPr>
      </w:pPr>
    </w:p>
    <w:p w:rsidR="003D355B" w:rsidRPr="00174343" w:rsidRDefault="003D355B" w:rsidP="00892CE3">
      <w:pPr>
        <w:pStyle w:val="Heading2"/>
      </w:pPr>
      <w:bookmarkStart w:id="19" w:name="_Toc54097479"/>
      <w:bookmarkStart w:id="20" w:name="_Toc54097613"/>
      <w:bookmarkStart w:id="21" w:name="_Toc54617456"/>
      <w:r w:rsidRPr="00174343">
        <w:t>Information Materials</w:t>
      </w:r>
      <w:bookmarkEnd w:id="19"/>
      <w:bookmarkEnd w:id="20"/>
      <w:bookmarkEnd w:id="21"/>
    </w:p>
    <w:p w:rsidR="003D355B" w:rsidRPr="00C66C3C" w:rsidRDefault="003D355B" w:rsidP="003D355B">
      <w:pPr>
        <w:keepNext/>
        <w:outlineLvl w:val="1"/>
        <w:rPr>
          <w:rFonts w:eastAsiaTheme="minorEastAsia"/>
          <w:sz w:val="18"/>
          <w:u w:val="single"/>
        </w:rPr>
      </w:pPr>
    </w:p>
    <w:p w:rsidR="003D355B" w:rsidRPr="00077288" w:rsidRDefault="00892CE3" w:rsidP="007C1B35">
      <w:pPr>
        <w:pStyle w:val="Heading3"/>
      </w:pPr>
      <w:bookmarkStart w:id="22" w:name="_Toc54004069"/>
      <w:bookmarkStart w:id="23" w:name="_Toc54097480"/>
      <w:bookmarkStart w:id="24" w:name="_Toc54097614"/>
      <w:bookmarkStart w:id="25" w:name="_Toc54617457"/>
      <w:r w:rsidRPr="00157E95">
        <w:t>UPOV/INF/16:  Exchangeable Software (</w:t>
      </w:r>
      <w:r w:rsidRPr="00077288">
        <w:t>Revision) (document UPOV/INF/16/9 Draft 2)</w:t>
      </w:r>
      <w:bookmarkEnd w:id="22"/>
      <w:bookmarkEnd w:id="23"/>
      <w:bookmarkEnd w:id="24"/>
      <w:bookmarkEnd w:id="25"/>
    </w:p>
    <w:p w:rsidR="003D355B" w:rsidRPr="00C66C3C" w:rsidRDefault="003D355B" w:rsidP="003D355B">
      <w:pPr>
        <w:keepNext/>
        <w:rPr>
          <w:sz w:val="18"/>
        </w:rPr>
      </w:pPr>
    </w:p>
    <w:p w:rsidR="002F0931" w:rsidRPr="00077288" w:rsidRDefault="002F0931" w:rsidP="002F0931">
      <w:pPr>
        <w:keepLines/>
        <w:rPr>
          <w:rFonts w:eastAsia="SimSun"/>
          <w:snapToGrid w:val="0"/>
          <w:lang w:eastAsia="ja-JP"/>
        </w:rPr>
      </w:pPr>
      <w:r w:rsidRPr="00077288">
        <w:rPr>
          <w:rFonts w:eastAsia="SimSun"/>
          <w:snapToGrid w:val="0"/>
          <w:lang w:eastAsia="ja-JP"/>
        </w:rPr>
        <w:fldChar w:fldCharType="begin"/>
      </w:r>
      <w:r w:rsidRPr="00077288">
        <w:rPr>
          <w:rFonts w:eastAsia="SimSun"/>
          <w:snapToGrid w:val="0"/>
          <w:lang w:eastAsia="ja-JP"/>
        </w:rPr>
        <w:instrText xml:space="preserve"> AUTONUM  </w:instrText>
      </w:r>
      <w:r w:rsidRPr="00077288">
        <w:rPr>
          <w:rFonts w:eastAsia="SimSun"/>
          <w:snapToGrid w:val="0"/>
          <w:lang w:eastAsia="ja-JP"/>
        </w:rPr>
        <w:fldChar w:fldCharType="end"/>
      </w:r>
      <w:r w:rsidRPr="00077288">
        <w:rPr>
          <w:rFonts w:eastAsia="SimSun"/>
          <w:snapToGrid w:val="0"/>
          <w:lang w:eastAsia="ja-JP"/>
        </w:rPr>
        <w:tab/>
        <w:t xml:space="preserve">The CAJ </w:t>
      </w:r>
      <w:r w:rsidR="00BF7062" w:rsidRPr="00077288">
        <w:t xml:space="preserve">approved </w:t>
      </w:r>
      <w:r w:rsidR="00BF7062" w:rsidRPr="00077288">
        <w:rPr>
          <w:rFonts w:eastAsia="SimSun"/>
          <w:snapToGrid w:val="0"/>
          <w:lang w:eastAsia="ja-JP"/>
        </w:rPr>
        <w:t xml:space="preserve">the proposed revision of document UPOV/INF/16/8 “Exchangeable Software”, </w:t>
      </w:r>
      <w:proofErr w:type="gramStart"/>
      <w:r w:rsidR="00BF7062" w:rsidRPr="00077288">
        <w:rPr>
          <w:rFonts w:eastAsia="SimSun"/>
          <w:snapToGrid w:val="0"/>
          <w:lang w:eastAsia="ja-JP"/>
        </w:rPr>
        <w:t>on the basis of</w:t>
      </w:r>
      <w:proofErr w:type="gramEnd"/>
      <w:r w:rsidR="00BF7062" w:rsidRPr="00077288">
        <w:rPr>
          <w:rFonts w:eastAsia="SimSun"/>
          <w:snapToGrid w:val="0"/>
          <w:lang w:eastAsia="ja-JP"/>
        </w:rPr>
        <w:t xml:space="preserve"> document UPOV/INF/16/9 Draft </w:t>
      </w:r>
      <w:r w:rsidR="00F430AE" w:rsidRPr="00077288">
        <w:rPr>
          <w:rFonts w:eastAsia="SimSun"/>
          <w:snapToGrid w:val="0"/>
          <w:lang w:eastAsia="ja-JP"/>
        </w:rPr>
        <w:t>2</w:t>
      </w:r>
      <w:r w:rsidRPr="00077288">
        <w:rPr>
          <w:rFonts w:eastAsia="SimSun"/>
          <w:snapToGrid w:val="0"/>
          <w:lang w:eastAsia="ja-JP"/>
        </w:rPr>
        <w:t xml:space="preserve">.  </w:t>
      </w:r>
      <w:r w:rsidR="00BF7062" w:rsidRPr="00077288">
        <w:rPr>
          <w:rFonts w:eastAsia="SimSun"/>
          <w:snapToGrid w:val="0"/>
          <w:lang w:eastAsia="ja-JP"/>
        </w:rPr>
        <w:t xml:space="preserve"> </w:t>
      </w:r>
    </w:p>
    <w:p w:rsidR="002F0931" w:rsidRPr="00077288" w:rsidRDefault="002F0931" w:rsidP="006B63CE">
      <w:pPr>
        <w:rPr>
          <w:rFonts w:eastAsia="SimSun"/>
          <w:snapToGrid w:val="0"/>
          <w:lang w:eastAsia="ja-JP"/>
        </w:rPr>
      </w:pPr>
    </w:p>
    <w:p w:rsidR="002F0931" w:rsidRDefault="002F0931" w:rsidP="002F0931">
      <w:pPr>
        <w:keepLines/>
        <w:rPr>
          <w:spacing w:val="-4"/>
        </w:rPr>
      </w:pPr>
      <w:r w:rsidRPr="00077288">
        <w:rPr>
          <w:spacing w:val="-4"/>
        </w:rPr>
        <w:fldChar w:fldCharType="begin"/>
      </w:r>
      <w:r w:rsidRPr="00077288">
        <w:rPr>
          <w:spacing w:val="-4"/>
        </w:rPr>
        <w:instrText xml:space="preserve"> AUTONUM  </w:instrText>
      </w:r>
      <w:r w:rsidRPr="00077288">
        <w:rPr>
          <w:spacing w:val="-4"/>
        </w:rPr>
        <w:fldChar w:fldCharType="end"/>
      </w:r>
      <w:r w:rsidRPr="00077288">
        <w:rPr>
          <w:spacing w:val="-4"/>
        </w:rPr>
        <w:tab/>
        <w:t xml:space="preserve">The CAJ agreed that the Council </w:t>
      </w:r>
      <w:proofErr w:type="gramStart"/>
      <w:r w:rsidRPr="00077288">
        <w:rPr>
          <w:spacing w:val="-4"/>
        </w:rPr>
        <w:t>be invited</w:t>
      </w:r>
      <w:proofErr w:type="gramEnd"/>
      <w:r w:rsidRPr="00077288">
        <w:rPr>
          <w:spacing w:val="-4"/>
        </w:rPr>
        <w:t xml:space="preserve"> to consider</w:t>
      </w:r>
      <w:r w:rsidR="00F430AE" w:rsidRPr="00077288">
        <w:rPr>
          <w:spacing w:val="-4"/>
        </w:rPr>
        <w:t xml:space="preserve"> </w:t>
      </w:r>
      <w:r w:rsidRPr="00077288">
        <w:rPr>
          <w:spacing w:val="-4"/>
        </w:rPr>
        <w:t xml:space="preserve">the proposed revisions to </w:t>
      </w:r>
      <w:r w:rsidR="00F430AE" w:rsidRPr="00077288">
        <w:rPr>
          <w:rFonts w:eastAsia="SimSun"/>
          <w:snapToGrid w:val="0"/>
          <w:spacing w:val="-4"/>
          <w:lang w:eastAsia="ja-JP"/>
        </w:rPr>
        <w:t>document UPOV/INF/16/9 “</w:t>
      </w:r>
      <w:r w:rsidR="00305829" w:rsidRPr="00077288">
        <w:t>Exchangeable Software</w:t>
      </w:r>
      <w:r w:rsidR="00F430AE" w:rsidRPr="00077288">
        <w:rPr>
          <w:rFonts w:eastAsia="SimSun"/>
          <w:snapToGrid w:val="0"/>
          <w:spacing w:val="-4"/>
          <w:lang w:eastAsia="ja-JP"/>
        </w:rPr>
        <w:t xml:space="preserve">”, as presented in document </w:t>
      </w:r>
      <w:r w:rsidR="00F430AE" w:rsidRPr="00077288">
        <w:rPr>
          <w:spacing w:val="-4"/>
        </w:rPr>
        <w:t>UPOV/INF/16/9 </w:t>
      </w:r>
      <w:r w:rsidR="00F430AE" w:rsidRPr="00077288">
        <w:rPr>
          <w:rFonts w:eastAsia="SimSun"/>
          <w:snapToGrid w:val="0"/>
          <w:spacing w:val="-4"/>
          <w:lang w:eastAsia="ja-JP"/>
        </w:rPr>
        <w:t xml:space="preserve">Draft 2 </w:t>
      </w:r>
      <w:r w:rsidRPr="00077288">
        <w:rPr>
          <w:spacing w:val="-4"/>
        </w:rPr>
        <w:t xml:space="preserve">for adoption </w:t>
      </w:r>
      <w:r w:rsidR="00F430AE" w:rsidRPr="00077288">
        <w:rPr>
          <w:spacing w:val="-4"/>
        </w:rPr>
        <w:t>in 2020</w:t>
      </w:r>
      <w:r w:rsidRPr="00077288">
        <w:rPr>
          <w:spacing w:val="-4"/>
        </w:rPr>
        <w:t>.</w:t>
      </w:r>
      <w:r w:rsidR="00BF7062">
        <w:rPr>
          <w:spacing w:val="-4"/>
        </w:rPr>
        <w:t xml:space="preserve"> </w:t>
      </w:r>
    </w:p>
    <w:p w:rsidR="003209A8" w:rsidRPr="00C66C3C" w:rsidRDefault="003209A8" w:rsidP="003209A8">
      <w:pPr>
        <w:rPr>
          <w:sz w:val="18"/>
        </w:rPr>
      </w:pPr>
    </w:p>
    <w:p w:rsidR="00077288" w:rsidRPr="00C66C3C" w:rsidRDefault="00077288" w:rsidP="00914459">
      <w:pPr>
        <w:rPr>
          <w:sz w:val="18"/>
        </w:rPr>
      </w:pPr>
    </w:p>
    <w:p w:rsidR="00892CE3" w:rsidRPr="00157E95" w:rsidRDefault="00892CE3" w:rsidP="007C1B35">
      <w:pPr>
        <w:pStyle w:val="Heading3"/>
      </w:pPr>
      <w:bookmarkStart w:id="26" w:name="_Toc54004070"/>
      <w:bookmarkStart w:id="27" w:name="_Toc54097481"/>
      <w:bookmarkStart w:id="28" w:name="_Toc54097615"/>
      <w:bookmarkStart w:id="29" w:name="_Toc54617458"/>
      <w:r w:rsidRPr="00157E95">
        <w:t>UPOV/INF/22:  Software and Equipment Used by Members of the Union (Revision) (document UPOV/INF/22/7 Draft 1)</w:t>
      </w:r>
      <w:bookmarkEnd w:id="26"/>
      <w:bookmarkEnd w:id="27"/>
      <w:bookmarkEnd w:id="28"/>
      <w:bookmarkEnd w:id="29"/>
    </w:p>
    <w:p w:rsidR="00892CE3" w:rsidRPr="00C66C3C" w:rsidRDefault="00892CE3" w:rsidP="00914459">
      <w:pPr>
        <w:keepNext/>
        <w:rPr>
          <w:sz w:val="18"/>
        </w:rPr>
      </w:pPr>
    </w:p>
    <w:p w:rsidR="000D5CAD" w:rsidRPr="001A45D8" w:rsidRDefault="000D5CAD" w:rsidP="00914459">
      <w:pPr>
        <w:keepLines/>
        <w:rPr>
          <w:rFonts w:eastAsia="SimSun"/>
          <w:snapToGrid w:val="0"/>
          <w:lang w:eastAsia="ja-JP"/>
        </w:rPr>
      </w:pPr>
      <w:r w:rsidRPr="001A45D8">
        <w:rPr>
          <w:rFonts w:eastAsia="SimSun"/>
          <w:snapToGrid w:val="0"/>
          <w:lang w:eastAsia="ja-JP"/>
        </w:rPr>
        <w:fldChar w:fldCharType="begin"/>
      </w:r>
      <w:r w:rsidRPr="001A45D8">
        <w:rPr>
          <w:rFonts w:eastAsia="SimSun"/>
          <w:snapToGrid w:val="0"/>
          <w:lang w:eastAsia="ja-JP"/>
        </w:rPr>
        <w:instrText xml:space="preserve"> AUTONUM  </w:instrText>
      </w:r>
      <w:r w:rsidRPr="001A45D8">
        <w:rPr>
          <w:rFonts w:eastAsia="SimSun"/>
          <w:snapToGrid w:val="0"/>
          <w:lang w:eastAsia="ja-JP"/>
        </w:rPr>
        <w:fldChar w:fldCharType="end"/>
      </w:r>
      <w:r w:rsidRPr="001A45D8">
        <w:rPr>
          <w:rFonts w:eastAsia="SimSun"/>
          <w:snapToGrid w:val="0"/>
          <w:lang w:eastAsia="ja-JP"/>
        </w:rPr>
        <w:tab/>
      </w:r>
      <w:r w:rsidRPr="009314D2">
        <w:rPr>
          <w:rFonts w:eastAsia="SimSun"/>
          <w:snapToGrid w:val="0"/>
          <w:lang w:eastAsia="ja-JP"/>
        </w:rPr>
        <w:t xml:space="preserve">The CAJ </w:t>
      </w:r>
      <w:r w:rsidRPr="001A45D8">
        <w:t xml:space="preserve">approved </w:t>
      </w:r>
      <w:r w:rsidRPr="00BF7062">
        <w:rPr>
          <w:rFonts w:eastAsia="SimSun"/>
          <w:snapToGrid w:val="0"/>
          <w:lang w:eastAsia="ja-JP"/>
        </w:rPr>
        <w:t xml:space="preserve">the proposed </w:t>
      </w:r>
      <w:r>
        <w:rPr>
          <w:rFonts w:eastAsia="SimSun"/>
          <w:snapToGrid w:val="0"/>
          <w:lang w:eastAsia="ja-JP"/>
        </w:rPr>
        <w:t>revision of document UPOV/INF/22/6</w:t>
      </w:r>
      <w:r w:rsidRPr="00BF7062">
        <w:rPr>
          <w:rFonts w:eastAsia="SimSun"/>
          <w:snapToGrid w:val="0"/>
          <w:lang w:eastAsia="ja-JP"/>
        </w:rPr>
        <w:t xml:space="preserve"> “</w:t>
      </w:r>
      <w:r w:rsidRPr="000D5CAD">
        <w:rPr>
          <w:rFonts w:eastAsia="SimSun"/>
          <w:snapToGrid w:val="0"/>
          <w:lang w:eastAsia="ja-JP"/>
        </w:rPr>
        <w:t>Software and Equipment Used by Members of the Union</w:t>
      </w:r>
      <w:r w:rsidRPr="00BF7062">
        <w:rPr>
          <w:rFonts w:eastAsia="SimSun"/>
          <w:snapToGrid w:val="0"/>
          <w:lang w:eastAsia="ja-JP"/>
        </w:rPr>
        <w:t xml:space="preserve">”, </w:t>
      </w:r>
      <w:proofErr w:type="gramStart"/>
      <w:r w:rsidRPr="00BF7062">
        <w:rPr>
          <w:rFonts w:eastAsia="SimSun"/>
          <w:snapToGrid w:val="0"/>
          <w:lang w:eastAsia="ja-JP"/>
        </w:rPr>
        <w:t>on the basis of</w:t>
      </w:r>
      <w:proofErr w:type="gramEnd"/>
      <w:r>
        <w:rPr>
          <w:rFonts w:eastAsia="SimSun"/>
          <w:snapToGrid w:val="0"/>
          <w:lang w:eastAsia="ja-JP"/>
        </w:rPr>
        <w:t xml:space="preserve"> document UPOV/INF/22/7 Draft 1.   </w:t>
      </w:r>
    </w:p>
    <w:p w:rsidR="000D5CAD" w:rsidRPr="00C66C3C" w:rsidRDefault="000D5CAD" w:rsidP="00914459">
      <w:pPr>
        <w:rPr>
          <w:rFonts w:eastAsia="SimSun"/>
          <w:snapToGrid w:val="0"/>
          <w:sz w:val="18"/>
          <w:lang w:eastAsia="ja-JP"/>
        </w:rPr>
      </w:pPr>
    </w:p>
    <w:p w:rsidR="000D5CAD" w:rsidRPr="00921D65" w:rsidRDefault="000D5CAD" w:rsidP="00914459">
      <w:pPr>
        <w:keepLines/>
      </w:pPr>
      <w:r w:rsidRPr="00921D65">
        <w:fldChar w:fldCharType="begin"/>
      </w:r>
      <w:r w:rsidRPr="00921D65">
        <w:instrText xml:space="preserve"> AUTONUM  </w:instrText>
      </w:r>
      <w:r w:rsidRPr="00921D65">
        <w:fldChar w:fldCharType="end"/>
      </w:r>
      <w:r w:rsidRPr="00921D65">
        <w:tab/>
        <w:t xml:space="preserve">The CAJ agreed that the Council be invited to consider the proposed revisions to </w:t>
      </w:r>
      <w:r w:rsidR="00921D65" w:rsidRPr="00921D65">
        <w:rPr>
          <w:rFonts w:eastAsia="SimSun"/>
          <w:snapToGrid w:val="0"/>
          <w:lang w:eastAsia="ja-JP"/>
        </w:rPr>
        <w:t>document UPOV/INF/22/7</w:t>
      </w:r>
      <w:r w:rsidRPr="00921D65">
        <w:rPr>
          <w:rFonts w:eastAsia="SimSun"/>
          <w:snapToGrid w:val="0"/>
          <w:lang w:eastAsia="ja-JP"/>
        </w:rPr>
        <w:t xml:space="preserve"> “</w:t>
      </w:r>
      <w:r w:rsidR="00921D65" w:rsidRPr="00921D65">
        <w:rPr>
          <w:rFonts w:eastAsia="SimSun"/>
          <w:snapToGrid w:val="0"/>
          <w:lang w:eastAsia="ja-JP"/>
        </w:rPr>
        <w:t>Software and Equipment Used by Members of the Union</w:t>
      </w:r>
      <w:r w:rsidRPr="00921D65">
        <w:rPr>
          <w:rFonts w:eastAsia="SimSun"/>
          <w:snapToGrid w:val="0"/>
          <w:lang w:eastAsia="ja-JP"/>
        </w:rPr>
        <w:t xml:space="preserve">”, as presented in document </w:t>
      </w:r>
      <w:r w:rsidR="00921D65" w:rsidRPr="00921D65">
        <w:t>UPOV/INF/22/7</w:t>
      </w:r>
      <w:r w:rsidRPr="00921D65">
        <w:t> </w:t>
      </w:r>
      <w:r w:rsidRPr="00921D65">
        <w:rPr>
          <w:rFonts w:eastAsia="SimSun"/>
          <w:snapToGrid w:val="0"/>
          <w:lang w:eastAsia="ja-JP"/>
        </w:rPr>
        <w:t>Draft</w:t>
      </w:r>
      <w:r w:rsidR="00921D65" w:rsidRPr="00921D65">
        <w:rPr>
          <w:rFonts w:eastAsia="SimSun"/>
          <w:snapToGrid w:val="0"/>
          <w:lang w:eastAsia="ja-JP"/>
        </w:rPr>
        <w:t> 1</w:t>
      </w:r>
      <w:r w:rsidRPr="00921D65">
        <w:rPr>
          <w:rFonts w:eastAsia="SimSun"/>
          <w:snapToGrid w:val="0"/>
          <w:lang w:eastAsia="ja-JP"/>
        </w:rPr>
        <w:t xml:space="preserve"> </w:t>
      </w:r>
      <w:r w:rsidRPr="00921D65">
        <w:t xml:space="preserve">for adoption in 2020. </w:t>
      </w:r>
    </w:p>
    <w:p w:rsidR="00305829" w:rsidRPr="00C66C3C" w:rsidRDefault="00305829" w:rsidP="00914459">
      <w:pPr>
        <w:rPr>
          <w:sz w:val="12"/>
        </w:rPr>
      </w:pPr>
    </w:p>
    <w:p w:rsidR="00E863FE" w:rsidRPr="00C66C3C" w:rsidRDefault="00E863FE" w:rsidP="00914459">
      <w:pPr>
        <w:rPr>
          <w:sz w:val="16"/>
        </w:rPr>
      </w:pPr>
    </w:p>
    <w:p w:rsidR="005A74A9" w:rsidRPr="00157E95" w:rsidRDefault="005A74A9" w:rsidP="00914459">
      <w:pPr>
        <w:pStyle w:val="Heading2"/>
      </w:pPr>
      <w:bookmarkStart w:id="30" w:name="_Toc54004072"/>
      <w:bookmarkStart w:id="31" w:name="_Toc54097487"/>
      <w:bookmarkStart w:id="32" w:name="_Toc54097621"/>
      <w:bookmarkStart w:id="33" w:name="_Toc54617459"/>
      <w:r w:rsidRPr="00157E95">
        <w:t>TGP documents</w:t>
      </w:r>
      <w:bookmarkEnd w:id="30"/>
      <w:bookmarkEnd w:id="31"/>
      <w:bookmarkEnd w:id="32"/>
      <w:bookmarkEnd w:id="33"/>
    </w:p>
    <w:p w:rsidR="005A74A9" w:rsidRPr="00C66C3C" w:rsidRDefault="005A74A9" w:rsidP="00914459">
      <w:pPr>
        <w:keepNext/>
        <w:outlineLvl w:val="2"/>
        <w:rPr>
          <w:i/>
          <w:sz w:val="18"/>
        </w:rPr>
      </w:pPr>
    </w:p>
    <w:p w:rsidR="005A74A9" w:rsidRPr="00157E95" w:rsidRDefault="005A74A9" w:rsidP="007C1B35">
      <w:pPr>
        <w:pStyle w:val="Heading3"/>
      </w:pPr>
      <w:bookmarkStart w:id="34" w:name="_Toc54004073"/>
      <w:bookmarkStart w:id="35" w:name="_Toc54097488"/>
      <w:bookmarkStart w:id="36" w:name="_Toc54097622"/>
      <w:bookmarkStart w:id="37" w:name="_Toc54617460"/>
      <w:r w:rsidRPr="00157E95">
        <w:t>TGP/5:  Experience and Cooperation in DUS Testing:  Section 6: UPOV Report on Technical Examination and UPOV Variety Description (Revision) (document TGP/5:  Section 6/3 Draft 1)</w:t>
      </w:r>
      <w:bookmarkEnd w:id="34"/>
      <w:bookmarkEnd w:id="35"/>
      <w:bookmarkEnd w:id="36"/>
      <w:bookmarkEnd w:id="37"/>
    </w:p>
    <w:p w:rsidR="005A74A9" w:rsidRPr="00C66C3C" w:rsidRDefault="005A74A9" w:rsidP="00914459">
      <w:pPr>
        <w:keepNext/>
        <w:rPr>
          <w:snapToGrid w:val="0"/>
          <w:sz w:val="18"/>
        </w:rPr>
      </w:pPr>
    </w:p>
    <w:p w:rsidR="00921D65" w:rsidRPr="001A45D8" w:rsidRDefault="00921D65" w:rsidP="00914459">
      <w:pPr>
        <w:keepLines/>
        <w:rPr>
          <w:rFonts w:eastAsia="SimSun"/>
          <w:snapToGrid w:val="0"/>
          <w:lang w:eastAsia="ja-JP"/>
        </w:rPr>
      </w:pPr>
      <w:r w:rsidRPr="001A45D8">
        <w:rPr>
          <w:rFonts w:eastAsia="SimSun"/>
          <w:snapToGrid w:val="0"/>
          <w:lang w:eastAsia="ja-JP"/>
        </w:rPr>
        <w:fldChar w:fldCharType="begin"/>
      </w:r>
      <w:r w:rsidRPr="001A45D8">
        <w:rPr>
          <w:rFonts w:eastAsia="SimSun"/>
          <w:snapToGrid w:val="0"/>
          <w:lang w:eastAsia="ja-JP"/>
        </w:rPr>
        <w:instrText xml:space="preserve"> AUTONUM  </w:instrText>
      </w:r>
      <w:r w:rsidRPr="001A45D8">
        <w:rPr>
          <w:rFonts w:eastAsia="SimSun"/>
          <w:snapToGrid w:val="0"/>
          <w:lang w:eastAsia="ja-JP"/>
        </w:rPr>
        <w:fldChar w:fldCharType="end"/>
      </w:r>
      <w:r w:rsidRPr="001A45D8">
        <w:rPr>
          <w:rFonts w:eastAsia="SimSun"/>
          <w:snapToGrid w:val="0"/>
          <w:lang w:eastAsia="ja-JP"/>
        </w:rPr>
        <w:tab/>
      </w:r>
      <w:r w:rsidRPr="009314D2">
        <w:rPr>
          <w:rFonts w:eastAsia="SimSun"/>
          <w:snapToGrid w:val="0"/>
          <w:lang w:eastAsia="ja-JP"/>
        </w:rPr>
        <w:t xml:space="preserve">The CAJ </w:t>
      </w:r>
      <w:r w:rsidRPr="001A45D8">
        <w:t xml:space="preserve">approved </w:t>
      </w:r>
      <w:r w:rsidRPr="00921D65">
        <w:rPr>
          <w:rFonts w:eastAsia="SimSun"/>
          <w:snapToGrid w:val="0"/>
          <w:lang w:eastAsia="ja-JP"/>
        </w:rPr>
        <w:t>document TGP/5:  Section 6/3 “TGP/5 Experience and Cooperation in DUS Testing, Section 6:  UPOV Report on Technical Examination and UPOV Variety Descrip</w:t>
      </w:r>
      <w:r>
        <w:rPr>
          <w:rFonts w:eastAsia="SimSun"/>
          <w:snapToGrid w:val="0"/>
          <w:lang w:eastAsia="ja-JP"/>
        </w:rPr>
        <w:t xml:space="preserve">tion”, </w:t>
      </w:r>
      <w:proofErr w:type="gramStart"/>
      <w:r>
        <w:rPr>
          <w:rFonts w:eastAsia="SimSun"/>
          <w:snapToGrid w:val="0"/>
          <w:lang w:eastAsia="ja-JP"/>
        </w:rPr>
        <w:t>on the basis of</w:t>
      </w:r>
      <w:proofErr w:type="gramEnd"/>
      <w:r>
        <w:rPr>
          <w:rFonts w:eastAsia="SimSun"/>
          <w:snapToGrid w:val="0"/>
          <w:lang w:eastAsia="ja-JP"/>
        </w:rPr>
        <w:t xml:space="preserve"> document </w:t>
      </w:r>
      <w:r w:rsidRPr="00921D65">
        <w:rPr>
          <w:rFonts w:eastAsia="SimSun"/>
          <w:snapToGrid w:val="0"/>
          <w:lang w:eastAsia="ja-JP"/>
        </w:rPr>
        <w:t>TGP/5:  Section 6/3 Draft 1</w:t>
      </w:r>
      <w:r>
        <w:rPr>
          <w:rFonts w:eastAsia="SimSun"/>
          <w:snapToGrid w:val="0"/>
          <w:lang w:eastAsia="ja-JP"/>
        </w:rPr>
        <w:t xml:space="preserve">.   </w:t>
      </w:r>
    </w:p>
    <w:p w:rsidR="00921D65" w:rsidRPr="00C66C3C" w:rsidRDefault="00921D65" w:rsidP="00914459">
      <w:pPr>
        <w:rPr>
          <w:rFonts w:eastAsia="SimSun"/>
          <w:snapToGrid w:val="0"/>
          <w:sz w:val="18"/>
          <w:lang w:eastAsia="ja-JP"/>
        </w:rPr>
      </w:pPr>
    </w:p>
    <w:p w:rsidR="00921D65" w:rsidRPr="00921D65" w:rsidRDefault="00921D65" w:rsidP="00914459">
      <w:pPr>
        <w:keepLines/>
      </w:pPr>
      <w:r w:rsidRPr="00921D65">
        <w:fldChar w:fldCharType="begin"/>
      </w:r>
      <w:r w:rsidRPr="00921D65">
        <w:instrText xml:space="preserve"> AUTONUM  </w:instrText>
      </w:r>
      <w:r w:rsidRPr="00921D65">
        <w:fldChar w:fldCharType="end"/>
      </w:r>
      <w:r w:rsidRPr="00921D65">
        <w:tab/>
        <w:t xml:space="preserve">The CAJ agreed that the Council be invited to consider </w:t>
      </w:r>
      <w:r w:rsidRPr="00921D65">
        <w:rPr>
          <w:rFonts w:eastAsia="SimSun"/>
          <w:snapToGrid w:val="0"/>
          <w:lang w:eastAsia="ja-JP"/>
        </w:rPr>
        <w:t>document TGP/5:  Section 6/3 “TGP/5 Experience and Cooperation in DUS Testing, Section 6:  UPOV Report on Technical Examination and UPOV Variety Descrip</w:t>
      </w:r>
      <w:r>
        <w:rPr>
          <w:rFonts w:eastAsia="SimSun"/>
          <w:snapToGrid w:val="0"/>
          <w:lang w:eastAsia="ja-JP"/>
        </w:rPr>
        <w:t>tion”, as presented in document </w:t>
      </w:r>
      <w:r w:rsidRPr="00921D65">
        <w:rPr>
          <w:rFonts w:eastAsia="SimSun"/>
          <w:snapToGrid w:val="0"/>
          <w:lang w:eastAsia="ja-JP"/>
        </w:rPr>
        <w:t xml:space="preserve">TGP/5:  Section 6/3 Draft 1 </w:t>
      </w:r>
      <w:r w:rsidRPr="00921D65">
        <w:t xml:space="preserve">for adoption in 2020. </w:t>
      </w:r>
    </w:p>
    <w:p w:rsidR="00921D65" w:rsidRPr="00C66C3C" w:rsidRDefault="00921D65" w:rsidP="00914459">
      <w:pPr>
        <w:rPr>
          <w:sz w:val="18"/>
        </w:rPr>
      </w:pPr>
    </w:p>
    <w:p w:rsidR="005A74A9" w:rsidRPr="00157E95" w:rsidRDefault="005A74A9" w:rsidP="007C1B35">
      <w:pPr>
        <w:pStyle w:val="Heading3"/>
      </w:pPr>
      <w:bookmarkStart w:id="38" w:name="_Toc54004074"/>
      <w:bookmarkStart w:id="39" w:name="_Toc54097489"/>
      <w:bookmarkStart w:id="40" w:name="_Toc54097623"/>
      <w:bookmarkStart w:id="41" w:name="_Toc54617461"/>
      <w:r w:rsidRPr="00157E95">
        <w:t>TGP/7:  Development of Test Guidelines (Revision) (document TGP/7/8 Draft 1)</w:t>
      </w:r>
      <w:bookmarkEnd w:id="38"/>
      <w:bookmarkEnd w:id="39"/>
      <w:bookmarkEnd w:id="40"/>
      <w:bookmarkEnd w:id="41"/>
    </w:p>
    <w:p w:rsidR="005A74A9" w:rsidRPr="00C66C3C" w:rsidRDefault="005A74A9" w:rsidP="00914459">
      <w:pPr>
        <w:keepNext/>
        <w:rPr>
          <w:sz w:val="18"/>
        </w:rPr>
      </w:pPr>
    </w:p>
    <w:p w:rsidR="00921D65" w:rsidRPr="001A45D8" w:rsidRDefault="00921D65" w:rsidP="00914459">
      <w:pPr>
        <w:keepLines/>
        <w:rPr>
          <w:rFonts w:eastAsia="SimSun"/>
          <w:snapToGrid w:val="0"/>
          <w:lang w:eastAsia="ja-JP"/>
        </w:rPr>
      </w:pPr>
      <w:r w:rsidRPr="001A45D8">
        <w:rPr>
          <w:rFonts w:eastAsia="SimSun"/>
          <w:snapToGrid w:val="0"/>
          <w:lang w:eastAsia="ja-JP"/>
        </w:rPr>
        <w:fldChar w:fldCharType="begin"/>
      </w:r>
      <w:r w:rsidRPr="001A45D8">
        <w:rPr>
          <w:rFonts w:eastAsia="SimSun"/>
          <w:snapToGrid w:val="0"/>
          <w:lang w:eastAsia="ja-JP"/>
        </w:rPr>
        <w:instrText xml:space="preserve"> AUTONUM  </w:instrText>
      </w:r>
      <w:r w:rsidRPr="001A45D8">
        <w:rPr>
          <w:rFonts w:eastAsia="SimSun"/>
          <w:snapToGrid w:val="0"/>
          <w:lang w:eastAsia="ja-JP"/>
        </w:rPr>
        <w:fldChar w:fldCharType="end"/>
      </w:r>
      <w:r w:rsidRPr="001A45D8">
        <w:rPr>
          <w:rFonts w:eastAsia="SimSun"/>
          <w:snapToGrid w:val="0"/>
          <w:lang w:eastAsia="ja-JP"/>
        </w:rPr>
        <w:tab/>
      </w:r>
      <w:r w:rsidRPr="009314D2">
        <w:rPr>
          <w:rFonts w:eastAsia="SimSun"/>
          <w:snapToGrid w:val="0"/>
          <w:lang w:eastAsia="ja-JP"/>
        </w:rPr>
        <w:t xml:space="preserve">The CAJ </w:t>
      </w:r>
      <w:r w:rsidRPr="001A45D8">
        <w:t xml:space="preserve">approved </w:t>
      </w:r>
      <w:r w:rsidRPr="00921D65">
        <w:rPr>
          <w:rFonts w:eastAsia="SimSun"/>
          <w:snapToGrid w:val="0"/>
          <w:lang w:eastAsia="ja-JP"/>
        </w:rPr>
        <w:t xml:space="preserve">document TGP/7/8 “Development of Test Guidelines”, </w:t>
      </w:r>
      <w:proofErr w:type="gramStart"/>
      <w:r w:rsidRPr="00921D65">
        <w:rPr>
          <w:rFonts w:eastAsia="SimSun"/>
          <w:snapToGrid w:val="0"/>
          <w:lang w:eastAsia="ja-JP"/>
        </w:rPr>
        <w:t xml:space="preserve">on </w:t>
      </w:r>
      <w:r>
        <w:rPr>
          <w:rFonts w:eastAsia="SimSun"/>
          <w:snapToGrid w:val="0"/>
          <w:lang w:eastAsia="ja-JP"/>
        </w:rPr>
        <w:t>the basis of</w:t>
      </w:r>
      <w:proofErr w:type="gramEnd"/>
      <w:r>
        <w:rPr>
          <w:rFonts w:eastAsia="SimSun"/>
          <w:snapToGrid w:val="0"/>
          <w:lang w:eastAsia="ja-JP"/>
        </w:rPr>
        <w:t xml:space="preserve"> document </w:t>
      </w:r>
      <w:r w:rsidRPr="00921D65">
        <w:rPr>
          <w:rFonts w:eastAsia="SimSun"/>
          <w:snapToGrid w:val="0"/>
          <w:lang w:eastAsia="ja-JP"/>
        </w:rPr>
        <w:t>TGP/7/8 Draft 1</w:t>
      </w:r>
      <w:r>
        <w:rPr>
          <w:rFonts w:eastAsia="SimSun"/>
          <w:snapToGrid w:val="0"/>
          <w:lang w:eastAsia="ja-JP"/>
        </w:rPr>
        <w:t xml:space="preserve">.   </w:t>
      </w:r>
    </w:p>
    <w:p w:rsidR="00921D65" w:rsidRPr="00C66C3C" w:rsidRDefault="00921D65" w:rsidP="00914459">
      <w:pPr>
        <w:rPr>
          <w:rFonts w:eastAsia="SimSun"/>
          <w:snapToGrid w:val="0"/>
          <w:sz w:val="18"/>
          <w:lang w:eastAsia="ja-JP"/>
        </w:rPr>
      </w:pPr>
    </w:p>
    <w:p w:rsidR="00921D65" w:rsidRPr="00921D65" w:rsidRDefault="00921D65" w:rsidP="00914459">
      <w:pPr>
        <w:keepLines/>
      </w:pPr>
      <w:r w:rsidRPr="00921D65">
        <w:fldChar w:fldCharType="begin"/>
      </w:r>
      <w:r w:rsidRPr="00921D65">
        <w:instrText xml:space="preserve"> AUTONUM  </w:instrText>
      </w:r>
      <w:r w:rsidRPr="00921D65">
        <w:fldChar w:fldCharType="end"/>
      </w:r>
      <w:r w:rsidRPr="00921D65">
        <w:tab/>
        <w:t xml:space="preserve">The CAJ agreed that the Council </w:t>
      </w:r>
      <w:proofErr w:type="gramStart"/>
      <w:r w:rsidRPr="00921D65">
        <w:t>be invited</w:t>
      </w:r>
      <w:proofErr w:type="gramEnd"/>
      <w:r w:rsidRPr="00921D65">
        <w:t xml:space="preserve"> to consider </w:t>
      </w:r>
      <w:r w:rsidRPr="00921D65">
        <w:rPr>
          <w:rFonts w:eastAsia="SimSun"/>
          <w:snapToGrid w:val="0"/>
          <w:lang w:eastAsia="ja-JP"/>
        </w:rPr>
        <w:t>document TGP/7/8 “Development of Test Guidelines”</w:t>
      </w:r>
      <w:r>
        <w:rPr>
          <w:rFonts w:eastAsia="SimSun"/>
          <w:snapToGrid w:val="0"/>
          <w:lang w:eastAsia="ja-JP"/>
        </w:rPr>
        <w:t>, as presented in document </w:t>
      </w:r>
      <w:r w:rsidRPr="00921D65">
        <w:rPr>
          <w:rFonts w:eastAsia="SimSun"/>
          <w:snapToGrid w:val="0"/>
          <w:lang w:eastAsia="ja-JP"/>
        </w:rPr>
        <w:t xml:space="preserve">TGP/7/8 Draft 1 </w:t>
      </w:r>
      <w:r w:rsidRPr="00921D65">
        <w:t xml:space="preserve">for adoption in 2020. </w:t>
      </w:r>
    </w:p>
    <w:p w:rsidR="005A74A9" w:rsidRPr="00C66C3C" w:rsidRDefault="005A74A9" w:rsidP="00914459">
      <w:pPr>
        <w:rPr>
          <w:sz w:val="18"/>
        </w:rPr>
      </w:pPr>
    </w:p>
    <w:p w:rsidR="005A74A9" w:rsidRPr="00157E95" w:rsidRDefault="005A74A9" w:rsidP="007C1B35">
      <w:pPr>
        <w:pStyle w:val="Heading3"/>
      </w:pPr>
      <w:bookmarkStart w:id="42" w:name="_Toc54004075"/>
      <w:bookmarkStart w:id="43" w:name="_Toc54097490"/>
      <w:bookmarkStart w:id="44" w:name="_Toc54097624"/>
      <w:bookmarkStart w:id="45" w:name="_Toc54617462"/>
      <w:r w:rsidRPr="00915028">
        <w:t>TGP/14:  Glossary of Terms Used in UPOV Documents (Revision) (document TGP/14/5 Draft 1)</w:t>
      </w:r>
      <w:bookmarkEnd w:id="42"/>
      <w:bookmarkEnd w:id="43"/>
      <w:bookmarkEnd w:id="44"/>
      <w:bookmarkEnd w:id="45"/>
    </w:p>
    <w:p w:rsidR="005A74A9" w:rsidRPr="00C66C3C" w:rsidRDefault="005A74A9" w:rsidP="00914459">
      <w:pPr>
        <w:keepNext/>
        <w:rPr>
          <w:snapToGrid w:val="0"/>
          <w:sz w:val="18"/>
        </w:rPr>
      </w:pPr>
    </w:p>
    <w:p w:rsidR="00921D65" w:rsidRPr="001A45D8" w:rsidRDefault="00921D65" w:rsidP="00914459">
      <w:pPr>
        <w:keepLines/>
        <w:rPr>
          <w:rFonts w:eastAsia="SimSun"/>
          <w:snapToGrid w:val="0"/>
          <w:lang w:eastAsia="ja-JP"/>
        </w:rPr>
      </w:pPr>
      <w:r w:rsidRPr="001A45D8">
        <w:rPr>
          <w:rFonts w:eastAsia="SimSun"/>
          <w:snapToGrid w:val="0"/>
          <w:lang w:eastAsia="ja-JP"/>
        </w:rPr>
        <w:fldChar w:fldCharType="begin"/>
      </w:r>
      <w:r w:rsidRPr="001A45D8">
        <w:rPr>
          <w:rFonts w:eastAsia="SimSun"/>
          <w:snapToGrid w:val="0"/>
          <w:lang w:eastAsia="ja-JP"/>
        </w:rPr>
        <w:instrText xml:space="preserve"> AUTONUM  </w:instrText>
      </w:r>
      <w:r w:rsidRPr="001A45D8">
        <w:rPr>
          <w:rFonts w:eastAsia="SimSun"/>
          <w:snapToGrid w:val="0"/>
          <w:lang w:eastAsia="ja-JP"/>
        </w:rPr>
        <w:fldChar w:fldCharType="end"/>
      </w:r>
      <w:r w:rsidRPr="001A45D8">
        <w:rPr>
          <w:rFonts w:eastAsia="SimSun"/>
          <w:snapToGrid w:val="0"/>
          <w:lang w:eastAsia="ja-JP"/>
        </w:rPr>
        <w:tab/>
      </w:r>
      <w:r w:rsidRPr="009314D2">
        <w:rPr>
          <w:rFonts w:eastAsia="SimSun"/>
          <w:snapToGrid w:val="0"/>
          <w:lang w:eastAsia="ja-JP"/>
        </w:rPr>
        <w:t xml:space="preserve">The CAJ </w:t>
      </w:r>
      <w:r w:rsidRPr="001A45D8">
        <w:t xml:space="preserve">approved </w:t>
      </w:r>
      <w:r w:rsidRPr="00921D65">
        <w:rPr>
          <w:rFonts w:eastAsia="SimSun"/>
          <w:snapToGrid w:val="0"/>
          <w:lang w:eastAsia="ja-JP"/>
        </w:rPr>
        <w:t xml:space="preserve">document TGP/14/5 “Glossary of Terms Used in UPOV Documents”, </w:t>
      </w:r>
      <w:proofErr w:type="gramStart"/>
      <w:r w:rsidRPr="00921D65">
        <w:rPr>
          <w:rFonts w:eastAsia="SimSun"/>
          <w:snapToGrid w:val="0"/>
          <w:lang w:eastAsia="ja-JP"/>
        </w:rPr>
        <w:t>on the basis of</w:t>
      </w:r>
      <w:proofErr w:type="gramEnd"/>
      <w:r w:rsidRPr="00921D65">
        <w:rPr>
          <w:rFonts w:eastAsia="SimSun"/>
          <w:snapToGrid w:val="0"/>
          <w:lang w:eastAsia="ja-JP"/>
        </w:rPr>
        <w:t xml:space="preserve"> document TGP/14/5 Draft 1</w:t>
      </w:r>
      <w:r>
        <w:rPr>
          <w:rFonts w:eastAsia="SimSun"/>
          <w:snapToGrid w:val="0"/>
          <w:lang w:eastAsia="ja-JP"/>
        </w:rPr>
        <w:t xml:space="preserve">.   </w:t>
      </w:r>
    </w:p>
    <w:p w:rsidR="00921D65" w:rsidRPr="00C66C3C" w:rsidRDefault="00921D65" w:rsidP="00914459">
      <w:pPr>
        <w:rPr>
          <w:rFonts w:eastAsia="SimSun"/>
          <w:snapToGrid w:val="0"/>
          <w:sz w:val="18"/>
          <w:lang w:eastAsia="ja-JP"/>
        </w:rPr>
      </w:pPr>
    </w:p>
    <w:p w:rsidR="00921D65" w:rsidRPr="00921D65" w:rsidRDefault="00921D65" w:rsidP="00914459">
      <w:pPr>
        <w:keepLines/>
      </w:pPr>
      <w:r w:rsidRPr="00921D65">
        <w:fldChar w:fldCharType="begin"/>
      </w:r>
      <w:r w:rsidRPr="00921D65">
        <w:instrText xml:space="preserve"> AUTONUM  </w:instrText>
      </w:r>
      <w:r w:rsidRPr="00921D65">
        <w:fldChar w:fldCharType="end"/>
      </w:r>
      <w:r w:rsidRPr="00921D65">
        <w:tab/>
        <w:t xml:space="preserve">The CAJ agreed that the Council </w:t>
      </w:r>
      <w:proofErr w:type="gramStart"/>
      <w:r w:rsidRPr="00921D65">
        <w:t>be invited</w:t>
      </w:r>
      <w:proofErr w:type="gramEnd"/>
      <w:r w:rsidRPr="00921D65">
        <w:t xml:space="preserve"> to consider </w:t>
      </w:r>
      <w:r w:rsidRPr="00921D65">
        <w:rPr>
          <w:rFonts w:eastAsia="SimSun"/>
          <w:snapToGrid w:val="0"/>
          <w:lang w:eastAsia="ja-JP"/>
        </w:rPr>
        <w:t>document TGP/14/5 “Glossary of Terms Used in UPOV Documents</w:t>
      </w:r>
      <w:r>
        <w:rPr>
          <w:rFonts w:eastAsia="SimSun"/>
          <w:snapToGrid w:val="0"/>
          <w:lang w:eastAsia="ja-JP"/>
        </w:rPr>
        <w:t xml:space="preserve">”, as presented in </w:t>
      </w:r>
      <w:r w:rsidRPr="00921D65">
        <w:rPr>
          <w:rFonts w:eastAsia="SimSun"/>
          <w:snapToGrid w:val="0"/>
          <w:lang w:eastAsia="ja-JP"/>
        </w:rPr>
        <w:t xml:space="preserve">document TGP/14/5 Draft 1 </w:t>
      </w:r>
      <w:r w:rsidRPr="00921D65">
        <w:t xml:space="preserve">for adoption in 2020. </w:t>
      </w:r>
    </w:p>
    <w:p w:rsidR="005A74A9" w:rsidRPr="00C66C3C" w:rsidRDefault="005A74A9" w:rsidP="00914459">
      <w:pPr>
        <w:rPr>
          <w:snapToGrid w:val="0"/>
          <w:sz w:val="18"/>
        </w:rPr>
      </w:pPr>
    </w:p>
    <w:p w:rsidR="005A74A9" w:rsidRPr="00157E95" w:rsidRDefault="005A74A9" w:rsidP="007C1B35">
      <w:pPr>
        <w:pStyle w:val="Heading3"/>
      </w:pPr>
      <w:bookmarkStart w:id="46" w:name="_Toc54097491"/>
      <w:bookmarkStart w:id="47" w:name="_Toc54097625"/>
      <w:bookmarkStart w:id="48" w:name="_Toc54617463"/>
      <w:r w:rsidRPr="00157E95">
        <w:t>TGP/15:  Guidance on the Use of Biochemical and Molecular Markers in the Examination of Distinctness, Uniformity and Stability (DUS) (Revision) (document TGP/15/3 Draft 1)</w:t>
      </w:r>
      <w:bookmarkEnd w:id="46"/>
      <w:bookmarkEnd w:id="47"/>
      <w:bookmarkEnd w:id="48"/>
    </w:p>
    <w:p w:rsidR="005A74A9" w:rsidRPr="00C66C3C" w:rsidRDefault="005A74A9" w:rsidP="00914459">
      <w:pPr>
        <w:rPr>
          <w:snapToGrid w:val="0"/>
          <w:sz w:val="18"/>
        </w:rPr>
      </w:pPr>
    </w:p>
    <w:p w:rsidR="00921D65" w:rsidRPr="001A45D8" w:rsidRDefault="00921D65" w:rsidP="00914459">
      <w:pPr>
        <w:keepLines/>
        <w:rPr>
          <w:rFonts w:eastAsia="SimSun"/>
          <w:snapToGrid w:val="0"/>
          <w:lang w:eastAsia="ja-JP"/>
        </w:rPr>
      </w:pPr>
      <w:r w:rsidRPr="001A45D8">
        <w:rPr>
          <w:rFonts w:eastAsia="SimSun"/>
          <w:snapToGrid w:val="0"/>
          <w:lang w:eastAsia="ja-JP"/>
        </w:rPr>
        <w:fldChar w:fldCharType="begin"/>
      </w:r>
      <w:r w:rsidRPr="001A45D8">
        <w:rPr>
          <w:rFonts w:eastAsia="SimSun"/>
          <w:snapToGrid w:val="0"/>
          <w:lang w:eastAsia="ja-JP"/>
        </w:rPr>
        <w:instrText xml:space="preserve"> AUTONUM  </w:instrText>
      </w:r>
      <w:r w:rsidRPr="001A45D8">
        <w:rPr>
          <w:rFonts w:eastAsia="SimSun"/>
          <w:snapToGrid w:val="0"/>
          <w:lang w:eastAsia="ja-JP"/>
        </w:rPr>
        <w:fldChar w:fldCharType="end"/>
      </w:r>
      <w:r w:rsidRPr="001A45D8">
        <w:rPr>
          <w:rFonts w:eastAsia="SimSun"/>
          <w:snapToGrid w:val="0"/>
          <w:lang w:eastAsia="ja-JP"/>
        </w:rPr>
        <w:tab/>
      </w:r>
      <w:r w:rsidRPr="009314D2">
        <w:rPr>
          <w:rFonts w:eastAsia="SimSun"/>
          <w:snapToGrid w:val="0"/>
          <w:lang w:eastAsia="ja-JP"/>
        </w:rPr>
        <w:t xml:space="preserve">The CAJ </w:t>
      </w:r>
      <w:r w:rsidRPr="001A45D8">
        <w:t xml:space="preserve">approved </w:t>
      </w:r>
      <w:r w:rsidRPr="00921D65">
        <w:rPr>
          <w:rFonts w:eastAsia="SimSun"/>
          <w:snapToGrid w:val="0"/>
          <w:lang w:eastAsia="ja-JP"/>
        </w:rPr>
        <w:t xml:space="preserve">document </w:t>
      </w:r>
      <w:r>
        <w:rPr>
          <w:rFonts w:eastAsia="SimSun"/>
          <w:snapToGrid w:val="0"/>
          <w:lang w:eastAsia="ja-JP"/>
        </w:rPr>
        <w:t xml:space="preserve">TGP/15/3 </w:t>
      </w:r>
      <w:r w:rsidRPr="00921D65">
        <w:rPr>
          <w:rFonts w:eastAsia="SimSun"/>
          <w:snapToGrid w:val="0"/>
          <w:lang w:eastAsia="ja-JP"/>
        </w:rPr>
        <w:t xml:space="preserve">“Guidance on the use of Biochemical and Molecular Markers in the examination of Distinctness, Uniformity and Stability (DUS)”, </w:t>
      </w:r>
      <w:proofErr w:type="gramStart"/>
      <w:r w:rsidRPr="00921D65">
        <w:rPr>
          <w:rFonts w:eastAsia="SimSun"/>
          <w:snapToGrid w:val="0"/>
          <w:lang w:eastAsia="ja-JP"/>
        </w:rPr>
        <w:t>on the basis of</w:t>
      </w:r>
      <w:proofErr w:type="gramEnd"/>
      <w:r w:rsidRPr="00921D65">
        <w:rPr>
          <w:rFonts w:eastAsia="SimSun"/>
          <w:snapToGrid w:val="0"/>
          <w:lang w:eastAsia="ja-JP"/>
        </w:rPr>
        <w:t xml:space="preserve"> document TGP/15/3 Draft 1</w:t>
      </w:r>
      <w:r>
        <w:rPr>
          <w:rFonts w:eastAsia="SimSun"/>
          <w:snapToGrid w:val="0"/>
          <w:lang w:eastAsia="ja-JP"/>
        </w:rPr>
        <w:t xml:space="preserve">.   </w:t>
      </w:r>
    </w:p>
    <w:p w:rsidR="00921D65" w:rsidRPr="00C66C3C" w:rsidRDefault="00921D65" w:rsidP="00914459">
      <w:pPr>
        <w:rPr>
          <w:rFonts w:eastAsia="SimSun"/>
          <w:snapToGrid w:val="0"/>
          <w:sz w:val="18"/>
          <w:lang w:eastAsia="ja-JP"/>
        </w:rPr>
      </w:pPr>
    </w:p>
    <w:p w:rsidR="00C66C3C" w:rsidRDefault="00921D65" w:rsidP="00C66C3C">
      <w:pPr>
        <w:keepLines/>
      </w:pPr>
      <w:r w:rsidRPr="00921D65">
        <w:fldChar w:fldCharType="begin"/>
      </w:r>
      <w:r w:rsidRPr="00921D65">
        <w:instrText xml:space="preserve"> AUTONUM  </w:instrText>
      </w:r>
      <w:r w:rsidRPr="00921D65">
        <w:fldChar w:fldCharType="end"/>
      </w:r>
      <w:r w:rsidRPr="00921D65">
        <w:tab/>
        <w:t xml:space="preserve">The CAJ agreed that the Council </w:t>
      </w:r>
      <w:proofErr w:type="gramStart"/>
      <w:r w:rsidRPr="00921D65">
        <w:t>be invited</w:t>
      </w:r>
      <w:proofErr w:type="gramEnd"/>
      <w:r w:rsidRPr="00921D65">
        <w:t xml:space="preserve"> to consider </w:t>
      </w:r>
      <w:r w:rsidR="00C4191F">
        <w:rPr>
          <w:rFonts w:eastAsia="SimSun"/>
          <w:snapToGrid w:val="0"/>
          <w:lang w:eastAsia="ja-JP"/>
        </w:rPr>
        <w:t xml:space="preserve">TGP/15/3 </w:t>
      </w:r>
      <w:r w:rsidR="00C4191F" w:rsidRPr="00921D65">
        <w:rPr>
          <w:rFonts w:eastAsia="SimSun"/>
          <w:snapToGrid w:val="0"/>
          <w:lang w:eastAsia="ja-JP"/>
        </w:rPr>
        <w:t>“Guidance on the use of Biochemical and Molecular Markers in the examination of Distinctness, Uniformity and Stability (DUS)</w:t>
      </w:r>
      <w:r>
        <w:rPr>
          <w:rFonts w:eastAsia="SimSun"/>
          <w:snapToGrid w:val="0"/>
          <w:lang w:eastAsia="ja-JP"/>
        </w:rPr>
        <w:t xml:space="preserve">”, as presented in </w:t>
      </w:r>
      <w:r w:rsidRPr="00921D65">
        <w:rPr>
          <w:rFonts w:eastAsia="SimSun"/>
          <w:snapToGrid w:val="0"/>
          <w:lang w:eastAsia="ja-JP"/>
        </w:rPr>
        <w:t xml:space="preserve">document TGP/15/3 Draft 1 </w:t>
      </w:r>
      <w:r w:rsidRPr="00921D65">
        <w:t xml:space="preserve">for adoption in 2020. </w:t>
      </w:r>
      <w:r w:rsidR="00C66C3C">
        <w:t xml:space="preserve">  </w:t>
      </w:r>
      <w:r w:rsidR="00C66C3C">
        <w:br w:type="page"/>
      </w:r>
    </w:p>
    <w:p w:rsidR="006F3D49" w:rsidRDefault="00ED1406" w:rsidP="006F3D49">
      <w:pPr>
        <w:pStyle w:val="Heading2"/>
      </w:pPr>
      <w:bookmarkStart w:id="49" w:name="_Toc54617464"/>
      <w:bookmarkStart w:id="50" w:name="_Toc54097482"/>
      <w:bookmarkStart w:id="51" w:name="_Toc54097616"/>
      <w:r w:rsidRPr="006F3D49">
        <w:lastRenderedPageBreak/>
        <w:t xml:space="preserve">Other matters for consideration by the </w:t>
      </w:r>
      <w:r w:rsidR="006F3D49" w:rsidRPr="006F3D49">
        <w:t>CAJ</w:t>
      </w:r>
      <w:bookmarkEnd w:id="49"/>
    </w:p>
    <w:p w:rsidR="00ED1406" w:rsidRPr="00ED1406" w:rsidRDefault="00ED1406" w:rsidP="00ED1406">
      <w:pPr>
        <w:keepNext/>
      </w:pPr>
    </w:p>
    <w:p w:rsidR="00E863FE" w:rsidRDefault="00E863FE" w:rsidP="007C1B35">
      <w:pPr>
        <w:pStyle w:val="Heading3"/>
      </w:pPr>
      <w:bookmarkStart w:id="52" w:name="_Toc54617465"/>
      <w:r w:rsidRPr="00157E95">
        <w:t>UPOV/INF/2</w:t>
      </w:r>
      <w:r>
        <w:t>3</w:t>
      </w:r>
      <w:r w:rsidRPr="00157E95">
        <w:t>:  Software and Equipment Used by Members of the Union (Revision) (document UPOV/INF/22/7 Draft 1)</w:t>
      </w:r>
      <w:bookmarkEnd w:id="50"/>
      <w:bookmarkEnd w:id="51"/>
      <w:bookmarkEnd w:id="52"/>
    </w:p>
    <w:p w:rsidR="00E863FE" w:rsidRPr="00E863FE" w:rsidRDefault="00E863FE" w:rsidP="00E863FE"/>
    <w:p w:rsidR="00E863FE" w:rsidRPr="00915028" w:rsidRDefault="00E863FE" w:rsidP="00E863FE">
      <w:pPr>
        <w:keepLines/>
        <w:rPr>
          <w:rFonts w:eastAsia="SimSun"/>
          <w:snapToGrid w:val="0"/>
          <w:lang w:eastAsia="ja-JP"/>
        </w:rPr>
      </w:pPr>
      <w:r w:rsidRPr="00915028">
        <w:rPr>
          <w:rFonts w:eastAsia="SimSun"/>
          <w:snapToGrid w:val="0"/>
          <w:lang w:eastAsia="ja-JP"/>
        </w:rPr>
        <w:fldChar w:fldCharType="begin"/>
      </w:r>
      <w:r w:rsidRPr="00915028">
        <w:rPr>
          <w:rFonts w:eastAsia="SimSun"/>
          <w:snapToGrid w:val="0"/>
          <w:lang w:eastAsia="ja-JP"/>
        </w:rPr>
        <w:instrText xml:space="preserve"> AUTONUM  </w:instrText>
      </w:r>
      <w:r w:rsidRPr="00915028">
        <w:rPr>
          <w:rFonts w:eastAsia="SimSun"/>
          <w:snapToGrid w:val="0"/>
          <w:lang w:eastAsia="ja-JP"/>
        </w:rPr>
        <w:fldChar w:fldCharType="end"/>
      </w:r>
      <w:r w:rsidRPr="00915028">
        <w:rPr>
          <w:rFonts w:eastAsia="SimSun"/>
          <w:snapToGrid w:val="0"/>
          <w:lang w:eastAsia="ja-JP"/>
        </w:rPr>
        <w:tab/>
        <w:t xml:space="preserve">The CAJ </w:t>
      </w:r>
      <w:r w:rsidR="00E77C81">
        <w:rPr>
          <w:rFonts w:eastAsia="SimSun"/>
          <w:snapToGrid w:val="0"/>
          <w:lang w:eastAsia="ja-JP"/>
        </w:rPr>
        <w:t>approved</w:t>
      </w:r>
      <w:r w:rsidR="00915028" w:rsidRPr="00915028">
        <w:rPr>
          <w:rFonts w:eastAsia="SimSun"/>
          <w:snapToGrid w:val="0"/>
          <w:lang w:eastAsia="ja-JP"/>
        </w:rPr>
        <w:t xml:space="preserve"> the “Guide to the UPOV Code System”, </w:t>
      </w:r>
      <w:proofErr w:type="gramStart"/>
      <w:r w:rsidR="00915028" w:rsidRPr="00915028">
        <w:rPr>
          <w:rFonts w:eastAsia="SimSun"/>
          <w:snapToGrid w:val="0"/>
          <w:lang w:eastAsia="ja-JP"/>
        </w:rPr>
        <w:t>on the basis of</w:t>
      </w:r>
      <w:proofErr w:type="gramEnd"/>
      <w:r w:rsidR="00915028" w:rsidRPr="00915028">
        <w:rPr>
          <w:rFonts w:eastAsia="SimSun"/>
          <w:snapToGrid w:val="0"/>
          <w:lang w:eastAsia="ja-JP"/>
        </w:rPr>
        <w:t xml:space="preserve"> document UPOV/INF/23/1 Draft 1</w:t>
      </w:r>
      <w:r w:rsidRPr="00915028">
        <w:rPr>
          <w:rFonts w:eastAsia="SimSun"/>
          <w:snapToGrid w:val="0"/>
          <w:lang w:eastAsia="ja-JP"/>
        </w:rPr>
        <w:t xml:space="preserve">.  </w:t>
      </w:r>
    </w:p>
    <w:p w:rsidR="00E863FE" w:rsidRPr="001A45D8" w:rsidRDefault="00E863FE" w:rsidP="00E863FE">
      <w:pPr>
        <w:keepLines/>
        <w:rPr>
          <w:rFonts w:eastAsia="SimSun"/>
          <w:snapToGrid w:val="0"/>
          <w:lang w:eastAsia="ja-JP"/>
        </w:rPr>
      </w:pPr>
    </w:p>
    <w:p w:rsidR="00E863FE" w:rsidRPr="00F430AE" w:rsidRDefault="00E863FE" w:rsidP="00E863FE">
      <w:pPr>
        <w:keepLines/>
        <w:rPr>
          <w:spacing w:val="-4"/>
        </w:rPr>
      </w:pPr>
      <w:r w:rsidRPr="00F430AE">
        <w:rPr>
          <w:spacing w:val="-4"/>
        </w:rPr>
        <w:fldChar w:fldCharType="begin"/>
      </w:r>
      <w:r w:rsidRPr="00F430AE">
        <w:rPr>
          <w:spacing w:val="-4"/>
        </w:rPr>
        <w:instrText xml:space="preserve"> AUTONUM  </w:instrText>
      </w:r>
      <w:r w:rsidRPr="00F430AE">
        <w:rPr>
          <w:spacing w:val="-4"/>
        </w:rPr>
        <w:fldChar w:fldCharType="end"/>
      </w:r>
      <w:r w:rsidRPr="00F430AE">
        <w:rPr>
          <w:spacing w:val="-4"/>
        </w:rPr>
        <w:tab/>
        <w:t xml:space="preserve">The CAJ </w:t>
      </w:r>
      <w:r w:rsidR="008F4AF9" w:rsidRPr="008F4AF9">
        <w:rPr>
          <w:spacing w:val="-4"/>
        </w:rPr>
        <w:t>propose</w:t>
      </w:r>
      <w:r w:rsidR="008F4AF9">
        <w:rPr>
          <w:spacing w:val="-4"/>
        </w:rPr>
        <w:t>d</w:t>
      </w:r>
      <w:r w:rsidR="008F4AF9" w:rsidRPr="008F4AF9">
        <w:rPr>
          <w:spacing w:val="-4"/>
        </w:rPr>
        <w:t xml:space="preserve"> that the TC </w:t>
      </w:r>
      <w:r w:rsidR="00915028" w:rsidRPr="00915028">
        <w:rPr>
          <w:spacing w:val="-4"/>
        </w:rPr>
        <w:t>consider a new draft of document UPOV/INF/23/1 “Guide to the UPOV Code System” in 2021</w:t>
      </w:r>
      <w:r w:rsidRPr="00F430AE">
        <w:rPr>
          <w:spacing w:val="-4"/>
        </w:rPr>
        <w:t>.</w:t>
      </w:r>
      <w:r w:rsidR="00915028">
        <w:rPr>
          <w:spacing w:val="-4"/>
        </w:rPr>
        <w:t xml:space="preserve"> </w:t>
      </w:r>
    </w:p>
    <w:p w:rsidR="008F4AF9" w:rsidRDefault="008F4AF9" w:rsidP="00BC5D3D"/>
    <w:p w:rsidR="00915028" w:rsidRPr="003A4B99" w:rsidRDefault="00915028" w:rsidP="007C1B35">
      <w:pPr>
        <w:pStyle w:val="Heading3"/>
      </w:pPr>
      <w:bookmarkStart w:id="53" w:name="_Toc42523425"/>
      <w:bookmarkStart w:id="54" w:name="_Toc51935397"/>
      <w:bookmarkStart w:id="55" w:name="_Toc54617466"/>
      <w:r w:rsidRPr="003A4B99">
        <w:t>Reference to UPOV PRISMA in UPOV guidance and information materials</w:t>
      </w:r>
      <w:bookmarkEnd w:id="53"/>
      <w:bookmarkEnd w:id="54"/>
      <w:bookmarkEnd w:id="55"/>
    </w:p>
    <w:p w:rsidR="00915028" w:rsidRDefault="00915028" w:rsidP="00BC5D3D"/>
    <w:p w:rsidR="00915028" w:rsidRPr="00915028" w:rsidRDefault="00915028" w:rsidP="00BC5D3D">
      <w:pPr>
        <w:rPr>
          <w:spacing w:val="-4"/>
        </w:rPr>
      </w:pPr>
      <w:r w:rsidRPr="00F430AE">
        <w:rPr>
          <w:spacing w:val="-4"/>
        </w:rPr>
        <w:fldChar w:fldCharType="begin"/>
      </w:r>
      <w:r w:rsidRPr="00F430AE">
        <w:rPr>
          <w:spacing w:val="-4"/>
        </w:rPr>
        <w:instrText xml:space="preserve"> AUTONUM  </w:instrText>
      </w:r>
      <w:r w:rsidRPr="00F430AE">
        <w:rPr>
          <w:spacing w:val="-4"/>
        </w:rPr>
        <w:fldChar w:fldCharType="end"/>
      </w:r>
      <w:r w:rsidRPr="00F430AE">
        <w:rPr>
          <w:spacing w:val="-4"/>
        </w:rPr>
        <w:tab/>
      </w:r>
      <w:r w:rsidRPr="00915028">
        <w:rPr>
          <w:spacing w:val="-4"/>
        </w:rPr>
        <w:t xml:space="preserve">The CAJ </w:t>
      </w:r>
      <w:r w:rsidR="00C428E0">
        <w:rPr>
          <w:spacing w:val="-4"/>
        </w:rPr>
        <w:t>approved</w:t>
      </w:r>
      <w:r w:rsidRPr="00915028">
        <w:rPr>
          <w:spacing w:val="-4"/>
        </w:rPr>
        <w:t xml:space="preserve"> the proposals for revision of documents UPOV/INF/6 and TGP/5 Section 2, as proposed in paragraphs 58 and 59 to this document, for adoption by the Council at its session in 2021.</w:t>
      </w:r>
    </w:p>
    <w:p w:rsidR="001149DF" w:rsidRPr="008F4AF9" w:rsidRDefault="001149DF" w:rsidP="008F4AF9">
      <w:pPr>
        <w:rPr>
          <w:rFonts w:eastAsia="MS Mincho"/>
          <w:highlight w:val="yellow"/>
        </w:rPr>
      </w:pPr>
    </w:p>
    <w:p w:rsidR="001149DF" w:rsidRPr="000A194C" w:rsidRDefault="001149DF" w:rsidP="007C1B35">
      <w:pPr>
        <w:pStyle w:val="Heading3"/>
      </w:pPr>
      <w:bookmarkStart w:id="56" w:name="_Toc51935398"/>
      <w:bookmarkStart w:id="57" w:name="_Toc54617467"/>
      <w:r w:rsidRPr="000A194C">
        <w:t>Essentially Derived Varieties</w:t>
      </w:r>
      <w:bookmarkEnd w:id="56"/>
      <w:bookmarkEnd w:id="57"/>
    </w:p>
    <w:p w:rsidR="001149DF" w:rsidRDefault="001149DF" w:rsidP="001149DF">
      <w:pPr>
        <w:rPr>
          <w:sz w:val="12"/>
          <w:szCs w:val="12"/>
        </w:rPr>
      </w:pPr>
    </w:p>
    <w:p w:rsidR="00A01477" w:rsidRPr="00002FE2" w:rsidRDefault="00A01477" w:rsidP="00A01477">
      <w:pPr>
        <w:rPr>
          <w:spacing w:val="-2"/>
        </w:rPr>
      </w:pPr>
      <w:r w:rsidRPr="00174343">
        <w:rPr>
          <w:spacing w:val="-2"/>
        </w:rPr>
        <w:fldChar w:fldCharType="begin"/>
      </w:r>
      <w:r w:rsidRPr="00174343">
        <w:rPr>
          <w:spacing w:val="-2"/>
        </w:rPr>
        <w:instrText xml:space="preserve"> AUTONUM  </w:instrText>
      </w:r>
      <w:r w:rsidRPr="00174343">
        <w:rPr>
          <w:spacing w:val="-2"/>
        </w:rPr>
        <w:fldChar w:fldCharType="end"/>
      </w:r>
      <w:r w:rsidRPr="00174343">
        <w:rPr>
          <w:spacing w:val="-2"/>
        </w:rPr>
        <w:tab/>
        <w:t xml:space="preserve">The </w:t>
      </w:r>
      <w:r w:rsidRPr="00174343">
        <w:rPr>
          <w:snapToGrid w:val="0"/>
          <w:spacing w:val="-2"/>
        </w:rPr>
        <w:t>CAJ n</w:t>
      </w:r>
      <w:r w:rsidRPr="00174343">
        <w:rPr>
          <w:spacing w:val="-2"/>
        </w:rPr>
        <w:t xml:space="preserve">oted that matters concerning essentially derived varieties </w:t>
      </w:r>
      <w:proofErr w:type="gramStart"/>
      <w:r w:rsidRPr="00174343">
        <w:rPr>
          <w:spacing w:val="-2"/>
        </w:rPr>
        <w:t>were considered</w:t>
      </w:r>
      <w:proofErr w:type="gramEnd"/>
      <w:r w:rsidRPr="00174343">
        <w:rPr>
          <w:spacing w:val="-2"/>
        </w:rPr>
        <w:t xml:space="preserve"> in </w:t>
      </w:r>
      <w:r>
        <w:rPr>
          <w:spacing w:val="-2"/>
        </w:rPr>
        <w:t>document CAJ/77/4</w:t>
      </w:r>
      <w:r w:rsidRPr="00002FE2">
        <w:rPr>
          <w:spacing w:val="-2"/>
        </w:rPr>
        <w:t>.</w:t>
      </w:r>
    </w:p>
    <w:p w:rsidR="00A01477" w:rsidRPr="00002FE2" w:rsidRDefault="00A01477" w:rsidP="00A01477"/>
    <w:p w:rsidR="001149DF" w:rsidRPr="000A194C" w:rsidRDefault="001149DF" w:rsidP="007C1B35">
      <w:pPr>
        <w:pStyle w:val="Heading3"/>
      </w:pPr>
      <w:bookmarkStart w:id="58" w:name="_Toc51935399"/>
      <w:bookmarkStart w:id="59" w:name="_Toc54617468"/>
      <w:r w:rsidRPr="000A194C">
        <w:t>Harvested Material</w:t>
      </w:r>
      <w:bookmarkEnd w:id="58"/>
      <w:bookmarkEnd w:id="59"/>
      <w:r w:rsidRPr="000A194C">
        <w:t xml:space="preserve"> </w:t>
      </w:r>
    </w:p>
    <w:p w:rsidR="001149DF" w:rsidRDefault="001149DF" w:rsidP="001149DF">
      <w:pPr>
        <w:rPr>
          <w:sz w:val="18"/>
        </w:rPr>
      </w:pPr>
    </w:p>
    <w:p w:rsidR="00A01477" w:rsidRPr="00002FE2" w:rsidRDefault="00A01477" w:rsidP="00A01477">
      <w:pPr>
        <w:rPr>
          <w:spacing w:val="-2"/>
        </w:rPr>
      </w:pPr>
      <w:r w:rsidRPr="00174343">
        <w:rPr>
          <w:spacing w:val="-2"/>
        </w:rPr>
        <w:fldChar w:fldCharType="begin"/>
      </w:r>
      <w:r w:rsidRPr="00174343">
        <w:rPr>
          <w:spacing w:val="-2"/>
        </w:rPr>
        <w:instrText xml:space="preserve"> AUTONUM  </w:instrText>
      </w:r>
      <w:r w:rsidRPr="00174343">
        <w:rPr>
          <w:spacing w:val="-2"/>
        </w:rPr>
        <w:fldChar w:fldCharType="end"/>
      </w:r>
      <w:r w:rsidRPr="00174343">
        <w:rPr>
          <w:spacing w:val="-2"/>
        </w:rPr>
        <w:tab/>
        <w:t xml:space="preserve">The </w:t>
      </w:r>
      <w:r w:rsidRPr="00174343">
        <w:rPr>
          <w:snapToGrid w:val="0"/>
          <w:spacing w:val="-2"/>
        </w:rPr>
        <w:t>CAJ n</w:t>
      </w:r>
      <w:r w:rsidRPr="00174343">
        <w:rPr>
          <w:spacing w:val="-2"/>
        </w:rPr>
        <w:t xml:space="preserve">oted that matters concerning </w:t>
      </w:r>
      <w:r w:rsidRPr="00A01477">
        <w:rPr>
          <w:spacing w:val="-2"/>
        </w:rPr>
        <w:t xml:space="preserve">harvested material </w:t>
      </w:r>
      <w:proofErr w:type="gramStart"/>
      <w:r w:rsidRPr="00174343">
        <w:rPr>
          <w:spacing w:val="-2"/>
        </w:rPr>
        <w:t>were considered</w:t>
      </w:r>
      <w:proofErr w:type="gramEnd"/>
      <w:r w:rsidRPr="00174343">
        <w:rPr>
          <w:spacing w:val="-2"/>
        </w:rPr>
        <w:t xml:space="preserve"> in </w:t>
      </w:r>
      <w:r>
        <w:rPr>
          <w:spacing w:val="-2"/>
        </w:rPr>
        <w:t>document CAJ/77/5</w:t>
      </w:r>
      <w:r w:rsidRPr="00002FE2">
        <w:rPr>
          <w:spacing w:val="-2"/>
        </w:rPr>
        <w:t>.</w:t>
      </w:r>
    </w:p>
    <w:p w:rsidR="00A01477" w:rsidRDefault="00A01477" w:rsidP="001149DF">
      <w:pPr>
        <w:rPr>
          <w:sz w:val="18"/>
        </w:rPr>
      </w:pPr>
    </w:p>
    <w:p w:rsidR="001149DF" w:rsidRDefault="001149DF" w:rsidP="007C1B35">
      <w:pPr>
        <w:pStyle w:val="Heading3"/>
      </w:pPr>
      <w:bookmarkStart w:id="60" w:name="_Toc51935400"/>
      <w:bookmarkStart w:id="61" w:name="_Toc54617469"/>
      <w:r w:rsidRPr="000A194C">
        <w:t>Novelty of parent lines with regard to the exploitation of the hybrid variety</w:t>
      </w:r>
      <w:bookmarkEnd w:id="60"/>
      <w:bookmarkEnd w:id="61"/>
    </w:p>
    <w:p w:rsidR="003A4B99" w:rsidRDefault="003A4B99" w:rsidP="003A4B99">
      <w:pPr>
        <w:rPr>
          <w:spacing w:val="-2"/>
        </w:rPr>
      </w:pPr>
    </w:p>
    <w:p w:rsidR="003A4B99" w:rsidRPr="00002FE2" w:rsidRDefault="003A4B99" w:rsidP="003A4B99">
      <w:pPr>
        <w:rPr>
          <w:spacing w:val="-2"/>
        </w:rPr>
      </w:pPr>
      <w:r w:rsidRPr="00174343">
        <w:rPr>
          <w:spacing w:val="-2"/>
        </w:rPr>
        <w:fldChar w:fldCharType="begin"/>
      </w:r>
      <w:r w:rsidRPr="00174343">
        <w:rPr>
          <w:spacing w:val="-2"/>
        </w:rPr>
        <w:instrText xml:space="preserve"> AUTONUM  </w:instrText>
      </w:r>
      <w:r w:rsidRPr="00174343">
        <w:rPr>
          <w:spacing w:val="-2"/>
        </w:rPr>
        <w:fldChar w:fldCharType="end"/>
      </w:r>
      <w:r w:rsidRPr="00174343">
        <w:rPr>
          <w:spacing w:val="-2"/>
        </w:rPr>
        <w:tab/>
        <w:t xml:space="preserve">The </w:t>
      </w:r>
      <w:r w:rsidRPr="00174343">
        <w:rPr>
          <w:snapToGrid w:val="0"/>
          <w:spacing w:val="-2"/>
        </w:rPr>
        <w:t>CAJ n</w:t>
      </w:r>
      <w:r w:rsidRPr="00174343">
        <w:rPr>
          <w:spacing w:val="-2"/>
        </w:rPr>
        <w:t xml:space="preserve">oted </w:t>
      </w:r>
      <w:r w:rsidRPr="003A4B99">
        <w:rPr>
          <w:spacing w:val="-2"/>
        </w:rPr>
        <w:t xml:space="preserve">that matters concerning novelty of parent lines with regard to the exploitation of the hybrid variety </w:t>
      </w:r>
      <w:proofErr w:type="gramStart"/>
      <w:r w:rsidRPr="00174343">
        <w:rPr>
          <w:spacing w:val="-2"/>
        </w:rPr>
        <w:t xml:space="preserve">were </w:t>
      </w:r>
      <w:r w:rsidRPr="003A4B99">
        <w:rPr>
          <w:spacing w:val="-2"/>
        </w:rPr>
        <w:t>considered</w:t>
      </w:r>
      <w:proofErr w:type="gramEnd"/>
      <w:r w:rsidRPr="003A4B99">
        <w:rPr>
          <w:spacing w:val="-2"/>
        </w:rPr>
        <w:t xml:space="preserve"> in document CAJ/77/6</w:t>
      </w:r>
      <w:r w:rsidRPr="00002FE2">
        <w:rPr>
          <w:spacing w:val="-2"/>
        </w:rPr>
        <w:t>.</w:t>
      </w:r>
    </w:p>
    <w:p w:rsidR="003A4B99" w:rsidRDefault="003A4B99" w:rsidP="003A4B99">
      <w:bookmarkStart w:id="62" w:name="_Toc522523025"/>
      <w:bookmarkStart w:id="63" w:name="_Toc14799995"/>
      <w:bookmarkStart w:id="64" w:name="_Toc51935401"/>
    </w:p>
    <w:p w:rsidR="00B235E8" w:rsidRPr="003A4B99" w:rsidRDefault="00B235E8" w:rsidP="003A4B99"/>
    <w:p w:rsidR="001149DF" w:rsidRDefault="003A4B99" w:rsidP="003A4B99">
      <w:pPr>
        <w:pStyle w:val="Heading2"/>
      </w:pPr>
      <w:bookmarkStart w:id="65" w:name="_Toc54617470"/>
      <w:r w:rsidRPr="00C833DE">
        <w:t>Tentative program for the development of guidance and information materials</w:t>
      </w:r>
      <w:bookmarkEnd w:id="62"/>
      <w:bookmarkEnd w:id="63"/>
      <w:bookmarkEnd w:id="64"/>
      <w:bookmarkEnd w:id="65"/>
    </w:p>
    <w:p w:rsidR="003A4B99" w:rsidRDefault="003A4B99" w:rsidP="003A4B99"/>
    <w:p w:rsidR="003A4B99" w:rsidRPr="00CB28A3" w:rsidRDefault="003A4B99" w:rsidP="003A4B99">
      <w:pPr>
        <w:tabs>
          <w:tab w:val="left" w:pos="567"/>
        </w:tabs>
        <w:rPr>
          <w:rFonts w:eastAsiaTheme="minorEastAsia"/>
        </w:rPr>
      </w:pPr>
      <w:r w:rsidRPr="008A205B">
        <w:fldChar w:fldCharType="begin"/>
      </w:r>
      <w:r w:rsidRPr="008A205B">
        <w:instrText xml:space="preserve"> AUTONUM  </w:instrText>
      </w:r>
      <w:r w:rsidRPr="008A205B">
        <w:fldChar w:fldCharType="end"/>
      </w:r>
      <w:r w:rsidRPr="008A205B">
        <w:tab/>
        <w:t xml:space="preserve">The CAJ </w:t>
      </w:r>
      <w:r w:rsidRPr="008A205B">
        <w:rPr>
          <w:rFonts w:eastAsiaTheme="minorEastAsia"/>
        </w:rPr>
        <w:t xml:space="preserve">approved the </w:t>
      </w:r>
      <w:r w:rsidRPr="003A4B99">
        <w:rPr>
          <w:rFonts w:eastAsiaTheme="minorEastAsia"/>
        </w:rPr>
        <w:t>program for the development of information materials,</w:t>
      </w:r>
      <w:r>
        <w:rPr>
          <w:rFonts w:eastAsiaTheme="minorEastAsia"/>
        </w:rPr>
        <w:t xml:space="preserve"> as proposed in Annex </w:t>
      </w:r>
      <w:r w:rsidRPr="003A4B99">
        <w:rPr>
          <w:rFonts w:eastAsiaTheme="minorEastAsia"/>
        </w:rPr>
        <w:t xml:space="preserve">VI to </w:t>
      </w:r>
      <w:r w:rsidRPr="00CB28A3">
        <w:rPr>
          <w:rFonts w:eastAsiaTheme="minorEastAsia"/>
        </w:rPr>
        <w:t>document CAJ/77/3 Rev.</w:t>
      </w:r>
    </w:p>
    <w:p w:rsidR="003A4B99" w:rsidRPr="00CB28A3" w:rsidRDefault="003A4B99" w:rsidP="003A4B99">
      <w:pPr>
        <w:tabs>
          <w:tab w:val="left" w:pos="567"/>
        </w:tabs>
        <w:rPr>
          <w:rFonts w:eastAsiaTheme="minorEastAsia"/>
        </w:rPr>
      </w:pPr>
    </w:p>
    <w:p w:rsidR="001149DF" w:rsidRPr="00CB28A3" w:rsidRDefault="003A4B99" w:rsidP="00062389">
      <w:pPr>
        <w:tabs>
          <w:tab w:val="left" w:pos="567"/>
        </w:tabs>
        <w:rPr>
          <w:i/>
        </w:rPr>
      </w:pPr>
      <w:r w:rsidRPr="00CB28A3">
        <w:fldChar w:fldCharType="begin"/>
      </w:r>
      <w:r w:rsidRPr="00CB28A3">
        <w:instrText xml:space="preserve"> AUTONUM  </w:instrText>
      </w:r>
      <w:r w:rsidRPr="00CB28A3">
        <w:fldChar w:fldCharType="end"/>
      </w:r>
      <w:r w:rsidRPr="00CB28A3">
        <w:tab/>
        <w:t xml:space="preserve">The CAJ </w:t>
      </w:r>
      <w:r w:rsidRPr="00CB28A3">
        <w:rPr>
          <w:rFonts w:eastAsiaTheme="minorEastAsia"/>
        </w:rPr>
        <w:t>approved the program for the development of TGP documents, as set out in Annex VII of document CAJ/77/3 Rev.</w:t>
      </w:r>
      <w:r w:rsidR="00062389" w:rsidRPr="00CB28A3">
        <w:rPr>
          <w:rFonts w:eastAsiaTheme="minorEastAsia"/>
        </w:rPr>
        <w:t xml:space="preserve"> taking into account the conclusions of the TC.</w:t>
      </w:r>
    </w:p>
    <w:p w:rsidR="00915028" w:rsidRPr="00CB28A3" w:rsidRDefault="00915028" w:rsidP="00BC5D3D"/>
    <w:p w:rsidR="00D82EE7" w:rsidRPr="00CB28A3" w:rsidRDefault="00D82EE7" w:rsidP="00BC5D3D"/>
    <w:p w:rsidR="008F4AF9" w:rsidRPr="00CB28A3" w:rsidRDefault="008F4AF9" w:rsidP="008F4AF9">
      <w:pPr>
        <w:pStyle w:val="Heading2"/>
        <w:rPr>
          <w:snapToGrid w:val="0"/>
        </w:rPr>
      </w:pPr>
      <w:bookmarkStart w:id="66" w:name="_Toc54004066"/>
      <w:bookmarkStart w:id="67" w:name="_Toc54090408"/>
      <w:bookmarkStart w:id="68" w:name="_Toc54097483"/>
      <w:bookmarkStart w:id="69" w:name="_Toc54097617"/>
      <w:bookmarkStart w:id="70" w:name="_Toc54617471"/>
      <w:r w:rsidRPr="00CB28A3">
        <w:rPr>
          <w:snapToGrid w:val="0"/>
        </w:rPr>
        <w:t>Explanatory Notes</w:t>
      </w:r>
      <w:bookmarkEnd w:id="66"/>
      <w:bookmarkEnd w:id="67"/>
      <w:bookmarkEnd w:id="68"/>
      <w:bookmarkEnd w:id="69"/>
      <w:bookmarkEnd w:id="70"/>
      <w:r w:rsidRPr="00CB28A3">
        <w:rPr>
          <w:snapToGrid w:val="0"/>
        </w:rPr>
        <w:t xml:space="preserve"> </w:t>
      </w:r>
    </w:p>
    <w:p w:rsidR="008F4AF9" w:rsidRPr="00CB28A3" w:rsidRDefault="008F4AF9" w:rsidP="008F4AF9"/>
    <w:p w:rsidR="008F4AF9" w:rsidRPr="00CB28A3" w:rsidRDefault="008F4AF9" w:rsidP="007C1B35">
      <w:pPr>
        <w:pStyle w:val="Heading3"/>
        <w:rPr>
          <w:kern w:val="28"/>
        </w:rPr>
      </w:pPr>
      <w:bookmarkStart w:id="71" w:name="_Toc54004067"/>
      <w:bookmarkStart w:id="72" w:name="_Toc54090409"/>
      <w:bookmarkStart w:id="73" w:name="_Toc54097484"/>
      <w:bookmarkStart w:id="74" w:name="_Toc54097618"/>
      <w:bookmarkStart w:id="75" w:name="_Toc54617472"/>
      <w:r w:rsidRPr="00CB28A3">
        <w:t>UPOV/EXN/DEN:  Explanatory Notes on Variety Denominations under the UPOV Convention (document UPOV/EXN/DEN/1 Draft 4)</w:t>
      </w:r>
      <w:bookmarkEnd w:id="71"/>
      <w:bookmarkEnd w:id="72"/>
      <w:bookmarkEnd w:id="73"/>
      <w:bookmarkEnd w:id="74"/>
      <w:bookmarkEnd w:id="75"/>
    </w:p>
    <w:p w:rsidR="00914459" w:rsidRPr="00CB28A3" w:rsidRDefault="00914459" w:rsidP="008F4AF9">
      <w:pPr>
        <w:rPr>
          <w:rFonts w:cs="Arial"/>
          <w:lang w:eastAsia="fr-FR"/>
        </w:rPr>
      </w:pPr>
    </w:p>
    <w:p w:rsidR="00914459" w:rsidRPr="00CB28A3" w:rsidRDefault="00914459" w:rsidP="00914459">
      <w:pPr>
        <w:rPr>
          <w:spacing w:val="-2"/>
        </w:rPr>
      </w:pPr>
      <w:r w:rsidRPr="00CB28A3">
        <w:rPr>
          <w:spacing w:val="-2"/>
        </w:rPr>
        <w:fldChar w:fldCharType="begin"/>
      </w:r>
      <w:r w:rsidRPr="00CB28A3">
        <w:rPr>
          <w:spacing w:val="-2"/>
        </w:rPr>
        <w:instrText xml:space="preserve"> AUTONUM  </w:instrText>
      </w:r>
      <w:r w:rsidRPr="00CB28A3">
        <w:rPr>
          <w:spacing w:val="-2"/>
        </w:rPr>
        <w:fldChar w:fldCharType="end"/>
      </w:r>
      <w:r w:rsidRPr="00CB28A3">
        <w:rPr>
          <w:spacing w:val="-2"/>
        </w:rPr>
        <w:tab/>
      </w:r>
      <w:proofErr w:type="gramStart"/>
      <w:r w:rsidRPr="00CB28A3">
        <w:rPr>
          <w:spacing w:val="-2"/>
        </w:rPr>
        <w:t>In reply to Circular E-20/120 of August 21, 2020, c</w:t>
      </w:r>
      <w:r w:rsidRPr="00CB28A3">
        <w:rPr>
          <w:rFonts w:cs="Arial"/>
          <w:spacing w:val="-2"/>
          <w:lang w:eastAsia="fr-FR"/>
        </w:rPr>
        <w:t xml:space="preserve">omments were received </w:t>
      </w:r>
      <w:r w:rsidR="004F4001" w:rsidRPr="00CB28A3">
        <w:rPr>
          <w:rFonts w:cs="Arial"/>
          <w:spacing w:val="-2"/>
          <w:lang w:eastAsia="fr-FR"/>
        </w:rPr>
        <w:t>from B</w:t>
      </w:r>
      <w:r w:rsidR="009D0002" w:rsidRPr="00CB28A3">
        <w:rPr>
          <w:rFonts w:cs="Arial"/>
          <w:spacing w:val="-2"/>
          <w:lang w:eastAsia="fr-FR"/>
        </w:rPr>
        <w:t xml:space="preserve">razil; </w:t>
      </w:r>
      <w:r w:rsidR="004F4001" w:rsidRPr="00CB28A3">
        <w:rPr>
          <w:rFonts w:cs="Arial"/>
          <w:spacing w:val="-2"/>
          <w:lang w:eastAsia="fr-FR"/>
        </w:rPr>
        <w:t>the European </w:t>
      </w:r>
      <w:r w:rsidR="0016761D" w:rsidRPr="00CB28A3">
        <w:rPr>
          <w:rFonts w:cs="Arial"/>
          <w:spacing w:val="-2"/>
          <w:lang w:eastAsia="fr-FR"/>
        </w:rPr>
        <w:t xml:space="preserve">Union; Euroseeds and </w:t>
      </w:r>
      <w:r w:rsidR="00B235E8" w:rsidRPr="00CB28A3">
        <w:rPr>
          <w:rFonts w:cs="Arial"/>
          <w:spacing w:val="-2"/>
          <w:lang w:eastAsia="fr-FR"/>
        </w:rPr>
        <w:t>the International Seed Federation (ISF) on document </w:t>
      </w:r>
      <w:r w:rsidR="00062389" w:rsidRPr="00CB28A3">
        <w:rPr>
          <w:spacing w:val="-2"/>
        </w:rPr>
        <w:t>UPOV/EXN/</w:t>
      </w:r>
      <w:r w:rsidR="00F553A5" w:rsidRPr="00CB28A3">
        <w:rPr>
          <w:spacing w:val="-2"/>
        </w:rPr>
        <w:t xml:space="preserve">DEN/1 Draft 4 </w:t>
      </w:r>
      <w:r w:rsidRPr="00CB28A3">
        <w:rPr>
          <w:rFonts w:cs="Arial"/>
          <w:spacing w:val="-2"/>
          <w:lang w:eastAsia="fr-FR"/>
        </w:rPr>
        <w:t>that were not of a straightforward nature and, therefore, document </w:t>
      </w:r>
      <w:r w:rsidR="00F553A5" w:rsidRPr="00CB28A3">
        <w:rPr>
          <w:spacing w:val="-2"/>
        </w:rPr>
        <w:t>UPOV/EXN/DEN/1 Draft </w:t>
      </w:r>
      <w:r w:rsidR="00062389" w:rsidRPr="00CB28A3">
        <w:rPr>
          <w:spacing w:val="-2"/>
        </w:rPr>
        <w:t xml:space="preserve">4 </w:t>
      </w:r>
      <w:r w:rsidR="00F553A5" w:rsidRPr="00CB28A3">
        <w:rPr>
          <w:rFonts w:cs="Arial"/>
          <w:spacing w:val="-2"/>
          <w:lang w:eastAsia="fr-FR"/>
        </w:rPr>
        <w:t>was not included in Circular E</w:t>
      </w:r>
      <w:r w:rsidR="00F553A5" w:rsidRPr="00CB28A3">
        <w:rPr>
          <w:rFonts w:cs="Arial"/>
          <w:spacing w:val="-2"/>
          <w:lang w:eastAsia="fr-FR"/>
        </w:rPr>
        <w:noBreakHyphen/>
        <w:t>20/160 of September </w:t>
      </w:r>
      <w:r w:rsidRPr="00CB28A3">
        <w:rPr>
          <w:rFonts w:cs="Arial"/>
          <w:spacing w:val="-2"/>
          <w:lang w:eastAsia="fr-FR"/>
        </w:rPr>
        <w:t xml:space="preserve">25, 2020, for approval </w:t>
      </w:r>
      <w:r w:rsidRPr="00CB28A3">
        <w:rPr>
          <w:rFonts w:cs="Arial"/>
          <w:spacing w:val="-2"/>
        </w:rPr>
        <w:t xml:space="preserve">by correspondence </w:t>
      </w:r>
      <w:r w:rsidRPr="00CB28A3">
        <w:rPr>
          <w:rFonts w:cs="Arial"/>
          <w:spacing w:val="-2"/>
          <w:lang w:eastAsia="fr-FR"/>
        </w:rPr>
        <w:t xml:space="preserve">and </w:t>
      </w:r>
      <w:r w:rsidRPr="00CB28A3">
        <w:rPr>
          <w:spacing w:val="-2"/>
        </w:rPr>
        <w:t>is presented for consideration by the CAJ at its virtual session on October</w:t>
      </w:r>
      <w:r w:rsidR="002B4534" w:rsidRPr="00CB28A3">
        <w:rPr>
          <w:spacing w:val="-2"/>
        </w:rPr>
        <w:t> </w:t>
      </w:r>
      <w:r w:rsidRPr="00CB28A3">
        <w:rPr>
          <w:spacing w:val="-2"/>
        </w:rPr>
        <w:t>28, 2020, in conjunction with the comments received, which are reproduced in Annex I to this document.</w:t>
      </w:r>
      <w:proofErr w:type="gramEnd"/>
    </w:p>
    <w:p w:rsidR="00F553A5" w:rsidRPr="00CB28A3" w:rsidRDefault="00F553A5" w:rsidP="00F553A5">
      <w:pPr>
        <w:rPr>
          <w:rFonts w:cs="Arial"/>
          <w:lang w:eastAsia="fr-FR"/>
        </w:rPr>
      </w:pPr>
    </w:p>
    <w:p w:rsidR="008F4AF9" w:rsidRPr="00CB28A3" w:rsidRDefault="00F553A5" w:rsidP="00F553A5">
      <w:pPr>
        <w:keepNext/>
        <w:tabs>
          <w:tab w:val="left" w:pos="5387"/>
          <w:tab w:val="left" w:pos="5954"/>
        </w:tabs>
        <w:ind w:left="4820"/>
        <w:rPr>
          <w:rFonts w:eastAsia="MS Mincho"/>
          <w:i/>
          <w:snapToGrid w:val="0"/>
          <w:lang w:eastAsia="ja-JP"/>
        </w:rPr>
      </w:pPr>
      <w:r w:rsidRPr="00CB28A3">
        <w:fldChar w:fldCharType="begin"/>
      </w:r>
      <w:r w:rsidRPr="00CB28A3">
        <w:instrText xml:space="preserve"> AUTONUM  </w:instrText>
      </w:r>
      <w:r w:rsidRPr="00CB28A3">
        <w:fldChar w:fldCharType="end"/>
      </w:r>
      <w:r w:rsidRPr="00CB28A3">
        <w:tab/>
      </w:r>
      <w:r w:rsidR="008F4AF9" w:rsidRPr="00CB28A3">
        <w:rPr>
          <w:rFonts w:eastAsia="MS Mincho"/>
          <w:i/>
        </w:rPr>
        <w:t xml:space="preserve">The CAJ </w:t>
      </w:r>
      <w:proofErr w:type="gramStart"/>
      <w:r w:rsidR="008F4AF9" w:rsidRPr="00CB28A3">
        <w:rPr>
          <w:rFonts w:eastAsia="MS Mincho"/>
          <w:i/>
        </w:rPr>
        <w:t>is invited</w:t>
      </w:r>
      <w:proofErr w:type="gramEnd"/>
      <w:r w:rsidR="008F4AF9" w:rsidRPr="00CB28A3">
        <w:rPr>
          <w:rFonts w:eastAsia="MS Mincho"/>
          <w:i/>
        </w:rPr>
        <w:t xml:space="preserve"> to:</w:t>
      </w:r>
    </w:p>
    <w:p w:rsidR="008F4AF9" w:rsidRPr="00CB28A3" w:rsidRDefault="008F4AF9" w:rsidP="00F553A5">
      <w:pPr>
        <w:keepNext/>
        <w:keepLines/>
        <w:rPr>
          <w:rFonts w:eastAsia="SimSun"/>
          <w:snapToGrid w:val="0"/>
          <w:lang w:eastAsia="ja-JP"/>
        </w:rPr>
      </w:pPr>
    </w:p>
    <w:p w:rsidR="008F4AF9" w:rsidRPr="00F553A5" w:rsidRDefault="008F4AF9" w:rsidP="00F553A5">
      <w:pPr>
        <w:keepNext/>
        <w:keepLines/>
        <w:tabs>
          <w:tab w:val="left" w:pos="5387"/>
          <w:tab w:val="left" w:pos="5954"/>
        </w:tabs>
        <w:ind w:left="4820"/>
        <w:rPr>
          <w:i/>
          <w:snapToGrid w:val="0"/>
          <w:lang w:eastAsia="ja-JP"/>
        </w:rPr>
      </w:pPr>
      <w:r w:rsidRPr="00CB28A3">
        <w:rPr>
          <w:i/>
          <w:snapToGrid w:val="0"/>
          <w:lang w:eastAsia="ja-JP"/>
        </w:rPr>
        <w:tab/>
        <w:t>(a)</w:t>
      </w:r>
      <w:r w:rsidRPr="00CB28A3">
        <w:rPr>
          <w:i/>
          <w:snapToGrid w:val="0"/>
          <w:lang w:eastAsia="ja-JP"/>
        </w:rPr>
        <w:tab/>
        <w:t>note the replies received from members of the Union</w:t>
      </w:r>
      <w:r w:rsidRPr="00F553A5">
        <w:rPr>
          <w:i/>
          <w:snapToGrid w:val="0"/>
          <w:lang w:eastAsia="ja-JP"/>
        </w:rPr>
        <w:t xml:space="preserve"> in response to Circular E</w:t>
      </w:r>
      <w:r w:rsidRPr="00F553A5">
        <w:rPr>
          <w:i/>
          <w:snapToGrid w:val="0"/>
          <w:lang w:eastAsia="ja-JP"/>
        </w:rPr>
        <w:noBreakHyphen/>
        <w:t>20/</w:t>
      </w:r>
      <w:r w:rsidRPr="00F553A5">
        <w:rPr>
          <w:rFonts w:hint="eastAsia"/>
          <w:i/>
          <w:snapToGrid w:val="0"/>
          <w:lang w:eastAsia="ja-JP"/>
        </w:rPr>
        <w:t>0</w:t>
      </w:r>
      <w:r w:rsidRPr="00F553A5">
        <w:rPr>
          <w:i/>
          <w:snapToGrid w:val="0"/>
          <w:lang w:eastAsia="ja-JP"/>
        </w:rPr>
        <w:t>17, reproduced in Annex I</w:t>
      </w:r>
      <w:r w:rsidRPr="00F553A5">
        <w:rPr>
          <w:i/>
        </w:rPr>
        <w:t xml:space="preserve"> </w:t>
      </w:r>
      <w:r w:rsidRPr="00F553A5">
        <w:rPr>
          <w:i/>
          <w:snapToGrid w:val="0"/>
          <w:lang w:eastAsia="ja-JP"/>
        </w:rPr>
        <w:t>to document CAJ/77/3 Rev.;</w:t>
      </w:r>
    </w:p>
    <w:p w:rsidR="008F4AF9" w:rsidRPr="00F553A5" w:rsidRDefault="008F4AF9" w:rsidP="00F553A5">
      <w:pPr>
        <w:keepNext/>
        <w:keepLines/>
        <w:tabs>
          <w:tab w:val="left" w:pos="5387"/>
          <w:tab w:val="left" w:pos="5954"/>
        </w:tabs>
        <w:ind w:left="4820"/>
        <w:rPr>
          <w:i/>
          <w:snapToGrid w:val="0"/>
          <w:lang w:eastAsia="ja-JP"/>
        </w:rPr>
      </w:pPr>
    </w:p>
    <w:p w:rsidR="008F4AF9" w:rsidRPr="00F553A5" w:rsidRDefault="008F4AF9" w:rsidP="008F4AF9">
      <w:pPr>
        <w:keepLines/>
        <w:tabs>
          <w:tab w:val="left" w:pos="5387"/>
          <w:tab w:val="left" w:pos="5954"/>
        </w:tabs>
        <w:ind w:left="4820"/>
        <w:rPr>
          <w:i/>
          <w:spacing w:val="-4"/>
        </w:rPr>
      </w:pPr>
      <w:r w:rsidRPr="00F553A5">
        <w:rPr>
          <w:i/>
          <w:spacing w:val="-4"/>
        </w:rPr>
        <w:tab/>
        <w:t>(b)</w:t>
      </w:r>
      <w:r w:rsidRPr="00F553A5">
        <w:rPr>
          <w:i/>
          <w:spacing w:val="-4"/>
        </w:rPr>
        <w:tab/>
      </w:r>
      <w:proofErr w:type="gramStart"/>
      <w:r w:rsidRPr="00F553A5">
        <w:rPr>
          <w:i/>
        </w:rPr>
        <w:t>consider</w:t>
      </w:r>
      <w:proofErr w:type="gramEnd"/>
      <w:r w:rsidRPr="00F553A5">
        <w:rPr>
          <w:i/>
        </w:rPr>
        <w:t xml:space="preserve"> the r</w:t>
      </w:r>
      <w:r w:rsidR="003A4B99" w:rsidRPr="00F553A5">
        <w:rPr>
          <w:i/>
        </w:rPr>
        <w:t>equest by the TWV, at its fifty</w:t>
      </w:r>
      <w:r w:rsidR="003A4B99" w:rsidRPr="00F553A5">
        <w:rPr>
          <w:i/>
        </w:rPr>
        <w:noBreakHyphen/>
      </w:r>
      <w:r w:rsidRPr="00F553A5">
        <w:rPr>
          <w:i/>
        </w:rPr>
        <w:t xml:space="preserve">fourth session, </w:t>
      </w:r>
      <w:r w:rsidRPr="00F553A5">
        <w:rPr>
          <w:rFonts w:eastAsia="MS Mincho"/>
          <w:i/>
          <w:snapToGrid w:val="0"/>
          <w:lang w:eastAsia="ja-JP"/>
        </w:rPr>
        <w:t xml:space="preserve">not to introduce Class 205B in document </w:t>
      </w:r>
      <w:r w:rsidRPr="00F553A5">
        <w:rPr>
          <w:i/>
        </w:rPr>
        <w:t xml:space="preserve">UPOV/EXN/DEN/1 </w:t>
      </w:r>
      <w:r w:rsidRPr="00325623">
        <w:rPr>
          <w:i/>
          <w:snapToGrid w:val="0"/>
          <w:lang w:eastAsia="ja-JP"/>
        </w:rPr>
        <w:t>(see paragraph 25</w:t>
      </w:r>
      <w:r w:rsidR="00DB7C1F" w:rsidRPr="00325623">
        <w:t xml:space="preserve"> of </w:t>
      </w:r>
      <w:r w:rsidR="00DB7C1F" w:rsidRPr="00325623">
        <w:rPr>
          <w:i/>
          <w:snapToGrid w:val="0"/>
          <w:lang w:eastAsia="ja-JP"/>
        </w:rPr>
        <w:t>document CAJ/77/3 Rev.</w:t>
      </w:r>
      <w:r w:rsidRPr="00325623">
        <w:rPr>
          <w:i/>
          <w:snapToGrid w:val="0"/>
          <w:lang w:eastAsia="ja-JP"/>
        </w:rPr>
        <w:t>)</w:t>
      </w:r>
      <w:r w:rsidRPr="00325623">
        <w:rPr>
          <w:i/>
        </w:rPr>
        <w:t>;</w:t>
      </w:r>
      <w:r w:rsidRPr="00F553A5">
        <w:rPr>
          <w:i/>
        </w:rPr>
        <w:t xml:space="preserve"> </w:t>
      </w:r>
      <w:r w:rsidRPr="00F553A5">
        <w:rPr>
          <w:i/>
          <w:spacing w:val="-4"/>
        </w:rPr>
        <w:t xml:space="preserve">  </w:t>
      </w:r>
    </w:p>
    <w:p w:rsidR="008F4AF9" w:rsidRPr="00F553A5" w:rsidRDefault="008F4AF9" w:rsidP="008F4AF9">
      <w:pPr>
        <w:keepLines/>
        <w:tabs>
          <w:tab w:val="left" w:pos="5387"/>
          <w:tab w:val="left" w:pos="5954"/>
        </w:tabs>
        <w:ind w:left="4820"/>
        <w:rPr>
          <w:i/>
          <w:spacing w:val="-4"/>
        </w:rPr>
      </w:pPr>
    </w:p>
    <w:p w:rsidR="008F4AF9" w:rsidRPr="00325623" w:rsidRDefault="008F4AF9" w:rsidP="008F4AF9">
      <w:pPr>
        <w:keepLines/>
        <w:tabs>
          <w:tab w:val="left" w:pos="5387"/>
          <w:tab w:val="left" w:pos="5954"/>
        </w:tabs>
        <w:ind w:left="4820"/>
        <w:rPr>
          <w:i/>
          <w:spacing w:val="-2"/>
        </w:rPr>
      </w:pPr>
      <w:r w:rsidRPr="00F553A5">
        <w:rPr>
          <w:i/>
          <w:snapToGrid w:val="0"/>
          <w:spacing w:val="-2"/>
          <w:lang w:eastAsia="ja-JP"/>
        </w:rPr>
        <w:lastRenderedPageBreak/>
        <w:tab/>
        <w:t>(c)</w:t>
      </w:r>
      <w:r w:rsidRPr="00F553A5">
        <w:rPr>
          <w:i/>
          <w:snapToGrid w:val="0"/>
          <w:spacing w:val="-2"/>
          <w:lang w:eastAsia="ja-JP"/>
        </w:rPr>
        <w:tab/>
        <w:t xml:space="preserve">consider the proposed revision of </w:t>
      </w:r>
      <w:r w:rsidRPr="00F553A5">
        <w:rPr>
          <w:i/>
          <w:spacing w:val="-2"/>
        </w:rPr>
        <w:t>document UPOV/EXN/DEN “Explanatory Notes on Variety Denominations under the UPOV Convention”, on the b</w:t>
      </w:r>
      <w:r w:rsidR="00F553A5">
        <w:rPr>
          <w:i/>
          <w:spacing w:val="-2"/>
        </w:rPr>
        <w:t>asis of document UPOV/EXN/DEN/1 </w:t>
      </w:r>
      <w:r w:rsidRPr="00F553A5">
        <w:rPr>
          <w:i/>
          <w:spacing w:val="-2"/>
        </w:rPr>
        <w:t>Draft</w:t>
      </w:r>
      <w:r w:rsidR="00F553A5">
        <w:rPr>
          <w:i/>
          <w:spacing w:val="-2"/>
        </w:rPr>
        <w:t> </w:t>
      </w:r>
      <w:r w:rsidRPr="00F553A5">
        <w:rPr>
          <w:i/>
          <w:spacing w:val="-2"/>
        </w:rPr>
        <w:t>4</w:t>
      </w:r>
      <w:r w:rsidR="00DB7C1F">
        <w:rPr>
          <w:i/>
          <w:spacing w:val="-2"/>
        </w:rPr>
        <w:t>,</w:t>
      </w:r>
      <w:r w:rsidRPr="00F553A5">
        <w:rPr>
          <w:i/>
          <w:spacing w:val="-2"/>
        </w:rPr>
        <w:t xml:space="preserve"> in conjunction with the comments rece</w:t>
      </w:r>
      <w:r w:rsidR="00F553A5">
        <w:rPr>
          <w:i/>
          <w:spacing w:val="-2"/>
        </w:rPr>
        <w:t>ived on document UPOV/EXN/</w:t>
      </w:r>
      <w:r w:rsidR="00F553A5" w:rsidRPr="00325623">
        <w:rPr>
          <w:i/>
          <w:spacing w:val="-2"/>
        </w:rPr>
        <w:t>DEN/1 Draft </w:t>
      </w:r>
      <w:r w:rsidRPr="00325623">
        <w:rPr>
          <w:i/>
          <w:spacing w:val="-2"/>
        </w:rPr>
        <w:t>4 in r</w:t>
      </w:r>
      <w:r w:rsidR="00F553A5" w:rsidRPr="00325623">
        <w:rPr>
          <w:i/>
          <w:spacing w:val="-2"/>
        </w:rPr>
        <w:t>esponse to Circular E</w:t>
      </w:r>
      <w:r w:rsidR="00F553A5" w:rsidRPr="00325623">
        <w:rPr>
          <w:i/>
          <w:spacing w:val="-2"/>
        </w:rPr>
        <w:noBreakHyphen/>
      </w:r>
      <w:r w:rsidRPr="00325623">
        <w:rPr>
          <w:i/>
          <w:spacing w:val="-2"/>
        </w:rPr>
        <w:t xml:space="preserve">20/120, as presented in </w:t>
      </w:r>
      <w:r w:rsidR="00642C58" w:rsidRPr="00325623">
        <w:rPr>
          <w:i/>
          <w:spacing w:val="-2"/>
        </w:rPr>
        <w:t>Annex I to this document;</w:t>
      </w:r>
      <w:r w:rsidR="00C32260" w:rsidRPr="00325623">
        <w:rPr>
          <w:i/>
          <w:spacing w:val="-2"/>
        </w:rPr>
        <w:t xml:space="preserve"> and</w:t>
      </w:r>
    </w:p>
    <w:p w:rsidR="00915028" w:rsidRPr="00325623" w:rsidRDefault="00915028" w:rsidP="00BC5D3D">
      <w:pPr>
        <w:rPr>
          <w:sz w:val="12"/>
        </w:rPr>
      </w:pPr>
    </w:p>
    <w:p w:rsidR="003A4B99" w:rsidRPr="00325623" w:rsidRDefault="003A4B99" w:rsidP="00D82EE7">
      <w:pPr>
        <w:keepLines/>
        <w:tabs>
          <w:tab w:val="left" w:pos="5387"/>
          <w:tab w:val="left" w:pos="5954"/>
        </w:tabs>
        <w:ind w:left="4820"/>
        <w:rPr>
          <w:i/>
          <w:spacing w:val="-2"/>
          <w:sz w:val="18"/>
        </w:rPr>
      </w:pPr>
    </w:p>
    <w:p w:rsidR="00841496" w:rsidRPr="00F553A5" w:rsidRDefault="002B4534" w:rsidP="002B4534">
      <w:pPr>
        <w:keepLines/>
        <w:tabs>
          <w:tab w:val="left" w:pos="5387"/>
          <w:tab w:val="left" w:pos="5954"/>
        </w:tabs>
        <w:ind w:left="4820"/>
        <w:rPr>
          <w:i/>
        </w:rPr>
      </w:pPr>
      <w:r w:rsidRPr="00325623">
        <w:rPr>
          <w:i/>
          <w:spacing w:val="-2"/>
        </w:rPr>
        <w:tab/>
      </w:r>
      <w:proofErr w:type="gramStart"/>
      <w:r w:rsidR="00DB7C1F" w:rsidRPr="00325623">
        <w:rPr>
          <w:i/>
          <w:spacing w:val="-2"/>
        </w:rPr>
        <w:t>(d</w:t>
      </w:r>
      <w:r w:rsidR="003A4B99" w:rsidRPr="00325623">
        <w:rPr>
          <w:i/>
          <w:spacing w:val="-2"/>
        </w:rPr>
        <w:t>)</w:t>
      </w:r>
      <w:r w:rsidR="00DB7C1F" w:rsidRPr="00325623">
        <w:rPr>
          <w:i/>
          <w:spacing w:val="-2"/>
        </w:rPr>
        <w:t xml:space="preserve"> </w:t>
      </w:r>
      <w:r w:rsidR="00C32260" w:rsidRPr="00325623">
        <w:rPr>
          <w:i/>
          <w:spacing w:val="-2"/>
        </w:rPr>
        <w:t xml:space="preserve">on the basis of the comments in </w:t>
      </w:r>
      <w:r w:rsidR="00F553A5" w:rsidRPr="00325623">
        <w:rPr>
          <w:i/>
        </w:rPr>
        <w:t>Annex </w:t>
      </w:r>
      <w:r w:rsidR="00C32260" w:rsidRPr="00325623">
        <w:rPr>
          <w:i/>
        </w:rPr>
        <w:t>I to this document</w:t>
      </w:r>
      <w:r w:rsidR="00F553A5" w:rsidRPr="00325623">
        <w:rPr>
          <w:i/>
        </w:rPr>
        <w:t xml:space="preserve"> and discussions</w:t>
      </w:r>
      <w:r w:rsidR="00F553A5">
        <w:rPr>
          <w:i/>
        </w:rPr>
        <w:t xml:space="preserve"> at the seventy</w:t>
      </w:r>
      <w:r w:rsidR="00F553A5">
        <w:rPr>
          <w:i/>
        </w:rPr>
        <w:noBreakHyphen/>
      </w:r>
      <w:r w:rsidR="00C32260" w:rsidRPr="00F553A5">
        <w:rPr>
          <w:i/>
        </w:rPr>
        <w:t xml:space="preserve">seventh session of the CAJ, </w:t>
      </w:r>
      <w:r w:rsidR="008F4AF9" w:rsidRPr="00F553A5">
        <w:rPr>
          <w:i/>
        </w:rPr>
        <w:t xml:space="preserve">invite the Office of the Union to </w:t>
      </w:r>
      <w:r w:rsidR="00841496" w:rsidRPr="00F553A5">
        <w:rPr>
          <w:i/>
          <w:snapToGrid w:val="0"/>
          <w:lang w:eastAsia="ja-JP"/>
        </w:rPr>
        <w:t xml:space="preserve">prepare a draft of document UPOV/EXN/DEN “Explanatory Notes on Variety Denominations under the UPOV Convention” </w:t>
      </w:r>
      <w:r w:rsidR="000C08BB" w:rsidRPr="00F553A5">
        <w:rPr>
          <w:i/>
          <w:snapToGrid w:val="0"/>
          <w:lang w:eastAsia="ja-JP"/>
        </w:rPr>
        <w:t>(document UPOV/EXN/DEN/1 Draft </w:t>
      </w:r>
      <w:r w:rsidR="009D0002">
        <w:rPr>
          <w:i/>
          <w:snapToGrid w:val="0"/>
          <w:lang w:eastAsia="ja-JP"/>
        </w:rPr>
        <w:t>5)</w:t>
      </w:r>
      <w:r w:rsidR="000E1616" w:rsidRPr="00F553A5">
        <w:rPr>
          <w:i/>
          <w:snapToGrid w:val="0"/>
          <w:lang w:eastAsia="ja-JP"/>
        </w:rPr>
        <w:t>, for comments by the CAJ by correspondence</w:t>
      </w:r>
      <w:r w:rsidRPr="00F553A5">
        <w:rPr>
          <w:i/>
          <w:snapToGrid w:val="0"/>
          <w:lang w:eastAsia="ja-JP"/>
        </w:rPr>
        <w:t xml:space="preserve">; and based on the comments received, the Office of the Union to prepare a new </w:t>
      </w:r>
      <w:r w:rsidR="000E1616" w:rsidRPr="00F553A5">
        <w:rPr>
          <w:i/>
          <w:snapToGrid w:val="0"/>
          <w:lang w:eastAsia="ja-JP"/>
        </w:rPr>
        <w:t xml:space="preserve">draft of document UPOV/EXN/DEN </w:t>
      </w:r>
      <w:r w:rsidR="00841496" w:rsidRPr="00F553A5">
        <w:rPr>
          <w:i/>
          <w:snapToGrid w:val="0"/>
          <w:lang w:eastAsia="ja-JP"/>
        </w:rPr>
        <w:t>f</w:t>
      </w:r>
      <w:r w:rsidR="000E1616" w:rsidRPr="00F553A5">
        <w:rPr>
          <w:i/>
          <w:snapToGrid w:val="0"/>
          <w:lang w:eastAsia="ja-JP"/>
        </w:rPr>
        <w:t>or consideration at the seventy</w:t>
      </w:r>
      <w:r w:rsidR="000E1616" w:rsidRPr="00F553A5">
        <w:rPr>
          <w:i/>
          <w:snapToGrid w:val="0"/>
          <w:lang w:eastAsia="ja-JP"/>
        </w:rPr>
        <w:noBreakHyphen/>
        <w:t xml:space="preserve">eighth </w:t>
      </w:r>
      <w:r w:rsidR="00841496" w:rsidRPr="00F553A5">
        <w:rPr>
          <w:i/>
          <w:snapToGrid w:val="0"/>
          <w:lang w:eastAsia="ja-JP"/>
        </w:rPr>
        <w:t xml:space="preserve">session of the CAJ, to be held </w:t>
      </w:r>
      <w:r w:rsidR="000E1616" w:rsidRPr="00F553A5">
        <w:rPr>
          <w:i/>
          <w:snapToGrid w:val="0"/>
          <w:lang w:eastAsia="ja-JP"/>
        </w:rPr>
        <w:t>in 2021</w:t>
      </w:r>
      <w:r w:rsidR="00841496" w:rsidRPr="00F553A5">
        <w:rPr>
          <w:i/>
          <w:snapToGrid w:val="0"/>
          <w:lang w:eastAsia="ja-JP"/>
        </w:rPr>
        <w:t>.</w:t>
      </w:r>
      <w:proofErr w:type="gramEnd"/>
      <w:r w:rsidR="00841496" w:rsidRPr="00F553A5">
        <w:rPr>
          <w:i/>
          <w:snapToGrid w:val="0"/>
          <w:lang w:eastAsia="ja-JP"/>
        </w:rPr>
        <w:t xml:space="preserve"> </w:t>
      </w:r>
    </w:p>
    <w:p w:rsidR="00915028" w:rsidRPr="002F1D53" w:rsidRDefault="00915028" w:rsidP="00BC5D3D"/>
    <w:p w:rsidR="00841496" w:rsidRDefault="00841496" w:rsidP="000E1616"/>
    <w:p w:rsidR="00AA7816" w:rsidRPr="00174343" w:rsidRDefault="00AA7816" w:rsidP="000E1616"/>
    <w:p w:rsidR="00914459" w:rsidRPr="00CB28A3" w:rsidRDefault="00A2365C" w:rsidP="00914459">
      <w:pPr>
        <w:pStyle w:val="Heading1"/>
        <w:rPr>
          <w:snapToGrid w:val="0"/>
        </w:rPr>
      </w:pPr>
      <w:bookmarkStart w:id="76" w:name="_Toc54617473"/>
      <w:r w:rsidRPr="00CB28A3">
        <w:t xml:space="preserve">AGENDA ITEM 7:  </w:t>
      </w:r>
      <w:bookmarkStart w:id="77" w:name="_Toc54097492"/>
      <w:bookmarkStart w:id="78" w:name="_Toc54097626"/>
      <w:r w:rsidRPr="00CB28A3">
        <w:t>Essentially Derived Varieties</w:t>
      </w:r>
      <w:bookmarkEnd w:id="77"/>
      <w:bookmarkEnd w:id="78"/>
      <w:r w:rsidR="00914459" w:rsidRPr="00CB28A3">
        <w:t xml:space="preserve"> (</w:t>
      </w:r>
      <w:r w:rsidR="00914459" w:rsidRPr="00CB28A3">
        <w:rPr>
          <w:snapToGrid w:val="0"/>
        </w:rPr>
        <w:t>document CAJ/77/4 Rev.)</w:t>
      </w:r>
      <w:bookmarkEnd w:id="76"/>
    </w:p>
    <w:p w:rsidR="00AF1E6C" w:rsidRPr="00CB28A3" w:rsidRDefault="00AF1E6C" w:rsidP="00444EB8">
      <w:pPr>
        <w:keepNext/>
        <w:ind w:left="567" w:hanging="567"/>
        <w:jc w:val="left"/>
      </w:pPr>
    </w:p>
    <w:p w:rsidR="000E1616" w:rsidRPr="00CB28A3" w:rsidRDefault="000E1616" w:rsidP="00914459">
      <w:pPr>
        <w:keepNext/>
        <w:rPr>
          <w:snapToGrid w:val="0"/>
        </w:rPr>
      </w:pPr>
      <w:r w:rsidRPr="00CB28A3">
        <w:fldChar w:fldCharType="begin"/>
      </w:r>
      <w:r w:rsidRPr="00CB28A3">
        <w:instrText xml:space="preserve"> AUTONUM  </w:instrText>
      </w:r>
      <w:r w:rsidRPr="00CB28A3">
        <w:fldChar w:fldCharType="end"/>
      </w:r>
      <w:r w:rsidRPr="00CB28A3">
        <w:tab/>
      </w:r>
      <w:r w:rsidRPr="00CB28A3">
        <w:rPr>
          <w:snapToGrid w:val="0"/>
        </w:rPr>
        <w:t>The CAJ considered document CAJ/77/4 Rev.</w:t>
      </w:r>
    </w:p>
    <w:p w:rsidR="000E1616" w:rsidRPr="00CB28A3" w:rsidRDefault="000E1616" w:rsidP="00914459">
      <w:pPr>
        <w:keepNext/>
        <w:ind w:left="567" w:hanging="567"/>
      </w:pPr>
    </w:p>
    <w:p w:rsidR="00444EB8" w:rsidRPr="00CB28A3" w:rsidRDefault="00444EB8" w:rsidP="00914459">
      <w:r w:rsidRPr="00CB28A3">
        <w:fldChar w:fldCharType="begin"/>
      </w:r>
      <w:r w:rsidRPr="00CB28A3">
        <w:instrText xml:space="preserve"> AUTONUM  </w:instrText>
      </w:r>
      <w:r w:rsidRPr="00CB28A3">
        <w:fldChar w:fldCharType="end"/>
      </w:r>
      <w:r w:rsidRPr="00CB28A3">
        <w:tab/>
      </w:r>
      <w:r w:rsidR="000E1616" w:rsidRPr="00CB28A3">
        <w:rPr>
          <w:spacing w:val="-2"/>
        </w:rPr>
        <w:t xml:space="preserve">The </w:t>
      </w:r>
      <w:r w:rsidR="000E1616" w:rsidRPr="00CB28A3">
        <w:rPr>
          <w:snapToGrid w:val="0"/>
          <w:spacing w:val="-2"/>
        </w:rPr>
        <w:t>CAJ agreed to</w:t>
      </w:r>
      <w:r w:rsidR="000E1616" w:rsidRPr="00CB28A3">
        <w:rPr>
          <w:spacing w:val="-2"/>
        </w:rPr>
        <w:t xml:space="preserve"> </w:t>
      </w:r>
      <w:r w:rsidR="000E1616" w:rsidRPr="00CB28A3">
        <w:t>establish the WG-EDV and approved the terms of reference for the WG-EDV, as set out in Annex II to document CAJ/77/4 Rev., in conjunction with the modified “Policy issues in conjunction with the breeders’ customs and practices” in Annex I of document CAJ/77/4 Rev.</w:t>
      </w:r>
    </w:p>
    <w:p w:rsidR="00444EB8" w:rsidRPr="00CB28A3" w:rsidRDefault="00444EB8" w:rsidP="00914459">
      <w:pPr>
        <w:keepNext/>
        <w:ind w:left="567" w:hanging="567"/>
        <w:rPr>
          <w:spacing w:val="2"/>
        </w:rPr>
      </w:pPr>
    </w:p>
    <w:p w:rsidR="002B4534" w:rsidRPr="00CB28A3" w:rsidRDefault="000E1616" w:rsidP="002B4534">
      <w:pPr>
        <w:keepNext/>
        <w:rPr>
          <w:snapToGrid w:val="0"/>
          <w:spacing w:val="-2"/>
        </w:rPr>
      </w:pPr>
      <w:r w:rsidRPr="00CB28A3">
        <w:rPr>
          <w:spacing w:val="-2"/>
        </w:rPr>
        <w:fldChar w:fldCharType="begin"/>
      </w:r>
      <w:r w:rsidRPr="00CB28A3">
        <w:rPr>
          <w:spacing w:val="-2"/>
        </w:rPr>
        <w:instrText xml:space="preserve"> AUTONUM  </w:instrText>
      </w:r>
      <w:r w:rsidRPr="00CB28A3">
        <w:rPr>
          <w:spacing w:val="-2"/>
        </w:rPr>
        <w:fldChar w:fldCharType="end"/>
      </w:r>
      <w:r w:rsidRPr="00CB28A3">
        <w:rPr>
          <w:spacing w:val="-2"/>
        </w:rPr>
        <w:tab/>
        <w:t xml:space="preserve">The </w:t>
      </w:r>
      <w:r w:rsidRPr="00CB28A3">
        <w:rPr>
          <w:snapToGrid w:val="0"/>
          <w:spacing w:val="-2"/>
        </w:rPr>
        <w:t xml:space="preserve">CAJ approved the </w:t>
      </w:r>
      <w:r w:rsidR="00E10CC1" w:rsidRPr="00CB28A3">
        <w:rPr>
          <w:snapToGrid w:val="0"/>
          <w:spacing w:val="-2"/>
        </w:rPr>
        <w:t xml:space="preserve">following composition of the WG-EDV: </w:t>
      </w:r>
      <w:r w:rsidRPr="00CB28A3">
        <w:rPr>
          <w:snapToGrid w:val="0"/>
          <w:spacing w:val="-2"/>
        </w:rPr>
        <w:t xml:space="preserve"> </w:t>
      </w:r>
      <w:r w:rsidR="00E10CC1" w:rsidRPr="00CB28A3">
        <w:rPr>
          <w:snapToGrid w:val="0"/>
          <w:spacing w:val="-2"/>
        </w:rPr>
        <w:t>Aust</w:t>
      </w:r>
      <w:r w:rsidR="00924ED0" w:rsidRPr="00CB28A3">
        <w:rPr>
          <w:snapToGrid w:val="0"/>
          <w:spacing w:val="-2"/>
        </w:rPr>
        <w:t>ralia, Brazil, Chile, China, Ecuador, European </w:t>
      </w:r>
      <w:r w:rsidR="00E10CC1" w:rsidRPr="00CB28A3">
        <w:rPr>
          <w:snapToGrid w:val="0"/>
          <w:spacing w:val="-2"/>
        </w:rPr>
        <w:t>Union, Fr</w:t>
      </w:r>
      <w:r w:rsidR="00924ED0" w:rsidRPr="00CB28A3">
        <w:rPr>
          <w:snapToGrid w:val="0"/>
          <w:spacing w:val="-2"/>
        </w:rPr>
        <w:t>ance, Japan, Kenya, Netherlands</w:t>
      </w:r>
      <w:r w:rsidR="00E10CC1" w:rsidRPr="00CB28A3">
        <w:rPr>
          <w:snapToGrid w:val="0"/>
          <w:spacing w:val="-2"/>
        </w:rPr>
        <w:t>, Sweden, United Republi</w:t>
      </w:r>
      <w:r w:rsidR="00B235E8" w:rsidRPr="00CB28A3">
        <w:rPr>
          <w:snapToGrid w:val="0"/>
          <w:spacing w:val="-2"/>
        </w:rPr>
        <w:t>c of Tanzania, United States of </w:t>
      </w:r>
      <w:r w:rsidR="00E10CC1" w:rsidRPr="00CB28A3">
        <w:rPr>
          <w:snapToGrid w:val="0"/>
          <w:spacing w:val="-2"/>
        </w:rPr>
        <w:t xml:space="preserve">America, APSA, APBREBES, CIOPORA, </w:t>
      </w:r>
      <w:proofErr w:type="spellStart"/>
      <w:r w:rsidR="00E10CC1" w:rsidRPr="00CB28A3">
        <w:rPr>
          <w:snapToGrid w:val="0"/>
          <w:spacing w:val="-2"/>
        </w:rPr>
        <w:t>CropLife</w:t>
      </w:r>
      <w:proofErr w:type="spellEnd"/>
      <w:r w:rsidR="00E10CC1" w:rsidRPr="00CB28A3">
        <w:rPr>
          <w:snapToGrid w:val="0"/>
          <w:spacing w:val="-2"/>
        </w:rPr>
        <w:t xml:space="preserve"> International, Euroseeds, ISF and SAA.</w:t>
      </w:r>
    </w:p>
    <w:p w:rsidR="00AF1E6C" w:rsidRPr="00CB28A3" w:rsidRDefault="00AF1E6C" w:rsidP="00E10CC1"/>
    <w:p w:rsidR="00914459" w:rsidRPr="00CB28A3" w:rsidRDefault="000E1616" w:rsidP="00E10CC1">
      <w:pPr>
        <w:keepNext/>
        <w:rPr>
          <w:spacing w:val="-4"/>
        </w:rPr>
      </w:pPr>
      <w:r w:rsidRPr="00CB28A3">
        <w:rPr>
          <w:spacing w:val="-4"/>
        </w:rPr>
        <w:fldChar w:fldCharType="begin"/>
      </w:r>
      <w:r w:rsidRPr="00CB28A3">
        <w:rPr>
          <w:spacing w:val="-4"/>
        </w:rPr>
        <w:instrText xml:space="preserve"> AUTONUM  </w:instrText>
      </w:r>
      <w:r w:rsidRPr="00CB28A3">
        <w:rPr>
          <w:spacing w:val="-4"/>
        </w:rPr>
        <w:fldChar w:fldCharType="end"/>
      </w:r>
      <w:r w:rsidRPr="00CB28A3">
        <w:rPr>
          <w:spacing w:val="-4"/>
        </w:rPr>
        <w:tab/>
        <w:t xml:space="preserve">The </w:t>
      </w:r>
      <w:r w:rsidR="00E10CC1" w:rsidRPr="00CB28A3">
        <w:rPr>
          <w:snapToGrid w:val="0"/>
          <w:spacing w:val="-4"/>
        </w:rPr>
        <w:t>CAJ agreed</w:t>
      </w:r>
      <w:r w:rsidR="00E10CC1" w:rsidRPr="00CB28A3">
        <w:rPr>
          <w:spacing w:val="-4"/>
        </w:rPr>
        <w:t xml:space="preserve"> that the </w:t>
      </w:r>
      <w:r w:rsidR="00914459" w:rsidRPr="00CB28A3">
        <w:rPr>
          <w:spacing w:val="-4"/>
        </w:rPr>
        <w:t xml:space="preserve">first meeting of the WG-EDV </w:t>
      </w:r>
      <w:proofErr w:type="gramStart"/>
      <w:r w:rsidR="00E10CC1" w:rsidRPr="00CB28A3">
        <w:rPr>
          <w:spacing w:val="-4"/>
        </w:rPr>
        <w:t>will</w:t>
      </w:r>
      <w:proofErr w:type="gramEnd"/>
      <w:r w:rsidR="00E10CC1" w:rsidRPr="00CB28A3">
        <w:rPr>
          <w:spacing w:val="-4"/>
        </w:rPr>
        <w:t xml:space="preserve"> take place on December 8, 2020, by </w:t>
      </w:r>
      <w:r w:rsidR="00914459" w:rsidRPr="00CB28A3">
        <w:rPr>
          <w:spacing w:val="-4"/>
        </w:rPr>
        <w:t xml:space="preserve">virtual </w:t>
      </w:r>
      <w:r w:rsidR="00E10CC1" w:rsidRPr="00CB28A3">
        <w:rPr>
          <w:spacing w:val="-4"/>
        </w:rPr>
        <w:t>means.</w:t>
      </w:r>
    </w:p>
    <w:p w:rsidR="000E1616" w:rsidRPr="00CB28A3" w:rsidRDefault="000E1616" w:rsidP="00914459">
      <w:pPr>
        <w:ind w:left="567" w:hanging="567"/>
      </w:pPr>
    </w:p>
    <w:p w:rsidR="000E1616" w:rsidRPr="00CB28A3" w:rsidRDefault="000E1616" w:rsidP="00E10CC1">
      <w:pPr>
        <w:keepNext/>
      </w:pPr>
      <w:r w:rsidRPr="00CB28A3">
        <w:fldChar w:fldCharType="begin"/>
      </w:r>
      <w:r w:rsidRPr="00CB28A3">
        <w:instrText xml:space="preserve"> AUTONUM  </w:instrText>
      </w:r>
      <w:r w:rsidRPr="00CB28A3">
        <w:fldChar w:fldCharType="end"/>
      </w:r>
      <w:r w:rsidRPr="00CB28A3">
        <w:tab/>
      </w:r>
      <w:r w:rsidRPr="00CB28A3">
        <w:rPr>
          <w:spacing w:val="-2"/>
        </w:rPr>
        <w:t xml:space="preserve">The </w:t>
      </w:r>
      <w:r w:rsidRPr="00CB28A3">
        <w:rPr>
          <w:snapToGrid w:val="0"/>
          <w:spacing w:val="-2"/>
        </w:rPr>
        <w:t>CAJ agreed to request the WG-EDV to propose a timeline for its work at its first meeting, for consideration by the CAJ at its session in 2021.</w:t>
      </w:r>
    </w:p>
    <w:p w:rsidR="00BC5D3D" w:rsidRPr="00CB28A3" w:rsidRDefault="00BC5D3D" w:rsidP="00E10CC1">
      <w:pPr>
        <w:jc w:val="left"/>
        <w:rPr>
          <w:sz w:val="18"/>
        </w:rPr>
      </w:pPr>
    </w:p>
    <w:p w:rsidR="00AA7816" w:rsidRPr="00CB28A3" w:rsidRDefault="00AA7816" w:rsidP="00AF1E6C">
      <w:pPr>
        <w:ind w:left="567" w:hanging="567"/>
        <w:jc w:val="left"/>
        <w:rPr>
          <w:sz w:val="18"/>
        </w:rPr>
      </w:pPr>
    </w:p>
    <w:p w:rsidR="00BC5D3D" w:rsidRPr="00CB28A3" w:rsidRDefault="00BC5D3D" w:rsidP="00AF1E6C">
      <w:pPr>
        <w:ind w:left="567" w:hanging="567"/>
        <w:jc w:val="left"/>
        <w:rPr>
          <w:sz w:val="18"/>
        </w:rPr>
      </w:pPr>
    </w:p>
    <w:p w:rsidR="00AF1E6C" w:rsidRPr="00CB28A3" w:rsidRDefault="00A2365C" w:rsidP="00077288">
      <w:pPr>
        <w:pStyle w:val="Heading1"/>
      </w:pPr>
      <w:bookmarkStart w:id="79" w:name="_Toc54097493"/>
      <w:bookmarkStart w:id="80" w:name="_Toc54097627"/>
      <w:bookmarkStart w:id="81" w:name="_Toc54617474"/>
      <w:r w:rsidRPr="00CB28A3">
        <w:t xml:space="preserve">AGENDA ITEM 8:  </w:t>
      </w:r>
      <w:r w:rsidR="00AF1E6C" w:rsidRPr="00CB28A3">
        <w:t xml:space="preserve">Harvested Material </w:t>
      </w:r>
      <w:bookmarkEnd w:id="79"/>
      <w:bookmarkEnd w:id="80"/>
      <w:r w:rsidR="00914459" w:rsidRPr="00CB28A3">
        <w:t>(</w:t>
      </w:r>
      <w:r w:rsidR="00914459" w:rsidRPr="00CB28A3">
        <w:rPr>
          <w:snapToGrid w:val="0"/>
        </w:rPr>
        <w:t>document CAJ/77/5)</w:t>
      </w:r>
      <w:bookmarkEnd w:id="81"/>
    </w:p>
    <w:p w:rsidR="00AF1E6C" w:rsidRPr="00CB28A3" w:rsidRDefault="00AF1E6C" w:rsidP="00AA7816">
      <w:pPr>
        <w:keepNext/>
        <w:ind w:left="567" w:hanging="567"/>
        <w:jc w:val="left"/>
      </w:pPr>
    </w:p>
    <w:p w:rsidR="00444EB8" w:rsidRPr="00CB28A3" w:rsidRDefault="00A2365C" w:rsidP="004F4001">
      <w:pPr>
        <w:keepNext/>
        <w:ind w:left="567" w:hanging="567"/>
        <w:jc w:val="left"/>
        <w:rPr>
          <w:snapToGrid w:val="0"/>
        </w:rPr>
      </w:pPr>
      <w:r w:rsidRPr="00CB28A3">
        <w:fldChar w:fldCharType="begin"/>
      </w:r>
      <w:r w:rsidRPr="00CB28A3">
        <w:instrText xml:space="preserve"> AUTONUM  </w:instrText>
      </w:r>
      <w:r w:rsidRPr="00CB28A3">
        <w:fldChar w:fldCharType="end"/>
      </w:r>
      <w:r w:rsidRPr="00CB28A3">
        <w:tab/>
      </w:r>
      <w:r w:rsidRPr="00CB28A3">
        <w:rPr>
          <w:snapToGrid w:val="0"/>
        </w:rPr>
        <w:t>The CAJ considered document CAJ/77/5.</w:t>
      </w:r>
    </w:p>
    <w:p w:rsidR="00A2365C" w:rsidRPr="00CB28A3" w:rsidRDefault="00A2365C" w:rsidP="00914459">
      <w:pPr>
        <w:ind w:left="567" w:hanging="567"/>
      </w:pPr>
    </w:p>
    <w:p w:rsidR="00A2365C" w:rsidRPr="00CB28A3" w:rsidRDefault="00A2365C" w:rsidP="00914459">
      <w:pPr>
        <w:keepNext/>
      </w:pPr>
      <w:r w:rsidRPr="00CB28A3">
        <w:fldChar w:fldCharType="begin"/>
      </w:r>
      <w:r w:rsidRPr="00CB28A3">
        <w:instrText xml:space="preserve"> AUTONUM  </w:instrText>
      </w:r>
      <w:r w:rsidRPr="00CB28A3">
        <w:fldChar w:fldCharType="end"/>
      </w:r>
      <w:r w:rsidRPr="00CB28A3">
        <w:tab/>
      </w:r>
      <w:r w:rsidRPr="00CB28A3">
        <w:rPr>
          <w:spacing w:val="-2"/>
        </w:rPr>
        <w:t xml:space="preserve">The </w:t>
      </w:r>
      <w:r w:rsidRPr="00CB28A3">
        <w:rPr>
          <w:snapToGrid w:val="0"/>
          <w:spacing w:val="-2"/>
        </w:rPr>
        <w:t>CAJ noted the information and proposals received in reply to UPOV Circular E-19/232, as reproduced in Annexes I to III to document CAJ/77/5.</w:t>
      </w:r>
    </w:p>
    <w:p w:rsidR="00A2365C" w:rsidRPr="00CB28A3" w:rsidRDefault="00A2365C" w:rsidP="00914459"/>
    <w:p w:rsidR="00A2365C" w:rsidRDefault="00A2365C" w:rsidP="00F553A5">
      <w:pPr>
        <w:keepNext/>
        <w:keepLines/>
        <w:rPr>
          <w:snapToGrid w:val="0"/>
          <w:spacing w:val="-2"/>
        </w:rPr>
      </w:pPr>
      <w:r w:rsidRPr="00CB28A3">
        <w:fldChar w:fldCharType="begin"/>
      </w:r>
      <w:r w:rsidRPr="00CB28A3">
        <w:instrText xml:space="preserve"> AUTONUM  </w:instrText>
      </w:r>
      <w:r w:rsidRPr="00CB28A3">
        <w:fldChar w:fldCharType="end"/>
      </w:r>
      <w:r w:rsidRPr="00CB28A3">
        <w:tab/>
      </w:r>
      <w:proofErr w:type="gramStart"/>
      <w:r w:rsidRPr="00CB28A3">
        <w:rPr>
          <w:spacing w:val="-2"/>
        </w:rPr>
        <w:t xml:space="preserve">The </w:t>
      </w:r>
      <w:r w:rsidRPr="00CB28A3">
        <w:rPr>
          <w:snapToGrid w:val="0"/>
          <w:spacing w:val="-2"/>
        </w:rPr>
        <w:t>CAJ agreed to invite the Office of the Union to consult the members of the Union that provided information and proposals in reply to Circular E-19/232, in order to explore how to provide guidance on the term “unauthorized use</w:t>
      </w:r>
      <w:r w:rsidRPr="00E10CC1">
        <w:rPr>
          <w:snapToGrid w:val="0"/>
          <w:spacing w:val="-2"/>
        </w:rPr>
        <w:t xml:space="preserve"> of propagating material”, including in relation to trees, in Article 14(2) of the 1991 Act of the UPOV Convention, as a basis to present a proposal for consideration by the CAJ at is seventy-eighth session.</w:t>
      </w:r>
      <w:proofErr w:type="gramEnd"/>
    </w:p>
    <w:p w:rsidR="00181286" w:rsidRPr="00B235E8" w:rsidRDefault="00181286" w:rsidP="00181286">
      <w:pPr>
        <w:jc w:val="left"/>
        <w:rPr>
          <w:sz w:val="18"/>
        </w:rPr>
      </w:pPr>
    </w:p>
    <w:p w:rsidR="007C54C4" w:rsidRPr="00B235E8" w:rsidRDefault="007C54C4" w:rsidP="00181286">
      <w:pPr>
        <w:rPr>
          <w:snapToGrid w:val="0"/>
          <w:sz w:val="18"/>
        </w:rPr>
      </w:pPr>
    </w:p>
    <w:p w:rsidR="00181286" w:rsidRDefault="00181286" w:rsidP="007C1B35">
      <w:pPr>
        <w:pStyle w:val="Heading2"/>
      </w:pPr>
      <w:bookmarkStart w:id="82" w:name="_Toc54617475"/>
      <w:r w:rsidRPr="00336DD7">
        <w:t>Proposals for next steps</w:t>
      </w:r>
      <w:bookmarkEnd w:id="82"/>
      <w:r w:rsidRPr="00336DD7">
        <w:t xml:space="preserve"> </w:t>
      </w:r>
    </w:p>
    <w:p w:rsidR="00940C3E" w:rsidRDefault="00940C3E" w:rsidP="00940C3E"/>
    <w:p w:rsidR="00940C3E" w:rsidRDefault="00940C3E" w:rsidP="00940C3E">
      <w:pPr>
        <w:rPr>
          <w:i/>
        </w:rPr>
      </w:pPr>
      <w:r w:rsidRPr="00940C3E">
        <w:rPr>
          <w:i/>
        </w:rPr>
        <w:t>Japan</w:t>
      </w:r>
    </w:p>
    <w:p w:rsidR="00940C3E" w:rsidRDefault="00940C3E" w:rsidP="00940C3E">
      <w:pPr>
        <w:rPr>
          <w:i/>
        </w:rPr>
      </w:pPr>
    </w:p>
    <w:p w:rsidR="00940C3E" w:rsidRPr="00AD0BD2" w:rsidRDefault="0003590E" w:rsidP="0003590E">
      <w:r w:rsidRPr="00AD0BD2">
        <w:fldChar w:fldCharType="begin"/>
      </w:r>
      <w:r w:rsidRPr="00AD0BD2">
        <w:instrText xml:space="preserve"> AUTONUM  </w:instrText>
      </w:r>
      <w:r w:rsidRPr="00AD0BD2">
        <w:fldChar w:fldCharType="end"/>
      </w:r>
      <w:r w:rsidRPr="00AD0BD2">
        <w:tab/>
        <w:t xml:space="preserve">In reply to Circular E-20/120 of August 21, 2020, the Delegation of Japan expressed its support </w:t>
      </w:r>
      <w:r w:rsidR="00C32260" w:rsidRPr="00AD0BD2">
        <w:t xml:space="preserve">for </w:t>
      </w:r>
      <w:r w:rsidRPr="00AD0BD2">
        <w:t xml:space="preserve">the decisions in document CAJ/77/5 and </w:t>
      </w:r>
      <w:r w:rsidR="00E1786F" w:rsidRPr="00AD0BD2">
        <w:t>stated that it “</w:t>
      </w:r>
      <w:r w:rsidRPr="00AD0BD2">
        <w:t xml:space="preserve">would be in favor of the organization of a </w:t>
      </w:r>
      <w:r w:rsidR="00940C3E" w:rsidRPr="00AD0BD2">
        <w:t>se</w:t>
      </w:r>
      <w:r w:rsidRPr="00AD0BD2">
        <w:t xml:space="preserve">minar on harvested material by UPOV in </w:t>
      </w:r>
      <w:r w:rsidR="00940C3E" w:rsidRPr="00AD0BD2">
        <w:t>2021</w:t>
      </w:r>
      <w:r w:rsidRPr="00AD0BD2">
        <w:t xml:space="preserve"> in order to exchange information on this topic</w:t>
      </w:r>
      <w:r w:rsidR="00E1786F" w:rsidRPr="00AD0BD2">
        <w:t>”</w:t>
      </w:r>
      <w:r w:rsidRPr="00AD0BD2">
        <w:t>.</w:t>
      </w:r>
    </w:p>
    <w:p w:rsidR="00181286" w:rsidRPr="00AD0BD2" w:rsidRDefault="00181286" w:rsidP="00B235E8">
      <w:pPr>
        <w:rPr>
          <w:sz w:val="18"/>
        </w:rPr>
      </w:pPr>
    </w:p>
    <w:p w:rsidR="00181286" w:rsidRPr="00AD0BD2" w:rsidRDefault="00181286" w:rsidP="007C1B35">
      <w:pPr>
        <w:pStyle w:val="Heading3"/>
      </w:pPr>
      <w:bookmarkStart w:id="83" w:name="_Toc54617476"/>
      <w:r w:rsidRPr="00AD0BD2">
        <w:lastRenderedPageBreak/>
        <w:t>Euroseeds</w:t>
      </w:r>
      <w:bookmarkEnd w:id="83"/>
    </w:p>
    <w:p w:rsidR="00914459" w:rsidRPr="00AD0BD2" w:rsidRDefault="00914459" w:rsidP="007C1B35">
      <w:pPr>
        <w:keepNext/>
      </w:pPr>
    </w:p>
    <w:p w:rsidR="00914459" w:rsidRPr="00AD0BD2" w:rsidRDefault="00914459" w:rsidP="007C1B35">
      <w:pPr>
        <w:keepNext/>
      </w:pPr>
      <w:r w:rsidRPr="00AD0BD2">
        <w:fldChar w:fldCharType="begin"/>
      </w:r>
      <w:r w:rsidRPr="00AD0BD2">
        <w:instrText xml:space="preserve"> AUTONUM  </w:instrText>
      </w:r>
      <w:r w:rsidRPr="00AD0BD2">
        <w:fldChar w:fldCharType="end"/>
      </w:r>
      <w:r w:rsidRPr="00AD0BD2">
        <w:tab/>
        <w:t xml:space="preserve">In reply to Circular E-20/120 of August 21, 2020, </w:t>
      </w:r>
      <w:r w:rsidR="004F4001" w:rsidRPr="00AD0BD2">
        <w:t xml:space="preserve">the following </w:t>
      </w:r>
      <w:r w:rsidRPr="00AD0BD2">
        <w:t>c</w:t>
      </w:r>
      <w:r w:rsidRPr="00AD0BD2">
        <w:rPr>
          <w:rFonts w:cs="Arial"/>
          <w:lang w:eastAsia="fr-FR"/>
        </w:rPr>
        <w:t xml:space="preserve">omments </w:t>
      </w:r>
      <w:proofErr w:type="gramStart"/>
      <w:r w:rsidRPr="00AD0BD2">
        <w:rPr>
          <w:rFonts w:cs="Arial"/>
          <w:lang w:eastAsia="fr-FR"/>
        </w:rPr>
        <w:t>were received</w:t>
      </w:r>
      <w:proofErr w:type="gramEnd"/>
      <w:r w:rsidRPr="00AD0BD2">
        <w:rPr>
          <w:rFonts w:cs="Arial"/>
          <w:lang w:eastAsia="fr-FR"/>
        </w:rPr>
        <w:t xml:space="preserve"> </w:t>
      </w:r>
      <w:r w:rsidR="00E92E8C" w:rsidRPr="00AD0BD2">
        <w:rPr>
          <w:snapToGrid w:val="0"/>
        </w:rPr>
        <w:t>from Euroseeds</w:t>
      </w:r>
      <w:r w:rsidRPr="00AD0BD2">
        <w:rPr>
          <w:rFonts w:cs="Arial"/>
          <w:lang w:eastAsia="fr-FR"/>
        </w:rPr>
        <w:t xml:space="preserve">, on </w:t>
      </w:r>
      <w:r w:rsidR="00E92E8C" w:rsidRPr="00AD0BD2">
        <w:rPr>
          <w:snapToGrid w:val="0"/>
        </w:rPr>
        <w:t>document CAJ/77/5</w:t>
      </w:r>
      <w:r w:rsidR="00E92E8C" w:rsidRPr="00AD0BD2">
        <w:t>:</w:t>
      </w:r>
    </w:p>
    <w:p w:rsidR="00181286" w:rsidRPr="00AD0BD2" w:rsidRDefault="00181286" w:rsidP="007C1B35">
      <w:pPr>
        <w:keepNext/>
        <w:rPr>
          <w:sz w:val="22"/>
        </w:rPr>
      </w:pPr>
    </w:p>
    <w:p w:rsidR="00181286" w:rsidRPr="00AD0BD2" w:rsidRDefault="00181286" w:rsidP="00643B89">
      <w:pPr>
        <w:pStyle w:val="TableParagraph"/>
        <w:ind w:left="567" w:right="567"/>
        <w:jc w:val="both"/>
        <w:rPr>
          <w:rFonts w:ascii="Arial" w:hAnsi="Arial" w:cs="Arial"/>
          <w:sz w:val="18"/>
          <w:szCs w:val="18"/>
        </w:rPr>
      </w:pPr>
      <w:r w:rsidRPr="00AD0BD2">
        <w:rPr>
          <w:rFonts w:ascii="Arial" w:hAnsi="Arial" w:cs="Arial"/>
          <w:sz w:val="18"/>
          <w:szCs w:val="18"/>
          <w:lang w:eastAsia="zh-CN"/>
        </w:rPr>
        <w:t>“</w:t>
      </w:r>
      <w:r w:rsidRPr="00AD0BD2">
        <w:rPr>
          <w:rFonts w:ascii="Arial" w:hAnsi="Arial" w:cs="Arial"/>
          <w:sz w:val="18"/>
          <w:szCs w:val="18"/>
        </w:rPr>
        <w:t>We have noted that on this matter it is proposed to have a proposal for consideration by the CAJ at its next session, with the intention of investigating in the meantime how best guidance co</w:t>
      </w:r>
      <w:r w:rsidR="00643B89" w:rsidRPr="00AD0BD2">
        <w:rPr>
          <w:rFonts w:ascii="Arial" w:hAnsi="Arial" w:cs="Arial"/>
          <w:sz w:val="18"/>
          <w:szCs w:val="18"/>
        </w:rPr>
        <w:t>uld be given on the notion of ‘</w:t>
      </w:r>
      <w:r w:rsidRPr="00AD0BD2">
        <w:rPr>
          <w:rFonts w:ascii="Arial" w:hAnsi="Arial" w:cs="Arial"/>
          <w:sz w:val="18"/>
          <w:szCs w:val="18"/>
        </w:rPr>
        <w:t>unauthoriz</w:t>
      </w:r>
      <w:r w:rsidR="00643B89" w:rsidRPr="00AD0BD2">
        <w:rPr>
          <w:rFonts w:ascii="Arial" w:hAnsi="Arial" w:cs="Arial"/>
          <w:sz w:val="18"/>
          <w:szCs w:val="18"/>
        </w:rPr>
        <w:t>ed use of propagating material’</w:t>
      </w:r>
      <w:r w:rsidRPr="00AD0BD2">
        <w:rPr>
          <w:rFonts w:ascii="Arial" w:hAnsi="Arial" w:cs="Arial"/>
          <w:sz w:val="18"/>
          <w:szCs w:val="18"/>
        </w:rPr>
        <w:t>.</w:t>
      </w:r>
      <w:r w:rsidR="00643B89" w:rsidRPr="00AD0BD2">
        <w:rPr>
          <w:rFonts w:ascii="Arial" w:hAnsi="Arial" w:cs="Arial"/>
          <w:sz w:val="18"/>
          <w:szCs w:val="18"/>
        </w:rPr>
        <w:t xml:space="preserve"> </w:t>
      </w:r>
      <w:r w:rsidRPr="00AD0BD2">
        <w:rPr>
          <w:rFonts w:ascii="Arial" w:hAnsi="Arial" w:cs="Arial"/>
          <w:sz w:val="18"/>
          <w:szCs w:val="18"/>
        </w:rPr>
        <w:t xml:space="preserve"> Euroseeds is in agreement with the proposed procedure. </w:t>
      </w:r>
      <w:r w:rsidR="00643B89" w:rsidRPr="00AD0BD2">
        <w:rPr>
          <w:rFonts w:ascii="Arial" w:hAnsi="Arial" w:cs="Arial"/>
          <w:sz w:val="18"/>
          <w:szCs w:val="18"/>
        </w:rPr>
        <w:t xml:space="preserve"> </w:t>
      </w:r>
      <w:r w:rsidRPr="00AD0BD2">
        <w:rPr>
          <w:rFonts w:ascii="Arial" w:hAnsi="Arial" w:cs="Arial"/>
          <w:sz w:val="18"/>
          <w:szCs w:val="18"/>
        </w:rPr>
        <w:t>However, we wish to take this opportunity to express some key elements in relation to th</w:t>
      </w:r>
      <w:r w:rsidR="00643B89" w:rsidRPr="00AD0BD2">
        <w:rPr>
          <w:rFonts w:ascii="Arial" w:hAnsi="Arial" w:cs="Arial"/>
          <w:sz w:val="18"/>
          <w:szCs w:val="18"/>
        </w:rPr>
        <w:t>e notion of ‘unauthorized use’.  Euroseeds believes that ‘unauthorized use’</w:t>
      </w:r>
      <w:r w:rsidRPr="00AD0BD2">
        <w:rPr>
          <w:rFonts w:ascii="Arial" w:hAnsi="Arial" w:cs="Arial"/>
          <w:sz w:val="18"/>
          <w:szCs w:val="18"/>
        </w:rPr>
        <w:t xml:space="preserve"> does not only refer to use without the consent of the plant breeders’ right holder (i.e. consent for the acts listed </w:t>
      </w:r>
      <w:r w:rsidR="00643B89" w:rsidRPr="00AD0BD2">
        <w:rPr>
          <w:rFonts w:ascii="Arial" w:hAnsi="Arial" w:cs="Arial"/>
          <w:sz w:val="18"/>
          <w:szCs w:val="18"/>
        </w:rPr>
        <w:t>in Article 14(1</w:t>
      </w:r>
      <w:proofErr w:type="gramStart"/>
      <w:r w:rsidR="00643B89" w:rsidRPr="00AD0BD2">
        <w:rPr>
          <w:rFonts w:ascii="Arial" w:hAnsi="Arial" w:cs="Arial"/>
          <w:sz w:val="18"/>
          <w:szCs w:val="18"/>
        </w:rPr>
        <w:t>)(</w:t>
      </w:r>
      <w:proofErr w:type="gramEnd"/>
      <w:r w:rsidR="00643B89" w:rsidRPr="00AD0BD2">
        <w:rPr>
          <w:rFonts w:ascii="Arial" w:hAnsi="Arial" w:cs="Arial"/>
          <w:sz w:val="18"/>
          <w:szCs w:val="18"/>
        </w:rPr>
        <w:t>a) of the UPOV 1991 </w:t>
      </w:r>
      <w:r w:rsidRPr="00AD0BD2">
        <w:rPr>
          <w:rFonts w:ascii="Arial" w:hAnsi="Arial" w:cs="Arial"/>
          <w:sz w:val="18"/>
          <w:szCs w:val="18"/>
        </w:rPr>
        <w:t>Convention) but also to any other unauthorized use, such as breach of contract.</w:t>
      </w:r>
      <w:r w:rsidR="00643B89" w:rsidRPr="00AD0BD2">
        <w:rPr>
          <w:rFonts w:ascii="Arial" w:hAnsi="Arial" w:cs="Arial"/>
          <w:sz w:val="18"/>
          <w:szCs w:val="18"/>
        </w:rPr>
        <w:t xml:space="preserve"> </w:t>
      </w:r>
      <w:r w:rsidRPr="00AD0BD2">
        <w:rPr>
          <w:rFonts w:ascii="Arial" w:hAnsi="Arial" w:cs="Arial"/>
          <w:sz w:val="18"/>
          <w:szCs w:val="18"/>
        </w:rPr>
        <w:t xml:space="preserve"> In that sense, Euroseeds advocates for a broad interpretation of the notio</w:t>
      </w:r>
      <w:r w:rsidR="00643B89" w:rsidRPr="00AD0BD2">
        <w:rPr>
          <w:rFonts w:ascii="Arial" w:hAnsi="Arial" w:cs="Arial"/>
          <w:sz w:val="18"/>
          <w:szCs w:val="18"/>
        </w:rPr>
        <w:t>n of ‘unauthorized use’</w:t>
      </w:r>
      <w:r w:rsidRPr="00AD0BD2">
        <w:rPr>
          <w:rFonts w:ascii="Arial" w:hAnsi="Arial" w:cs="Arial"/>
          <w:sz w:val="18"/>
          <w:szCs w:val="18"/>
        </w:rPr>
        <w:t xml:space="preserve"> and </w:t>
      </w:r>
      <w:proofErr w:type="gramStart"/>
      <w:r w:rsidRPr="00AD0BD2">
        <w:rPr>
          <w:rFonts w:ascii="Arial" w:hAnsi="Arial" w:cs="Arial"/>
          <w:sz w:val="18"/>
          <w:szCs w:val="18"/>
        </w:rPr>
        <w:t>would also</w:t>
      </w:r>
      <w:proofErr w:type="gramEnd"/>
      <w:r w:rsidRPr="00AD0BD2">
        <w:rPr>
          <w:rFonts w:ascii="Arial" w:hAnsi="Arial" w:cs="Arial"/>
          <w:sz w:val="18"/>
          <w:szCs w:val="18"/>
        </w:rPr>
        <w:t xml:space="preserve"> like to emphasize that the decision rendered by the Court of Justice of the European Union in case C-176/18, which suggests a limited interpretation, has important negative consequences for breeders.</w:t>
      </w:r>
    </w:p>
    <w:p w:rsidR="00181286" w:rsidRPr="00AD0BD2" w:rsidRDefault="00181286" w:rsidP="00643B89">
      <w:pPr>
        <w:pStyle w:val="TableParagraph"/>
        <w:ind w:left="567" w:right="567"/>
        <w:jc w:val="both"/>
        <w:rPr>
          <w:rFonts w:ascii="Arial" w:hAnsi="Arial" w:cs="Arial"/>
          <w:sz w:val="18"/>
          <w:szCs w:val="18"/>
        </w:rPr>
      </w:pPr>
    </w:p>
    <w:p w:rsidR="00181286" w:rsidRPr="00AD0BD2" w:rsidRDefault="00643B89" w:rsidP="00643B89">
      <w:pPr>
        <w:pStyle w:val="Default"/>
        <w:ind w:left="567" w:right="567"/>
        <w:jc w:val="both"/>
        <w:rPr>
          <w:color w:val="auto"/>
          <w:sz w:val="18"/>
          <w:szCs w:val="18"/>
          <w:lang w:eastAsia="zh-CN"/>
        </w:rPr>
      </w:pPr>
      <w:r w:rsidRPr="00AD0BD2">
        <w:rPr>
          <w:color w:val="auto"/>
          <w:sz w:val="18"/>
          <w:szCs w:val="18"/>
        </w:rPr>
        <w:t>“</w:t>
      </w:r>
      <w:r w:rsidR="00181286" w:rsidRPr="00AD0BD2">
        <w:rPr>
          <w:color w:val="auto"/>
          <w:sz w:val="18"/>
          <w:szCs w:val="18"/>
        </w:rPr>
        <w:t xml:space="preserve">Based on the above, Euroseeds would like to see a good and strong explanatory note on harvested material recognizing the needs of breeders for a strong protection and workable enforcement possibilities also on harvested material. In this respect, for further information, we refer to the </w:t>
      </w:r>
      <w:hyperlink r:id="rId10" w:history="1">
        <w:r w:rsidR="00181286" w:rsidRPr="00AD0BD2">
          <w:rPr>
            <w:rStyle w:val="Hyperlink"/>
            <w:sz w:val="18"/>
            <w:szCs w:val="18"/>
          </w:rPr>
          <w:t>Euroseeds position on harvested material</w:t>
        </w:r>
      </w:hyperlink>
      <w:r w:rsidR="00181286" w:rsidRPr="00AD0BD2">
        <w:rPr>
          <w:color w:val="auto"/>
          <w:sz w:val="18"/>
          <w:szCs w:val="18"/>
        </w:rPr>
        <w:t>.”</w:t>
      </w:r>
    </w:p>
    <w:p w:rsidR="00181286" w:rsidRPr="00AD0BD2" w:rsidRDefault="00181286" w:rsidP="007C1B35">
      <w:pPr>
        <w:pStyle w:val="Heading3"/>
      </w:pPr>
    </w:p>
    <w:p w:rsidR="00181286" w:rsidRPr="00AD0BD2" w:rsidRDefault="00181286" w:rsidP="007C1B35">
      <w:pPr>
        <w:pStyle w:val="Heading3"/>
      </w:pPr>
      <w:bookmarkStart w:id="84" w:name="_Toc54617477"/>
      <w:r w:rsidRPr="00AD0BD2">
        <w:t xml:space="preserve">The International Community of Breeders of Asexually Reproduced Horticultural Plants (CIOPORA) and </w:t>
      </w:r>
      <w:r w:rsidR="007C54C4" w:rsidRPr="00AD0BD2">
        <w:br/>
      </w:r>
      <w:r w:rsidRPr="00AD0BD2">
        <w:t>the International Seed Federation (ISF)</w:t>
      </w:r>
      <w:bookmarkEnd w:id="84"/>
    </w:p>
    <w:p w:rsidR="00181286" w:rsidRPr="00AD0BD2" w:rsidRDefault="00181286" w:rsidP="00E92E8C">
      <w:pPr>
        <w:keepNext/>
      </w:pPr>
    </w:p>
    <w:p w:rsidR="00E92E8C" w:rsidRPr="00AD0BD2" w:rsidRDefault="00E92E8C" w:rsidP="007C1B35">
      <w:pPr>
        <w:keepNext/>
      </w:pPr>
      <w:r w:rsidRPr="00AD0BD2">
        <w:fldChar w:fldCharType="begin"/>
      </w:r>
      <w:r w:rsidRPr="00AD0BD2">
        <w:instrText xml:space="preserve"> AUTONUM  </w:instrText>
      </w:r>
      <w:r w:rsidRPr="00AD0BD2">
        <w:fldChar w:fldCharType="end"/>
      </w:r>
      <w:r w:rsidRPr="00AD0BD2">
        <w:tab/>
        <w:t xml:space="preserve">In reply to Circular E-20/120 of August 21, 2020, </w:t>
      </w:r>
      <w:r w:rsidR="004F4001" w:rsidRPr="00AD0BD2">
        <w:t xml:space="preserve">the following </w:t>
      </w:r>
      <w:r w:rsidRPr="00AD0BD2">
        <w:rPr>
          <w:snapToGrid w:val="0"/>
        </w:rPr>
        <w:t xml:space="preserve">joint comments </w:t>
      </w:r>
      <w:proofErr w:type="gramStart"/>
      <w:r w:rsidRPr="00AD0BD2">
        <w:rPr>
          <w:rFonts w:cs="Arial"/>
          <w:lang w:eastAsia="fr-FR"/>
        </w:rPr>
        <w:t>were received</w:t>
      </w:r>
      <w:proofErr w:type="gramEnd"/>
      <w:r w:rsidRPr="00AD0BD2">
        <w:rPr>
          <w:rFonts w:cs="Arial"/>
          <w:lang w:eastAsia="fr-FR"/>
        </w:rPr>
        <w:t xml:space="preserve"> </w:t>
      </w:r>
      <w:r w:rsidR="00B235E8" w:rsidRPr="00AD0BD2">
        <w:rPr>
          <w:rFonts w:cs="Arial"/>
          <w:lang w:eastAsia="fr-FR"/>
        </w:rPr>
        <w:t xml:space="preserve">from the </w:t>
      </w:r>
      <w:r w:rsidR="00B235E8" w:rsidRPr="00AD0BD2">
        <w:rPr>
          <w:snapToGrid w:val="0"/>
        </w:rPr>
        <w:t>International Community of Breeders of Asexually Reproduced Horticultural Plants (CIOPORA)</w:t>
      </w:r>
      <w:r w:rsidRPr="00AD0BD2">
        <w:rPr>
          <w:snapToGrid w:val="0"/>
        </w:rPr>
        <w:t xml:space="preserve"> and </w:t>
      </w:r>
      <w:r w:rsidR="0003590E" w:rsidRPr="00AD0BD2">
        <w:rPr>
          <w:snapToGrid w:val="0"/>
        </w:rPr>
        <w:t>ISF</w:t>
      </w:r>
      <w:r w:rsidRPr="00AD0BD2">
        <w:rPr>
          <w:rFonts w:cs="Arial"/>
          <w:lang w:eastAsia="fr-FR"/>
        </w:rPr>
        <w:t xml:space="preserve">, on </w:t>
      </w:r>
      <w:r w:rsidRPr="00AD0BD2">
        <w:rPr>
          <w:snapToGrid w:val="0"/>
        </w:rPr>
        <w:t>document CAJ/77/5</w:t>
      </w:r>
      <w:r w:rsidRPr="00AD0BD2">
        <w:t>:</w:t>
      </w:r>
    </w:p>
    <w:p w:rsidR="00E92E8C" w:rsidRPr="00AD0BD2" w:rsidRDefault="00E92E8C" w:rsidP="007C1B35">
      <w:pPr>
        <w:keepNext/>
        <w:rPr>
          <w:sz w:val="22"/>
        </w:rPr>
      </w:pPr>
    </w:p>
    <w:p w:rsidR="007C54C4" w:rsidRPr="00AD0BD2" w:rsidRDefault="00181286" w:rsidP="007C54C4">
      <w:pPr>
        <w:pStyle w:val="TableParagraph"/>
        <w:ind w:left="567" w:right="567"/>
        <w:jc w:val="both"/>
        <w:rPr>
          <w:rFonts w:ascii="Arial" w:hAnsi="Arial" w:cs="Arial"/>
          <w:sz w:val="18"/>
          <w:szCs w:val="18"/>
        </w:rPr>
      </w:pPr>
      <w:r w:rsidRPr="00AD0BD2">
        <w:rPr>
          <w:rFonts w:ascii="Arial" w:hAnsi="Arial" w:cs="Arial"/>
          <w:sz w:val="18"/>
          <w:szCs w:val="18"/>
          <w:lang w:eastAsia="zh-CN"/>
        </w:rPr>
        <w:t>“</w:t>
      </w:r>
      <w:r w:rsidR="007C54C4" w:rsidRPr="00AD0BD2">
        <w:rPr>
          <w:rFonts w:ascii="Arial" w:hAnsi="Arial" w:cs="Arial"/>
          <w:sz w:val="18"/>
          <w:szCs w:val="18"/>
        </w:rPr>
        <w:t xml:space="preserve">In response to UPOV Circular E-20/120 of August 21, 2020, we very much appreciate the suggestion of Japan to develop guidance on the term ‘unauthorized use of propagating material’.  </w:t>
      </w:r>
      <w:proofErr w:type="gramStart"/>
      <w:r w:rsidR="007C54C4" w:rsidRPr="00AD0BD2">
        <w:rPr>
          <w:rFonts w:ascii="Arial" w:hAnsi="Arial" w:cs="Arial"/>
          <w:sz w:val="18"/>
          <w:szCs w:val="18"/>
        </w:rPr>
        <w:t>The discussion about the topic comes at the exactly right time, since the matter has gained particular importance in the recent past, as the European Court of Justice (CJEU) in the case C-176/18 (</w:t>
      </w:r>
      <w:proofErr w:type="spellStart"/>
      <w:r w:rsidR="007C54C4" w:rsidRPr="00AD0BD2">
        <w:rPr>
          <w:rFonts w:ascii="Arial" w:hAnsi="Arial" w:cs="Arial"/>
          <w:sz w:val="18"/>
          <w:szCs w:val="18"/>
        </w:rPr>
        <w:t>Nadorcott</w:t>
      </w:r>
      <w:proofErr w:type="spellEnd"/>
      <w:r w:rsidR="007C54C4" w:rsidRPr="00AD0BD2">
        <w:rPr>
          <w:rFonts w:ascii="Arial" w:hAnsi="Arial" w:cs="Arial"/>
          <w:sz w:val="18"/>
          <w:szCs w:val="18"/>
        </w:rPr>
        <w:t>) issued a far-reaching decision with the main focus on the question under which circumstances the requirement of ‘unauthorized use of propagating material (variety constituents)’ is given for the exercise of the plant breeders right on harvested material.</w:t>
      </w:r>
      <w:proofErr w:type="gramEnd"/>
    </w:p>
    <w:p w:rsidR="007C54C4" w:rsidRPr="00AD0BD2" w:rsidRDefault="007C54C4" w:rsidP="007C54C4">
      <w:pPr>
        <w:pStyle w:val="TableParagraph"/>
        <w:ind w:left="567" w:right="567"/>
        <w:jc w:val="both"/>
        <w:rPr>
          <w:rFonts w:ascii="Arial" w:hAnsi="Arial" w:cs="Arial"/>
          <w:sz w:val="18"/>
          <w:szCs w:val="18"/>
        </w:rPr>
      </w:pPr>
    </w:p>
    <w:p w:rsidR="007C54C4" w:rsidRPr="00AD0BD2" w:rsidRDefault="007C54C4" w:rsidP="007C54C4">
      <w:pPr>
        <w:pStyle w:val="TableParagraph"/>
        <w:keepLines/>
        <w:ind w:left="567" w:right="567"/>
        <w:jc w:val="both"/>
        <w:rPr>
          <w:rFonts w:ascii="Arial" w:hAnsi="Arial" w:cs="Arial"/>
          <w:sz w:val="18"/>
          <w:szCs w:val="18"/>
        </w:rPr>
      </w:pPr>
      <w:r w:rsidRPr="00AD0BD2">
        <w:rPr>
          <w:rFonts w:ascii="Arial" w:hAnsi="Arial" w:cs="Arial"/>
          <w:sz w:val="18"/>
          <w:szCs w:val="18"/>
        </w:rPr>
        <w:t xml:space="preserve">“CIOPORA and ISF, therefore, are supportive of the proposal of Japan to add in the EXN, in relation to ‘unauthorized use’ of propagating material, the acts of planting and growing (cultivation).  This would solve the situation where trees (propagating material) </w:t>
      </w:r>
      <w:proofErr w:type="gramStart"/>
      <w:r w:rsidRPr="00AD0BD2">
        <w:rPr>
          <w:rFonts w:ascii="Arial" w:hAnsi="Arial" w:cs="Arial"/>
          <w:sz w:val="18"/>
          <w:szCs w:val="18"/>
        </w:rPr>
        <w:t>have been produced</w:t>
      </w:r>
      <w:proofErr w:type="gramEnd"/>
      <w:r w:rsidRPr="00AD0BD2">
        <w:rPr>
          <w:rFonts w:ascii="Arial" w:hAnsi="Arial" w:cs="Arial"/>
          <w:sz w:val="18"/>
          <w:szCs w:val="18"/>
        </w:rPr>
        <w:t xml:space="preserve"> prior to the granting of the Plant Breeders Right and then are planted on the premises of a grower, who continuously produces fruits over several years.</w:t>
      </w:r>
    </w:p>
    <w:p w:rsidR="007C54C4" w:rsidRPr="00AD0BD2" w:rsidRDefault="007C54C4" w:rsidP="007C54C4">
      <w:pPr>
        <w:pStyle w:val="TableParagraph"/>
        <w:ind w:left="567" w:right="567"/>
        <w:jc w:val="both"/>
        <w:rPr>
          <w:rFonts w:ascii="Arial" w:hAnsi="Arial" w:cs="Arial"/>
          <w:sz w:val="18"/>
          <w:szCs w:val="18"/>
        </w:rPr>
      </w:pPr>
    </w:p>
    <w:p w:rsidR="00181286" w:rsidRPr="00AD0BD2" w:rsidRDefault="007C54C4" w:rsidP="007C54C4">
      <w:pPr>
        <w:pStyle w:val="TableParagraph"/>
        <w:ind w:left="567" w:right="567"/>
        <w:jc w:val="both"/>
        <w:rPr>
          <w:rFonts w:ascii="Arial" w:hAnsi="Arial" w:cs="Arial"/>
          <w:sz w:val="18"/>
          <w:szCs w:val="18"/>
          <w:lang w:eastAsia="zh-CN"/>
        </w:rPr>
      </w:pPr>
      <w:r w:rsidRPr="00AD0BD2">
        <w:rPr>
          <w:rFonts w:ascii="Arial" w:hAnsi="Arial" w:cs="Arial"/>
          <w:sz w:val="18"/>
          <w:szCs w:val="18"/>
        </w:rPr>
        <w:t>“The effective protection of harvested material is very important for breeders.  Therefore, it might be advisable to have a seminar about the matter in the first half of 2021.”</w:t>
      </w:r>
    </w:p>
    <w:p w:rsidR="00643B89" w:rsidRPr="00AD0BD2" w:rsidRDefault="00643B89" w:rsidP="007C54C4">
      <w:pPr>
        <w:jc w:val="left"/>
      </w:pPr>
      <w:bookmarkStart w:id="85" w:name="_Toc54097494"/>
      <w:bookmarkStart w:id="86" w:name="_Toc54097628"/>
    </w:p>
    <w:p w:rsidR="00672563" w:rsidRPr="00AD0BD2" w:rsidRDefault="00672563" w:rsidP="00D82EE7">
      <w:pPr>
        <w:rPr>
          <w:snapToGrid w:val="0"/>
        </w:rPr>
      </w:pPr>
      <w:r w:rsidRPr="00AD0BD2">
        <w:rPr>
          <w:spacing w:val="-2"/>
        </w:rPr>
        <w:fldChar w:fldCharType="begin"/>
      </w:r>
      <w:r w:rsidRPr="00AD0BD2">
        <w:rPr>
          <w:spacing w:val="-2"/>
        </w:rPr>
        <w:instrText xml:space="preserve"> AUTONUM  </w:instrText>
      </w:r>
      <w:r w:rsidRPr="00AD0BD2">
        <w:rPr>
          <w:spacing w:val="-2"/>
        </w:rPr>
        <w:fldChar w:fldCharType="end"/>
      </w:r>
      <w:r w:rsidRPr="00AD0BD2">
        <w:rPr>
          <w:spacing w:val="-2"/>
        </w:rPr>
        <w:tab/>
      </w:r>
      <w:r w:rsidR="0003590E" w:rsidRPr="00AD0BD2">
        <w:rPr>
          <w:spacing w:val="-2"/>
        </w:rPr>
        <w:t xml:space="preserve">The </w:t>
      </w:r>
      <w:r w:rsidR="00CC7D6A" w:rsidRPr="00AD0BD2">
        <w:rPr>
          <w:snapToGrid w:val="0"/>
          <w:spacing w:val="-2"/>
        </w:rPr>
        <w:t xml:space="preserve">joint </w:t>
      </w:r>
      <w:r w:rsidR="008C7A1A" w:rsidRPr="00AD0BD2">
        <w:rPr>
          <w:snapToGrid w:val="0"/>
          <w:spacing w:val="-2"/>
        </w:rPr>
        <w:t>comments</w:t>
      </w:r>
      <w:r w:rsidR="00CC7D6A" w:rsidRPr="00AD0BD2">
        <w:rPr>
          <w:snapToGrid w:val="0"/>
          <w:spacing w:val="-2"/>
        </w:rPr>
        <w:t xml:space="preserve"> from </w:t>
      </w:r>
      <w:r w:rsidRPr="00AD0BD2">
        <w:rPr>
          <w:snapToGrid w:val="0"/>
          <w:spacing w:val="-2"/>
        </w:rPr>
        <w:t xml:space="preserve">ISF, </w:t>
      </w:r>
      <w:r w:rsidR="00DA4FC8" w:rsidRPr="00AD0BD2">
        <w:rPr>
          <w:snapToGrid w:val="0"/>
          <w:spacing w:val="-2"/>
        </w:rPr>
        <w:t>African Seed Trade Association (AFSTA)</w:t>
      </w:r>
      <w:r w:rsidR="00D82EE7" w:rsidRPr="00AD0BD2">
        <w:rPr>
          <w:snapToGrid w:val="0"/>
          <w:spacing w:val="-2"/>
        </w:rPr>
        <w:t xml:space="preserve">, </w:t>
      </w:r>
      <w:r w:rsidR="00DA4FC8" w:rsidRPr="00AD0BD2">
        <w:rPr>
          <w:snapToGrid w:val="0"/>
          <w:spacing w:val="-2"/>
        </w:rPr>
        <w:t>Asia and Pacific Seed Association (APSA)</w:t>
      </w:r>
      <w:r w:rsidR="00D82EE7" w:rsidRPr="00AD0BD2">
        <w:rPr>
          <w:snapToGrid w:val="0"/>
          <w:spacing w:val="-2"/>
        </w:rPr>
        <w:t xml:space="preserve"> and </w:t>
      </w:r>
      <w:r w:rsidR="00DA4FC8" w:rsidRPr="00AD0BD2">
        <w:rPr>
          <w:snapToGrid w:val="0"/>
          <w:spacing w:val="-2"/>
        </w:rPr>
        <w:t>Seed Association of the Americas (SAA)</w:t>
      </w:r>
      <w:r w:rsidR="00D82EE7" w:rsidRPr="00AD0BD2">
        <w:rPr>
          <w:snapToGrid w:val="0"/>
          <w:spacing w:val="-2"/>
        </w:rPr>
        <w:t xml:space="preserve">, received in </w:t>
      </w:r>
      <w:r w:rsidR="00E92E8C" w:rsidRPr="00AD0BD2">
        <w:rPr>
          <w:snapToGrid w:val="0"/>
          <w:spacing w:val="-2"/>
        </w:rPr>
        <w:t>reply to Circular E-20/120</w:t>
      </w:r>
      <w:r w:rsidR="00D82EE7" w:rsidRPr="00AD0BD2">
        <w:rPr>
          <w:snapToGrid w:val="0"/>
          <w:spacing w:val="-2"/>
        </w:rPr>
        <w:t xml:space="preserve">, of </w:t>
      </w:r>
      <w:r w:rsidR="00392659">
        <w:rPr>
          <w:snapToGrid w:val="0"/>
          <w:spacing w:val="-2"/>
        </w:rPr>
        <w:t>August</w:t>
      </w:r>
      <w:r w:rsidR="0003590E" w:rsidRPr="00AD0BD2">
        <w:rPr>
          <w:snapToGrid w:val="0"/>
          <w:spacing w:val="-2"/>
        </w:rPr>
        <w:t> </w:t>
      </w:r>
      <w:r w:rsidR="00D82EE7" w:rsidRPr="00AD0BD2">
        <w:rPr>
          <w:snapToGrid w:val="0"/>
          <w:spacing w:val="-2"/>
        </w:rPr>
        <w:t xml:space="preserve">21, 2020, </w:t>
      </w:r>
      <w:r w:rsidR="0003590E" w:rsidRPr="00AD0BD2">
        <w:rPr>
          <w:snapToGrid w:val="0"/>
          <w:spacing w:val="-2"/>
        </w:rPr>
        <w:t>expressed</w:t>
      </w:r>
      <w:r w:rsidRPr="00AD0BD2">
        <w:rPr>
          <w:snapToGrid w:val="0"/>
          <w:spacing w:val="-2"/>
        </w:rPr>
        <w:t xml:space="preserve"> support to the </w:t>
      </w:r>
      <w:r w:rsidR="004F4001" w:rsidRPr="00AD0BD2">
        <w:rPr>
          <w:snapToGrid w:val="0"/>
          <w:spacing w:val="-2"/>
        </w:rPr>
        <w:t xml:space="preserve">above </w:t>
      </w:r>
      <w:r w:rsidRPr="00AD0BD2">
        <w:rPr>
          <w:snapToGrid w:val="0"/>
          <w:spacing w:val="-2"/>
        </w:rPr>
        <w:t xml:space="preserve">proposal from CIOPORA </w:t>
      </w:r>
      <w:r w:rsidR="00E92E8C" w:rsidRPr="00AD0BD2">
        <w:rPr>
          <w:snapToGrid w:val="0"/>
          <w:spacing w:val="-2"/>
        </w:rPr>
        <w:t xml:space="preserve">and ISF </w:t>
      </w:r>
      <w:r w:rsidRPr="00AD0BD2">
        <w:rPr>
          <w:snapToGrid w:val="0"/>
          <w:spacing w:val="-2"/>
        </w:rPr>
        <w:t>to organize a seminar on this topic</w:t>
      </w:r>
      <w:r w:rsidR="007F6116" w:rsidRPr="00AD0BD2">
        <w:rPr>
          <w:snapToGrid w:val="0"/>
          <w:spacing w:val="-2"/>
        </w:rPr>
        <w:t>, as reproduced below:</w:t>
      </w:r>
      <w:r w:rsidR="00E1786F" w:rsidRPr="00AD0BD2">
        <w:rPr>
          <w:snapToGrid w:val="0"/>
        </w:rPr>
        <w:t xml:space="preserve"> </w:t>
      </w:r>
      <w:r w:rsidR="007F6116" w:rsidRPr="00AD0BD2">
        <w:rPr>
          <w:snapToGrid w:val="0"/>
        </w:rPr>
        <w:t xml:space="preserve"> </w:t>
      </w:r>
      <w:r w:rsidR="007F6116" w:rsidRPr="00AD0BD2">
        <w:rPr>
          <w:snapToGrid w:val="0"/>
          <w:sz w:val="18"/>
        </w:rPr>
        <w:t xml:space="preserve"> </w:t>
      </w:r>
    </w:p>
    <w:p w:rsidR="00915E81" w:rsidRPr="00AD0BD2" w:rsidRDefault="00915E81" w:rsidP="00915E81">
      <w:pPr>
        <w:ind w:left="567" w:right="567"/>
        <w:rPr>
          <w:sz w:val="18"/>
        </w:rPr>
      </w:pPr>
    </w:p>
    <w:p w:rsidR="00915E81" w:rsidRPr="00CB28A3" w:rsidRDefault="00915E81" w:rsidP="00915E81">
      <w:pPr>
        <w:ind w:left="567" w:right="567"/>
        <w:rPr>
          <w:sz w:val="18"/>
        </w:rPr>
      </w:pPr>
      <w:r w:rsidRPr="00AD0BD2">
        <w:rPr>
          <w:sz w:val="18"/>
        </w:rPr>
        <w:t xml:space="preserve">“We welcome the </w:t>
      </w:r>
      <w:r w:rsidRPr="00CB28A3">
        <w:rPr>
          <w:sz w:val="18"/>
        </w:rPr>
        <w:t>contributions from European Union and Japan.  We agree that this is a matter of great importance.</w:t>
      </w:r>
    </w:p>
    <w:p w:rsidR="00DA4FC8" w:rsidRPr="00CB28A3" w:rsidRDefault="00915E81" w:rsidP="00915E81">
      <w:pPr>
        <w:ind w:left="567" w:right="567"/>
        <w:rPr>
          <w:sz w:val="18"/>
        </w:rPr>
      </w:pPr>
      <w:r w:rsidRPr="00CB28A3">
        <w:rPr>
          <w:sz w:val="18"/>
        </w:rPr>
        <w:t>“ISF has sent a letter co-signed with CIOPORA on the matter and we thank members for their consideration of our request on organizing a seminar/webinar, to further address the definition of “unauthorized use” and clarification of the Explanatory Note.”</w:t>
      </w:r>
    </w:p>
    <w:p w:rsidR="00915E81" w:rsidRPr="00CB28A3" w:rsidRDefault="00915E81" w:rsidP="00915E81"/>
    <w:p w:rsidR="007C54C4" w:rsidRPr="00236DE4" w:rsidRDefault="00256FA4" w:rsidP="00236DE4">
      <w:pPr>
        <w:pStyle w:val="DecisionParagraphs"/>
        <w:keepNext/>
        <w:keepLines/>
        <w:rPr>
          <w:spacing w:val="-2"/>
        </w:rPr>
      </w:pPr>
      <w:r w:rsidRPr="00CB28A3">
        <w:fldChar w:fldCharType="begin"/>
      </w:r>
      <w:r w:rsidRPr="00CB28A3">
        <w:instrText xml:space="preserve"> AUTONUM  </w:instrText>
      </w:r>
      <w:r w:rsidRPr="00CB28A3">
        <w:fldChar w:fldCharType="end"/>
      </w:r>
      <w:r w:rsidRPr="00CB28A3">
        <w:tab/>
      </w:r>
      <w:r w:rsidR="00236DE4" w:rsidRPr="00CB28A3">
        <w:rPr>
          <w:spacing w:val="-2"/>
        </w:rPr>
        <w:t xml:space="preserve">The CAJ </w:t>
      </w:r>
      <w:proofErr w:type="gramStart"/>
      <w:r w:rsidR="00236DE4" w:rsidRPr="00CB28A3">
        <w:rPr>
          <w:spacing w:val="-2"/>
        </w:rPr>
        <w:t>is invited</w:t>
      </w:r>
      <w:proofErr w:type="gramEnd"/>
      <w:r w:rsidR="00236DE4" w:rsidRPr="00CB28A3">
        <w:rPr>
          <w:spacing w:val="-2"/>
        </w:rPr>
        <w:t xml:space="preserve"> to </w:t>
      </w:r>
      <w:r w:rsidR="007C54C4" w:rsidRPr="00CB28A3">
        <w:rPr>
          <w:spacing w:val="-2"/>
        </w:rPr>
        <w:t xml:space="preserve">consider the proposal to </w:t>
      </w:r>
      <w:r w:rsidR="00643B89" w:rsidRPr="00CB28A3">
        <w:rPr>
          <w:spacing w:val="-2"/>
        </w:rPr>
        <w:t>organize a</w:t>
      </w:r>
      <w:r w:rsidR="00643B89" w:rsidRPr="00CB28A3">
        <w:t xml:space="preserve"> </w:t>
      </w:r>
      <w:r w:rsidR="00643B89" w:rsidRPr="00CB28A3">
        <w:rPr>
          <w:spacing w:val="-2"/>
        </w:rPr>
        <w:t xml:space="preserve">seminar </w:t>
      </w:r>
      <w:r w:rsidR="00DC51AB" w:rsidRPr="00CB28A3">
        <w:rPr>
          <w:spacing w:val="-2"/>
        </w:rPr>
        <w:t xml:space="preserve">in the first half of 2021, to exchange information </w:t>
      </w:r>
      <w:r w:rsidR="00940C3E" w:rsidRPr="00CB28A3">
        <w:rPr>
          <w:spacing w:val="-2"/>
        </w:rPr>
        <w:t>on</w:t>
      </w:r>
      <w:r w:rsidR="00940C3E" w:rsidRPr="00940C3E">
        <w:rPr>
          <w:spacing w:val="-2"/>
        </w:rPr>
        <w:t xml:space="preserve"> </w:t>
      </w:r>
      <w:r w:rsidR="00BE4619">
        <w:rPr>
          <w:spacing w:val="-2"/>
        </w:rPr>
        <w:t xml:space="preserve">matters concerning </w:t>
      </w:r>
      <w:r w:rsidR="0003590E" w:rsidRPr="00325623">
        <w:rPr>
          <w:spacing w:val="-2"/>
        </w:rPr>
        <w:t xml:space="preserve">harvested material </w:t>
      </w:r>
      <w:r w:rsidR="00BE4619" w:rsidRPr="00325623">
        <w:rPr>
          <w:spacing w:val="-2"/>
        </w:rPr>
        <w:t xml:space="preserve">and </w:t>
      </w:r>
      <w:r w:rsidR="00BE4619" w:rsidRPr="00325623">
        <w:rPr>
          <w:snapToGrid w:val="0"/>
          <w:spacing w:val="-2"/>
        </w:rPr>
        <w:t>unauthorized use of propagating material</w:t>
      </w:r>
      <w:r w:rsidR="00AC3E43" w:rsidRPr="00325623">
        <w:rPr>
          <w:spacing w:val="-2"/>
        </w:rPr>
        <w:t>.</w:t>
      </w:r>
      <w:r w:rsidR="00AC3E43">
        <w:rPr>
          <w:spacing w:val="-2"/>
        </w:rPr>
        <w:t xml:space="preserve"> </w:t>
      </w:r>
    </w:p>
    <w:p w:rsidR="00181286" w:rsidRPr="00DA4FC8" w:rsidRDefault="00181286" w:rsidP="00DA4FC8"/>
    <w:p w:rsidR="00672563" w:rsidRPr="00DA4FC8" w:rsidRDefault="00672563" w:rsidP="00DA4FC8"/>
    <w:p w:rsidR="00181286" w:rsidRPr="00DA4FC8" w:rsidRDefault="00181286" w:rsidP="00DA4FC8"/>
    <w:p w:rsidR="00AF1E6C" w:rsidRPr="00CB28A3" w:rsidRDefault="003F48F6" w:rsidP="00DA4FC8">
      <w:pPr>
        <w:pStyle w:val="Heading1"/>
      </w:pPr>
      <w:bookmarkStart w:id="87" w:name="_Toc54617478"/>
      <w:r w:rsidRPr="003F48F6">
        <w:lastRenderedPageBreak/>
        <w:t xml:space="preserve">AGENDA ITEM 9:  </w:t>
      </w:r>
      <w:r w:rsidR="00AF1E6C" w:rsidRPr="003F48F6">
        <w:t>Novelty</w:t>
      </w:r>
      <w:r w:rsidR="00AF1E6C" w:rsidRPr="00AF1E6C">
        <w:t xml:space="preserve"> of parent lines with regard to the exploitation of the </w:t>
      </w:r>
      <w:r w:rsidR="00AF1E6C" w:rsidRPr="00CB28A3">
        <w:t xml:space="preserve">hybrid variety </w:t>
      </w:r>
      <w:bookmarkEnd w:id="85"/>
      <w:bookmarkEnd w:id="86"/>
      <w:r w:rsidR="00674CC8" w:rsidRPr="00CB28A3">
        <w:t>(</w:t>
      </w:r>
      <w:r w:rsidR="00674CC8" w:rsidRPr="00CB28A3">
        <w:rPr>
          <w:rFonts w:cs="Arial"/>
          <w:lang w:eastAsia="fr-FR"/>
        </w:rPr>
        <w:t>document CAJ/77/6)</w:t>
      </w:r>
      <w:bookmarkEnd w:id="87"/>
    </w:p>
    <w:p w:rsidR="00AF1E6C" w:rsidRPr="00CB28A3" w:rsidRDefault="00AF1E6C" w:rsidP="00DA4FC8">
      <w:pPr>
        <w:keepNext/>
        <w:ind w:left="567" w:hanging="567"/>
        <w:jc w:val="left"/>
      </w:pPr>
    </w:p>
    <w:p w:rsidR="00A15F58" w:rsidRPr="00CB28A3" w:rsidRDefault="00A15F58" w:rsidP="00DA4FC8">
      <w:pPr>
        <w:keepLines/>
      </w:pPr>
      <w:r w:rsidRPr="00CB28A3">
        <w:fldChar w:fldCharType="begin"/>
      </w:r>
      <w:r w:rsidRPr="00CB28A3">
        <w:instrText xml:space="preserve"> AUTONUM  </w:instrText>
      </w:r>
      <w:r w:rsidRPr="00CB28A3">
        <w:fldChar w:fldCharType="end"/>
      </w:r>
      <w:r w:rsidRPr="00CB28A3">
        <w:tab/>
      </w:r>
      <w:proofErr w:type="gramStart"/>
      <w:r w:rsidRPr="00CB28A3">
        <w:t>In reply to Circular E-20/120 of August 21, 2020, c</w:t>
      </w:r>
      <w:r w:rsidRPr="00CB28A3">
        <w:rPr>
          <w:rFonts w:cs="Arial"/>
          <w:lang w:eastAsia="fr-FR"/>
        </w:rPr>
        <w:t xml:space="preserve">omments </w:t>
      </w:r>
      <w:r w:rsidR="00E03F80" w:rsidRPr="00CB28A3">
        <w:rPr>
          <w:rFonts w:cs="Arial"/>
          <w:lang w:eastAsia="fr-FR"/>
        </w:rPr>
        <w:t xml:space="preserve">on document CAJ/77/6 </w:t>
      </w:r>
      <w:r w:rsidRPr="00CB28A3">
        <w:rPr>
          <w:rFonts w:cs="Arial"/>
          <w:lang w:eastAsia="fr-FR"/>
        </w:rPr>
        <w:t>were received from the European Union, Euroseeds and joint comments from ISF, AFSTA, APSA and SAA, that were not of a straightforward nature and, therefore, document CAJ/77/6 was not inc</w:t>
      </w:r>
      <w:r w:rsidR="00DA4FC8" w:rsidRPr="00CB28A3">
        <w:rPr>
          <w:rFonts w:cs="Arial"/>
          <w:lang w:eastAsia="fr-FR"/>
        </w:rPr>
        <w:t>luded in Circular E</w:t>
      </w:r>
      <w:r w:rsidR="00DA4FC8" w:rsidRPr="00CB28A3">
        <w:rPr>
          <w:rFonts w:cs="Arial"/>
          <w:lang w:eastAsia="fr-FR"/>
        </w:rPr>
        <w:noBreakHyphen/>
      </w:r>
      <w:r w:rsidRPr="00CB28A3">
        <w:rPr>
          <w:rFonts w:cs="Arial"/>
          <w:lang w:eastAsia="fr-FR"/>
        </w:rPr>
        <w:t>20/160</w:t>
      </w:r>
      <w:r w:rsidR="00DA4FC8" w:rsidRPr="00CB28A3">
        <w:rPr>
          <w:rFonts w:cs="Arial"/>
          <w:lang w:eastAsia="fr-FR"/>
        </w:rPr>
        <w:t xml:space="preserve"> of September </w:t>
      </w:r>
      <w:r w:rsidRPr="00CB28A3">
        <w:rPr>
          <w:rFonts w:cs="Arial"/>
          <w:lang w:eastAsia="fr-FR"/>
        </w:rPr>
        <w:t xml:space="preserve">25, 2020, for approval </w:t>
      </w:r>
      <w:r w:rsidRPr="00CB28A3">
        <w:rPr>
          <w:rFonts w:cs="Arial"/>
        </w:rPr>
        <w:t xml:space="preserve">by correspondence </w:t>
      </w:r>
      <w:r w:rsidRPr="00CB28A3">
        <w:rPr>
          <w:rFonts w:cs="Arial"/>
          <w:lang w:eastAsia="fr-FR"/>
        </w:rPr>
        <w:t xml:space="preserve">and </w:t>
      </w:r>
      <w:r w:rsidRPr="00CB28A3">
        <w:t>is presented for consideration by the CAJ at its virtual session on October 28, 2020, in conjunction with the comments received, which are reproduced in Annex II to this document.</w:t>
      </w:r>
      <w:proofErr w:type="gramEnd"/>
    </w:p>
    <w:p w:rsidR="00A15F58" w:rsidRPr="00CB28A3" w:rsidRDefault="00A15F58" w:rsidP="00AF1E6C">
      <w:pPr>
        <w:ind w:left="567" w:hanging="567"/>
        <w:jc w:val="left"/>
      </w:pPr>
    </w:p>
    <w:p w:rsidR="00D82EE7" w:rsidRPr="00CB28A3" w:rsidRDefault="00D82EE7" w:rsidP="00D82EE7">
      <w:pPr>
        <w:keepNext/>
        <w:tabs>
          <w:tab w:val="left" w:pos="5387"/>
          <w:tab w:val="left" w:pos="5954"/>
        </w:tabs>
        <w:ind w:left="4820"/>
        <w:rPr>
          <w:rFonts w:eastAsia="MS Mincho"/>
          <w:i/>
        </w:rPr>
      </w:pPr>
      <w:r w:rsidRPr="00CB28A3">
        <w:rPr>
          <w:rFonts w:eastAsia="MS Mincho"/>
          <w:i/>
        </w:rPr>
        <w:fldChar w:fldCharType="begin"/>
      </w:r>
      <w:r w:rsidRPr="00CB28A3">
        <w:rPr>
          <w:rFonts w:eastAsia="MS Mincho"/>
          <w:i/>
        </w:rPr>
        <w:instrText xml:space="preserve"> AUTONUM  </w:instrText>
      </w:r>
      <w:r w:rsidRPr="00CB28A3">
        <w:rPr>
          <w:rFonts w:eastAsia="MS Mincho"/>
          <w:i/>
        </w:rPr>
        <w:fldChar w:fldCharType="end"/>
      </w:r>
      <w:r w:rsidRPr="00CB28A3">
        <w:rPr>
          <w:rFonts w:eastAsia="MS Mincho"/>
          <w:i/>
        </w:rPr>
        <w:tab/>
        <w:t xml:space="preserve">The CAJ </w:t>
      </w:r>
      <w:proofErr w:type="gramStart"/>
      <w:r w:rsidRPr="00CB28A3">
        <w:rPr>
          <w:rFonts w:eastAsia="MS Mincho"/>
          <w:i/>
        </w:rPr>
        <w:t>is invited</w:t>
      </w:r>
      <w:proofErr w:type="gramEnd"/>
      <w:r w:rsidRPr="00CB28A3">
        <w:rPr>
          <w:rFonts w:eastAsia="MS Mincho"/>
          <w:i/>
        </w:rPr>
        <w:t xml:space="preserve"> to:</w:t>
      </w:r>
    </w:p>
    <w:p w:rsidR="00D82EE7" w:rsidRPr="00CB28A3" w:rsidRDefault="00D82EE7" w:rsidP="00D82EE7">
      <w:pPr>
        <w:keepNext/>
        <w:tabs>
          <w:tab w:val="left" w:pos="5387"/>
          <w:tab w:val="left" w:pos="5954"/>
        </w:tabs>
        <w:ind w:left="4820"/>
        <w:rPr>
          <w:i/>
          <w:snapToGrid w:val="0"/>
          <w:sz w:val="18"/>
          <w:lang w:eastAsia="ja-JP"/>
        </w:rPr>
      </w:pPr>
    </w:p>
    <w:p w:rsidR="00D82EE7" w:rsidRPr="00CB28A3" w:rsidRDefault="00D82EE7" w:rsidP="00D82EE7">
      <w:pPr>
        <w:tabs>
          <w:tab w:val="left" w:pos="5387"/>
          <w:tab w:val="left" w:pos="5954"/>
        </w:tabs>
        <w:ind w:left="4820"/>
        <w:rPr>
          <w:i/>
          <w:snapToGrid w:val="0"/>
          <w:lang w:eastAsia="ja-JP"/>
        </w:rPr>
      </w:pPr>
      <w:r w:rsidRPr="00CB28A3">
        <w:rPr>
          <w:i/>
          <w:spacing w:val="-2"/>
        </w:rPr>
        <w:tab/>
        <w:t>(a)</w:t>
      </w:r>
      <w:r w:rsidRPr="00CB28A3">
        <w:rPr>
          <w:i/>
          <w:spacing w:val="-2"/>
        </w:rPr>
        <w:tab/>
      </w:r>
      <w:r w:rsidR="00A15F58" w:rsidRPr="00CB28A3">
        <w:rPr>
          <w:i/>
          <w:snapToGrid w:val="0"/>
          <w:lang w:eastAsia="ja-JP"/>
        </w:rPr>
        <w:t>note the replies to the survey</w:t>
      </w:r>
      <w:r w:rsidRPr="00CB28A3">
        <w:rPr>
          <w:i/>
          <w:snapToGrid w:val="0"/>
          <w:lang w:eastAsia="ja-JP"/>
        </w:rPr>
        <w:t xml:space="preserve"> to explore the status of the novelty of parent lines in relation to exploitation of the hybrid in members of the Union, as presented in document CAJ/77/6 and its Annexes;</w:t>
      </w:r>
    </w:p>
    <w:p w:rsidR="005145DD" w:rsidRPr="00CB28A3" w:rsidRDefault="005145DD" w:rsidP="00D82EE7">
      <w:pPr>
        <w:tabs>
          <w:tab w:val="left" w:pos="5387"/>
          <w:tab w:val="left" w:pos="5954"/>
        </w:tabs>
        <w:ind w:left="4820"/>
        <w:rPr>
          <w:snapToGrid w:val="0"/>
          <w:lang w:eastAsia="ja-JP"/>
        </w:rPr>
      </w:pPr>
    </w:p>
    <w:p w:rsidR="00A33B71" w:rsidRPr="00F553A5" w:rsidRDefault="00A33B71" w:rsidP="00A33B71">
      <w:pPr>
        <w:tabs>
          <w:tab w:val="left" w:pos="5387"/>
          <w:tab w:val="left" w:pos="5954"/>
        </w:tabs>
        <w:ind w:left="4820"/>
        <w:rPr>
          <w:i/>
          <w:spacing w:val="-2"/>
        </w:rPr>
      </w:pPr>
      <w:r w:rsidRPr="00CB28A3">
        <w:rPr>
          <w:i/>
          <w:spacing w:val="-2"/>
        </w:rPr>
        <w:tab/>
      </w:r>
      <w:proofErr w:type="gramStart"/>
      <w:r w:rsidRPr="00CB28A3">
        <w:rPr>
          <w:i/>
          <w:spacing w:val="-2"/>
        </w:rPr>
        <w:t>(b)</w:t>
      </w:r>
      <w:r w:rsidRPr="00CB28A3">
        <w:rPr>
          <w:i/>
          <w:spacing w:val="-2"/>
        </w:rPr>
        <w:tab/>
        <w:t>invite members of the Union, ISF, AFSTA, APSA and SAA to make presentations on the novelty of parent lines with regard to the exploitation of the hybrid variety at the seventy</w:t>
      </w:r>
      <w:r w:rsidRPr="00CB28A3">
        <w:rPr>
          <w:i/>
          <w:spacing w:val="-2"/>
        </w:rPr>
        <w:noBreakHyphen/>
        <w:t>eighth</w:t>
      </w:r>
      <w:r w:rsidRPr="00F553A5">
        <w:rPr>
          <w:i/>
          <w:spacing w:val="-2"/>
        </w:rPr>
        <w:t xml:space="preserve"> session of the CAJ</w:t>
      </w:r>
      <w:r w:rsidRPr="00A33B71">
        <w:rPr>
          <w:i/>
          <w:spacing w:val="-2"/>
        </w:rPr>
        <w:t>, with a view of inviting the Office of the Union to seek to prepare common guidance on this matter for consideration by the CAJ at its seventy-ninth session, on the basis of the presentations and discussions at the seventy-eighth session of the CAJ.</w:t>
      </w:r>
      <w:proofErr w:type="gramEnd"/>
    </w:p>
    <w:p w:rsidR="00A33B71" w:rsidRPr="00F553A5" w:rsidRDefault="00A33B71" w:rsidP="00F553A5"/>
    <w:p w:rsidR="00BC5D3D" w:rsidRPr="00F553A5" w:rsidRDefault="00BC5D3D" w:rsidP="00F553A5"/>
    <w:p w:rsidR="00D82EE7" w:rsidRPr="00F553A5" w:rsidRDefault="00D82EE7" w:rsidP="00F553A5"/>
    <w:p w:rsidR="00AF1E6C" w:rsidRPr="00CB28A3" w:rsidRDefault="000E1616" w:rsidP="00077288">
      <w:pPr>
        <w:pStyle w:val="Heading1"/>
      </w:pPr>
      <w:bookmarkStart w:id="88" w:name="_Toc54097495"/>
      <w:bookmarkStart w:id="89" w:name="_Toc54097629"/>
      <w:bookmarkStart w:id="90" w:name="_Toc54617479"/>
      <w:r w:rsidRPr="00CB28A3">
        <w:t xml:space="preserve">AGENDA ITEM 11:  </w:t>
      </w:r>
      <w:r w:rsidR="00AF1E6C" w:rsidRPr="00CB28A3">
        <w:t>UPOV denomination similarity search tool</w:t>
      </w:r>
      <w:r w:rsidR="00AF1E6C" w:rsidRPr="00CB28A3" w:rsidDel="008C4E92">
        <w:t xml:space="preserve"> </w:t>
      </w:r>
      <w:bookmarkEnd w:id="88"/>
      <w:bookmarkEnd w:id="89"/>
      <w:r w:rsidR="00A15F58" w:rsidRPr="00CB28A3">
        <w:t>(</w:t>
      </w:r>
      <w:r w:rsidR="00A15F58" w:rsidRPr="00CB28A3">
        <w:rPr>
          <w:snapToGrid w:val="0"/>
        </w:rPr>
        <w:t>document CAJ/77/7)</w:t>
      </w:r>
      <w:bookmarkEnd w:id="90"/>
    </w:p>
    <w:p w:rsidR="00AF1E6C" w:rsidRPr="00CB28A3" w:rsidRDefault="00AF1E6C" w:rsidP="00AF1E6C">
      <w:pPr>
        <w:keepNext/>
        <w:ind w:left="567" w:hanging="567"/>
        <w:jc w:val="left"/>
        <w:rPr>
          <w:kern w:val="28"/>
        </w:rPr>
      </w:pPr>
    </w:p>
    <w:p w:rsidR="000E1616" w:rsidRPr="00CB28A3" w:rsidRDefault="000E1616" w:rsidP="000E1616">
      <w:pPr>
        <w:keepNext/>
        <w:rPr>
          <w:snapToGrid w:val="0"/>
        </w:rPr>
      </w:pPr>
      <w:r w:rsidRPr="00CB28A3">
        <w:fldChar w:fldCharType="begin"/>
      </w:r>
      <w:r w:rsidRPr="00CB28A3">
        <w:instrText xml:space="preserve"> AUTONUM  </w:instrText>
      </w:r>
      <w:r w:rsidRPr="00CB28A3">
        <w:fldChar w:fldCharType="end"/>
      </w:r>
      <w:r w:rsidRPr="00CB28A3">
        <w:tab/>
      </w:r>
      <w:r w:rsidRPr="00CB28A3">
        <w:rPr>
          <w:snapToGrid w:val="0"/>
        </w:rPr>
        <w:t>The CAJ considered document CAJ/77/7.</w:t>
      </w:r>
    </w:p>
    <w:p w:rsidR="000E1616" w:rsidRPr="00CB28A3" w:rsidRDefault="000E1616" w:rsidP="00AF1E6C">
      <w:pPr>
        <w:keepNext/>
        <w:ind w:left="567" w:hanging="567"/>
        <w:jc w:val="left"/>
        <w:rPr>
          <w:kern w:val="28"/>
        </w:rPr>
      </w:pPr>
    </w:p>
    <w:p w:rsidR="000E1616" w:rsidRPr="00CB28A3" w:rsidRDefault="000E1616" w:rsidP="000E1616">
      <w:pPr>
        <w:keepNext/>
      </w:pPr>
      <w:r w:rsidRPr="00CB28A3">
        <w:fldChar w:fldCharType="begin"/>
      </w:r>
      <w:r w:rsidRPr="00CB28A3">
        <w:instrText xml:space="preserve"> AUTONUM  </w:instrText>
      </w:r>
      <w:r w:rsidRPr="00CB28A3">
        <w:fldChar w:fldCharType="end"/>
      </w:r>
      <w:r w:rsidRPr="00CB28A3">
        <w:tab/>
      </w:r>
      <w:r w:rsidRPr="00CB28A3">
        <w:rPr>
          <w:spacing w:val="-2"/>
        </w:rPr>
        <w:t xml:space="preserve">The </w:t>
      </w:r>
      <w:r w:rsidRPr="00CB28A3">
        <w:rPr>
          <w:snapToGrid w:val="0"/>
          <w:spacing w:val="-2"/>
        </w:rPr>
        <w:t>CAJ noted the conclusion of the CPVO and the Office of the Union that the CPVO similarity algorithm is performing well and that, for the time being, it would not be a suitable use of resources to seek improvements to the algorithm for the purposes of checking the similarity of variety denominations.</w:t>
      </w:r>
    </w:p>
    <w:p w:rsidR="00444EB8" w:rsidRPr="00CB28A3" w:rsidRDefault="000E1616" w:rsidP="00444EB8">
      <w:r w:rsidRPr="00CB28A3">
        <w:t xml:space="preserve"> </w:t>
      </w:r>
    </w:p>
    <w:p w:rsidR="000E1616" w:rsidRPr="00CB28A3" w:rsidRDefault="000E1616" w:rsidP="000E1616">
      <w:pPr>
        <w:keepNext/>
      </w:pPr>
      <w:r w:rsidRPr="00CB28A3">
        <w:fldChar w:fldCharType="begin"/>
      </w:r>
      <w:r w:rsidRPr="00CB28A3">
        <w:instrText xml:space="preserve"> AUTONUM  </w:instrText>
      </w:r>
      <w:r w:rsidRPr="00CB28A3">
        <w:fldChar w:fldCharType="end"/>
      </w:r>
      <w:r w:rsidRPr="00CB28A3">
        <w:tab/>
      </w:r>
      <w:r w:rsidRPr="00CB28A3">
        <w:rPr>
          <w:spacing w:val="-2"/>
        </w:rPr>
        <w:t xml:space="preserve">The </w:t>
      </w:r>
      <w:r w:rsidRPr="00CB28A3">
        <w:rPr>
          <w:snapToGrid w:val="0"/>
          <w:spacing w:val="-2"/>
        </w:rPr>
        <w:t xml:space="preserve">CAJ agreed that the Office of the Union explore with the CPVO possibilities for the </w:t>
      </w:r>
      <w:proofErr w:type="gramStart"/>
      <w:r w:rsidRPr="00CB28A3">
        <w:rPr>
          <w:snapToGrid w:val="0"/>
          <w:spacing w:val="-2"/>
        </w:rPr>
        <w:t>variety denomination search tool</w:t>
      </w:r>
      <w:proofErr w:type="gramEnd"/>
      <w:r w:rsidRPr="00CB28A3">
        <w:rPr>
          <w:snapToGrid w:val="0"/>
          <w:spacing w:val="-2"/>
        </w:rPr>
        <w:t xml:space="preserve"> to consider checking denominations for characteristics, as set out in paragraphs 14 to 16 of document CAJ/77/7.</w:t>
      </w:r>
    </w:p>
    <w:p w:rsidR="000E1616" w:rsidRPr="00CB28A3" w:rsidRDefault="000E1616" w:rsidP="00444EB8"/>
    <w:p w:rsidR="000E1616" w:rsidRPr="00CB28A3" w:rsidRDefault="000E1616" w:rsidP="000E1616">
      <w:pPr>
        <w:keepNext/>
        <w:rPr>
          <w:snapToGrid w:val="0"/>
          <w:spacing w:val="-2"/>
        </w:rPr>
      </w:pPr>
      <w:r w:rsidRPr="00CB28A3">
        <w:fldChar w:fldCharType="begin"/>
      </w:r>
      <w:r w:rsidRPr="00CB28A3">
        <w:instrText xml:space="preserve"> AUTONUM  </w:instrText>
      </w:r>
      <w:r w:rsidRPr="00CB28A3">
        <w:fldChar w:fldCharType="end"/>
      </w:r>
      <w:r w:rsidRPr="00CB28A3">
        <w:tab/>
      </w:r>
      <w:r w:rsidRPr="00CB28A3">
        <w:rPr>
          <w:spacing w:val="-2"/>
        </w:rPr>
        <w:t xml:space="preserve">The </w:t>
      </w:r>
      <w:r w:rsidRPr="00CB28A3">
        <w:rPr>
          <w:snapToGrid w:val="0"/>
          <w:spacing w:val="-2"/>
        </w:rPr>
        <w:t>CAJ agreed to report to the CAJ, at its seventy-eighth session, on the outcome of that exploration.</w:t>
      </w:r>
    </w:p>
    <w:p w:rsidR="00AA018D" w:rsidRPr="00CB28A3" w:rsidRDefault="00AA018D" w:rsidP="000E1616">
      <w:pPr>
        <w:keepNext/>
        <w:rPr>
          <w:snapToGrid w:val="0"/>
          <w:spacing w:val="-2"/>
        </w:rPr>
      </w:pPr>
    </w:p>
    <w:p w:rsidR="00AA018D" w:rsidRDefault="00AA018D" w:rsidP="000E1616">
      <w:pPr>
        <w:keepNext/>
        <w:rPr>
          <w:snapToGrid w:val="0"/>
          <w:spacing w:val="-2"/>
        </w:rPr>
      </w:pPr>
      <w:r w:rsidRPr="00CB28A3">
        <w:fldChar w:fldCharType="begin"/>
      </w:r>
      <w:r w:rsidRPr="00CB28A3">
        <w:instrText xml:space="preserve"> AUTONUM  </w:instrText>
      </w:r>
      <w:r w:rsidRPr="00CB28A3">
        <w:fldChar w:fldCharType="end"/>
      </w:r>
      <w:r w:rsidRPr="00CB28A3">
        <w:rPr>
          <w:snapToGrid w:val="0"/>
          <w:spacing w:val="-2"/>
        </w:rPr>
        <w:tab/>
        <w:t>If appropriate</w:t>
      </w:r>
      <w:r>
        <w:rPr>
          <w:snapToGrid w:val="0"/>
          <w:spacing w:val="-2"/>
        </w:rPr>
        <w:t xml:space="preserve">, a report on recent developments </w:t>
      </w:r>
      <w:proofErr w:type="gramStart"/>
      <w:r>
        <w:rPr>
          <w:snapToGrid w:val="0"/>
          <w:spacing w:val="-2"/>
        </w:rPr>
        <w:t>can be made</w:t>
      </w:r>
      <w:proofErr w:type="gramEnd"/>
      <w:r>
        <w:rPr>
          <w:snapToGrid w:val="0"/>
          <w:spacing w:val="-2"/>
        </w:rPr>
        <w:t xml:space="preserve"> by the </w:t>
      </w:r>
      <w:r w:rsidRPr="00AA018D">
        <w:rPr>
          <w:snapToGrid w:val="0"/>
          <w:spacing w:val="-2"/>
        </w:rPr>
        <w:t>Office of the Union</w:t>
      </w:r>
      <w:r>
        <w:rPr>
          <w:snapToGrid w:val="0"/>
          <w:spacing w:val="-2"/>
        </w:rPr>
        <w:t xml:space="preserve"> at the </w:t>
      </w:r>
      <w:r w:rsidR="00325623">
        <w:rPr>
          <w:snapToGrid w:val="0"/>
          <w:spacing w:val="-2"/>
        </w:rPr>
        <w:t>seventy</w:t>
      </w:r>
      <w:r w:rsidR="00325623">
        <w:rPr>
          <w:snapToGrid w:val="0"/>
          <w:spacing w:val="-2"/>
        </w:rPr>
        <w:noBreakHyphen/>
      </w:r>
      <w:r>
        <w:rPr>
          <w:snapToGrid w:val="0"/>
          <w:spacing w:val="-2"/>
        </w:rPr>
        <w:t>seventh</w:t>
      </w:r>
      <w:r w:rsidRPr="00E10CC1">
        <w:rPr>
          <w:snapToGrid w:val="0"/>
          <w:spacing w:val="-2"/>
        </w:rPr>
        <w:t xml:space="preserve"> session</w:t>
      </w:r>
      <w:r>
        <w:rPr>
          <w:snapToGrid w:val="0"/>
          <w:spacing w:val="-2"/>
        </w:rPr>
        <w:t xml:space="preserve">.    </w:t>
      </w:r>
    </w:p>
    <w:p w:rsidR="007F3B3E" w:rsidRDefault="007F3B3E" w:rsidP="000E1616">
      <w:pPr>
        <w:keepNext/>
        <w:rPr>
          <w:snapToGrid w:val="0"/>
          <w:spacing w:val="-2"/>
        </w:rPr>
      </w:pPr>
    </w:p>
    <w:p w:rsidR="00AF1E6C" w:rsidRPr="00C651CE" w:rsidRDefault="00AF1E6C" w:rsidP="00050E16"/>
    <w:p w:rsidR="009B440E" w:rsidRDefault="00050E16" w:rsidP="00050E16">
      <w:pPr>
        <w:jc w:val="right"/>
      </w:pPr>
      <w:r w:rsidRPr="00C5280D">
        <w:t>[</w:t>
      </w:r>
      <w:r w:rsidR="00567D03">
        <w:t>Annex follows</w:t>
      </w:r>
      <w:r w:rsidRPr="00C5280D">
        <w:t>]</w:t>
      </w:r>
    </w:p>
    <w:p w:rsidR="007276CB" w:rsidRPr="007276CB" w:rsidRDefault="007276CB" w:rsidP="007276CB"/>
    <w:p w:rsidR="007276CB" w:rsidRDefault="007276CB" w:rsidP="007276CB">
      <w:pPr>
        <w:sectPr w:rsidR="007276CB" w:rsidSect="00906DDC">
          <w:headerReference w:type="default" r:id="rId11"/>
          <w:pgSz w:w="11907" w:h="16840" w:code="9"/>
          <w:pgMar w:top="510" w:right="1134" w:bottom="1134" w:left="1134" w:header="510" w:footer="680" w:gutter="0"/>
          <w:cols w:space="720"/>
          <w:titlePg/>
        </w:sectPr>
      </w:pPr>
    </w:p>
    <w:p w:rsidR="00754590" w:rsidRDefault="0021405B" w:rsidP="004E12DA">
      <w:pPr>
        <w:jc w:val="center"/>
      </w:pPr>
      <w:r w:rsidRPr="00926DF3">
        <w:lastRenderedPageBreak/>
        <w:t xml:space="preserve">Document </w:t>
      </w:r>
      <w:r w:rsidR="00754590" w:rsidRPr="00926DF3">
        <w:t xml:space="preserve">UPOV/EXN/DEN </w:t>
      </w:r>
    </w:p>
    <w:p w:rsidR="004E12DA" w:rsidRPr="004E12DA" w:rsidRDefault="00754590" w:rsidP="004E12DA">
      <w:pPr>
        <w:jc w:val="center"/>
      </w:pPr>
      <w:r w:rsidRPr="004E12DA">
        <w:t>“</w:t>
      </w:r>
      <w:r w:rsidR="0021405B" w:rsidRPr="004E12DA">
        <w:t>Explanatory Notes on variety denominations under the UPOV Convention</w:t>
      </w:r>
      <w:r w:rsidRPr="004E12DA">
        <w:t xml:space="preserve">” </w:t>
      </w:r>
    </w:p>
    <w:p w:rsidR="00754590" w:rsidRPr="00754590" w:rsidRDefault="00754590" w:rsidP="00754590">
      <w:pPr>
        <w:jc w:val="center"/>
        <w:rPr>
          <w:lang w:val="de-DE"/>
        </w:rPr>
      </w:pPr>
      <w:r w:rsidRPr="00754590">
        <w:rPr>
          <w:lang w:val="de-DE"/>
        </w:rPr>
        <w:t>(</w:t>
      </w:r>
      <w:r w:rsidR="0021405B" w:rsidRPr="00754590">
        <w:rPr>
          <w:lang w:val="de-DE"/>
        </w:rPr>
        <w:t xml:space="preserve">Document </w:t>
      </w:r>
      <w:r w:rsidRPr="00754590">
        <w:rPr>
          <w:lang w:val="de-DE"/>
        </w:rPr>
        <w:t>UPOV/EXN/DEN/1 </w:t>
      </w:r>
      <w:r w:rsidR="0021405B" w:rsidRPr="00754590">
        <w:rPr>
          <w:lang w:val="de-DE"/>
        </w:rPr>
        <w:t>Draft </w:t>
      </w:r>
      <w:r w:rsidRPr="00754590">
        <w:rPr>
          <w:lang w:val="de-DE"/>
        </w:rPr>
        <w:t>4):</w:t>
      </w:r>
    </w:p>
    <w:p w:rsidR="00754590" w:rsidRPr="00926DF3" w:rsidRDefault="0021405B" w:rsidP="00754590">
      <w:pPr>
        <w:jc w:val="center"/>
      </w:pPr>
      <w:r w:rsidRPr="00926DF3">
        <w:t>Comments receiv</w:t>
      </w:r>
      <w:r>
        <w:t>ed in reply to Circular E-20/120 of August 21, 2020</w:t>
      </w:r>
    </w:p>
    <w:p w:rsidR="00926DF3" w:rsidRPr="00754590" w:rsidRDefault="00926DF3" w:rsidP="00926DF3">
      <w:pPr>
        <w:jc w:val="center"/>
      </w:pPr>
    </w:p>
    <w:p w:rsidR="004E12DA" w:rsidRPr="00754590" w:rsidRDefault="004E12DA" w:rsidP="00926DF3">
      <w:pPr>
        <w:jc w:val="center"/>
      </w:pPr>
    </w:p>
    <w:p w:rsidR="00926DF3" w:rsidRPr="00E65BE1" w:rsidRDefault="00926DF3" w:rsidP="00926DF3">
      <w:r w:rsidRPr="00E65BE1">
        <w:t>This Annex contains the following:</w:t>
      </w:r>
    </w:p>
    <w:p w:rsidR="00926DF3" w:rsidRPr="00E65BE1" w:rsidRDefault="00926DF3" w:rsidP="00926DF3"/>
    <w:p w:rsidR="00926DF3" w:rsidRPr="00E65BE1" w:rsidRDefault="000E57F2" w:rsidP="000E57F2">
      <w:pPr>
        <w:tabs>
          <w:tab w:val="left" w:pos="1134"/>
          <w:tab w:val="left" w:pos="2552"/>
        </w:tabs>
        <w:ind w:left="567"/>
      </w:pPr>
      <w:r>
        <w:t>(a)</w:t>
      </w:r>
      <w:r>
        <w:tab/>
        <w:t>Appendix I:</w:t>
      </w:r>
      <w:r>
        <w:tab/>
      </w:r>
      <w:r w:rsidR="002A0074">
        <w:t>Comments from Brazil</w:t>
      </w:r>
    </w:p>
    <w:p w:rsidR="00926DF3" w:rsidRPr="00E65BE1" w:rsidRDefault="00926DF3" w:rsidP="000E57F2">
      <w:pPr>
        <w:tabs>
          <w:tab w:val="left" w:pos="1134"/>
          <w:tab w:val="left" w:pos="2552"/>
        </w:tabs>
        <w:ind w:left="567"/>
        <w:contextualSpacing/>
      </w:pPr>
    </w:p>
    <w:p w:rsidR="00926DF3" w:rsidRDefault="000E57F2" w:rsidP="000E57F2">
      <w:pPr>
        <w:tabs>
          <w:tab w:val="left" w:pos="1134"/>
          <w:tab w:val="left" w:pos="2552"/>
        </w:tabs>
        <w:ind w:left="567"/>
      </w:pPr>
      <w:r>
        <w:t>(b)</w:t>
      </w:r>
      <w:r>
        <w:tab/>
        <w:t>Appendix II:</w:t>
      </w:r>
      <w:r>
        <w:tab/>
      </w:r>
      <w:r w:rsidR="002A0074">
        <w:t xml:space="preserve">Comments from the </w:t>
      </w:r>
      <w:r w:rsidR="002A0074" w:rsidRPr="00926DF3">
        <w:rPr>
          <w:snapToGrid w:val="0"/>
          <w:spacing w:val="-6"/>
        </w:rPr>
        <w:t>European Union</w:t>
      </w:r>
    </w:p>
    <w:p w:rsidR="00926DF3" w:rsidRDefault="00926DF3" w:rsidP="000E57F2">
      <w:pPr>
        <w:tabs>
          <w:tab w:val="left" w:pos="1134"/>
          <w:tab w:val="left" w:pos="2552"/>
        </w:tabs>
        <w:ind w:left="567"/>
      </w:pPr>
    </w:p>
    <w:p w:rsidR="00926DF3" w:rsidRDefault="00926DF3" w:rsidP="000E57F2">
      <w:pPr>
        <w:tabs>
          <w:tab w:val="left" w:pos="1134"/>
          <w:tab w:val="left" w:pos="2552"/>
        </w:tabs>
        <w:ind w:left="567"/>
      </w:pPr>
      <w:r>
        <w:t>(c</w:t>
      </w:r>
      <w:r w:rsidRPr="00E65BE1">
        <w:t>)</w:t>
      </w:r>
      <w:r w:rsidRPr="00E65BE1">
        <w:tab/>
        <w:t>Appendix II</w:t>
      </w:r>
      <w:r>
        <w:t>I</w:t>
      </w:r>
      <w:r w:rsidR="000E57F2">
        <w:t>:</w:t>
      </w:r>
      <w:r w:rsidR="000E57F2">
        <w:tab/>
      </w:r>
      <w:r w:rsidR="002A0074">
        <w:t xml:space="preserve">Comments from </w:t>
      </w:r>
      <w:r w:rsidR="002A0074" w:rsidRPr="004E12DA">
        <w:t>Euroseeds</w:t>
      </w:r>
      <w:r w:rsidR="002A0074">
        <w:t xml:space="preserve"> </w:t>
      </w:r>
    </w:p>
    <w:p w:rsidR="00926DF3" w:rsidRDefault="00926DF3" w:rsidP="000E57F2">
      <w:pPr>
        <w:tabs>
          <w:tab w:val="left" w:pos="1134"/>
          <w:tab w:val="left" w:pos="2552"/>
        </w:tabs>
        <w:ind w:left="567"/>
      </w:pPr>
    </w:p>
    <w:p w:rsidR="002A0074" w:rsidRDefault="00926DF3" w:rsidP="000E57F2">
      <w:pPr>
        <w:tabs>
          <w:tab w:val="left" w:pos="1134"/>
          <w:tab w:val="left" w:pos="2552"/>
        </w:tabs>
        <w:ind w:left="567"/>
      </w:pPr>
      <w:r>
        <w:t>(d)</w:t>
      </w:r>
      <w:r>
        <w:tab/>
        <w:t>Appendix IV</w:t>
      </w:r>
      <w:r w:rsidR="000E57F2">
        <w:t>:</w:t>
      </w:r>
      <w:r w:rsidR="000E57F2">
        <w:tab/>
        <w:t>C</w:t>
      </w:r>
      <w:r w:rsidR="002A0074">
        <w:t xml:space="preserve">omments from </w:t>
      </w:r>
      <w:r w:rsidR="002A0074" w:rsidRPr="004E12DA">
        <w:t xml:space="preserve">ISF </w:t>
      </w:r>
    </w:p>
    <w:p w:rsidR="00926DF3" w:rsidRPr="00E65BE1" w:rsidRDefault="00926DF3" w:rsidP="00926DF3"/>
    <w:p w:rsidR="00926DF3" w:rsidRPr="00E65BE1" w:rsidRDefault="00926DF3" w:rsidP="00926DF3">
      <w:pPr>
        <w:jc w:val="left"/>
      </w:pPr>
    </w:p>
    <w:p w:rsidR="00926DF3" w:rsidRPr="00E65BE1" w:rsidRDefault="00926DF3" w:rsidP="00926DF3">
      <w:pPr>
        <w:jc w:val="left"/>
      </w:pPr>
    </w:p>
    <w:p w:rsidR="00926DF3" w:rsidRPr="00E65BE1" w:rsidRDefault="00926DF3" w:rsidP="00926DF3">
      <w:pPr>
        <w:jc w:val="right"/>
      </w:pPr>
      <w:r w:rsidRPr="00E65BE1">
        <w:t>[Appendix I follows]</w:t>
      </w:r>
    </w:p>
    <w:p w:rsidR="007276CB" w:rsidRDefault="007276CB" w:rsidP="007276CB"/>
    <w:p w:rsidR="007276CB" w:rsidRPr="00157E95" w:rsidRDefault="007276CB" w:rsidP="007276CB"/>
    <w:p w:rsidR="00926DF3" w:rsidRDefault="00926DF3">
      <w:pPr>
        <w:jc w:val="left"/>
        <w:sectPr w:rsidR="00926DF3" w:rsidSect="00906DDC">
          <w:headerReference w:type="default" r:id="rId12"/>
          <w:headerReference w:type="first" r:id="rId13"/>
          <w:pgSz w:w="11907" w:h="16840" w:code="9"/>
          <w:pgMar w:top="510" w:right="1134" w:bottom="1134" w:left="1134" w:header="510" w:footer="680" w:gutter="0"/>
          <w:cols w:space="720"/>
          <w:titlePg/>
        </w:sectPr>
      </w:pPr>
      <w:bookmarkStart w:id="91" w:name="_Toc54026673"/>
      <w:bookmarkStart w:id="92" w:name="_Toc54090431"/>
    </w:p>
    <w:p w:rsidR="00926DF3" w:rsidRDefault="00926DF3" w:rsidP="002A0074">
      <w:pPr>
        <w:jc w:val="center"/>
      </w:pPr>
    </w:p>
    <w:p w:rsidR="002A0074" w:rsidRPr="00926DF3" w:rsidRDefault="002A0074" w:rsidP="002A0074">
      <w:pPr>
        <w:jc w:val="center"/>
      </w:pPr>
      <w:r>
        <w:t>BRAZIL</w:t>
      </w:r>
    </w:p>
    <w:p w:rsidR="002A0074" w:rsidRPr="00E04A27" w:rsidRDefault="002A0074" w:rsidP="00E04A27"/>
    <w:p w:rsidR="004F4001" w:rsidRDefault="004F4001" w:rsidP="002A0074">
      <w:pPr>
        <w:shd w:val="clear" w:color="auto" w:fill="FFFFFF" w:themeFill="background1"/>
        <w:rPr>
          <w:snapToGrid w:val="0"/>
          <w:spacing w:val="-4"/>
        </w:rPr>
      </w:pPr>
    </w:p>
    <w:p w:rsidR="004F4001" w:rsidRPr="00926DF3" w:rsidRDefault="004F4001" w:rsidP="004F4001">
      <w:pPr>
        <w:shd w:val="clear" w:color="auto" w:fill="FFFFFF" w:themeFill="background1"/>
        <w:rPr>
          <w:snapToGrid w:val="0"/>
          <w:spacing w:val="-4"/>
        </w:rPr>
      </w:pPr>
      <w:r w:rsidRPr="00926DF3">
        <w:rPr>
          <w:spacing w:val="-4"/>
        </w:rPr>
        <w:t>T</w:t>
      </w:r>
      <w:r w:rsidRPr="00926DF3">
        <w:rPr>
          <w:snapToGrid w:val="0"/>
          <w:spacing w:val="-4"/>
        </w:rPr>
        <w:t xml:space="preserve">he Delegation of </w:t>
      </w:r>
      <w:r>
        <w:rPr>
          <w:snapToGrid w:val="0"/>
          <w:spacing w:val="-4"/>
        </w:rPr>
        <w:t>Brazil</w:t>
      </w:r>
      <w:r w:rsidRPr="00926DF3">
        <w:rPr>
          <w:snapToGrid w:val="0"/>
          <w:spacing w:val="-4"/>
        </w:rPr>
        <w:t xml:space="preserve"> provided the following comments </w:t>
      </w:r>
      <w:r>
        <w:rPr>
          <w:snapToGrid w:val="0"/>
          <w:spacing w:val="-4"/>
        </w:rPr>
        <w:t>concerning d</w:t>
      </w:r>
      <w:r w:rsidRPr="004F4001">
        <w:rPr>
          <w:snapToGrid w:val="0"/>
          <w:spacing w:val="-4"/>
        </w:rPr>
        <w:t xml:space="preserve"> </w:t>
      </w:r>
      <w:r w:rsidRPr="00926DF3">
        <w:rPr>
          <w:snapToGrid w:val="0"/>
          <w:spacing w:val="-4"/>
        </w:rPr>
        <w:t>document UPOV/EXN/DEN</w:t>
      </w:r>
      <w:r w:rsidR="003E587D">
        <w:rPr>
          <w:snapToGrid w:val="0"/>
          <w:spacing w:val="-4"/>
        </w:rPr>
        <w:t>/1 Draft4</w:t>
      </w:r>
      <w:r w:rsidRPr="00926DF3">
        <w:rPr>
          <w:snapToGrid w:val="0"/>
          <w:spacing w:val="-4"/>
        </w:rPr>
        <w:t xml:space="preserve"> “Explanatory Notes on Variety Denominations under the UPOV Convention”</w:t>
      </w:r>
      <w:r>
        <w:rPr>
          <w:snapToGrid w:val="0"/>
          <w:spacing w:val="-4"/>
        </w:rPr>
        <w:t>:</w:t>
      </w:r>
    </w:p>
    <w:p w:rsidR="002A0074" w:rsidRPr="00195CAD" w:rsidRDefault="002A0074" w:rsidP="002A0074">
      <w:pPr>
        <w:keepNext/>
        <w:rPr>
          <w:rFonts w:eastAsia="Arial" w:cs="Arial"/>
          <w:sz w:val="16"/>
          <w:szCs w:val="16"/>
        </w:rPr>
      </w:pPr>
    </w:p>
    <w:p w:rsidR="002A0074" w:rsidRPr="00195CAD" w:rsidRDefault="002A0074" w:rsidP="002A0074">
      <w:pPr>
        <w:keepNext/>
        <w:keepLines/>
        <w:spacing w:after="120"/>
        <w:ind w:left="567" w:right="567"/>
        <w:rPr>
          <w:rFonts w:cs="Arial"/>
          <w:i/>
          <w:sz w:val="18"/>
          <w:szCs w:val="16"/>
          <w:u w:val="single"/>
        </w:rPr>
      </w:pPr>
      <w:r>
        <w:rPr>
          <w:rFonts w:cs="Arial"/>
          <w:i/>
          <w:sz w:val="18"/>
          <w:szCs w:val="16"/>
          <w:u w:val="single"/>
        </w:rPr>
        <w:t>“</w:t>
      </w:r>
      <w:r w:rsidRPr="00195CAD">
        <w:rPr>
          <w:rFonts w:cs="Arial"/>
          <w:i/>
          <w:sz w:val="18"/>
          <w:szCs w:val="16"/>
          <w:u w:val="single"/>
        </w:rPr>
        <w:t>Item 2.3.3 (a) (</w:t>
      </w:r>
      <w:proofErr w:type="spellStart"/>
      <w:r w:rsidRPr="00195CAD">
        <w:rPr>
          <w:rFonts w:cs="Arial"/>
          <w:i/>
          <w:sz w:val="18"/>
          <w:szCs w:val="16"/>
          <w:u w:val="single"/>
        </w:rPr>
        <w:t>i</w:t>
      </w:r>
      <w:proofErr w:type="spellEnd"/>
      <w:r w:rsidRPr="00195CAD">
        <w:rPr>
          <w:rFonts w:cs="Arial"/>
          <w:i/>
          <w:sz w:val="18"/>
          <w:szCs w:val="16"/>
          <w:u w:val="single"/>
        </w:rPr>
        <w:t>)</w:t>
      </w:r>
    </w:p>
    <w:p w:rsidR="002A0074" w:rsidRPr="00195CAD" w:rsidRDefault="002A0074" w:rsidP="002A0074">
      <w:pPr>
        <w:spacing w:after="120"/>
        <w:ind w:left="567" w:right="567"/>
        <w:rPr>
          <w:rFonts w:cs="Arial"/>
          <w:sz w:val="18"/>
          <w:szCs w:val="16"/>
        </w:rPr>
      </w:pPr>
      <w:r>
        <w:rPr>
          <w:rFonts w:cs="Arial"/>
          <w:sz w:val="18"/>
          <w:szCs w:val="16"/>
        </w:rPr>
        <w:t>“- The deletion of the text ‘</w:t>
      </w:r>
      <w:r w:rsidRPr="00195CAD">
        <w:rPr>
          <w:rFonts w:cs="Arial"/>
          <w:sz w:val="18"/>
          <w:szCs w:val="16"/>
        </w:rPr>
        <w:t>e.g. if it concerns a le</w:t>
      </w:r>
      <w:r>
        <w:rPr>
          <w:rFonts w:cs="Arial"/>
          <w:sz w:val="18"/>
          <w:szCs w:val="16"/>
        </w:rPr>
        <w:t>tter at the beginning of a word’ and the addition of the ‘</w:t>
      </w:r>
      <w:r w:rsidRPr="00195CAD">
        <w:rPr>
          <w:rFonts w:cs="Arial"/>
          <w:sz w:val="18"/>
          <w:szCs w:val="16"/>
        </w:rPr>
        <w:t>Exa</w:t>
      </w:r>
      <w:r>
        <w:rPr>
          <w:rFonts w:cs="Arial"/>
          <w:sz w:val="18"/>
          <w:szCs w:val="16"/>
        </w:rPr>
        <w:t xml:space="preserve">mples of suitable denominations’ ‘Marina and Martina’, ‘Dora and </w:t>
      </w:r>
      <w:proofErr w:type="spellStart"/>
      <w:r>
        <w:rPr>
          <w:rFonts w:cs="Arial"/>
          <w:sz w:val="18"/>
          <w:szCs w:val="16"/>
        </w:rPr>
        <w:t>Dorka</w:t>
      </w:r>
      <w:proofErr w:type="spellEnd"/>
      <w:r>
        <w:rPr>
          <w:rFonts w:cs="Arial"/>
          <w:sz w:val="18"/>
          <w:szCs w:val="16"/>
        </w:rPr>
        <w:t>’ and ‘Goran and Gran’</w:t>
      </w:r>
      <w:r w:rsidRPr="00195CAD">
        <w:rPr>
          <w:rFonts w:cs="Arial"/>
          <w:sz w:val="18"/>
          <w:szCs w:val="16"/>
        </w:rPr>
        <w:t xml:space="preserve"> make a substantial change in the rule suggested by the UPOV/INF/12/5 ;</w:t>
      </w:r>
    </w:p>
    <w:p w:rsidR="002A0074" w:rsidRPr="00195CAD" w:rsidRDefault="002A0074" w:rsidP="002A0074">
      <w:pPr>
        <w:spacing w:after="120"/>
        <w:ind w:left="567" w:right="567"/>
        <w:rPr>
          <w:rFonts w:cs="Arial"/>
          <w:sz w:val="18"/>
          <w:szCs w:val="16"/>
        </w:rPr>
      </w:pPr>
      <w:r>
        <w:rPr>
          <w:rFonts w:cs="Arial"/>
          <w:sz w:val="18"/>
          <w:szCs w:val="16"/>
        </w:rPr>
        <w:t>“</w:t>
      </w:r>
      <w:r w:rsidRPr="00195CAD">
        <w:rPr>
          <w:rFonts w:cs="Arial"/>
          <w:sz w:val="18"/>
          <w:szCs w:val="16"/>
        </w:rPr>
        <w:t>- The added examples (specially Marina and Martina (at least in Portuguese)) would make clear different almost all (if not all) denominations with differences of 1 letter, that provides 1 visual and 1 phonetical differences;</w:t>
      </w:r>
    </w:p>
    <w:p w:rsidR="002A0074" w:rsidRPr="00195CAD" w:rsidRDefault="002A0074" w:rsidP="002A0074">
      <w:pPr>
        <w:spacing w:after="120"/>
        <w:ind w:left="567" w:right="567"/>
        <w:rPr>
          <w:rFonts w:cs="Arial"/>
          <w:sz w:val="18"/>
          <w:szCs w:val="16"/>
        </w:rPr>
      </w:pPr>
      <w:r>
        <w:rPr>
          <w:rFonts w:cs="Arial"/>
          <w:sz w:val="18"/>
          <w:szCs w:val="16"/>
        </w:rPr>
        <w:t>“</w:t>
      </w:r>
      <w:r w:rsidRPr="00195CAD">
        <w:rPr>
          <w:rFonts w:cs="Arial"/>
          <w:sz w:val="18"/>
          <w:szCs w:val="16"/>
        </w:rPr>
        <w:t xml:space="preserve">- That being said, if this approach is agreed by the members, we would agree too, for the benefits of having this harmonized rule and to have </w:t>
      </w:r>
      <w:proofErr w:type="gramStart"/>
      <w:r w:rsidRPr="00195CAD">
        <w:rPr>
          <w:rFonts w:cs="Arial"/>
          <w:sz w:val="18"/>
          <w:szCs w:val="16"/>
        </w:rPr>
        <w:t>a</w:t>
      </w:r>
      <w:r>
        <w:rPr>
          <w:rFonts w:cs="Arial"/>
          <w:sz w:val="18"/>
          <w:szCs w:val="16"/>
        </w:rPr>
        <w:t>n</w:t>
      </w:r>
      <w:r w:rsidRPr="00195CAD">
        <w:rPr>
          <w:rFonts w:cs="Arial"/>
          <w:sz w:val="18"/>
          <w:szCs w:val="16"/>
        </w:rPr>
        <w:t xml:space="preserve"> objective criteria</w:t>
      </w:r>
      <w:proofErr w:type="gramEnd"/>
      <w:r w:rsidRPr="00195CAD">
        <w:rPr>
          <w:rFonts w:cs="Arial"/>
          <w:sz w:val="18"/>
          <w:szCs w:val="16"/>
        </w:rPr>
        <w:t>.</w:t>
      </w:r>
    </w:p>
    <w:p w:rsidR="002A0074" w:rsidRDefault="002A0074" w:rsidP="002A0074">
      <w:pPr>
        <w:ind w:left="567" w:right="567"/>
        <w:rPr>
          <w:rFonts w:cs="Arial"/>
          <w:sz w:val="18"/>
          <w:szCs w:val="16"/>
        </w:rPr>
      </w:pPr>
      <w:r>
        <w:rPr>
          <w:rFonts w:cs="Arial"/>
          <w:sz w:val="18"/>
          <w:szCs w:val="16"/>
        </w:rPr>
        <w:t>“</w:t>
      </w:r>
      <w:r w:rsidRPr="00195CAD">
        <w:rPr>
          <w:rFonts w:cs="Arial"/>
          <w:sz w:val="18"/>
          <w:szCs w:val="16"/>
        </w:rPr>
        <w:t>- However, it would be nice to mention that, if the text of the 2.3.3. (a) (</w:t>
      </w:r>
      <w:proofErr w:type="spellStart"/>
      <w:proofErr w:type="gramStart"/>
      <w:r w:rsidRPr="00195CAD">
        <w:rPr>
          <w:rFonts w:cs="Arial"/>
          <w:sz w:val="18"/>
          <w:szCs w:val="16"/>
        </w:rPr>
        <w:t>i</w:t>
      </w:r>
      <w:proofErr w:type="spellEnd"/>
      <w:proofErr w:type="gramEnd"/>
      <w:r w:rsidRPr="00195CAD">
        <w:rPr>
          <w:rFonts w:cs="Arial"/>
          <w:sz w:val="18"/>
          <w:szCs w:val="16"/>
        </w:rPr>
        <w:t>) will be kept as it is, the items (ii), (iii), (iv) and (v) have to be deleted, because in all of them you would have at least 1 letter difference, providing 1 (or more) visual and 1 (or more) phonetical difference(s).</w:t>
      </w:r>
      <w:r>
        <w:rPr>
          <w:rFonts w:cs="Arial"/>
          <w:sz w:val="18"/>
          <w:szCs w:val="16"/>
        </w:rPr>
        <w:t>”</w:t>
      </w:r>
      <w:r w:rsidRPr="00195CAD">
        <w:rPr>
          <w:rFonts w:cs="Arial"/>
          <w:sz w:val="18"/>
          <w:szCs w:val="16"/>
        </w:rPr>
        <w:t xml:space="preserve"> </w:t>
      </w:r>
    </w:p>
    <w:p w:rsidR="004F4001" w:rsidRPr="000E57F2" w:rsidRDefault="004F4001" w:rsidP="000E57F2">
      <w:pPr>
        <w:rPr>
          <w:rFonts w:eastAsia="Arial"/>
        </w:rPr>
      </w:pPr>
    </w:p>
    <w:p w:rsidR="004F4001" w:rsidRPr="000E57F2" w:rsidRDefault="004F4001" w:rsidP="000E57F2">
      <w:pPr>
        <w:rPr>
          <w:rFonts w:eastAsia="Arial"/>
        </w:rPr>
      </w:pPr>
    </w:p>
    <w:p w:rsidR="00E52968" w:rsidRPr="003178F4" w:rsidRDefault="00E52968" w:rsidP="00E52968">
      <w:pPr>
        <w:jc w:val="right"/>
      </w:pPr>
      <w:r w:rsidRPr="003178F4">
        <w:t>[Appendix II follows]</w:t>
      </w:r>
    </w:p>
    <w:p w:rsidR="00E52968" w:rsidRPr="003178F4" w:rsidRDefault="00E52968" w:rsidP="007276CB">
      <w:pPr>
        <w:ind w:left="567" w:right="567"/>
        <w:rPr>
          <w:rFonts w:eastAsia="Arial" w:cs="Arial"/>
          <w:sz w:val="18"/>
          <w:szCs w:val="16"/>
        </w:rPr>
      </w:pPr>
    </w:p>
    <w:p w:rsidR="00E52968" w:rsidRPr="003178F4" w:rsidRDefault="00E52968" w:rsidP="007276CB">
      <w:pPr>
        <w:ind w:left="567" w:right="567"/>
        <w:rPr>
          <w:rFonts w:eastAsia="Arial" w:cs="Arial"/>
          <w:b/>
          <w:bCs/>
          <w:sz w:val="18"/>
          <w:szCs w:val="16"/>
        </w:rPr>
      </w:pPr>
    </w:p>
    <w:p w:rsidR="007276CB" w:rsidRPr="003178F4" w:rsidRDefault="007276CB" w:rsidP="007276CB"/>
    <w:p w:rsidR="00926DF3" w:rsidRPr="003178F4" w:rsidRDefault="00926DF3">
      <w:pPr>
        <w:jc w:val="left"/>
        <w:sectPr w:rsidR="00926DF3" w:rsidRPr="003178F4" w:rsidSect="00906DDC">
          <w:headerReference w:type="first" r:id="rId14"/>
          <w:pgSz w:w="11907" w:h="16840" w:code="9"/>
          <w:pgMar w:top="510" w:right="1134" w:bottom="1134" w:left="1134" w:header="510" w:footer="680" w:gutter="0"/>
          <w:cols w:space="720"/>
          <w:titlePg/>
        </w:sectPr>
      </w:pPr>
    </w:p>
    <w:p w:rsidR="00926DF3" w:rsidRPr="000E57F2" w:rsidRDefault="00926DF3" w:rsidP="000E57F2"/>
    <w:p w:rsidR="002A0074" w:rsidRPr="00926DF3" w:rsidRDefault="002A0074" w:rsidP="002A0074">
      <w:pPr>
        <w:jc w:val="center"/>
      </w:pPr>
      <w:r w:rsidRPr="00926DF3">
        <w:t>EUROPEAN UNION</w:t>
      </w:r>
    </w:p>
    <w:p w:rsidR="002A0074" w:rsidRDefault="002A0074" w:rsidP="002A0074"/>
    <w:p w:rsidR="00E04A27" w:rsidRPr="006F0CAD" w:rsidRDefault="00E04A27" w:rsidP="002A0074"/>
    <w:p w:rsidR="002A0074" w:rsidRPr="00195CAD" w:rsidRDefault="002A0074" w:rsidP="00B2458B">
      <w:pPr>
        <w:shd w:val="clear" w:color="auto" w:fill="FFFFFF" w:themeFill="background1"/>
        <w:rPr>
          <w:rFonts w:eastAsia="Arial" w:cs="Arial"/>
          <w:sz w:val="16"/>
          <w:szCs w:val="16"/>
        </w:rPr>
      </w:pPr>
      <w:r w:rsidRPr="00926DF3">
        <w:rPr>
          <w:spacing w:val="-6"/>
        </w:rPr>
        <w:t>T</w:t>
      </w:r>
      <w:r w:rsidRPr="00926DF3">
        <w:rPr>
          <w:snapToGrid w:val="0"/>
          <w:spacing w:val="-6"/>
        </w:rPr>
        <w:t xml:space="preserve">he Delegation of the European Union provided the following comments concerning document </w:t>
      </w:r>
      <w:r w:rsidR="003E587D">
        <w:rPr>
          <w:snapToGrid w:val="0"/>
          <w:spacing w:val="-6"/>
        </w:rPr>
        <w:t>UPOV/EXN/DEN/1 Draft 4</w:t>
      </w:r>
      <w:r w:rsidR="003E587D" w:rsidRPr="00926DF3">
        <w:rPr>
          <w:snapToGrid w:val="0"/>
          <w:spacing w:val="-6"/>
        </w:rPr>
        <w:t xml:space="preserve"> </w:t>
      </w:r>
      <w:r w:rsidRPr="00926DF3">
        <w:rPr>
          <w:snapToGrid w:val="0"/>
          <w:spacing w:val="-6"/>
        </w:rPr>
        <w:t>“Explanatory Notes on Variety Denominations under the UPOV Convention”</w:t>
      </w:r>
      <w:r w:rsidR="00C75B5D">
        <w:rPr>
          <w:snapToGrid w:val="0"/>
          <w:spacing w:val="-6"/>
        </w:rPr>
        <w:t>:</w:t>
      </w:r>
      <w:r>
        <w:rPr>
          <w:snapToGrid w:val="0"/>
          <w:spacing w:val="-4"/>
        </w:rPr>
        <w:t xml:space="preserve">  </w:t>
      </w:r>
      <w:r>
        <w:rPr>
          <w:snapToGrid w:val="0"/>
          <w:spacing w:val="-4"/>
        </w:rPr>
        <w:br/>
      </w:r>
    </w:p>
    <w:p w:rsidR="002A0074" w:rsidRPr="006E4DA3" w:rsidRDefault="002A0074" w:rsidP="002A0074">
      <w:pPr>
        <w:ind w:left="567" w:right="567"/>
        <w:rPr>
          <w:sz w:val="18"/>
        </w:rPr>
      </w:pPr>
      <w:r w:rsidRPr="006E4DA3">
        <w:rPr>
          <w:sz w:val="18"/>
        </w:rPr>
        <w:t>“The EU and its Members States can agree to note the replies received from members of the Union in response to Circular E-20/017, (b) consider the request by the TWV, at its fifty-fourth session, not to introduce Class 205B in document UPOV/EXN/DEN/1.</w:t>
      </w:r>
    </w:p>
    <w:p w:rsidR="002A0074" w:rsidRPr="006E4DA3" w:rsidRDefault="002A0074" w:rsidP="002A0074">
      <w:pPr>
        <w:ind w:left="567" w:right="567"/>
        <w:rPr>
          <w:sz w:val="18"/>
        </w:rPr>
      </w:pPr>
    </w:p>
    <w:p w:rsidR="002A0074" w:rsidRPr="006E4DA3" w:rsidRDefault="002A0074" w:rsidP="002A0074">
      <w:pPr>
        <w:ind w:left="567" w:right="567"/>
        <w:rPr>
          <w:sz w:val="18"/>
        </w:rPr>
      </w:pPr>
      <w:r w:rsidRPr="006E4DA3">
        <w:rPr>
          <w:sz w:val="18"/>
        </w:rPr>
        <w:t>“However, the EU and its Member States cannot agree to (c) consider the proposed revision of document UPOV/EXN/DEN ‘Explanatory Notes on Variety Denominations under the UPOV Convention’.</w:t>
      </w:r>
    </w:p>
    <w:p w:rsidR="002A0074" w:rsidRPr="006E4DA3" w:rsidRDefault="002A0074" w:rsidP="002A0074">
      <w:pPr>
        <w:ind w:left="567" w:right="567"/>
        <w:rPr>
          <w:sz w:val="18"/>
        </w:rPr>
      </w:pPr>
    </w:p>
    <w:p w:rsidR="002A0074" w:rsidRPr="006E4DA3" w:rsidRDefault="002A0074" w:rsidP="002A0074">
      <w:pPr>
        <w:ind w:left="567" w:right="567"/>
        <w:rPr>
          <w:sz w:val="18"/>
        </w:rPr>
      </w:pPr>
      <w:r w:rsidRPr="006E4DA3">
        <w:rPr>
          <w:sz w:val="18"/>
        </w:rPr>
        <w:t>“As regards the draft of the Section 2.3.3 (a) (</w:t>
      </w:r>
      <w:proofErr w:type="spellStart"/>
      <w:r w:rsidRPr="006E4DA3">
        <w:rPr>
          <w:sz w:val="18"/>
        </w:rPr>
        <w:t>i</w:t>
      </w:r>
      <w:proofErr w:type="spellEnd"/>
      <w:r w:rsidRPr="006E4DA3">
        <w:rPr>
          <w:sz w:val="18"/>
        </w:rPr>
        <w:t xml:space="preserve">) on page 7 reading ‘difference of one letter provides for a clear visual </w:t>
      </w:r>
      <w:r w:rsidRPr="006E4DA3">
        <w:rPr>
          <w:b/>
          <w:sz w:val="18"/>
        </w:rPr>
        <w:t>AND</w:t>
      </w:r>
      <w:r w:rsidRPr="006E4DA3">
        <w:rPr>
          <w:sz w:val="18"/>
        </w:rPr>
        <w:t xml:space="preserve"> phonetic difference, e.g. if it concerns a letter at the beginning of a word’ we would like keep the original word ‘</w:t>
      </w:r>
      <w:r w:rsidRPr="006E4DA3">
        <w:rPr>
          <w:b/>
          <w:sz w:val="18"/>
        </w:rPr>
        <w:t>OR’</w:t>
      </w:r>
      <w:r w:rsidRPr="006E4DA3">
        <w:rPr>
          <w:sz w:val="18"/>
        </w:rPr>
        <w:t xml:space="preserve"> and to state the following.</w:t>
      </w:r>
    </w:p>
    <w:p w:rsidR="002A0074" w:rsidRPr="006E4DA3" w:rsidRDefault="002A0074" w:rsidP="002A0074">
      <w:pPr>
        <w:ind w:left="567" w:right="567"/>
        <w:rPr>
          <w:sz w:val="18"/>
        </w:rPr>
      </w:pPr>
    </w:p>
    <w:p w:rsidR="002A0074" w:rsidRPr="006E4DA3" w:rsidRDefault="002A0074" w:rsidP="002A0074">
      <w:pPr>
        <w:ind w:left="567" w:right="567"/>
        <w:rPr>
          <w:sz w:val="18"/>
        </w:rPr>
      </w:pPr>
      <w:r w:rsidRPr="006E4DA3">
        <w:rPr>
          <w:sz w:val="18"/>
        </w:rPr>
        <w:t xml:space="preserve">“The practice shows that the meaning of words often play an important role and can be sufficient to avoid confusion, even if the two criteria (visual and phonetic) are not met. </w:t>
      </w:r>
      <w:proofErr w:type="gramStart"/>
      <w:r w:rsidRPr="006E4DA3">
        <w:rPr>
          <w:sz w:val="18"/>
        </w:rPr>
        <w:t>In</w:t>
      </w:r>
      <w:proofErr w:type="gramEnd"/>
      <w:r w:rsidRPr="006E4DA3">
        <w:rPr>
          <w:sz w:val="18"/>
        </w:rPr>
        <w:t xml:space="preserve"> examples like ‘Power’ &lt;&gt;’Poker’ or ‘Angle’&lt;&gt;’</w:t>
      </w:r>
      <w:proofErr w:type="spellStart"/>
      <w:r w:rsidRPr="006E4DA3">
        <w:rPr>
          <w:sz w:val="18"/>
        </w:rPr>
        <w:t>Ankel</w:t>
      </w:r>
      <w:proofErr w:type="spellEnd"/>
      <w:r w:rsidRPr="006E4DA3">
        <w:rPr>
          <w:sz w:val="18"/>
        </w:rPr>
        <w:t>’&lt;&gt;’Angel’, the visual or the phonetic similarity does not lead to confusion because the meaning of these words is clear.</w:t>
      </w:r>
    </w:p>
    <w:p w:rsidR="002A0074" w:rsidRPr="006E4DA3" w:rsidRDefault="002A0074" w:rsidP="002A0074">
      <w:pPr>
        <w:ind w:left="567" w:right="567"/>
        <w:rPr>
          <w:sz w:val="18"/>
        </w:rPr>
      </w:pPr>
    </w:p>
    <w:p w:rsidR="002A0074" w:rsidRPr="006E4DA3" w:rsidRDefault="002A0074" w:rsidP="002A0074">
      <w:pPr>
        <w:ind w:left="567" w:right="567"/>
        <w:rPr>
          <w:sz w:val="18"/>
        </w:rPr>
      </w:pPr>
      <w:r w:rsidRPr="006E4DA3">
        <w:rPr>
          <w:sz w:val="18"/>
        </w:rPr>
        <w:t>“We are of the opinion that in this case, the requirement to have both a visual and phonetic difference might lead to a more restrictive approach, whereas the consideration of the concept could contribute to refine it and allow to keep the initial wording version ‘</w:t>
      </w:r>
      <w:r w:rsidRPr="006E4DA3">
        <w:rPr>
          <w:b/>
          <w:sz w:val="18"/>
        </w:rPr>
        <w:t>visual or phonetic’ difference</w:t>
      </w:r>
      <w:r w:rsidRPr="006E4DA3">
        <w:rPr>
          <w:sz w:val="18"/>
        </w:rPr>
        <w:t xml:space="preserve">’. We therefore insist to introduce the concept </w:t>
      </w:r>
      <w:proofErr w:type="gramStart"/>
      <w:r w:rsidRPr="006E4DA3">
        <w:rPr>
          <w:sz w:val="18"/>
        </w:rPr>
        <w:t>as an additional criteria</w:t>
      </w:r>
      <w:proofErr w:type="gramEnd"/>
      <w:r w:rsidRPr="006E4DA3">
        <w:rPr>
          <w:sz w:val="18"/>
        </w:rPr>
        <w:t xml:space="preserve"> in the assessment of the similarity. </w:t>
      </w:r>
    </w:p>
    <w:p w:rsidR="002A0074" w:rsidRPr="006E4DA3" w:rsidRDefault="002A0074" w:rsidP="002A0074">
      <w:pPr>
        <w:ind w:left="567" w:right="567"/>
        <w:rPr>
          <w:sz w:val="18"/>
        </w:rPr>
      </w:pPr>
    </w:p>
    <w:p w:rsidR="002A0074" w:rsidRDefault="002A0074" w:rsidP="002A0074">
      <w:pPr>
        <w:ind w:left="567" w:right="567"/>
        <w:rPr>
          <w:sz w:val="18"/>
        </w:rPr>
      </w:pPr>
      <w:r w:rsidRPr="006E4DA3">
        <w:rPr>
          <w:sz w:val="18"/>
        </w:rPr>
        <w:t>“The EU and its Member States (d) note that, subject to agreement by the CAJ, an agreed draft of document UPOV/EXN/DEN/1 will be presented for adoption by the Council in 2020.”</w:t>
      </w:r>
    </w:p>
    <w:p w:rsidR="00E52968" w:rsidRPr="000E57F2" w:rsidRDefault="00E52968" w:rsidP="000E57F2"/>
    <w:p w:rsidR="00B2458B" w:rsidRPr="000E57F2" w:rsidRDefault="00B2458B" w:rsidP="000E57F2"/>
    <w:p w:rsidR="00E52968" w:rsidRPr="00E65BE1" w:rsidRDefault="00E52968" w:rsidP="00E52968">
      <w:pPr>
        <w:jc w:val="right"/>
      </w:pPr>
      <w:r w:rsidRPr="00E65BE1">
        <w:t>[Appendix II</w:t>
      </w:r>
      <w:r>
        <w:t>I</w:t>
      </w:r>
      <w:r w:rsidRPr="00E65BE1">
        <w:t xml:space="preserve"> follows]</w:t>
      </w:r>
    </w:p>
    <w:p w:rsidR="00E52968" w:rsidRPr="00195CAD" w:rsidRDefault="00E52968" w:rsidP="007276CB">
      <w:pPr>
        <w:ind w:left="567" w:right="567"/>
        <w:rPr>
          <w:rFonts w:cs="Arial"/>
          <w:sz w:val="18"/>
          <w:szCs w:val="16"/>
        </w:rPr>
      </w:pPr>
    </w:p>
    <w:p w:rsidR="007276CB" w:rsidRDefault="007276CB" w:rsidP="007276CB"/>
    <w:p w:rsidR="00926DF3" w:rsidRDefault="00926DF3" w:rsidP="00926DF3">
      <w:pPr>
        <w:jc w:val="left"/>
        <w:sectPr w:rsidR="00926DF3" w:rsidSect="00906DDC">
          <w:headerReference w:type="first" r:id="rId15"/>
          <w:pgSz w:w="11907" w:h="16840" w:code="9"/>
          <w:pgMar w:top="510" w:right="1134" w:bottom="1134" w:left="1134" w:header="510" w:footer="680" w:gutter="0"/>
          <w:cols w:space="720"/>
          <w:titlePg/>
        </w:sectPr>
      </w:pPr>
    </w:p>
    <w:p w:rsidR="00926DF3" w:rsidRDefault="00926DF3" w:rsidP="00B958FA">
      <w:pPr>
        <w:jc w:val="center"/>
      </w:pPr>
    </w:p>
    <w:bookmarkEnd w:id="91"/>
    <w:bookmarkEnd w:id="92"/>
    <w:p w:rsidR="002A0074" w:rsidRDefault="002A0074" w:rsidP="002A0074">
      <w:pPr>
        <w:jc w:val="center"/>
      </w:pPr>
      <w:r>
        <w:t xml:space="preserve">EUROSEEDS </w:t>
      </w:r>
    </w:p>
    <w:p w:rsidR="002A0074" w:rsidRDefault="002A0074" w:rsidP="002A0074"/>
    <w:p w:rsidR="00E04A27" w:rsidRPr="006F0CAD" w:rsidRDefault="00E04A27" w:rsidP="002A0074"/>
    <w:p w:rsidR="00BD431E" w:rsidRDefault="003E587D" w:rsidP="002A0074">
      <w:pPr>
        <w:shd w:val="clear" w:color="auto" w:fill="FFFFFF" w:themeFill="background1"/>
        <w:rPr>
          <w:snapToGrid w:val="0"/>
          <w:spacing w:val="-4"/>
        </w:rPr>
      </w:pPr>
      <w:r>
        <w:rPr>
          <w:spacing w:val="-6"/>
        </w:rPr>
        <w:t>E</w:t>
      </w:r>
      <w:r w:rsidR="00BD431E" w:rsidRPr="00B958FA">
        <w:rPr>
          <w:snapToGrid w:val="0"/>
          <w:spacing w:val="-6"/>
        </w:rPr>
        <w:t xml:space="preserve">uroseeds </w:t>
      </w:r>
      <w:r w:rsidR="00BD431E" w:rsidRPr="00926DF3">
        <w:rPr>
          <w:snapToGrid w:val="0"/>
          <w:spacing w:val="-6"/>
        </w:rPr>
        <w:t>provided the following comments concerning document UPOV/EXN/DEN “Explanatory Notes on Variety Denominations under the UPOV Convention” (d</w:t>
      </w:r>
      <w:r>
        <w:rPr>
          <w:snapToGrid w:val="0"/>
          <w:spacing w:val="-6"/>
        </w:rPr>
        <w:t>ocument UPOV/EXN/DEN/1 Draft 4):</w:t>
      </w:r>
      <w:r w:rsidR="00BD431E">
        <w:rPr>
          <w:snapToGrid w:val="0"/>
          <w:spacing w:val="-4"/>
        </w:rPr>
        <w:t xml:space="preserve">  </w:t>
      </w:r>
    </w:p>
    <w:p w:rsidR="002A0074" w:rsidRDefault="002A0074" w:rsidP="002A0074">
      <w:pPr>
        <w:adjustRightInd w:val="0"/>
        <w:ind w:left="567" w:right="567"/>
        <w:rPr>
          <w:rFonts w:cs="Arial"/>
          <w:sz w:val="18"/>
          <w:szCs w:val="16"/>
        </w:rPr>
      </w:pPr>
    </w:p>
    <w:p w:rsidR="002A0074" w:rsidRPr="0042204A" w:rsidRDefault="002A0074" w:rsidP="002A0074">
      <w:pPr>
        <w:adjustRightInd w:val="0"/>
        <w:ind w:left="567" w:right="567"/>
        <w:rPr>
          <w:rFonts w:cs="Arial"/>
          <w:sz w:val="18"/>
          <w:szCs w:val="16"/>
        </w:rPr>
      </w:pPr>
      <w:r>
        <w:rPr>
          <w:rFonts w:cs="Arial"/>
          <w:sz w:val="18"/>
          <w:szCs w:val="16"/>
        </w:rPr>
        <w:t>“</w:t>
      </w:r>
      <w:r w:rsidRPr="0042204A">
        <w:rPr>
          <w:rFonts w:cs="Arial"/>
          <w:sz w:val="18"/>
          <w:szCs w:val="16"/>
        </w:rPr>
        <w:t xml:space="preserve">However, we take good note that the new draft 4 does not include the examples to which we objected in paragraph 2.3.3. ii). </w:t>
      </w:r>
    </w:p>
    <w:p w:rsidR="002A0074" w:rsidRPr="0042204A" w:rsidRDefault="002A0074" w:rsidP="002A0074">
      <w:pPr>
        <w:adjustRightInd w:val="0"/>
        <w:ind w:left="567" w:right="567"/>
        <w:rPr>
          <w:rFonts w:cs="Arial"/>
          <w:sz w:val="18"/>
          <w:szCs w:val="16"/>
        </w:rPr>
      </w:pPr>
      <w:proofErr w:type="gramStart"/>
      <w:r w:rsidRPr="0042204A">
        <w:rPr>
          <w:rFonts w:cs="Arial"/>
          <w:sz w:val="18"/>
          <w:szCs w:val="16"/>
        </w:rPr>
        <w:t>With regards to</w:t>
      </w:r>
      <w:proofErr w:type="gramEnd"/>
      <w:r w:rsidRPr="0042204A">
        <w:rPr>
          <w:rFonts w:cs="Arial"/>
          <w:sz w:val="18"/>
          <w:szCs w:val="16"/>
        </w:rPr>
        <w:t xml:space="preserve"> paragraph 2.3.3. (b), we regret that our proposal to include examples of suitable denominations </w:t>
      </w:r>
      <w:proofErr w:type="gramStart"/>
      <w:r w:rsidRPr="0042204A">
        <w:rPr>
          <w:rFonts w:cs="Arial"/>
          <w:sz w:val="18"/>
          <w:szCs w:val="16"/>
        </w:rPr>
        <w:t>has not been taken</w:t>
      </w:r>
      <w:proofErr w:type="gramEnd"/>
      <w:r w:rsidRPr="0042204A">
        <w:rPr>
          <w:rFonts w:cs="Arial"/>
          <w:sz w:val="18"/>
          <w:szCs w:val="16"/>
        </w:rPr>
        <w:t xml:space="preserve"> into account. We would also like to suggest changing the term “or” to “and” in the following sentence:</w:t>
      </w:r>
      <w:r>
        <w:rPr>
          <w:rFonts w:cs="Arial"/>
          <w:sz w:val="18"/>
          <w:szCs w:val="16"/>
        </w:rPr>
        <w:t xml:space="preserve">  ‘</w:t>
      </w:r>
      <w:r w:rsidRPr="0042204A">
        <w:rPr>
          <w:rFonts w:cs="Arial"/>
          <w:sz w:val="18"/>
          <w:szCs w:val="16"/>
        </w:rPr>
        <w:t xml:space="preserve">if the difference does not provide a clear phonetic difference </w:t>
      </w:r>
      <w:r w:rsidRPr="0042204A">
        <w:rPr>
          <w:rFonts w:cs="Arial"/>
          <w:b/>
          <w:bCs/>
          <w:sz w:val="18"/>
          <w:szCs w:val="16"/>
        </w:rPr>
        <w:t xml:space="preserve">and </w:t>
      </w:r>
      <w:r w:rsidRPr="0042204A">
        <w:rPr>
          <w:rFonts w:cs="Arial"/>
          <w:sz w:val="18"/>
          <w:szCs w:val="16"/>
        </w:rPr>
        <w:t>a widely-rec</w:t>
      </w:r>
      <w:r>
        <w:rPr>
          <w:rFonts w:cs="Arial"/>
          <w:sz w:val="18"/>
          <w:szCs w:val="16"/>
        </w:rPr>
        <w:t>ognizable difference in meaning’</w:t>
      </w:r>
      <w:r w:rsidRPr="0042204A">
        <w:rPr>
          <w:rFonts w:cs="Arial"/>
          <w:sz w:val="18"/>
          <w:szCs w:val="16"/>
        </w:rPr>
        <w:t xml:space="preserve">. </w:t>
      </w:r>
    </w:p>
    <w:p w:rsidR="002A0074" w:rsidRDefault="002A0074" w:rsidP="002A0074">
      <w:pPr>
        <w:adjustRightInd w:val="0"/>
        <w:ind w:left="567" w:right="567"/>
        <w:rPr>
          <w:rFonts w:cs="Arial"/>
          <w:sz w:val="18"/>
          <w:szCs w:val="16"/>
        </w:rPr>
      </w:pPr>
    </w:p>
    <w:p w:rsidR="002A0074" w:rsidRPr="0042204A" w:rsidRDefault="002A0074" w:rsidP="002A0074">
      <w:pPr>
        <w:adjustRightInd w:val="0"/>
        <w:spacing w:after="120"/>
        <w:ind w:left="567" w:right="567"/>
        <w:rPr>
          <w:rFonts w:cs="Arial"/>
          <w:sz w:val="18"/>
          <w:szCs w:val="16"/>
        </w:rPr>
      </w:pPr>
      <w:r>
        <w:rPr>
          <w:rFonts w:cs="Arial"/>
          <w:sz w:val="18"/>
          <w:szCs w:val="16"/>
        </w:rPr>
        <w:t>“</w:t>
      </w:r>
      <w:r w:rsidRPr="0042204A">
        <w:rPr>
          <w:rFonts w:cs="Arial"/>
          <w:sz w:val="18"/>
          <w:szCs w:val="16"/>
        </w:rPr>
        <w:t xml:space="preserve">Indeed, a denomination should only be rejected when it fulfils both criteria: </w:t>
      </w:r>
    </w:p>
    <w:p w:rsidR="002A0074" w:rsidRPr="0042204A" w:rsidRDefault="002A0074" w:rsidP="002A0074">
      <w:pPr>
        <w:tabs>
          <w:tab w:val="left" w:pos="1134"/>
        </w:tabs>
        <w:spacing w:after="120"/>
        <w:ind w:left="567" w:right="567" w:firstLine="284"/>
        <w:rPr>
          <w:rFonts w:cs="Arial"/>
          <w:sz w:val="18"/>
          <w:szCs w:val="16"/>
        </w:rPr>
      </w:pPr>
      <w:r>
        <w:rPr>
          <w:rFonts w:cs="Arial"/>
          <w:sz w:val="18"/>
          <w:szCs w:val="16"/>
        </w:rPr>
        <w:t>“</w:t>
      </w:r>
      <w:r w:rsidRPr="0042204A">
        <w:rPr>
          <w:rFonts w:cs="Arial"/>
          <w:sz w:val="18"/>
          <w:szCs w:val="16"/>
        </w:rPr>
        <w:t xml:space="preserve">• </w:t>
      </w:r>
      <w:r>
        <w:rPr>
          <w:rFonts w:cs="Arial"/>
          <w:sz w:val="18"/>
          <w:szCs w:val="16"/>
        </w:rPr>
        <w:tab/>
      </w:r>
      <w:r w:rsidRPr="0042204A">
        <w:rPr>
          <w:rFonts w:cs="Arial"/>
          <w:sz w:val="18"/>
          <w:szCs w:val="16"/>
        </w:rPr>
        <w:t xml:space="preserve">if it does not provide a clear phonetic difference, but does provide a widely recognizable difference in meaning, a denomination is suitable: </w:t>
      </w:r>
      <w:r>
        <w:rPr>
          <w:rFonts w:cs="Arial"/>
          <w:sz w:val="18"/>
          <w:szCs w:val="16"/>
        </w:rPr>
        <w:t xml:space="preserve"> </w:t>
      </w:r>
      <w:r w:rsidRPr="0042204A">
        <w:rPr>
          <w:rFonts w:cs="Arial"/>
          <w:sz w:val="18"/>
          <w:szCs w:val="16"/>
        </w:rPr>
        <w:t>see Power / Poker</w:t>
      </w:r>
    </w:p>
    <w:p w:rsidR="002A0074" w:rsidRDefault="002A0074" w:rsidP="002A0074">
      <w:pPr>
        <w:tabs>
          <w:tab w:val="left" w:pos="1134"/>
        </w:tabs>
        <w:ind w:left="567" w:right="567" w:firstLine="284"/>
        <w:rPr>
          <w:rFonts w:cs="Arial"/>
          <w:sz w:val="18"/>
          <w:szCs w:val="16"/>
        </w:rPr>
      </w:pPr>
      <w:r>
        <w:rPr>
          <w:rFonts w:cs="Arial"/>
          <w:sz w:val="18"/>
          <w:szCs w:val="16"/>
        </w:rPr>
        <w:t>“</w:t>
      </w:r>
      <w:r w:rsidRPr="0042204A">
        <w:rPr>
          <w:rFonts w:cs="Arial"/>
          <w:sz w:val="18"/>
          <w:szCs w:val="16"/>
        </w:rPr>
        <w:t xml:space="preserve">• </w:t>
      </w:r>
      <w:r>
        <w:rPr>
          <w:rFonts w:cs="Arial"/>
          <w:sz w:val="18"/>
          <w:szCs w:val="16"/>
        </w:rPr>
        <w:tab/>
      </w:r>
      <w:r w:rsidRPr="0042204A">
        <w:rPr>
          <w:rFonts w:cs="Arial"/>
          <w:sz w:val="18"/>
          <w:szCs w:val="16"/>
        </w:rPr>
        <w:t>if it does not provide a widely-recognizable difference in meaning, but does provide a clear phonetic difference, a denomination is suitable:</w:t>
      </w:r>
      <w:r>
        <w:rPr>
          <w:rFonts w:cs="Arial"/>
          <w:sz w:val="18"/>
          <w:szCs w:val="16"/>
        </w:rPr>
        <w:t xml:space="preserve"> </w:t>
      </w:r>
      <w:r w:rsidRPr="0042204A">
        <w:rPr>
          <w:rFonts w:cs="Arial"/>
          <w:sz w:val="18"/>
          <w:szCs w:val="16"/>
        </w:rPr>
        <w:t xml:space="preserve"> e.g. Power / </w:t>
      </w:r>
      <w:proofErr w:type="spellStart"/>
      <w:r w:rsidRPr="0042204A">
        <w:rPr>
          <w:rFonts w:cs="Arial"/>
          <w:sz w:val="18"/>
          <w:szCs w:val="16"/>
        </w:rPr>
        <w:t>Kracht</w:t>
      </w:r>
      <w:proofErr w:type="spellEnd"/>
      <w:r w:rsidRPr="0042204A">
        <w:rPr>
          <w:rFonts w:cs="Arial"/>
          <w:sz w:val="18"/>
          <w:szCs w:val="16"/>
        </w:rPr>
        <w:t xml:space="preserve"> (Dutch for Power)</w:t>
      </w:r>
      <w:r>
        <w:rPr>
          <w:rFonts w:cs="Arial"/>
          <w:sz w:val="18"/>
          <w:szCs w:val="16"/>
        </w:rPr>
        <w:t>.”</w:t>
      </w:r>
    </w:p>
    <w:p w:rsidR="002A0074" w:rsidRPr="000E57F2" w:rsidRDefault="002A0074" w:rsidP="000E57F2"/>
    <w:p w:rsidR="002A0074" w:rsidRPr="000E57F2" w:rsidRDefault="002A0074" w:rsidP="000E57F2"/>
    <w:p w:rsidR="00E52968" w:rsidRPr="00E65BE1" w:rsidRDefault="002A0074" w:rsidP="002A0074">
      <w:pPr>
        <w:jc w:val="right"/>
      </w:pPr>
      <w:r>
        <w:t xml:space="preserve"> </w:t>
      </w:r>
      <w:r w:rsidR="00E52968">
        <w:t>[Appendix IV</w:t>
      </w:r>
      <w:r w:rsidR="00E52968" w:rsidRPr="00E65BE1">
        <w:t xml:space="preserve"> follows]</w:t>
      </w:r>
    </w:p>
    <w:p w:rsidR="00E52968" w:rsidRDefault="00E52968" w:rsidP="007276CB">
      <w:pPr>
        <w:ind w:left="567" w:right="567"/>
        <w:rPr>
          <w:sz w:val="18"/>
        </w:rPr>
      </w:pPr>
    </w:p>
    <w:p w:rsidR="00E52968" w:rsidRDefault="00E52968" w:rsidP="007276CB">
      <w:pPr>
        <w:ind w:left="567" w:right="567"/>
        <w:rPr>
          <w:sz w:val="18"/>
        </w:rPr>
      </w:pPr>
    </w:p>
    <w:p w:rsidR="007276CB" w:rsidRDefault="007276CB" w:rsidP="007276CB"/>
    <w:p w:rsidR="00B958FA" w:rsidRDefault="00B958FA" w:rsidP="007276CB">
      <w:pPr>
        <w:sectPr w:rsidR="00B958FA" w:rsidSect="00906DDC">
          <w:headerReference w:type="first" r:id="rId16"/>
          <w:pgSz w:w="11907" w:h="16840" w:code="9"/>
          <w:pgMar w:top="510" w:right="1134" w:bottom="1134" w:left="1134" w:header="510" w:footer="680" w:gutter="0"/>
          <w:cols w:space="720"/>
          <w:titlePg/>
        </w:sectPr>
      </w:pPr>
    </w:p>
    <w:p w:rsidR="00B958FA" w:rsidRDefault="00B958FA" w:rsidP="00B958FA">
      <w:pPr>
        <w:jc w:val="center"/>
      </w:pPr>
    </w:p>
    <w:p w:rsidR="002A0074" w:rsidRPr="00B958FA" w:rsidRDefault="003E587D" w:rsidP="003E587D">
      <w:pPr>
        <w:jc w:val="center"/>
      </w:pPr>
      <w:r>
        <w:t>INTERNATIONAL SEED FEDERATION</w:t>
      </w:r>
    </w:p>
    <w:p w:rsidR="002A0074" w:rsidRDefault="002A0074" w:rsidP="002A0074"/>
    <w:p w:rsidR="000E57F2" w:rsidRDefault="000E57F2" w:rsidP="002A0074"/>
    <w:p w:rsidR="00C75B5D" w:rsidRDefault="003E587D" w:rsidP="00C75B5D">
      <w:pPr>
        <w:shd w:val="clear" w:color="auto" w:fill="FFFFFF" w:themeFill="background1"/>
        <w:rPr>
          <w:snapToGrid w:val="0"/>
          <w:spacing w:val="-4"/>
        </w:rPr>
      </w:pPr>
      <w:r>
        <w:rPr>
          <w:spacing w:val="-6"/>
        </w:rPr>
        <w:t xml:space="preserve">ISF </w:t>
      </w:r>
      <w:r w:rsidR="00C75B5D" w:rsidRPr="00926DF3">
        <w:rPr>
          <w:snapToGrid w:val="0"/>
          <w:spacing w:val="-6"/>
        </w:rPr>
        <w:t>provided the following comments concerning document UPOV/EXN/DEN “Explanatory Notes on Variety Denominati</w:t>
      </w:r>
      <w:r>
        <w:rPr>
          <w:snapToGrid w:val="0"/>
          <w:spacing w:val="-6"/>
        </w:rPr>
        <w:t>ons under the UPOV Convention”:</w:t>
      </w:r>
    </w:p>
    <w:p w:rsidR="002A0074" w:rsidRDefault="002A0074" w:rsidP="002A0074"/>
    <w:p w:rsidR="002A0074" w:rsidRPr="0042204A" w:rsidRDefault="002A0074" w:rsidP="002A0074">
      <w:pPr>
        <w:adjustRightInd w:val="0"/>
        <w:spacing w:after="120"/>
        <w:ind w:left="567" w:right="567"/>
        <w:rPr>
          <w:rFonts w:cs="Arial"/>
          <w:sz w:val="18"/>
          <w:szCs w:val="16"/>
        </w:rPr>
      </w:pPr>
      <w:r>
        <w:rPr>
          <w:rFonts w:cs="Arial"/>
          <w:sz w:val="18"/>
          <w:szCs w:val="16"/>
        </w:rPr>
        <w:t>“</w:t>
      </w:r>
      <w:r w:rsidRPr="0042204A">
        <w:rPr>
          <w:rFonts w:cs="Arial"/>
          <w:sz w:val="18"/>
          <w:szCs w:val="16"/>
        </w:rPr>
        <w:t xml:space="preserve">ISF and Euroseeds would like to thank you for the opportunity to provide our comments in the view to prepare the UPOV/EXN/DEN/1 Draft 3 to be discussed in October 2020 by the CAJ.  In circular </w:t>
      </w:r>
      <w:proofErr w:type="gramStart"/>
      <w:r w:rsidRPr="0042204A">
        <w:rPr>
          <w:rFonts w:cs="Arial"/>
          <w:sz w:val="18"/>
          <w:szCs w:val="16"/>
        </w:rPr>
        <w:t>E-20/017</w:t>
      </w:r>
      <w:proofErr w:type="gramEnd"/>
      <w:r w:rsidRPr="0042204A">
        <w:rPr>
          <w:rFonts w:cs="Arial"/>
          <w:sz w:val="18"/>
          <w:szCs w:val="16"/>
        </w:rPr>
        <w:t xml:space="preserve"> you invited members and observers to:</w:t>
      </w:r>
    </w:p>
    <w:p w:rsidR="002A0074" w:rsidRPr="0042204A" w:rsidRDefault="002A0074" w:rsidP="002A0074">
      <w:pPr>
        <w:adjustRightInd w:val="0"/>
        <w:spacing w:after="120"/>
        <w:ind w:left="567" w:right="567" w:firstLine="567"/>
        <w:rPr>
          <w:rFonts w:cs="Arial"/>
          <w:sz w:val="18"/>
          <w:szCs w:val="16"/>
        </w:rPr>
      </w:pPr>
      <w:r>
        <w:rPr>
          <w:rFonts w:cs="Arial"/>
          <w:sz w:val="18"/>
          <w:szCs w:val="16"/>
        </w:rPr>
        <w:t>“</w:t>
      </w:r>
      <w:r w:rsidRPr="0042204A">
        <w:rPr>
          <w:rFonts w:cs="Arial"/>
          <w:sz w:val="18"/>
          <w:szCs w:val="16"/>
        </w:rPr>
        <w:t>(</w:t>
      </w:r>
      <w:proofErr w:type="gramStart"/>
      <w:r w:rsidRPr="0042204A">
        <w:rPr>
          <w:rFonts w:cs="Arial"/>
          <w:sz w:val="18"/>
          <w:szCs w:val="16"/>
        </w:rPr>
        <w:t>a</w:t>
      </w:r>
      <w:proofErr w:type="gramEnd"/>
      <w:r w:rsidRPr="0042204A">
        <w:rPr>
          <w:rFonts w:cs="Arial"/>
          <w:sz w:val="18"/>
          <w:szCs w:val="16"/>
        </w:rPr>
        <w:t xml:space="preserve">) consider document UPOV/EXN/DEN/1 Draft 3, attached and posted at </w:t>
      </w:r>
      <w:hyperlink r:id="rId17" w:history="1">
        <w:r w:rsidRPr="00A91279">
          <w:rPr>
            <w:rStyle w:val="Hyperlink"/>
            <w:rFonts w:cs="Arial"/>
            <w:sz w:val="18"/>
            <w:szCs w:val="16"/>
          </w:rPr>
          <w:t>https://www.upov.int/meetings/en/details.jsp?meeting_id=55678</w:t>
        </w:r>
      </w:hyperlink>
      <w:r w:rsidRPr="0042204A">
        <w:rPr>
          <w:rFonts w:cs="Arial"/>
          <w:sz w:val="18"/>
          <w:szCs w:val="16"/>
        </w:rPr>
        <w:t>, which includes the changes to document UPOV/INF/12/5 that were agreed by the Working Group on Variety Denominations (WG DEN);</w:t>
      </w:r>
    </w:p>
    <w:p w:rsidR="002A0074" w:rsidRPr="0042204A" w:rsidRDefault="002A0074" w:rsidP="002A0074">
      <w:pPr>
        <w:adjustRightInd w:val="0"/>
        <w:ind w:left="567" w:right="567" w:firstLine="567"/>
        <w:rPr>
          <w:rFonts w:cs="Arial"/>
          <w:sz w:val="18"/>
          <w:szCs w:val="16"/>
        </w:rPr>
      </w:pPr>
      <w:r>
        <w:rPr>
          <w:rFonts w:cs="Arial"/>
          <w:sz w:val="18"/>
          <w:szCs w:val="16"/>
        </w:rPr>
        <w:t>“</w:t>
      </w:r>
      <w:r w:rsidRPr="0042204A">
        <w:rPr>
          <w:rFonts w:cs="Arial"/>
          <w:sz w:val="18"/>
          <w:szCs w:val="16"/>
        </w:rPr>
        <w:t>(b) consider the proposals of the Community Plant Variety Office (CPVO) of the European Union to amend section 2.3.3 of document UPOV/EXN/DEN/1 Draft 3, as reproduced in the Annex to this circular (the proposals by the CPVO appear in yellow highlight).</w:t>
      </w:r>
    </w:p>
    <w:p w:rsidR="002A0074" w:rsidRPr="0042204A" w:rsidRDefault="002A0074" w:rsidP="002A0074">
      <w:pPr>
        <w:adjustRightInd w:val="0"/>
        <w:ind w:left="567" w:right="567"/>
        <w:rPr>
          <w:rFonts w:cs="Arial"/>
          <w:sz w:val="18"/>
          <w:szCs w:val="16"/>
        </w:rPr>
      </w:pPr>
    </w:p>
    <w:p w:rsidR="002A0074" w:rsidRPr="0042204A" w:rsidRDefault="002A0074" w:rsidP="002A0074">
      <w:pPr>
        <w:adjustRightInd w:val="0"/>
        <w:ind w:left="567" w:right="567"/>
        <w:rPr>
          <w:rFonts w:cs="Arial"/>
          <w:sz w:val="18"/>
          <w:szCs w:val="16"/>
        </w:rPr>
      </w:pPr>
      <w:r>
        <w:rPr>
          <w:rFonts w:cs="Arial"/>
          <w:sz w:val="18"/>
          <w:szCs w:val="16"/>
        </w:rPr>
        <w:t>“</w:t>
      </w:r>
      <w:r w:rsidRPr="0042204A">
        <w:rPr>
          <w:rFonts w:cs="Arial"/>
          <w:sz w:val="18"/>
          <w:szCs w:val="16"/>
        </w:rPr>
        <w:t>Regarding a) ISF and Euroseeds have no further comments to add. This draft reflects well the practices of breeders.</w:t>
      </w:r>
    </w:p>
    <w:p w:rsidR="002A0074" w:rsidRDefault="002A0074" w:rsidP="002A0074">
      <w:pPr>
        <w:adjustRightInd w:val="0"/>
        <w:ind w:left="567" w:right="567"/>
        <w:rPr>
          <w:rFonts w:cs="Arial"/>
          <w:sz w:val="18"/>
          <w:szCs w:val="16"/>
        </w:rPr>
      </w:pPr>
    </w:p>
    <w:p w:rsidR="002A0074" w:rsidRPr="0042204A" w:rsidRDefault="002A0074" w:rsidP="002A0074">
      <w:pPr>
        <w:adjustRightInd w:val="0"/>
        <w:ind w:left="567" w:right="567"/>
        <w:rPr>
          <w:rFonts w:cs="Arial"/>
          <w:sz w:val="18"/>
          <w:szCs w:val="16"/>
        </w:rPr>
      </w:pPr>
      <w:r>
        <w:rPr>
          <w:rFonts w:cs="Arial"/>
          <w:sz w:val="18"/>
          <w:szCs w:val="16"/>
        </w:rPr>
        <w:t>“</w:t>
      </w:r>
      <w:r w:rsidRPr="0042204A">
        <w:rPr>
          <w:rFonts w:cs="Arial"/>
          <w:sz w:val="18"/>
          <w:szCs w:val="16"/>
        </w:rPr>
        <w:t>Regarding b), the proposal of CPVO to amend Section 2.3.3 ii) to add an extra option (to approve a denomination if there is only a difference of one letter, not at the beginning of a word, when it provides a clear visual and phonetic difference), ISF and Euroseeds have some concerns.</w:t>
      </w:r>
    </w:p>
    <w:p w:rsidR="002A0074" w:rsidRPr="0042204A" w:rsidRDefault="002A0074" w:rsidP="002A0074">
      <w:pPr>
        <w:adjustRightInd w:val="0"/>
        <w:ind w:left="567" w:right="567"/>
        <w:rPr>
          <w:rFonts w:cs="Arial"/>
          <w:sz w:val="18"/>
          <w:szCs w:val="16"/>
        </w:rPr>
      </w:pPr>
      <w:r w:rsidRPr="0042204A">
        <w:rPr>
          <w:rFonts w:cs="Arial"/>
          <w:sz w:val="18"/>
          <w:szCs w:val="16"/>
        </w:rPr>
        <w:t>In the exa</w:t>
      </w:r>
      <w:r>
        <w:rPr>
          <w:rFonts w:cs="Arial"/>
          <w:sz w:val="18"/>
          <w:szCs w:val="16"/>
        </w:rPr>
        <w:t xml:space="preserve">mples given, we </w:t>
      </w:r>
      <w:proofErr w:type="gramStart"/>
      <w:r>
        <w:rPr>
          <w:rFonts w:cs="Arial"/>
          <w:sz w:val="18"/>
          <w:szCs w:val="16"/>
        </w:rPr>
        <w:t>don’t</w:t>
      </w:r>
      <w:proofErr w:type="gramEnd"/>
      <w:r>
        <w:rPr>
          <w:rFonts w:cs="Arial"/>
          <w:sz w:val="18"/>
          <w:szCs w:val="16"/>
        </w:rPr>
        <w:t xml:space="preserve"> see that ‘Alexandra’ and ‘</w:t>
      </w:r>
      <w:proofErr w:type="spellStart"/>
      <w:r>
        <w:rPr>
          <w:rFonts w:cs="Arial"/>
          <w:sz w:val="18"/>
          <w:szCs w:val="16"/>
        </w:rPr>
        <w:t>Alexandru</w:t>
      </w:r>
      <w:proofErr w:type="spellEnd"/>
      <w:r>
        <w:rPr>
          <w:rFonts w:cs="Arial"/>
          <w:sz w:val="18"/>
          <w:szCs w:val="16"/>
        </w:rPr>
        <w:t>’ or ‘Lila’ and ‘Leila’ bring ‘</w:t>
      </w:r>
      <w:r w:rsidRPr="0042204A">
        <w:rPr>
          <w:rFonts w:cs="Arial"/>
          <w:sz w:val="18"/>
          <w:szCs w:val="16"/>
        </w:rPr>
        <w:t>a clear</w:t>
      </w:r>
      <w:r>
        <w:rPr>
          <w:rFonts w:cs="Arial"/>
          <w:sz w:val="18"/>
          <w:szCs w:val="16"/>
        </w:rPr>
        <w:t xml:space="preserve"> visual and phonetic difference’</w:t>
      </w:r>
      <w:r w:rsidRPr="0042204A">
        <w:rPr>
          <w:rFonts w:cs="Arial"/>
          <w:sz w:val="18"/>
          <w:szCs w:val="16"/>
        </w:rPr>
        <w:t xml:space="preserve"> for a clear distinction of both potential varieties. From the </w:t>
      </w:r>
      <w:proofErr w:type="gramStart"/>
      <w:r w:rsidRPr="0042204A">
        <w:rPr>
          <w:rFonts w:cs="Arial"/>
          <w:sz w:val="18"/>
          <w:szCs w:val="16"/>
        </w:rPr>
        <w:t>examples</w:t>
      </w:r>
      <w:proofErr w:type="gramEnd"/>
      <w:r w:rsidRPr="0042204A">
        <w:rPr>
          <w:rFonts w:cs="Arial"/>
          <w:sz w:val="18"/>
          <w:szCs w:val="16"/>
        </w:rPr>
        <w:t xml:space="preserve"> it is not clear what the criteria are to assess a clear visual and phonetic difference.</w:t>
      </w:r>
    </w:p>
    <w:p w:rsidR="002A0074" w:rsidRPr="0042204A" w:rsidRDefault="002A0074" w:rsidP="002A0074">
      <w:pPr>
        <w:adjustRightInd w:val="0"/>
        <w:ind w:left="567" w:right="567"/>
        <w:rPr>
          <w:rFonts w:cs="Arial"/>
          <w:sz w:val="18"/>
          <w:szCs w:val="16"/>
        </w:rPr>
      </w:pPr>
    </w:p>
    <w:p w:rsidR="002A0074" w:rsidRDefault="002A0074" w:rsidP="002A0074">
      <w:pPr>
        <w:ind w:left="567" w:right="567"/>
        <w:rPr>
          <w:rFonts w:cs="Arial"/>
          <w:sz w:val="18"/>
          <w:szCs w:val="16"/>
        </w:rPr>
      </w:pPr>
      <w:r>
        <w:rPr>
          <w:rFonts w:cs="Arial"/>
          <w:sz w:val="18"/>
          <w:szCs w:val="16"/>
        </w:rPr>
        <w:t>“</w:t>
      </w:r>
      <w:r w:rsidRPr="0042204A">
        <w:rPr>
          <w:rFonts w:cs="Arial"/>
          <w:sz w:val="18"/>
          <w:szCs w:val="16"/>
        </w:rPr>
        <w:t>Regarding the two alternative proposals of CPVO for Section 2.3.3 b), to reject denominations which have a difference of 2 or more letters, but without providing a clear phonetic difference or a widely-recognizable difference in meaning, ISF and Euroseeds can agree with either proposal.  However, we would like to suggest CPVO to provide another example for Alternative 2 of a suitable denomination although there is no clear phonetic d</w:t>
      </w:r>
      <w:r>
        <w:rPr>
          <w:rFonts w:cs="Arial"/>
          <w:sz w:val="18"/>
          <w:szCs w:val="16"/>
        </w:rPr>
        <w:t xml:space="preserve">ifference, </w:t>
      </w:r>
      <w:proofErr w:type="gramStart"/>
      <w:r>
        <w:rPr>
          <w:rFonts w:cs="Arial"/>
          <w:sz w:val="18"/>
          <w:szCs w:val="16"/>
        </w:rPr>
        <w:t>to really state</w:t>
      </w:r>
      <w:proofErr w:type="gramEnd"/>
      <w:r>
        <w:rPr>
          <w:rFonts w:cs="Arial"/>
          <w:sz w:val="18"/>
          <w:szCs w:val="16"/>
        </w:rPr>
        <w:t xml:space="preserve"> the ‘</w:t>
      </w:r>
      <w:r w:rsidRPr="0042204A">
        <w:rPr>
          <w:rFonts w:cs="Arial"/>
          <w:sz w:val="18"/>
          <w:szCs w:val="16"/>
        </w:rPr>
        <w:t>widely recognizable difference in meaning</w:t>
      </w:r>
      <w:r>
        <w:rPr>
          <w:rFonts w:cs="Arial"/>
          <w:sz w:val="18"/>
          <w:szCs w:val="16"/>
        </w:rPr>
        <w:t>’</w:t>
      </w:r>
      <w:r w:rsidRPr="0042204A">
        <w:rPr>
          <w:rFonts w:cs="Arial"/>
          <w:sz w:val="18"/>
          <w:szCs w:val="16"/>
        </w:rPr>
        <w:t>. Otherwise we would support Alternative 1.</w:t>
      </w:r>
      <w:r>
        <w:rPr>
          <w:rFonts w:cs="Arial"/>
          <w:sz w:val="18"/>
          <w:szCs w:val="16"/>
        </w:rPr>
        <w:t>”</w:t>
      </w:r>
    </w:p>
    <w:p w:rsidR="00C75B5D" w:rsidRDefault="00C75B5D" w:rsidP="000E57F2"/>
    <w:p w:rsidR="000E57F2" w:rsidRPr="000E57F2" w:rsidRDefault="000E57F2" w:rsidP="000E57F2"/>
    <w:p w:rsidR="00E52968" w:rsidRPr="00E65BE1" w:rsidRDefault="002A0074" w:rsidP="002A0074">
      <w:pPr>
        <w:jc w:val="right"/>
      </w:pPr>
      <w:r>
        <w:t xml:space="preserve"> </w:t>
      </w:r>
      <w:r w:rsidR="00E52968">
        <w:t>[</w:t>
      </w:r>
      <w:r>
        <w:t>Annex II</w:t>
      </w:r>
      <w:r w:rsidR="00E52968" w:rsidRPr="00E65BE1">
        <w:t xml:space="preserve"> follows]</w:t>
      </w:r>
    </w:p>
    <w:p w:rsidR="00E52968" w:rsidRPr="0042204A" w:rsidRDefault="00E52968" w:rsidP="00AD021D">
      <w:pPr>
        <w:tabs>
          <w:tab w:val="left" w:pos="1134"/>
        </w:tabs>
        <w:ind w:left="567" w:right="567" w:firstLine="284"/>
        <w:rPr>
          <w:sz w:val="22"/>
        </w:rPr>
      </w:pPr>
    </w:p>
    <w:p w:rsidR="0042204A" w:rsidRDefault="0042204A" w:rsidP="007276CB"/>
    <w:p w:rsidR="00B958FA" w:rsidRDefault="00B958FA" w:rsidP="007276CB">
      <w:pPr>
        <w:sectPr w:rsidR="00B958FA" w:rsidSect="00906DDC">
          <w:headerReference w:type="first" r:id="rId18"/>
          <w:pgSz w:w="11907" w:h="16840" w:code="9"/>
          <w:pgMar w:top="510" w:right="1134" w:bottom="1134" w:left="1134" w:header="510" w:footer="680" w:gutter="0"/>
          <w:cols w:space="720"/>
          <w:titlePg/>
        </w:sectPr>
      </w:pPr>
    </w:p>
    <w:p w:rsidR="00CC7D6A" w:rsidRDefault="00CC7D6A" w:rsidP="00CC7D6A">
      <w:pPr>
        <w:jc w:val="center"/>
      </w:pPr>
    </w:p>
    <w:p w:rsidR="00CC7D6A" w:rsidRPr="004E12DA" w:rsidRDefault="00C75B5D" w:rsidP="00CC7D6A">
      <w:pPr>
        <w:jc w:val="center"/>
      </w:pPr>
      <w:r w:rsidRPr="00926DF3">
        <w:t xml:space="preserve">Document </w:t>
      </w:r>
      <w:r w:rsidR="00CC7D6A">
        <w:t>CAJ/77/6</w:t>
      </w:r>
      <w:r w:rsidR="00CC7D6A" w:rsidRPr="00926DF3">
        <w:t xml:space="preserve"> </w:t>
      </w:r>
      <w:r w:rsidR="00CC7D6A" w:rsidRPr="004E12DA">
        <w:t>“</w:t>
      </w:r>
      <w:r w:rsidRPr="00CC7D6A">
        <w:t>Novelty of parent lines with regard to the exploitation of the hybrid variety</w:t>
      </w:r>
      <w:r w:rsidR="00CC7D6A" w:rsidRPr="004E12DA">
        <w:t>”</w:t>
      </w:r>
      <w:r w:rsidR="00CC7D6A">
        <w:t>:</w:t>
      </w:r>
      <w:r w:rsidR="00CC7D6A" w:rsidRPr="004E12DA">
        <w:t xml:space="preserve"> </w:t>
      </w:r>
    </w:p>
    <w:p w:rsidR="00CC7D6A" w:rsidRPr="00926DF3" w:rsidRDefault="00C75B5D" w:rsidP="00CC7D6A">
      <w:pPr>
        <w:jc w:val="center"/>
      </w:pPr>
      <w:r w:rsidRPr="00926DF3">
        <w:t>Comments receiv</w:t>
      </w:r>
      <w:r>
        <w:t xml:space="preserve">ed in reply to Circular </w:t>
      </w:r>
      <w:r w:rsidR="00CC7D6A">
        <w:t xml:space="preserve">E-20/120 </w:t>
      </w:r>
      <w:r w:rsidR="0091445C">
        <w:t xml:space="preserve">of </w:t>
      </w:r>
      <w:r>
        <w:t xml:space="preserve">August </w:t>
      </w:r>
      <w:r w:rsidR="00CC7D6A">
        <w:t>21, 2020</w:t>
      </w:r>
    </w:p>
    <w:p w:rsidR="00CC7D6A" w:rsidRPr="00754590" w:rsidRDefault="00CC7D6A" w:rsidP="00CC7D6A">
      <w:pPr>
        <w:jc w:val="center"/>
      </w:pPr>
    </w:p>
    <w:p w:rsidR="00CC7D6A" w:rsidRPr="00754590" w:rsidRDefault="00CC7D6A" w:rsidP="00CC7D6A">
      <w:pPr>
        <w:jc w:val="center"/>
      </w:pPr>
    </w:p>
    <w:p w:rsidR="00CC7D6A" w:rsidRPr="00E65BE1" w:rsidRDefault="00CC7D6A" w:rsidP="00CC7D6A">
      <w:r w:rsidRPr="00E65BE1">
        <w:t>This Annex contains the following:</w:t>
      </w:r>
    </w:p>
    <w:p w:rsidR="00CC7D6A" w:rsidRPr="00E65BE1" w:rsidRDefault="00CC7D6A" w:rsidP="00CC7D6A"/>
    <w:p w:rsidR="00CC7D6A" w:rsidRDefault="000E57F2" w:rsidP="000E57F2">
      <w:pPr>
        <w:tabs>
          <w:tab w:val="left" w:pos="1134"/>
          <w:tab w:val="left" w:pos="2552"/>
        </w:tabs>
        <w:ind w:left="567"/>
      </w:pPr>
      <w:r>
        <w:t>(a)</w:t>
      </w:r>
      <w:r>
        <w:tab/>
        <w:t>Appendix I:</w:t>
      </w:r>
      <w:r>
        <w:tab/>
      </w:r>
      <w:r w:rsidR="00CC7D6A">
        <w:t xml:space="preserve">Comments from the </w:t>
      </w:r>
      <w:r w:rsidR="00CC7D6A" w:rsidRPr="00926DF3">
        <w:rPr>
          <w:snapToGrid w:val="0"/>
          <w:spacing w:val="-6"/>
        </w:rPr>
        <w:t>European Union</w:t>
      </w:r>
    </w:p>
    <w:p w:rsidR="00CC7D6A" w:rsidRPr="00E65BE1" w:rsidRDefault="00CC7D6A" w:rsidP="000E57F2">
      <w:pPr>
        <w:tabs>
          <w:tab w:val="left" w:pos="1134"/>
          <w:tab w:val="left" w:pos="2552"/>
        </w:tabs>
        <w:ind w:left="567"/>
        <w:contextualSpacing/>
      </w:pPr>
    </w:p>
    <w:p w:rsidR="00CC7D6A" w:rsidRDefault="000E57F2" w:rsidP="000E57F2">
      <w:pPr>
        <w:tabs>
          <w:tab w:val="left" w:pos="1134"/>
          <w:tab w:val="left" w:pos="2552"/>
        </w:tabs>
        <w:ind w:left="567"/>
      </w:pPr>
      <w:r>
        <w:t>(b)</w:t>
      </w:r>
      <w:r>
        <w:tab/>
        <w:t>Appendix II:</w:t>
      </w:r>
      <w:r>
        <w:tab/>
      </w:r>
      <w:r w:rsidR="00CC7D6A">
        <w:t xml:space="preserve">Comments from </w:t>
      </w:r>
      <w:r w:rsidR="00CC7D6A" w:rsidRPr="004E12DA">
        <w:t>Euroseeds</w:t>
      </w:r>
    </w:p>
    <w:p w:rsidR="00CC7D6A" w:rsidRDefault="00CC7D6A" w:rsidP="000E57F2">
      <w:pPr>
        <w:tabs>
          <w:tab w:val="left" w:pos="1134"/>
          <w:tab w:val="left" w:pos="2552"/>
        </w:tabs>
        <w:ind w:left="567"/>
      </w:pPr>
    </w:p>
    <w:p w:rsidR="00CC7D6A" w:rsidRDefault="00CC7D6A" w:rsidP="00F16B57">
      <w:pPr>
        <w:tabs>
          <w:tab w:val="left" w:pos="1134"/>
          <w:tab w:val="left" w:pos="2552"/>
        </w:tabs>
        <w:ind w:left="567"/>
      </w:pPr>
      <w:r>
        <w:t>(c</w:t>
      </w:r>
      <w:r w:rsidRPr="00E65BE1">
        <w:t>)</w:t>
      </w:r>
      <w:r w:rsidRPr="00E65BE1">
        <w:tab/>
        <w:t>Appendix II</w:t>
      </w:r>
      <w:r>
        <w:t>I</w:t>
      </w:r>
      <w:r w:rsidR="000E57F2">
        <w:t xml:space="preserve">: </w:t>
      </w:r>
      <w:r w:rsidR="000E57F2">
        <w:tab/>
      </w:r>
      <w:r w:rsidR="00F16B57">
        <w:t>J</w:t>
      </w:r>
      <w:r>
        <w:t xml:space="preserve">oint comments from </w:t>
      </w:r>
      <w:r w:rsidRPr="004E12DA">
        <w:t>ISF, AFSTA</w:t>
      </w:r>
      <w:r>
        <w:t>,</w:t>
      </w:r>
      <w:r w:rsidRPr="00037C1B">
        <w:t xml:space="preserve"> </w:t>
      </w:r>
      <w:r w:rsidRPr="004E12DA">
        <w:t xml:space="preserve">APSA </w:t>
      </w:r>
      <w:r w:rsidR="0016761D">
        <w:t>and</w:t>
      </w:r>
      <w:r w:rsidRPr="004E12DA">
        <w:t xml:space="preserve"> SAA</w:t>
      </w:r>
    </w:p>
    <w:p w:rsidR="00CC7D6A" w:rsidRDefault="00CC7D6A" w:rsidP="00CC7D6A">
      <w:pPr>
        <w:ind w:firstLine="360"/>
      </w:pPr>
    </w:p>
    <w:p w:rsidR="00D82EE7" w:rsidRDefault="00D82EE7" w:rsidP="00D82EE7"/>
    <w:p w:rsidR="000B20B0" w:rsidRPr="000B20B0" w:rsidRDefault="000B20B0" w:rsidP="000B20B0">
      <w:pPr>
        <w:jc w:val="right"/>
      </w:pPr>
      <w:r w:rsidRPr="000B20B0">
        <w:t>[Appendix I follows]</w:t>
      </w:r>
    </w:p>
    <w:p w:rsidR="00D82EE7" w:rsidRDefault="00D82EE7" w:rsidP="00D82EE7"/>
    <w:p w:rsidR="00D82EE7" w:rsidRDefault="00D82EE7" w:rsidP="00D82EE7"/>
    <w:p w:rsidR="00D82EE7" w:rsidRDefault="00D82EE7" w:rsidP="00D82EE7">
      <w:pPr>
        <w:sectPr w:rsidR="00D82EE7" w:rsidSect="00906DDC">
          <w:headerReference w:type="first" r:id="rId19"/>
          <w:pgSz w:w="11907" w:h="16840" w:code="9"/>
          <w:pgMar w:top="510" w:right="1134" w:bottom="1134" w:left="1134" w:header="510" w:footer="680" w:gutter="0"/>
          <w:cols w:space="720"/>
          <w:titlePg/>
        </w:sectPr>
      </w:pPr>
    </w:p>
    <w:p w:rsidR="00D82EE7" w:rsidRDefault="00D82EE7" w:rsidP="00D82EE7">
      <w:pPr>
        <w:jc w:val="center"/>
      </w:pPr>
    </w:p>
    <w:p w:rsidR="00D82EE7" w:rsidRPr="00E04A27" w:rsidRDefault="00D82EE7" w:rsidP="00D82EE7">
      <w:pPr>
        <w:jc w:val="center"/>
      </w:pPr>
      <w:r w:rsidRPr="00D82EE7">
        <w:t>EUROPEAN UNION</w:t>
      </w:r>
    </w:p>
    <w:p w:rsidR="00D82EE7" w:rsidRDefault="00D82EE7" w:rsidP="00D82EE7"/>
    <w:p w:rsidR="00D82EE7" w:rsidRPr="00E04A27" w:rsidRDefault="00D82EE7" w:rsidP="00D82EE7"/>
    <w:p w:rsidR="00D82EE7" w:rsidRPr="00926DF3" w:rsidRDefault="00D82EE7" w:rsidP="00D82EE7">
      <w:pPr>
        <w:shd w:val="clear" w:color="auto" w:fill="FFFFFF" w:themeFill="background1"/>
        <w:rPr>
          <w:snapToGrid w:val="0"/>
          <w:spacing w:val="-4"/>
        </w:rPr>
      </w:pPr>
      <w:r w:rsidRPr="00926DF3">
        <w:rPr>
          <w:spacing w:val="-4"/>
        </w:rPr>
        <w:t>T</w:t>
      </w:r>
      <w:r w:rsidRPr="00926DF3">
        <w:rPr>
          <w:snapToGrid w:val="0"/>
          <w:spacing w:val="-4"/>
        </w:rPr>
        <w:t xml:space="preserve">he Delegation of </w:t>
      </w:r>
      <w:r>
        <w:rPr>
          <w:snapToGrid w:val="0"/>
          <w:spacing w:val="-4"/>
        </w:rPr>
        <w:t xml:space="preserve">the </w:t>
      </w:r>
      <w:r w:rsidRPr="00D82EE7">
        <w:rPr>
          <w:snapToGrid w:val="0"/>
          <w:spacing w:val="-4"/>
        </w:rPr>
        <w:t xml:space="preserve">European Union </w:t>
      </w:r>
      <w:r w:rsidRPr="00926DF3">
        <w:rPr>
          <w:snapToGrid w:val="0"/>
          <w:spacing w:val="-4"/>
        </w:rPr>
        <w:t xml:space="preserve">provided the following comments </w:t>
      </w:r>
      <w:r>
        <w:rPr>
          <w:snapToGrid w:val="0"/>
          <w:spacing w:val="-4"/>
        </w:rPr>
        <w:t xml:space="preserve">concerning </w:t>
      </w:r>
      <w:r w:rsidR="000B20B0">
        <w:t>document CAJ/77/6 “</w:t>
      </w:r>
      <w:r w:rsidR="000B20B0" w:rsidRPr="00CC7D6A">
        <w:t>Novelty of parent lines with regard to the exploitation of the hybrid variety</w:t>
      </w:r>
      <w:r w:rsidR="004717C8">
        <w:t>”:</w:t>
      </w:r>
    </w:p>
    <w:p w:rsidR="000B20B0" w:rsidRPr="000B20B0" w:rsidRDefault="004717C8" w:rsidP="000B20B0">
      <w:pPr>
        <w:pStyle w:val="TableParagraph"/>
        <w:spacing w:before="120"/>
        <w:ind w:left="567" w:right="567"/>
        <w:jc w:val="both"/>
        <w:rPr>
          <w:rFonts w:ascii="Arial" w:hAnsi="Arial" w:cs="Arial"/>
          <w:sz w:val="18"/>
          <w:szCs w:val="18"/>
        </w:rPr>
      </w:pPr>
      <w:r>
        <w:rPr>
          <w:rFonts w:ascii="Arial" w:hAnsi="Arial" w:cs="Arial"/>
          <w:sz w:val="18"/>
          <w:szCs w:val="18"/>
        </w:rPr>
        <w:t xml:space="preserve"> </w:t>
      </w:r>
      <w:r w:rsidR="000B20B0">
        <w:rPr>
          <w:rFonts w:ascii="Arial" w:hAnsi="Arial" w:cs="Arial"/>
          <w:sz w:val="18"/>
          <w:szCs w:val="18"/>
        </w:rPr>
        <w:t>“</w:t>
      </w:r>
      <w:r w:rsidR="000B20B0" w:rsidRPr="000B20B0">
        <w:rPr>
          <w:rFonts w:ascii="Arial" w:hAnsi="Arial" w:cs="Arial"/>
          <w:sz w:val="18"/>
          <w:szCs w:val="18"/>
        </w:rPr>
        <w:t xml:space="preserve">The EU and its Member States can </w:t>
      </w:r>
    </w:p>
    <w:p w:rsidR="000B20B0" w:rsidRPr="000B20B0" w:rsidRDefault="000B20B0" w:rsidP="000B20B0">
      <w:pPr>
        <w:pStyle w:val="TableParagraph"/>
        <w:tabs>
          <w:tab w:val="left" w:pos="1701"/>
        </w:tabs>
        <w:spacing w:before="120"/>
        <w:ind w:left="567" w:right="567" w:firstLine="567"/>
        <w:jc w:val="both"/>
        <w:rPr>
          <w:rFonts w:ascii="Arial" w:hAnsi="Arial" w:cs="Arial"/>
          <w:sz w:val="18"/>
          <w:szCs w:val="18"/>
        </w:rPr>
      </w:pPr>
      <w:r>
        <w:rPr>
          <w:rFonts w:ascii="Arial" w:hAnsi="Arial" w:cs="Arial"/>
          <w:sz w:val="18"/>
          <w:szCs w:val="18"/>
        </w:rPr>
        <w:t>“</w:t>
      </w:r>
      <w:r w:rsidRPr="000B20B0">
        <w:rPr>
          <w:rFonts w:ascii="Arial" w:hAnsi="Arial" w:cs="Arial"/>
          <w:sz w:val="18"/>
          <w:szCs w:val="18"/>
        </w:rPr>
        <w:t xml:space="preserve">(a) </w:t>
      </w:r>
      <w:r>
        <w:rPr>
          <w:rFonts w:ascii="Arial" w:hAnsi="Arial" w:cs="Arial"/>
          <w:sz w:val="18"/>
          <w:szCs w:val="18"/>
        </w:rPr>
        <w:tab/>
      </w:r>
      <w:r w:rsidRPr="000B20B0">
        <w:rPr>
          <w:rFonts w:ascii="Arial" w:hAnsi="Arial" w:cs="Arial"/>
          <w:sz w:val="18"/>
          <w:szCs w:val="18"/>
        </w:rPr>
        <w:t>note the replies to the survey to explore the status of the novelty of parent lines in relation to exploitation of the hybrid in members of the Union, and</w:t>
      </w:r>
    </w:p>
    <w:p w:rsidR="000B20B0" w:rsidRPr="000B20B0" w:rsidRDefault="000B20B0" w:rsidP="000B20B0">
      <w:pPr>
        <w:pStyle w:val="TableParagraph"/>
        <w:tabs>
          <w:tab w:val="left" w:pos="1701"/>
        </w:tabs>
        <w:spacing w:before="120"/>
        <w:ind w:left="567" w:right="567" w:firstLine="567"/>
        <w:jc w:val="both"/>
        <w:rPr>
          <w:rFonts w:ascii="Arial" w:hAnsi="Arial" w:cs="Arial"/>
          <w:sz w:val="18"/>
          <w:szCs w:val="18"/>
        </w:rPr>
      </w:pPr>
      <w:r>
        <w:rPr>
          <w:rFonts w:ascii="Arial" w:hAnsi="Arial" w:cs="Arial"/>
          <w:sz w:val="18"/>
          <w:szCs w:val="18"/>
        </w:rPr>
        <w:t>“</w:t>
      </w:r>
      <w:r w:rsidRPr="000B20B0">
        <w:rPr>
          <w:rFonts w:ascii="Arial" w:hAnsi="Arial" w:cs="Arial"/>
          <w:sz w:val="18"/>
          <w:szCs w:val="18"/>
        </w:rPr>
        <w:t xml:space="preserve">(b) </w:t>
      </w:r>
      <w:r>
        <w:rPr>
          <w:rFonts w:ascii="Arial" w:hAnsi="Arial" w:cs="Arial"/>
          <w:sz w:val="18"/>
          <w:szCs w:val="18"/>
        </w:rPr>
        <w:tab/>
      </w:r>
      <w:proofErr w:type="gramStart"/>
      <w:r w:rsidRPr="000B20B0">
        <w:rPr>
          <w:rFonts w:ascii="Arial" w:hAnsi="Arial" w:cs="Arial"/>
          <w:sz w:val="18"/>
          <w:szCs w:val="18"/>
        </w:rPr>
        <w:t>consider</w:t>
      </w:r>
      <w:proofErr w:type="gramEnd"/>
      <w:r w:rsidRPr="000B20B0">
        <w:rPr>
          <w:rFonts w:ascii="Arial" w:hAnsi="Arial" w:cs="Arial"/>
          <w:sz w:val="18"/>
          <w:szCs w:val="18"/>
        </w:rPr>
        <w:t xml:space="preserve"> the proposal to provide an explanation on this topic in the Explanatory Notes on Novelty. </w:t>
      </w:r>
      <w:r>
        <w:rPr>
          <w:rFonts w:ascii="Arial" w:hAnsi="Arial" w:cs="Arial"/>
          <w:sz w:val="18"/>
          <w:szCs w:val="18"/>
        </w:rPr>
        <w:t xml:space="preserve"> </w:t>
      </w:r>
      <w:r w:rsidRPr="000B20B0">
        <w:rPr>
          <w:rFonts w:ascii="Arial" w:hAnsi="Arial" w:cs="Arial"/>
          <w:sz w:val="18"/>
          <w:szCs w:val="18"/>
        </w:rPr>
        <w:t xml:space="preserve">However, we have doubts about the approach of allowing room for interpretation as regards the novelty of the hybrid parent lines because of impacts on exploitation. </w:t>
      </w:r>
      <w:r>
        <w:rPr>
          <w:rFonts w:ascii="Arial" w:hAnsi="Arial" w:cs="Arial"/>
          <w:sz w:val="18"/>
          <w:szCs w:val="18"/>
        </w:rPr>
        <w:t xml:space="preserve"> </w:t>
      </w:r>
      <w:r w:rsidRPr="000B20B0">
        <w:rPr>
          <w:rFonts w:ascii="Arial" w:hAnsi="Arial" w:cs="Arial"/>
          <w:sz w:val="18"/>
          <w:szCs w:val="18"/>
        </w:rPr>
        <w:t xml:space="preserve">Therefore, we believe it would be important to make the effort to provide common guidance on this issue in the explanatory note in order to avoid any divergence of interpretation between the members of the </w:t>
      </w:r>
      <w:r w:rsidRPr="0016761D">
        <w:rPr>
          <w:rFonts w:ascii="Arial" w:hAnsi="Arial" w:cs="Arial"/>
          <w:sz w:val="18"/>
          <w:szCs w:val="18"/>
        </w:rPr>
        <w:t>Union.  Maybe as a first step a discussion at technical level (e.g. TC, TWPs) could be of use.”</w:t>
      </w:r>
    </w:p>
    <w:p w:rsidR="00D82EE7" w:rsidRDefault="00D82EE7" w:rsidP="00D82EE7"/>
    <w:p w:rsidR="00D82EE7" w:rsidRDefault="00D82EE7" w:rsidP="00D82EE7"/>
    <w:p w:rsidR="00F16B57" w:rsidRPr="00E65BE1" w:rsidRDefault="00F16B57" w:rsidP="00F16B57">
      <w:pPr>
        <w:jc w:val="right"/>
      </w:pPr>
      <w:r>
        <w:t>[Appendix II</w:t>
      </w:r>
      <w:r w:rsidRPr="00E65BE1">
        <w:t xml:space="preserve"> follows]</w:t>
      </w:r>
    </w:p>
    <w:p w:rsidR="00D82EE7" w:rsidRDefault="00D82EE7" w:rsidP="00D82EE7"/>
    <w:p w:rsidR="00D82EE7" w:rsidRDefault="00D82EE7" w:rsidP="00D82EE7"/>
    <w:p w:rsidR="00D82EE7" w:rsidRDefault="00D82EE7" w:rsidP="00D82EE7"/>
    <w:p w:rsidR="00D82EE7" w:rsidRDefault="00D82EE7" w:rsidP="00D82EE7"/>
    <w:p w:rsidR="000B20B0" w:rsidRDefault="000B20B0" w:rsidP="00D82EE7">
      <w:pPr>
        <w:sectPr w:rsidR="000B20B0" w:rsidSect="00906DDC">
          <w:headerReference w:type="first" r:id="rId20"/>
          <w:pgSz w:w="11907" w:h="16840" w:code="9"/>
          <w:pgMar w:top="510" w:right="1134" w:bottom="1134" w:left="1134" w:header="510" w:footer="680" w:gutter="0"/>
          <w:cols w:space="720"/>
          <w:titlePg/>
        </w:sectPr>
      </w:pPr>
    </w:p>
    <w:p w:rsidR="000B20B0" w:rsidRDefault="000B20B0" w:rsidP="000B20B0">
      <w:pPr>
        <w:jc w:val="center"/>
      </w:pPr>
    </w:p>
    <w:p w:rsidR="000B20B0" w:rsidRDefault="000B20B0" w:rsidP="000B20B0">
      <w:pPr>
        <w:jc w:val="center"/>
      </w:pPr>
      <w:r w:rsidRPr="000B20B0">
        <w:t>EUROSEEDS</w:t>
      </w:r>
    </w:p>
    <w:p w:rsidR="000B20B0" w:rsidRPr="00E04A27" w:rsidRDefault="000B20B0" w:rsidP="000B20B0"/>
    <w:p w:rsidR="000B20B0" w:rsidRPr="00926DF3" w:rsidRDefault="000B20B0" w:rsidP="000B20B0">
      <w:pPr>
        <w:shd w:val="clear" w:color="auto" w:fill="FFFFFF" w:themeFill="background1"/>
        <w:rPr>
          <w:snapToGrid w:val="0"/>
          <w:spacing w:val="-4"/>
        </w:rPr>
      </w:pPr>
      <w:r w:rsidRPr="00926DF3">
        <w:rPr>
          <w:spacing w:val="-4"/>
        </w:rPr>
        <w:t>T</w:t>
      </w:r>
      <w:r w:rsidRPr="00926DF3">
        <w:rPr>
          <w:snapToGrid w:val="0"/>
          <w:spacing w:val="-4"/>
        </w:rPr>
        <w:t xml:space="preserve">he Delegation of </w:t>
      </w:r>
      <w:r>
        <w:rPr>
          <w:snapToGrid w:val="0"/>
          <w:spacing w:val="-4"/>
        </w:rPr>
        <w:t>Euroseeds</w:t>
      </w:r>
      <w:r w:rsidRPr="00D82EE7">
        <w:rPr>
          <w:snapToGrid w:val="0"/>
          <w:spacing w:val="-4"/>
        </w:rPr>
        <w:t xml:space="preserve"> </w:t>
      </w:r>
      <w:r w:rsidRPr="00926DF3">
        <w:rPr>
          <w:snapToGrid w:val="0"/>
          <w:spacing w:val="-4"/>
        </w:rPr>
        <w:t xml:space="preserve">provided the following comments </w:t>
      </w:r>
      <w:r>
        <w:rPr>
          <w:snapToGrid w:val="0"/>
          <w:spacing w:val="-4"/>
        </w:rPr>
        <w:t xml:space="preserve">concerning </w:t>
      </w:r>
      <w:r>
        <w:t>document CAJ/77/6 “</w:t>
      </w:r>
      <w:r w:rsidRPr="00CC7D6A">
        <w:t>Novelty of parent lines with regard to the exploitation of the hybrid variety</w:t>
      </w:r>
      <w:r w:rsidR="0016761D">
        <w:t>”:</w:t>
      </w:r>
    </w:p>
    <w:p w:rsidR="00D82EE7" w:rsidRDefault="00D82EE7" w:rsidP="00D82EE7"/>
    <w:p w:rsidR="000B20B0" w:rsidRPr="000B20B0" w:rsidRDefault="000B20B0" w:rsidP="000B20B0">
      <w:pPr>
        <w:pStyle w:val="TableParagraph"/>
        <w:spacing w:before="120"/>
        <w:ind w:left="567" w:right="567"/>
        <w:jc w:val="both"/>
        <w:rPr>
          <w:rFonts w:ascii="Arial" w:hAnsi="Arial" w:cs="Arial"/>
          <w:sz w:val="18"/>
          <w:szCs w:val="18"/>
        </w:rPr>
      </w:pPr>
      <w:r>
        <w:rPr>
          <w:rFonts w:ascii="Arial" w:hAnsi="Arial" w:cs="Arial"/>
          <w:sz w:val="18"/>
          <w:szCs w:val="18"/>
        </w:rPr>
        <w:t>“</w:t>
      </w:r>
      <w:r w:rsidRPr="000B20B0">
        <w:rPr>
          <w:rFonts w:ascii="Arial" w:hAnsi="Arial" w:cs="Arial"/>
          <w:sz w:val="18"/>
          <w:szCs w:val="18"/>
        </w:rPr>
        <w:t xml:space="preserve">We would like to thank the UPOV Secretariat for the survey conducted </w:t>
      </w:r>
      <w:r w:rsidRPr="0016761D">
        <w:rPr>
          <w:rFonts w:ascii="Arial" w:hAnsi="Arial" w:cs="Arial"/>
          <w:sz w:val="18"/>
          <w:szCs w:val="18"/>
        </w:rPr>
        <w:t xml:space="preserve">among UPOV members and the overview of the responses received that is provided in Annex II to the document [CAJ/77/6].  We note that interpretations and practices differ in the various UPOV members and </w:t>
      </w:r>
      <w:proofErr w:type="gramStart"/>
      <w:r w:rsidRPr="0016761D">
        <w:rPr>
          <w:rFonts w:ascii="Arial" w:hAnsi="Arial" w:cs="Arial"/>
          <w:sz w:val="18"/>
          <w:szCs w:val="18"/>
        </w:rPr>
        <w:t>we also</w:t>
      </w:r>
      <w:proofErr w:type="gramEnd"/>
      <w:r w:rsidRPr="0016761D">
        <w:rPr>
          <w:rFonts w:ascii="Arial" w:hAnsi="Arial" w:cs="Arial"/>
          <w:sz w:val="18"/>
          <w:szCs w:val="18"/>
        </w:rPr>
        <w:t xml:space="preserve"> note the previous discussions that took place on this matter within UPOV.  Nevertheless, the proposed way forward included in paragraph 12 of the document [CAJ/77/6] is not acceptable for the members of Euroseeds.  Having diverging interpretations among UPOV member countries on a notion such a</w:t>
      </w:r>
      <w:r w:rsidRPr="000B20B0">
        <w:rPr>
          <w:rFonts w:ascii="Arial" w:hAnsi="Arial" w:cs="Arial"/>
          <w:sz w:val="18"/>
          <w:szCs w:val="18"/>
        </w:rPr>
        <w:t xml:space="preserve">s </w:t>
      </w:r>
      <w:proofErr w:type="gramStart"/>
      <w:r w:rsidRPr="000B20B0">
        <w:rPr>
          <w:rFonts w:ascii="Arial" w:hAnsi="Arial" w:cs="Arial"/>
          <w:sz w:val="18"/>
          <w:szCs w:val="18"/>
        </w:rPr>
        <w:t>novelty which</w:t>
      </w:r>
      <w:proofErr w:type="gramEnd"/>
      <w:r w:rsidRPr="000B20B0">
        <w:rPr>
          <w:rFonts w:ascii="Arial" w:hAnsi="Arial" w:cs="Arial"/>
          <w:sz w:val="18"/>
          <w:szCs w:val="18"/>
        </w:rPr>
        <w:t xml:space="preserve"> is key for obtaining protection, creates an unworkable environment for breeders.</w:t>
      </w:r>
    </w:p>
    <w:p w:rsidR="000B20B0" w:rsidRPr="000B20B0" w:rsidRDefault="000B20B0" w:rsidP="000B20B0">
      <w:pPr>
        <w:pStyle w:val="Default"/>
        <w:ind w:left="567" w:right="567"/>
        <w:jc w:val="both"/>
        <w:rPr>
          <w:color w:val="auto"/>
          <w:sz w:val="18"/>
          <w:szCs w:val="18"/>
        </w:rPr>
      </w:pPr>
    </w:p>
    <w:p w:rsidR="000B20B0" w:rsidRPr="000B20B0" w:rsidRDefault="000B20B0" w:rsidP="000B20B0">
      <w:pPr>
        <w:pStyle w:val="Default"/>
        <w:ind w:left="567" w:right="567"/>
        <w:jc w:val="both"/>
        <w:rPr>
          <w:color w:val="auto"/>
          <w:sz w:val="18"/>
          <w:szCs w:val="18"/>
        </w:rPr>
      </w:pPr>
      <w:r>
        <w:rPr>
          <w:color w:val="auto"/>
          <w:sz w:val="18"/>
          <w:szCs w:val="18"/>
        </w:rPr>
        <w:t>“</w:t>
      </w:r>
      <w:r w:rsidRPr="000B20B0">
        <w:rPr>
          <w:color w:val="auto"/>
          <w:sz w:val="18"/>
          <w:szCs w:val="18"/>
        </w:rPr>
        <w:t xml:space="preserve">We are conscious of the fact that some PBR offices and national laws consider that the novelty of parental lines is lost in cases where the hybrids, composed of these parental lines, have already been produced and/or sold or otherwise disposed of. </w:t>
      </w:r>
      <w:r>
        <w:rPr>
          <w:color w:val="auto"/>
          <w:sz w:val="18"/>
          <w:szCs w:val="18"/>
        </w:rPr>
        <w:t xml:space="preserve"> </w:t>
      </w:r>
      <w:r w:rsidRPr="000B20B0">
        <w:rPr>
          <w:color w:val="auto"/>
          <w:sz w:val="18"/>
          <w:szCs w:val="18"/>
        </w:rPr>
        <w:t xml:space="preserve">Euroseeds is of the opinion that the fact that the hybrid has been disposed of beyond the grace period should not have any effect on the novelty of the parent line. </w:t>
      </w:r>
      <w:r>
        <w:rPr>
          <w:color w:val="auto"/>
          <w:sz w:val="18"/>
          <w:szCs w:val="18"/>
        </w:rPr>
        <w:t xml:space="preserve"> </w:t>
      </w:r>
      <w:r w:rsidRPr="000B20B0">
        <w:rPr>
          <w:color w:val="auto"/>
          <w:sz w:val="18"/>
          <w:szCs w:val="18"/>
        </w:rPr>
        <w:t xml:space="preserve">This is because PBR </w:t>
      </w:r>
      <w:proofErr w:type="gramStart"/>
      <w:r w:rsidRPr="000B20B0">
        <w:rPr>
          <w:color w:val="auto"/>
          <w:sz w:val="18"/>
          <w:szCs w:val="18"/>
        </w:rPr>
        <w:t>is granted</w:t>
      </w:r>
      <w:proofErr w:type="gramEnd"/>
      <w:r w:rsidRPr="000B20B0">
        <w:rPr>
          <w:color w:val="auto"/>
          <w:sz w:val="18"/>
          <w:szCs w:val="18"/>
        </w:rPr>
        <w:t xml:space="preserve"> for a specific variety and that specific variety has to fulfil the novelty criterion. </w:t>
      </w:r>
      <w:r>
        <w:rPr>
          <w:color w:val="auto"/>
          <w:sz w:val="18"/>
          <w:szCs w:val="18"/>
        </w:rPr>
        <w:t xml:space="preserve"> </w:t>
      </w:r>
      <w:r w:rsidRPr="000B20B0">
        <w:rPr>
          <w:color w:val="auto"/>
          <w:sz w:val="18"/>
          <w:szCs w:val="18"/>
        </w:rPr>
        <w:t>The hybrid is a different variety from its parent lines</w:t>
      </w:r>
      <w:proofErr w:type="gramStart"/>
      <w:r w:rsidRPr="000B20B0">
        <w:rPr>
          <w:color w:val="auto"/>
          <w:sz w:val="18"/>
          <w:szCs w:val="18"/>
        </w:rPr>
        <w:t>;1</w:t>
      </w:r>
      <w:proofErr w:type="gramEnd"/>
      <w:r w:rsidRPr="000B20B0">
        <w:rPr>
          <w:color w:val="auto"/>
          <w:sz w:val="18"/>
          <w:szCs w:val="18"/>
        </w:rPr>
        <w:t xml:space="preserve"> they are both protectable separately on their own and therefore the lack of novelty of one should, in principle, have no consequence for the novelty of the other. </w:t>
      </w:r>
      <w:r>
        <w:rPr>
          <w:color w:val="auto"/>
          <w:sz w:val="18"/>
          <w:szCs w:val="18"/>
        </w:rPr>
        <w:t xml:space="preserve"> </w:t>
      </w:r>
      <w:proofErr w:type="gramStart"/>
      <w:r w:rsidRPr="000B20B0">
        <w:rPr>
          <w:color w:val="auto"/>
          <w:sz w:val="18"/>
          <w:szCs w:val="18"/>
        </w:rPr>
        <w:t>Further</w:t>
      </w:r>
      <w:proofErr w:type="gramEnd"/>
      <w:r w:rsidRPr="000B20B0">
        <w:rPr>
          <w:color w:val="auto"/>
          <w:sz w:val="18"/>
          <w:szCs w:val="18"/>
        </w:rPr>
        <w:t xml:space="preserve"> on, the novelty requirement according to Article 7 of the UPOV 1991 Convention states that “the variety shall be deemed to be new if, at the date of filing of the application for a breeder’s right, propagating or harvested material of the variety has not been sold or otherwise disposed of to others, […]”. </w:t>
      </w:r>
      <w:r>
        <w:rPr>
          <w:color w:val="auto"/>
          <w:sz w:val="18"/>
          <w:szCs w:val="18"/>
        </w:rPr>
        <w:t xml:space="preserve"> </w:t>
      </w:r>
      <w:r w:rsidRPr="000B20B0">
        <w:rPr>
          <w:color w:val="auto"/>
          <w:sz w:val="18"/>
          <w:szCs w:val="18"/>
        </w:rPr>
        <w:t xml:space="preserve">As mentioned, hybrid and parental lines are different from each other, therefore the disposal of the hybrid would not meet the requirement of Article 7 </w:t>
      </w:r>
      <w:proofErr w:type="gramStart"/>
      <w:r w:rsidRPr="000B20B0">
        <w:rPr>
          <w:color w:val="auto"/>
          <w:sz w:val="18"/>
          <w:szCs w:val="18"/>
        </w:rPr>
        <w:t>according to which it is the propagating or harvested material of the variety itself that needs to be disposed of for destroying novelty</w:t>
      </w:r>
      <w:proofErr w:type="gramEnd"/>
      <w:r w:rsidRPr="000B20B0">
        <w:rPr>
          <w:color w:val="auto"/>
          <w:sz w:val="18"/>
          <w:szCs w:val="18"/>
        </w:rPr>
        <w:t xml:space="preserve">. </w:t>
      </w:r>
      <w:r>
        <w:rPr>
          <w:color w:val="auto"/>
          <w:sz w:val="18"/>
          <w:szCs w:val="18"/>
        </w:rPr>
        <w:t xml:space="preserve"> </w:t>
      </w:r>
    </w:p>
    <w:p w:rsidR="000B20B0" w:rsidRPr="000B20B0" w:rsidRDefault="000B20B0" w:rsidP="000B20B0">
      <w:pPr>
        <w:pStyle w:val="TableParagraph"/>
        <w:spacing w:before="120"/>
        <w:ind w:left="567" w:right="567"/>
        <w:jc w:val="both"/>
        <w:rPr>
          <w:rFonts w:ascii="Arial" w:hAnsi="Arial" w:cs="Arial"/>
          <w:sz w:val="18"/>
          <w:szCs w:val="18"/>
        </w:rPr>
      </w:pPr>
      <w:r>
        <w:rPr>
          <w:rFonts w:ascii="Arial" w:hAnsi="Arial" w:cs="Arial"/>
          <w:sz w:val="18"/>
          <w:szCs w:val="18"/>
        </w:rPr>
        <w:t>“</w:t>
      </w:r>
      <w:r w:rsidRPr="0016761D">
        <w:rPr>
          <w:rFonts w:ascii="Arial" w:hAnsi="Arial" w:cs="Arial"/>
          <w:sz w:val="18"/>
          <w:szCs w:val="18"/>
        </w:rPr>
        <w:t>On such an important notion, which is key for obtaining protection, harmonized interpretation is necessary across UPOV members to ensure legal certainty and to allow breeders to conduct their businesses globally.  We therefore invite UPOV members to discuss this matter further in the next session of the CAJ.”</w:t>
      </w:r>
    </w:p>
    <w:p w:rsidR="00D82EE7" w:rsidRDefault="00D82EE7" w:rsidP="00D82EE7"/>
    <w:p w:rsidR="004717C8" w:rsidRDefault="004717C8" w:rsidP="004717C8"/>
    <w:p w:rsidR="00F16B57" w:rsidRPr="00E65BE1" w:rsidRDefault="00F16B57" w:rsidP="00F16B57">
      <w:pPr>
        <w:jc w:val="right"/>
      </w:pPr>
      <w:r>
        <w:t>[Appendix III</w:t>
      </w:r>
      <w:r w:rsidRPr="00E65BE1">
        <w:t xml:space="preserve"> follows]</w:t>
      </w:r>
    </w:p>
    <w:p w:rsidR="004717C8" w:rsidRDefault="004717C8" w:rsidP="004717C8">
      <w:pPr>
        <w:rPr>
          <w:rFonts w:cs="Arial"/>
        </w:rPr>
      </w:pPr>
    </w:p>
    <w:p w:rsidR="004717C8" w:rsidRDefault="004717C8" w:rsidP="00D82EE7"/>
    <w:p w:rsidR="000B20B0" w:rsidRDefault="000B20B0">
      <w:pPr>
        <w:jc w:val="left"/>
      </w:pPr>
      <w:r>
        <w:br w:type="page"/>
      </w:r>
    </w:p>
    <w:p w:rsidR="000B20B0" w:rsidRDefault="000B20B0" w:rsidP="000B20B0">
      <w:pPr>
        <w:jc w:val="center"/>
      </w:pPr>
    </w:p>
    <w:p w:rsidR="001633DC" w:rsidRDefault="001633DC" w:rsidP="000B20B0">
      <w:pPr>
        <w:jc w:val="center"/>
      </w:pPr>
      <w:r>
        <w:t xml:space="preserve">INTERNATIONAL SEED FEDERATION </w:t>
      </w:r>
      <w:r w:rsidRPr="00BF4A60">
        <w:t>(ISF)</w:t>
      </w:r>
      <w:r w:rsidRPr="00B958FA">
        <w:t xml:space="preserve">, </w:t>
      </w:r>
    </w:p>
    <w:p w:rsidR="001633DC" w:rsidRPr="00236DE4" w:rsidRDefault="001633DC" w:rsidP="000B20B0">
      <w:pPr>
        <w:jc w:val="center"/>
        <w:rPr>
          <w:lang w:val="fr-CH"/>
        </w:rPr>
      </w:pPr>
      <w:r w:rsidRPr="00236DE4">
        <w:rPr>
          <w:lang w:val="fr-CH"/>
        </w:rPr>
        <w:t xml:space="preserve">ASSOCIATION AFRICAINE DU COMMERCE DES SEMENCES (AFSTA), </w:t>
      </w:r>
    </w:p>
    <w:p w:rsidR="001633DC" w:rsidRDefault="001633DC" w:rsidP="000B20B0">
      <w:pPr>
        <w:jc w:val="center"/>
      </w:pPr>
      <w:r w:rsidRPr="001633DC">
        <w:t>ASIA AND PACIFIC SEED ASSOCIATION (APSA)</w:t>
      </w:r>
      <w:r w:rsidRPr="00B958FA">
        <w:t xml:space="preserve"> AND </w:t>
      </w:r>
    </w:p>
    <w:p w:rsidR="000B20B0" w:rsidRDefault="001633DC" w:rsidP="000B20B0">
      <w:pPr>
        <w:jc w:val="center"/>
      </w:pPr>
      <w:r w:rsidRPr="0051706E">
        <w:t>SEED ASSOCIATION OF THE AMERICAS (SAA)</w:t>
      </w:r>
      <w:r w:rsidRPr="00B958FA">
        <w:t xml:space="preserve"> </w:t>
      </w:r>
    </w:p>
    <w:p w:rsidR="000B20B0" w:rsidRPr="00B958FA" w:rsidRDefault="000B20B0" w:rsidP="000B20B0">
      <w:pPr>
        <w:jc w:val="center"/>
      </w:pPr>
      <w:r>
        <w:t>(JOINT COMMENTS)</w:t>
      </w:r>
    </w:p>
    <w:p w:rsidR="000B20B0" w:rsidRDefault="000B20B0" w:rsidP="000B20B0"/>
    <w:p w:rsidR="000B20B0" w:rsidRPr="00E04A27" w:rsidRDefault="000B20B0" w:rsidP="000B20B0"/>
    <w:p w:rsidR="000B20B0" w:rsidRPr="00926DF3" w:rsidRDefault="008C7A1A" w:rsidP="000B20B0">
      <w:pPr>
        <w:shd w:val="clear" w:color="auto" w:fill="FFFFFF" w:themeFill="background1"/>
        <w:rPr>
          <w:snapToGrid w:val="0"/>
          <w:spacing w:val="-4"/>
        </w:rPr>
      </w:pPr>
      <w:r w:rsidRPr="008C7A1A">
        <w:rPr>
          <w:snapToGrid w:val="0"/>
          <w:spacing w:val="-4"/>
        </w:rPr>
        <w:t xml:space="preserve">ISF, AFSTA, APSA and SAA </w:t>
      </w:r>
      <w:r w:rsidR="000B20B0" w:rsidRPr="00926DF3">
        <w:rPr>
          <w:snapToGrid w:val="0"/>
          <w:spacing w:val="-4"/>
        </w:rPr>
        <w:t xml:space="preserve">provided the following </w:t>
      </w:r>
      <w:r>
        <w:rPr>
          <w:snapToGrid w:val="0"/>
          <w:spacing w:val="-4"/>
        </w:rPr>
        <w:t xml:space="preserve">joint </w:t>
      </w:r>
      <w:r w:rsidR="000B20B0" w:rsidRPr="00926DF3">
        <w:rPr>
          <w:snapToGrid w:val="0"/>
          <w:spacing w:val="-4"/>
        </w:rPr>
        <w:t xml:space="preserve">comments </w:t>
      </w:r>
      <w:r w:rsidR="000B20B0">
        <w:rPr>
          <w:snapToGrid w:val="0"/>
          <w:spacing w:val="-4"/>
        </w:rPr>
        <w:t xml:space="preserve">concerning </w:t>
      </w:r>
      <w:r w:rsidR="000B20B0">
        <w:t>document CAJ/77/6 “</w:t>
      </w:r>
      <w:r w:rsidR="000B20B0" w:rsidRPr="00CC7D6A">
        <w:t>Novelty of parent lines with regard to the exploitation of the hybrid variety</w:t>
      </w:r>
      <w:r w:rsidR="0016761D">
        <w:t>”:</w:t>
      </w:r>
    </w:p>
    <w:p w:rsidR="000B20B0" w:rsidRDefault="000B20B0" w:rsidP="000B20B0"/>
    <w:p w:rsidR="000B20B0" w:rsidRPr="000B20B0" w:rsidRDefault="008C7A1A" w:rsidP="000B20B0">
      <w:pPr>
        <w:pStyle w:val="Default"/>
        <w:ind w:left="567" w:right="567"/>
        <w:jc w:val="both"/>
        <w:rPr>
          <w:color w:val="auto"/>
          <w:spacing w:val="-4"/>
          <w:sz w:val="18"/>
          <w:szCs w:val="18"/>
        </w:rPr>
      </w:pPr>
      <w:r>
        <w:rPr>
          <w:color w:val="auto"/>
          <w:spacing w:val="-4"/>
          <w:sz w:val="18"/>
          <w:szCs w:val="18"/>
        </w:rPr>
        <w:t>“</w:t>
      </w:r>
      <w:r w:rsidR="000B20B0" w:rsidRPr="000B20B0">
        <w:rPr>
          <w:color w:val="auto"/>
          <w:spacing w:val="-4"/>
          <w:sz w:val="18"/>
          <w:szCs w:val="18"/>
        </w:rPr>
        <w:t xml:space="preserve">As mentioned in the document, ASSINSEL provided a position in March 2000 during the 41st session of the CAJ. </w:t>
      </w:r>
    </w:p>
    <w:p w:rsidR="000B20B0" w:rsidRDefault="000B20B0" w:rsidP="000B20B0">
      <w:pPr>
        <w:pStyle w:val="Default"/>
        <w:ind w:left="567" w:right="567"/>
        <w:jc w:val="both"/>
        <w:rPr>
          <w:color w:val="auto"/>
          <w:sz w:val="18"/>
          <w:szCs w:val="18"/>
        </w:rPr>
      </w:pPr>
    </w:p>
    <w:p w:rsidR="000B20B0" w:rsidRPr="000B20B0" w:rsidRDefault="008C7A1A" w:rsidP="000B20B0">
      <w:pPr>
        <w:pStyle w:val="Default"/>
        <w:ind w:left="567" w:right="567"/>
        <w:jc w:val="both"/>
        <w:rPr>
          <w:color w:val="auto"/>
          <w:sz w:val="18"/>
          <w:szCs w:val="18"/>
        </w:rPr>
      </w:pPr>
      <w:r>
        <w:rPr>
          <w:color w:val="auto"/>
          <w:sz w:val="18"/>
          <w:szCs w:val="18"/>
        </w:rPr>
        <w:t>“</w:t>
      </w:r>
      <w:r w:rsidR="000B20B0" w:rsidRPr="000B20B0">
        <w:rPr>
          <w:color w:val="auto"/>
          <w:sz w:val="18"/>
          <w:szCs w:val="18"/>
        </w:rPr>
        <w:t xml:space="preserve">Following the dissolution of ASSINSEL, I would like to share with you the position of the International Seed Federation on the matter of novelty. </w:t>
      </w:r>
    </w:p>
    <w:p w:rsidR="000B20B0" w:rsidRPr="000B20B0" w:rsidRDefault="000B20B0" w:rsidP="000B20B0">
      <w:pPr>
        <w:pStyle w:val="Default"/>
        <w:ind w:left="567" w:right="567"/>
        <w:jc w:val="both"/>
        <w:rPr>
          <w:color w:val="auto"/>
          <w:sz w:val="18"/>
          <w:szCs w:val="18"/>
        </w:rPr>
      </w:pPr>
    </w:p>
    <w:p w:rsidR="000B20B0" w:rsidRPr="000B20B0" w:rsidRDefault="008C7A1A" w:rsidP="000B20B0">
      <w:pPr>
        <w:pStyle w:val="Default"/>
        <w:ind w:left="1134" w:right="1134"/>
        <w:jc w:val="both"/>
        <w:rPr>
          <w:color w:val="auto"/>
          <w:spacing w:val="-2"/>
          <w:sz w:val="16"/>
          <w:szCs w:val="18"/>
        </w:rPr>
      </w:pPr>
      <w:proofErr w:type="gramStart"/>
      <w:r>
        <w:rPr>
          <w:color w:val="auto"/>
          <w:spacing w:val="-2"/>
          <w:sz w:val="16"/>
          <w:szCs w:val="18"/>
        </w:rPr>
        <w:t>“‘</w:t>
      </w:r>
      <w:r w:rsidR="000B20B0" w:rsidRPr="000B20B0">
        <w:rPr>
          <w:color w:val="auto"/>
          <w:spacing w:val="-2"/>
          <w:sz w:val="16"/>
          <w:szCs w:val="18"/>
        </w:rPr>
        <w:t>According to article 6 of the UPOV 1991 Act a plant variety shall be deemed to be new if, at the date of filing of the application for a PBR, propagating or harvested material of that variety has not been sold or otherwise disposed of to others, by or with the consent of the breeder, for purposes of exploitation of that variety within specific time limits in or outside the territory of filing.</w:t>
      </w:r>
      <w:proofErr w:type="gramEnd"/>
      <w:r w:rsidR="000B20B0" w:rsidRPr="000B20B0">
        <w:rPr>
          <w:color w:val="auto"/>
          <w:spacing w:val="-2"/>
          <w:sz w:val="16"/>
          <w:szCs w:val="18"/>
        </w:rPr>
        <w:t xml:space="preserve"> </w:t>
      </w:r>
    </w:p>
    <w:p w:rsidR="000B20B0" w:rsidRPr="000B20B0" w:rsidRDefault="000B20B0" w:rsidP="000B20B0">
      <w:pPr>
        <w:pStyle w:val="Default"/>
        <w:ind w:left="1134" w:right="1134"/>
        <w:jc w:val="both"/>
        <w:rPr>
          <w:color w:val="auto"/>
          <w:spacing w:val="-2"/>
          <w:sz w:val="16"/>
          <w:szCs w:val="18"/>
        </w:rPr>
      </w:pPr>
      <w:r w:rsidRPr="000B20B0">
        <w:rPr>
          <w:color w:val="auto"/>
          <w:spacing w:val="-2"/>
          <w:sz w:val="16"/>
          <w:szCs w:val="18"/>
        </w:rPr>
        <w:t xml:space="preserve">When filing an application for PBR the applicant needs to declare the date of first sales. </w:t>
      </w:r>
      <w:r w:rsidR="008C7A1A">
        <w:rPr>
          <w:color w:val="auto"/>
          <w:spacing w:val="-2"/>
          <w:sz w:val="16"/>
          <w:szCs w:val="18"/>
        </w:rPr>
        <w:t xml:space="preserve"> </w:t>
      </w:r>
      <w:r w:rsidRPr="000B20B0">
        <w:rPr>
          <w:color w:val="auto"/>
          <w:spacing w:val="-2"/>
          <w:sz w:val="16"/>
          <w:szCs w:val="18"/>
        </w:rPr>
        <w:t xml:space="preserve">ISF recommends official authorities such as PBR offices to take the date of the invoice as date of first sales. </w:t>
      </w:r>
      <w:r w:rsidR="008C7A1A">
        <w:rPr>
          <w:color w:val="auto"/>
          <w:spacing w:val="-2"/>
          <w:sz w:val="16"/>
          <w:szCs w:val="18"/>
        </w:rPr>
        <w:t xml:space="preserve"> </w:t>
      </w:r>
      <w:r w:rsidRPr="000B20B0">
        <w:rPr>
          <w:color w:val="auto"/>
          <w:spacing w:val="-2"/>
          <w:sz w:val="16"/>
          <w:szCs w:val="18"/>
        </w:rPr>
        <w:t xml:space="preserve">Furthermore, ISF interprets “exploitation” as “commercial exploitation” to clarify that the disposal of propagating material to others </w:t>
      </w:r>
      <w:proofErr w:type="gramStart"/>
      <w:r w:rsidRPr="000B20B0">
        <w:rPr>
          <w:color w:val="auto"/>
          <w:spacing w:val="-2"/>
          <w:sz w:val="16"/>
          <w:szCs w:val="18"/>
        </w:rPr>
        <w:t>for the purpose of</w:t>
      </w:r>
      <w:proofErr w:type="gramEnd"/>
      <w:r w:rsidRPr="000B20B0">
        <w:rPr>
          <w:color w:val="auto"/>
          <w:spacing w:val="-2"/>
          <w:sz w:val="16"/>
          <w:szCs w:val="18"/>
        </w:rPr>
        <w:t xml:space="preserve"> testing does not harm its novelty status. </w:t>
      </w:r>
    </w:p>
    <w:p w:rsidR="000B20B0" w:rsidRPr="008C7A1A" w:rsidRDefault="000B20B0" w:rsidP="000B20B0">
      <w:pPr>
        <w:pStyle w:val="Default"/>
        <w:ind w:left="1134" w:right="1134"/>
        <w:jc w:val="both"/>
        <w:rPr>
          <w:color w:val="auto"/>
          <w:sz w:val="16"/>
          <w:szCs w:val="18"/>
        </w:rPr>
      </w:pPr>
      <w:r w:rsidRPr="008C7A1A">
        <w:rPr>
          <w:color w:val="auto"/>
          <w:sz w:val="16"/>
          <w:szCs w:val="18"/>
        </w:rPr>
        <w:t>These conditions should apply for all kinds of varieties, be they sexually or asexually reproduced, pure lines, populations, or hybrids of different kinds</w:t>
      </w:r>
      <w:r w:rsidRPr="008C7A1A">
        <w:rPr>
          <w:bCs/>
          <w:color w:val="auto"/>
          <w:sz w:val="16"/>
          <w:szCs w:val="18"/>
        </w:rPr>
        <w:t xml:space="preserve">. </w:t>
      </w:r>
      <w:r w:rsidR="008C7A1A" w:rsidRPr="008C7A1A">
        <w:rPr>
          <w:bCs/>
          <w:color w:val="auto"/>
          <w:sz w:val="16"/>
          <w:szCs w:val="18"/>
        </w:rPr>
        <w:t xml:space="preserve"> </w:t>
      </w:r>
      <w:r w:rsidRPr="008C7A1A">
        <w:rPr>
          <w:b/>
          <w:bCs/>
          <w:color w:val="auto"/>
          <w:sz w:val="16"/>
          <w:szCs w:val="18"/>
        </w:rPr>
        <w:t xml:space="preserve">Hybrid parental lines as well should be subject to these same conditions. </w:t>
      </w:r>
    </w:p>
    <w:p w:rsidR="000B20B0" w:rsidRPr="000B20B0" w:rsidRDefault="000B20B0" w:rsidP="000B20B0">
      <w:pPr>
        <w:pStyle w:val="TableParagraph"/>
        <w:keepNext/>
        <w:keepLines/>
        <w:ind w:left="1134" w:right="1134"/>
        <w:jc w:val="both"/>
        <w:rPr>
          <w:rFonts w:ascii="Arial" w:hAnsi="Arial" w:cs="Arial"/>
          <w:spacing w:val="-2"/>
          <w:sz w:val="16"/>
          <w:szCs w:val="18"/>
        </w:rPr>
      </w:pPr>
      <w:r w:rsidRPr="000B20B0">
        <w:rPr>
          <w:rFonts w:ascii="Arial" w:hAnsi="Arial" w:cs="Arial"/>
          <w:spacing w:val="-2"/>
          <w:sz w:val="16"/>
          <w:szCs w:val="18"/>
        </w:rPr>
        <w:t xml:space="preserve">Some PBR offices and national laws consider that parental lines are not novel in cases where the hybrids, composed of these parental lines, </w:t>
      </w:r>
      <w:proofErr w:type="gramStart"/>
      <w:r w:rsidRPr="000B20B0">
        <w:rPr>
          <w:rFonts w:ascii="Arial" w:hAnsi="Arial" w:cs="Arial"/>
          <w:spacing w:val="-2"/>
          <w:sz w:val="16"/>
          <w:szCs w:val="18"/>
        </w:rPr>
        <w:t>have already been produced and/or sold</w:t>
      </w:r>
      <w:proofErr w:type="gramEnd"/>
      <w:r w:rsidRPr="000B20B0">
        <w:rPr>
          <w:rFonts w:ascii="Arial" w:hAnsi="Arial" w:cs="Arial"/>
          <w:spacing w:val="-2"/>
          <w:sz w:val="16"/>
          <w:szCs w:val="18"/>
        </w:rPr>
        <w:t>.</w:t>
      </w:r>
      <w:r w:rsidR="008C7A1A">
        <w:rPr>
          <w:rFonts w:ascii="Arial" w:hAnsi="Arial" w:cs="Arial"/>
          <w:spacing w:val="-2"/>
          <w:sz w:val="16"/>
          <w:szCs w:val="18"/>
        </w:rPr>
        <w:t xml:space="preserve"> </w:t>
      </w:r>
      <w:r w:rsidRPr="000B20B0">
        <w:rPr>
          <w:rFonts w:ascii="Arial" w:hAnsi="Arial" w:cs="Arial"/>
          <w:spacing w:val="-2"/>
          <w:sz w:val="16"/>
          <w:szCs w:val="18"/>
        </w:rPr>
        <w:t xml:space="preserve"> </w:t>
      </w:r>
      <w:r w:rsidRPr="000B20B0">
        <w:rPr>
          <w:rFonts w:ascii="Arial" w:hAnsi="Arial" w:cs="Arial"/>
          <w:b/>
          <w:bCs/>
          <w:spacing w:val="-2"/>
          <w:sz w:val="16"/>
          <w:szCs w:val="18"/>
        </w:rPr>
        <w:t>ISF is convinced from its interpretation of the UPOV Convention that the commercialization of a hybrid does not affect the novelty of the respective parental inbred lines.</w:t>
      </w:r>
      <w:r w:rsidR="008C7A1A" w:rsidRPr="008C7A1A">
        <w:rPr>
          <w:rFonts w:ascii="Arial" w:hAnsi="Arial" w:cs="Arial"/>
          <w:bCs/>
          <w:spacing w:val="-2"/>
          <w:sz w:val="16"/>
          <w:szCs w:val="18"/>
        </w:rPr>
        <w:t xml:space="preserve"> </w:t>
      </w:r>
      <w:r w:rsidRPr="008C7A1A">
        <w:rPr>
          <w:rFonts w:ascii="Arial" w:hAnsi="Arial" w:cs="Arial"/>
          <w:bCs/>
          <w:spacing w:val="-2"/>
          <w:sz w:val="16"/>
          <w:szCs w:val="18"/>
        </w:rPr>
        <w:t xml:space="preserve"> </w:t>
      </w:r>
      <w:r w:rsidRPr="000B20B0">
        <w:rPr>
          <w:rFonts w:ascii="Arial" w:hAnsi="Arial" w:cs="Arial"/>
          <w:spacing w:val="-2"/>
          <w:sz w:val="16"/>
          <w:szCs w:val="18"/>
        </w:rPr>
        <w:t xml:space="preserve">First, F1 hybrid seed exhibits </w:t>
      </w:r>
      <w:proofErr w:type="spellStart"/>
      <w:r w:rsidRPr="000B20B0">
        <w:rPr>
          <w:rFonts w:ascii="Arial" w:hAnsi="Arial" w:cs="Arial"/>
          <w:spacing w:val="-2"/>
          <w:sz w:val="16"/>
          <w:szCs w:val="18"/>
        </w:rPr>
        <w:t>heterosis</w:t>
      </w:r>
      <w:proofErr w:type="spellEnd"/>
      <w:r w:rsidRPr="000B20B0">
        <w:rPr>
          <w:rFonts w:ascii="Arial" w:hAnsi="Arial" w:cs="Arial"/>
          <w:spacing w:val="-2"/>
          <w:sz w:val="16"/>
          <w:szCs w:val="18"/>
        </w:rPr>
        <w:t xml:space="preserve"> and consequently is, by definition, different to and more than the sum of the material harvested separately from both female and male parents.</w:t>
      </w:r>
      <w:r w:rsidR="008C7A1A">
        <w:rPr>
          <w:rFonts w:ascii="Arial" w:hAnsi="Arial" w:cs="Arial"/>
          <w:spacing w:val="-2"/>
          <w:sz w:val="16"/>
          <w:szCs w:val="18"/>
        </w:rPr>
        <w:t xml:space="preserve"> </w:t>
      </w:r>
      <w:r w:rsidRPr="000B20B0">
        <w:rPr>
          <w:rFonts w:ascii="Arial" w:hAnsi="Arial" w:cs="Arial"/>
          <w:spacing w:val="-2"/>
          <w:sz w:val="16"/>
          <w:szCs w:val="18"/>
        </w:rPr>
        <w:t xml:space="preserve"> Second, seed harvested from an F1 hybrid has undergone one generation of inbreeding and represents a segregating mix of germplasm from both parents of the F1.</w:t>
      </w:r>
      <w:r w:rsidR="008C7A1A">
        <w:rPr>
          <w:rFonts w:ascii="Arial" w:hAnsi="Arial" w:cs="Arial"/>
          <w:spacing w:val="-2"/>
          <w:sz w:val="16"/>
          <w:szCs w:val="18"/>
        </w:rPr>
        <w:t xml:space="preserve"> </w:t>
      </w:r>
      <w:r w:rsidRPr="000B20B0">
        <w:rPr>
          <w:rFonts w:ascii="Arial" w:hAnsi="Arial" w:cs="Arial"/>
          <w:spacing w:val="-2"/>
          <w:sz w:val="16"/>
          <w:szCs w:val="18"/>
        </w:rPr>
        <w:t xml:space="preserve"> It is therefore obviously not justified for some PBR offices and national laws to state that parental lines are not novel in cases where the hybrids, composed of these parental lines, </w:t>
      </w:r>
      <w:proofErr w:type="gramStart"/>
      <w:r w:rsidRPr="000B20B0">
        <w:rPr>
          <w:rFonts w:ascii="Arial" w:hAnsi="Arial" w:cs="Arial"/>
          <w:spacing w:val="-2"/>
          <w:sz w:val="16"/>
          <w:szCs w:val="18"/>
        </w:rPr>
        <w:t>have already been produced and/or sold</w:t>
      </w:r>
      <w:proofErr w:type="gramEnd"/>
      <w:r w:rsidRPr="000B20B0">
        <w:rPr>
          <w:rFonts w:ascii="Arial" w:hAnsi="Arial" w:cs="Arial"/>
          <w:spacing w:val="-2"/>
          <w:sz w:val="16"/>
          <w:szCs w:val="18"/>
        </w:rPr>
        <w:t>.</w:t>
      </w:r>
    </w:p>
    <w:p w:rsidR="000B20B0" w:rsidRPr="000B20B0" w:rsidRDefault="000B20B0" w:rsidP="000B20B0">
      <w:pPr>
        <w:adjustRightInd w:val="0"/>
        <w:ind w:left="1134" w:right="1134"/>
        <w:rPr>
          <w:rFonts w:cs="Arial"/>
          <w:sz w:val="16"/>
          <w:szCs w:val="18"/>
        </w:rPr>
      </w:pPr>
      <w:r w:rsidRPr="000B20B0">
        <w:rPr>
          <w:rFonts w:cs="Arial"/>
          <w:sz w:val="16"/>
          <w:szCs w:val="18"/>
        </w:rPr>
        <w:t xml:space="preserve">Nonetheless, breeders who wish to protect their parental material in </w:t>
      </w:r>
      <w:proofErr w:type="gramStart"/>
      <w:r w:rsidRPr="000B20B0">
        <w:rPr>
          <w:rFonts w:cs="Arial"/>
          <w:sz w:val="16"/>
          <w:szCs w:val="18"/>
        </w:rPr>
        <w:t>countries which</w:t>
      </w:r>
      <w:proofErr w:type="gramEnd"/>
      <w:r w:rsidRPr="000B20B0">
        <w:rPr>
          <w:rFonts w:cs="Arial"/>
          <w:sz w:val="16"/>
          <w:szCs w:val="18"/>
        </w:rPr>
        <w:t xml:space="preserve"> do not (yet) follow this interpretation need to assess the effect of local interpretation on the novelty of parent lines when starting to commercialize their hybrid(s). </w:t>
      </w:r>
    </w:p>
    <w:p w:rsidR="008C7A1A" w:rsidRDefault="000B20B0" w:rsidP="000B20B0">
      <w:pPr>
        <w:adjustRightInd w:val="0"/>
        <w:ind w:left="1134" w:right="1134"/>
        <w:rPr>
          <w:rFonts w:cs="Arial"/>
          <w:sz w:val="16"/>
          <w:szCs w:val="18"/>
        </w:rPr>
      </w:pPr>
      <w:r w:rsidRPr="000B20B0">
        <w:rPr>
          <w:rFonts w:cs="Arial"/>
          <w:sz w:val="16"/>
          <w:szCs w:val="18"/>
        </w:rPr>
        <w:t xml:space="preserve">In case the possibility for protection in a certain country </w:t>
      </w:r>
      <w:proofErr w:type="gramStart"/>
      <w:r w:rsidRPr="000B20B0">
        <w:rPr>
          <w:rFonts w:cs="Arial"/>
          <w:sz w:val="16"/>
          <w:szCs w:val="18"/>
        </w:rPr>
        <w:t>is opened up</w:t>
      </w:r>
      <w:proofErr w:type="gramEnd"/>
      <w:r w:rsidRPr="000B20B0">
        <w:rPr>
          <w:rFonts w:cs="Arial"/>
          <w:sz w:val="16"/>
          <w:szCs w:val="18"/>
        </w:rPr>
        <w:t xml:space="preserve"> for a certain species, a transitional period should be established during which the application of varieties that have been protected outside the territory is</w:t>
      </w:r>
      <w:r w:rsidRPr="000B20B0">
        <w:rPr>
          <w:rFonts w:ascii="Calibri" w:hAnsi="Calibri" w:cs="Calibri"/>
          <w:sz w:val="16"/>
          <w:szCs w:val="18"/>
        </w:rPr>
        <w:t xml:space="preserve"> </w:t>
      </w:r>
      <w:r w:rsidRPr="000B20B0">
        <w:rPr>
          <w:rFonts w:cs="Arial"/>
          <w:sz w:val="16"/>
          <w:szCs w:val="18"/>
        </w:rPr>
        <w:t xml:space="preserve">allowed. </w:t>
      </w:r>
      <w:r w:rsidR="008C7A1A">
        <w:rPr>
          <w:rFonts w:cs="Arial"/>
          <w:sz w:val="16"/>
          <w:szCs w:val="18"/>
        </w:rPr>
        <w:t xml:space="preserve"> </w:t>
      </w:r>
      <w:r w:rsidRPr="000B20B0">
        <w:rPr>
          <w:rFonts w:cs="Arial"/>
          <w:sz w:val="16"/>
          <w:szCs w:val="18"/>
        </w:rPr>
        <w:t xml:space="preserve">To avoid misuse, the remaining protection period could be set so it provides the same period of protection as in the country where the variety had </w:t>
      </w:r>
      <w:r w:rsidR="008C7A1A">
        <w:rPr>
          <w:rFonts w:cs="Arial"/>
          <w:sz w:val="16"/>
          <w:szCs w:val="18"/>
        </w:rPr>
        <w:t>received its first protection.’</w:t>
      </w:r>
    </w:p>
    <w:p w:rsidR="008C7A1A" w:rsidRDefault="008C7A1A" w:rsidP="008C7A1A">
      <w:pPr>
        <w:adjustRightInd w:val="0"/>
        <w:ind w:left="567" w:right="1134"/>
        <w:rPr>
          <w:rFonts w:cs="Arial"/>
          <w:sz w:val="18"/>
          <w:szCs w:val="18"/>
        </w:rPr>
      </w:pPr>
    </w:p>
    <w:p w:rsidR="000B20B0" w:rsidRPr="008C7A1A" w:rsidRDefault="008C7A1A" w:rsidP="008C7A1A">
      <w:pPr>
        <w:adjustRightInd w:val="0"/>
        <w:ind w:left="1134" w:right="1134"/>
        <w:rPr>
          <w:rFonts w:cs="Arial"/>
          <w:sz w:val="18"/>
          <w:szCs w:val="18"/>
        </w:rPr>
      </w:pPr>
      <w:r>
        <w:rPr>
          <w:rFonts w:cs="Arial"/>
          <w:sz w:val="18"/>
          <w:szCs w:val="18"/>
        </w:rPr>
        <w:t>“</w:t>
      </w:r>
      <w:r w:rsidR="000B20B0" w:rsidRPr="008C7A1A">
        <w:rPr>
          <w:rFonts w:cs="Arial"/>
          <w:sz w:val="18"/>
          <w:szCs w:val="18"/>
        </w:rPr>
        <w:t xml:space="preserve">[Page 9 of ISF View on Intellectual Property, 28 June 2012] </w:t>
      </w:r>
    </w:p>
    <w:p w:rsidR="000B20B0" w:rsidRDefault="000B20B0" w:rsidP="000B20B0">
      <w:pPr>
        <w:adjustRightInd w:val="0"/>
        <w:ind w:left="567" w:right="567"/>
        <w:rPr>
          <w:rFonts w:cs="Arial"/>
          <w:sz w:val="18"/>
          <w:szCs w:val="18"/>
        </w:rPr>
      </w:pPr>
    </w:p>
    <w:p w:rsidR="000B20B0" w:rsidRPr="008C7A1A" w:rsidRDefault="008C7A1A" w:rsidP="000B20B0">
      <w:pPr>
        <w:adjustRightInd w:val="0"/>
        <w:ind w:left="567" w:right="567"/>
        <w:rPr>
          <w:rFonts w:cs="Arial"/>
          <w:spacing w:val="-4"/>
          <w:sz w:val="18"/>
          <w:szCs w:val="18"/>
        </w:rPr>
      </w:pPr>
      <w:r>
        <w:rPr>
          <w:rFonts w:cs="Arial"/>
          <w:spacing w:val="-4"/>
          <w:sz w:val="18"/>
          <w:szCs w:val="18"/>
        </w:rPr>
        <w:t>“</w:t>
      </w:r>
      <w:r w:rsidR="000B20B0" w:rsidRPr="008C7A1A">
        <w:rPr>
          <w:rFonts w:cs="Arial"/>
          <w:spacing w:val="-4"/>
          <w:sz w:val="18"/>
          <w:szCs w:val="18"/>
        </w:rPr>
        <w:t xml:space="preserve">We took good note of the results of the survey UPOV conducted amongst its members, picturing different approaches of the matter. </w:t>
      </w:r>
      <w:r>
        <w:rPr>
          <w:rFonts w:cs="Arial"/>
          <w:spacing w:val="-4"/>
          <w:sz w:val="18"/>
          <w:szCs w:val="18"/>
        </w:rPr>
        <w:t xml:space="preserve"> </w:t>
      </w:r>
      <w:r w:rsidR="000B20B0" w:rsidRPr="008C7A1A">
        <w:rPr>
          <w:rFonts w:cs="Arial"/>
          <w:spacing w:val="-4"/>
          <w:sz w:val="18"/>
          <w:szCs w:val="18"/>
        </w:rPr>
        <w:t>However, we cannot support to include the proposed paragraph 7.</w:t>
      </w:r>
      <w:r>
        <w:rPr>
          <w:rFonts w:cs="Arial"/>
          <w:spacing w:val="-4"/>
          <w:sz w:val="18"/>
          <w:szCs w:val="18"/>
        </w:rPr>
        <w:t xml:space="preserve"> </w:t>
      </w:r>
      <w:r w:rsidR="000B20B0" w:rsidRPr="008C7A1A">
        <w:rPr>
          <w:rFonts w:cs="Arial"/>
          <w:spacing w:val="-4"/>
          <w:sz w:val="18"/>
          <w:szCs w:val="18"/>
        </w:rPr>
        <w:t xml:space="preserve"> </w:t>
      </w:r>
      <w:r w:rsidR="000B20B0" w:rsidRPr="008C7A1A">
        <w:rPr>
          <w:rFonts w:cs="Arial"/>
          <w:b/>
          <w:bCs/>
          <w:spacing w:val="-4"/>
          <w:sz w:val="18"/>
          <w:szCs w:val="18"/>
        </w:rPr>
        <w:t xml:space="preserve">A clear, consistent and coherent interpretation of UPOV Convention amongst its members is critical for the seed sector to be able to conduct its business and deliver locally adapted quality seed all around the world. </w:t>
      </w:r>
    </w:p>
    <w:p w:rsidR="000B20B0" w:rsidRPr="001633DC" w:rsidRDefault="000B20B0" w:rsidP="000B20B0">
      <w:pPr>
        <w:pStyle w:val="TableParagraph"/>
        <w:keepNext/>
        <w:keepLines/>
        <w:ind w:left="567" w:right="567"/>
        <w:jc w:val="both"/>
        <w:rPr>
          <w:rFonts w:ascii="Arial" w:hAnsi="Arial" w:cs="Arial"/>
          <w:spacing w:val="-2"/>
          <w:sz w:val="18"/>
          <w:szCs w:val="18"/>
        </w:rPr>
      </w:pPr>
      <w:r w:rsidRPr="000B20B0">
        <w:rPr>
          <w:rFonts w:ascii="Arial" w:hAnsi="Arial" w:cs="Arial"/>
          <w:sz w:val="18"/>
          <w:szCs w:val="18"/>
        </w:rPr>
        <w:t xml:space="preserve">We would like to get an opportunity </w:t>
      </w:r>
      <w:proofErr w:type="gramStart"/>
      <w:r w:rsidRPr="000B20B0">
        <w:rPr>
          <w:rFonts w:ascii="Arial" w:hAnsi="Arial" w:cs="Arial"/>
          <w:sz w:val="18"/>
          <w:szCs w:val="18"/>
        </w:rPr>
        <w:t>to further explain</w:t>
      </w:r>
      <w:proofErr w:type="gramEnd"/>
      <w:r w:rsidRPr="000B20B0">
        <w:rPr>
          <w:rFonts w:ascii="Arial" w:hAnsi="Arial" w:cs="Arial"/>
          <w:sz w:val="18"/>
          <w:szCs w:val="18"/>
        </w:rPr>
        <w:t xml:space="preserve"> the importance of the position of the seed sector.</w:t>
      </w:r>
      <w:r w:rsidR="008C7A1A">
        <w:rPr>
          <w:rFonts w:ascii="Arial" w:hAnsi="Arial" w:cs="Arial"/>
          <w:sz w:val="18"/>
          <w:szCs w:val="18"/>
        </w:rPr>
        <w:t xml:space="preserve"> </w:t>
      </w:r>
      <w:r w:rsidRPr="000B20B0">
        <w:rPr>
          <w:rFonts w:ascii="Arial" w:hAnsi="Arial" w:cs="Arial"/>
          <w:sz w:val="18"/>
          <w:szCs w:val="18"/>
        </w:rPr>
        <w:t xml:space="preserve"> </w:t>
      </w:r>
      <w:r w:rsidR="008C7A1A" w:rsidRPr="001633DC">
        <w:rPr>
          <w:rFonts w:ascii="Arial" w:hAnsi="Arial" w:cs="Arial"/>
          <w:sz w:val="18"/>
          <w:szCs w:val="18"/>
        </w:rPr>
        <w:t>In </w:t>
      </w:r>
      <w:r w:rsidRPr="001633DC">
        <w:rPr>
          <w:rFonts w:ascii="Arial" w:hAnsi="Arial" w:cs="Arial"/>
          <w:sz w:val="18"/>
          <w:szCs w:val="18"/>
        </w:rPr>
        <w:t>this regard, we kindly request to make a presentation of the positioning of the seed sector at next CAJ meeting.</w:t>
      </w:r>
      <w:r w:rsidR="008C7A1A" w:rsidRPr="001633DC">
        <w:rPr>
          <w:rFonts w:ascii="Arial" w:hAnsi="Arial" w:cs="Arial"/>
          <w:sz w:val="18"/>
          <w:szCs w:val="18"/>
        </w:rPr>
        <w:t>”</w:t>
      </w:r>
    </w:p>
    <w:p w:rsidR="000B20B0" w:rsidRPr="00F16B57" w:rsidRDefault="000B20B0" w:rsidP="00F16B57"/>
    <w:p w:rsidR="004717C8" w:rsidRPr="00F16B57" w:rsidRDefault="004717C8" w:rsidP="00F16B57"/>
    <w:p w:rsidR="00E52968" w:rsidRPr="0042204A" w:rsidRDefault="00E52968" w:rsidP="004717C8">
      <w:pPr>
        <w:jc w:val="right"/>
        <w:rPr>
          <w:rFonts w:cs="Arial"/>
          <w:sz w:val="18"/>
          <w:szCs w:val="16"/>
        </w:rPr>
      </w:pPr>
      <w:r w:rsidRPr="001633DC">
        <w:rPr>
          <w:rFonts w:cs="Arial"/>
        </w:rPr>
        <w:t>[End of Annex</w:t>
      </w:r>
      <w:r w:rsidR="00742F7A" w:rsidRPr="001633DC">
        <w:rPr>
          <w:rFonts w:cs="Arial"/>
        </w:rPr>
        <w:t xml:space="preserve"> </w:t>
      </w:r>
      <w:r w:rsidR="000B20B0" w:rsidRPr="001633DC">
        <w:rPr>
          <w:rFonts w:cs="Arial"/>
        </w:rPr>
        <w:t>II</w:t>
      </w:r>
      <w:r w:rsidRPr="001633DC">
        <w:rPr>
          <w:rFonts w:cs="Arial"/>
        </w:rPr>
        <w:t xml:space="preserve"> and of document</w:t>
      </w:r>
      <w:r w:rsidRPr="00E65BE1">
        <w:rPr>
          <w:rFonts w:cs="Arial"/>
        </w:rPr>
        <w:t>]</w:t>
      </w:r>
    </w:p>
    <w:sectPr w:rsidR="00E52968" w:rsidRPr="0042204A" w:rsidSect="00906DDC">
      <w:headerReference w:type="default" r:id="rId21"/>
      <w:headerReference w:type="first" r:id="rId2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E59" w:rsidRDefault="00141E59" w:rsidP="006655D3">
      <w:r>
        <w:separator/>
      </w:r>
    </w:p>
    <w:p w:rsidR="00141E59" w:rsidRDefault="00141E59" w:rsidP="006655D3"/>
    <w:p w:rsidR="00141E59" w:rsidRDefault="00141E59" w:rsidP="006655D3"/>
  </w:endnote>
  <w:endnote w:type="continuationSeparator" w:id="0">
    <w:p w:rsidR="00141E59" w:rsidRDefault="00141E59" w:rsidP="006655D3">
      <w:r>
        <w:separator/>
      </w:r>
    </w:p>
    <w:p w:rsidR="00141E59" w:rsidRPr="00294751" w:rsidRDefault="00141E59">
      <w:pPr>
        <w:pStyle w:val="Footer"/>
        <w:spacing w:after="60"/>
        <w:rPr>
          <w:sz w:val="18"/>
          <w:lang w:val="fr-FR"/>
        </w:rPr>
      </w:pPr>
      <w:r w:rsidRPr="00294751">
        <w:rPr>
          <w:sz w:val="18"/>
          <w:lang w:val="fr-FR"/>
        </w:rPr>
        <w:t>[Suite de la note de la page précédente]</w:t>
      </w:r>
    </w:p>
    <w:p w:rsidR="00141E59" w:rsidRPr="00294751" w:rsidRDefault="00141E59" w:rsidP="006655D3">
      <w:pPr>
        <w:rPr>
          <w:lang w:val="fr-FR"/>
        </w:rPr>
      </w:pPr>
    </w:p>
    <w:p w:rsidR="00141E59" w:rsidRPr="00294751" w:rsidRDefault="00141E59" w:rsidP="006655D3">
      <w:pPr>
        <w:rPr>
          <w:lang w:val="fr-FR"/>
        </w:rPr>
      </w:pPr>
    </w:p>
  </w:endnote>
  <w:endnote w:type="continuationNotice" w:id="1">
    <w:p w:rsidR="00141E59" w:rsidRPr="00294751" w:rsidRDefault="00141E59" w:rsidP="006655D3">
      <w:pPr>
        <w:rPr>
          <w:lang w:val="fr-FR"/>
        </w:rPr>
      </w:pPr>
      <w:r w:rsidRPr="00294751">
        <w:rPr>
          <w:lang w:val="fr-FR"/>
        </w:rPr>
        <w:t>[Suite de la note page suivante]</w:t>
      </w:r>
    </w:p>
    <w:p w:rsidR="00141E59" w:rsidRPr="00294751" w:rsidRDefault="00141E59" w:rsidP="006655D3">
      <w:pPr>
        <w:rPr>
          <w:lang w:val="fr-FR"/>
        </w:rPr>
      </w:pPr>
    </w:p>
    <w:p w:rsidR="00141E59" w:rsidRPr="00294751" w:rsidRDefault="00141E5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E59" w:rsidRDefault="00141E59" w:rsidP="006655D3">
      <w:r>
        <w:separator/>
      </w:r>
    </w:p>
  </w:footnote>
  <w:footnote w:type="continuationSeparator" w:id="0">
    <w:p w:rsidR="00141E59" w:rsidRDefault="00141E59" w:rsidP="006655D3">
      <w:r>
        <w:separator/>
      </w:r>
    </w:p>
  </w:footnote>
  <w:footnote w:type="continuationNotice" w:id="1">
    <w:p w:rsidR="00141E59" w:rsidRPr="00AB530F" w:rsidRDefault="00141E59" w:rsidP="00AB530F">
      <w:pPr>
        <w:pStyle w:val="Footer"/>
      </w:pPr>
    </w:p>
  </w:footnote>
  <w:footnote w:id="2">
    <w:p w:rsidR="00141E59" w:rsidRDefault="00141E59" w:rsidP="003178F4">
      <w:pPr>
        <w:pStyle w:val="FootnoteText"/>
      </w:pPr>
      <w:r>
        <w:rPr>
          <w:rStyle w:val="FootnoteReference"/>
        </w:rPr>
        <w:footnoteRef/>
      </w:r>
      <w:r>
        <w:t xml:space="preserve"> </w:t>
      </w:r>
      <w:r>
        <w:tab/>
        <w:t xml:space="preserve">The procedure for consideration of documents by correspondence </w:t>
      </w:r>
      <w:proofErr w:type="gramStart"/>
      <w:r>
        <w:t>is provided</w:t>
      </w:r>
      <w:proofErr w:type="gramEnd"/>
      <w:r>
        <w:t xml:space="preserve"> in Circular E-20/094 of July 23, 2020 (available at the TC/56, CAJ/77 and C/54 webpages).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Pr="00C5280D" w:rsidRDefault="00141E59" w:rsidP="00EB048E">
    <w:pPr>
      <w:pStyle w:val="Header"/>
      <w:rPr>
        <w:rStyle w:val="PageNumber"/>
        <w:lang w:val="en-US"/>
      </w:rPr>
    </w:pPr>
    <w:r>
      <w:rPr>
        <w:rStyle w:val="PageNumber"/>
        <w:lang w:val="en-US"/>
      </w:rPr>
      <w:t>CAJ/77/9</w:t>
    </w:r>
  </w:p>
  <w:p w:rsidR="00141E59" w:rsidRPr="00C5280D" w:rsidRDefault="00141E5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C381E">
      <w:rPr>
        <w:rStyle w:val="PageNumber"/>
        <w:noProof/>
        <w:lang w:val="en-US"/>
      </w:rPr>
      <w:t>8</w:t>
    </w:r>
    <w:r w:rsidRPr="00C5280D">
      <w:rPr>
        <w:rStyle w:val="PageNumber"/>
        <w:lang w:val="en-US"/>
      </w:rPr>
      <w:fldChar w:fldCharType="end"/>
    </w:r>
  </w:p>
  <w:p w:rsidR="00141E59" w:rsidRPr="00C5280D" w:rsidRDefault="00141E59"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Pr="00C5280D" w:rsidRDefault="00141E59" w:rsidP="00EB048E">
    <w:pPr>
      <w:pStyle w:val="Header"/>
      <w:rPr>
        <w:rStyle w:val="PageNumber"/>
        <w:lang w:val="en-US"/>
      </w:rPr>
    </w:pPr>
    <w:r>
      <w:rPr>
        <w:rStyle w:val="PageNumber"/>
        <w:lang w:val="en-US"/>
      </w:rPr>
      <w:t>CAJ/77/9</w:t>
    </w:r>
  </w:p>
  <w:p w:rsidR="00141E59" w:rsidRDefault="00141E59" w:rsidP="00EB048E">
    <w:pPr>
      <w:pStyle w:val="Header"/>
      <w:rPr>
        <w:lang w:val="en-US"/>
      </w:rPr>
    </w:pPr>
  </w:p>
  <w:p w:rsidR="00141E59" w:rsidRPr="00C5280D" w:rsidRDefault="00141E59" w:rsidP="00EB048E">
    <w:pPr>
      <w:pStyle w:val="Header"/>
      <w:rPr>
        <w:lang w:val="en-US"/>
      </w:rPr>
    </w:pPr>
    <w:r>
      <w:rPr>
        <w:lang w:val="en-US"/>
      </w:rPr>
      <w:t xml:space="preserve">ANNEX II, </w:t>
    </w:r>
    <w:r w:rsidRPr="00926DF3">
      <w:rPr>
        <w:lang w:val="en-US"/>
      </w:rPr>
      <w:t>APPENDIX I</w:t>
    </w:r>
    <w:r>
      <w:rPr>
        <w:lang w:val="en-US"/>
      </w:rPr>
      <w:t>II</w:t>
    </w:r>
  </w:p>
  <w:p w:rsidR="00141E59" w:rsidRPr="00C5280D" w:rsidRDefault="00141E59"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Pr="000B20B0" w:rsidRDefault="00141E59" w:rsidP="00926DF3">
    <w:pPr>
      <w:pStyle w:val="Header"/>
      <w:rPr>
        <w:rStyle w:val="PageNumber"/>
        <w:lang w:val="fr-CH"/>
      </w:rPr>
    </w:pPr>
    <w:r w:rsidRPr="000B20B0">
      <w:rPr>
        <w:rStyle w:val="PageNumber"/>
        <w:lang w:val="fr-CH"/>
      </w:rPr>
      <w:t>CAJ/77/9</w:t>
    </w:r>
  </w:p>
  <w:p w:rsidR="00141E59" w:rsidRPr="000B20B0" w:rsidRDefault="00141E59" w:rsidP="00926DF3">
    <w:pPr>
      <w:pStyle w:val="Header"/>
      <w:rPr>
        <w:rStyle w:val="PageNumber"/>
        <w:lang w:val="fr-CH"/>
      </w:rPr>
    </w:pPr>
  </w:p>
  <w:p w:rsidR="00141E59" w:rsidRPr="000B20B0" w:rsidRDefault="00141E59" w:rsidP="00926DF3">
    <w:pPr>
      <w:jc w:val="center"/>
      <w:rPr>
        <w:lang w:val="fr-CH"/>
      </w:rPr>
    </w:pPr>
    <w:r w:rsidRPr="000B20B0">
      <w:rPr>
        <w:lang w:val="fr-CH"/>
      </w:rPr>
      <w:t>ANNEX II, APPENDIX I</w:t>
    </w:r>
    <w:r>
      <w:rPr>
        <w:lang w:val="fr-CH"/>
      </w:rPr>
      <w:t>I</w:t>
    </w:r>
  </w:p>
  <w:p w:rsidR="00141E59" w:rsidRPr="000B20B0" w:rsidRDefault="00141E59" w:rsidP="00926DF3">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Pr="00C5280D" w:rsidRDefault="00141E59" w:rsidP="00EB048E">
    <w:pPr>
      <w:pStyle w:val="Header"/>
      <w:rPr>
        <w:rStyle w:val="PageNumber"/>
        <w:lang w:val="en-US"/>
      </w:rPr>
    </w:pPr>
    <w:r>
      <w:rPr>
        <w:rStyle w:val="PageNumber"/>
        <w:lang w:val="en-US"/>
      </w:rPr>
      <w:t>CAJ/77/9</w:t>
    </w:r>
  </w:p>
  <w:p w:rsidR="00141E59" w:rsidRDefault="00141E59" w:rsidP="00EB048E">
    <w:pPr>
      <w:pStyle w:val="Header"/>
      <w:rPr>
        <w:lang w:val="en-US"/>
      </w:rPr>
    </w:pPr>
  </w:p>
  <w:p w:rsidR="00141E59" w:rsidRPr="00C5280D" w:rsidRDefault="00141E59" w:rsidP="00EB048E">
    <w:pPr>
      <w:pStyle w:val="Header"/>
      <w:rPr>
        <w:lang w:val="en-US"/>
      </w:rPr>
    </w:pPr>
    <w:r>
      <w:rPr>
        <w:lang w:val="en-US"/>
      </w:rPr>
      <w:t xml:space="preserve">ANNEX II, </w:t>
    </w:r>
    <w:r w:rsidRPr="00926DF3">
      <w:rPr>
        <w:lang w:val="en-US"/>
      </w:rPr>
      <w:t>APPENDIX I</w:t>
    </w:r>
    <w:r>
      <w:rPr>
        <w:lang w:val="en-US"/>
      </w:rPr>
      <w:t>I</w:t>
    </w:r>
  </w:p>
  <w:p w:rsidR="00141E59" w:rsidRPr="00C5280D" w:rsidRDefault="00141E5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Default="00141E59" w:rsidP="00926DF3">
    <w:pPr>
      <w:pStyle w:val="Header"/>
      <w:rPr>
        <w:rStyle w:val="PageNumber"/>
        <w:lang w:val="en-US"/>
      </w:rPr>
    </w:pPr>
    <w:r>
      <w:rPr>
        <w:rStyle w:val="PageNumber"/>
        <w:lang w:val="en-US"/>
      </w:rPr>
      <w:t>CAJ/77/9</w:t>
    </w:r>
  </w:p>
  <w:p w:rsidR="00141E59" w:rsidRPr="00C5280D" w:rsidRDefault="00141E59" w:rsidP="00926DF3">
    <w:pPr>
      <w:pStyle w:val="Header"/>
      <w:rPr>
        <w:rStyle w:val="PageNumber"/>
        <w:lang w:val="en-US"/>
      </w:rPr>
    </w:pPr>
  </w:p>
  <w:p w:rsidR="00141E59" w:rsidRDefault="00141E59" w:rsidP="00926DF3">
    <w:pPr>
      <w:jc w:val="center"/>
    </w:pPr>
    <w:r>
      <w:t>ANNEX I</w:t>
    </w:r>
  </w:p>
  <w:p w:rsidR="00141E59" w:rsidRDefault="00141E59" w:rsidP="00926DF3">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Default="00141E59" w:rsidP="00926DF3">
    <w:pPr>
      <w:pStyle w:val="Header"/>
      <w:rPr>
        <w:rStyle w:val="PageNumber"/>
        <w:lang w:val="en-US"/>
      </w:rPr>
    </w:pPr>
    <w:r>
      <w:rPr>
        <w:rStyle w:val="PageNumber"/>
        <w:lang w:val="en-US"/>
      </w:rPr>
      <w:t>CAJ/77/9</w:t>
    </w:r>
  </w:p>
  <w:p w:rsidR="00141E59" w:rsidRPr="00C5280D" w:rsidRDefault="00141E59" w:rsidP="00926DF3">
    <w:pPr>
      <w:pStyle w:val="Header"/>
      <w:rPr>
        <w:rStyle w:val="PageNumber"/>
        <w:lang w:val="en-US"/>
      </w:rPr>
    </w:pPr>
  </w:p>
  <w:p w:rsidR="00141E59" w:rsidRDefault="00141E59" w:rsidP="00926DF3">
    <w:pPr>
      <w:jc w:val="center"/>
    </w:pPr>
    <w:r>
      <w:t xml:space="preserve">ANNEX I, </w:t>
    </w:r>
    <w:r w:rsidRPr="00535B8D">
      <w:t>APPENDIX I</w:t>
    </w:r>
  </w:p>
  <w:p w:rsidR="00141E59" w:rsidRDefault="00141E59" w:rsidP="00926DF3">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Default="00141E59" w:rsidP="00926DF3">
    <w:pPr>
      <w:pStyle w:val="Header"/>
      <w:rPr>
        <w:rStyle w:val="PageNumber"/>
        <w:lang w:val="en-US"/>
      </w:rPr>
    </w:pPr>
    <w:r>
      <w:rPr>
        <w:rStyle w:val="PageNumber"/>
        <w:lang w:val="en-US"/>
      </w:rPr>
      <w:t>CAJ/77/9</w:t>
    </w:r>
  </w:p>
  <w:p w:rsidR="00141E59" w:rsidRPr="00C5280D" w:rsidRDefault="00141E59" w:rsidP="00926DF3">
    <w:pPr>
      <w:pStyle w:val="Header"/>
      <w:rPr>
        <w:rStyle w:val="PageNumber"/>
        <w:lang w:val="en-US"/>
      </w:rPr>
    </w:pPr>
  </w:p>
  <w:p w:rsidR="00141E59" w:rsidRDefault="00141E59" w:rsidP="00926DF3">
    <w:pPr>
      <w:jc w:val="center"/>
    </w:pPr>
    <w:r>
      <w:t xml:space="preserve">ANNEX I, </w:t>
    </w:r>
    <w:r w:rsidRPr="00535B8D">
      <w:t>APPENDIX I</w:t>
    </w:r>
    <w:r>
      <w:t>I</w:t>
    </w:r>
  </w:p>
  <w:p w:rsidR="00141E59" w:rsidRDefault="00141E59" w:rsidP="00926DF3">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Default="00141E59" w:rsidP="00926DF3">
    <w:pPr>
      <w:pStyle w:val="Header"/>
      <w:rPr>
        <w:rStyle w:val="PageNumber"/>
        <w:lang w:val="en-US"/>
      </w:rPr>
    </w:pPr>
    <w:r>
      <w:rPr>
        <w:rStyle w:val="PageNumber"/>
        <w:lang w:val="en-US"/>
      </w:rPr>
      <w:t>CAJ/77/9</w:t>
    </w:r>
  </w:p>
  <w:p w:rsidR="00141E59" w:rsidRPr="00C5280D" w:rsidRDefault="00141E59" w:rsidP="00926DF3">
    <w:pPr>
      <w:pStyle w:val="Header"/>
      <w:rPr>
        <w:rStyle w:val="PageNumber"/>
        <w:lang w:val="en-US"/>
      </w:rPr>
    </w:pPr>
  </w:p>
  <w:p w:rsidR="00141E59" w:rsidRDefault="00141E59" w:rsidP="00926DF3">
    <w:pPr>
      <w:jc w:val="center"/>
    </w:pPr>
    <w:r>
      <w:t xml:space="preserve">ANNEX I, </w:t>
    </w:r>
    <w:r w:rsidRPr="00535B8D">
      <w:t>APPENDIX I</w:t>
    </w:r>
    <w:r>
      <w:t>II</w:t>
    </w:r>
  </w:p>
  <w:p w:rsidR="00141E59" w:rsidRDefault="00141E59" w:rsidP="00926DF3">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Default="00141E59" w:rsidP="00926DF3">
    <w:pPr>
      <w:pStyle w:val="Header"/>
      <w:rPr>
        <w:rStyle w:val="PageNumber"/>
        <w:lang w:val="en-US"/>
      </w:rPr>
    </w:pPr>
    <w:r>
      <w:rPr>
        <w:rStyle w:val="PageNumber"/>
        <w:lang w:val="en-US"/>
      </w:rPr>
      <w:t>CAJ/77/9</w:t>
    </w:r>
  </w:p>
  <w:p w:rsidR="00141E59" w:rsidRPr="00C5280D" w:rsidRDefault="00141E59" w:rsidP="00926DF3">
    <w:pPr>
      <w:pStyle w:val="Header"/>
      <w:rPr>
        <w:rStyle w:val="PageNumber"/>
        <w:lang w:val="en-US"/>
      </w:rPr>
    </w:pPr>
  </w:p>
  <w:p w:rsidR="00141E59" w:rsidRDefault="00141E59" w:rsidP="00926DF3">
    <w:pPr>
      <w:jc w:val="center"/>
    </w:pPr>
    <w:r>
      <w:t xml:space="preserve">ANNEX I, </w:t>
    </w:r>
    <w:r w:rsidRPr="00535B8D">
      <w:t>APPENDIX I</w:t>
    </w:r>
    <w:r>
      <w:t>V</w:t>
    </w:r>
  </w:p>
  <w:p w:rsidR="00141E59" w:rsidRDefault="00141E59" w:rsidP="00926DF3">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Default="00141E59" w:rsidP="00926DF3">
    <w:pPr>
      <w:pStyle w:val="Header"/>
      <w:rPr>
        <w:rStyle w:val="PageNumber"/>
        <w:lang w:val="en-US"/>
      </w:rPr>
    </w:pPr>
    <w:r>
      <w:rPr>
        <w:rStyle w:val="PageNumber"/>
        <w:lang w:val="en-US"/>
      </w:rPr>
      <w:t>CAJ/77/9</w:t>
    </w:r>
  </w:p>
  <w:p w:rsidR="00141E59" w:rsidRPr="00C5280D" w:rsidRDefault="00141E59" w:rsidP="00926DF3">
    <w:pPr>
      <w:pStyle w:val="Header"/>
      <w:rPr>
        <w:rStyle w:val="PageNumber"/>
        <w:lang w:val="en-US"/>
      </w:rPr>
    </w:pPr>
  </w:p>
  <w:p w:rsidR="00141E59" w:rsidRDefault="00141E59" w:rsidP="00926DF3">
    <w:pPr>
      <w:jc w:val="center"/>
    </w:pPr>
    <w:r w:rsidRPr="0091445C">
      <w:t>ANNEX II</w:t>
    </w:r>
  </w:p>
  <w:p w:rsidR="00141E59" w:rsidRDefault="00141E59" w:rsidP="00926DF3">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E59" w:rsidRPr="000B20B0" w:rsidRDefault="00141E59" w:rsidP="00926DF3">
    <w:pPr>
      <w:pStyle w:val="Header"/>
      <w:rPr>
        <w:rStyle w:val="PageNumber"/>
        <w:lang w:val="fr-CH"/>
      </w:rPr>
    </w:pPr>
    <w:r w:rsidRPr="000B20B0">
      <w:rPr>
        <w:rStyle w:val="PageNumber"/>
        <w:lang w:val="fr-CH"/>
      </w:rPr>
      <w:t>CAJ/77/9</w:t>
    </w:r>
  </w:p>
  <w:p w:rsidR="00141E59" w:rsidRPr="000B20B0" w:rsidRDefault="00141E59" w:rsidP="00926DF3">
    <w:pPr>
      <w:pStyle w:val="Header"/>
      <w:rPr>
        <w:rStyle w:val="PageNumber"/>
        <w:lang w:val="fr-CH"/>
      </w:rPr>
    </w:pPr>
  </w:p>
  <w:p w:rsidR="00141E59" w:rsidRPr="000B20B0" w:rsidRDefault="00141E59" w:rsidP="00926DF3">
    <w:pPr>
      <w:jc w:val="center"/>
      <w:rPr>
        <w:lang w:val="fr-CH"/>
      </w:rPr>
    </w:pPr>
    <w:r w:rsidRPr="000B20B0">
      <w:rPr>
        <w:lang w:val="fr-CH"/>
      </w:rPr>
      <w:t>ANNEX II, APPENDIX I</w:t>
    </w:r>
  </w:p>
  <w:p w:rsidR="00141E59" w:rsidRPr="000B20B0" w:rsidRDefault="00141E59" w:rsidP="00926DF3">
    <w:pPr>
      <w:jc w:val="cent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2"/>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52692E"/>
    <w:multiLevelType w:val="hybridMultilevel"/>
    <w:tmpl w:val="3426261A"/>
    <w:lvl w:ilvl="0" w:tplc="326E2E38">
      <w:start w:val="2"/>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A1E4FE3"/>
    <w:multiLevelType w:val="hybridMultilevel"/>
    <w:tmpl w:val="6A8ACC92"/>
    <w:lvl w:ilvl="0" w:tplc="326E2E3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91409"/>
    <w:multiLevelType w:val="hybridMultilevel"/>
    <w:tmpl w:val="442C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942EBE"/>
    <w:multiLevelType w:val="hybridMultilevel"/>
    <w:tmpl w:val="099C1B72"/>
    <w:lvl w:ilvl="0" w:tplc="53B4ABC4">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3CCA417B"/>
    <w:multiLevelType w:val="hybridMultilevel"/>
    <w:tmpl w:val="F93635B0"/>
    <w:lvl w:ilvl="0" w:tplc="5B868488">
      <w:start w:val="27"/>
      <w:numFmt w:val="bullet"/>
      <w:lvlText w:val="-"/>
      <w:lvlJc w:val="left"/>
      <w:pPr>
        <w:ind w:left="924" w:hanging="360"/>
      </w:pPr>
      <w:rPr>
        <w:rFonts w:ascii="Arial" w:eastAsia="Times New Roman"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6"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8EC0BA3"/>
    <w:multiLevelType w:val="hybridMultilevel"/>
    <w:tmpl w:val="0FEC4626"/>
    <w:lvl w:ilvl="0" w:tplc="326E2E38">
      <w:start w:val="2"/>
      <w:numFmt w:val="bullet"/>
      <w:lvlText w:val="-"/>
      <w:lvlJc w:val="left"/>
      <w:pPr>
        <w:ind w:left="1287" w:hanging="360"/>
      </w:pPr>
      <w:rPr>
        <w:rFonts w:ascii="Arial" w:eastAsia="Times New Roman" w:hAnsi="Arial" w:cs="Arial" w:hint="default"/>
      </w:rPr>
    </w:lvl>
    <w:lvl w:ilvl="1" w:tplc="04090005">
      <w:start w:val="1"/>
      <w:numFmt w:val="bullet"/>
      <w:lvlText w:val=""/>
      <w:lvlJc w:val="left"/>
      <w:pPr>
        <w:ind w:left="2007" w:hanging="360"/>
      </w:pPr>
      <w:rPr>
        <w:rFonts w:ascii="Wingdings" w:hAnsi="Wingdings"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61FC5D2C"/>
    <w:multiLevelType w:val="hybridMultilevel"/>
    <w:tmpl w:val="66986286"/>
    <w:lvl w:ilvl="0" w:tplc="2084F234">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B8C2AD6"/>
    <w:multiLevelType w:val="hybridMultilevel"/>
    <w:tmpl w:val="258A754A"/>
    <w:lvl w:ilvl="0" w:tplc="E4088ACC">
      <w:start w:val="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074D92"/>
    <w:multiLevelType w:val="hybridMultilevel"/>
    <w:tmpl w:val="47F269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351B2B"/>
    <w:multiLevelType w:val="hybridMultilevel"/>
    <w:tmpl w:val="C4C675CC"/>
    <w:lvl w:ilvl="0" w:tplc="326E2E38">
      <w:start w:val="2"/>
      <w:numFmt w:val="bullet"/>
      <w:lvlText w:val="-"/>
      <w:lvlJc w:val="left"/>
      <w:pPr>
        <w:ind w:left="1287" w:hanging="360"/>
      </w:pPr>
      <w:rPr>
        <w:rFonts w:ascii="Arial" w:eastAsia="Times New Roman" w:hAnsi="Arial" w:cs="Arial" w:hint="default"/>
      </w:rPr>
    </w:lvl>
    <w:lvl w:ilvl="1" w:tplc="326E2E38">
      <w:start w:val="2"/>
      <w:numFmt w:val="bullet"/>
      <w:lvlText w:val="-"/>
      <w:lvlJc w:val="left"/>
      <w:pPr>
        <w:ind w:left="2007" w:hanging="360"/>
      </w:pPr>
      <w:rPr>
        <w:rFonts w:ascii="Arial" w:eastAsia="Times New Roman" w:hAnsi="Arial" w:cs="Aria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11"/>
  </w:num>
  <w:num w:numId="8">
    <w:abstractNumId w:val="7"/>
  </w:num>
  <w:num w:numId="9">
    <w:abstractNumId w:val="10"/>
  </w:num>
  <w:num w:numId="10">
    <w:abstractNumId w:val="0"/>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EA"/>
    <w:rsid w:val="00010CF3"/>
    <w:rsid w:val="00010F3D"/>
    <w:rsid w:val="00011E27"/>
    <w:rsid w:val="000148BC"/>
    <w:rsid w:val="00024AB8"/>
    <w:rsid w:val="00030854"/>
    <w:rsid w:val="000328F3"/>
    <w:rsid w:val="0003590E"/>
    <w:rsid w:val="00036028"/>
    <w:rsid w:val="00037C1B"/>
    <w:rsid w:val="00044642"/>
    <w:rsid w:val="000446B9"/>
    <w:rsid w:val="00047E21"/>
    <w:rsid w:val="00050E16"/>
    <w:rsid w:val="0005534F"/>
    <w:rsid w:val="00062389"/>
    <w:rsid w:val="000635C9"/>
    <w:rsid w:val="00077288"/>
    <w:rsid w:val="00085505"/>
    <w:rsid w:val="000944CC"/>
    <w:rsid w:val="000B20B0"/>
    <w:rsid w:val="000C0872"/>
    <w:rsid w:val="000C08BB"/>
    <w:rsid w:val="000C4E25"/>
    <w:rsid w:val="000C7021"/>
    <w:rsid w:val="000D5CAD"/>
    <w:rsid w:val="000D6BBC"/>
    <w:rsid w:val="000D7780"/>
    <w:rsid w:val="000E1616"/>
    <w:rsid w:val="000E57F2"/>
    <w:rsid w:val="000E636A"/>
    <w:rsid w:val="000F2F11"/>
    <w:rsid w:val="00105929"/>
    <w:rsid w:val="00110BED"/>
    <w:rsid w:val="00110C36"/>
    <w:rsid w:val="001131D5"/>
    <w:rsid w:val="001149DF"/>
    <w:rsid w:val="00141DB8"/>
    <w:rsid w:val="00141E59"/>
    <w:rsid w:val="001633DC"/>
    <w:rsid w:val="0016761D"/>
    <w:rsid w:val="00172084"/>
    <w:rsid w:val="0017474A"/>
    <w:rsid w:val="001758C6"/>
    <w:rsid w:val="00181286"/>
    <w:rsid w:val="00182B99"/>
    <w:rsid w:val="00195CAD"/>
    <w:rsid w:val="001A7D64"/>
    <w:rsid w:val="001C1525"/>
    <w:rsid w:val="001D1907"/>
    <w:rsid w:val="001D232F"/>
    <w:rsid w:val="001F5421"/>
    <w:rsid w:val="0020561E"/>
    <w:rsid w:val="0021332C"/>
    <w:rsid w:val="00213982"/>
    <w:rsid w:val="0021405B"/>
    <w:rsid w:val="00236DE4"/>
    <w:rsid w:val="0024416D"/>
    <w:rsid w:val="00256FA4"/>
    <w:rsid w:val="00271911"/>
    <w:rsid w:val="002800A0"/>
    <w:rsid w:val="002801B3"/>
    <w:rsid w:val="00281060"/>
    <w:rsid w:val="00281257"/>
    <w:rsid w:val="00293B48"/>
    <w:rsid w:val="002940E8"/>
    <w:rsid w:val="00294751"/>
    <w:rsid w:val="002A0074"/>
    <w:rsid w:val="002A6E50"/>
    <w:rsid w:val="002B4298"/>
    <w:rsid w:val="002B4534"/>
    <w:rsid w:val="002B58C3"/>
    <w:rsid w:val="002B7A36"/>
    <w:rsid w:val="002C256A"/>
    <w:rsid w:val="002F0931"/>
    <w:rsid w:val="002F1D53"/>
    <w:rsid w:val="002F6717"/>
    <w:rsid w:val="00305829"/>
    <w:rsid w:val="00305A7F"/>
    <w:rsid w:val="003152FE"/>
    <w:rsid w:val="003178F4"/>
    <w:rsid w:val="003209A8"/>
    <w:rsid w:val="00325623"/>
    <w:rsid w:val="00327436"/>
    <w:rsid w:val="00336DD7"/>
    <w:rsid w:val="00344BD6"/>
    <w:rsid w:val="0035528D"/>
    <w:rsid w:val="00361821"/>
    <w:rsid w:val="00361E9E"/>
    <w:rsid w:val="00367A15"/>
    <w:rsid w:val="00392659"/>
    <w:rsid w:val="003A4B99"/>
    <w:rsid w:val="003C2E83"/>
    <w:rsid w:val="003C7FBE"/>
    <w:rsid w:val="003D227C"/>
    <w:rsid w:val="003D2B4D"/>
    <w:rsid w:val="003D355B"/>
    <w:rsid w:val="003E587D"/>
    <w:rsid w:val="003F48F6"/>
    <w:rsid w:val="0042204A"/>
    <w:rsid w:val="00423430"/>
    <w:rsid w:val="004301C0"/>
    <w:rsid w:val="00432C66"/>
    <w:rsid w:val="00436232"/>
    <w:rsid w:val="00444A88"/>
    <w:rsid w:val="00444EB8"/>
    <w:rsid w:val="00456125"/>
    <w:rsid w:val="004717C8"/>
    <w:rsid w:val="00474DA4"/>
    <w:rsid w:val="00476B4D"/>
    <w:rsid w:val="004805FA"/>
    <w:rsid w:val="004935D2"/>
    <w:rsid w:val="004B1215"/>
    <w:rsid w:val="004D047D"/>
    <w:rsid w:val="004E12DA"/>
    <w:rsid w:val="004E6FEA"/>
    <w:rsid w:val="004F1E9E"/>
    <w:rsid w:val="004F305A"/>
    <w:rsid w:val="004F4001"/>
    <w:rsid w:val="005039ED"/>
    <w:rsid w:val="00512164"/>
    <w:rsid w:val="005145DD"/>
    <w:rsid w:val="00520297"/>
    <w:rsid w:val="005338F9"/>
    <w:rsid w:val="0054281C"/>
    <w:rsid w:val="00544581"/>
    <w:rsid w:val="0055268D"/>
    <w:rsid w:val="00567D03"/>
    <w:rsid w:val="00576BE4"/>
    <w:rsid w:val="005779DB"/>
    <w:rsid w:val="005A400A"/>
    <w:rsid w:val="005A74A9"/>
    <w:rsid w:val="005C006A"/>
    <w:rsid w:val="005C1AA5"/>
    <w:rsid w:val="005F7B92"/>
    <w:rsid w:val="00612379"/>
    <w:rsid w:val="006153B6"/>
    <w:rsid w:val="0061555F"/>
    <w:rsid w:val="00636CA6"/>
    <w:rsid w:val="00641200"/>
    <w:rsid w:val="00642C58"/>
    <w:rsid w:val="00643B89"/>
    <w:rsid w:val="00645CA8"/>
    <w:rsid w:val="006655D3"/>
    <w:rsid w:val="00667404"/>
    <w:rsid w:val="00672563"/>
    <w:rsid w:val="00674CC8"/>
    <w:rsid w:val="00687A45"/>
    <w:rsid w:val="00687EB4"/>
    <w:rsid w:val="00695C56"/>
    <w:rsid w:val="006A5CDE"/>
    <w:rsid w:val="006A644A"/>
    <w:rsid w:val="006B17D2"/>
    <w:rsid w:val="006B5618"/>
    <w:rsid w:val="006B63CE"/>
    <w:rsid w:val="006C224E"/>
    <w:rsid w:val="006D780A"/>
    <w:rsid w:val="006E4DA3"/>
    <w:rsid w:val="006F3D49"/>
    <w:rsid w:val="0071271E"/>
    <w:rsid w:val="007209E0"/>
    <w:rsid w:val="007276CB"/>
    <w:rsid w:val="00732DEC"/>
    <w:rsid w:val="00735BD5"/>
    <w:rsid w:val="00742F7A"/>
    <w:rsid w:val="007451EC"/>
    <w:rsid w:val="00751613"/>
    <w:rsid w:val="00753EE9"/>
    <w:rsid w:val="00754590"/>
    <w:rsid w:val="007556F6"/>
    <w:rsid w:val="00760EEF"/>
    <w:rsid w:val="00777EE5"/>
    <w:rsid w:val="00784836"/>
    <w:rsid w:val="0079023E"/>
    <w:rsid w:val="007A2854"/>
    <w:rsid w:val="007A48BD"/>
    <w:rsid w:val="007A68B4"/>
    <w:rsid w:val="007C0975"/>
    <w:rsid w:val="007C1B35"/>
    <w:rsid w:val="007C1D92"/>
    <w:rsid w:val="007C4CB9"/>
    <w:rsid w:val="007C54C4"/>
    <w:rsid w:val="007D0B9D"/>
    <w:rsid w:val="007D19B0"/>
    <w:rsid w:val="007F3B3E"/>
    <w:rsid w:val="007F498F"/>
    <w:rsid w:val="007F6116"/>
    <w:rsid w:val="0080679D"/>
    <w:rsid w:val="008108B0"/>
    <w:rsid w:val="00811B20"/>
    <w:rsid w:val="00812609"/>
    <w:rsid w:val="0081667D"/>
    <w:rsid w:val="008211B5"/>
    <w:rsid w:val="0082296E"/>
    <w:rsid w:val="00824099"/>
    <w:rsid w:val="00841496"/>
    <w:rsid w:val="00846D7C"/>
    <w:rsid w:val="00855D2E"/>
    <w:rsid w:val="00867AC1"/>
    <w:rsid w:val="00867D68"/>
    <w:rsid w:val="00890DF8"/>
    <w:rsid w:val="00892CE3"/>
    <w:rsid w:val="008A0411"/>
    <w:rsid w:val="008A743F"/>
    <w:rsid w:val="008B6A24"/>
    <w:rsid w:val="008C0970"/>
    <w:rsid w:val="008C1F52"/>
    <w:rsid w:val="008C7A1A"/>
    <w:rsid w:val="008D0BC5"/>
    <w:rsid w:val="008D2CF7"/>
    <w:rsid w:val="008E101D"/>
    <w:rsid w:val="008F1F4F"/>
    <w:rsid w:val="008F4AF9"/>
    <w:rsid w:val="00900C26"/>
    <w:rsid w:val="0090197F"/>
    <w:rsid w:val="00903264"/>
    <w:rsid w:val="009032F6"/>
    <w:rsid w:val="00906DDC"/>
    <w:rsid w:val="00914459"/>
    <w:rsid w:val="0091445C"/>
    <w:rsid w:val="00915028"/>
    <w:rsid w:val="00915E81"/>
    <w:rsid w:val="00921D65"/>
    <w:rsid w:val="00924ED0"/>
    <w:rsid w:val="00926DF3"/>
    <w:rsid w:val="00934E09"/>
    <w:rsid w:val="00936253"/>
    <w:rsid w:val="00940C3E"/>
    <w:rsid w:val="00940D46"/>
    <w:rsid w:val="00951CC9"/>
    <w:rsid w:val="00952DD4"/>
    <w:rsid w:val="00965AE7"/>
    <w:rsid w:val="00970FED"/>
    <w:rsid w:val="00985875"/>
    <w:rsid w:val="00992D82"/>
    <w:rsid w:val="009951D2"/>
    <w:rsid w:val="00997029"/>
    <w:rsid w:val="009A0D16"/>
    <w:rsid w:val="009A3E5E"/>
    <w:rsid w:val="009A7339"/>
    <w:rsid w:val="009B11BA"/>
    <w:rsid w:val="009B440E"/>
    <w:rsid w:val="009D0002"/>
    <w:rsid w:val="009D690D"/>
    <w:rsid w:val="009D6937"/>
    <w:rsid w:val="009E65B6"/>
    <w:rsid w:val="009F77CF"/>
    <w:rsid w:val="00A01477"/>
    <w:rsid w:val="00A15D22"/>
    <w:rsid w:val="00A15F58"/>
    <w:rsid w:val="00A2365C"/>
    <w:rsid w:val="00A24C10"/>
    <w:rsid w:val="00A33B71"/>
    <w:rsid w:val="00A42AC3"/>
    <w:rsid w:val="00A430CF"/>
    <w:rsid w:val="00A45C16"/>
    <w:rsid w:val="00A54309"/>
    <w:rsid w:val="00A6382B"/>
    <w:rsid w:val="00A80F2A"/>
    <w:rsid w:val="00A96FC0"/>
    <w:rsid w:val="00AA018D"/>
    <w:rsid w:val="00AA7816"/>
    <w:rsid w:val="00AB2B93"/>
    <w:rsid w:val="00AB530F"/>
    <w:rsid w:val="00AB7E5B"/>
    <w:rsid w:val="00AC2883"/>
    <w:rsid w:val="00AC3E43"/>
    <w:rsid w:val="00AD021D"/>
    <w:rsid w:val="00AD0BD2"/>
    <w:rsid w:val="00AE0245"/>
    <w:rsid w:val="00AE0EF1"/>
    <w:rsid w:val="00AE2937"/>
    <w:rsid w:val="00AF1E6C"/>
    <w:rsid w:val="00B07301"/>
    <w:rsid w:val="00B11F3E"/>
    <w:rsid w:val="00B224DE"/>
    <w:rsid w:val="00B235E8"/>
    <w:rsid w:val="00B24191"/>
    <w:rsid w:val="00B2458B"/>
    <w:rsid w:val="00B324D4"/>
    <w:rsid w:val="00B42C52"/>
    <w:rsid w:val="00B46575"/>
    <w:rsid w:val="00B61777"/>
    <w:rsid w:val="00B622E6"/>
    <w:rsid w:val="00B6639C"/>
    <w:rsid w:val="00B67DD1"/>
    <w:rsid w:val="00B84BBD"/>
    <w:rsid w:val="00B958FA"/>
    <w:rsid w:val="00BA43FB"/>
    <w:rsid w:val="00BC127D"/>
    <w:rsid w:val="00BC1FE6"/>
    <w:rsid w:val="00BC381E"/>
    <w:rsid w:val="00BC5D3D"/>
    <w:rsid w:val="00BD431E"/>
    <w:rsid w:val="00BE4619"/>
    <w:rsid w:val="00BF5342"/>
    <w:rsid w:val="00BF7062"/>
    <w:rsid w:val="00C061B6"/>
    <w:rsid w:val="00C1327B"/>
    <w:rsid w:val="00C21DA7"/>
    <w:rsid w:val="00C2446C"/>
    <w:rsid w:val="00C32260"/>
    <w:rsid w:val="00C36AE5"/>
    <w:rsid w:val="00C4191F"/>
    <w:rsid w:val="00C41F17"/>
    <w:rsid w:val="00C428E0"/>
    <w:rsid w:val="00C527FA"/>
    <w:rsid w:val="00C5280D"/>
    <w:rsid w:val="00C53EB3"/>
    <w:rsid w:val="00C553D3"/>
    <w:rsid w:val="00C5791C"/>
    <w:rsid w:val="00C66290"/>
    <w:rsid w:val="00C66C3C"/>
    <w:rsid w:val="00C72B7A"/>
    <w:rsid w:val="00C75B5D"/>
    <w:rsid w:val="00C972BF"/>
    <w:rsid w:val="00C973F2"/>
    <w:rsid w:val="00CA304C"/>
    <w:rsid w:val="00CA774A"/>
    <w:rsid w:val="00CB28A3"/>
    <w:rsid w:val="00CB3B77"/>
    <w:rsid w:val="00CC11B0"/>
    <w:rsid w:val="00CC2841"/>
    <w:rsid w:val="00CC7D6A"/>
    <w:rsid w:val="00CF1330"/>
    <w:rsid w:val="00CF7E36"/>
    <w:rsid w:val="00D1005B"/>
    <w:rsid w:val="00D3708D"/>
    <w:rsid w:val="00D40426"/>
    <w:rsid w:val="00D57C96"/>
    <w:rsid w:val="00D57D18"/>
    <w:rsid w:val="00D630FA"/>
    <w:rsid w:val="00D720C1"/>
    <w:rsid w:val="00D82EE7"/>
    <w:rsid w:val="00D91203"/>
    <w:rsid w:val="00D95174"/>
    <w:rsid w:val="00DA4784"/>
    <w:rsid w:val="00DA4973"/>
    <w:rsid w:val="00DA4FC8"/>
    <w:rsid w:val="00DA6F36"/>
    <w:rsid w:val="00DB2BC8"/>
    <w:rsid w:val="00DB596E"/>
    <w:rsid w:val="00DB7773"/>
    <w:rsid w:val="00DB7C1F"/>
    <w:rsid w:val="00DC00EA"/>
    <w:rsid w:val="00DC3802"/>
    <w:rsid w:val="00DC51AB"/>
    <w:rsid w:val="00DD6208"/>
    <w:rsid w:val="00DD6A88"/>
    <w:rsid w:val="00E03F80"/>
    <w:rsid w:val="00E04A27"/>
    <w:rsid w:val="00E07D87"/>
    <w:rsid w:val="00E10CC1"/>
    <w:rsid w:val="00E17198"/>
    <w:rsid w:val="00E1786F"/>
    <w:rsid w:val="00E249C8"/>
    <w:rsid w:val="00E32F7E"/>
    <w:rsid w:val="00E5267B"/>
    <w:rsid w:val="00E52968"/>
    <w:rsid w:val="00E559F0"/>
    <w:rsid w:val="00E55B0D"/>
    <w:rsid w:val="00E63C0E"/>
    <w:rsid w:val="00E6741B"/>
    <w:rsid w:val="00E6745C"/>
    <w:rsid w:val="00E674CF"/>
    <w:rsid w:val="00E72D49"/>
    <w:rsid w:val="00E73AE8"/>
    <w:rsid w:val="00E7593C"/>
    <w:rsid w:val="00E7678A"/>
    <w:rsid w:val="00E77C81"/>
    <w:rsid w:val="00E863FE"/>
    <w:rsid w:val="00E92E8C"/>
    <w:rsid w:val="00E935F1"/>
    <w:rsid w:val="00E94A81"/>
    <w:rsid w:val="00EA1FFB"/>
    <w:rsid w:val="00EB048E"/>
    <w:rsid w:val="00EB39C4"/>
    <w:rsid w:val="00EB4E9C"/>
    <w:rsid w:val="00EC4DA4"/>
    <w:rsid w:val="00ED1406"/>
    <w:rsid w:val="00EE34DF"/>
    <w:rsid w:val="00EE3968"/>
    <w:rsid w:val="00EF2F89"/>
    <w:rsid w:val="00F03E98"/>
    <w:rsid w:val="00F1237A"/>
    <w:rsid w:val="00F16B57"/>
    <w:rsid w:val="00F22CBD"/>
    <w:rsid w:val="00F239F3"/>
    <w:rsid w:val="00F272F1"/>
    <w:rsid w:val="00F31412"/>
    <w:rsid w:val="00F430AE"/>
    <w:rsid w:val="00F45372"/>
    <w:rsid w:val="00F553A5"/>
    <w:rsid w:val="00F560F7"/>
    <w:rsid w:val="00F6334D"/>
    <w:rsid w:val="00F63599"/>
    <w:rsid w:val="00F70BB3"/>
    <w:rsid w:val="00FA2C9E"/>
    <w:rsid w:val="00FA49AB"/>
    <w:rsid w:val="00FD7C83"/>
    <w:rsid w:val="00FE39C7"/>
    <w:rsid w:val="00FE75FD"/>
    <w:rsid w:val="00FF013B"/>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669F8C6"/>
  <w15:docId w15:val="{1FB7B227-B2A7-4B55-A44D-600E4713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077288"/>
    <w:pPr>
      <w:keepNext/>
      <w:jc w:val="both"/>
      <w:outlineLvl w:val="0"/>
    </w:pPr>
    <w:rPr>
      <w:rFonts w:ascii="Arial" w:hAnsi="Arial"/>
      <w:caps/>
      <w:spacing w:val="2"/>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7C1B35"/>
    <w:pPr>
      <w:keepNext/>
      <w:jc w:val="both"/>
      <w:outlineLvl w:val="2"/>
    </w:pPr>
    <w:rPr>
      <w:rFonts w:ascii="Arial" w:hAnsi="Arial"/>
      <w:i/>
      <w:snapToGrid w:val="0"/>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336DD7"/>
    <w:pPr>
      <w:keepNext/>
      <w:ind w:left="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325623"/>
    <w:pPr>
      <w:keepNext/>
      <w:tabs>
        <w:tab w:val="right" w:leader="dot" w:pos="9639"/>
      </w:tabs>
      <w:spacing w:before="120"/>
      <w:ind w:left="284" w:right="851"/>
    </w:pPr>
    <w:rPr>
      <w:rFonts w:ascii="Arial" w:hAnsi="Arial"/>
      <w:sz w:val="18"/>
    </w:rPr>
  </w:style>
  <w:style w:type="paragraph" w:styleId="TOC3">
    <w:name w:val="toc 3"/>
    <w:next w:val="Normal"/>
    <w:autoRedefine/>
    <w:uiPriority w:val="39"/>
    <w:rsid w:val="00325623"/>
    <w:pPr>
      <w:tabs>
        <w:tab w:val="right" w:leader="dot" w:pos="9639"/>
      </w:tabs>
      <w:spacing w:before="60"/>
      <w:ind w:left="567" w:right="851"/>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325623"/>
    <w:pPr>
      <w:tabs>
        <w:tab w:val="right" w:leader="dot" w:pos="9639"/>
      </w:tabs>
      <w:spacing w:before="60"/>
      <w:ind w:left="851" w:right="1134"/>
    </w:pPr>
    <w:rPr>
      <w:rFonts w:ascii="Arial" w:hAnsi="Arial"/>
      <w:sz w:val="16"/>
      <w:lang w:val="fr-FR"/>
    </w:rPr>
  </w:style>
  <w:style w:type="paragraph" w:styleId="TOC1">
    <w:name w:val="toc 1"/>
    <w:next w:val="Normal"/>
    <w:autoRedefine/>
    <w:uiPriority w:val="39"/>
    <w:rsid w:val="00325623"/>
    <w:pPr>
      <w:tabs>
        <w:tab w:val="right" w:leader="dot" w:pos="9639"/>
      </w:tabs>
      <w:spacing w:before="120"/>
      <w:jc w:val="both"/>
    </w:pPr>
    <w:rPr>
      <w:rFonts w:ascii="Arial" w:hAnsi="Arial"/>
      <w:caps/>
      <w:noProof/>
      <w:spacing w:val="4"/>
      <w:sz w:val="18"/>
    </w:rPr>
  </w:style>
  <w:style w:type="paragraph" w:styleId="TOC5">
    <w:name w:val="toc 5"/>
    <w:next w:val="Normal"/>
    <w:autoRedefine/>
    <w:uiPriority w:val="39"/>
    <w:rsid w:val="00325623"/>
    <w:pPr>
      <w:tabs>
        <w:tab w:val="right" w:leader="dot" w:pos="9639"/>
      </w:tabs>
      <w:spacing w:before="60"/>
      <w:ind w:left="1134" w:right="1134"/>
      <w:jc w:val="both"/>
    </w:pPr>
    <w:rPr>
      <w:rFonts w:ascii="Arial" w:hAnsi="Arial"/>
      <w:i/>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4E6FEA"/>
    <w:rPr>
      <w:rFonts w:ascii="Arial" w:hAnsi="Arial"/>
      <w:sz w:val="16"/>
    </w:rPr>
  </w:style>
  <w:style w:type="paragraph" w:styleId="ListParagraph">
    <w:name w:val="List Paragraph"/>
    <w:aliases w:val="auto_list_(i),List Paragraph1"/>
    <w:basedOn w:val="Normal"/>
    <w:link w:val="ListParagraphChar"/>
    <w:uiPriority w:val="34"/>
    <w:qFormat/>
    <w:rsid w:val="00444EB8"/>
    <w:pPr>
      <w:ind w:left="720"/>
      <w:contextualSpacing/>
    </w:pPr>
  </w:style>
  <w:style w:type="character" w:customStyle="1" w:styleId="ListParagraphChar">
    <w:name w:val="List Paragraph Char"/>
    <w:aliases w:val="auto_list_(i) Char,List Paragraph1 Char"/>
    <w:basedOn w:val="DefaultParagraphFont"/>
    <w:link w:val="ListParagraph"/>
    <w:rsid w:val="00293B48"/>
    <w:rPr>
      <w:rFonts w:ascii="Arial" w:hAnsi="Arial"/>
    </w:rPr>
  </w:style>
  <w:style w:type="paragraph" w:customStyle="1" w:styleId="Default">
    <w:name w:val="Default"/>
    <w:rsid w:val="005A74A9"/>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7C1B35"/>
    <w:rPr>
      <w:rFonts w:ascii="Arial" w:hAnsi="Arial"/>
      <w:i/>
      <w:snapToGrid w:val="0"/>
    </w:rPr>
  </w:style>
  <w:style w:type="character" w:customStyle="1" w:styleId="DecisionParagraphsChar">
    <w:name w:val="DecisionParagraphs Char"/>
    <w:basedOn w:val="DefaultParagraphFont"/>
    <w:link w:val="DecisionParagraphs"/>
    <w:rsid w:val="000E1616"/>
    <w:rPr>
      <w:rFonts w:ascii="Arial" w:hAnsi="Arial"/>
      <w:i/>
    </w:rPr>
  </w:style>
  <w:style w:type="paragraph" w:customStyle="1" w:styleId="TableParagraph">
    <w:name w:val="Table Paragraph"/>
    <w:basedOn w:val="Normal"/>
    <w:uiPriority w:val="1"/>
    <w:qFormat/>
    <w:rsid w:val="00D1005B"/>
    <w:pPr>
      <w:widowControl w:val="0"/>
      <w:autoSpaceDE w:val="0"/>
      <w:autoSpaceDN w:val="0"/>
      <w:jc w:val="lef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11496">
      <w:bodyDiv w:val="1"/>
      <w:marLeft w:val="0"/>
      <w:marRight w:val="0"/>
      <w:marTop w:val="0"/>
      <w:marBottom w:val="0"/>
      <w:divBdr>
        <w:top w:val="none" w:sz="0" w:space="0" w:color="auto"/>
        <w:left w:val="none" w:sz="0" w:space="0" w:color="auto"/>
        <w:bottom w:val="none" w:sz="0" w:space="0" w:color="auto"/>
        <w:right w:val="none" w:sz="0" w:space="0" w:color="auto"/>
      </w:divBdr>
    </w:div>
    <w:div w:id="376704912">
      <w:bodyDiv w:val="1"/>
      <w:marLeft w:val="0"/>
      <w:marRight w:val="0"/>
      <w:marTop w:val="0"/>
      <w:marBottom w:val="0"/>
      <w:divBdr>
        <w:top w:val="none" w:sz="0" w:space="0" w:color="auto"/>
        <w:left w:val="none" w:sz="0" w:space="0" w:color="auto"/>
        <w:bottom w:val="none" w:sz="0" w:space="0" w:color="auto"/>
        <w:right w:val="none" w:sz="0" w:space="0" w:color="auto"/>
      </w:divBdr>
    </w:div>
    <w:div w:id="732198489">
      <w:bodyDiv w:val="1"/>
      <w:marLeft w:val="0"/>
      <w:marRight w:val="0"/>
      <w:marTop w:val="0"/>
      <w:marBottom w:val="0"/>
      <w:divBdr>
        <w:top w:val="none" w:sz="0" w:space="0" w:color="auto"/>
        <w:left w:val="none" w:sz="0" w:space="0" w:color="auto"/>
        <w:bottom w:val="none" w:sz="0" w:space="0" w:color="auto"/>
        <w:right w:val="none" w:sz="0" w:space="0" w:color="auto"/>
      </w:divBdr>
    </w:div>
    <w:div w:id="1366904106">
      <w:bodyDiv w:val="1"/>
      <w:marLeft w:val="0"/>
      <w:marRight w:val="0"/>
      <w:marTop w:val="0"/>
      <w:marBottom w:val="0"/>
      <w:divBdr>
        <w:top w:val="none" w:sz="0" w:space="0" w:color="auto"/>
        <w:left w:val="none" w:sz="0" w:space="0" w:color="auto"/>
        <w:bottom w:val="none" w:sz="0" w:space="0" w:color="auto"/>
        <w:right w:val="none" w:sz="0" w:space="0" w:color="auto"/>
      </w:divBdr>
    </w:div>
    <w:div w:id="1446196521">
      <w:bodyDiv w:val="1"/>
      <w:marLeft w:val="0"/>
      <w:marRight w:val="0"/>
      <w:marTop w:val="0"/>
      <w:marBottom w:val="0"/>
      <w:divBdr>
        <w:top w:val="none" w:sz="0" w:space="0" w:color="auto"/>
        <w:left w:val="none" w:sz="0" w:space="0" w:color="auto"/>
        <w:bottom w:val="none" w:sz="0" w:space="0" w:color="auto"/>
        <w:right w:val="none" w:sz="0" w:space="0" w:color="auto"/>
      </w:divBdr>
    </w:div>
    <w:div w:id="1551652744">
      <w:bodyDiv w:val="1"/>
      <w:marLeft w:val="0"/>
      <w:marRight w:val="0"/>
      <w:marTop w:val="0"/>
      <w:marBottom w:val="0"/>
      <w:divBdr>
        <w:top w:val="none" w:sz="0" w:space="0" w:color="auto"/>
        <w:left w:val="none" w:sz="0" w:space="0" w:color="auto"/>
        <w:bottom w:val="none" w:sz="0" w:space="0" w:color="auto"/>
        <w:right w:val="none" w:sz="0" w:space="0" w:color="auto"/>
      </w:divBdr>
    </w:div>
    <w:div w:id="1558130779">
      <w:bodyDiv w:val="1"/>
      <w:marLeft w:val="0"/>
      <w:marRight w:val="0"/>
      <w:marTop w:val="0"/>
      <w:marBottom w:val="0"/>
      <w:divBdr>
        <w:top w:val="none" w:sz="0" w:space="0" w:color="auto"/>
        <w:left w:val="none" w:sz="0" w:space="0" w:color="auto"/>
        <w:bottom w:val="none" w:sz="0" w:space="0" w:color="auto"/>
        <w:right w:val="none" w:sz="0" w:space="0" w:color="auto"/>
      </w:divBdr>
    </w:div>
    <w:div w:id="1681203127">
      <w:bodyDiv w:val="1"/>
      <w:marLeft w:val="0"/>
      <w:marRight w:val="0"/>
      <w:marTop w:val="0"/>
      <w:marBottom w:val="0"/>
      <w:divBdr>
        <w:top w:val="none" w:sz="0" w:space="0" w:color="auto"/>
        <w:left w:val="none" w:sz="0" w:space="0" w:color="auto"/>
        <w:bottom w:val="none" w:sz="0" w:space="0" w:color="auto"/>
        <w:right w:val="none" w:sz="0" w:space="0" w:color="auto"/>
      </w:divBdr>
    </w:div>
    <w:div w:id="1724059142">
      <w:bodyDiv w:val="1"/>
      <w:marLeft w:val="0"/>
      <w:marRight w:val="0"/>
      <w:marTop w:val="0"/>
      <w:marBottom w:val="0"/>
      <w:divBdr>
        <w:top w:val="none" w:sz="0" w:space="0" w:color="auto"/>
        <w:left w:val="none" w:sz="0" w:space="0" w:color="auto"/>
        <w:bottom w:val="none" w:sz="0" w:space="0" w:color="auto"/>
        <w:right w:val="none" w:sz="0" w:space="0" w:color="auto"/>
      </w:divBdr>
    </w:div>
    <w:div w:id="1808862753">
      <w:bodyDiv w:val="1"/>
      <w:marLeft w:val="0"/>
      <w:marRight w:val="0"/>
      <w:marTop w:val="0"/>
      <w:marBottom w:val="0"/>
      <w:divBdr>
        <w:top w:val="none" w:sz="0" w:space="0" w:color="auto"/>
        <w:left w:val="none" w:sz="0" w:space="0" w:color="auto"/>
        <w:bottom w:val="none" w:sz="0" w:space="0" w:color="auto"/>
        <w:right w:val="none" w:sz="0" w:space="0" w:color="auto"/>
      </w:divBdr>
    </w:div>
    <w:div w:id="1945376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upov.int/meetings/en/details.jsp?meeting_id=55678"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yperlink" Target="https://www.euroseeds.eu/app/uploads/2019/07/11.0046-Euroseeds-position-Harvested-Material.doc-1.pdf"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s://www.upov.int/meetings/en/details.jsp?meeting_id=55678" TargetMode="External"/><Relationship Id="rId14" Type="http://schemas.openxmlformats.org/officeDocument/2006/relationships/header" Target="header4.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F901B-0ABC-45BF-82CE-14EDAAF6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Template>
  <TotalTime>21</TotalTime>
  <Pages>17</Pages>
  <Words>6209</Words>
  <Characters>34403</Characters>
  <Application>Microsoft Office Word</Application>
  <DocSecurity>0</DocSecurity>
  <Lines>731</Lines>
  <Paragraphs>274</Paragraphs>
  <ScaleCrop>false</ScaleCrop>
  <HeadingPairs>
    <vt:vector size="2" baseType="variant">
      <vt:variant>
        <vt:lpstr>Title</vt:lpstr>
      </vt:variant>
      <vt:variant>
        <vt:i4>1</vt:i4>
      </vt:variant>
    </vt:vector>
  </HeadingPairs>
  <TitlesOfParts>
    <vt:vector size="1" baseType="lpstr">
      <vt:lpstr>CAJ/77</vt:lpstr>
    </vt:vector>
  </TitlesOfParts>
  <Company>UPOV</Company>
  <LinksUpToDate>false</LinksUpToDate>
  <CharactersWithSpaces>40338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dc:title>
  <dc:creator>SANTOS Carla Marina</dc:creator>
  <cp:lastModifiedBy>SANTOS Carla Marina</cp:lastModifiedBy>
  <cp:revision>11</cp:revision>
  <cp:lastPrinted>2020-10-26T14:10:00Z</cp:lastPrinted>
  <dcterms:created xsi:type="dcterms:W3CDTF">2020-10-23T19:43:00Z</dcterms:created>
  <dcterms:modified xsi:type="dcterms:W3CDTF">2020-10-27T15:35:00Z</dcterms:modified>
</cp:coreProperties>
</file>