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34B66" w:rsidRPr="00C5280D" w:rsidTr="00634B66">
        <w:tc>
          <w:tcPr>
            <w:tcW w:w="6512" w:type="dxa"/>
            <w:tcBorders>
              <w:bottom w:val="single" w:sz="4" w:space="0" w:color="auto"/>
            </w:tcBorders>
          </w:tcPr>
          <w:p w:rsidR="00634B66" w:rsidRPr="00AC2883" w:rsidRDefault="00634B66" w:rsidP="00634B66">
            <w:pPr>
              <w:pStyle w:val="Sessiontc"/>
              <w:spacing w:line="240" w:lineRule="auto"/>
            </w:pPr>
            <w:r>
              <w:t>Administrative and Legal</w:t>
            </w:r>
            <w:r w:rsidRPr="00DA4973">
              <w:t xml:space="preserve"> Committee</w:t>
            </w:r>
          </w:p>
          <w:p w:rsidR="00634B66" w:rsidRPr="00B8536C" w:rsidRDefault="00634B66" w:rsidP="00634B66">
            <w:pPr>
              <w:pStyle w:val="Sessiontcplacedate"/>
            </w:pPr>
            <w:r>
              <w:t>Seventy-Seventh</w:t>
            </w:r>
            <w:r w:rsidRPr="00DA4973">
              <w:t xml:space="preserve"> Session</w:t>
            </w:r>
            <w:r w:rsidRPr="00DA4973">
              <w:br/>
              <w:t xml:space="preserve">Geneva, </w:t>
            </w:r>
            <w:r>
              <w:t>October 28, 2020</w:t>
            </w:r>
          </w:p>
        </w:tc>
        <w:tc>
          <w:tcPr>
            <w:tcW w:w="3127" w:type="dxa"/>
            <w:tcBorders>
              <w:bottom w:val="single" w:sz="4" w:space="0" w:color="auto"/>
            </w:tcBorders>
          </w:tcPr>
          <w:p w:rsidR="00634B66" w:rsidRPr="003C7FBE" w:rsidRDefault="00634B66" w:rsidP="00634B66">
            <w:pPr>
              <w:pStyle w:val="Doccode"/>
            </w:pPr>
            <w:r>
              <w:t>CAJ/77</w:t>
            </w:r>
            <w:r w:rsidRPr="00AC2883">
              <w:t>/</w:t>
            </w:r>
            <w:r>
              <w:t>4</w:t>
            </w:r>
          </w:p>
          <w:p w:rsidR="00634B66" w:rsidRPr="003C7FBE" w:rsidRDefault="00634B66" w:rsidP="00634B66">
            <w:pPr>
              <w:pStyle w:val="Docoriginal"/>
            </w:pPr>
            <w:r w:rsidRPr="00AC2883">
              <w:t>Original:</w:t>
            </w:r>
            <w:r w:rsidRPr="000E636A">
              <w:rPr>
                <w:b w:val="0"/>
                <w:spacing w:val="0"/>
              </w:rPr>
              <w:t xml:space="preserve">  English</w:t>
            </w:r>
          </w:p>
          <w:p w:rsidR="00634B66" w:rsidRPr="007C1D92" w:rsidRDefault="00634B66" w:rsidP="00634B66">
            <w:pPr>
              <w:pStyle w:val="Docoriginal"/>
            </w:pPr>
            <w:r w:rsidRPr="00AC2883">
              <w:t>Date:</w:t>
            </w:r>
            <w:r w:rsidRPr="000E636A">
              <w:rPr>
                <w:b w:val="0"/>
                <w:spacing w:val="0"/>
              </w:rPr>
              <w:t xml:space="preserve">  </w:t>
            </w:r>
            <w:r w:rsidR="00A74587">
              <w:rPr>
                <w:b w:val="0"/>
                <w:spacing w:val="0"/>
              </w:rPr>
              <w:t>August 18</w:t>
            </w:r>
            <w:r w:rsidRPr="00C46AF0">
              <w:rPr>
                <w:b w:val="0"/>
                <w:spacing w:val="0"/>
              </w:rPr>
              <w:t>, 2020</w:t>
            </w:r>
          </w:p>
        </w:tc>
      </w:tr>
      <w:tr w:rsidR="00634B66" w:rsidRPr="00C5280D" w:rsidTr="00634B66">
        <w:tc>
          <w:tcPr>
            <w:tcW w:w="6512" w:type="dxa"/>
            <w:tcBorders>
              <w:top w:val="single" w:sz="4" w:space="0" w:color="auto"/>
              <w:bottom w:val="single" w:sz="4" w:space="0" w:color="auto"/>
            </w:tcBorders>
          </w:tcPr>
          <w:p w:rsidR="00634B66" w:rsidRPr="00ED30BD" w:rsidRDefault="00634B66" w:rsidP="00634B66">
            <w:pPr>
              <w:jc w:val="left"/>
              <w:rPr>
                <w:b/>
                <w:bCs/>
                <w:i/>
                <w:kern w:val="28"/>
              </w:rPr>
            </w:pPr>
            <w:r w:rsidRPr="00ED30BD">
              <w:rPr>
                <w:b/>
                <w:bCs/>
                <w:i/>
                <w:kern w:val="28"/>
              </w:rPr>
              <w:t>to be considered by correspondence</w:t>
            </w:r>
          </w:p>
        </w:tc>
        <w:tc>
          <w:tcPr>
            <w:tcW w:w="3127" w:type="dxa"/>
            <w:tcBorders>
              <w:top w:val="single" w:sz="4" w:space="0" w:color="auto"/>
              <w:bottom w:val="single" w:sz="4" w:space="0" w:color="auto"/>
            </w:tcBorders>
          </w:tcPr>
          <w:p w:rsidR="00634B66" w:rsidRPr="00ED30BD" w:rsidRDefault="00634B66" w:rsidP="00634B66">
            <w:pPr>
              <w:jc w:val="left"/>
              <w:rPr>
                <w:b/>
                <w:bCs/>
                <w:spacing w:val="10"/>
                <w:sz w:val="18"/>
              </w:rPr>
            </w:pPr>
          </w:p>
        </w:tc>
      </w:tr>
    </w:tbl>
    <w:p w:rsidR="000D7780" w:rsidRPr="006A644A" w:rsidRDefault="00B44CE4" w:rsidP="006A644A">
      <w:pPr>
        <w:pStyle w:val="Titleofdoc0"/>
      </w:pPr>
      <w:bookmarkStart w:id="0" w:name="TitleOfDoc"/>
      <w:bookmarkEnd w:id="0"/>
      <w:r w:rsidRPr="00B44CE4">
        <w:t>Essentially Derived Varieties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241C58" w:rsidRDefault="00784037" w:rsidP="00784037">
      <w:pPr>
        <w:keepNext/>
        <w:outlineLvl w:val="0"/>
        <w:rPr>
          <w:caps/>
          <w:snapToGrid w:val="0"/>
        </w:rPr>
      </w:pPr>
      <w:bookmarkStart w:id="2" w:name="_Toc522523019"/>
      <w:bookmarkStart w:id="3" w:name="_Toc522523121"/>
      <w:bookmarkStart w:id="4" w:name="_Toc14799780"/>
      <w:bookmarkStart w:id="5" w:name="_Toc48316700"/>
      <w:r w:rsidRPr="00784037">
        <w:rPr>
          <w:caps/>
          <w:snapToGrid w:val="0"/>
        </w:rPr>
        <w:t>EXECUTIVE SUMMARY</w:t>
      </w:r>
      <w:bookmarkEnd w:id="2"/>
      <w:bookmarkEnd w:id="3"/>
      <w:bookmarkEnd w:id="4"/>
      <w:bookmarkEnd w:id="5"/>
    </w:p>
    <w:p w:rsidR="00784037" w:rsidRPr="00784037" w:rsidRDefault="00784037" w:rsidP="00784037">
      <w:pPr>
        <w:keepNext/>
        <w:outlineLvl w:val="0"/>
        <w:rPr>
          <w:b/>
          <w:caps/>
          <w:snapToGrid w:val="0"/>
        </w:rPr>
      </w:pPr>
      <w:r w:rsidRPr="00784037">
        <w:rPr>
          <w:caps/>
          <w:snapToGrid w:val="0"/>
        </w:rPr>
        <w:t xml:space="preserve"> </w:t>
      </w:r>
    </w:p>
    <w:p w:rsidR="00784037" w:rsidRDefault="00784037" w:rsidP="00530A26">
      <w:r w:rsidRPr="00784037">
        <w:fldChar w:fldCharType="begin"/>
      </w:r>
      <w:r w:rsidRPr="00784037">
        <w:instrText xml:space="preserve"> AUTONUM  </w:instrText>
      </w:r>
      <w:r w:rsidRPr="00784037">
        <w:fldChar w:fldCharType="end"/>
      </w:r>
      <w:r w:rsidRPr="00784037">
        <w:tab/>
        <w:t xml:space="preserve">The purpose of this document is to </w:t>
      </w:r>
      <w:r w:rsidR="001519EF">
        <w:t>present</w:t>
      </w:r>
      <w:r w:rsidR="001519EF" w:rsidRPr="00784037">
        <w:t xml:space="preserve"> </w:t>
      </w:r>
      <w:r w:rsidRPr="00784037">
        <w:t xml:space="preserve">proposals for consideration by the </w:t>
      </w:r>
      <w:r w:rsidRPr="00784037">
        <w:rPr>
          <w:color w:val="000000"/>
        </w:rPr>
        <w:t>Administrative and Legal Committee (CAJ)</w:t>
      </w:r>
      <w:r w:rsidRPr="00784037">
        <w:t xml:space="preserve"> </w:t>
      </w:r>
      <w:r w:rsidRPr="00784037">
        <w:rPr>
          <w:rFonts w:cs="Arial"/>
        </w:rPr>
        <w:t xml:space="preserve">according to the replies to UPOV Circular E-20/093 of July 9, 2020, and to invite the CAJ </w:t>
      </w:r>
      <w:r w:rsidRPr="003F7B9A">
        <w:rPr>
          <w:rFonts w:cs="Arial"/>
        </w:rPr>
        <w:t>to establish the</w:t>
      </w:r>
      <w:r w:rsidRPr="00784037">
        <w:rPr>
          <w:rFonts w:cs="Arial"/>
        </w:rPr>
        <w:t xml:space="preserve"> working group on essentially derived varieties</w:t>
      </w:r>
      <w:r w:rsidR="001519EF">
        <w:rPr>
          <w:rFonts w:cs="Arial"/>
        </w:rPr>
        <w:t xml:space="preserve"> </w:t>
      </w:r>
      <w:r w:rsidRPr="00784037">
        <w:rPr>
          <w:rFonts w:cs="Arial"/>
        </w:rPr>
        <w:t xml:space="preserve">(WG-EDV), to approve the terms of reference and the composition of the WG-EDV and </w:t>
      </w:r>
      <w:r w:rsidR="001519EF">
        <w:rPr>
          <w:rFonts w:cs="Arial"/>
        </w:rPr>
        <w:t xml:space="preserve">to consider </w:t>
      </w:r>
      <w:r w:rsidRPr="00784037">
        <w:rPr>
          <w:rFonts w:cs="Arial"/>
        </w:rPr>
        <w:t>a date for the first meeting of the WG-EDV.</w:t>
      </w:r>
    </w:p>
    <w:p w:rsidR="003F20EC" w:rsidRPr="00784037" w:rsidRDefault="003F20EC" w:rsidP="00784037">
      <w:pPr>
        <w:jc w:val="left"/>
      </w:pPr>
    </w:p>
    <w:p w:rsidR="00784037" w:rsidRPr="00784037" w:rsidRDefault="00784037" w:rsidP="00784037">
      <w:pPr>
        <w:jc w:val="left"/>
        <w:rPr>
          <w:rFonts w:eastAsiaTheme="minorEastAsia" w:cs="Arial"/>
          <w:snapToGrid w:val="0"/>
          <w:highlight w:val="yellow"/>
        </w:rPr>
      </w:pPr>
      <w:r w:rsidRPr="00784037">
        <w:fldChar w:fldCharType="begin"/>
      </w:r>
      <w:r w:rsidRPr="00784037">
        <w:instrText xml:space="preserve"> AUTONUM  </w:instrText>
      </w:r>
      <w:r w:rsidRPr="00784037">
        <w:fldChar w:fldCharType="end"/>
      </w:r>
      <w:r w:rsidRPr="00784037">
        <w:tab/>
        <w:t xml:space="preserve">The </w:t>
      </w:r>
      <w:r w:rsidR="00C374E0">
        <w:rPr>
          <w:rFonts w:eastAsiaTheme="minorEastAsia" w:cs="Arial"/>
          <w:snapToGrid w:val="0"/>
        </w:rPr>
        <w:t>CAJ is invited to</w:t>
      </w:r>
      <w:r w:rsidRPr="00784037">
        <w:rPr>
          <w:rFonts w:eastAsiaTheme="minorEastAsia" w:cs="Arial"/>
          <w:snapToGrid w:val="0"/>
        </w:rPr>
        <w:t>:</w:t>
      </w:r>
    </w:p>
    <w:p w:rsidR="00774E48" w:rsidRPr="00774E48" w:rsidRDefault="00774E48" w:rsidP="00774E48"/>
    <w:p w:rsidR="00774E48" w:rsidRPr="00774E48" w:rsidRDefault="00774E48" w:rsidP="00774E48">
      <w:r w:rsidRPr="00774E48">
        <w:tab/>
        <w:t>(a)</w:t>
      </w:r>
      <w:r w:rsidRPr="00774E48">
        <w:tab/>
        <w:t>establish the WG-EDV and approve the terms of reference for t</w:t>
      </w:r>
      <w:r>
        <w:t>he WG-EDV, as set out in Annex </w:t>
      </w:r>
      <w:r w:rsidRPr="00774E48">
        <w:t xml:space="preserve">II to this document, in conjunction with the modified “Policy issues in conjunction with the breeders’ </w:t>
      </w:r>
      <w:r>
        <w:t>customs and practices” in Annex </w:t>
      </w:r>
      <w:r w:rsidRPr="00774E48">
        <w:t xml:space="preserve">I of this document; </w:t>
      </w:r>
    </w:p>
    <w:p w:rsidR="00774E48" w:rsidRPr="00774E48" w:rsidRDefault="00774E48" w:rsidP="00774E48"/>
    <w:p w:rsidR="00774E48" w:rsidRPr="00774E48" w:rsidRDefault="00774E48" w:rsidP="00774E48">
      <w:r w:rsidRPr="00774E48">
        <w:tab/>
        <w:t>(b)</w:t>
      </w:r>
      <w:r w:rsidRPr="00774E48">
        <w:tab/>
        <w:t xml:space="preserve">approve the composition of the WG-EDV, as set out in paragraph 15;  </w:t>
      </w:r>
    </w:p>
    <w:p w:rsidR="00774E48" w:rsidRPr="00774E48" w:rsidRDefault="00774E48" w:rsidP="00774E48"/>
    <w:p w:rsidR="00774E48" w:rsidRPr="00774E48" w:rsidRDefault="00774E48" w:rsidP="00774E48">
      <w:r w:rsidRPr="00774E48">
        <w:tab/>
        <w:t>(c)</w:t>
      </w:r>
      <w:r w:rsidRPr="00774E48">
        <w:tab/>
        <w:t xml:space="preserve">approve the tentative date for the first meeting of the WG-EDV, as set out in paragraph 16; </w:t>
      </w:r>
      <w:r>
        <w:t xml:space="preserve"> </w:t>
      </w:r>
      <w:r w:rsidRPr="00774E48">
        <w:t>and</w:t>
      </w:r>
    </w:p>
    <w:p w:rsidR="00774E48" w:rsidRPr="00774E48" w:rsidRDefault="00774E48" w:rsidP="00774E48"/>
    <w:p w:rsidR="00784037" w:rsidRPr="00774E48" w:rsidRDefault="00774E48" w:rsidP="00774E48">
      <w:pPr>
        <w:rPr>
          <w:highlight w:val="yellow"/>
        </w:rPr>
      </w:pPr>
      <w:r w:rsidRPr="00774E48">
        <w:tab/>
        <w:t>(d)</w:t>
      </w:r>
      <w:r w:rsidRPr="00774E48">
        <w:tab/>
        <w:t>request the WG-EDV to propose a timeline for its work at its first meeting, for consideration by the CAJ at its session</w:t>
      </w:r>
      <w:r w:rsidR="001A1D10">
        <w:t xml:space="preserve"> in 2021</w:t>
      </w:r>
      <w:r w:rsidRPr="00774E48">
        <w:t>.</w:t>
      </w:r>
    </w:p>
    <w:p w:rsidR="00784037" w:rsidRPr="00784037" w:rsidRDefault="00784037" w:rsidP="00B76359"/>
    <w:p w:rsidR="00784037" w:rsidRPr="00784037" w:rsidRDefault="00784037" w:rsidP="00784037">
      <w:pPr>
        <w:jc w:val="left"/>
        <w:rPr>
          <w:rFonts w:cs="Arial"/>
          <w:color w:val="000000"/>
        </w:rPr>
      </w:pPr>
      <w:r w:rsidRPr="00784037">
        <w:rPr>
          <w:rFonts w:cs="Arial"/>
        </w:rPr>
        <w:fldChar w:fldCharType="begin"/>
      </w:r>
      <w:r w:rsidRPr="00784037">
        <w:rPr>
          <w:rFonts w:cs="Arial"/>
        </w:rPr>
        <w:instrText xml:space="preserve"> AUTONUM  </w:instrText>
      </w:r>
      <w:r w:rsidRPr="00784037">
        <w:rPr>
          <w:rFonts w:cs="Arial"/>
        </w:rPr>
        <w:fldChar w:fldCharType="end"/>
      </w:r>
      <w:r w:rsidRPr="00784037">
        <w:rPr>
          <w:rFonts w:cs="Arial"/>
        </w:rPr>
        <w:tab/>
      </w:r>
      <w:r w:rsidRPr="00784037">
        <w:rPr>
          <w:rFonts w:cs="Arial"/>
          <w:lang w:eastAsia="ja-JP"/>
        </w:rPr>
        <w:t xml:space="preserve">The structure of this document is as follows:  </w:t>
      </w:r>
    </w:p>
    <w:p w:rsidR="009F7591" w:rsidRPr="00784037" w:rsidRDefault="009F7591" w:rsidP="00784037">
      <w:pPr>
        <w:rPr>
          <w:snapToGrid w:val="0"/>
        </w:rPr>
      </w:pPr>
    </w:p>
    <w:sdt>
      <w:sdtPr>
        <w:rPr>
          <w:i/>
          <w:caps w:val="0"/>
          <w:lang w:val="fr-FR"/>
        </w:rPr>
        <w:id w:val="1042878008"/>
        <w:docPartObj>
          <w:docPartGallery w:val="Table of Contents"/>
          <w:docPartUnique/>
        </w:docPartObj>
      </w:sdtPr>
      <w:sdtEndPr>
        <w:rPr>
          <w:b/>
          <w:bCs/>
          <w:noProof/>
        </w:rPr>
      </w:sdtEndPr>
      <w:sdtContent>
        <w:p w:rsidR="00EE3296" w:rsidRDefault="00784037">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8316700" w:history="1">
            <w:r w:rsidR="00EE3296" w:rsidRPr="001704EE">
              <w:rPr>
                <w:rStyle w:val="Hyperlink"/>
                <w:noProof/>
                <w:snapToGrid w:val="0"/>
              </w:rPr>
              <w:t>EXECUTIVE SUMMARY</w:t>
            </w:r>
            <w:r w:rsidR="00EE3296">
              <w:rPr>
                <w:noProof/>
                <w:webHidden/>
              </w:rPr>
              <w:tab/>
            </w:r>
            <w:r w:rsidR="00EE3296">
              <w:rPr>
                <w:noProof/>
                <w:webHidden/>
              </w:rPr>
              <w:fldChar w:fldCharType="begin"/>
            </w:r>
            <w:r w:rsidR="00EE3296">
              <w:rPr>
                <w:noProof/>
                <w:webHidden/>
              </w:rPr>
              <w:instrText xml:space="preserve"> PAGEREF _Toc48316700 \h </w:instrText>
            </w:r>
            <w:r w:rsidR="00EE3296">
              <w:rPr>
                <w:noProof/>
                <w:webHidden/>
              </w:rPr>
            </w:r>
            <w:r w:rsidR="00EE3296">
              <w:rPr>
                <w:noProof/>
                <w:webHidden/>
              </w:rPr>
              <w:fldChar w:fldCharType="separate"/>
            </w:r>
            <w:r w:rsidR="0073400A">
              <w:rPr>
                <w:noProof/>
                <w:webHidden/>
              </w:rPr>
              <w:t>1</w:t>
            </w:r>
            <w:r w:rsidR="00EE3296">
              <w:rPr>
                <w:noProof/>
                <w:webHidden/>
              </w:rPr>
              <w:fldChar w:fldCharType="end"/>
            </w:r>
          </w:hyperlink>
        </w:p>
        <w:p w:rsidR="00EE3296" w:rsidRDefault="00B729BD">
          <w:pPr>
            <w:pStyle w:val="TOC1"/>
            <w:rPr>
              <w:rFonts w:asciiTheme="minorHAnsi" w:eastAsiaTheme="minorEastAsia" w:hAnsiTheme="minorHAnsi" w:cstheme="minorBidi"/>
              <w:caps w:val="0"/>
              <w:noProof/>
              <w:sz w:val="22"/>
              <w:szCs w:val="22"/>
            </w:rPr>
          </w:pPr>
          <w:hyperlink w:anchor="_Toc48316701" w:history="1">
            <w:r w:rsidR="00EE3296" w:rsidRPr="001704EE">
              <w:rPr>
                <w:rStyle w:val="Hyperlink"/>
                <w:noProof/>
              </w:rPr>
              <w:t>Background</w:t>
            </w:r>
            <w:r w:rsidR="00EE3296">
              <w:rPr>
                <w:noProof/>
                <w:webHidden/>
              </w:rPr>
              <w:tab/>
            </w:r>
            <w:r w:rsidR="00EE3296">
              <w:rPr>
                <w:noProof/>
                <w:webHidden/>
              </w:rPr>
              <w:fldChar w:fldCharType="begin"/>
            </w:r>
            <w:r w:rsidR="00EE3296">
              <w:rPr>
                <w:noProof/>
                <w:webHidden/>
              </w:rPr>
              <w:instrText xml:space="preserve"> PAGEREF _Toc48316701 \h </w:instrText>
            </w:r>
            <w:r w:rsidR="00EE3296">
              <w:rPr>
                <w:noProof/>
                <w:webHidden/>
              </w:rPr>
            </w:r>
            <w:r w:rsidR="00EE3296">
              <w:rPr>
                <w:noProof/>
                <w:webHidden/>
              </w:rPr>
              <w:fldChar w:fldCharType="separate"/>
            </w:r>
            <w:r w:rsidR="0073400A">
              <w:rPr>
                <w:noProof/>
                <w:webHidden/>
              </w:rPr>
              <w:t>2</w:t>
            </w:r>
            <w:r w:rsidR="00EE3296">
              <w:rPr>
                <w:noProof/>
                <w:webHidden/>
              </w:rPr>
              <w:fldChar w:fldCharType="end"/>
            </w:r>
          </w:hyperlink>
        </w:p>
        <w:p w:rsidR="00EE3296" w:rsidRDefault="00B729BD">
          <w:pPr>
            <w:pStyle w:val="TOC1"/>
            <w:rPr>
              <w:rFonts w:asciiTheme="minorHAnsi" w:eastAsiaTheme="minorEastAsia" w:hAnsiTheme="minorHAnsi" w:cstheme="minorBidi"/>
              <w:caps w:val="0"/>
              <w:noProof/>
              <w:sz w:val="22"/>
              <w:szCs w:val="22"/>
            </w:rPr>
          </w:pPr>
          <w:hyperlink w:anchor="_Toc48316702" w:history="1">
            <w:r w:rsidR="00EE3296" w:rsidRPr="001704EE">
              <w:rPr>
                <w:rStyle w:val="Hyperlink"/>
                <w:noProof/>
              </w:rPr>
              <w:t>PROCEDURE FOR THE REVISION OF THE GUIDANCE ON essentially derived varieties PROVIDED IN DOCUMENT UPOV/EXN/EDV/2 “EXPLANATORY NOTES ON ESSENTIALLY DERIVED VARIETIES UNDER THE 1991 ACT OF THE UPOV CONVENTION”</w:t>
            </w:r>
            <w:r w:rsidR="00EE3296">
              <w:rPr>
                <w:noProof/>
                <w:webHidden/>
              </w:rPr>
              <w:tab/>
            </w:r>
            <w:r w:rsidR="00EE3296">
              <w:rPr>
                <w:noProof/>
                <w:webHidden/>
              </w:rPr>
              <w:fldChar w:fldCharType="begin"/>
            </w:r>
            <w:r w:rsidR="00EE3296">
              <w:rPr>
                <w:noProof/>
                <w:webHidden/>
              </w:rPr>
              <w:instrText xml:space="preserve"> PAGEREF _Toc48316702 \h </w:instrText>
            </w:r>
            <w:r w:rsidR="00EE3296">
              <w:rPr>
                <w:noProof/>
                <w:webHidden/>
              </w:rPr>
            </w:r>
            <w:r w:rsidR="00EE3296">
              <w:rPr>
                <w:noProof/>
                <w:webHidden/>
              </w:rPr>
              <w:fldChar w:fldCharType="separate"/>
            </w:r>
            <w:r w:rsidR="0073400A">
              <w:rPr>
                <w:noProof/>
                <w:webHidden/>
              </w:rPr>
              <w:t>2</w:t>
            </w:r>
            <w:r w:rsidR="00EE3296">
              <w:rPr>
                <w:noProof/>
                <w:webHidden/>
              </w:rPr>
              <w:fldChar w:fldCharType="end"/>
            </w:r>
          </w:hyperlink>
        </w:p>
        <w:p w:rsidR="00EE3296" w:rsidRDefault="00B729BD">
          <w:pPr>
            <w:pStyle w:val="TOC2"/>
            <w:rPr>
              <w:rFonts w:asciiTheme="minorHAnsi" w:eastAsiaTheme="minorEastAsia" w:hAnsiTheme="minorHAnsi" w:cstheme="minorBidi"/>
              <w:noProof/>
              <w:sz w:val="22"/>
              <w:szCs w:val="22"/>
            </w:rPr>
          </w:pPr>
          <w:hyperlink w:anchor="_Toc48316703" w:history="1">
            <w:r w:rsidR="00EE3296" w:rsidRPr="001704EE">
              <w:rPr>
                <w:rStyle w:val="Hyperlink"/>
                <w:rFonts w:cs="Arial"/>
                <w:noProof/>
              </w:rPr>
              <w:t xml:space="preserve">Developments since the </w:t>
            </w:r>
            <w:r w:rsidR="00EE3296" w:rsidRPr="001704EE">
              <w:rPr>
                <w:rStyle w:val="Hyperlink"/>
                <w:noProof/>
              </w:rPr>
              <w:t>seventy-sixth session of the CAJ</w:t>
            </w:r>
            <w:r w:rsidR="00EE3296">
              <w:rPr>
                <w:noProof/>
                <w:webHidden/>
              </w:rPr>
              <w:tab/>
            </w:r>
            <w:r w:rsidR="00EE3296">
              <w:rPr>
                <w:noProof/>
                <w:webHidden/>
              </w:rPr>
              <w:fldChar w:fldCharType="begin"/>
            </w:r>
            <w:r w:rsidR="00EE3296">
              <w:rPr>
                <w:noProof/>
                <w:webHidden/>
              </w:rPr>
              <w:instrText xml:space="preserve"> PAGEREF _Toc48316703 \h </w:instrText>
            </w:r>
            <w:r w:rsidR="00EE3296">
              <w:rPr>
                <w:noProof/>
                <w:webHidden/>
              </w:rPr>
            </w:r>
            <w:r w:rsidR="00EE3296">
              <w:rPr>
                <w:noProof/>
                <w:webHidden/>
              </w:rPr>
              <w:fldChar w:fldCharType="separate"/>
            </w:r>
            <w:r w:rsidR="0073400A">
              <w:rPr>
                <w:noProof/>
                <w:webHidden/>
              </w:rPr>
              <w:t>2</w:t>
            </w:r>
            <w:r w:rsidR="00EE3296">
              <w:rPr>
                <w:noProof/>
                <w:webHidden/>
              </w:rPr>
              <w:fldChar w:fldCharType="end"/>
            </w:r>
          </w:hyperlink>
        </w:p>
        <w:p w:rsidR="00EE3296" w:rsidRDefault="00B729BD">
          <w:pPr>
            <w:pStyle w:val="TOC2"/>
            <w:rPr>
              <w:rFonts w:asciiTheme="minorHAnsi" w:eastAsiaTheme="minorEastAsia" w:hAnsiTheme="minorHAnsi" w:cstheme="minorBidi"/>
              <w:noProof/>
              <w:sz w:val="22"/>
              <w:szCs w:val="22"/>
            </w:rPr>
          </w:pPr>
          <w:hyperlink w:anchor="_Toc48316704" w:history="1">
            <w:r w:rsidR="00EE3296" w:rsidRPr="001704EE">
              <w:rPr>
                <w:rStyle w:val="Hyperlink"/>
                <w:noProof/>
              </w:rPr>
              <w:t>UPOV Circulars E-19/232 and E-19/233 of December 23, 2019</w:t>
            </w:r>
            <w:r w:rsidR="00EE3296">
              <w:rPr>
                <w:noProof/>
                <w:webHidden/>
              </w:rPr>
              <w:tab/>
            </w:r>
            <w:r w:rsidR="00EE3296">
              <w:rPr>
                <w:noProof/>
                <w:webHidden/>
              </w:rPr>
              <w:fldChar w:fldCharType="begin"/>
            </w:r>
            <w:r w:rsidR="00EE3296">
              <w:rPr>
                <w:noProof/>
                <w:webHidden/>
              </w:rPr>
              <w:instrText xml:space="preserve"> PAGEREF _Toc48316704 \h </w:instrText>
            </w:r>
            <w:r w:rsidR="00EE3296">
              <w:rPr>
                <w:noProof/>
                <w:webHidden/>
              </w:rPr>
            </w:r>
            <w:r w:rsidR="00EE3296">
              <w:rPr>
                <w:noProof/>
                <w:webHidden/>
              </w:rPr>
              <w:fldChar w:fldCharType="separate"/>
            </w:r>
            <w:r w:rsidR="0073400A">
              <w:rPr>
                <w:noProof/>
                <w:webHidden/>
              </w:rPr>
              <w:t>3</w:t>
            </w:r>
            <w:r w:rsidR="00EE3296">
              <w:rPr>
                <w:noProof/>
                <w:webHidden/>
              </w:rPr>
              <w:fldChar w:fldCharType="end"/>
            </w:r>
          </w:hyperlink>
        </w:p>
        <w:p w:rsidR="00EE3296" w:rsidRDefault="00B729BD">
          <w:pPr>
            <w:pStyle w:val="TOC2"/>
            <w:rPr>
              <w:rFonts w:asciiTheme="minorHAnsi" w:eastAsiaTheme="minorEastAsia" w:hAnsiTheme="minorHAnsi" w:cstheme="minorBidi"/>
              <w:noProof/>
              <w:sz w:val="22"/>
              <w:szCs w:val="22"/>
            </w:rPr>
          </w:pPr>
          <w:hyperlink w:anchor="_Toc48316705" w:history="1">
            <w:r w:rsidR="00EE3296" w:rsidRPr="001704EE">
              <w:rPr>
                <w:rStyle w:val="Hyperlink"/>
                <w:noProof/>
              </w:rPr>
              <w:t>UPOV Circular E-20/093 of July 9, 2020</w:t>
            </w:r>
            <w:r w:rsidR="00EE3296">
              <w:rPr>
                <w:noProof/>
                <w:webHidden/>
              </w:rPr>
              <w:tab/>
            </w:r>
            <w:r w:rsidR="00EE3296">
              <w:rPr>
                <w:noProof/>
                <w:webHidden/>
              </w:rPr>
              <w:fldChar w:fldCharType="begin"/>
            </w:r>
            <w:r w:rsidR="00EE3296">
              <w:rPr>
                <w:noProof/>
                <w:webHidden/>
              </w:rPr>
              <w:instrText xml:space="preserve"> PAGEREF _Toc48316705 \h </w:instrText>
            </w:r>
            <w:r w:rsidR="00EE3296">
              <w:rPr>
                <w:noProof/>
                <w:webHidden/>
              </w:rPr>
            </w:r>
            <w:r w:rsidR="00EE3296">
              <w:rPr>
                <w:noProof/>
                <w:webHidden/>
              </w:rPr>
              <w:fldChar w:fldCharType="separate"/>
            </w:r>
            <w:r w:rsidR="0073400A">
              <w:rPr>
                <w:noProof/>
                <w:webHidden/>
              </w:rPr>
              <w:t>3</w:t>
            </w:r>
            <w:r w:rsidR="00EE3296">
              <w:rPr>
                <w:noProof/>
                <w:webHidden/>
              </w:rPr>
              <w:fldChar w:fldCharType="end"/>
            </w:r>
          </w:hyperlink>
        </w:p>
        <w:p w:rsidR="00EE3296" w:rsidRDefault="00B729BD">
          <w:pPr>
            <w:pStyle w:val="TOC3"/>
            <w:rPr>
              <w:rFonts w:asciiTheme="minorHAnsi" w:eastAsiaTheme="minorEastAsia" w:hAnsiTheme="minorHAnsi" w:cstheme="minorBidi"/>
              <w:i w:val="0"/>
              <w:noProof/>
              <w:sz w:val="22"/>
              <w:szCs w:val="22"/>
              <w:lang w:val="en-US"/>
            </w:rPr>
          </w:pPr>
          <w:hyperlink w:anchor="_Toc48316706" w:history="1">
            <w:r w:rsidR="00EE3296" w:rsidRPr="001704EE">
              <w:rPr>
                <w:rStyle w:val="Hyperlink"/>
                <w:noProof/>
              </w:rPr>
              <w:t>Policy issues in conjunction with the breeders’ customs and practices</w:t>
            </w:r>
            <w:r w:rsidR="00EE3296">
              <w:rPr>
                <w:noProof/>
                <w:webHidden/>
              </w:rPr>
              <w:tab/>
            </w:r>
            <w:r w:rsidR="00EE3296">
              <w:rPr>
                <w:noProof/>
                <w:webHidden/>
              </w:rPr>
              <w:fldChar w:fldCharType="begin"/>
            </w:r>
            <w:r w:rsidR="00EE3296">
              <w:rPr>
                <w:noProof/>
                <w:webHidden/>
              </w:rPr>
              <w:instrText xml:space="preserve"> PAGEREF _Toc48316706 \h </w:instrText>
            </w:r>
            <w:r w:rsidR="00EE3296">
              <w:rPr>
                <w:noProof/>
                <w:webHidden/>
              </w:rPr>
            </w:r>
            <w:r w:rsidR="00EE3296">
              <w:rPr>
                <w:noProof/>
                <w:webHidden/>
              </w:rPr>
              <w:fldChar w:fldCharType="separate"/>
            </w:r>
            <w:r w:rsidR="0073400A">
              <w:rPr>
                <w:noProof/>
                <w:webHidden/>
              </w:rPr>
              <w:t>3</w:t>
            </w:r>
            <w:r w:rsidR="00EE3296">
              <w:rPr>
                <w:noProof/>
                <w:webHidden/>
              </w:rPr>
              <w:fldChar w:fldCharType="end"/>
            </w:r>
          </w:hyperlink>
        </w:p>
        <w:p w:rsidR="00EE3296" w:rsidRDefault="00B729BD">
          <w:pPr>
            <w:pStyle w:val="TOC3"/>
            <w:rPr>
              <w:rFonts w:asciiTheme="minorHAnsi" w:eastAsiaTheme="minorEastAsia" w:hAnsiTheme="minorHAnsi" w:cstheme="minorBidi"/>
              <w:i w:val="0"/>
              <w:noProof/>
              <w:sz w:val="22"/>
              <w:szCs w:val="22"/>
              <w:lang w:val="en-US"/>
            </w:rPr>
          </w:pPr>
          <w:hyperlink w:anchor="_Toc48316707" w:history="1">
            <w:r w:rsidR="00EE3296" w:rsidRPr="001704EE">
              <w:rPr>
                <w:rStyle w:val="Hyperlink"/>
                <w:noProof/>
              </w:rPr>
              <w:t>Terms of Reference of the Working Group on Essentially Derived Varieties (WG-EDV)</w:t>
            </w:r>
            <w:r w:rsidR="00EE3296">
              <w:rPr>
                <w:noProof/>
                <w:webHidden/>
              </w:rPr>
              <w:tab/>
            </w:r>
            <w:r w:rsidR="00EE3296">
              <w:rPr>
                <w:noProof/>
                <w:webHidden/>
              </w:rPr>
              <w:fldChar w:fldCharType="begin"/>
            </w:r>
            <w:r w:rsidR="00EE3296">
              <w:rPr>
                <w:noProof/>
                <w:webHidden/>
              </w:rPr>
              <w:instrText xml:space="preserve"> PAGEREF _Toc48316707 \h </w:instrText>
            </w:r>
            <w:r w:rsidR="00EE3296">
              <w:rPr>
                <w:noProof/>
                <w:webHidden/>
              </w:rPr>
            </w:r>
            <w:r w:rsidR="00EE3296">
              <w:rPr>
                <w:noProof/>
                <w:webHidden/>
              </w:rPr>
              <w:fldChar w:fldCharType="separate"/>
            </w:r>
            <w:r w:rsidR="0073400A">
              <w:rPr>
                <w:noProof/>
                <w:webHidden/>
              </w:rPr>
              <w:t>3</w:t>
            </w:r>
            <w:r w:rsidR="00EE3296">
              <w:rPr>
                <w:noProof/>
                <w:webHidden/>
              </w:rPr>
              <w:fldChar w:fldCharType="end"/>
            </w:r>
          </w:hyperlink>
        </w:p>
        <w:p w:rsidR="00EE3296" w:rsidRDefault="00B729BD">
          <w:pPr>
            <w:pStyle w:val="TOC3"/>
            <w:rPr>
              <w:rFonts w:asciiTheme="minorHAnsi" w:eastAsiaTheme="minorEastAsia" w:hAnsiTheme="minorHAnsi" w:cstheme="minorBidi"/>
              <w:i w:val="0"/>
              <w:noProof/>
              <w:sz w:val="22"/>
              <w:szCs w:val="22"/>
              <w:lang w:val="en-US"/>
            </w:rPr>
          </w:pPr>
          <w:hyperlink w:anchor="_Toc48316708" w:history="1">
            <w:r w:rsidR="00EE3296" w:rsidRPr="001704EE">
              <w:rPr>
                <w:rStyle w:val="Hyperlink"/>
                <w:noProof/>
              </w:rPr>
              <w:t>Composition of WG-EDV</w:t>
            </w:r>
            <w:r w:rsidR="00EE3296">
              <w:rPr>
                <w:noProof/>
                <w:webHidden/>
              </w:rPr>
              <w:tab/>
            </w:r>
            <w:r w:rsidR="00EE3296">
              <w:rPr>
                <w:noProof/>
                <w:webHidden/>
              </w:rPr>
              <w:fldChar w:fldCharType="begin"/>
            </w:r>
            <w:r w:rsidR="00EE3296">
              <w:rPr>
                <w:noProof/>
                <w:webHidden/>
              </w:rPr>
              <w:instrText xml:space="preserve"> PAGEREF _Toc48316708 \h </w:instrText>
            </w:r>
            <w:r w:rsidR="00EE3296">
              <w:rPr>
                <w:noProof/>
                <w:webHidden/>
              </w:rPr>
            </w:r>
            <w:r w:rsidR="00EE3296">
              <w:rPr>
                <w:noProof/>
                <w:webHidden/>
              </w:rPr>
              <w:fldChar w:fldCharType="separate"/>
            </w:r>
            <w:r w:rsidR="0073400A">
              <w:rPr>
                <w:noProof/>
                <w:webHidden/>
              </w:rPr>
              <w:t>4</w:t>
            </w:r>
            <w:r w:rsidR="00EE3296">
              <w:rPr>
                <w:noProof/>
                <w:webHidden/>
              </w:rPr>
              <w:fldChar w:fldCharType="end"/>
            </w:r>
          </w:hyperlink>
        </w:p>
        <w:p w:rsidR="00784037" w:rsidRPr="00972F06" w:rsidRDefault="00B729BD" w:rsidP="003F7B9A">
          <w:pPr>
            <w:pStyle w:val="TOC3"/>
            <w:rPr>
              <w:rFonts w:asciiTheme="minorHAnsi" w:eastAsiaTheme="minorEastAsia" w:hAnsiTheme="minorHAnsi" w:cstheme="minorBidi"/>
              <w:i w:val="0"/>
              <w:noProof/>
              <w:sz w:val="22"/>
              <w:szCs w:val="22"/>
              <w:lang w:val="en-US"/>
            </w:rPr>
          </w:pPr>
          <w:hyperlink w:anchor="_Toc48316709" w:history="1">
            <w:r w:rsidR="00EE3296" w:rsidRPr="001704EE">
              <w:rPr>
                <w:rStyle w:val="Hyperlink"/>
                <w:noProof/>
              </w:rPr>
              <w:t>Tentative date for the first meeting of the WG-EDV</w:t>
            </w:r>
            <w:r w:rsidR="00EE3296">
              <w:rPr>
                <w:noProof/>
                <w:webHidden/>
              </w:rPr>
              <w:tab/>
            </w:r>
            <w:r w:rsidR="00EE3296">
              <w:rPr>
                <w:noProof/>
                <w:webHidden/>
              </w:rPr>
              <w:fldChar w:fldCharType="begin"/>
            </w:r>
            <w:r w:rsidR="00EE3296">
              <w:rPr>
                <w:noProof/>
                <w:webHidden/>
              </w:rPr>
              <w:instrText xml:space="preserve"> PAGEREF _Toc48316709 \h </w:instrText>
            </w:r>
            <w:r w:rsidR="00EE3296">
              <w:rPr>
                <w:noProof/>
                <w:webHidden/>
              </w:rPr>
            </w:r>
            <w:r w:rsidR="00EE3296">
              <w:rPr>
                <w:noProof/>
                <w:webHidden/>
              </w:rPr>
              <w:fldChar w:fldCharType="separate"/>
            </w:r>
            <w:r w:rsidR="0073400A">
              <w:rPr>
                <w:noProof/>
                <w:webHidden/>
              </w:rPr>
              <w:t>4</w:t>
            </w:r>
            <w:r w:rsidR="00EE3296">
              <w:rPr>
                <w:noProof/>
                <w:webHidden/>
              </w:rPr>
              <w:fldChar w:fldCharType="end"/>
            </w:r>
          </w:hyperlink>
          <w:r w:rsidR="00784037">
            <w:fldChar w:fldCharType="end"/>
          </w:r>
        </w:p>
      </w:sdtContent>
    </w:sdt>
    <w:p w:rsidR="00D369F1" w:rsidRPr="0073400A" w:rsidRDefault="00A24F4D" w:rsidP="00D369F1">
      <w:pPr>
        <w:spacing w:before="120" w:after="120"/>
        <w:ind w:left="1134" w:hanging="1134"/>
        <w:rPr>
          <w:spacing w:val="-2"/>
          <w:sz w:val="18"/>
        </w:rPr>
      </w:pPr>
      <w:r w:rsidRPr="0073400A">
        <w:rPr>
          <w:spacing w:val="-2"/>
          <w:sz w:val="18"/>
        </w:rPr>
        <w:t>ANNEX I</w:t>
      </w:r>
      <w:r w:rsidRPr="0073400A">
        <w:rPr>
          <w:spacing w:val="-2"/>
          <w:sz w:val="18"/>
        </w:rPr>
        <w:tab/>
      </w:r>
      <w:r w:rsidR="00774E48" w:rsidRPr="0073400A">
        <w:rPr>
          <w:spacing w:val="-2"/>
          <w:sz w:val="18"/>
        </w:rPr>
        <w:t>POLICY ISSUES IN CONJUNCTION WITH THE BREEDERS’ CUSTOMS AND PRACTICES</w:t>
      </w:r>
    </w:p>
    <w:p w:rsidR="00D369F1" w:rsidRPr="0073400A" w:rsidRDefault="00D369F1" w:rsidP="00D369F1">
      <w:pPr>
        <w:tabs>
          <w:tab w:val="left" w:pos="1134"/>
        </w:tabs>
        <w:ind w:firstLine="360"/>
      </w:pPr>
      <w:r w:rsidRPr="0073400A">
        <w:tab/>
        <w:t>Appendix I:  Policy issues</w:t>
      </w:r>
    </w:p>
    <w:p w:rsidR="00D369F1" w:rsidRPr="0073400A" w:rsidRDefault="00D369F1" w:rsidP="00D369F1">
      <w:pPr>
        <w:ind w:firstLine="360"/>
      </w:pPr>
      <w:r w:rsidRPr="0073400A">
        <w:tab/>
      </w:r>
      <w:r w:rsidRPr="0073400A">
        <w:tab/>
        <w:t xml:space="preserve">Appendix II:  Breeders’ customs and practices. </w:t>
      </w:r>
    </w:p>
    <w:p w:rsidR="003F7B9A" w:rsidRDefault="00A24F4D" w:rsidP="003F7B9A">
      <w:pPr>
        <w:spacing w:before="120" w:after="120"/>
        <w:ind w:left="1134" w:hanging="1134"/>
        <w:rPr>
          <w:sz w:val="18"/>
        </w:rPr>
      </w:pPr>
      <w:r w:rsidRPr="0073400A">
        <w:rPr>
          <w:sz w:val="18"/>
        </w:rPr>
        <w:t>ANNEX II</w:t>
      </w:r>
      <w:r w:rsidRPr="0073400A">
        <w:rPr>
          <w:sz w:val="18"/>
        </w:rPr>
        <w:tab/>
        <w:t>DRAFT TERMS</w:t>
      </w:r>
      <w:r w:rsidRPr="00A24F4D">
        <w:rPr>
          <w:sz w:val="18"/>
        </w:rPr>
        <w:t xml:space="preserve"> OF REFERENCE OF THE WORKING GROUP ON ESSENTIALLY DERIVED VARIETIES</w:t>
      </w:r>
      <w:r w:rsidR="00BC44F5">
        <w:rPr>
          <w:sz w:val="18"/>
        </w:rPr>
        <w:t xml:space="preserve"> </w:t>
      </w:r>
      <w:r w:rsidRPr="00A24F4D">
        <w:rPr>
          <w:sz w:val="18"/>
        </w:rPr>
        <w:t>(WG-EDV)</w:t>
      </w:r>
      <w:r w:rsidR="003F7B9A">
        <w:rPr>
          <w:sz w:val="18"/>
        </w:rPr>
        <w:t xml:space="preserve">  </w:t>
      </w:r>
      <w:r w:rsidR="003F7B9A">
        <w:rPr>
          <w:sz w:val="18"/>
        </w:rPr>
        <w:br w:type="page"/>
      </w:r>
    </w:p>
    <w:p w:rsidR="00784037" w:rsidRPr="00DB51B4" w:rsidRDefault="00784037" w:rsidP="00CF257C">
      <w:pPr>
        <w:pStyle w:val="Heading1"/>
      </w:pPr>
      <w:bookmarkStart w:id="6" w:name="_Toc14799781"/>
      <w:bookmarkStart w:id="7" w:name="_Toc48316701"/>
      <w:r w:rsidRPr="00DB51B4">
        <w:lastRenderedPageBreak/>
        <w:t>Background</w:t>
      </w:r>
      <w:bookmarkEnd w:id="6"/>
      <w:bookmarkEnd w:id="7"/>
    </w:p>
    <w:p w:rsidR="00784037" w:rsidRPr="00DB51B4" w:rsidRDefault="00784037" w:rsidP="00784037">
      <w:pPr>
        <w:keepNext/>
        <w:jc w:val="left"/>
        <w:rPr>
          <w:rFonts w:cs="Arial"/>
          <w:u w:val="single"/>
        </w:rPr>
      </w:pPr>
    </w:p>
    <w:p w:rsidR="00784037" w:rsidRPr="001E260E" w:rsidRDefault="009F7591" w:rsidP="00784037">
      <w:pPr>
        <w:keepNext/>
        <w:autoSpaceDE w:val="0"/>
        <w:autoSpaceDN w:val="0"/>
        <w:adjustRightInd w:val="0"/>
        <w:rPr>
          <w:rFonts w:cs="Arial"/>
          <w:szCs w:val="24"/>
          <w:lang w:eastAsia="ja-JP" w:bidi="th-TH"/>
        </w:rPr>
      </w:pPr>
      <w:r w:rsidRPr="00DB51B4">
        <w:rPr>
          <w:rFonts w:cs="Arial"/>
          <w:spacing w:val="-2"/>
        </w:rPr>
        <w:fldChar w:fldCharType="begin"/>
      </w:r>
      <w:r w:rsidRPr="00DB51B4">
        <w:rPr>
          <w:rFonts w:cs="Arial"/>
          <w:spacing w:val="-2"/>
        </w:rPr>
        <w:instrText xml:space="preserve"> AUTONUM  </w:instrText>
      </w:r>
      <w:r w:rsidRPr="00DB51B4">
        <w:rPr>
          <w:rFonts w:cs="Arial"/>
          <w:spacing w:val="-2"/>
        </w:rPr>
        <w:fldChar w:fldCharType="end"/>
      </w:r>
      <w:r w:rsidRPr="00DB51B4">
        <w:rPr>
          <w:rFonts w:cs="Arial"/>
          <w:spacing w:val="-2"/>
        </w:rPr>
        <w:tab/>
      </w:r>
      <w:r w:rsidR="00784037" w:rsidRPr="001E260E">
        <w:rPr>
          <w:rFonts w:cs="Arial"/>
          <w:spacing w:val="-2"/>
          <w:lang w:eastAsia="ja-JP" w:bidi="th-TH"/>
        </w:rPr>
        <w:t xml:space="preserve">The </w:t>
      </w:r>
      <w:r w:rsidR="00784037" w:rsidRPr="001E260E">
        <w:rPr>
          <w:rFonts w:eastAsiaTheme="minorEastAsia" w:cs="Arial"/>
          <w:color w:val="000000"/>
          <w:spacing w:val="-2"/>
        </w:rPr>
        <w:t>Administrative and Legal Committee (CAJ),</w:t>
      </w:r>
      <w:r w:rsidR="00784037" w:rsidRPr="001E260E">
        <w:rPr>
          <w:rFonts w:eastAsiaTheme="minorEastAsia" w:cs="Arial"/>
          <w:spacing w:val="-2"/>
        </w:rPr>
        <w:t xml:space="preserve"> at its seventy-sixth session, held in Genev</w:t>
      </w:r>
      <w:r>
        <w:rPr>
          <w:rFonts w:eastAsiaTheme="minorEastAsia" w:cs="Arial"/>
          <w:spacing w:val="-2"/>
        </w:rPr>
        <w:t>a on October </w:t>
      </w:r>
      <w:r w:rsidR="00784037">
        <w:rPr>
          <w:rFonts w:eastAsiaTheme="minorEastAsia" w:cs="Arial"/>
          <w:spacing w:val="-2"/>
        </w:rPr>
        <w:t xml:space="preserve">30, 2019, agreed the matters in the following paragraphs (see below extracts from </w:t>
      </w:r>
      <w:r w:rsidR="00784037" w:rsidRPr="00F55A8A">
        <w:rPr>
          <w:rFonts w:eastAsiaTheme="minorEastAsia" w:cs="Arial"/>
          <w:spacing w:val="-2"/>
        </w:rPr>
        <w:t>document CAJ/76/9 “Report”</w:t>
      </w:r>
      <w:r w:rsidR="00784037">
        <w:rPr>
          <w:rFonts w:eastAsiaTheme="minorEastAsia" w:cs="Arial"/>
          <w:spacing w:val="-2"/>
        </w:rPr>
        <w:t xml:space="preserve">, </w:t>
      </w:r>
      <w:r w:rsidR="00784037">
        <w:rPr>
          <w:rFonts w:cs="Arial"/>
          <w:spacing w:val="-2"/>
          <w:szCs w:val="18"/>
          <w:lang w:eastAsia="ja-JP" w:bidi="th-TH"/>
        </w:rPr>
        <w:t>paragraphs 9 to 14</w:t>
      </w:r>
      <w:r w:rsidR="00784037">
        <w:rPr>
          <w:rFonts w:eastAsiaTheme="minorEastAsia" w:cs="Arial"/>
          <w:spacing w:val="-2"/>
        </w:rPr>
        <w:t xml:space="preserve">). </w:t>
      </w:r>
    </w:p>
    <w:p w:rsidR="00784037" w:rsidRDefault="00784037" w:rsidP="00784037">
      <w:pPr>
        <w:keepNext/>
        <w:tabs>
          <w:tab w:val="left" w:pos="284"/>
          <w:tab w:val="left" w:pos="851"/>
        </w:tabs>
        <w:autoSpaceDE w:val="0"/>
        <w:autoSpaceDN w:val="0"/>
        <w:adjustRightInd w:val="0"/>
        <w:rPr>
          <w:rFonts w:cs="Angsana New"/>
          <w:szCs w:val="24"/>
          <w:lang w:eastAsia="ja-JP" w:bidi="th-TH"/>
        </w:rPr>
      </w:pPr>
    </w:p>
    <w:p w:rsidR="00784037" w:rsidRPr="00E07C77" w:rsidRDefault="00784037" w:rsidP="00784037">
      <w:pPr>
        <w:keepNext/>
        <w:ind w:left="567" w:right="567"/>
        <w:rPr>
          <w:sz w:val="18"/>
          <w:u w:val="single"/>
        </w:rPr>
      </w:pPr>
      <w:r w:rsidRPr="00E07C77">
        <w:rPr>
          <w:sz w:val="18"/>
        </w:rPr>
        <w:t>“</w:t>
      </w:r>
      <w:r w:rsidRPr="00E07C77">
        <w:rPr>
          <w:sz w:val="18"/>
          <w:u w:val="single"/>
        </w:rPr>
        <w:t xml:space="preserve">Essentially Derived Varieties </w:t>
      </w:r>
    </w:p>
    <w:p w:rsidR="00784037" w:rsidRPr="00A073CC" w:rsidRDefault="00784037" w:rsidP="00784037">
      <w:pPr>
        <w:keepNext/>
        <w:tabs>
          <w:tab w:val="left" w:pos="284"/>
          <w:tab w:val="left" w:pos="567"/>
          <w:tab w:val="left" w:pos="851"/>
        </w:tabs>
        <w:autoSpaceDE w:val="0"/>
        <w:autoSpaceDN w:val="0"/>
        <w:adjustRightInd w:val="0"/>
        <w:ind w:left="567" w:right="567"/>
        <w:rPr>
          <w:rFonts w:cs="Angsana New"/>
          <w:sz w:val="18"/>
          <w:szCs w:val="18"/>
          <w:lang w:eastAsia="ja-JP" w:bidi="th-TH"/>
        </w:rPr>
      </w:pPr>
    </w:p>
    <w:p w:rsidR="00784037" w:rsidRPr="00A073CC" w:rsidRDefault="00784037" w:rsidP="00784037">
      <w:pPr>
        <w:tabs>
          <w:tab w:val="left" w:pos="567"/>
          <w:tab w:val="left" w:pos="1134"/>
        </w:tabs>
        <w:ind w:left="567" w:right="567"/>
        <w:rPr>
          <w:sz w:val="18"/>
          <w:szCs w:val="18"/>
        </w:rPr>
      </w:pPr>
      <w:r w:rsidRPr="00A073CC">
        <w:rPr>
          <w:sz w:val="18"/>
          <w:szCs w:val="18"/>
        </w:rPr>
        <w:t>“9.</w:t>
      </w:r>
      <w:r w:rsidRPr="00A073CC">
        <w:rPr>
          <w:sz w:val="18"/>
          <w:szCs w:val="18"/>
        </w:rPr>
        <w:tab/>
        <w:t>The CAJ considered document CAJ/76/3.</w:t>
      </w:r>
    </w:p>
    <w:p w:rsidR="00784037" w:rsidRPr="00A073CC" w:rsidRDefault="00784037" w:rsidP="00784037">
      <w:pPr>
        <w:tabs>
          <w:tab w:val="left" w:pos="567"/>
        </w:tabs>
        <w:ind w:left="567" w:right="567"/>
        <w:rPr>
          <w:sz w:val="18"/>
          <w:szCs w:val="18"/>
        </w:rPr>
      </w:pPr>
    </w:p>
    <w:p w:rsidR="00784037" w:rsidRPr="00A073CC" w:rsidRDefault="00784037" w:rsidP="00784037">
      <w:pPr>
        <w:tabs>
          <w:tab w:val="left" w:pos="567"/>
        </w:tabs>
        <w:ind w:left="567" w:right="567"/>
        <w:rPr>
          <w:sz w:val="18"/>
          <w:szCs w:val="18"/>
        </w:rPr>
      </w:pPr>
      <w:r w:rsidRPr="00A073CC">
        <w:rPr>
          <w:sz w:val="18"/>
          <w:szCs w:val="18"/>
        </w:rPr>
        <w:t>“10.</w:t>
      </w:r>
      <w:r w:rsidRPr="00A073CC">
        <w:rPr>
          <w:sz w:val="18"/>
          <w:szCs w:val="18"/>
        </w:rPr>
        <w:tab/>
        <w:t>The CAJ noted the background information and developments concerning EDVs, including relevant matters on the ‘Seminar on the impact of policy on essentially derived varieties (EDVs) on breeding strategy’, as set out in paragraphs 4 to 15 of document CAJ/76/3.</w:t>
      </w:r>
    </w:p>
    <w:p w:rsidR="00784037" w:rsidRPr="00A073CC" w:rsidRDefault="00784037" w:rsidP="00784037">
      <w:pPr>
        <w:tabs>
          <w:tab w:val="left" w:pos="567"/>
        </w:tabs>
        <w:ind w:left="567" w:right="567"/>
        <w:rPr>
          <w:sz w:val="18"/>
          <w:szCs w:val="18"/>
        </w:rPr>
      </w:pPr>
    </w:p>
    <w:p w:rsidR="00784037" w:rsidRPr="00A073CC" w:rsidRDefault="00784037" w:rsidP="00784037">
      <w:pPr>
        <w:tabs>
          <w:tab w:val="left" w:pos="567"/>
        </w:tabs>
        <w:ind w:left="567" w:right="567"/>
        <w:rPr>
          <w:sz w:val="18"/>
          <w:szCs w:val="18"/>
        </w:rPr>
      </w:pPr>
      <w:r w:rsidRPr="00A073CC">
        <w:rPr>
          <w:sz w:val="18"/>
          <w:szCs w:val="18"/>
        </w:rPr>
        <w:t>“11.</w:t>
      </w:r>
      <w:r w:rsidRPr="00A073CC">
        <w:rPr>
          <w:sz w:val="18"/>
          <w:szCs w:val="18"/>
        </w:rPr>
        <w:tab/>
      </w:r>
      <w:r w:rsidRPr="00A073CC">
        <w:rPr>
          <w:rFonts w:eastAsiaTheme="minorEastAsia"/>
          <w:sz w:val="18"/>
          <w:szCs w:val="18"/>
        </w:rPr>
        <w:t xml:space="preserve">The CAJ noted the information on the presentations and noted </w:t>
      </w:r>
      <w:r w:rsidRPr="00A073CC">
        <w:rPr>
          <w:snapToGrid w:val="0"/>
          <w:sz w:val="18"/>
          <w:szCs w:val="18"/>
        </w:rPr>
        <w:t>the following oral summary by the Chair of the CAJ</w:t>
      </w:r>
      <w:r w:rsidRPr="00A073CC">
        <w:rPr>
          <w:rFonts w:eastAsiaTheme="minorEastAsia"/>
          <w:sz w:val="18"/>
          <w:szCs w:val="18"/>
        </w:rPr>
        <w:t xml:space="preserve"> concerning the outcome of the ‘Seminar on the impact of policy on essentially derived varieties (EDVs) on breeding strategy’, held on the morning of October 30, 2019</w:t>
      </w:r>
      <w:r w:rsidRPr="00A073CC">
        <w:rPr>
          <w:sz w:val="18"/>
          <w:szCs w:val="18"/>
        </w:rPr>
        <w:t>:</w:t>
      </w:r>
    </w:p>
    <w:p w:rsidR="00784037" w:rsidRPr="00A073CC" w:rsidRDefault="00784037" w:rsidP="00784037">
      <w:pPr>
        <w:tabs>
          <w:tab w:val="left" w:pos="567"/>
        </w:tabs>
        <w:ind w:left="360" w:right="567"/>
        <w:rPr>
          <w:sz w:val="18"/>
          <w:szCs w:val="18"/>
        </w:rPr>
      </w:pPr>
    </w:p>
    <w:p w:rsidR="00784037" w:rsidRPr="00A073CC" w:rsidRDefault="00784037" w:rsidP="00784037">
      <w:pPr>
        <w:pStyle w:val="ListParagraph"/>
        <w:numPr>
          <w:ilvl w:val="0"/>
          <w:numId w:val="3"/>
        </w:numPr>
        <w:tabs>
          <w:tab w:val="left" w:pos="567"/>
        </w:tabs>
        <w:ind w:left="1276" w:right="567"/>
        <w:rPr>
          <w:rFonts w:eastAsiaTheme="minorEastAsia"/>
          <w:sz w:val="18"/>
          <w:szCs w:val="18"/>
        </w:rPr>
      </w:pPr>
      <w:r w:rsidRPr="00A073CC">
        <w:rPr>
          <w:rFonts w:eastAsiaTheme="minorEastAsia"/>
          <w:sz w:val="18"/>
          <w:szCs w:val="18"/>
        </w:rPr>
        <w:t xml:space="preserve">“‘Evidence that the current UPOV guidance does not reflect the practice amongst breeders in the understanding of essentially derived varieties </w:t>
      </w:r>
    </w:p>
    <w:p w:rsidR="00784037" w:rsidRPr="00A073CC" w:rsidRDefault="00784037" w:rsidP="00784037">
      <w:pPr>
        <w:tabs>
          <w:tab w:val="left" w:pos="567"/>
        </w:tabs>
        <w:ind w:left="1276" w:right="567"/>
        <w:rPr>
          <w:rFonts w:eastAsiaTheme="minorEastAsia"/>
          <w:sz w:val="18"/>
          <w:szCs w:val="18"/>
        </w:rPr>
      </w:pPr>
      <w:r w:rsidRPr="00A073CC">
        <w:rPr>
          <w:rFonts w:eastAsiaTheme="minorEastAsia"/>
          <w:sz w:val="18"/>
          <w:szCs w:val="18"/>
        </w:rPr>
        <w:t xml:space="preserve"> </w:t>
      </w:r>
    </w:p>
    <w:p w:rsidR="00784037" w:rsidRPr="00A073CC" w:rsidRDefault="00784037" w:rsidP="00784037">
      <w:pPr>
        <w:pStyle w:val="ListParagraph"/>
        <w:numPr>
          <w:ilvl w:val="0"/>
          <w:numId w:val="3"/>
        </w:numPr>
        <w:tabs>
          <w:tab w:val="left" w:pos="567"/>
        </w:tabs>
        <w:ind w:left="1276" w:right="567"/>
        <w:rPr>
          <w:rFonts w:eastAsiaTheme="minorEastAsia"/>
          <w:sz w:val="18"/>
          <w:szCs w:val="18"/>
        </w:rPr>
      </w:pPr>
      <w:r w:rsidRPr="00A073CC">
        <w:rPr>
          <w:rFonts w:eastAsiaTheme="minorEastAsia"/>
          <w:sz w:val="18"/>
          <w:szCs w:val="18"/>
        </w:rPr>
        <w:t xml:space="preserve">“‘Evolution of breeding technologies has created new opportunities/incentives for predominantly deriving varieties from initial varieties, more rapidly and at a lower cost  </w:t>
      </w:r>
    </w:p>
    <w:p w:rsidR="00784037" w:rsidRPr="00A073CC" w:rsidRDefault="00784037" w:rsidP="00784037">
      <w:pPr>
        <w:tabs>
          <w:tab w:val="left" w:pos="567"/>
        </w:tabs>
        <w:ind w:left="1276" w:right="567"/>
        <w:rPr>
          <w:rFonts w:eastAsiaTheme="minorEastAsia"/>
          <w:sz w:val="18"/>
          <w:szCs w:val="18"/>
        </w:rPr>
      </w:pPr>
      <w:r w:rsidRPr="00A073CC">
        <w:rPr>
          <w:rFonts w:eastAsiaTheme="minorEastAsia"/>
          <w:sz w:val="18"/>
          <w:szCs w:val="18"/>
        </w:rPr>
        <w:t xml:space="preserve"> </w:t>
      </w:r>
    </w:p>
    <w:p w:rsidR="00784037" w:rsidRPr="00A073CC" w:rsidRDefault="00784037" w:rsidP="00784037">
      <w:pPr>
        <w:pStyle w:val="ListParagraph"/>
        <w:numPr>
          <w:ilvl w:val="0"/>
          <w:numId w:val="3"/>
        </w:numPr>
        <w:tabs>
          <w:tab w:val="left" w:pos="567"/>
        </w:tabs>
        <w:ind w:left="1276" w:right="567"/>
        <w:rPr>
          <w:rFonts w:eastAsiaTheme="minorEastAsia"/>
          <w:spacing w:val="-4"/>
          <w:sz w:val="18"/>
          <w:szCs w:val="18"/>
        </w:rPr>
      </w:pPr>
      <w:r w:rsidRPr="00A073CC">
        <w:rPr>
          <w:rFonts w:eastAsiaTheme="minorEastAsia"/>
          <w:sz w:val="18"/>
          <w:szCs w:val="18"/>
        </w:rPr>
        <w:t>“‘Clear indication from presentations and discussions that the understanding and implementation of the EDV concept influences breeding strategy – therefore, it is important that UPOV guidance is tuned to maximize benefits to society in terms of maximizing progress in breeding.’</w:t>
      </w:r>
    </w:p>
    <w:p w:rsidR="00784037" w:rsidRPr="00A073CC" w:rsidRDefault="00784037" w:rsidP="00784037">
      <w:pPr>
        <w:tabs>
          <w:tab w:val="left" w:pos="567"/>
        </w:tabs>
        <w:ind w:left="360" w:right="567"/>
        <w:rPr>
          <w:rFonts w:eastAsiaTheme="minorEastAsia"/>
          <w:spacing w:val="-4"/>
          <w:sz w:val="18"/>
          <w:szCs w:val="18"/>
        </w:rPr>
      </w:pPr>
    </w:p>
    <w:p w:rsidR="00784037" w:rsidRPr="00A073CC" w:rsidRDefault="00784037" w:rsidP="00784037">
      <w:pPr>
        <w:tabs>
          <w:tab w:val="left" w:pos="567"/>
        </w:tabs>
        <w:ind w:left="567" w:right="567"/>
        <w:rPr>
          <w:rFonts w:eastAsiaTheme="minorEastAsia"/>
          <w:spacing w:val="-4"/>
          <w:sz w:val="18"/>
          <w:szCs w:val="18"/>
        </w:rPr>
      </w:pPr>
      <w:r w:rsidRPr="00A073CC">
        <w:rPr>
          <w:spacing w:val="-4"/>
          <w:sz w:val="18"/>
          <w:szCs w:val="18"/>
        </w:rPr>
        <w:t>“12.</w:t>
      </w:r>
      <w:r w:rsidRPr="00A073CC">
        <w:rPr>
          <w:spacing w:val="-4"/>
          <w:sz w:val="18"/>
          <w:szCs w:val="18"/>
        </w:rPr>
        <w:tab/>
      </w:r>
      <w:r w:rsidRPr="00A073CC">
        <w:rPr>
          <w:rFonts w:eastAsiaTheme="minorEastAsia"/>
          <w:spacing w:val="-4"/>
          <w:sz w:val="18"/>
          <w:szCs w:val="18"/>
        </w:rPr>
        <w:t xml:space="preserve">On the basis of the outcome of the EDV Seminar, the CAJ agreed to open up the </w:t>
      </w:r>
      <w:r w:rsidRPr="00A073CC">
        <w:rPr>
          <w:sz w:val="18"/>
          <w:szCs w:val="18"/>
        </w:rPr>
        <w:t>‘Explanatory Notes on Essentially Derived Varieties under the 1991 Act of the UPOV Convention’ (document UPOV/EXN/EDV/2) for revision.  As a first step, t</w:t>
      </w:r>
      <w:r w:rsidRPr="00A073CC">
        <w:rPr>
          <w:rFonts w:eastAsiaTheme="minorEastAsia"/>
          <w:spacing w:val="-4"/>
          <w:sz w:val="18"/>
          <w:szCs w:val="18"/>
        </w:rPr>
        <w:t>he Office of the Union would:</w:t>
      </w:r>
    </w:p>
    <w:p w:rsidR="00784037" w:rsidRPr="00A073CC" w:rsidRDefault="00784037" w:rsidP="00784037">
      <w:pPr>
        <w:tabs>
          <w:tab w:val="left" w:pos="567"/>
        </w:tabs>
        <w:ind w:left="360" w:right="567"/>
        <w:rPr>
          <w:rFonts w:eastAsiaTheme="minorEastAsia"/>
          <w:spacing w:val="-4"/>
          <w:sz w:val="18"/>
          <w:szCs w:val="18"/>
        </w:rPr>
      </w:pPr>
    </w:p>
    <w:p w:rsidR="00784037" w:rsidRPr="00A073CC" w:rsidRDefault="00784037" w:rsidP="00784037">
      <w:pPr>
        <w:ind w:left="1134" w:right="567" w:firstLine="567"/>
        <w:rPr>
          <w:rFonts w:eastAsiaTheme="minorEastAsia"/>
          <w:spacing w:val="-4"/>
          <w:sz w:val="18"/>
          <w:szCs w:val="18"/>
        </w:rPr>
      </w:pPr>
      <w:r w:rsidRPr="00A073CC">
        <w:rPr>
          <w:rFonts w:eastAsiaTheme="minorEastAsia"/>
          <w:spacing w:val="-4"/>
          <w:sz w:val="18"/>
          <w:szCs w:val="18"/>
        </w:rPr>
        <w:t>“(a)</w:t>
      </w:r>
      <w:r w:rsidRPr="00A073CC">
        <w:rPr>
          <w:rFonts w:eastAsiaTheme="minorEastAsia"/>
          <w:spacing w:val="-4"/>
          <w:sz w:val="18"/>
          <w:szCs w:val="18"/>
        </w:rPr>
        <w:tab/>
        <w:t>invite members and observers to make contributions by correspondence on policy issues;</w:t>
      </w:r>
    </w:p>
    <w:p w:rsidR="00784037" w:rsidRPr="00A073CC" w:rsidRDefault="00784037" w:rsidP="00784037">
      <w:pPr>
        <w:ind w:left="1134" w:right="567" w:firstLine="567"/>
        <w:rPr>
          <w:rFonts w:eastAsiaTheme="minorEastAsia"/>
          <w:spacing w:val="-4"/>
          <w:sz w:val="18"/>
          <w:szCs w:val="18"/>
        </w:rPr>
      </w:pPr>
    </w:p>
    <w:p w:rsidR="00784037" w:rsidRPr="00A073CC" w:rsidRDefault="00784037" w:rsidP="00784037">
      <w:pPr>
        <w:ind w:left="1134" w:right="567" w:firstLine="567"/>
        <w:rPr>
          <w:rFonts w:eastAsiaTheme="minorEastAsia"/>
          <w:spacing w:val="-4"/>
          <w:sz w:val="18"/>
          <w:szCs w:val="18"/>
        </w:rPr>
      </w:pPr>
      <w:r w:rsidRPr="00A073CC">
        <w:rPr>
          <w:rFonts w:eastAsiaTheme="minorEastAsia"/>
          <w:spacing w:val="-4"/>
          <w:sz w:val="18"/>
          <w:szCs w:val="18"/>
        </w:rPr>
        <w:t>“(b)</w:t>
      </w:r>
      <w:r w:rsidRPr="00A073CC">
        <w:rPr>
          <w:rFonts w:eastAsiaTheme="minorEastAsia"/>
          <w:spacing w:val="-4"/>
          <w:sz w:val="18"/>
          <w:szCs w:val="18"/>
        </w:rPr>
        <w:tab/>
        <w:t xml:space="preserve">invite breeders to provide information on customs and practices on EDV;  and </w:t>
      </w:r>
    </w:p>
    <w:p w:rsidR="00784037" w:rsidRPr="00A073CC" w:rsidRDefault="00784037" w:rsidP="00784037">
      <w:pPr>
        <w:ind w:left="1134" w:right="567" w:firstLine="567"/>
        <w:rPr>
          <w:rFonts w:eastAsiaTheme="minorEastAsia"/>
          <w:spacing w:val="-4"/>
          <w:sz w:val="18"/>
          <w:szCs w:val="18"/>
        </w:rPr>
      </w:pPr>
    </w:p>
    <w:p w:rsidR="00784037" w:rsidRPr="00A073CC" w:rsidRDefault="00784037" w:rsidP="00784037">
      <w:pPr>
        <w:ind w:left="1134" w:right="567" w:firstLine="567"/>
        <w:rPr>
          <w:rFonts w:eastAsiaTheme="minorEastAsia"/>
          <w:spacing w:val="-4"/>
          <w:sz w:val="18"/>
          <w:szCs w:val="18"/>
        </w:rPr>
      </w:pPr>
      <w:r w:rsidRPr="00A073CC">
        <w:rPr>
          <w:rFonts w:eastAsiaTheme="minorEastAsia"/>
          <w:spacing w:val="-4"/>
          <w:sz w:val="18"/>
          <w:szCs w:val="18"/>
        </w:rPr>
        <w:t>“(c)</w:t>
      </w:r>
      <w:r w:rsidRPr="00A073CC">
        <w:rPr>
          <w:rFonts w:eastAsiaTheme="minorEastAsia"/>
          <w:spacing w:val="-4"/>
          <w:sz w:val="18"/>
          <w:szCs w:val="18"/>
        </w:rPr>
        <w:tab/>
        <w:t xml:space="preserve">based on the replies to (a) and (b), prepare a preliminary analysis on the EDVs issues and practices and draft terms of references for a working group on EDV, </w:t>
      </w:r>
      <w:r w:rsidRPr="00A073CC">
        <w:rPr>
          <w:sz w:val="18"/>
          <w:szCs w:val="18"/>
        </w:rPr>
        <w:t>for comments by the CAJ by correspondence.</w:t>
      </w:r>
    </w:p>
    <w:p w:rsidR="00784037" w:rsidRPr="00A073CC" w:rsidRDefault="00784037" w:rsidP="00784037">
      <w:pPr>
        <w:tabs>
          <w:tab w:val="left" w:pos="567"/>
        </w:tabs>
        <w:ind w:left="567" w:right="567"/>
        <w:rPr>
          <w:sz w:val="18"/>
          <w:szCs w:val="18"/>
        </w:rPr>
      </w:pPr>
    </w:p>
    <w:p w:rsidR="00784037" w:rsidRPr="00A073CC" w:rsidRDefault="00784037" w:rsidP="00784037">
      <w:pPr>
        <w:tabs>
          <w:tab w:val="left" w:pos="567"/>
        </w:tabs>
        <w:ind w:left="567" w:right="567"/>
        <w:rPr>
          <w:rFonts w:cs="Angsana New"/>
          <w:sz w:val="18"/>
          <w:szCs w:val="18"/>
          <w:lang w:eastAsia="ja-JP" w:bidi="th-TH"/>
        </w:rPr>
      </w:pPr>
      <w:r w:rsidRPr="00A073CC">
        <w:rPr>
          <w:spacing w:val="-4"/>
          <w:sz w:val="18"/>
          <w:szCs w:val="18"/>
        </w:rPr>
        <w:t>“13.</w:t>
      </w:r>
      <w:r w:rsidRPr="00A073CC">
        <w:rPr>
          <w:spacing w:val="-4"/>
          <w:sz w:val="18"/>
          <w:szCs w:val="18"/>
        </w:rPr>
        <w:tab/>
      </w:r>
      <w:r w:rsidRPr="00A073CC">
        <w:rPr>
          <w:rFonts w:eastAsiaTheme="minorEastAsia"/>
          <w:spacing w:val="-4"/>
          <w:sz w:val="18"/>
          <w:szCs w:val="18"/>
        </w:rPr>
        <w:t>On the basis above</w:t>
      </w:r>
      <w:r w:rsidRPr="00A073CC">
        <w:rPr>
          <w:sz w:val="18"/>
          <w:szCs w:val="18"/>
        </w:rPr>
        <w:t>, the Office of the Union would prepare a document for the consideration at the seventy</w:t>
      </w:r>
      <w:r w:rsidRPr="00A073CC">
        <w:rPr>
          <w:sz w:val="18"/>
          <w:szCs w:val="18"/>
        </w:rPr>
        <w:noBreakHyphen/>
        <w:t xml:space="preserve">seventh session of the CAJ, </w:t>
      </w:r>
      <w:r>
        <w:rPr>
          <w:sz w:val="18"/>
          <w:szCs w:val="18"/>
        </w:rPr>
        <w:t>to be held on October 28, 2020.</w:t>
      </w:r>
    </w:p>
    <w:p w:rsidR="00784037" w:rsidRPr="00A073CC" w:rsidRDefault="00784037" w:rsidP="00784037">
      <w:pPr>
        <w:tabs>
          <w:tab w:val="left" w:pos="284"/>
          <w:tab w:val="left" w:pos="567"/>
          <w:tab w:val="left" w:pos="851"/>
        </w:tabs>
        <w:autoSpaceDE w:val="0"/>
        <w:autoSpaceDN w:val="0"/>
        <w:adjustRightInd w:val="0"/>
        <w:ind w:right="567"/>
        <w:rPr>
          <w:rFonts w:cs="Angsana New"/>
          <w:sz w:val="18"/>
          <w:szCs w:val="18"/>
          <w:lang w:eastAsia="ja-JP" w:bidi="th-TH"/>
        </w:rPr>
      </w:pPr>
    </w:p>
    <w:p w:rsidR="00784037" w:rsidRDefault="00784037" w:rsidP="00241C58">
      <w:pPr>
        <w:keepLines/>
        <w:ind w:left="567" w:right="567"/>
      </w:pPr>
      <w:r w:rsidRPr="00843FED">
        <w:rPr>
          <w:spacing w:val="-2"/>
          <w:sz w:val="18"/>
        </w:rPr>
        <w:t>“14</w:t>
      </w:r>
      <w:r w:rsidRPr="00843FED">
        <w:rPr>
          <w:spacing w:val="-2"/>
          <w:sz w:val="18"/>
        </w:rPr>
        <w:tab/>
        <w:t xml:space="preserve">The </w:t>
      </w:r>
      <w:r w:rsidRPr="00843FED">
        <w:rPr>
          <w:snapToGrid w:val="0"/>
          <w:spacing w:val="-2"/>
          <w:sz w:val="18"/>
        </w:rPr>
        <w:t>CAJ n</w:t>
      </w:r>
      <w:r w:rsidRPr="00843FED">
        <w:rPr>
          <w:spacing w:val="-2"/>
          <w:sz w:val="18"/>
        </w:rPr>
        <w:t xml:space="preserve">oted that there had been no developments concerning a possible meeting of the Office of the Union with the International Community of Breeders of Asexually Reproduced </w:t>
      </w:r>
      <w:r w:rsidRPr="00241C58">
        <w:rPr>
          <w:spacing w:val="-2"/>
          <w:sz w:val="18"/>
        </w:rPr>
        <w:t>Ornamental and Fruit Varieties</w:t>
      </w:r>
      <w:r w:rsidRPr="00217A17">
        <w:rPr>
          <w:spacing w:val="-2"/>
          <w:sz w:val="18"/>
        </w:rPr>
        <w:t xml:space="preserve"> </w:t>
      </w:r>
      <w:r w:rsidRPr="00843FED">
        <w:rPr>
          <w:spacing w:val="-2"/>
          <w:sz w:val="18"/>
        </w:rPr>
        <w:t>(CIOPORA), the International Seed Federation (ISF) and the World Intellectual Property Organization (WIPO) in order to explore the possible role of UPOV in alternative dispute settlement mechanisms for matters concerning EDVs, including the provision of experts on EDV matters, and noted that the Office of the Union would not pursue this matter further unless there is a change of circumstances.”</w:t>
      </w:r>
      <w:r>
        <w:rPr>
          <w:spacing w:val="-2"/>
          <w:sz w:val="18"/>
        </w:rPr>
        <w:t xml:space="preserve">  </w:t>
      </w:r>
    </w:p>
    <w:p w:rsidR="00784037" w:rsidRDefault="00784037" w:rsidP="00784037"/>
    <w:p w:rsidR="003F7B9A" w:rsidRDefault="003F7B9A" w:rsidP="00CF257C">
      <w:pPr>
        <w:pStyle w:val="Heading1"/>
      </w:pPr>
    </w:p>
    <w:p w:rsidR="00EE3296" w:rsidRPr="00EE3296" w:rsidRDefault="00EE3296" w:rsidP="00EE3296"/>
    <w:p w:rsidR="00784037" w:rsidRDefault="00784037" w:rsidP="00CF257C">
      <w:pPr>
        <w:pStyle w:val="Heading1"/>
      </w:pPr>
      <w:bookmarkStart w:id="8" w:name="_Toc48316702"/>
      <w:r>
        <w:t xml:space="preserve">PROCEDURE FOR THE REVISION OF </w:t>
      </w:r>
      <w:r w:rsidRPr="00D84B91">
        <w:t xml:space="preserve">THE GUIDANCE ON </w:t>
      </w:r>
      <w:r>
        <w:t>essentially derived varieties</w:t>
      </w:r>
      <w:r w:rsidRPr="00D84B91">
        <w:t xml:space="preserve"> PROVIDED IN </w:t>
      </w:r>
      <w:r>
        <w:t>DOCUMENT </w:t>
      </w:r>
      <w:r w:rsidRPr="00D84B91">
        <w:t>UPOV/EXN/EDV/2 “EXPLANATORY NOTES ON ESSENTIALLY D</w:t>
      </w:r>
      <w:r>
        <w:t>ERIVED VARIETIES UNDER THE 1991 ACT OF THE UPOV </w:t>
      </w:r>
      <w:r w:rsidRPr="00D84B91">
        <w:t>CONVENTION”</w:t>
      </w:r>
      <w:bookmarkEnd w:id="8"/>
    </w:p>
    <w:p w:rsidR="00784037" w:rsidRDefault="00784037" w:rsidP="00784037">
      <w:pPr>
        <w:rPr>
          <w:rFonts w:cs="Arial"/>
        </w:rPr>
      </w:pPr>
    </w:p>
    <w:p w:rsidR="00784037" w:rsidRDefault="00784037" w:rsidP="00784037">
      <w:pPr>
        <w:pStyle w:val="Heading2"/>
      </w:pPr>
      <w:bookmarkStart w:id="9" w:name="_Toc48316703"/>
      <w:r w:rsidRPr="0086567B">
        <w:rPr>
          <w:rFonts w:cs="Arial"/>
        </w:rPr>
        <w:t xml:space="preserve">Developments since the </w:t>
      </w:r>
      <w:r w:rsidRPr="0086567B">
        <w:t>seventy-sixth session of the CAJ</w:t>
      </w:r>
      <w:bookmarkEnd w:id="9"/>
    </w:p>
    <w:p w:rsidR="00784037" w:rsidRDefault="00784037" w:rsidP="00784037">
      <w:pPr>
        <w:rPr>
          <w:rFonts w:cs="Arial"/>
          <w:highlight w:val="cyan"/>
        </w:rPr>
      </w:pPr>
    </w:p>
    <w:p w:rsidR="00784037" w:rsidRPr="00B109F9" w:rsidRDefault="00241C58" w:rsidP="00241C58">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t>In accordance with the procedure for the revision of</w:t>
      </w:r>
      <w:r w:rsidRPr="00241C58">
        <w:t xml:space="preserve"> </w:t>
      </w:r>
      <w:r>
        <w:t xml:space="preserve">document </w:t>
      </w:r>
      <w:r w:rsidRPr="00241C58">
        <w:rPr>
          <w:rFonts w:cs="Arial"/>
        </w:rPr>
        <w:t>UPOV/EXN/EDV/2</w:t>
      </w:r>
      <w:r w:rsidR="00EE3296">
        <w:rPr>
          <w:rFonts w:cs="Arial"/>
        </w:rPr>
        <w:t xml:space="preserve"> agreed by CAJ (see </w:t>
      </w:r>
      <w:r>
        <w:rPr>
          <w:rFonts w:cs="Arial"/>
        </w:rPr>
        <w:t>“Background”, above), please find below the d</w:t>
      </w:r>
      <w:r w:rsidRPr="00241C58">
        <w:rPr>
          <w:rFonts w:cs="Arial"/>
        </w:rPr>
        <w:t>evelopments since the seventy-sixth session of the CAJ</w:t>
      </w:r>
      <w:r>
        <w:rPr>
          <w:rFonts w:cs="Arial"/>
        </w:rPr>
        <w:t>.</w:t>
      </w:r>
    </w:p>
    <w:p w:rsidR="00784037" w:rsidRDefault="00784037" w:rsidP="00784037">
      <w:pPr>
        <w:ind w:firstLine="567"/>
        <w:rPr>
          <w:rFonts w:cs="Arial"/>
        </w:rPr>
      </w:pPr>
    </w:p>
    <w:p w:rsidR="00784037" w:rsidRPr="00241C58" w:rsidRDefault="00784037" w:rsidP="00241C58"/>
    <w:p w:rsidR="00784037" w:rsidRPr="00FD6F11" w:rsidRDefault="00784037" w:rsidP="00EE3296">
      <w:pPr>
        <w:pStyle w:val="Heading2"/>
      </w:pPr>
      <w:bookmarkStart w:id="10" w:name="_Toc14799782"/>
      <w:bookmarkStart w:id="11" w:name="_Toc48316704"/>
      <w:r w:rsidRPr="00FD6F11">
        <w:lastRenderedPageBreak/>
        <w:t>UPOV Circular</w:t>
      </w:r>
      <w:r w:rsidR="00241C58">
        <w:t>s</w:t>
      </w:r>
      <w:r w:rsidRPr="00FD6F11">
        <w:t xml:space="preserve"> </w:t>
      </w:r>
      <w:r w:rsidR="00241C58">
        <w:t>E-19/232 and E-</w:t>
      </w:r>
      <w:r w:rsidRPr="00FD6F11">
        <w:t>19/233 of December 23, 2019</w:t>
      </w:r>
      <w:bookmarkEnd w:id="10"/>
      <w:bookmarkEnd w:id="11"/>
    </w:p>
    <w:p w:rsidR="00784037" w:rsidRDefault="00784037" w:rsidP="00EE3296">
      <w:pPr>
        <w:keepNext/>
        <w:autoSpaceDE w:val="0"/>
        <w:autoSpaceDN w:val="0"/>
        <w:adjustRightInd w:val="0"/>
        <w:jc w:val="left"/>
        <w:rPr>
          <w:rFonts w:cs="Arial"/>
        </w:rPr>
      </w:pPr>
    </w:p>
    <w:p w:rsidR="00784037" w:rsidRPr="0043742D" w:rsidRDefault="009F7591" w:rsidP="00EE3296">
      <w:pPr>
        <w:keepLines/>
        <w:rPr>
          <w:rFonts w:eastAsiaTheme="minorEastAsia" w:cs="Arial"/>
          <w:spacing w:val="-4"/>
        </w:rPr>
      </w:pPr>
      <w:r w:rsidRPr="00DB51B4">
        <w:rPr>
          <w:rFonts w:cs="Arial"/>
          <w:spacing w:val="-2"/>
        </w:rPr>
        <w:fldChar w:fldCharType="begin"/>
      </w:r>
      <w:r w:rsidRPr="00DB51B4">
        <w:rPr>
          <w:rFonts w:cs="Arial"/>
          <w:spacing w:val="-2"/>
        </w:rPr>
        <w:instrText xml:space="preserve"> AUTONUM  </w:instrText>
      </w:r>
      <w:r w:rsidRPr="00DB51B4">
        <w:rPr>
          <w:rFonts w:cs="Arial"/>
          <w:spacing w:val="-2"/>
        </w:rPr>
        <w:fldChar w:fldCharType="end"/>
      </w:r>
      <w:r w:rsidRPr="00DB51B4">
        <w:rPr>
          <w:rFonts w:cs="Arial"/>
          <w:spacing w:val="-2"/>
        </w:rPr>
        <w:tab/>
      </w:r>
      <w:r w:rsidR="00784037">
        <w:rPr>
          <w:rFonts w:cs="Arial"/>
        </w:rPr>
        <w:t>T</w:t>
      </w:r>
      <w:r w:rsidR="00784037" w:rsidRPr="000247EB">
        <w:rPr>
          <w:rFonts w:cs="Arial"/>
        </w:rPr>
        <w:t xml:space="preserve">he Office of the Union sent </w:t>
      </w:r>
      <w:r w:rsidR="00784037">
        <w:rPr>
          <w:rFonts w:cs="Arial"/>
        </w:rPr>
        <w:t xml:space="preserve">Circulars </w:t>
      </w:r>
      <w:r w:rsidR="00784037">
        <w:t>E</w:t>
      </w:r>
      <w:r w:rsidR="00784037">
        <w:noBreakHyphen/>
        <w:t>19/232 and E</w:t>
      </w:r>
      <w:r w:rsidR="00784037">
        <w:noBreakHyphen/>
        <w:t>19/233 of December 23, 2019</w:t>
      </w:r>
      <w:r w:rsidR="00784037" w:rsidRPr="000247EB">
        <w:rPr>
          <w:rFonts w:cs="Arial"/>
        </w:rPr>
        <w:t xml:space="preserve">, inviting </w:t>
      </w:r>
      <w:r w:rsidR="00784037" w:rsidRPr="000247EB">
        <w:rPr>
          <w:rFonts w:eastAsiaTheme="minorEastAsia" w:cs="Arial"/>
          <w:spacing w:val="-4"/>
        </w:rPr>
        <w:t xml:space="preserve">members and observers to make contributions by correspondence on policy issues and inviting breeders to provide information on </w:t>
      </w:r>
      <w:r w:rsidR="00241C58">
        <w:rPr>
          <w:rFonts w:eastAsiaTheme="minorEastAsia" w:cs="Arial"/>
          <w:spacing w:val="-4"/>
        </w:rPr>
        <w:t xml:space="preserve">policy issues and </w:t>
      </w:r>
      <w:r w:rsidR="00784037" w:rsidRPr="000247EB">
        <w:rPr>
          <w:rFonts w:eastAsiaTheme="minorEastAsia" w:cs="Arial"/>
          <w:spacing w:val="-4"/>
        </w:rPr>
        <w:t xml:space="preserve">customs and practices on EDV. </w:t>
      </w:r>
      <w:r w:rsidR="00784037">
        <w:rPr>
          <w:rFonts w:eastAsiaTheme="minorEastAsia" w:cs="Arial"/>
          <w:spacing w:val="-4"/>
        </w:rPr>
        <w:t xml:space="preserve"> The following members and observers sent contributions:</w:t>
      </w:r>
      <w:r w:rsidR="003E3B7B">
        <w:rPr>
          <w:rFonts w:eastAsiaTheme="minorEastAsia" w:cs="Arial"/>
          <w:spacing w:val="-4"/>
        </w:rPr>
        <w:t xml:space="preserve"> </w:t>
      </w:r>
      <w:r w:rsidR="00784037">
        <w:rPr>
          <w:rFonts w:eastAsiaTheme="minorEastAsia" w:cs="Arial"/>
          <w:spacing w:val="-4"/>
        </w:rPr>
        <w:t xml:space="preserve"> European Union, Germany, Japan, Russian Federation, South Africa, Sweden, </w:t>
      </w:r>
      <w:r w:rsidR="00784037" w:rsidRPr="00614DED">
        <w:rPr>
          <w:rFonts w:eastAsiaTheme="minorEastAsia" w:cs="Arial"/>
          <w:spacing w:val="-4"/>
        </w:rPr>
        <w:t>African Seed Trade Association (AF</w:t>
      </w:r>
      <w:r w:rsidR="00784037">
        <w:rPr>
          <w:rFonts w:eastAsiaTheme="minorEastAsia" w:cs="Arial"/>
          <w:spacing w:val="-4"/>
        </w:rPr>
        <w:t xml:space="preserve">STA), </w:t>
      </w:r>
      <w:r w:rsidR="00784037" w:rsidRPr="00614DED">
        <w:rPr>
          <w:rFonts w:eastAsiaTheme="minorEastAsia" w:cs="Arial"/>
          <w:spacing w:val="-4"/>
        </w:rPr>
        <w:t xml:space="preserve">Asia and Pacific Seed </w:t>
      </w:r>
      <w:r w:rsidR="00784037">
        <w:rPr>
          <w:rFonts w:eastAsiaTheme="minorEastAsia" w:cs="Arial"/>
          <w:spacing w:val="-4"/>
        </w:rPr>
        <w:t>Association</w:t>
      </w:r>
      <w:r w:rsidR="00784037" w:rsidRPr="00614DED">
        <w:rPr>
          <w:rFonts w:eastAsiaTheme="minorEastAsia" w:cs="Arial"/>
          <w:spacing w:val="-4"/>
        </w:rPr>
        <w:t xml:space="preserve"> (</w:t>
      </w:r>
      <w:proofErr w:type="spellStart"/>
      <w:r w:rsidR="00784037" w:rsidRPr="00614DED">
        <w:rPr>
          <w:rFonts w:eastAsiaTheme="minorEastAsia" w:cs="Arial"/>
          <w:spacing w:val="-4"/>
        </w:rPr>
        <w:t>APSA</w:t>
      </w:r>
      <w:proofErr w:type="spellEnd"/>
      <w:r w:rsidR="00784037" w:rsidRPr="00614DED">
        <w:rPr>
          <w:rFonts w:eastAsiaTheme="minorEastAsia" w:cs="Arial"/>
          <w:spacing w:val="-4"/>
        </w:rPr>
        <w:t>),</w:t>
      </w:r>
      <w:r w:rsidR="00784037">
        <w:rPr>
          <w:rFonts w:eastAsiaTheme="minorEastAsia" w:cs="Arial"/>
          <w:spacing w:val="-4"/>
        </w:rPr>
        <w:t xml:space="preserve"> </w:t>
      </w:r>
      <w:proofErr w:type="spellStart"/>
      <w:r w:rsidR="003F1D03">
        <w:rPr>
          <w:rFonts w:eastAsiaTheme="minorEastAsia" w:cs="Arial"/>
          <w:spacing w:val="-4"/>
        </w:rPr>
        <w:t>Crop</w:t>
      </w:r>
      <w:r w:rsidR="003E3B7B">
        <w:rPr>
          <w:rFonts w:eastAsiaTheme="minorEastAsia" w:cs="Arial"/>
          <w:spacing w:val="-4"/>
        </w:rPr>
        <w:t>Life</w:t>
      </w:r>
      <w:proofErr w:type="spellEnd"/>
      <w:r w:rsidR="003E3B7B">
        <w:rPr>
          <w:rFonts w:eastAsiaTheme="minorEastAsia" w:cs="Arial"/>
          <w:spacing w:val="-4"/>
        </w:rPr>
        <w:t xml:space="preserve"> International</w:t>
      </w:r>
      <w:r w:rsidR="00784037" w:rsidRPr="00614DED">
        <w:rPr>
          <w:rFonts w:eastAsiaTheme="minorEastAsia" w:cs="Arial"/>
          <w:spacing w:val="-4"/>
        </w:rPr>
        <w:t xml:space="preserve">, </w:t>
      </w:r>
      <w:proofErr w:type="spellStart"/>
      <w:r w:rsidR="00784037" w:rsidRPr="00614DED">
        <w:rPr>
          <w:rFonts w:eastAsiaTheme="minorEastAsia" w:cs="Arial"/>
          <w:spacing w:val="-4"/>
        </w:rPr>
        <w:t>Euroseeds</w:t>
      </w:r>
      <w:proofErr w:type="spellEnd"/>
      <w:r w:rsidR="00784037" w:rsidRPr="00614DED">
        <w:rPr>
          <w:rFonts w:eastAsiaTheme="minorEastAsia" w:cs="Arial"/>
          <w:spacing w:val="-4"/>
        </w:rPr>
        <w:t xml:space="preserve">, </w:t>
      </w:r>
      <w:r w:rsidR="003E3B7B">
        <w:rPr>
          <w:rFonts w:eastAsiaTheme="minorEastAsia" w:cs="Arial"/>
          <w:spacing w:val="-4"/>
        </w:rPr>
        <w:br/>
      </w:r>
      <w:r w:rsidR="00784037" w:rsidRPr="00614DED">
        <w:rPr>
          <w:rFonts w:eastAsiaTheme="minorEastAsia" w:cs="Arial"/>
          <w:spacing w:val="-4"/>
        </w:rPr>
        <w:t>International Association of Horticultural Producers (AIPH)</w:t>
      </w:r>
      <w:r w:rsidR="00784037">
        <w:rPr>
          <w:rFonts w:eastAsiaTheme="minorEastAsia" w:cs="Arial"/>
          <w:spacing w:val="-4"/>
        </w:rPr>
        <w:t xml:space="preserve">, </w:t>
      </w:r>
      <w:r w:rsidR="00784037" w:rsidRPr="00614DED">
        <w:rPr>
          <w:rFonts w:eastAsiaTheme="minorEastAsia" w:cs="Arial"/>
          <w:spacing w:val="-4"/>
        </w:rPr>
        <w:t>International Community of Breeders of Asexually Reproduced Horticultural Plants (CIOPORA), Internati</w:t>
      </w:r>
      <w:r w:rsidR="00784037">
        <w:rPr>
          <w:rFonts w:eastAsiaTheme="minorEastAsia" w:cs="Arial"/>
          <w:spacing w:val="-4"/>
        </w:rPr>
        <w:t xml:space="preserve">onal Seed Federation (ISF), and </w:t>
      </w:r>
      <w:r w:rsidR="00784037" w:rsidRPr="00614DED">
        <w:rPr>
          <w:rFonts w:eastAsiaTheme="minorEastAsia" w:cs="Arial"/>
          <w:spacing w:val="-4"/>
        </w:rPr>
        <w:t>Seed As</w:t>
      </w:r>
      <w:r w:rsidR="00784037">
        <w:rPr>
          <w:rFonts w:eastAsiaTheme="minorEastAsia" w:cs="Arial"/>
          <w:spacing w:val="-4"/>
        </w:rPr>
        <w:t>sociation of the Americas (SAA).  T</w:t>
      </w:r>
      <w:r w:rsidR="00784037" w:rsidRPr="002B7989">
        <w:rPr>
          <w:rFonts w:eastAsiaTheme="minorEastAsia" w:cs="Arial"/>
          <w:spacing w:val="-4"/>
        </w:rPr>
        <w:t xml:space="preserve">he contributions by members </w:t>
      </w:r>
      <w:r w:rsidR="00784037">
        <w:rPr>
          <w:rFonts w:eastAsiaTheme="minorEastAsia" w:cs="Arial"/>
          <w:spacing w:val="-4"/>
        </w:rPr>
        <w:t xml:space="preserve">of the Union </w:t>
      </w:r>
      <w:r w:rsidR="00784037" w:rsidRPr="002B7989">
        <w:rPr>
          <w:rFonts w:eastAsiaTheme="minorEastAsia" w:cs="Arial"/>
          <w:spacing w:val="-4"/>
        </w:rPr>
        <w:t xml:space="preserve">and observers in reply to Circulars </w:t>
      </w:r>
      <w:r w:rsidR="00784037">
        <w:t>E</w:t>
      </w:r>
      <w:r w:rsidR="00784037">
        <w:noBreakHyphen/>
        <w:t>19/232 and E</w:t>
      </w:r>
      <w:r w:rsidR="00784037">
        <w:noBreakHyphen/>
        <w:t>19/233</w:t>
      </w:r>
      <w:r w:rsidR="00784037" w:rsidRPr="002B7989">
        <w:rPr>
          <w:rFonts w:eastAsiaTheme="minorEastAsia" w:cs="Arial"/>
          <w:spacing w:val="-4"/>
        </w:rPr>
        <w:t xml:space="preserve"> are available at </w:t>
      </w:r>
      <w:hyperlink r:id="rId9" w:history="1">
        <w:r w:rsidR="00784037" w:rsidRPr="0043742D">
          <w:rPr>
            <w:rStyle w:val="Hyperlink"/>
            <w:rFonts w:cs="Arial"/>
          </w:rPr>
          <w:t>https://www.upov.int/meetings/en/pages/caj77/contributions.html</w:t>
        </w:r>
      </w:hyperlink>
      <w:r w:rsidR="00784037" w:rsidRPr="0043742D">
        <w:rPr>
          <w:rFonts w:cs="Arial"/>
        </w:rPr>
        <w:t>.</w:t>
      </w:r>
    </w:p>
    <w:p w:rsidR="00784037" w:rsidRDefault="00784037" w:rsidP="00784037">
      <w:pPr>
        <w:autoSpaceDE w:val="0"/>
        <w:autoSpaceDN w:val="0"/>
        <w:adjustRightInd w:val="0"/>
        <w:rPr>
          <w:rFonts w:cs="Arial"/>
        </w:rPr>
      </w:pPr>
    </w:p>
    <w:p w:rsidR="00784037" w:rsidRDefault="00784037">
      <w:pPr>
        <w:jc w:val="left"/>
      </w:pPr>
    </w:p>
    <w:p w:rsidR="00784037" w:rsidRPr="00FD6F11" w:rsidRDefault="00784037" w:rsidP="00784037">
      <w:pPr>
        <w:pStyle w:val="Heading2"/>
      </w:pPr>
      <w:bookmarkStart w:id="12" w:name="_Toc48316705"/>
      <w:r w:rsidRPr="00FD6F11">
        <w:t xml:space="preserve">UPOV Circular </w:t>
      </w:r>
      <w:r>
        <w:t xml:space="preserve">E-20/093 </w:t>
      </w:r>
      <w:r w:rsidRPr="00FD6F11">
        <w:t xml:space="preserve">of </w:t>
      </w:r>
      <w:r>
        <w:t>July 9</w:t>
      </w:r>
      <w:r w:rsidRPr="00FD6F11">
        <w:t>, 20</w:t>
      </w:r>
      <w:r>
        <w:t>20</w:t>
      </w:r>
      <w:bookmarkEnd w:id="12"/>
    </w:p>
    <w:p w:rsidR="00784037" w:rsidRDefault="00784037" w:rsidP="00784037"/>
    <w:p w:rsidR="00784037" w:rsidRDefault="009F7591" w:rsidP="00784037">
      <w:r w:rsidRPr="00DB51B4">
        <w:rPr>
          <w:rFonts w:cs="Arial"/>
          <w:spacing w:val="-2"/>
        </w:rPr>
        <w:fldChar w:fldCharType="begin"/>
      </w:r>
      <w:r w:rsidRPr="00DB51B4">
        <w:rPr>
          <w:rFonts w:cs="Arial"/>
          <w:spacing w:val="-2"/>
        </w:rPr>
        <w:instrText xml:space="preserve"> AUTONUM  </w:instrText>
      </w:r>
      <w:r w:rsidRPr="00DB51B4">
        <w:rPr>
          <w:rFonts w:cs="Arial"/>
          <w:spacing w:val="-2"/>
        </w:rPr>
        <w:fldChar w:fldCharType="end"/>
      </w:r>
      <w:r w:rsidRPr="00DB51B4">
        <w:rPr>
          <w:rFonts w:cs="Arial"/>
          <w:spacing w:val="-2"/>
        </w:rPr>
        <w:tab/>
      </w:r>
      <w:r w:rsidR="00241C58">
        <w:rPr>
          <w:rFonts w:cs="Arial"/>
        </w:rPr>
        <w:t xml:space="preserve">On the basis of the replies to </w:t>
      </w:r>
      <w:r w:rsidR="00EC6EF1" w:rsidRPr="00EC6EF1">
        <w:rPr>
          <w:rFonts w:cs="Arial"/>
        </w:rPr>
        <w:t>Circulars E-19/232 and E-19/233</w:t>
      </w:r>
      <w:r w:rsidR="00EC6EF1">
        <w:rPr>
          <w:rFonts w:cs="Arial"/>
        </w:rPr>
        <w:t xml:space="preserve">, the </w:t>
      </w:r>
      <w:r w:rsidR="00784037" w:rsidRPr="000247EB">
        <w:rPr>
          <w:rFonts w:cs="Arial"/>
        </w:rPr>
        <w:t xml:space="preserve">Office of the Union sent </w:t>
      </w:r>
      <w:r w:rsidR="00EC6EF1">
        <w:t>Circular </w:t>
      </w:r>
      <w:r w:rsidR="00784037">
        <w:t>E-</w:t>
      </w:r>
      <w:r w:rsidR="00EC6EF1">
        <w:t> </w:t>
      </w:r>
      <w:r w:rsidR="00784037">
        <w:t>20/093 of July 9, 2020, inviting</w:t>
      </w:r>
      <w:r w:rsidR="00C374E0">
        <w:t xml:space="preserve"> the CAJ</w:t>
      </w:r>
      <w:r w:rsidR="00784037">
        <w:t xml:space="preserve"> to: </w:t>
      </w:r>
    </w:p>
    <w:p w:rsidR="00784037" w:rsidRPr="0080175F" w:rsidRDefault="00784037" w:rsidP="00784037">
      <w:pPr>
        <w:rPr>
          <w:rFonts w:cs="Arial"/>
        </w:rPr>
      </w:pPr>
    </w:p>
    <w:p w:rsidR="00784037" w:rsidRDefault="00784037" w:rsidP="00784037">
      <w:pPr>
        <w:pStyle w:val="ListParagraph"/>
        <w:numPr>
          <w:ilvl w:val="0"/>
          <w:numId w:val="1"/>
        </w:numPr>
        <w:autoSpaceDE w:val="0"/>
        <w:autoSpaceDN w:val="0"/>
        <w:adjustRightInd w:val="0"/>
        <w:rPr>
          <w:rFonts w:cs="Arial"/>
        </w:rPr>
      </w:pPr>
      <w:r w:rsidRPr="002B7989">
        <w:rPr>
          <w:rFonts w:cs="Arial"/>
        </w:rPr>
        <w:t>comment on the draft terms of reference for a working group on EDV (WG-EDV) presented in Annex II of Circular</w:t>
      </w:r>
      <w:r w:rsidR="00EC6EF1">
        <w:rPr>
          <w:rFonts w:cs="Arial"/>
        </w:rPr>
        <w:t xml:space="preserve"> </w:t>
      </w:r>
      <w:r w:rsidR="00EC6EF1">
        <w:t>E-20/093</w:t>
      </w:r>
      <w:r w:rsidRPr="002B7989">
        <w:rPr>
          <w:rFonts w:cs="Arial"/>
        </w:rPr>
        <w:t>;</w:t>
      </w:r>
    </w:p>
    <w:p w:rsidR="00784037" w:rsidRDefault="00784037" w:rsidP="00784037">
      <w:pPr>
        <w:pStyle w:val="ListParagraph"/>
        <w:autoSpaceDE w:val="0"/>
        <w:autoSpaceDN w:val="0"/>
        <w:adjustRightInd w:val="0"/>
        <w:ind w:left="1143"/>
        <w:rPr>
          <w:rFonts w:cs="Arial"/>
        </w:rPr>
      </w:pPr>
    </w:p>
    <w:p w:rsidR="00784037" w:rsidRPr="00EB5764" w:rsidRDefault="00784037" w:rsidP="00784037">
      <w:pPr>
        <w:pStyle w:val="ListParagraph"/>
        <w:numPr>
          <w:ilvl w:val="0"/>
          <w:numId w:val="1"/>
        </w:numPr>
        <w:rPr>
          <w:rFonts w:cs="Arial"/>
        </w:rPr>
      </w:pPr>
      <w:r w:rsidRPr="002B7989">
        <w:rPr>
          <w:rFonts w:cs="Arial"/>
        </w:rPr>
        <w:t xml:space="preserve">comment on the </w:t>
      </w:r>
      <w:r>
        <w:rPr>
          <w:rFonts w:cs="Arial"/>
        </w:rPr>
        <w:t xml:space="preserve">preliminary analysis of the </w:t>
      </w:r>
      <w:r w:rsidRPr="002B7989">
        <w:rPr>
          <w:rFonts w:cs="Arial"/>
        </w:rPr>
        <w:t xml:space="preserve">EDV issues and practices in Annex III of </w:t>
      </w:r>
      <w:r w:rsidR="00EC6EF1" w:rsidRPr="002B7989">
        <w:rPr>
          <w:rFonts w:cs="Arial"/>
        </w:rPr>
        <w:t>Circular</w:t>
      </w:r>
      <w:r w:rsidR="00EC6EF1">
        <w:rPr>
          <w:rFonts w:cs="Arial"/>
        </w:rPr>
        <w:t xml:space="preserve"> </w:t>
      </w:r>
      <w:r w:rsidR="00EC6EF1">
        <w:t>E- 20/093</w:t>
      </w:r>
      <w:r w:rsidRPr="002B7989">
        <w:rPr>
          <w:rFonts w:cs="Arial"/>
        </w:rPr>
        <w:t xml:space="preserve">, prepared on the basis of the contributions by members of the Union and observers in reply to Circulars </w:t>
      </w:r>
      <w:r w:rsidRPr="002B7989">
        <w:t>E</w:t>
      </w:r>
      <w:r w:rsidRPr="002B7989">
        <w:noBreakHyphen/>
        <w:t>19/232 and E</w:t>
      </w:r>
      <w:r w:rsidRPr="002B7989">
        <w:noBreakHyphen/>
        <w:t>19/233 o</w:t>
      </w:r>
      <w:r w:rsidRPr="002B7989">
        <w:rPr>
          <w:rFonts w:cs="Arial"/>
        </w:rPr>
        <w:t>f December 23, 2019</w:t>
      </w:r>
      <w:r w:rsidRPr="002B7989">
        <w:t>;</w:t>
      </w:r>
    </w:p>
    <w:p w:rsidR="00784037" w:rsidRPr="002B7989" w:rsidRDefault="00784037" w:rsidP="00784037">
      <w:pPr>
        <w:pStyle w:val="ListParagraph"/>
        <w:ind w:left="1143"/>
        <w:rPr>
          <w:rFonts w:cs="Arial"/>
        </w:rPr>
      </w:pPr>
    </w:p>
    <w:p w:rsidR="00784037" w:rsidRDefault="00784037" w:rsidP="00784037">
      <w:pPr>
        <w:pStyle w:val="ListParagraph"/>
        <w:numPr>
          <w:ilvl w:val="0"/>
          <w:numId w:val="1"/>
        </w:numPr>
        <w:autoSpaceDE w:val="0"/>
        <w:autoSpaceDN w:val="0"/>
        <w:adjustRightInd w:val="0"/>
        <w:rPr>
          <w:rFonts w:cs="Arial"/>
        </w:rPr>
      </w:pPr>
      <w:r w:rsidRPr="0080175F">
        <w:rPr>
          <w:rFonts w:cs="Arial"/>
        </w:rPr>
        <w:t xml:space="preserve">invite members of the Union and observers to the CAJ to express their interest to </w:t>
      </w:r>
      <w:r>
        <w:rPr>
          <w:rFonts w:cs="Arial"/>
        </w:rPr>
        <w:t xml:space="preserve">be a member of </w:t>
      </w:r>
      <w:r w:rsidRPr="0080175F">
        <w:rPr>
          <w:rFonts w:cs="Arial"/>
        </w:rPr>
        <w:t>the WG-EDV.</w:t>
      </w:r>
    </w:p>
    <w:p w:rsidR="002B6CAA" w:rsidRPr="002B6CAA" w:rsidRDefault="002B6CAA" w:rsidP="002B6CAA">
      <w:pPr>
        <w:pStyle w:val="ListParagraph"/>
        <w:rPr>
          <w:rFonts w:cs="Arial"/>
        </w:rPr>
      </w:pPr>
    </w:p>
    <w:p w:rsidR="002B6CAA" w:rsidRPr="002B6CAA" w:rsidRDefault="00530A26" w:rsidP="002B6CAA">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2B6CAA">
        <w:rPr>
          <w:rFonts w:cs="Arial"/>
        </w:rPr>
        <w:t xml:space="preserve">The following sections present </w:t>
      </w:r>
      <w:r w:rsidR="002B6CAA" w:rsidRPr="002B6CAA">
        <w:rPr>
          <w:rFonts w:cs="Arial"/>
        </w:rPr>
        <w:t>proposals for consideration by the CAJ</w:t>
      </w:r>
      <w:r w:rsidR="002B6CAA">
        <w:rPr>
          <w:rFonts w:cs="Arial"/>
        </w:rPr>
        <w:t xml:space="preserve">, in accordance with </w:t>
      </w:r>
      <w:r w:rsidR="002B6CAA" w:rsidRPr="002B6CAA">
        <w:rPr>
          <w:rFonts w:cs="Arial"/>
        </w:rPr>
        <w:t>the replies to</w:t>
      </w:r>
      <w:r w:rsidR="002B6CAA">
        <w:rPr>
          <w:rFonts w:cs="Arial"/>
        </w:rPr>
        <w:t xml:space="preserve"> </w:t>
      </w:r>
      <w:r w:rsidR="002B6CAA" w:rsidRPr="00FD6F11">
        <w:t xml:space="preserve">UPOV Circular </w:t>
      </w:r>
      <w:r w:rsidR="002B6CAA">
        <w:t>E-20/093</w:t>
      </w:r>
      <w:r w:rsidR="002B6CAA">
        <w:rPr>
          <w:rFonts w:cs="Arial"/>
        </w:rPr>
        <w:t xml:space="preserve">. </w:t>
      </w:r>
      <w:r w:rsidR="003E3B7B">
        <w:rPr>
          <w:rFonts w:cs="Arial"/>
        </w:rPr>
        <w:t xml:space="preserve"> </w:t>
      </w:r>
      <w:r w:rsidR="002B6CAA" w:rsidRPr="002B6CAA">
        <w:rPr>
          <w:rFonts w:cs="Arial"/>
        </w:rPr>
        <w:t>Those proposals will include the invitation to the CAJ</w:t>
      </w:r>
      <w:r>
        <w:rPr>
          <w:rFonts w:cs="Arial"/>
        </w:rPr>
        <w:t xml:space="preserve"> </w:t>
      </w:r>
      <w:r w:rsidR="002B6CAA">
        <w:rPr>
          <w:rFonts w:cs="Arial"/>
        </w:rPr>
        <w:t>to consider the updated version of the p</w:t>
      </w:r>
      <w:r w:rsidR="002B6CAA" w:rsidRPr="002B6CAA">
        <w:rPr>
          <w:rFonts w:cs="Arial"/>
        </w:rPr>
        <w:t>olicy issues in conjunction with the breeders’ customs and practices</w:t>
      </w:r>
      <w:r w:rsidR="009D1D6A">
        <w:rPr>
          <w:rFonts w:cs="Arial"/>
        </w:rPr>
        <w:t xml:space="preserve">, </w:t>
      </w:r>
      <w:r w:rsidR="002B6CAA" w:rsidRPr="002B6CAA">
        <w:rPr>
          <w:rFonts w:cs="Arial"/>
        </w:rPr>
        <w:t>to approve the terms of reference and the composition of the WG-EDV and a tentative date for the first meeting of the WG-EDV.</w:t>
      </w:r>
    </w:p>
    <w:p w:rsidR="00784037" w:rsidRDefault="00784037" w:rsidP="00784037"/>
    <w:p w:rsidR="009F7591" w:rsidRPr="00FB7515" w:rsidRDefault="00FB7515" w:rsidP="00FB7515">
      <w:pPr>
        <w:pStyle w:val="Heading3"/>
      </w:pPr>
      <w:bookmarkStart w:id="13" w:name="_Toc48316706"/>
      <w:r w:rsidRPr="00FB7515">
        <w:t>P</w:t>
      </w:r>
      <w:r w:rsidR="009F7591" w:rsidRPr="00FB7515">
        <w:t>olicy issues in conjunction with the breeders’ customs and practices</w:t>
      </w:r>
      <w:bookmarkEnd w:id="13"/>
    </w:p>
    <w:p w:rsidR="009E51EB" w:rsidRPr="009D1D6A" w:rsidRDefault="00CB1510" w:rsidP="009F7591">
      <w:pPr>
        <w:rPr>
          <w:rFonts w:cs="Arial"/>
        </w:rPr>
      </w:pPr>
      <w:r>
        <w:rPr>
          <w:rFonts w:cs="Arial"/>
        </w:rPr>
        <w:t xml:space="preserve"> </w:t>
      </w:r>
    </w:p>
    <w:p w:rsidR="00D71C35" w:rsidRDefault="008713BF" w:rsidP="009F7591">
      <w:r w:rsidRPr="00DB51B4">
        <w:rPr>
          <w:rFonts w:cs="Arial"/>
          <w:spacing w:val="-2"/>
        </w:rPr>
        <w:fldChar w:fldCharType="begin"/>
      </w:r>
      <w:r w:rsidRPr="00DB51B4">
        <w:rPr>
          <w:rFonts w:cs="Arial"/>
          <w:spacing w:val="-2"/>
        </w:rPr>
        <w:instrText xml:space="preserve"> AUTONUM  </w:instrText>
      </w:r>
      <w:r w:rsidRPr="00DB51B4">
        <w:rPr>
          <w:rFonts w:cs="Arial"/>
          <w:spacing w:val="-2"/>
        </w:rPr>
        <w:fldChar w:fldCharType="end"/>
      </w:r>
      <w:r w:rsidRPr="00DB51B4">
        <w:rPr>
          <w:rFonts w:cs="Arial"/>
          <w:spacing w:val="-2"/>
        </w:rPr>
        <w:tab/>
      </w:r>
      <w:r w:rsidR="008B3D4F">
        <w:rPr>
          <w:rFonts w:cs="Arial"/>
        </w:rPr>
        <w:t xml:space="preserve">In reply </w:t>
      </w:r>
      <w:r w:rsidR="009F7591">
        <w:rPr>
          <w:rFonts w:cs="Arial"/>
        </w:rPr>
        <w:t xml:space="preserve">to </w:t>
      </w:r>
      <w:r w:rsidR="009E6AA4">
        <w:rPr>
          <w:rFonts w:cs="Arial"/>
        </w:rPr>
        <w:t xml:space="preserve">Circular </w:t>
      </w:r>
      <w:r w:rsidR="009F7591">
        <w:rPr>
          <w:rFonts w:cs="Arial"/>
        </w:rPr>
        <w:t>E-20/093</w:t>
      </w:r>
      <w:r w:rsidR="008B3D4F">
        <w:rPr>
          <w:rFonts w:cs="Arial"/>
        </w:rPr>
        <w:t xml:space="preserve">, the following </w:t>
      </w:r>
      <w:r w:rsidR="00EC6EF1">
        <w:rPr>
          <w:rFonts w:cs="Arial"/>
          <w:lang w:val="en-GB"/>
        </w:rPr>
        <w:t>member</w:t>
      </w:r>
      <w:r w:rsidR="008B3D4F" w:rsidRPr="003D53DD">
        <w:rPr>
          <w:rFonts w:cs="Arial"/>
          <w:lang w:val="en-GB"/>
        </w:rPr>
        <w:t xml:space="preserve"> </w:t>
      </w:r>
      <w:r w:rsidR="008B3D4F">
        <w:rPr>
          <w:rFonts w:cs="Arial"/>
          <w:lang w:val="en-GB"/>
        </w:rPr>
        <w:t xml:space="preserve">of the Union </w:t>
      </w:r>
      <w:r w:rsidR="008B3D4F" w:rsidRPr="003D53DD">
        <w:rPr>
          <w:rFonts w:cs="Arial"/>
          <w:lang w:val="en-GB"/>
        </w:rPr>
        <w:t>and observers in the CAJ</w:t>
      </w:r>
      <w:r w:rsidR="008B3D4F">
        <w:rPr>
          <w:rFonts w:cs="Arial"/>
        </w:rPr>
        <w:t xml:space="preserve"> provided comments</w:t>
      </w:r>
      <w:r w:rsidR="009F7591">
        <w:rPr>
          <w:rFonts w:cs="Arial"/>
        </w:rPr>
        <w:t xml:space="preserve"> in relation to </w:t>
      </w:r>
      <w:r w:rsidR="00EC6EF1">
        <w:rPr>
          <w:rFonts w:cs="Arial"/>
        </w:rPr>
        <w:t xml:space="preserve">the </w:t>
      </w:r>
      <w:r w:rsidR="009F7591" w:rsidRPr="00CB1510">
        <w:rPr>
          <w:rFonts w:cs="Arial"/>
        </w:rPr>
        <w:t xml:space="preserve">policy issues in conjunction with the breeders’ customs and practices </w:t>
      </w:r>
      <w:r w:rsidR="00EC6EF1">
        <w:rPr>
          <w:rFonts w:cs="Arial"/>
        </w:rPr>
        <w:t xml:space="preserve">presented in </w:t>
      </w:r>
      <w:r w:rsidR="009F7591" w:rsidRPr="00CB1510">
        <w:rPr>
          <w:rFonts w:cs="Arial"/>
        </w:rPr>
        <w:t xml:space="preserve">Annex III of </w:t>
      </w:r>
      <w:r w:rsidR="00EC6EF1" w:rsidRPr="002B7989">
        <w:rPr>
          <w:rFonts w:cs="Arial"/>
        </w:rPr>
        <w:t>Circular</w:t>
      </w:r>
      <w:r w:rsidR="00EC6EF1">
        <w:rPr>
          <w:rFonts w:cs="Arial"/>
        </w:rPr>
        <w:t xml:space="preserve"> </w:t>
      </w:r>
      <w:r w:rsidR="00EC6EF1">
        <w:t>E-20/093</w:t>
      </w:r>
      <w:r w:rsidR="00327B7E" w:rsidRPr="00CB1510">
        <w:rPr>
          <w:rFonts w:cs="Arial"/>
        </w:rPr>
        <w:t>:</w:t>
      </w:r>
      <w:r w:rsidR="00BD09DC">
        <w:rPr>
          <w:rFonts w:cs="Arial"/>
        </w:rPr>
        <w:t xml:space="preserve">  </w:t>
      </w:r>
      <w:r w:rsidR="006209B0" w:rsidRPr="003F7B9A">
        <w:t>United States of America</w:t>
      </w:r>
      <w:r w:rsidR="00EC6EF1" w:rsidRPr="00EC6EF1">
        <w:t xml:space="preserve">, </w:t>
      </w:r>
      <w:r w:rsidR="00EC6EF1" w:rsidRPr="00EC6EF1">
        <w:rPr>
          <w:rFonts w:cs="Arial"/>
        </w:rPr>
        <w:t>AIPH</w:t>
      </w:r>
      <w:r w:rsidR="00EC6EF1">
        <w:rPr>
          <w:rFonts w:cs="Arial"/>
        </w:rPr>
        <w:t xml:space="preserve"> </w:t>
      </w:r>
      <w:r w:rsidR="00BD09DC">
        <w:t xml:space="preserve"> and</w:t>
      </w:r>
      <w:r w:rsidR="003F20EC">
        <w:t xml:space="preserve"> </w:t>
      </w:r>
      <w:r w:rsidR="00EC6EF1">
        <w:t xml:space="preserve">a joint contribution from </w:t>
      </w:r>
      <w:proofErr w:type="spellStart"/>
      <w:r w:rsidR="003F20EC" w:rsidRPr="003F20EC">
        <w:rPr>
          <w:rFonts w:cs="Arial"/>
        </w:rPr>
        <w:t>AFSTA</w:t>
      </w:r>
      <w:proofErr w:type="spellEnd"/>
      <w:r w:rsidR="00EC6EF1">
        <w:rPr>
          <w:rFonts w:cs="Arial"/>
        </w:rPr>
        <w:t xml:space="preserve">, </w:t>
      </w:r>
      <w:proofErr w:type="spellStart"/>
      <w:r w:rsidR="003F20EC" w:rsidRPr="003F20EC">
        <w:rPr>
          <w:rFonts w:cs="Arial"/>
        </w:rPr>
        <w:t>APSA</w:t>
      </w:r>
      <w:proofErr w:type="spellEnd"/>
      <w:r w:rsidR="003F20EC" w:rsidRPr="003F20EC">
        <w:rPr>
          <w:rFonts w:cs="Arial"/>
        </w:rPr>
        <w:t xml:space="preserve">, </w:t>
      </w:r>
      <w:proofErr w:type="spellStart"/>
      <w:r w:rsidR="003F20EC" w:rsidRPr="003F20EC">
        <w:rPr>
          <w:rFonts w:cs="Arial"/>
        </w:rPr>
        <w:t>CIOPORA</w:t>
      </w:r>
      <w:proofErr w:type="spellEnd"/>
      <w:r w:rsidR="003F20EC">
        <w:rPr>
          <w:rFonts w:cs="Arial"/>
        </w:rPr>
        <w:t>,</w:t>
      </w:r>
      <w:r w:rsidR="003F20EC" w:rsidRPr="003F20EC">
        <w:rPr>
          <w:rFonts w:cs="Arial"/>
        </w:rPr>
        <w:t xml:space="preserve"> </w:t>
      </w:r>
      <w:proofErr w:type="spellStart"/>
      <w:r w:rsidR="003F1D03">
        <w:rPr>
          <w:rFonts w:eastAsiaTheme="minorEastAsia" w:cs="Arial"/>
          <w:spacing w:val="-4"/>
        </w:rPr>
        <w:t>Crop</w:t>
      </w:r>
      <w:r w:rsidR="003F1D03" w:rsidRPr="00614DED">
        <w:rPr>
          <w:rFonts w:eastAsiaTheme="minorEastAsia" w:cs="Arial"/>
          <w:spacing w:val="-4"/>
        </w:rPr>
        <w:t>Life</w:t>
      </w:r>
      <w:proofErr w:type="spellEnd"/>
      <w:r w:rsidR="003F1D03" w:rsidRPr="00614DED">
        <w:rPr>
          <w:rFonts w:eastAsiaTheme="minorEastAsia" w:cs="Arial"/>
          <w:spacing w:val="-4"/>
        </w:rPr>
        <w:t xml:space="preserve"> International</w:t>
      </w:r>
      <w:r w:rsidR="003F20EC">
        <w:rPr>
          <w:rFonts w:cs="Arial"/>
        </w:rPr>
        <w:t>,</w:t>
      </w:r>
      <w:r w:rsidR="003F20EC" w:rsidRPr="003F20EC">
        <w:rPr>
          <w:rFonts w:cs="Arial"/>
        </w:rPr>
        <w:t xml:space="preserve"> </w:t>
      </w:r>
      <w:proofErr w:type="spellStart"/>
      <w:r w:rsidR="003F20EC" w:rsidRPr="003F20EC">
        <w:rPr>
          <w:rFonts w:cs="Arial"/>
        </w:rPr>
        <w:t>Euroseeds</w:t>
      </w:r>
      <w:proofErr w:type="spellEnd"/>
      <w:r w:rsidR="003F20EC" w:rsidRPr="003F20EC">
        <w:rPr>
          <w:rFonts w:cs="Arial"/>
        </w:rPr>
        <w:t xml:space="preserve">, </w:t>
      </w:r>
      <w:proofErr w:type="spellStart"/>
      <w:r w:rsidR="003F20EC" w:rsidRPr="003F20EC">
        <w:rPr>
          <w:rFonts w:cs="Arial"/>
        </w:rPr>
        <w:t>ISF</w:t>
      </w:r>
      <w:proofErr w:type="spellEnd"/>
      <w:r w:rsidR="003F20EC">
        <w:rPr>
          <w:rFonts w:cs="Arial"/>
        </w:rPr>
        <w:t xml:space="preserve"> and SAA.</w:t>
      </w:r>
      <w:r w:rsidR="00327B7E">
        <w:t xml:space="preserve">  </w:t>
      </w:r>
      <w:r w:rsidR="00D71C35">
        <w:t>Those</w:t>
      </w:r>
      <w:r w:rsidR="00D71C35" w:rsidRPr="00D71C35">
        <w:t xml:space="preserve"> contribution</w:t>
      </w:r>
      <w:r w:rsidR="00D71C35">
        <w:t>s</w:t>
      </w:r>
      <w:r w:rsidR="00D71C35" w:rsidRPr="00D71C35">
        <w:t xml:space="preserve"> in reply to Circular E 20/093 are available at </w:t>
      </w:r>
      <w:hyperlink r:id="rId10" w:history="1">
        <w:r w:rsidR="00D71C35" w:rsidRPr="0028771A">
          <w:rPr>
            <w:rStyle w:val="Hyperlink"/>
          </w:rPr>
          <w:t>https://www.upov.int/meetings/en/pages/caj77/e_20_093.html</w:t>
        </w:r>
      </w:hyperlink>
      <w:r w:rsidR="00EE3296">
        <w:t>.</w:t>
      </w:r>
    </w:p>
    <w:p w:rsidR="00EC6EF1" w:rsidRDefault="00EC6EF1" w:rsidP="009F7591"/>
    <w:p w:rsidR="009E6AA4" w:rsidRPr="003E3B7B" w:rsidRDefault="00EC6EF1" w:rsidP="009F7591">
      <w:pPr>
        <w:rPr>
          <w:rFonts w:cs="Arial"/>
        </w:rPr>
      </w:pPr>
      <w:r>
        <w:rPr>
          <w:rFonts w:cs="Arial"/>
        </w:rPr>
        <w:fldChar w:fldCharType="begin"/>
      </w:r>
      <w:r>
        <w:rPr>
          <w:rFonts w:cs="Arial"/>
        </w:rPr>
        <w:instrText xml:space="preserve"> AUTONUM  </w:instrText>
      </w:r>
      <w:r>
        <w:rPr>
          <w:rFonts w:cs="Arial"/>
        </w:rPr>
        <w:fldChar w:fldCharType="end"/>
      </w:r>
      <w:r>
        <w:rPr>
          <w:rFonts w:cs="Arial"/>
        </w:rPr>
        <w:tab/>
        <w:t>T</w:t>
      </w:r>
      <w:r w:rsidR="002B6CAA">
        <w:t xml:space="preserve">he proposals </w:t>
      </w:r>
      <w:r w:rsidR="002B6CAA" w:rsidRPr="002B6CAA">
        <w:rPr>
          <w:rFonts w:cs="Arial"/>
        </w:rPr>
        <w:t xml:space="preserve">reflecting the comments received </w:t>
      </w:r>
      <w:r w:rsidR="002B6CAA">
        <w:rPr>
          <w:rFonts w:cs="Arial"/>
        </w:rPr>
        <w:t>on t</w:t>
      </w:r>
      <w:r w:rsidRPr="00EC6EF1">
        <w:rPr>
          <w:rFonts w:cs="Arial"/>
        </w:rPr>
        <w:t>he policy issues in conjunction with the breeders’ customs and practices in Annex III of Circular E-</w:t>
      </w:r>
      <w:r>
        <w:rPr>
          <w:rFonts w:cs="Arial"/>
        </w:rPr>
        <w:t> </w:t>
      </w:r>
      <w:r w:rsidRPr="00EC6EF1">
        <w:rPr>
          <w:rFonts w:cs="Arial"/>
        </w:rPr>
        <w:t>20/093</w:t>
      </w:r>
      <w:r w:rsidR="002B6CAA">
        <w:rPr>
          <w:rFonts w:cs="Arial"/>
        </w:rPr>
        <w:t xml:space="preserve">, </w:t>
      </w:r>
      <w:r w:rsidR="002B6CAA" w:rsidRPr="002B6CAA">
        <w:rPr>
          <w:rFonts w:cs="Arial"/>
        </w:rPr>
        <w:t xml:space="preserve">are presented in manual revision mode </w:t>
      </w:r>
      <w:r w:rsidR="00D71C35">
        <w:rPr>
          <w:rFonts w:cs="Arial"/>
        </w:rPr>
        <w:t>an</w:t>
      </w:r>
      <w:r w:rsidR="00261F65">
        <w:rPr>
          <w:rFonts w:cs="Arial"/>
        </w:rPr>
        <w:t>d</w:t>
      </w:r>
      <w:r w:rsidR="00D71C35">
        <w:rPr>
          <w:rFonts w:cs="Arial"/>
        </w:rPr>
        <w:t xml:space="preserve"> highlighted in </w:t>
      </w:r>
      <w:r w:rsidR="00D71C35" w:rsidRPr="003E3B7B">
        <w:rPr>
          <w:rFonts w:cs="Arial"/>
        </w:rPr>
        <w:t xml:space="preserve">grey </w:t>
      </w:r>
      <w:r w:rsidR="005F3C19" w:rsidRPr="003E3B7B">
        <w:rPr>
          <w:rFonts w:cs="Arial"/>
        </w:rPr>
        <w:t xml:space="preserve">in Annex </w:t>
      </w:r>
      <w:r w:rsidR="00A24F4D" w:rsidRPr="003E3B7B">
        <w:rPr>
          <w:rFonts w:cs="Arial"/>
        </w:rPr>
        <w:t xml:space="preserve">I </w:t>
      </w:r>
      <w:r w:rsidR="005F3C19" w:rsidRPr="003E3B7B">
        <w:rPr>
          <w:rFonts w:cs="Arial"/>
        </w:rPr>
        <w:t xml:space="preserve">to this document. </w:t>
      </w:r>
      <w:r w:rsidR="003E3B7B" w:rsidRPr="003E3B7B">
        <w:rPr>
          <w:rFonts w:cs="Arial"/>
        </w:rPr>
        <w:t xml:space="preserve"> </w:t>
      </w:r>
      <w:r w:rsidR="00070E1A" w:rsidRPr="003E3B7B">
        <w:rPr>
          <w:rFonts w:cs="Arial"/>
        </w:rPr>
        <w:t>The cross references to the issues in the subsection</w:t>
      </w:r>
      <w:r w:rsidR="003E3B7B" w:rsidRPr="003E3B7B">
        <w:rPr>
          <w:rFonts w:cs="Arial"/>
        </w:rPr>
        <w:t xml:space="preserve"> “General </w:t>
      </w:r>
      <w:r w:rsidR="00070E1A" w:rsidRPr="003E3B7B">
        <w:rPr>
          <w:rFonts w:cs="Arial"/>
        </w:rPr>
        <w:t xml:space="preserve">issues” </w:t>
      </w:r>
      <w:r w:rsidR="00563E79" w:rsidRPr="003E3B7B">
        <w:rPr>
          <w:rFonts w:cs="Arial"/>
        </w:rPr>
        <w:t xml:space="preserve">in Annex I, Appendix I, </w:t>
      </w:r>
      <w:r w:rsidR="00070E1A" w:rsidRPr="003E3B7B">
        <w:rPr>
          <w:rFonts w:cs="Arial"/>
        </w:rPr>
        <w:t xml:space="preserve">have been updated </w:t>
      </w:r>
      <w:r w:rsidR="001519EF" w:rsidRPr="003E3B7B">
        <w:rPr>
          <w:rFonts w:cs="Arial"/>
        </w:rPr>
        <w:t xml:space="preserve">to </w:t>
      </w:r>
      <w:r w:rsidR="00070E1A" w:rsidRPr="003E3B7B">
        <w:rPr>
          <w:rFonts w:cs="Arial"/>
        </w:rPr>
        <w:t xml:space="preserve">reflect the new numbering in accordance with the comments and the new issues received in reply to Circular E-20/093. </w:t>
      </w:r>
      <w:r w:rsidR="003E3B7B" w:rsidRPr="003E3B7B">
        <w:rPr>
          <w:rFonts w:cs="Arial"/>
        </w:rPr>
        <w:t xml:space="preserve"> </w:t>
      </w:r>
      <w:r w:rsidR="00070E1A" w:rsidRPr="003E3B7B">
        <w:rPr>
          <w:rFonts w:cs="Arial"/>
        </w:rPr>
        <w:t xml:space="preserve">In the subsection “Issues concerning specific aspects of the current explanatory notes” </w:t>
      </w:r>
      <w:r w:rsidR="00563E79" w:rsidRPr="003E3B7B">
        <w:rPr>
          <w:rFonts w:cs="Arial"/>
        </w:rPr>
        <w:t xml:space="preserve">in Annex I, Appendix I, </w:t>
      </w:r>
      <w:r w:rsidR="00070E1A" w:rsidRPr="003E3B7B">
        <w:rPr>
          <w:rFonts w:cs="Arial"/>
        </w:rPr>
        <w:t>the numbers of the issues in the previous version have been kept in square brackets for ease of reference.</w:t>
      </w:r>
      <w:r w:rsidR="006209B0" w:rsidRPr="003E3B7B">
        <w:rPr>
          <w:rFonts w:cs="Arial"/>
        </w:rPr>
        <w:t xml:space="preserve">  </w:t>
      </w:r>
    </w:p>
    <w:p w:rsidR="00784037" w:rsidRPr="003E3B7B" w:rsidRDefault="00784037">
      <w:pPr>
        <w:jc w:val="left"/>
      </w:pPr>
    </w:p>
    <w:p w:rsidR="00784037" w:rsidRPr="003E3B7B" w:rsidRDefault="00784037" w:rsidP="00FB7515">
      <w:pPr>
        <w:pStyle w:val="Heading3"/>
      </w:pPr>
      <w:bookmarkStart w:id="14" w:name="_Toc48316707"/>
      <w:r w:rsidRPr="003E3B7B">
        <w:t>Terms of Reference of the Working Group on Essentially Derived Varieties (WG-EDV)</w:t>
      </w:r>
      <w:bookmarkEnd w:id="14"/>
    </w:p>
    <w:p w:rsidR="00784037" w:rsidRPr="003E3B7B" w:rsidRDefault="00784037" w:rsidP="00784037"/>
    <w:p w:rsidR="00784037" w:rsidRDefault="008713BF" w:rsidP="00784037">
      <w:pPr>
        <w:rPr>
          <w:rFonts w:cs="Arial"/>
        </w:rPr>
      </w:pPr>
      <w:r w:rsidRPr="003E3B7B">
        <w:rPr>
          <w:rFonts w:cs="Arial"/>
          <w:spacing w:val="-2"/>
        </w:rPr>
        <w:fldChar w:fldCharType="begin"/>
      </w:r>
      <w:r w:rsidRPr="003E3B7B">
        <w:rPr>
          <w:rFonts w:cs="Arial"/>
          <w:spacing w:val="-2"/>
        </w:rPr>
        <w:instrText xml:space="preserve"> AUTONUM  </w:instrText>
      </w:r>
      <w:r w:rsidRPr="003E3B7B">
        <w:rPr>
          <w:rFonts w:cs="Arial"/>
          <w:spacing w:val="-2"/>
        </w:rPr>
        <w:fldChar w:fldCharType="end"/>
      </w:r>
      <w:r w:rsidRPr="003E3B7B">
        <w:rPr>
          <w:rFonts w:cs="Arial"/>
          <w:spacing w:val="-2"/>
        </w:rPr>
        <w:tab/>
      </w:r>
      <w:r w:rsidR="00784037" w:rsidRPr="003E3B7B">
        <w:rPr>
          <w:rFonts w:cs="Arial"/>
        </w:rPr>
        <w:t xml:space="preserve">According to </w:t>
      </w:r>
      <w:r w:rsidR="0037797B" w:rsidRPr="003E3B7B">
        <w:rPr>
          <w:rFonts w:cs="Arial"/>
        </w:rPr>
        <w:t xml:space="preserve">the replies </w:t>
      </w:r>
      <w:r w:rsidR="00784037" w:rsidRPr="003E3B7B">
        <w:rPr>
          <w:rFonts w:cs="Arial"/>
        </w:rPr>
        <w:t xml:space="preserve">to Circular E-20/093, there were no </w:t>
      </w:r>
      <w:r w:rsidR="009D1D6A" w:rsidRPr="003E3B7B">
        <w:rPr>
          <w:rFonts w:cs="Arial"/>
        </w:rPr>
        <w:t xml:space="preserve">proposals to change the text in the </w:t>
      </w:r>
      <w:r w:rsidR="00784037" w:rsidRPr="003E3B7B">
        <w:rPr>
          <w:rFonts w:cs="Arial"/>
        </w:rPr>
        <w:t xml:space="preserve">draft terms of reference for a working group on EDV (WG-EDV) presented in Annex II </w:t>
      </w:r>
      <w:r w:rsidR="009D1D6A" w:rsidRPr="003E3B7B">
        <w:rPr>
          <w:rFonts w:cs="Arial"/>
        </w:rPr>
        <w:t xml:space="preserve">of Circular E- 20/093 </w:t>
      </w:r>
      <w:r w:rsidR="00784037" w:rsidRPr="003E3B7B">
        <w:rPr>
          <w:rFonts w:cs="Arial"/>
        </w:rPr>
        <w:t xml:space="preserve">and reproduced </w:t>
      </w:r>
      <w:r w:rsidR="00A24F4D" w:rsidRPr="003E3B7B">
        <w:rPr>
          <w:rFonts w:cs="Arial"/>
        </w:rPr>
        <w:t>in Annex II of this document.</w:t>
      </w:r>
      <w:r w:rsidR="00784037">
        <w:rPr>
          <w:rFonts w:cs="Arial"/>
        </w:rPr>
        <w:t xml:space="preserve"> </w:t>
      </w:r>
    </w:p>
    <w:p w:rsidR="009D1D6A" w:rsidRDefault="009D1D6A" w:rsidP="00784037">
      <w:pPr>
        <w:rPr>
          <w:rFonts w:cs="Arial"/>
        </w:rPr>
      </w:pPr>
    </w:p>
    <w:p w:rsidR="0037797B" w:rsidRPr="0037797B" w:rsidRDefault="00261F65" w:rsidP="00261F65">
      <w:pPr>
        <w:rPr>
          <w:rFonts w:cs="Arial"/>
          <w:sz w:val="18"/>
          <w:szCs w:val="18"/>
        </w:rPr>
      </w:pPr>
      <w:r>
        <w:rPr>
          <w:rFonts w:cs="Arial"/>
        </w:rPr>
        <w:fldChar w:fldCharType="begin"/>
      </w:r>
      <w:r>
        <w:rPr>
          <w:rFonts w:cs="Arial"/>
        </w:rPr>
        <w:instrText xml:space="preserve"> AUTONUM  </w:instrText>
      </w:r>
      <w:r>
        <w:rPr>
          <w:rFonts w:cs="Arial"/>
        </w:rPr>
        <w:fldChar w:fldCharType="end"/>
      </w:r>
      <w:r>
        <w:rPr>
          <w:rFonts w:cs="Arial"/>
        </w:rPr>
        <w:tab/>
      </w:r>
      <w:r w:rsidR="00222830">
        <w:rPr>
          <w:rFonts w:cs="Arial"/>
        </w:rPr>
        <w:t>In the</w:t>
      </w:r>
      <w:r w:rsidR="007B1F80">
        <w:rPr>
          <w:rFonts w:cs="Arial"/>
        </w:rPr>
        <w:t xml:space="preserve"> comments</w:t>
      </w:r>
      <w:r w:rsidR="00222830">
        <w:rPr>
          <w:rFonts w:cs="Arial"/>
        </w:rPr>
        <w:t xml:space="preserve"> from the European Union and in </w:t>
      </w:r>
      <w:r w:rsidR="007B1F80">
        <w:rPr>
          <w:rFonts w:cs="Arial"/>
        </w:rPr>
        <w:t xml:space="preserve">the </w:t>
      </w:r>
      <w:r w:rsidR="009D1D6A">
        <w:t xml:space="preserve">joint </w:t>
      </w:r>
      <w:r w:rsidR="007B1F80">
        <w:t xml:space="preserve">contribution </w:t>
      </w:r>
      <w:r w:rsidR="00222830">
        <w:t xml:space="preserve">reply </w:t>
      </w:r>
      <w:r w:rsidR="009D1D6A">
        <w:t xml:space="preserve">from </w:t>
      </w:r>
      <w:proofErr w:type="spellStart"/>
      <w:r w:rsidR="009D1D6A" w:rsidRPr="003F20EC">
        <w:rPr>
          <w:rFonts w:cs="Arial"/>
        </w:rPr>
        <w:t>AFSTA</w:t>
      </w:r>
      <w:proofErr w:type="spellEnd"/>
      <w:r w:rsidR="009D1D6A">
        <w:rPr>
          <w:rFonts w:cs="Arial"/>
        </w:rPr>
        <w:t xml:space="preserve">, </w:t>
      </w:r>
      <w:proofErr w:type="spellStart"/>
      <w:r w:rsidR="009D1D6A" w:rsidRPr="003F20EC">
        <w:rPr>
          <w:rFonts w:cs="Arial"/>
        </w:rPr>
        <w:t>APSA</w:t>
      </w:r>
      <w:proofErr w:type="spellEnd"/>
      <w:r w:rsidR="009D1D6A" w:rsidRPr="003F20EC">
        <w:rPr>
          <w:rFonts w:cs="Arial"/>
        </w:rPr>
        <w:t xml:space="preserve">, </w:t>
      </w:r>
      <w:proofErr w:type="spellStart"/>
      <w:r w:rsidR="009D1D6A" w:rsidRPr="003F20EC">
        <w:rPr>
          <w:rFonts w:cs="Arial"/>
        </w:rPr>
        <w:t>CIOPORA</w:t>
      </w:r>
      <w:proofErr w:type="spellEnd"/>
      <w:r w:rsidR="009D1D6A">
        <w:rPr>
          <w:rFonts w:cs="Arial"/>
        </w:rPr>
        <w:t>,</w:t>
      </w:r>
      <w:r w:rsidR="009D1D6A" w:rsidRPr="003F20EC">
        <w:rPr>
          <w:rFonts w:cs="Arial"/>
        </w:rPr>
        <w:t xml:space="preserve"> </w:t>
      </w:r>
      <w:proofErr w:type="spellStart"/>
      <w:r w:rsidR="003F1D03">
        <w:rPr>
          <w:rFonts w:eastAsiaTheme="minorEastAsia" w:cs="Arial"/>
          <w:spacing w:val="-4"/>
        </w:rPr>
        <w:t>Crop</w:t>
      </w:r>
      <w:r w:rsidR="003F1D03" w:rsidRPr="00614DED">
        <w:rPr>
          <w:rFonts w:eastAsiaTheme="minorEastAsia" w:cs="Arial"/>
          <w:spacing w:val="-4"/>
        </w:rPr>
        <w:t>Life</w:t>
      </w:r>
      <w:proofErr w:type="spellEnd"/>
      <w:r w:rsidR="003F1D03" w:rsidRPr="00614DED">
        <w:rPr>
          <w:rFonts w:eastAsiaTheme="minorEastAsia" w:cs="Arial"/>
          <w:spacing w:val="-4"/>
        </w:rPr>
        <w:t xml:space="preserve"> International</w:t>
      </w:r>
      <w:r w:rsidR="009D1D6A">
        <w:rPr>
          <w:rFonts w:cs="Arial"/>
        </w:rPr>
        <w:t>,</w:t>
      </w:r>
      <w:r w:rsidR="009D1D6A" w:rsidRPr="003F20EC">
        <w:rPr>
          <w:rFonts w:cs="Arial"/>
        </w:rPr>
        <w:t xml:space="preserve"> </w:t>
      </w:r>
      <w:proofErr w:type="spellStart"/>
      <w:r w:rsidR="009D1D6A" w:rsidRPr="003F20EC">
        <w:rPr>
          <w:rFonts w:cs="Arial"/>
        </w:rPr>
        <w:t>Euroseeds</w:t>
      </w:r>
      <w:proofErr w:type="spellEnd"/>
      <w:r w:rsidR="009D1D6A" w:rsidRPr="003F20EC">
        <w:rPr>
          <w:rFonts w:cs="Arial"/>
        </w:rPr>
        <w:t xml:space="preserve">, </w:t>
      </w:r>
      <w:proofErr w:type="spellStart"/>
      <w:r w:rsidR="009D1D6A" w:rsidRPr="003F20EC">
        <w:rPr>
          <w:rFonts w:cs="Arial"/>
        </w:rPr>
        <w:t>ISF</w:t>
      </w:r>
      <w:proofErr w:type="spellEnd"/>
      <w:r w:rsidR="009D1D6A">
        <w:rPr>
          <w:rFonts w:cs="Arial"/>
        </w:rPr>
        <w:t xml:space="preserve"> and SAA</w:t>
      </w:r>
      <w:r>
        <w:rPr>
          <w:rFonts w:cs="Arial"/>
        </w:rPr>
        <w:t>,</w:t>
      </w:r>
      <w:r w:rsidR="009D1D6A">
        <w:rPr>
          <w:rFonts w:cs="Arial"/>
        </w:rPr>
        <w:t xml:space="preserve"> </w:t>
      </w:r>
      <w:r w:rsidR="007B1F80">
        <w:rPr>
          <w:rFonts w:cs="Arial"/>
        </w:rPr>
        <w:t xml:space="preserve">a suggestion was made to </w:t>
      </w:r>
      <w:r w:rsidR="007B1F80" w:rsidRPr="007B1F80">
        <w:rPr>
          <w:rFonts w:cs="Arial"/>
        </w:rPr>
        <w:t>include a tentative timeline for the work of the WG</w:t>
      </w:r>
      <w:r>
        <w:rPr>
          <w:rFonts w:cs="Arial"/>
        </w:rPr>
        <w:t>-EDV.</w:t>
      </w:r>
    </w:p>
    <w:p w:rsidR="0037797B" w:rsidRDefault="0037797B" w:rsidP="00784037">
      <w:pPr>
        <w:rPr>
          <w:rFonts w:cs="Arial"/>
        </w:rPr>
      </w:pPr>
    </w:p>
    <w:p w:rsidR="0037797B" w:rsidRDefault="0037797B" w:rsidP="00EE3296">
      <w:pPr>
        <w:keepNext/>
        <w:tabs>
          <w:tab w:val="left" w:pos="567"/>
        </w:tabs>
        <w:rPr>
          <w:rFonts w:cs="Arial"/>
        </w:rPr>
      </w:pPr>
      <w:r>
        <w:rPr>
          <w:rFonts w:cs="Arial"/>
        </w:rPr>
        <w:lastRenderedPageBreak/>
        <w:fldChar w:fldCharType="begin"/>
      </w:r>
      <w:r>
        <w:rPr>
          <w:rFonts w:cs="Arial"/>
        </w:rPr>
        <w:instrText xml:space="preserve"> AUTONUM  </w:instrText>
      </w:r>
      <w:r>
        <w:rPr>
          <w:rFonts w:cs="Arial"/>
        </w:rPr>
        <w:fldChar w:fldCharType="end"/>
      </w:r>
      <w:r w:rsidR="00EE3296">
        <w:rPr>
          <w:rFonts w:cs="Arial"/>
        </w:rPr>
        <w:tab/>
      </w:r>
      <w:r>
        <w:rPr>
          <w:rFonts w:cs="Arial"/>
        </w:rPr>
        <w:t>In</w:t>
      </w:r>
      <w:r w:rsidR="00D71C35">
        <w:rPr>
          <w:rFonts w:cs="Arial"/>
        </w:rPr>
        <w:t xml:space="preserve"> relation to the above comment</w:t>
      </w:r>
      <w:r w:rsidR="007B1F80">
        <w:rPr>
          <w:rFonts w:cs="Arial"/>
        </w:rPr>
        <w:t>s</w:t>
      </w:r>
      <w:r w:rsidR="00D71C35">
        <w:rPr>
          <w:rFonts w:cs="Arial"/>
        </w:rPr>
        <w:t xml:space="preserve">, </w:t>
      </w:r>
      <w:r>
        <w:rPr>
          <w:rFonts w:cs="Arial"/>
        </w:rPr>
        <w:t xml:space="preserve"> section “Modus Operandi” of the terms of reference (paragraph (c)) </w:t>
      </w:r>
      <w:r w:rsidR="00D71C35">
        <w:rPr>
          <w:rFonts w:cs="Arial"/>
        </w:rPr>
        <w:t>provides as follows:</w:t>
      </w:r>
    </w:p>
    <w:p w:rsidR="00C559EF" w:rsidRPr="00527057" w:rsidRDefault="00C559EF" w:rsidP="00EE3296">
      <w:pPr>
        <w:keepNext/>
        <w:tabs>
          <w:tab w:val="left" w:pos="1134"/>
        </w:tabs>
        <w:rPr>
          <w:rFonts w:cs="Arial"/>
          <w:u w:val="single"/>
        </w:rPr>
      </w:pPr>
    </w:p>
    <w:p w:rsidR="00C559EF" w:rsidRPr="00C559EF" w:rsidRDefault="00C559EF" w:rsidP="00C559EF">
      <w:pPr>
        <w:tabs>
          <w:tab w:val="left" w:pos="1134"/>
        </w:tabs>
        <w:ind w:left="567" w:right="567"/>
        <w:rPr>
          <w:rFonts w:cs="Arial"/>
          <w:sz w:val="18"/>
          <w:szCs w:val="18"/>
        </w:rPr>
      </w:pPr>
      <w:r w:rsidRPr="00C559EF">
        <w:rPr>
          <w:rFonts w:cs="Arial"/>
          <w:sz w:val="18"/>
          <w:szCs w:val="18"/>
        </w:rPr>
        <w:t>“</w:t>
      </w:r>
      <w:r w:rsidR="0037797B" w:rsidRPr="00C559EF">
        <w:rPr>
          <w:rFonts w:cs="Arial"/>
          <w:sz w:val="18"/>
          <w:szCs w:val="18"/>
        </w:rPr>
        <w:t>the WG-EDV to report to the CAJ on progress of its work and to seek further guidance from the CAJ, as appropriate;”</w:t>
      </w:r>
    </w:p>
    <w:p w:rsidR="00C559EF" w:rsidRDefault="00C559EF" w:rsidP="00C559EF">
      <w:pPr>
        <w:pStyle w:val="ListParagraph"/>
        <w:tabs>
          <w:tab w:val="left" w:pos="1134"/>
        </w:tabs>
        <w:ind w:left="1143"/>
        <w:rPr>
          <w:rFonts w:cs="Arial"/>
        </w:rPr>
      </w:pPr>
    </w:p>
    <w:p w:rsidR="00C559EF" w:rsidRPr="00C559EF" w:rsidRDefault="00DC0C46" w:rsidP="00EE3296">
      <w:pPr>
        <w:tabs>
          <w:tab w:val="left" w:pos="567"/>
        </w:tabs>
        <w:rPr>
          <w:rFonts w:cs="Arial"/>
        </w:rPr>
      </w:pPr>
      <w:r w:rsidRPr="00EE3296">
        <w:rPr>
          <w:rFonts w:cs="Arial"/>
        </w:rPr>
        <w:fldChar w:fldCharType="begin"/>
      </w:r>
      <w:r w:rsidRPr="00EE3296">
        <w:rPr>
          <w:rFonts w:cs="Arial"/>
        </w:rPr>
        <w:instrText xml:space="preserve"> AUTONUM  </w:instrText>
      </w:r>
      <w:r w:rsidRPr="00EE3296">
        <w:rPr>
          <w:rFonts w:cs="Arial"/>
        </w:rPr>
        <w:fldChar w:fldCharType="end"/>
      </w:r>
      <w:r w:rsidR="00EE3296">
        <w:rPr>
          <w:rFonts w:cs="Arial"/>
        </w:rPr>
        <w:tab/>
      </w:r>
      <w:r w:rsidRPr="00DC0C46">
        <w:rPr>
          <w:rFonts w:cs="Arial"/>
        </w:rPr>
        <w:t xml:space="preserve">It </w:t>
      </w:r>
      <w:r w:rsidR="0037797B" w:rsidRPr="00DC0C46">
        <w:rPr>
          <w:rFonts w:cs="Arial"/>
        </w:rPr>
        <w:t>is proposed that the CAJ</w:t>
      </w:r>
      <w:r w:rsidR="00C559EF" w:rsidRPr="00DC0C46">
        <w:rPr>
          <w:rFonts w:cs="Arial"/>
        </w:rPr>
        <w:t xml:space="preserve"> </w:t>
      </w:r>
      <w:r w:rsidR="0037797B" w:rsidRPr="00DC0C46">
        <w:rPr>
          <w:rFonts w:cs="Arial"/>
        </w:rPr>
        <w:t xml:space="preserve">invites the WG-EDV to </w:t>
      </w:r>
      <w:r>
        <w:rPr>
          <w:rFonts w:cs="Arial"/>
        </w:rPr>
        <w:t>consider</w:t>
      </w:r>
      <w:r w:rsidR="00C559EF" w:rsidRPr="00DC0C46">
        <w:rPr>
          <w:rFonts w:cs="Arial"/>
        </w:rPr>
        <w:t xml:space="preserve"> an indicative timeline once it has had the opportunity to meet and consider its mandate in accordance with the terms of reference.</w:t>
      </w:r>
      <w:r w:rsidRPr="00DC0C46">
        <w:t xml:space="preserve"> </w:t>
      </w:r>
      <w:r w:rsidR="00EE3296">
        <w:t xml:space="preserve"> </w:t>
      </w:r>
      <w:r>
        <w:t xml:space="preserve">The indicative timeline could be included in the </w:t>
      </w:r>
      <w:r>
        <w:rPr>
          <w:rFonts w:cs="Arial"/>
        </w:rPr>
        <w:t xml:space="preserve">WG-EDV </w:t>
      </w:r>
      <w:r w:rsidRPr="00DC0C46">
        <w:rPr>
          <w:rFonts w:cs="Arial"/>
        </w:rPr>
        <w:t>report to the CAJ on progress of its work</w:t>
      </w:r>
      <w:r>
        <w:rPr>
          <w:rFonts w:cs="Arial"/>
        </w:rPr>
        <w:t>.</w:t>
      </w:r>
    </w:p>
    <w:p w:rsidR="00784037" w:rsidRDefault="00784037" w:rsidP="00784037"/>
    <w:p w:rsidR="00784037" w:rsidRDefault="00784037" w:rsidP="00FB7515">
      <w:pPr>
        <w:pStyle w:val="Heading3"/>
      </w:pPr>
      <w:bookmarkStart w:id="15" w:name="_Toc48316708"/>
      <w:r w:rsidRPr="00527057">
        <w:t>Composition</w:t>
      </w:r>
      <w:r>
        <w:t xml:space="preserve"> of WG-EDV</w:t>
      </w:r>
      <w:bookmarkEnd w:id="15"/>
    </w:p>
    <w:p w:rsidR="00784037" w:rsidRDefault="00784037" w:rsidP="00784037">
      <w:pPr>
        <w:rPr>
          <w:rFonts w:cs="Arial"/>
        </w:rPr>
      </w:pPr>
    </w:p>
    <w:p w:rsidR="00784037" w:rsidRPr="00B11E67" w:rsidRDefault="008713BF" w:rsidP="00784037">
      <w:pPr>
        <w:rPr>
          <w:rFonts w:cs="Arial"/>
          <w:spacing w:val="-2"/>
        </w:rPr>
      </w:pPr>
      <w:r w:rsidRPr="00B11E67">
        <w:rPr>
          <w:rFonts w:cs="Arial"/>
          <w:spacing w:val="-2"/>
        </w:rPr>
        <w:fldChar w:fldCharType="begin"/>
      </w:r>
      <w:r w:rsidRPr="00B11E67">
        <w:rPr>
          <w:rFonts w:cs="Arial"/>
          <w:spacing w:val="-2"/>
        </w:rPr>
        <w:instrText xml:space="preserve"> AUTONUM  </w:instrText>
      </w:r>
      <w:r w:rsidRPr="00B11E67">
        <w:rPr>
          <w:rFonts w:cs="Arial"/>
          <w:spacing w:val="-2"/>
        </w:rPr>
        <w:fldChar w:fldCharType="end"/>
      </w:r>
      <w:r w:rsidRPr="00B11E67">
        <w:rPr>
          <w:rFonts w:cs="Arial"/>
          <w:spacing w:val="-2"/>
        </w:rPr>
        <w:tab/>
      </w:r>
      <w:r w:rsidR="00784037" w:rsidRPr="00B11E67">
        <w:rPr>
          <w:rFonts w:cs="Arial"/>
          <w:spacing w:val="-2"/>
        </w:rPr>
        <w:t xml:space="preserve">In reply to Circular E-20/093, the following members </w:t>
      </w:r>
      <w:r w:rsidR="00C119CB" w:rsidRPr="00B11E67">
        <w:rPr>
          <w:rFonts w:cs="Arial"/>
          <w:spacing w:val="-2"/>
        </w:rPr>
        <w:t xml:space="preserve">of the Union </w:t>
      </w:r>
      <w:r w:rsidR="00784037" w:rsidRPr="00B11E67">
        <w:rPr>
          <w:rFonts w:cs="Arial"/>
          <w:spacing w:val="-2"/>
        </w:rPr>
        <w:t xml:space="preserve">and observers </w:t>
      </w:r>
      <w:r w:rsidR="00C374E0" w:rsidRPr="00B11E67">
        <w:rPr>
          <w:rFonts w:cs="Arial"/>
          <w:spacing w:val="-2"/>
        </w:rPr>
        <w:t>in</w:t>
      </w:r>
      <w:r w:rsidR="00784037" w:rsidRPr="00B11E67">
        <w:rPr>
          <w:rFonts w:cs="Arial"/>
          <w:spacing w:val="-2"/>
        </w:rPr>
        <w:t xml:space="preserve"> the CA</w:t>
      </w:r>
      <w:r w:rsidR="00DC0C46" w:rsidRPr="00B11E67">
        <w:rPr>
          <w:rFonts w:cs="Arial"/>
          <w:spacing w:val="-2"/>
        </w:rPr>
        <w:t xml:space="preserve">J expressed an interest to be </w:t>
      </w:r>
      <w:r w:rsidR="00784037" w:rsidRPr="00B11E67">
        <w:rPr>
          <w:rFonts w:cs="Arial"/>
          <w:spacing w:val="-2"/>
        </w:rPr>
        <w:t xml:space="preserve">members </w:t>
      </w:r>
      <w:r w:rsidR="003F1D03" w:rsidRPr="00B11E67">
        <w:rPr>
          <w:rFonts w:cs="Arial"/>
          <w:spacing w:val="-2"/>
        </w:rPr>
        <w:t>of</w:t>
      </w:r>
      <w:r w:rsidR="00784037" w:rsidRPr="00B11E67">
        <w:rPr>
          <w:rFonts w:cs="Arial"/>
          <w:spacing w:val="-2"/>
        </w:rPr>
        <w:t xml:space="preserve"> the WG-EDV:  </w:t>
      </w:r>
      <w:r w:rsidR="00C374E0" w:rsidRPr="00B11E67">
        <w:rPr>
          <w:rFonts w:cs="Arial"/>
          <w:spacing w:val="-2"/>
        </w:rPr>
        <w:t>Australia</w:t>
      </w:r>
      <w:r w:rsidR="00DC0C46" w:rsidRPr="00B11E67">
        <w:rPr>
          <w:rFonts w:cs="Arial"/>
          <w:spacing w:val="-2"/>
        </w:rPr>
        <w:t>,</w:t>
      </w:r>
      <w:r w:rsidR="004958E1" w:rsidRPr="00B11E67">
        <w:rPr>
          <w:rFonts w:cs="Arial"/>
          <w:spacing w:val="-2"/>
        </w:rPr>
        <w:t xml:space="preserve"> </w:t>
      </w:r>
      <w:r w:rsidR="00B11E67">
        <w:rPr>
          <w:rFonts w:cs="Arial"/>
          <w:spacing w:val="-2"/>
        </w:rPr>
        <w:t xml:space="preserve">Brazil, </w:t>
      </w:r>
      <w:r w:rsidR="00DC0C46" w:rsidRPr="00B11E67">
        <w:rPr>
          <w:rFonts w:cs="Arial"/>
          <w:spacing w:val="-2"/>
        </w:rPr>
        <w:t>Chile, Ecuador,</w:t>
      </w:r>
      <w:r w:rsidR="00B11E67">
        <w:rPr>
          <w:rFonts w:cs="Arial"/>
          <w:spacing w:val="-2"/>
        </w:rPr>
        <w:t xml:space="preserve"> </w:t>
      </w:r>
      <w:r w:rsidR="003F1D03" w:rsidRPr="00B11E67">
        <w:rPr>
          <w:rFonts w:cs="Arial"/>
          <w:spacing w:val="-2"/>
        </w:rPr>
        <w:t>Europ</w:t>
      </w:r>
      <w:r w:rsidR="00B11E67">
        <w:rPr>
          <w:rFonts w:cs="Arial"/>
          <w:spacing w:val="-2"/>
        </w:rPr>
        <w:t>ean Union</w:t>
      </w:r>
      <w:r w:rsidR="00DC0C46" w:rsidRPr="00B11E67">
        <w:rPr>
          <w:rFonts w:cs="Arial"/>
          <w:spacing w:val="-2"/>
        </w:rPr>
        <w:t>,</w:t>
      </w:r>
      <w:r w:rsidR="003F1D03" w:rsidRPr="00B11E67">
        <w:rPr>
          <w:rFonts w:cs="Arial"/>
          <w:spacing w:val="-2"/>
        </w:rPr>
        <w:t xml:space="preserve"> </w:t>
      </w:r>
      <w:r w:rsidR="00DC0C46" w:rsidRPr="00B11E67">
        <w:rPr>
          <w:rFonts w:cs="Arial"/>
          <w:spacing w:val="-2"/>
        </w:rPr>
        <w:t>France,</w:t>
      </w:r>
      <w:r w:rsidR="00173DE9" w:rsidRPr="00B11E67">
        <w:rPr>
          <w:rFonts w:cs="Arial"/>
          <w:spacing w:val="-2"/>
        </w:rPr>
        <w:t xml:space="preserve"> </w:t>
      </w:r>
      <w:r w:rsidR="00DC0C46" w:rsidRPr="00B11E67">
        <w:rPr>
          <w:rFonts w:cs="Arial"/>
          <w:spacing w:val="-2"/>
        </w:rPr>
        <w:t>Japan, Kenya,</w:t>
      </w:r>
      <w:r w:rsidR="00B11E67">
        <w:rPr>
          <w:rFonts w:cs="Arial"/>
          <w:spacing w:val="-2"/>
        </w:rPr>
        <w:t xml:space="preserve"> </w:t>
      </w:r>
      <w:r w:rsidR="00DC0C46" w:rsidRPr="00B11E67">
        <w:rPr>
          <w:rFonts w:cs="Arial"/>
          <w:spacing w:val="-2"/>
        </w:rPr>
        <w:t>Sweden,</w:t>
      </w:r>
      <w:r w:rsidR="00C41168" w:rsidRPr="00B11E67">
        <w:rPr>
          <w:rFonts w:cs="Arial"/>
          <w:spacing w:val="-2"/>
        </w:rPr>
        <w:t xml:space="preserve"> United Republic of Tanzania</w:t>
      </w:r>
      <w:r w:rsidR="00DC0C46" w:rsidRPr="00B11E67">
        <w:rPr>
          <w:rFonts w:cs="Arial"/>
          <w:spacing w:val="-2"/>
        </w:rPr>
        <w:t>,</w:t>
      </w:r>
      <w:r w:rsidR="00807CA3" w:rsidRPr="00B11E67">
        <w:rPr>
          <w:rFonts w:cs="Arial"/>
          <w:spacing w:val="-2"/>
        </w:rPr>
        <w:t xml:space="preserve"> </w:t>
      </w:r>
      <w:r w:rsidR="00C374E0" w:rsidRPr="00B11E67">
        <w:rPr>
          <w:rFonts w:cs="Arial"/>
          <w:spacing w:val="-2"/>
        </w:rPr>
        <w:t>United States of America</w:t>
      </w:r>
      <w:r w:rsidR="0021648E">
        <w:rPr>
          <w:rFonts w:cs="Arial"/>
          <w:spacing w:val="-2"/>
        </w:rPr>
        <w:t xml:space="preserve">, </w:t>
      </w:r>
      <w:r w:rsidR="00C119CB" w:rsidRPr="00B11E67">
        <w:rPr>
          <w:rFonts w:cs="Arial"/>
          <w:spacing w:val="-2"/>
        </w:rPr>
        <w:t xml:space="preserve">APSA, </w:t>
      </w:r>
      <w:r w:rsidR="00A176AE" w:rsidRPr="00B11E67">
        <w:rPr>
          <w:rFonts w:cs="Arial"/>
          <w:spacing w:val="-2"/>
        </w:rPr>
        <w:t>Association for Plant Breeding for the Benefit of Society (</w:t>
      </w:r>
      <w:proofErr w:type="spellStart"/>
      <w:r w:rsidR="00A176AE" w:rsidRPr="00B11E67">
        <w:rPr>
          <w:rFonts w:cs="Arial"/>
          <w:spacing w:val="-2"/>
        </w:rPr>
        <w:t>APBREBES</w:t>
      </w:r>
      <w:proofErr w:type="spellEnd"/>
      <w:r w:rsidR="00A176AE" w:rsidRPr="00B11E67">
        <w:rPr>
          <w:rFonts w:cs="Arial"/>
          <w:spacing w:val="-2"/>
        </w:rPr>
        <w:t xml:space="preserve">), </w:t>
      </w:r>
      <w:proofErr w:type="spellStart"/>
      <w:r w:rsidR="00C119CB" w:rsidRPr="00B11E67">
        <w:rPr>
          <w:rFonts w:cs="Arial"/>
          <w:spacing w:val="-2"/>
        </w:rPr>
        <w:t>CIOPORA</w:t>
      </w:r>
      <w:proofErr w:type="spellEnd"/>
      <w:r w:rsidR="00C119CB" w:rsidRPr="00B11E67">
        <w:rPr>
          <w:rFonts w:cs="Arial"/>
          <w:spacing w:val="-2"/>
        </w:rPr>
        <w:t xml:space="preserve">, </w:t>
      </w:r>
      <w:proofErr w:type="spellStart"/>
      <w:r w:rsidR="0037797B" w:rsidRPr="00B11E67">
        <w:rPr>
          <w:rFonts w:eastAsiaTheme="minorEastAsia" w:cs="Arial"/>
          <w:spacing w:val="-2"/>
        </w:rPr>
        <w:t>CropLife</w:t>
      </w:r>
      <w:proofErr w:type="spellEnd"/>
      <w:r w:rsidR="0037797B" w:rsidRPr="00B11E67">
        <w:rPr>
          <w:rFonts w:eastAsiaTheme="minorEastAsia" w:cs="Arial"/>
          <w:spacing w:val="-2"/>
        </w:rPr>
        <w:t xml:space="preserve"> International</w:t>
      </w:r>
      <w:r w:rsidR="0037797B" w:rsidRPr="00B11E67">
        <w:rPr>
          <w:rFonts w:cs="Arial"/>
          <w:spacing w:val="-2"/>
        </w:rPr>
        <w:t xml:space="preserve">, </w:t>
      </w:r>
      <w:proofErr w:type="spellStart"/>
      <w:r w:rsidR="00A176AE" w:rsidRPr="00B11E67">
        <w:rPr>
          <w:rFonts w:cs="Arial"/>
          <w:spacing w:val="-2"/>
        </w:rPr>
        <w:t>Euroseeds</w:t>
      </w:r>
      <w:proofErr w:type="spellEnd"/>
      <w:r w:rsidR="00A176AE" w:rsidRPr="00B11E67">
        <w:rPr>
          <w:rFonts w:cs="Arial"/>
          <w:spacing w:val="-2"/>
        </w:rPr>
        <w:t xml:space="preserve">, </w:t>
      </w:r>
      <w:proofErr w:type="spellStart"/>
      <w:r w:rsidR="00C119CB" w:rsidRPr="00B11E67">
        <w:rPr>
          <w:rFonts w:cs="Arial"/>
          <w:spacing w:val="-2"/>
        </w:rPr>
        <w:t>ISF</w:t>
      </w:r>
      <w:proofErr w:type="spellEnd"/>
      <w:r w:rsidR="00C119CB" w:rsidRPr="00B11E67">
        <w:rPr>
          <w:rFonts w:cs="Arial"/>
          <w:spacing w:val="-2"/>
        </w:rPr>
        <w:t xml:space="preserve"> and SAA</w:t>
      </w:r>
      <w:r w:rsidR="00BD09DC" w:rsidRPr="00B11E67">
        <w:rPr>
          <w:rFonts w:cs="Arial"/>
          <w:spacing w:val="-2"/>
        </w:rPr>
        <w:t>.</w:t>
      </w:r>
    </w:p>
    <w:p w:rsidR="00DC0C46" w:rsidRPr="003E3B7B" w:rsidRDefault="00DC0C46" w:rsidP="00FB7515">
      <w:pPr>
        <w:pStyle w:val="Heading3"/>
      </w:pPr>
    </w:p>
    <w:p w:rsidR="00784037" w:rsidRPr="003E3B7B" w:rsidRDefault="00784037" w:rsidP="00FB7515">
      <w:pPr>
        <w:pStyle w:val="Heading3"/>
      </w:pPr>
      <w:bookmarkStart w:id="16" w:name="_Toc48316709"/>
      <w:r w:rsidRPr="003E3B7B">
        <w:t>Tentative date for the first meeting of the WG-EDV</w:t>
      </w:r>
      <w:bookmarkEnd w:id="16"/>
    </w:p>
    <w:p w:rsidR="0017763C" w:rsidRPr="003E3B7B" w:rsidRDefault="0017763C">
      <w:pPr>
        <w:jc w:val="left"/>
      </w:pPr>
    </w:p>
    <w:p w:rsidR="00784037" w:rsidRDefault="008713BF" w:rsidP="00784037">
      <w:r w:rsidRPr="003E3B7B">
        <w:rPr>
          <w:rFonts w:cs="Arial"/>
          <w:spacing w:val="-2"/>
        </w:rPr>
        <w:fldChar w:fldCharType="begin"/>
      </w:r>
      <w:r w:rsidRPr="003E3B7B">
        <w:rPr>
          <w:rFonts w:cs="Arial"/>
          <w:spacing w:val="-2"/>
        </w:rPr>
        <w:instrText xml:space="preserve"> AUTONUM  </w:instrText>
      </w:r>
      <w:r w:rsidRPr="003E3B7B">
        <w:rPr>
          <w:rFonts w:cs="Arial"/>
          <w:spacing w:val="-2"/>
        </w:rPr>
        <w:fldChar w:fldCharType="end"/>
      </w:r>
      <w:r w:rsidRPr="003E3B7B">
        <w:rPr>
          <w:rFonts w:cs="Arial"/>
          <w:spacing w:val="-2"/>
        </w:rPr>
        <w:tab/>
      </w:r>
      <w:r w:rsidR="00784037" w:rsidRPr="003E3B7B">
        <w:t xml:space="preserve">In recognition of the difficulties in organizing physical meetings at this time and taking into consideration that the UPOV Sessions in October 2020 will be held in the form of virtual meetings, it is proposed to hold the first </w:t>
      </w:r>
      <w:r w:rsidR="00784037" w:rsidRPr="003E3B7B">
        <w:rPr>
          <w:rFonts w:cs="Arial"/>
        </w:rPr>
        <w:t>meeting of the</w:t>
      </w:r>
      <w:r w:rsidR="00784037" w:rsidRPr="003E3B7B">
        <w:t xml:space="preserve"> WG-EDV in the form of </w:t>
      </w:r>
      <w:r w:rsidR="00ED7939" w:rsidRPr="003E3B7B">
        <w:t xml:space="preserve">a virtual meeting on </w:t>
      </w:r>
      <w:r w:rsidR="001A1D10" w:rsidRPr="003E3B7B">
        <w:t>December 8, 2020</w:t>
      </w:r>
      <w:r w:rsidR="00784037" w:rsidRPr="003E3B7B">
        <w:t>.</w:t>
      </w:r>
      <w:r w:rsidR="00784037" w:rsidRPr="001C664F">
        <w:t xml:space="preserve"> </w:t>
      </w:r>
    </w:p>
    <w:p w:rsidR="001A1D10" w:rsidRPr="001C664F" w:rsidRDefault="001A1D10" w:rsidP="00784037"/>
    <w:p w:rsidR="00784037" w:rsidRDefault="00784037" w:rsidP="00784037"/>
    <w:p w:rsidR="00784037" w:rsidRDefault="00784037" w:rsidP="00784037">
      <w:pPr>
        <w:pStyle w:val="DecisionParagraphs"/>
      </w:pPr>
      <w:r w:rsidRPr="00DB51B4">
        <w:fldChar w:fldCharType="begin"/>
      </w:r>
      <w:r w:rsidRPr="00DB51B4">
        <w:instrText xml:space="preserve"> AUTONUM  </w:instrText>
      </w:r>
      <w:r w:rsidRPr="00DB51B4">
        <w:fldChar w:fldCharType="end"/>
      </w:r>
      <w:r w:rsidRPr="00DB51B4">
        <w:tab/>
        <w:t>The CAJ is invited to:</w:t>
      </w:r>
    </w:p>
    <w:p w:rsidR="00D71C35" w:rsidRDefault="00D71C35" w:rsidP="00D71C35">
      <w:pPr>
        <w:pStyle w:val="DecisionParagraphs"/>
        <w:ind w:left="0"/>
        <w:rPr>
          <w:rFonts w:cs="Arial"/>
        </w:rPr>
      </w:pPr>
    </w:p>
    <w:p w:rsidR="00784037" w:rsidRDefault="00634B66" w:rsidP="00784037">
      <w:pPr>
        <w:pStyle w:val="DecisionParagraphs"/>
        <w:rPr>
          <w:rFonts w:cs="Arial"/>
        </w:rPr>
      </w:pPr>
      <w:r>
        <w:rPr>
          <w:rFonts w:cs="Arial"/>
        </w:rPr>
        <w:tab/>
        <w:t>(a</w:t>
      </w:r>
      <w:r w:rsidR="00784037">
        <w:rPr>
          <w:rFonts w:cs="Arial"/>
        </w:rPr>
        <w:t>)</w:t>
      </w:r>
      <w:r w:rsidR="00784037">
        <w:rPr>
          <w:rFonts w:cs="Arial"/>
        </w:rPr>
        <w:tab/>
      </w:r>
      <w:r w:rsidR="0030105A">
        <w:rPr>
          <w:rFonts w:cs="Arial"/>
        </w:rPr>
        <w:t xml:space="preserve">establish the WG-EDV and </w:t>
      </w:r>
      <w:r w:rsidR="00784037" w:rsidRPr="006661C0">
        <w:rPr>
          <w:rFonts w:cs="Arial"/>
        </w:rPr>
        <w:t>approve</w:t>
      </w:r>
      <w:r w:rsidR="00784037">
        <w:rPr>
          <w:rFonts w:cs="Arial"/>
        </w:rPr>
        <w:t xml:space="preserve"> the terms of reference</w:t>
      </w:r>
      <w:r w:rsidR="00B76359">
        <w:rPr>
          <w:rFonts w:cs="Arial"/>
        </w:rPr>
        <w:t xml:space="preserve"> for the WG-EDV</w:t>
      </w:r>
      <w:r w:rsidR="00784037" w:rsidRPr="006661C0">
        <w:rPr>
          <w:rFonts w:cs="Arial"/>
        </w:rPr>
        <w:t xml:space="preserve">, </w:t>
      </w:r>
      <w:r w:rsidR="00784037">
        <w:rPr>
          <w:rFonts w:cs="Arial"/>
        </w:rPr>
        <w:t xml:space="preserve">as set out in </w:t>
      </w:r>
      <w:r w:rsidR="00D71C35">
        <w:rPr>
          <w:rFonts w:cs="Arial"/>
        </w:rPr>
        <w:t xml:space="preserve">Annex </w:t>
      </w:r>
      <w:r w:rsidR="0030105A">
        <w:rPr>
          <w:rFonts w:cs="Arial"/>
        </w:rPr>
        <w:t> </w:t>
      </w:r>
      <w:r w:rsidR="00D71C35">
        <w:rPr>
          <w:rFonts w:cs="Arial"/>
        </w:rPr>
        <w:t>II to this document, in conjunction with the modified “</w:t>
      </w:r>
      <w:r w:rsidR="00D71C35" w:rsidRPr="00D71C35">
        <w:rPr>
          <w:rFonts w:cs="Arial"/>
        </w:rPr>
        <w:t>Policy issues in conjunction with the breeders’ customs and practices</w:t>
      </w:r>
      <w:r w:rsidR="00D71C35">
        <w:rPr>
          <w:rFonts w:cs="Arial"/>
        </w:rPr>
        <w:t>” in Annex I of this document</w:t>
      </w:r>
      <w:r w:rsidR="00784037">
        <w:rPr>
          <w:rFonts w:cs="Arial"/>
        </w:rPr>
        <w:t xml:space="preserve">; </w:t>
      </w:r>
    </w:p>
    <w:p w:rsidR="00784037" w:rsidRDefault="00784037" w:rsidP="00784037">
      <w:pPr>
        <w:pStyle w:val="DecisionParagraphs"/>
        <w:rPr>
          <w:rFonts w:cs="Arial"/>
        </w:rPr>
      </w:pPr>
    </w:p>
    <w:p w:rsidR="00784037" w:rsidRPr="003E3B7B" w:rsidRDefault="00634B66" w:rsidP="00784037">
      <w:pPr>
        <w:pStyle w:val="DecisionParagraphs"/>
        <w:rPr>
          <w:rFonts w:cs="Arial"/>
        </w:rPr>
      </w:pPr>
      <w:r>
        <w:rPr>
          <w:rFonts w:cs="Arial"/>
        </w:rPr>
        <w:tab/>
      </w:r>
      <w:r w:rsidRPr="003E3B7B">
        <w:rPr>
          <w:rFonts w:cs="Arial"/>
        </w:rPr>
        <w:t>(b</w:t>
      </w:r>
      <w:r w:rsidR="00784037" w:rsidRPr="003E3B7B">
        <w:rPr>
          <w:rFonts w:cs="Arial"/>
        </w:rPr>
        <w:t>)</w:t>
      </w:r>
      <w:r w:rsidR="00784037" w:rsidRPr="003E3B7B">
        <w:rPr>
          <w:rFonts w:cs="Arial"/>
        </w:rPr>
        <w:tab/>
        <w:t xml:space="preserve">approve the composition of the WG-EDV, as set out in paragraph </w:t>
      </w:r>
      <w:r w:rsidR="00B76359" w:rsidRPr="003E3B7B">
        <w:rPr>
          <w:rFonts w:cs="Arial"/>
        </w:rPr>
        <w:t>15</w:t>
      </w:r>
      <w:r w:rsidR="00EE3296" w:rsidRPr="003E3B7B">
        <w:rPr>
          <w:rFonts w:cs="Arial"/>
        </w:rPr>
        <w:t>;</w:t>
      </w:r>
    </w:p>
    <w:p w:rsidR="00EE3296" w:rsidRPr="003E3B7B" w:rsidRDefault="00EE3296" w:rsidP="00784037">
      <w:pPr>
        <w:pStyle w:val="DecisionParagraphs"/>
        <w:rPr>
          <w:rFonts w:cs="Arial"/>
        </w:rPr>
      </w:pPr>
    </w:p>
    <w:p w:rsidR="001519EF" w:rsidRPr="003E3B7B" w:rsidRDefault="00634B66" w:rsidP="00784037">
      <w:pPr>
        <w:pStyle w:val="DecisionParagraphs"/>
        <w:rPr>
          <w:rFonts w:cs="Arial"/>
        </w:rPr>
      </w:pPr>
      <w:r w:rsidRPr="003E3B7B">
        <w:rPr>
          <w:rFonts w:cs="Arial"/>
        </w:rPr>
        <w:tab/>
        <w:t>(c</w:t>
      </w:r>
      <w:r w:rsidR="00784037" w:rsidRPr="003E3B7B">
        <w:rPr>
          <w:rFonts w:cs="Arial"/>
        </w:rPr>
        <w:t>)</w:t>
      </w:r>
      <w:r w:rsidR="00784037" w:rsidRPr="003E3B7B">
        <w:rPr>
          <w:rFonts w:cs="Arial"/>
        </w:rPr>
        <w:tab/>
        <w:t xml:space="preserve">approve the tentative date for the first meeting of the WG-EDV, as set out in paragraph </w:t>
      </w:r>
      <w:r w:rsidR="00B76359" w:rsidRPr="003E3B7B">
        <w:rPr>
          <w:rFonts w:cs="Arial"/>
        </w:rPr>
        <w:t>16</w:t>
      </w:r>
      <w:r w:rsidR="001519EF" w:rsidRPr="003E3B7B">
        <w:rPr>
          <w:rFonts w:cs="Arial"/>
        </w:rPr>
        <w:t xml:space="preserve">; </w:t>
      </w:r>
      <w:r w:rsidR="00EE3296" w:rsidRPr="003E3B7B">
        <w:rPr>
          <w:rFonts w:cs="Arial"/>
        </w:rPr>
        <w:t xml:space="preserve"> </w:t>
      </w:r>
      <w:r w:rsidR="001519EF" w:rsidRPr="003E3B7B">
        <w:rPr>
          <w:rFonts w:cs="Arial"/>
        </w:rPr>
        <w:t>and</w:t>
      </w:r>
    </w:p>
    <w:p w:rsidR="001519EF" w:rsidRPr="003E3B7B" w:rsidRDefault="001519EF" w:rsidP="00784037">
      <w:pPr>
        <w:pStyle w:val="DecisionParagraphs"/>
        <w:rPr>
          <w:rFonts w:cs="Arial"/>
        </w:rPr>
      </w:pPr>
    </w:p>
    <w:p w:rsidR="00784037" w:rsidRPr="00634B66" w:rsidRDefault="00634B66" w:rsidP="00634B66">
      <w:pPr>
        <w:pStyle w:val="DecisionParagraphs"/>
        <w:rPr>
          <w:rFonts w:cs="Arial"/>
        </w:rPr>
      </w:pPr>
      <w:r w:rsidRPr="003E3B7B">
        <w:rPr>
          <w:rFonts w:cs="Arial"/>
        </w:rPr>
        <w:tab/>
        <w:t>(d)</w:t>
      </w:r>
      <w:r w:rsidRPr="003E3B7B">
        <w:rPr>
          <w:rFonts w:cs="Arial"/>
        </w:rPr>
        <w:tab/>
      </w:r>
      <w:r w:rsidR="001519EF" w:rsidRPr="003E3B7B">
        <w:t>request the WG-EDV to propose a timeline for its work at its first meeting, for consideration</w:t>
      </w:r>
      <w:r w:rsidR="001519EF">
        <w:t xml:space="preserve"> by the CAJ at its session</w:t>
      </w:r>
      <w:r w:rsidR="001A1D10">
        <w:t xml:space="preserve"> in 2021</w:t>
      </w:r>
      <w:r>
        <w:t>.</w:t>
      </w:r>
    </w:p>
    <w:p w:rsidR="0017763C" w:rsidRDefault="0017763C">
      <w:pPr>
        <w:jc w:val="left"/>
      </w:pPr>
    </w:p>
    <w:p w:rsidR="0017763C" w:rsidRDefault="0017763C">
      <w:pPr>
        <w:jc w:val="left"/>
      </w:pPr>
    </w:p>
    <w:p w:rsidR="00050E16" w:rsidRPr="00C651CE" w:rsidRDefault="00050E16" w:rsidP="00050E16"/>
    <w:p w:rsidR="009B440E" w:rsidRDefault="00050E16" w:rsidP="00050E16">
      <w:pPr>
        <w:jc w:val="right"/>
      </w:pPr>
      <w:r w:rsidRPr="00C5280D">
        <w:t>[</w:t>
      </w:r>
      <w:r w:rsidR="001C7E9C">
        <w:t xml:space="preserve">Annex </w:t>
      </w:r>
      <w:r w:rsidR="00B76359">
        <w:t xml:space="preserve">I </w:t>
      </w:r>
      <w:r w:rsidR="001C7E9C">
        <w:t>follows</w:t>
      </w:r>
      <w:r w:rsidRPr="00C5280D">
        <w:t>]</w:t>
      </w:r>
    </w:p>
    <w:p w:rsidR="00903264" w:rsidRDefault="00903264">
      <w:pPr>
        <w:jc w:val="left"/>
      </w:pPr>
    </w:p>
    <w:p w:rsidR="001C7E9C" w:rsidRDefault="001C7E9C" w:rsidP="009B440E">
      <w:pPr>
        <w:jc w:val="left"/>
        <w:sectPr w:rsidR="001C7E9C" w:rsidSect="00906DDC">
          <w:headerReference w:type="default" r:id="rId11"/>
          <w:pgSz w:w="11907" w:h="16840" w:code="9"/>
          <w:pgMar w:top="510" w:right="1134" w:bottom="1134" w:left="1134" w:header="510" w:footer="680" w:gutter="0"/>
          <w:cols w:space="720"/>
          <w:titlePg/>
        </w:sectPr>
      </w:pPr>
    </w:p>
    <w:p w:rsidR="001C7E9C" w:rsidRPr="00CF257C" w:rsidRDefault="00CF257C" w:rsidP="00CF257C">
      <w:pPr>
        <w:jc w:val="center"/>
      </w:pPr>
      <w:bookmarkStart w:id="17" w:name="_Toc48316461"/>
      <w:r w:rsidRPr="00CF257C">
        <w:lastRenderedPageBreak/>
        <w:t>POLICY ISSUES IN CONJUNCTION WITH THE BREEDERS’ CUSTOMS AND PRACTICES</w:t>
      </w:r>
      <w:bookmarkEnd w:id="17"/>
    </w:p>
    <w:p w:rsidR="001C7E9C" w:rsidRPr="001C7E9C" w:rsidRDefault="001C7E9C" w:rsidP="001C7E9C">
      <w:pPr>
        <w:ind w:left="-142"/>
        <w:jc w:val="center"/>
        <w:rPr>
          <w:rFonts w:cs="Arial"/>
        </w:rPr>
      </w:pPr>
    </w:p>
    <w:p w:rsidR="001C7E9C" w:rsidRPr="001C7E9C" w:rsidRDefault="001C7E9C" w:rsidP="001C7E9C">
      <w:r w:rsidRPr="001C7E9C">
        <w:t>This Annex contains the following:</w:t>
      </w:r>
    </w:p>
    <w:p w:rsidR="001C7E9C" w:rsidRPr="001C7E9C" w:rsidRDefault="001C7E9C" w:rsidP="001C7E9C"/>
    <w:p w:rsidR="001C7E9C" w:rsidRPr="001C7E9C" w:rsidRDefault="001C7E9C" w:rsidP="001C7E9C">
      <w:pPr>
        <w:tabs>
          <w:tab w:val="left" w:pos="1134"/>
        </w:tabs>
        <w:ind w:firstLine="360"/>
      </w:pPr>
      <w:r w:rsidRPr="001C7E9C">
        <w:t>(a)</w:t>
      </w:r>
      <w:r w:rsidRPr="001C7E9C">
        <w:tab/>
        <w:t>Appendix I:  Policy issues;  and</w:t>
      </w:r>
    </w:p>
    <w:p w:rsidR="001C7E9C" w:rsidRPr="001C7E9C" w:rsidRDefault="001C7E9C" w:rsidP="001C7E9C">
      <w:pPr>
        <w:ind w:left="720"/>
        <w:contextualSpacing/>
      </w:pPr>
    </w:p>
    <w:p w:rsidR="001C7E9C" w:rsidRPr="001C7E9C" w:rsidRDefault="001C7E9C" w:rsidP="001C7E9C">
      <w:pPr>
        <w:ind w:firstLine="360"/>
      </w:pPr>
      <w:r w:rsidRPr="001C7E9C">
        <w:t>(b)</w:t>
      </w:r>
      <w:r w:rsidRPr="001C7E9C">
        <w:tab/>
        <w:t xml:space="preserve">Appendix II:  Breeders’ customs and practices. </w:t>
      </w:r>
    </w:p>
    <w:p w:rsidR="001C7E9C" w:rsidRPr="001C7E9C" w:rsidRDefault="001C7E9C" w:rsidP="001C7E9C"/>
    <w:p w:rsidR="001C7E9C" w:rsidRPr="001C7E9C" w:rsidRDefault="001C7E9C" w:rsidP="001C7E9C">
      <w:pPr>
        <w:jc w:val="left"/>
      </w:pPr>
    </w:p>
    <w:p w:rsidR="001C7E9C" w:rsidRPr="001C7E9C" w:rsidRDefault="001C7E9C" w:rsidP="001C7E9C">
      <w:pPr>
        <w:jc w:val="left"/>
      </w:pPr>
    </w:p>
    <w:p w:rsidR="00D432C2" w:rsidRDefault="00D432C2" w:rsidP="00D432C2">
      <w:pPr>
        <w:jc w:val="right"/>
      </w:pPr>
      <w:r w:rsidRPr="00C5280D">
        <w:t>[</w:t>
      </w:r>
      <w:r>
        <w:t>Appendix I follows</w:t>
      </w:r>
      <w:r w:rsidRPr="00C5280D">
        <w:t>]</w:t>
      </w:r>
    </w:p>
    <w:p w:rsidR="001C7E9C" w:rsidRPr="001C7E9C" w:rsidRDefault="001C7E9C" w:rsidP="001C7E9C">
      <w:pPr>
        <w:autoSpaceDE w:val="0"/>
        <w:autoSpaceDN w:val="0"/>
        <w:contextualSpacing/>
        <w:rPr>
          <w:rFonts w:eastAsia="Calibri" w:cs="Arial"/>
          <w:iCs/>
          <w:spacing w:val="-2"/>
          <w:highlight w:val="lightGray"/>
        </w:rPr>
      </w:pPr>
    </w:p>
    <w:p w:rsidR="001C7E9C" w:rsidRPr="001C7E9C" w:rsidRDefault="001C7E9C" w:rsidP="001C7E9C">
      <w:pPr>
        <w:autoSpaceDE w:val="0"/>
        <w:autoSpaceDN w:val="0"/>
        <w:contextualSpacing/>
      </w:pPr>
    </w:p>
    <w:p w:rsidR="001C7E9C" w:rsidRPr="001C7E9C" w:rsidRDefault="001C7E9C" w:rsidP="001C7E9C">
      <w:pPr>
        <w:autoSpaceDE w:val="0"/>
        <w:autoSpaceDN w:val="0"/>
        <w:contextualSpacing/>
      </w:pPr>
    </w:p>
    <w:p w:rsidR="001C7E9C" w:rsidRPr="001C7E9C" w:rsidRDefault="001C7E9C" w:rsidP="001C7E9C">
      <w:pPr>
        <w:autoSpaceDE w:val="0"/>
        <w:autoSpaceDN w:val="0"/>
        <w:contextualSpacing/>
      </w:pPr>
    </w:p>
    <w:p w:rsidR="001C7E9C" w:rsidRPr="001C7E9C" w:rsidRDefault="001C7E9C" w:rsidP="001C7E9C">
      <w:pPr>
        <w:autoSpaceDE w:val="0"/>
        <w:autoSpaceDN w:val="0"/>
        <w:contextualSpacing/>
      </w:pPr>
    </w:p>
    <w:p w:rsidR="001C7E9C" w:rsidRPr="001C7E9C" w:rsidRDefault="001C7E9C" w:rsidP="001C7E9C"/>
    <w:p w:rsidR="001C7E9C" w:rsidRPr="001C7E9C" w:rsidRDefault="001C7E9C" w:rsidP="001C7E9C"/>
    <w:p w:rsidR="001C7E9C" w:rsidRPr="001C7E9C" w:rsidRDefault="001C7E9C" w:rsidP="001C7E9C"/>
    <w:p w:rsidR="001C7E9C" w:rsidRPr="001C7E9C" w:rsidRDefault="001C7E9C" w:rsidP="001C7E9C"/>
    <w:p w:rsidR="001C7E9C" w:rsidRPr="001C7E9C" w:rsidRDefault="001C7E9C" w:rsidP="001C7E9C">
      <w:pPr>
        <w:jc w:val="left"/>
        <w:sectPr w:rsidR="001C7E9C" w:rsidRPr="001C7E9C" w:rsidSect="00A24F4D">
          <w:headerReference w:type="first" r:id="rId12"/>
          <w:pgSz w:w="11907" w:h="16840" w:code="9"/>
          <w:pgMar w:top="567" w:right="1134" w:bottom="567" w:left="1134" w:header="510" w:footer="624" w:gutter="0"/>
          <w:cols w:space="720"/>
          <w:titlePg/>
          <w:docGrid w:linePitch="272"/>
        </w:sectPr>
      </w:pPr>
    </w:p>
    <w:p w:rsidR="001C7E9C" w:rsidRPr="00CF257C" w:rsidRDefault="001C7E9C" w:rsidP="00CF257C">
      <w:pPr>
        <w:jc w:val="center"/>
      </w:pPr>
      <w:r w:rsidRPr="00CF257C">
        <w:lastRenderedPageBreak/>
        <w:t>POLICY ISSUES</w:t>
      </w:r>
    </w:p>
    <w:p w:rsidR="001C7E9C" w:rsidRPr="001C7E9C" w:rsidRDefault="001C7E9C" w:rsidP="001C7E9C"/>
    <w:p w:rsidR="001C7E9C" w:rsidRPr="001C7E9C" w:rsidRDefault="001C7E9C" w:rsidP="001C7E9C"/>
    <w:p w:rsidR="001C7E9C" w:rsidRPr="001C7E9C" w:rsidRDefault="00CF257C" w:rsidP="00CF257C">
      <w:pPr>
        <w:rPr>
          <w:caps/>
        </w:rPr>
      </w:pPr>
      <w:bookmarkStart w:id="18" w:name="_Toc47557366"/>
      <w:bookmarkStart w:id="19" w:name="_Toc48316462"/>
      <w:r w:rsidRPr="00CF257C">
        <w:t>GENERAL ISSUES</w:t>
      </w:r>
      <w:bookmarkEnd w:id="18"/>
      <w:r w:rsidR="00261F65">
        <w:rPr>
          <w:rStyle w:val="FootnoteReference"/>
          <w:caps/>
        </w:rPr>
        <w:footnoteReference w:id="2"/>
      </w:r>
      <w:bookmarkEnd w:id="19"/>
    </w:p>
    <w:p w:rsidR="001C7E9C" w:rsidRPr="001C7E9C" w:rsidRDefault="001C7E9C" w:rsidP="001C7E9C"/>
    <w:p w:rsidR="001C7E9C" w:rsidRPr="001C7E9C" w:rsidRDefault="001C7E9C" w:rsidP="001C7E9C">
      <w:pPr>
        <w:tabs>
          <w:tab w:val="left" w:pos="1134"/>
        </w:tabs>
        <w:ind w:firstLine="567"/>
      </w:pPr>
      <w:r w:rsidRPr="001C7E9C">
        <w:t>(a)</w:t>
      </w:r>
      <w:r w:rsidRPr="001C7E9C">
        <w:tab/>
        <w:t>The role of the EDV concept “to maximize benefits to society in terms of maximizing progress in breeding” (see summary by the Chair of the CAJ concerning the outcome of the “Seminar on the impact of policy on essentially derived varieties (EDVs) on breeding strategy”, document CAJ/76/9 “Report”, paragraph 11), and, in particular:</w:t>
      </w:r>
    </w:p>
    <w:p w:rsidR="001C7E9C" w:rsidRPr="001C7E9C" w:rsidRDefault="001C7E9C" w:rsidP="001C7E9C">
      <w:pPr>
        <w:tabs>
          <w:tab w:val="left" w:pos="567"/>
        </w:tabs>
        <w:ind w:left="567"/>
        <w:contextualSpacing/>
      </w:pPr>
    </w:p>
    <w:p w:rsidR="001C7E9C" w:rsidRPr="001C7E9C" w:rsidRDefault="001C7E9C" w:rsidP="001C7E9C">
      <w:pPr>
        <w:tabs>
          <w:tab w:val="left" w:pos="1701"/>
        </w:tabs>
        <w:ind w:left="1701" w:hanging="567"/>
      </w:pPr>
      <w:r w:rsidRPr="001C7E9C">
        <w:t>(i)</w:t>
      </w:r>
      <w:r w:rsidRPr="001C7E9C">
        <w:tab/>
      </w:r>
      <w:r w:rsidRPr="001C7E9C">
        <w:rPr>
          <w:spacing w:val="-2"/>
        </w:rPr>
        <w:t>providing incentives for breeders to use genetic diversity (see issue</w:t>
      </w:r>
      <w:r w:rsidR="008A1FAB">
        <w:rPr>
          <w:spacing w:val="-2"/>
        </w:rPr>
        <w:t>s</w:t>
      </w:r>
      <w:r w:rsidRPr="001C7E9C">
        <w:rPr>
          <w:spacing w:val="-2"/>
        </w:rPr>
        <w:t xml:space="preserve"> </w:t>
      </w:r>
      <w:r w:rsidR="008A1FAB">
        <w:rPr>
          <w:spacing w:val="-2"/>
        </w:rPr>
        <w:t>5, 6</w:t>
      </w:r>
      <w:r w:rsidRPr="001C7E9C">
        <w:rPr>
          <w:spacing w:val="-2"/>
        </w:rPr>
        <w:t>, practices 4, 9, 24);</w:t>
      </w:r>
    </w:p>
    <w:p w:rsidR="001C7E9C" w:rsidRPr="001C7E9C" w:rsidRDefault="001C7E9C" w:rsidP="001C7E9C">
      <w:pPr>
        <w:tabs>
          <w:tab w:val="left" w:pos="1701"/>
        </w:tabs>
        <w:ind w:left="1701" w:hanging="567"/>
        <w:contextualSpacing/>
      </w:pPr>
    </w:p>
    <w:p w:rsidR="001C7E9C" w:rsidRPr="001C7E9C" w:rsidRDefault="001C7E9C" w:rsidP="001C7E9C">
      <w:pPr>
        <w:tabs>
          <w:tab w:val="left" w:pos="1701"/>
        </w:tabs>
        <w:ind w:left="1701" w:hanging="567"/>
        <w:contextualSpacing/>
      </w:pPr>
      <w:r w:rsidRPr="001C7E9C">
        <w:t>(ii)</w:t>
      </w:r>
      <w:r w:rsidRPr="001C7E9C">
        <w:tab/>
        <w:t xml:space="preserve">predominant derivation to be considered the key element of the EDV concept (see issues  </w:t>
      </w:r>
      <w:r w:rsidR="008A1FAB">
        <w:t>29, 32, 50</w:t>
      </w:r>
      <w:r w:rsidRPr="001C7E9C">
        <w:t xml:space="preserve">, </w:t>
      </w:r>
      <w:r w:rsidR="008A1FAB">
        <w:t>51</w:t>
      </w:r>
      <w:r w:rsidRPr="001C7E9C">
        <w:t xml:space="preserve">, </w:t>
      </w:r>
      <w:r w:rsidR="008A1FAB">
        <w:t>54</w:t>
      </w:r>
      <w:r w:rsidRPr="001C7E9C">
        <w:t xml:space="preserve">, </w:t>
      </w:r>
      <w:r w:rsidR="008A1FAB">
        <w:t>60</w:t>
      </w:r>
      <w:r w:rsidRPr="001C7E9C">
        <w:t>, practices 6, 7, 22 and 23);</w:t>
      </w:r>
    </w:p>
    <w:p w:rsidR="001C7E9C" w:rsidRPr="001C7E9C" w:rsidRDefault="001C7E9C" w:rsidP="001C7E9C">
      <w:pPr>
        <w:tabs>
          <w:tab w:val="left" w:pos="1701"/>
        </w:tabs>
        <w:ind w:left="1701" w:hanging="567"/>
        <w:contextualSpacing/>
      </w:pPr>
    </w:p>
    <w:p w:rsidR="001C7E9C" w:rsidRPr="001C7E9C" w:rsidRDefault="001C7E9C" w:rsidP="001C7E9C">
      <w:pPr>
        <w:tabs>
          <w:tab w:val="left" w:pos="1701"/>
        </w:tabs>
        <w:ind w:left="1701" w:hanging="567"/>
      </w:pPr>
      <w:r w:rsidRPr="001C7E9C">
        <w:t>(iii)</w:t>
      </w:r>
      <w:r w:rsidRPr="001C7E9C">
        <w:tab/>
        <w:t>whether mutants should be considered to be EDVs (see issues 1</w:t>
      </w:r>
      <w:r w:rsidR="008A1FAB">
        <w:t>8</w:t>
      </w:r>
      <w:r w:rsidRPr="001C7E9C">
        <w:t xml:space="preserve">, </w:t>
      </w:r>
      <w:r w:rsidR="008A1FAB">
        <w:t>21</w:t>
      </w:r>
      <w:r w:rsidRPr="001C7E9C">
        <w:t xml:space="preserve">, </w:t>
      </w:r>
      <w:r w:rsidR="008A1FAB">
        <w:t>25</w:t>
      </w:r>
      <w:r w:rsidRPr="001C7E9C">
        <w:t xml:space="preserve">, </w:t>
      </w:r>
      <w:r w:rsidR="008A1FAB">
        <w:t>29</w:t>
      </w:r>
      <w:r w:rsidRPr="001C7E9C">
        <w:t xml:space="preserve">, </w:t>
      </w:r>
      <w:r w:rsidR="008A1FAB">
        <w:t>32</w:t>
      </w:r>
      <w:r w:rsidRPr="001C7E9C">
        <w:t xml:space="preserve">, </w:t>
      </w:r>
      <w:r w:rsidR="008A1FAB" w:rsidRPr="008A1FAB">
        <w:t>64</w:t>
      </w:r>
      <w:r w:rsidR="009C27B8">
        <w:t xml:space="preserve">, </w:t>
      </w:r>
      <w:r w:rsidRPr="001C7E9C">
        <w:t>practices 10, 11, 13, 15);</w:t>
      </w:r>
    </w:p>
    <w:p w:rsidR="001C7E9C" w:rsidRPr="001C7E9C" w:rsidRDefault="001C7E9C" w:rsidP="001C7E9C">
      <w:pPr>
        <w:tabs>
          <w:tab w:val="left" w:pos="1701"/>
        </w:tabs>
        <w:ind w:left="1701" w:hanging="567"/>
      </w:pPr>
    </w:p>
    <w:p w:rsidR="001C7E9C" w:rsidRPr="001C7E9C" w:rsidRDefault="001C7E9C" w:rsidP="001C7E9C">
      <w:pPr>
        <w:numPr>
          <w:ilvl w:val="0"/>
          <w:numId w:val="38"/>
        </w:numPr>
        <w:tabs>
          <w:tab w:val="left" w:pos="1701"/>
        </w:tabs>
        <w:ind w:left="1701" w:hanging="567"/>
        <w:contextualSpacing/>
      </w:pPr>
      <w:r w:rsidRPr="001C7E9C">
        <w:t xml:space="preserve">whether “except for the differences which result from the act of derivation” in the Convention should be understood as not setting a limit to the amount of difference that may exist between the initial variety and the EDV (e.g. mutations induced by radiation) (see </w:t>
      </w:r>
      <w:r w:rsidRPr="008A1FAB">
        <w:t>issue</w:t>
      </w:r>
      <w:r w:rsidR="008A1FAB" w:rsidRPr="008A1FAB">
        <w:t>s</w:t>
      </w:r>
      <w:r w:rsidRPr="008A1FAB">
        <w:t> </w:t>
      </w:r>
      <w:r w:rsidR="008A1FAB" w:rsidRPr="008A1FAB">
        <w:t>16</w:t>
      </w:r>
      <w:r w:rsidR="0086029E" w:rsidRPr="008A1FAB">
        <w:t>,</w:t>
      </w:r>
      <w:r w:rsidR="008A1FAB">
        <w:t>17,</w:t>
      </w:r>
      <w:r w:rsidR="0086029E" w:rsidRPr="008A1FAB">
        <w:t>18</w:t>
      </w:r>
      <w:r w:rsidRPr="001C7E9C">
        <w:t>);</w:t>
      </w:r>
    </w:p>
    <w:p w:rsidR="001C7E9C" w:rsidRPr="001C7E9C" w:rsidRDefault="001C7E9C" w:rsidP="001C7E9C">
      <w:pPr>
        <w:tabs>
          <w:tab w:val="left" w:pos="1701"/>
        </w:tabs>
        <w:ind w:left="1134"/>
      </w:pPr>
    </w:p>
    <w:p w:rsidR="001C7E9C" w:rsidRPr="001C7E9C" w:rsidRDefault="001C7E9C" w:rsidP="001C7E9C">
      <w:pPr>
        <w:tabs>
          <w:tab w:val="left" w:pos="1701"/>
        </w:tabs>
        <w:ind w:left="1701" w:hanging="567"/>
      </w:pPr>
      <w:r w:rsidRPr="001C7E9C">
        <w:t>(v)</w:t>
      </w:r>
      <w:r w:rsidRPr="001C7E9C">
        <w:tab/>
        <w:t xml:space="preserve">the role of DNA analysis and genetic thresholds in assessing genetic conformity with the initial variety.  How many </w:t>
      </w:r>
      <w:proofErr w:type="spellStart"/>
      <w:r w:rsidRPr="001C7E9C">
        <w:t>backcrossings</w:t>
      </w:r>
      <w:proofErr w:type="spellEnd"/>
      <w:r w:rsidRPr="001C7E9C">
        <w:t xml:space="preserve"> shou</w:t>
      </w:r>
      <w:r w:rsidR="00552579">
        <w:t>ld be considered? (see issues 31</w:t>
      </w:r>
      <w:r w:rsidRPr="001C7E9C">
        <w:t xml:space="preserve">, </w:t>
      </w:r>
      <w:r w:rsidR="00552579">
        <w:t>51, 54</w:t>
      </w:r>
      <w:r w:rsidRPr="001C7E9C">
        <w:t xml:space="preserve">, </w:t>
      </w:r>
      <w:r w:rsidR="00552579">
        <w:t>60</w:t>
      </w:r>
      <w:r w:rsidRPr="001C7E9C">
        <w:t xml:space="preserve">, </w:t>
      </w:r>
      <w:r w:rsidR="00552579" w:rsidRPr="00552579">
        <w:t>64</w:t>
      </w:r>
      <w:r w:rsidR="00747AFC" w:rsidRPr="00552579">
        <w:t>,</w:t>
      </w:r>
      <w:r w:rsidR="00747AFC">
        <w:t xml:space="preserve"> </w:t>
      </w:r>
      <w:r w:rsidRPr="001C7E9C">
        <w:t>practices 22, 23, 28);  and</w:t>
      </w:r>
    </w:p>
    <w:p w:rsidR="001C7E9C" w:rsidRPr="001C7E9C" w:rsidRDefault="001C7E9C" w:rsidP="001C7E9C">
      <w:pPr>
        <w:tabs>
          <w:tab w:val="left" w:pos="1701"/>
        </w:tabs>
        <w:ind w:left="1134"/>
      </w:pPr>
    </w:p>
    <w:p w:rsidR="001C7E9C" w:rsidRPr="001C7E9C" w:rsidRDefault="001C7E9C" w:rsidP="001C7E9C">
      <w:pPr>
        <w:tabs>
          <w:tab w:val="left" w:pos="1701"/>
        </w:tabs>
        <w:ind w:left="1701" w:hanging="567"/>
      </w:pPr>
      <w:r w:rsidRPr="001C7E9C">
        <w:t>(vi)</w:t>
      </w:r>
      <w:r w:rsidRPr="001C7E9C">
        <w:tab/>
        <w:t>impact of modern breeding methods on the EDV concept “</w:t>
      </w:r>
      <w:r w:rsidRPr="001C7E9C">
        <w:rPr>
          <w:rFonts w:cs="Arial"/>
        </w:rPr>
        <w:t>evolution of breeding technologies has created new opportunities/incentives for predominantly deriving varieties from initial varieties, more rapidly and at a lower cost”</w:t>
      </w:r>
      <w:r w:rsidRPr="001C7E9C">
        <w:t xml:space="preserve"> (see draft </w:t>
      </w:r>
      <w:proofErr w:type="spellStart"/>
      <w:r w:rsidRPr="001C7E9C">
        <w:t>ToR</w:t>
      </w:r>
      <w:proofErr w:type="spellEnd"/>
      <w:r w:rsidRPr="001C7E9C">
        <w:t xml:space="preserve"> on outcome of 2019 EDV Seminar and issues </w:t>
      </w:r>
      <w:r w:rsidRPr="00552579">
        <w:t xml:space="preserve">9, </w:t>
      </w:r>
      <w:r w:rsidR="00552579" w:rsidRPr="00552579">
        <w:t>22, 27, 30</w:t>
      </w:r>
      <w:r w:rsidRPr="00552579">
        <w:t xml:space="preserve">, </w:t>
      </w:r>
      <w:r w:rsidR="00552579" w:rsidRPr="00552579">
        <w:t>31</w:t>
      </w:r>
      <w:r w:rsidR="0086029E" w:rsidRPr="00552579">
        <w:t xml:space="preserve">, </w:t>
      </w:r>
      <w:r w:rsidR="00552579" w:rsidRPr="00552579">
        <w:t>32, 33</w:t>
      </w:r>
      <w:r w:rsidRPr="00552579">
        <w:t xml:space="preserve">, </w:t>
      </w:r>
      <w:r w:rsidR="00552579" w:rsidRPr="00552579">
        <w:t>64</w:t>
      </w:r>
      <w:r w:rsidR="009C27B8" w:rsidRPr="00552579">
        <w:t xml:space="preserve">, </w:t>
      </w:r>
      <w:r w:rsidRPr="00552579">
        <w:t>practices</w:t>
      </w:r>
      <w:r w:rsidRPr="001C7E9C">
        <w:t xml:space="preserve"> 5, 9);</w:t>
      </w:r>
    </w:p>
    <w:p w:rsidR="001C7E9C" w:rsidRPr="001C7E9C" w:rsidRDefault="001C7E9C" w:rsidP="001C7E9C">
      <w:pPr>
        <w:tabs>
          <w:tab w:val="left" w:pos="1701"/>
        </w:tabs>
        <w:ind w:left="1134"/>
        <w:contextualSpacing/>
      </w:pPr>
    </w:p>
    <w:p w:rsidR="001C7E9C" w:rsidRPr="001C7E9C" w:rsidRDefault="001C7E9C" w:rsidP="001C7E9C">
      <w:pPr>
        <w:tabs>
          <w:tab w:val="left" w:pos="1701"/>
        </w:tabs>
        <w:ind w:left="1701" w:hanging="567"/>
      </w:pPr>
      <w:r w:rsidRPr="001C7E9C">
        <w:t>(vii)</w:t>
      </w:r>
      <w:r w:rsidRPr="001C7E9C">
        <w:tab/>
        <w:t>what should be considered necessary for an EDV to conform with the essential characteristics of the initial variety? (see issues </w:t>
      </w:r>
      <w:r w:rsidR="00552579" w:rsidRPr="00552579">
        <w:t>11</w:t>
      </w:r>
      <w:r w:rsidR="0086029E" w:rsidRPr="00552579">
        <w:t xml:space="preserve">, </w:t>
      </w:r>
      <w:r w:rsidR="00552579" w:rsidRPr="00552579">
        <w:t>13</w:t>
      </w:r>
      <w:r w:rsidR="0086029E" w:rsidRPr="00552579">
        <w:t xml:space="preserve">, </w:t>
      </w:r>
      <w:r w:rsidR="00552579" w:rsidRPr="00552579">
        <w:t>15, 52, 57</w:t>
      </w:r>
      <w:r w:rsidRPr="001C7E9C">
        <w:t xml:space="preserve">); </w:t>
      </w:r>
    </w:p>
    <w:p w:rsidR="001C7E9C" w:rsidRPr="001C7E9C" w:rsidRDefault="001C7E9C" w:rsidP="001C7E9C"/>
    <w:p w:rsidR="001C7E9C" w:rsidRPr="001C7E9C" w:rsidRDefault="001C7E9C" w:rsidP="001C7E9C">
      <w:pPr>
        <w:tabs>
          <w:tab w:val="left" w:pos="1134"/>
        </w:tabs>
        <w:ind w:firstLine="567"/>
      </w:pPr>
      <w:r w:rsidRPr="001C7E9C">
        <w:t>(b)</w:t>
      </w:r>
      <w:r w:rsidRPr="001C7E9C">
        <w:tab/>
        <w:t>To ensure that the EDV guidance plays a clarifying role, prevents disputes and facilitates the breeder of the protected initial variety receiving equitable remuneration or negotiating suitable arrangements with the breeder of an EDV (e.</w:t>
      </w:r>
      <w:r w:rsidR="00552579">
        <w:t xml:space="preserve">g. cross-licenses) (see issues </w:t>
      </w:r>
      <w:r w:rsidR="00552579" w:rsidRPr="00552579">
        <w:t>5, 6, 7</w:t>
      </w:r>
      <w:r w:rsidRPr="00552579">
        <w:t xml:space="preserve">, </w:t>
      </w:r>
      <w:r w:rsidR="00552579">
        <w:t>8</w:t>
      </w:r>
      <w:r w:rsidRPr="00552579">
        <w:t xml:space="preserve">, </w:t>
      </w:r>
      <w:r w:rsidR="00552579">
        <w:t>10</w:t>
      </w:r>
      <w:r w:rsidR="009C40DE" w:rsidRPr="00552579">
        <w:t xml:space="preserve">, </w:t>
      </w:r>
      <w:r w:rsidR="00552579" w:rsidRPr="00552579">
        <w:t>19, 20, 55</w:t>
      </w:r>
      <w:r w:rsidRPr="001C7E9C">
        <w:t xml:space="preserve">, practice 21) and, in particular: </w:t>
      </w:r>
    </w:p>
    <w:p w:rsidR="001C7E9C" w:rsidRPr="001C7E9C" w:rsidRDefault="001C7E9C" w:rsidP="001C7E9C">
      <w:pPr>
        <w:tabs>
          <w:tab w:val="left" w:pos="1701"/>
        </w:tabs>
        <w:ind w:left="1134"/>
      </w:pPr>
    </w:p>
    <w:p w:rsidR="001C7E9C" w:rsidRPr="001C7E9C" w:rsidRDefault="001C7E9C" w:rsidP="001C7E9C">
      <w:pPr>
        <w:tabs>
          <w:tab w:val="left" w:pos="1701"/>
        </w:tabs>
        <w:ind w:left="1701" w:hanging="567"/>
        <w:contextualSpacing/>
      </w:pPr>
      <w:r w:rsidRPr="001C7E9C">
        <w:t>(i)</w:t>
      </w:r>
      <w:r w:rsidRPr="001C7E9C">
        <w:tab/>
        <w:t>how a clear and user-friendly guidance could assist in court, arbitrati</w:t>
      </w:r>
      <w:r w:rsidR="00552579">
        <w:t>on or mediation cases? (issues 7</w:t>
      </w:r>
      <w:r w:rsidR="00552579" w:rsidRPr="00070E1A">
        <w:t>, 53, 54</w:t>
      </w:r>
      <w:r w:rsidRPr="00070E1A">
        <w:t>,</w:t>
      </w:r>
      <w:r w:rsidR="00747AFC" w:rsidRPr="00070E1A">
        <w:t xml:space="preserve"> </w:t>
      </w:r>
      <w:r w:rsidR="00552579" w:rsidRPr="00070E1A">
        <w:t>61</w:t>
      </w:r>
      <w:r w:rsidR="00F57AE1" w:rsidRPr="00070E1A">
        <w:t xml:space="preserve">, </w:t>
      </w:r>
      <w:r w:rsidR="00552579" w:rsidRPr="00070E1A">
        <w:t>64, 65</w:t>
      </w:r>
      <w:r w:rsidR="00747AFC" w:rsidRPr="00070E1A">
        <w:t>,</w:t>
      </w:r>
      <w:r w:rsidRPr="001C7E9C">
        <w:t xml:space="preserve"> practices 18, 21);</w:t>
      </w:r>
    </w:p>
    <w:p w:rsidR="001C7E9C" w:rsidRPr="001C7E9C" w:rsidRDefault="001C7E9C" w:rsidP="001C7E9C">
      <w:pPr>
        <w:tabs>
          <w:tab w:val="left" w:pos="1701"/>
        </w:tabs>
        <w:ind w:left="1701" w:hanging="567"/>
        <w:contextualSpacing/>
      </w:pPr>
    </w:p>
    <w:p w:rsidR="001C7E9C" w:rsidRPr="001C7E9C" w:rsidRDefault="001C7E9C" w:rsidP="001C7E9C">
      <w:pPr>
        <w:tabs>
          <w:tab w:val="left" w:pos="1134"/>
        </w:tabs>
        <w:ind w:left="1701" w:hanging="567"/>
      </w:pPr>
      <w:r w:rsidRPr="001C7E9C">
        <w:t>(ii)</w:t>
      </w:r>
      <w:r w:rsidRPr="001C7E9C">
        <w:tab/>
        <w:t xml:space="preserve">the role of DNA analysis and molecular markers in reducing the burden on the breeder of the initial protected variety in EDV </w:t>
      </w:r>
      <w:r w:rsidRPr="00070E1A">
        <w:t>assessment (see issue</w:t>
      </w:r>
      <w:r w:rsidR="00747AFC" w:rsidRPr="00070E1A">
        <w:t>s</w:t>
      </w:r>
      <w:r w:rsidRPr="00070E1A">
        <w:t xml:space="preserve"> </w:t>
      </w:r>
      <w:r w:rsidR="00070E1A" w:rsidRPr="00070E1A">
        <w:t>54</w:t>
      </w:r>
      <w:r w:rsidR="0086029E" w:rsidRPr="00070E1A">
        <w:t xml:space="preserve">, </w:t>
      </w:r>
      <w:r w:rsidR="00070E1A" w:rsidRPr="00070E1A">
        <w:t>58</w:t>
      </w:r>
      <w:r w:rsidRPr="00070E1A">
        <w:t>,</w:t>
      </w:r>
      <w:r w:rsidR="00F57AE1" w:rsidRPr="00070E1A">
        <w:t xml:space="preserve"> </w:t>
      </w:r>
      <w:r w:rsidR="00070E1A" w:rsidRPr="00070E1A">
        <w:t>60</w:t>
      </w:r>
      <w:r w:rsidR="00F57AE1" w:rsidRPr="00070E1A">
        <w:t xml:space="preserve">, </w:t>
      </w:r>
      <w:r w:rsidRPr="00070E1A">
        <w:t xml:space="preserve"> </w:t>
      </w:r>
      <w:r w:rsidR="00070E1A" w:rsidRPr="00070E1A">
        <w:t>64</w:t>
      </w:r>
      <w:r w:rsidR="00747AFC" w:rsidRPr="00070E1A">
        <w:t>,</w:t>
      </w:r>
      <w:r w:rsidR="00747AFC">
        <w:t xml:space="preserve"> </w:t>
      </w:r>
      <w:r w:rsidRPr="001C7E9C">
        <w:t>practice 17);</w:t>
      </w:r>
    </w:p>
    <w:p w:rsidR="001C7E9C" w:rsidRPr="001C7E9C" w:rsidRDefault="001C7E9C" w:rsidP="001C7E9C">
      <w:pPr>
        <w:tabs>
          <w:tab w:val="left" w:pos="1701"/>
        </w:tabs>
        <w:ind w:left="1701" w:hanging="567"/>
      </w:pPr>
    </w:p>
    <w:p w:rsidR="001C7E9C" w:rsidRPr="001C7E9C" w:rsidRDefault="001C7E9C" w:rsidP="00A50570">
      <w:pPr>
        <w:tabs>
          <w:tab w:val="left" w:pos="1701"/>
        </w:tabs>
        <w:ind w:left="1701" w:hanging="567"/>
      </w:pPr>
      <w:r w:rsidRPr="001C7E9C">
        <w:t>(iii)</w:t>
      </w:r>
      <w:r w:rsidRPr="001C7E9C">
        <w:tab/>
      </w:r>
      <w:r w:rsidR="00A50570">
        <w:t xml:space="preserve">whether </w:t>
      </w:r>
      <w:r w:rsidRPr="00A50570">
        <w:rPr>
          <w:strike/>
          <w:highlight w:val="lightGray"/>
        </w:rPr>
        <w:t>the role of</w:t>
      </w:r>
      <w:r w:rsidRPr="00A50570">
        <w:rPr>
          <w:highlight w:val="lightGray"/>
        </w:rPr>
        <w:t xml:space="preserve"> </w:t>
      </w:r>
      <w:r w:rsidRPr="00A50570">
        <w:t xml:space="preserve">PVP Offices or its experts </w:t>
      </w:r>
      <w:r w:rsidR="00A50570" w:rsidRPr="00A50570">
        <w:rPr>
          <w:highlight w:val="lightGray"/>
          <w:u w:val="single"/>
        </w:rPr>
        <w:t xml:space="preserve">may have </w:t>
      </w:r>
      <w:r w:rsidR="00A50570">
        <w:rPr>
          <w:highlight w:val="lightGray"/>
          <w:u w:val="single"/>
        </w:rPr>
        <w:t xml:space="preserve">or not </w:t>
      </w:r>
      <w:r w:rsidR="00A50570" w:rsidRPr="00A50570">
        <w:rPr>
          <w:highlight w:val="lightGray"/>
          <w:u w:val="single"/>
        </w:rPr>
        <w:t xml:space="preserve">a role </w:t>
      </w:r>
      <w:r w:rsidRPr="00A50570">
        <w:rPr>
          <w:highlight w:val="lightGray"/>
          <w:u w:val="single"/>
        </w:rPr>
        <w:t>in</w:t>
      </w:r>
      <w:r w:rsidRPr="00A50570">
        <w:rPr>
          <w:highlight w:val="lightGray"/>
        </w:rPr>
        <w:t xml:space="preserve"> </w:t>
      </w:r>
      <w:r w:rsidRPr="00A50570">
        <w:t>EDV assessment</w:t>
      </w:r>
      <w:r w:rsidRPr="001C7E9C">
        <w:t xml:space="preserve"> </w:t>
      </w:r>
      <w:r w:rsidRPr="00070E1A">
        <w:t>(</w:t>
      </w:r>
      <w:r w:rsidR="00A50570" w:rsidRPr="00070E1A">
        <w:t>see issue</w:t>
      </w:r>
      <w:r w:rsidR="00626AE0" w:rsidRPr="00070E1A">
        <w:t>s</w:t>
      </w:r>
      <w:r w:rsidR="00070E1A" w:rsidRPr="00070E1A">
        <w:t xml:space="preserve"> 41, 53, 65</w:t>
      </w:r>
      <w:r w:rsidR="00070E1A">
        <w:t>,</w:t>
      </w:r>
      <w:r w:rsidR="00A50570" w:rsidRPr="00A50570">
        <w:t xml:space="preserve"> </w:t>
      </w:r>
      <w:r w:rsidRPr="001C7E9C">
        <w:t>practice 21);  and</w:t>
      </w:r>
    </w:p>
    <w:p w:rsidR="001C7E9C" w:rsidRPr="001C7E9C" w:rsidRDefault="001C7E9C" w:rsidP="001C7E9C">
      <w:pPr>
        <w:tabs>
          <w:tab w:val="left" w:pos="1701"/>
        </w:tabs>
        <w:ind w:left="1701" w:hanging="567"/>
      </w:pPr>
    </w:p>
    <w:p w:rsidR="001C7E9C" w:rsidRPr="00070E1A" w:rsidRDefault="001C7E9C" w:rsidP="001C7E9C">
      <w:pPr>
        <w:tabs>
          <w:tab w:val="left" w:pos="1701"/>
        </w:tabs>
        <w:ind w:left="1701" w:hanging="567"/>
      </w:pPr>
      <w:r w:rsidRPr="001C7E9C">
        <w:t>(iv)</w:t>
      </w:r>
      <w:r w:rsidRPr="001C7E9C">
        <w:tab/>
      </w:r>
      <w:r w:rsidRPr="00626AE0">
        <w:t xml:space="preserve">whether </w:t>
      </w:r>
      <w:r w:rsidR="007B1F80" w:rsidRPr="0021648E">
        <w:rPr>
          <w:highlight w:val="lightGray"/>
          <w:u w:val="single"/>
        </w:rPr>
        <w:t>it would be appropriate for</w:t>
      </w:r>
      <w:r w:rsidR="007B1F80" w:rsidRPr="007B1F80">
        <w:t xml:space="preserve"> </w:t>
      </w:r>
      <w:r w:rsidRPr="00626AE0">
        <w:t xml:space="preserve">the application form for a breeder’s right </w:t>
      </w:r>
      <w:r w:rsidRPr="00626AE0">
        <w:rPr>
          <w:strike/>
          <w:highlight w:val="lightGray"/>
        </w:rPr>
        <w:t>should</w:t>
      </w:r>
      <w:r w:rsidRPr="00626AE0">
        <w:t xml:space="preserve"> </w:t>
      </w:r>
      <w:r w:rsidR="007B1F80" w:rsidRPr="0021648E">
        <w:rPr>
          <w:highlight w:val="lightGray"/>
          <w:u w:val="single"/>
        </w:rPr>
        <w:t>to</w:t>
      </w:r>
      <w:r w:rsidR="007B1F80">
        <w:t xml:space="preserve"> </w:t>
      </w:r>
      <w:r w:rsidRPr="00626AE0">
        <w:t>facilitate the disclosure of information on EDV matters</w:t>
      </w:r>
      <w:r w:rsidRPr="001C7E9C">
        <w:t xml:space="preserve"> </w:t>
      </w:r>
      <w:r w:rsidR="00626AE0" w:rsidRPr="00747AFC">
        <w:rPr>
          <w:highlight w:val="lightGray"/>
          <w:u w:val="single"/>
        </w:rPr>
        <w:t>on a voluntary basis</w:t>
      </w:r>
      <w:r w:rsidR="00626AE0">
        <w:t xml:space="preserve"> </w:t>
      </w:r>
      <w:r w:rsidR="00070E1A" w:rsidRPr="00070E1A">
        <w:t xml:space="preserve">(see issues 38, 39, </w:t>
      </w:r>
      <w:r w:rsidR="00B473BE" w:rsidRPr="00B473BE">
        <w:t>40, 41, 59</w:t>
      </w:r>
      <w:r w:rsidR="00070E1A" w:rsidRPr="00070E1A">
        <w:t>,</w:t>
      </w:r>
      <w:r w:rsidR="00747AFC" w:rsidRPr="00070E1A">
        <w:t xml:space="preserve">  </w:t>
      </w:r>
      <w:r w:rsidRPr="00070E1A">
        <w:t>practice 21).</w:t>
      </w:r>
    </w:p>
    <w:p w:rsidR="001C7E9C" w:rsidRPr="001C7E9C" w:rsidRDefault="001C7E9C" w:rsidP="001C7E9C">
      <w:pPr>
        <w:rPr>
          <w:b/>
        </w:rPr>
      </w:pPr>
    </w:p>
    <w:p w:rsidR="001C7E9C" w:rsidRPr="001C7E9C" w:rsidRDefault="001C7E9C" w:rsidP="001C7E9C">
      <w:pPr>
        <w:rPr>
          <w:b/>
        </w:rPr>
      </w:pPr>
    </w:p>
    <w:p w:rsidR="001C7E9C" w:rsidRPr="001C7E9C" w:rsidRDefault="001C7E9C" w:rsidP="001C7E9C">
      <w:pPr>
        <w:jc w:val="left"/>
        <w:rPr>
          <w:b/>
        </w:rPr>
      </w:pPr>
      <w:r w:rsidRPr="001C7E9C">
        <w:rPr>
          <w:b/>
        </w:rPr>
        <w:br w:type="page"/>
      </w:r>
    </w:p>
    <w:p w:rsidR="001C7E9C" w:rsidRPr="00CF257C" w:rsidRDefault="00CF257C" w:rsidP="00CF257C">
      <w:pPr>
        <w:jc w:val="left"/>
      </w:pPr>
      <w:bookmarkStart w:id="20" w:name="_Toc47557367"/>
      <w:bookmarkStart w:id="21" w:name="_Toc48316463"/>
      <w:r w:rsidRPr="00CF257C">
        <w:lastRenderedPageBreak/>
        <w:t>ISSUES CONCERNING SPECIFIC ASPECTS OF THE CURRENT EXPLANATORY NOTES</w:t>
      </w:r>
      <w:bookmarkEnd w:id="20"/>
      <w:bookmarkEnd w:id="21"/>
    </w:p>
    <w:p w:rsidR="001C7E9C" w:rsidRPr="001C7E9C" w:rsidRDefault="001C7E9C" w:rsidP="001C7E9C">
      <w:pPr>
        <w:keepNext/>
      </w:pPr>
    </w:p>
    <w:tbl>
      <w:tblPr>
        <w:tblStyle w:val="TableGrid10"/>
        <w:tblW w:w="998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7155"/>
        <w:gridCol w:w="1513"/>
        <w:gridCol w:w="10"/>
      </w:tblGrid>
      <w:tr w:rsidR="001C7E9C" w:rsidRPr="001C7E9C" w:rsidTr="00A24F4D">
        <w:trPr>
          <w:gridAfter w:val="1"/>
          <w:wAfter w:w="10" w:type="dxa"/>
          <w:cantSplit/>
        </w:trPr>
        <w:tc>
          <w:tcPr>
            <w:tcW w:w="1305" w:type="dxa"/>
          </w:tcPr>
          <w:p w:rsidR="001C7E9C" w:rsidRPr="001C7E9C" w:rsidRDefault="001C7E9C" w:rsidP="001C7E9C"/>
        </w:tc>
        <w:tc>
          <w:tcPr>
            <w:tcW w:w="7155" w:type="dxa"/>
          </w:tcPr>
          <w:p w:rsidR="001C7E9C" w:rsidRPr="001C7E9C" w:rsidRDefault="001C7E9C" w:rsidP="001C7E9C">
            <w:pPr>
              <w:jc w:val="left"/>
              <w:rPr>
                <w:highlight w:val="yellow"/>
              </w:rPr>
            </w:pPr>
            <w:r w:rsidRPr="001C7E9C">
              <w:t>PREAMBLE</w:t>
            </w:r>
          </w:p>
        </w:tc>
        <w:tc>
          <w:tcPr>
            <w:tcW w:w="1513" w:type="dxa"/>
          </w:tcPr>
          <w:p w:rsidR="001C7E9C" w:rsidRPr="001C7E9C" w:rsidRDefault="001C7E9C" w:rsidP="001C7E9C">
            <w:pPr>
              <w:jc w:val="left"/>
              <w:rPr>
                <w:i/>
              </w:rPr>
            </w:pPr>
            <w:r w:rsidRPr="001C7E9C">
              <w:rPr>
                <w:i/>
              </w:rPr>
              <w:t>Contributions by</w:t>
            </w: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Issue 1</w:t>
            </w:r>
          </w:p>
        </w:tc>
        <w:tc>
          <w:tcPr>
            <w:tcW w:w="7155" w:type="dxa"/>
          </w:tcPr>
          <w:p w:rsidR="005C3AAB" w:rsidRPr="001C7E9C" w:rsidRDefault="001C7E9C" w:rsidP="001C7E9C">
            <w:pPr>
              <w:jc w:val="left"/>
              <w:rPr>
                <w:i/>
              </w:rPr>
            </w:pPr>
            <w:r w:rsidRPr="001C7E9C">
              <w:rPr>
                <w:i/>
              </w:rPr>
              <w:t>to consider if the reference to the “Resolution on Article 14(5)” of the 1991 Diplomatic Conference is necessary</w:t>
            </w:r>
          </w:p>
        </w:tc>
        <w:tc>
          <w:tcPr>
            <w:tcW w:w="1513" w:type="dxa"/>
          </w:tcPr>
          <w:p w:rsidR="001C7E9C" w:rsidRPr="001C7E9C" w:rsidRDefault="001C7E9C" w:rsidP="001C7E9C">
            <w:pPr>
              <w:jc w:val="left"/>
              <w:rPr>
                <w:i/>
              </w:rPr>
            </w:pPr>
            <w:r w:rsidRPr="001C7E9C">
              <w:rPr>
                <w:i/>
              </w:rPr>
              <w:t>RU</w:t>
            </w: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Issue 2</w:t>
            </w:r>
          </w:p>
        </w:tc>
        <w:tc>
          <w:tcPr>
            <w:tcW w:w="7155" w:type="dxa"/>
          </w:tcPr>
          <w:p w:rsidR="005C3AAB" w:rsidRPr="001C7E9C" w:rsidRDefault="001C7E9C" w:rsidP="001C7E9C">
            <w:pPr>
              <w:jc w:val="left"/>
              <w:rPr>
                <w:i/>
              </w:rPr>
            </w:pPr>
            <w:r w:rsidRPr="001C7E9C">
              <w:rPr>
                <w:i/>
              </w:rPr>
              <w:t>to consider reviewing and reducing the text in the Preamble to avoid repetitions</w:t>
            </w:r>
          </w:p>
        </w:tc>
        <w:tc>
          <w:tcPr>
            <w:tcW w:w="1513" w:type="dxa"/>
          </w:tcPr>
          <w:p w:rsidR="001C7E9C" w:rsidRPr="001C7E9C" w:rsidRDefault="001C7E9C" w:rsidP="001C7E9C">
            <w:pPr>
              <w:jc w:val="left"/>
              <w:rPr>
                <w:i/>
              </w:rPr>
            </w:pPr>
            <w:r w:rsidRPr="001C7E9C">
              <w:rPr>
                <w:i/>
              </w:rPr>
              <w:t>RU</w:t>
            </w:r>
          </w:p>
        </w:tc>
      </w:tr>
      <w:tr w:rsidR="001C7E9C" w:rsidRPr="001C7E9C" w:rsidTr="00A24F4D">
        <w:trPr>
          <w:gridAfter w:val="1"/>
          <w:wAfter w:w="10" w:type="dxa"/>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rPr>
                <w:i/>
              </w:rPr>
            </w:pPr>
          </w:p>
        </w:tc>
        <w:tc>
          <w:tcPr>
            <w:tcW w:w="1513" w:type="dxa"/>
          </w:tcPr>
          <w:p w:rsidR="001C7E9C" w:rsidRPr="001C7E9C" w:rsidRDefault="001C7E9C" w:rsidP="001C7E9C">
            <w:pPr>
              <w:jc w:val="left"/>
              <w:rPr>
                <w:i/>
              </w:rPr>
            </w:pPr>
          </w:p>
        </w:tc>
      </w:tr>
      <w:tr w:rsidR="001C7E9C" w:rsidRPr="001C7E9C" w:rsidTr="00A24F4D">
        <w:trPr>
          <w:gridAfter w:val="1"/>
          <w:wAfter w:w="10" w:type="dxa"/>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pPr>
            <w:r w:rsidRPr="001C7E9C">
              <w:t>SECTION I:  PROVISIONS OF ESSENTIALLY DERIVED VARIETIES</w:t>
            </w:r>
          </w:p>
          <w:p w:rsidR="001C7E9C" w:rsidRPr="001C7E9C" w:rsidRDefault="001C7E9C" w:rsidP="001C7E9C">
            <w:pPr>
              <w:jc w:val="left"/>
            </w:pPr>
          </w:p>
        </w:tc>
        <w:tc>
          <w:tcPr>
            <w:tcW w:w="1513" w:type="dxa"/>
          </w:tcPr>
          <w:p w:rsidR="001C7E9C" w:rsidRPr="001C7E9C" w:rsidRDefault="001C7E9C" w:rsidP="001C7E9C">
            <w:pPr>
              <w:jc w:val="left"/>
              <w:rPr>
                <w:i/>
              </w:rPr>
            </w:pPr>
          </w:p>
        </w:tc>
      </w:tr>
      <w:tr w:rsidR="001C7E9C" w:rsidRPr="001C7E9C" w:rsidTr="00A24F4D">
        <w:trPr>
          <w:gridAfter w:val="1"/>
          <w:wAfter w:w="10" w:type="dxa"/>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pPr>
            <w:r w:rsidRPr="001C7E9C">
              <w:t>(a)</w:t>
            </w:r>
            <w:r w:rsidRPr="001C7E9C">
              <w:tab/>
              <w:t>Relevant provisions of the 1991 Act of the UPOV Convention</w:t>
            </w:r>
          </w:p>
          <w:p w:rsidR="001C7E9C" w:rsidRPr="001C7E9C" w:rsidRDefault="001C7E9C" w:rsidP="001C7E9C">
            <w:pPr>
              <w:jc w:val="left"/>
              <w:rPr>
                <w:i/>
              </w:rPr>
            </w:pPr>
          </w:p>
        </w:tc>
        <w:tc>
          <w:tcPr>
            <w:tcW w:w="1513" w:type="dxa"/>
          </w:tcPr>
          <w:p w:rsidR="001C7E9C" w:rsidRPr="001C7E9C" w:rsidRDefault="001C7E9C" w:rsidP="001C7E9C">
            <w:pPr>
              <w:jc w:val="left"/>
              <w:rPr>
                <w:i/>
              </w:rPr>
            </w:pP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Issue 3</w:t>
            </w:r>
          </w:p>
        </w:tc>
        <w:tc>
          <w:tcPr>
            <w:tcW w:w="7155" w:type="dxa"/>
          </w:tcPr>
          <w:p w:rsidR="001C7E9C" w:rsidRPr="001C7E9C" w:rsidRDefault="001C7E9C" w:rsidP="001C7E9C">
            <w:pPr>
              <w:jc w:val="left"/>
              <w:rPr>
                <w:i/>
              </w:rPr>
            </w:pPr>
            <w:r w:rsidRPr="001C7E9C">
              <w:rPr>
                <w:i/>
              </w:rPr>
              <w:t>to consider removing the provisions of Article 14(5)(ii) and (iii) of the 1991 Act and those in the footnote (page 4).</w:t>
            </w:r>
          </w:p>
        </w:tc>
        <w:tc>
          <w:tcPr>
            <w:tcW w:w="1513" w:type="dxa"/>
          </w:tcPr>
          <w:p w:rsidR="001C7E9C" w:rsidRPr="001C7E9C" w:rsidRDefault="001C7E9C" w:rsidP="001C7E9C">
            <w:pPr>
              <w:jc w:val="left"/>
              <w:rPr>
                <w:i/>
              </w:rPr>
            </w:pPr>
            <w:r w:rsidRPr="001C7E9C">
              <w:rPr>
                <w:i/>
              </w:rPr>
              <w:t>RU</w:t>
            </w: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Issue 4</w:t>
            </w:r>
          </w:p>
        </w:tc>
        <w:tc>
          <w:tcPr>
            <w:tcW w:w="7155" w:type="dxa"/>
          </w:tcPr>
          <w:p w:rsidR="001C7E9C" w:rsidRPr="00B729BD" w:rsidRDefault="001C7E9C" w:rsidP="001C7E9C">
            <w:pPr>
              <w:jc w:val="left"/>
              <w:rPr>
                <w:i/>
                <w:spacing w:val="-2"/>
              </w:rPr>
            </w:pPr>
            <w:r w:rsidRPr="00B729BD">
              <w:rPr>
                <w:i/>
                <w:spacing w:val="-2"/>
              </w:rPr>
              <w:t xml:space="preserve">to consider not to divide relevant provisions on EDVs in subsections (a) and (b) </w:t>
            </w:r>
          </w:p>
        </w:tc>
        <w:tc>
          <w:tcPr>
            <w:tcW w:w="1513" w:type="dxa"/>
          </w:tcPr>
          <w:p w:rsidR="001C7E9C" w:rsidRPr="001C7E9C" w:rsidRDefault="001C7E9C" w:rsidP="001C7E9C">
            <w:pPr>
              <w:jc w:val="left"/>
              <w:rPr>
                <w:i/>
              </w:rPr>
            </w:pPr>
            <w:r w:rsidRPr="001C7E9C">
              <w:rPr>
                <w:i/>
              </w:rPr>
              <w:t>RU</w:t>
            </w:r>
          </w:p>
        </w:tc>
      </w:tr>
      <w:tr w:rsidR="001C7E9C" w:rsidRPr="001C7E9C" w:rsidTr="00A24F4D">
        <w:trPr>
          <w:gridAfter w:val="1"/>
          <w:wAfter w:w="10" w:type="dxa"/>
          <w:cantSplit/>
        </w:trPr>
        <w:tc>
          <w:tcPr>
            <w:tcW w:w="1305" w:type="dxa"/>
          </w:tcPr>
          <w:p w:rsidR="001C7E9C" w:rsidRPr="00F57AE1" w:rsidRDefault="001C7E9C" w:rsidP="001C7E9C">
            <w:pPr>
              <w:rPr>
                <w:i/>
                <w:strike/>
              </w:rPr>
            </w:pPr>
            <w:r w:rsidRPr="00F57AE1">
              <w:rPr>
                <w:i/>
                <w:strike/>
                <w:highlight w:val="lightGray"/>
              </w:rPr>
              <w:t>Issue 5</w:t>
            </w:r>
          </w:p>
        </w:tc>
        <w:tc>
          <w:tcPr>
            <w:tcW w:w="7155" w:type="dxa"/>
          </w:tcPr>
          <w:p w:rsidR="001C7E9C" w:rsidRPr="00F57AE1" w:rsidRDefault="001C7E9C" w:rsidP="001C7E9C">
            <w:pPr>
              <w:jc w:val="left"/>
              <w:rPr>
                <w:i/>
                <w:strike/>
                <w:highlight w:val="lightGray"/>
              </w:rPr>
            </w:pPr>
            <w:r w:rsidRPr="00F57AE1">
              <w:rPr>
                <w:i/>
                <w:strike/>
                <w:highlight w:val="lightGray"/>
              </w:rPr>
              <w:t xml:space="preserve">to explore how the revision of the explanatory notes could address the following “Relatively small changes can have an enormous impact on the initial variety right holder. ‘In the field of plant species, this question of principle is of considerable economic importance, particularly in the horticultural and floral sphere where any new variety — whether it be a mutation or a creation - can become a best-seller overnight and capture a market share as large as that held by the original plant variety right holder’. That reality calls for some form of effective enforcement of Intellectual Property rights. Without it, incentives to innovate might vanish.” </w:t>
            </w:r>
          </w:p>
        </w:tc>
        <w:tc>
          <w:tcPr>
            <w:tcW w:w="1513" w:type="dxa"/>
          </w:tcPr>
          <w:p w:rsidR="00F57AE1" w:rsidRDefault="001C7E9C" w:rsidP="001C7E9C">
            <w:pPr>
              <w:jc w:val="left"/>
              <w:rPr>
                <w:i/>
                <w:strike/>
              </w:rPr>
            </w:pPr>
            <w:r w:rsidRPr="00F57AE1">
              <w:rPr>
                <w:i/>
                <w:strike/>
                <w:highlight w:val="lightGray"/>
              </w:rPr>
              <w:t>AIPH</w:t>
            </w:r>
            <w:r w:rsidR="00F57AE1">
              <w:rPr>
                <w:i/>
                <w:strike/>
              </w:rPr>
              <w:t xml:space="preserve"> </w:t>
            </w:r>
          </w:p>
          <w:p w:rsidR="001C7E9C" w:rsidRPr="00F57AE1" w:rsidRDefault="00F57AE1" w:rsidP="001C7E9C">
            <w:pPr>
              <w:jc w:val="left"/>
              <w:rPr>
                <w:i/>
                <w:u w:val="single"/>
              </w:rPr>
            </w:pPr>
            <w:r w:rsidRPr="00F57AE1">
              <w:rPr>
                <w:i/>
                <w:highlight w:val="lightGray"/>
                <w:u w:val="single"/>
              </w:rPr>
              <w:t>(request of deletion from AIPH)</w:t>
            </w: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Issue</w:t>
            </w:r>
            <w:r w:rsidR="007B1F80">
              <w:rPr>
                <w:i/>
              </w:rPr>
              <w:t>5 [</w:t>
            </w:r>
            <w:r w:rsidRPr="001C7E9C">
              <w:rPr>
                <w:i/>
              </w:rPr>
              <w:t>6</w:t>
            </w:r>
            <w:r w:rsidR="007B1F80">
              <w:rPr>
                <w:i/>
              </w:rPr>
              <w:t>]</w:t>
            </w:r>
            <w:r w:rsidRPr="001C7E9C">
              <w:rPr>
                <w:i/>
              </w:rPr>
              <w:t xml:space="preserve"> </w:t>
            </w:r>
          </w:p>
        </w:tc>
        <w:tc>
          <w:tcPr>
            <w:tcW w:w="7155" w:type="dxa"/>
          </w:tcPr>
          <w:p w:rsidR="001C7E9C" w:rsidRPr="001C7E9C" w:rsidRDefault="001C7E9C" w:rsidP="001C7E9C">
            <w:pPr>
              <w:jc w:val="left"/>
              <w:rPr>
                <w:i/>
              </w:rPr>
            </w:pPr>
            <w:r w:rsidRPr="001C7E9C">
              <w:rPr>
                <w:i/>
              </w:rPr>
              <w:t>to address the issue identified by breeders in the survey that “50% of the respondents have rated the effectiveness of the EDV provision in making sure that the breeder of the initial variety get the necessary compensation as being absent or low.”</w:t>
            </w:r>
          </w:p>
        </w:tc>
        <w:tc>
          <w:tcPr>
            <w:tcW w:w="1513" w:type="dxa"/>
          </w:tcPr>
          <w:p w:rsidR="001C7E9C" w:rsidRPr="001C7E9C" w:rsidRDefault="001C7E9C" w:rsidP="001C7E9C">
            <w:pPr>
              <w:jc w:val="left"/>
              <w:rPr>
                <w:i/>
              </w:rPr>
            </w:pPr>
            <w:r w:rsidRPr="001C7E9C">
              <w:rPr>
                <w:i/>
              </w:rPr>
              <w:t>Joint contribution by breeders</w:t>
            </w: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Issue</w:t>
            </w:r>
            <w:r w:rsidR="007B1F80">
              <w:rPr>
                <w:i/>
              </w:rPr>
              <w:t xml:space="preserve"> 6</w:t>
            </w:r>
            <w:r w:rsidRPr="001C7E9C">
              <w:rPr>
                <w:i/>
              </w:rPr>
              <w:t xml:space="preserve"> </w:t>
            </w:r>
            <w:r w:rsidR="007B1F80">
              <w:rPr>
                <w:i/>
              </w:rPr>
              <w:t>[</w:t>
            </w:r>
            <w:r w:rsidRPr="001C7E9C">
              <w:rPr>
                <w:i/>
              </w:rPr>
              <w:t>7</w:t>
            </w:r>
            <w:r w:rsidR="007B1F80">
              <w:rPr>
                <w:i/>
              </w:rPr>
              <w:t>]</w:t>
            </w:r>
          </w:p>
        </w:tc>
        <w:tc>
          <w:tcPr>
            <w:tcW w:w="7155" w:type="dxa"/>
          </w:tcPr>
          <w:p w:rsidR="001C7E9C" w:rsidRPr="001C7E9C" w:rsidRDefault="001C7E9C" w:rsidP="001C7E9C">
            <w:pPr>
              <w:jc w:val="left"/>
              <w:rPr>
                <w:i/>
              </w:rPr>
            </w:pPr>
            <w:r w:rsidRPr="001C7E9C">
              <w:rPr>
                <w:i/>
              </w:rPr>
              <w:t xml:space="preserve">to consider the scope of the EDV concept in relation to the following policy matters “To a large group of the respondents, the EDV provision has proven to be valuable, nonetheless it is also clear that further clarification is needed. Any attempt to diminish its value by narrowing its scope or otherwise, would greatly endanger the breeding incentive for cross breeding and could possibly lead to a decrease in breeding effort, genetic variation and biodiversity. This will eventually result in fewer varieties for users which might threaten the whole UPOV system.” </w:t>
            </w:r>
          </w:p>
        </w:tc>
        <w:tc>
          <w:tcPr>
            <w:tcW w:w="1513" w:type="dxa"/>
          </w:tcPr>
          <w:p w:rsidR="001C7E9C" w:rsidRPr="001C7E9C" w:rsidRDefault="001C7E9C" w:rsidP="001C7E9C">
            <w:pPr>
              <w:jc w:val="left"/>
              <w:rPr>
                <w:i/>
              </w:rPr>
            </w:pPr>
            <w:r w:rsidRPr="001C7E9C">
              <w:rPr>
                <w:i/>
              </w:rPr>
              <w:t>Joint contribution by breeders, AIPH</w:t>
            </w: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 xml:space="preserve">Issue </w:t>
            </w:r>
            <w:r w:rsidR="007B1F80">
              <w:rPr>
                <w:i/>
              </w:rPr>
              <w:t>7 [</w:t>
            </w:r>
            <w:r w:rsidRPr="001C7E9C">
              <w:rPr>
                <w:i/>
              </w:rPr>
              <w:t>8</w:t>
            </w:r>
            <w:r w:rsidR="007B1F80">
              <w:rPr>
                <w:i/>
              </w:rPr>
              <w:t>]</w:t>
            </w:r>
          </w:p>
        </w:tc>
        <w:tc>
          <w:tcPr>
            <w:tcW w:w="7155" w:type="dxa"/>
          </w:tcPr>
          <w:p w:rsidR="001C7E9C" w:rsidRPr="001C7E9C" w:rsidRDefault="001C7E9C" w:rsidP="001C7E9C">
            <w:pPr>
              <w:jc w:val="left"/>
              <w:rPr>
                <w:i/>
              </w:rPr>
            </w:pPr>
            <w:r w:rsidRPr="001C7E9C">
              <w:rPr>
                <w:i/>
              </w:rPr>
              <w:t xml:space="preserve">to consider how to address the needs of small companies in the following comment “small companies note that it is hard for them to get the full picture of the evolution of the EDV concept (interpretation of UPOV Explanatory Notes, court cases with different outcomes). Maybe they would benefit from clearer guidance / more simplified explanatory material from UPOV” </w:t>
            </w:r>
          </w:p>
        </w:tc>
        <w:tc>
          <w:tcPr>
            <w:tcW w:w="1513" w:type="dxa"/>
          </w:tcPr>
          <w:p w:rsidR="001C7E9C" w:rsidRPr="001C7E9C" w:rsidRDefault="001C7E9C" w:rsidP="001C7E9C">
            <w:pPr>
              <w:jc w:val="left"/>
              <w:rPr>
                <w:i/>
                <w:highlight w:val="green"/>
              </w:rPr>
            </w:pPr>
            <w:r w:rsidRPr="001C7E9C">
              <w:rPr>
                <w:i/>
              </w:rPr>
              <w:t>Joint contribution by breeders, AIPH</w:t>
            </w:r>
          </w:p>
        </w:tc>
      </w:tr>
      <w:tr w:rsidR="009C40DE" w:rsidRPr="001C7E9C" w:rsidTr="00A24F4D">
        <w:trPr>
          <w:gridAfter w:val="1"/>
          <w:wAfter w:w="10" w:type="dxa"/>
          <w:cantSplit/>
        </w:trPr>
        <w:tc>
          <w:tcPr>
            <w:tcW w:w="1305" w:type="dxa"/>
          </w:tcPr>
          <w:p w:rsidR="009C40DE" w:rsidRPr="00530A26" w:rsidRDefault="00917D0D">
            <w:pPr>
              <w:rPr>
                <w:i/>
                <w:u w:val="single"/>
              </w:rPr>
            </w:pPr>
            <w:r>
              <w:rPr>
                <w:i/>
                <w:highlight w:val="lightGray"/>
                <w:u w:val="single"/>
              </w:rPr>
              <w:t>Issue</w:t>
            </w:r>
            <w:r w:rsidR="007B1F80" w:rsidRPr="008A1FAB">
              <w:rPr>
                <w:i/>
                <w:highlight w:val="lightGray"/>
                <w:u w:val="single"/>
              </w:rPr>
              <w:t xml:space="preserve"> 8</w:t>
            </w:r>
            <w:r w:rsidR="007B1F80">
              <w:rPr>
                <w:i/>
                <w:u w:val="single"/>
              </w:rPr>
              <w:t xml:space="preserve"> </w:t>
            </w:r>
          </w:p>
        </w:tc>
        <w:tc>
          <w:tcPr>
            <w:tcW w:w="7155" w:type="dxa"/>
          </w:tcPr>
          <w:p w:rsidR="009C40DE" w:rsidRPr="00530A26" w:rsidRDefault="00530A26" w:rsidP="00530A26">
            <w:pPr>
              <w:jc w:val="left"/>
              <w:rPr>
                <w:i/>
                <w:u w:val="single"/>
              </w:rPr>
            </w:pPr>
            <w:r w:rsidRPr="00530A26">
              <w:rPr>
                <w:i/>
                <w:highlight w:val="lightGray"/>
                <w:u w:val="single"/>
              </w:rPr>
              <w:t>to consider the role of the EDV concept in relation to the following policy matter:  “without a good EDV policy the value of the PVR system will be considerably lower. Protection would be sought through a restricted licensing policy in which the new varieties might no longer be available for small growers.”</w:t>
            </w:r>
          </w:p>
        </w:tc>
        <w:tc>
          <w:tcPr>
            <w:tcW w:w="1513" w:type="dxa"/>
          </w:tcPr>
          <w:p w:rsidR="009C40DE" w:rsidRPr="00530A26" w:rsidRDefault="00530A26" w:rsidP="001C7E9C">
            <w:pPr>
              <w:jc w:val="left"/>
              <w:rPr>
                <w:i/>
                <w:u w:val="single"/>
              </w:rPr>
            </w:pPr>
            <w:r w:rsidRPr="00530A26">
              <w:rPr>
                <w:i/>
                <w:highlight w:val="lightGray"/>
                <w:u w:val="single"/>
              </w:rPr>
              <w:t>AIPH</w:t>
            </w:r>
          </w:p>
        </w:tc>
      </w:tr>
      <w:tr w:rsidR="001C7E9C" w:rsidRPr="001C7E9C" w:rsidTr="00A24F4D">
        <w:trPr>
          <w:gridAfter w:val="1"/>
          <w:wAfter w:w="10" w:type="dxa"/>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pPr>
            <w:r w:rsidRPr="001C7E9C">
              <w:t>(b)     Defining an essentially derived variety</w:t>
            </w:r>
          </w:p>
          <w:p w:rsidR="001C7E9C" w:rsidRPr="001C7E9C" w:rsidRDefault="001C7E9C" w:rsidP="001C7E9C">
            <w:pPr>
              <w:jc w:val="left"/>
            </w:pPr>
          </w:p>
        </w:tc>
        <w:tc>
          <w:tcPr>
            <w:tcW w:w="1513" w:type="dxa"/>
          </w:tcPr>
          <w:p w:rsidR="001C7E9C" w:rsidRPr="001C7E9C" w:rsidRDefault="001C7E9C" w:rsidP="001C7E9C">
            <w:pPr>
              <w:jc w:val="left"/>
              <w:rPr>
                <w:i/>
              </w:rPr>
            </w:pPr>
          </w:p>
        </w:tc>
      </w:tr>
      <w:tr w:rsidR="001C7E9C" w:rsidRPr="001C7E9C" w:rsidTr="00A24F4D">
        <w:trPr>
          <w:gridAfter w:val="1"/>
          <w:wAfter w:w="10" w:type="dxa"/>
          <w:cantSplit/>
        </w:trPr>
        <w:tc>
          <w:tcPr>
            <w:tcW w:w="1305" w:type="dxa"/>
          </w:tcPr>
          <w:p w:rsidR="001C7E9C" w:rsidRPr="001C7E9C" w:rsidRDefault="001C7E9C">
            <w:pPr>
              <w:rPr>
                <w:i/>
              </w:rPr>
            </w:pPr>
            <w:r w:rsidRPr="001C7E9C">
              <w:rPr>
                <w:i/>
              </w:rPr>
              <w:t xml:space="preserve">Issue </w:t>
            </w:r>
            <w:r w:rsidR="00BD26C6">
              <w:rPr>
                <w:i/>
              </w:rPr>
              <w:t xml:space="preserve"> 9</w:t>
            </w:r>
          </w:p>
        </w:tc>
        <w:tc>
          <w:tcPr>
            <w:tcW w:w="7155" w:type="dxa"/>
          </w:tcPr>
          <w:p w:rsidR="001C7E9C" w:rsidRPr="001C7E9C" w:rsidRDefault="001C7E9C" w:rsidP="001C7E9C">
            <w:pPr>
              <w:jc w:val="left"/>
              <w:rPr>
                <w:i/>
              </w:rPr>
            </w:pPr>
            <w:r w:rsidRPr="001C7E9C">
              <w:rPr>
                <w:i/>
              </w:rPr>
              <w:t xml:space="preserve">to consider the inclusion of plant breeding innovations such as genome editing in the [definition of EDV]/[EDV concept] </w:t>
            </w:r>
          </w:p>
        </w:tc>
        <w:tc>
          <w:tcPr>
            <w:tcW w:w="1513" w:type="dxa"/>
          </w:tcPr>
          <w:p w:rsidR="001C7E9C" w:rsidRPr="001C7E9C" w:rsidRDefault="001C7E9C" w:rsidP="001C7E9C">
            <w:pPr>
              <w:jc w:val="left"/>
              <w:rPr>
                <w:i/>
              </w:rPr>
            </w:pPr>
            <w:r w:rsidRPr="001C7E9C">
              <w:rPr>
                <w:i/>
              </w:rPr>
              <w:t>ZA</w:t>
            </w:r>
          </w:p>
        </w:tc>
      </w:tr>
      <w:tr w:rsidR="001C7E9C" w:rsidRPr="001C7E9C" w:rsidTr="00A24F4D">
        <w:trPr>
          <w:gridAfter w:val="1"/>
          <w:wAfter w:w="10" w:type="dxa"/>
          <w:cantSplit/>
        </w:trPr>
        <w:tc>
          <w:tcPr>
            <w:tcW w:w="1305" w:type="dxa"/>
          </w:tcPr>
          <w:p w:rsidR="001C7E9C" w:rsidRPr="00F57AE1" w:rsidRDefault="001C7E9C" w:rsidP="001C7E9C">
            <w:pPr>
              <w:rPr>
                <w:i/>
                <w:strike/>
              </w:rPr>
            </w:pPr>
            <w:r w:rsidRPr="00F57AE1">
              <w:rPr>
                <w:i/>
                <w:strike/>
                <w:highlight w:val="lightGray"/>
              </w:rPr>
              <w:lastRenderedPageBreak/>
              <w:t>Issue 10</w:t>
            </w:r>
          </w:p>
        </w:tc>
        <w:tc>
          <w:tcPr>
            <w:tcW w:w="7155" w:type="dxa"/>
          </w:tcPr>
          <w:p w:rsidR="001C7E9C" w:rsidRPr="00F57AE1" w:rsidRDefault="001C7E9C" w:rsidP="001C7E9C">
            <w:pPr>
              <w:jc w:val="left"/>
              <w:rPr>
                <w:i/>
                <w:strike/>
                <w:highlight w:val="lightGray"/>
              </w:rPr>
            </w:pPr>
            <w:r w:rsidRPr="00F57AE1">
              <w:rPr>
                <w:i/>
                <w:strike/>
                <w:highlight w:val="lightGray"/>
              </w:rPr>
              <w:t>to address the need for a clear EDV concept considering the following development of DNA technology (New Genetic (Breeding) Techniques) “These technologies allow for speedier breeding and make it arguably easier for subsequent breeders to develop a derived variety. A relatively small genetic variation could be sufficient to fulfil the DUS-requirements for a new PVR, whilst in effect the product would remain much the same. In countries with low PBR enforcement or countries that are still members of UPOV 1978 (where the EDV Concept is absent) […] breeders […](owners of the initial variety) may be left empty-handed, and their long term investments compromised.”</w:t>
            </w:r>
          </w:p>
        </w:tc>
        <w:tc>
          <w:tcPr>
            <w:tcW w:w="1513" w:type="dxa"/>
          </w:tcPr>
          <w:p w:rsidR="00F57AE1" w:rsidRDefault="001C7E9C" w:rsidP="001C7E9C">
            <w:pPr>
              <w:jc w:val="left"/>
              <w:rPr>
                <w:i/>
                <w:strike/>
                <w:highlight w:val="lightGray"/>
              </w:rPr>
            </w:pPr>
            <w:r w:rsidRPr="00F57AE1">
              <w:rPr>
                <w:i/>
                <w:strike/>
                <w:highlight w:val="lightGray"/>
              </w:rPr>
              <w:t>AIP</w:t>
            </w:r>
            <w:r w:rsidR="00F57AE1">
              <w:rPr>
                <w:i/>
                <w:strike/>
                <w:highlight w:val="lightGray"/>
              </w:rPr>
              <w:t>H</w:t>
            </w:r>
          </w:p>
          <w:p w:rsidR="001C7E9C" w:rsidRPr="00F57AE1" w:rsidRDefault="00F57AE1" w:rsidP="001C7E9C">
            <w:pPr>
              <w:jc w:val="left"/>
              <w:rPr>
                <w:i/>
                <w:strike/>
              </w:rPr>
            </w:pPr>
            <w:r w:rsidRPr="00F57AE1">
              <w:rPr>
                <w:i/>
                <w:highlight w:val="lightGray"/>
                <w:u w:val="single"/>
              </w:rPr>
              <w:t>(request of deletion from AIPH)</w:t>
            </w: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 xml:space="preserve">Issue </w:t>
            </w:r>
            <w:r w:rsidR="00BD26C6">
              <w:rPr>
                <w:i/>
              </w:rPr>
              <w:t>10 [</w:t>
            </w:r>
            <w:r w:rsidRPr="001C7E9C">
              <w:rPr>
                <w:i/>
              </w:rPr>
              <w:t>11</w:t>
            </w:r>
            <w:r w:rsidR="00BD26C6">
              <w:rPr>
                <w:i/>
              </w:rPr>
              <w:t>]</w:t>
            </w:r>
          </w:p>
        </w:tc>
        <w:tc>
          <w:tcPr>
            <w:tcW w:w="7155" w:type="dxa"/>
          </w:tcPr>
          <w:p w:rsidR="001C7E9C" w:rsidRPr="001C7E9C" w:rsidRDefault="001C7E9C" w:rsidP="001C7E9C">
            <w:pPr>
              <w:jc w:val="left"/>
              <w:rPr>
                <w:i/>
              </w:rPr>
            </w:pPr>
            <w:r w:rsidRPr="001C7E9C">
              <w:rPr>
                <w:i/>
              </w:rPr>
              <w:t xml:space="preserve">to consider how to provide clarity and certainty in relation to the following “respondents note that some further clarity on the concept, on genetic thresholds or on essential characteristics would be welcome. Additionally, concerns have been raised as regards the multiple interpretations of how to apply the EDV concept in different jurisdictions.” </w:t>
            </w:r>
          </w:p>
        </w:tc>
        <w:tc>
          <w:tcPr>
            <w:tcW w:w="1513" w:type="dxa"/>
          </w:tcPr>
          <w:p w:rsidR="001C7E9C" w:rsidRPr="001C7E9C" w:rsidRDefault="001C7E9C" w:rsidP="001C7E9C">
            <w:pPr>
              <w:jc w:val="left"/>
              <w:rPr>
                <w:i/>
              </w:rPr>
            </w:pPr>
            <w:r w:rsidRPr="001C7E9C">
              <w:rPr>
                <w:i/>
              </w:rPr>
              <w:t>Joint contribution by breeders, AIPH</w:t>
            </w:r>
          </w:p>
        </w:tc>
      </w:tr>
      <w:tr w:rsidR="001C7E9C" w:rsidRPr="001C7E9C" w:rsidTr="00A24F4D">
        <w:trPr>
          <w:gridAfter w:val="1"/>
          <w:wAfter w:w="10" w:type="dxa"/>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rPr>
                <w:i/>
              </w:rPr>
            </w:pPr>
            <w:r w:rsidRPr="001C7E9C">
              <w:rPr>
                <w:i/>
              </w:rPr>
              <w:t>Predominantly derived from the initial variety (Article 14(5)(b)(i))</w:t>
            </w:r>
          </w:p>
          <w:p w:rsidR="001C7E9C" w:rsidRPr="001C7E9C" w:rsidRDefault="001C7E9C" w:rsidP="001C7E9C">
            <w:pPr>
              <w:ind w:left="565" w:hanging="283"/>
              <w:jc w:val="left"/>
              <w:rPr>
                <w:i/>
              </w:rPr>
            </w:pPr>
          </w:p>
        </w:tc>
        <w:tc>
          <w:tcPr>
            <w:tcW w:w="1513" w:type="dxa"/>
          </w:tcPr>
          <w:p w:rsidR="001C7E9C" w:rsidRPr="001C7E9C" w:rsidRDefault="001C7E9C" w:rsidP="001C7E9C">
            <w:pPr>
              <w:jc w:val="left"/>
              <w:rPr>
                <w:i/>
              </w:rPr>
            </w:pP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 xml:space="preserve">Issue </w:t>
            </w:r>
            <w:r w:rsidR="00BD26C6">
              <w:rPr>
                <w:i/>
              </w:rPr>
              <w:t>11 [</w:t>
            </w:r>
            <w:r w:rsidRPr="001C7E9C">
              <w:rPr>
                <w:i/>
              </w:rPr>
              <w:t>12</w:t>
            </w:r>
            <w:r w:rsidR="00BD26C6">
              <w:rPr>
                <w:i/>
              </w:rPr>
              <w:t>]</w:t>
            </w:r>
          </w:p>
        </w:tc>
        <w:tc>
          <w:tcPr>
            <w:tcW w:w="7155" w:type="dxa"/>
          </w:tcPr>
          <w:p w:rsidR="001C7E9C" w:rsidRPr="001C7E9C" w:rsidRDefault="001C7E9C" w:rsidP="001C7E9C">
            <w:pPr>
              <w:jc w:val="left"/>
              <w:rPr>
                <w:i/>
                <w:highlight w:val="yellow"/>
              </w:rPr>
            </w:pPr>
            <w:r w:rsidRPr="001C7E9C">
              <w:rPr>
                <w:i/>
              </w:rPr>
              <w:t>to clarify the terms in Article 14(5)(b)(i) concerning “while retaining the expression of the essential characteristics that results from the genotype and combination of genotypes”</w:t>
            </w:r>
          </w:p>
        </w:tc>
        <w:tc>
          <w:tcPr>
            <w:tcW w:w="1513" w:type="dxa"/>
          </w:tcPr>
          <w:p w:rsidR="001C7E9C" w:rsidRPr="001C7E9C" w:rsidRDefault="001C7E9C" w:rsidP="001C7E9C">
            <w:pPr>
              <w:jc w:val="left"/>
              <w:rPr>
                <w:i/>
              </w:rPr>
            </w:pPr>
            <w:r w:rsidRPr="001C7E9C">
              <w:rPr>
                <w:i/>
              </w:rPr>
              <w:t>EU</w:t>
            </w: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 xml:space="preserve">Issue </w:t>
            </w:r>
            <w:r w:rsidR="00BD26C6">
              <w:rPr>
                <w:i/>
              </w:rPr>
              <w:t>12 [</w:t>
            </w:r>
            <w:r w:rsidRPr="001C7E9C">
              <w:rPr>
                <w:i/>
              </w:rPr>
              <w:t>13</w:t>
            </w:r>
            <w:r w:rsidR="00BD26C6">
              <w:rPr>
                <w:i/>
              </w:rPr>
              <w:t>]</w:t>
            </w:r>
          </w:p>
        </w:tc>
        <w:tc>
          <w:tcPr>
            <w:tcW w:w="7155" w:type="dxa"/>
          </w:tcPr>
          <w:p w:rsidR="001C7E9C" w:rsidRPr="001C7E9C" w:rsidRDefault="001C7E9C" w:rsidP="001C7E9C">
            <w:pPr>
              <w:jc w:val="left"/>
              <w:rPr>
                <w:i/>
              </w:rPr>
            </w:pPr>
            <w:r w:rsidRPr="001C7E9C">
              <w:rPr>
                <w:i/>
              </w:rPr>
              <w:t>to clarify the explanations in paragraphs 4 and 5</w:t>
            </w:r>
          </w:p>
        </w:tc>
        <w:tc>
          <w:tcPr>
            <w:tcW w:w="1513" w:type="dxa"/>
          </w:tcPr>
          <w:p w:rsidR="001C7E9C" w:rsidRPr="001C7E9C" w:rsidRDefault="001C7E9C" w:rsidP="001C7E9C">
            <w:pPr>
              <w:jc w:val="left"/>
              <w:rPr>
                <w:i/>
              </w:rPr>
            </w:pPr>
            <w:r w:rsidRPr="001C7E9C">
              <w:rPr>
                <w:i/>
              </w:rPr>
              <w:t>RU</w:t>
            </w: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 xml:space="preserve">Issue </w:t>
            </w:r>
            <w:r w:rsidR="00BD26C6">
              <w:rPr>
                <w:i/>
              </w:rPr>
              <w:t>13 [</w:t>
            </w:r>
            <w:r w:rsidRPr="001C7E9C">
              <w:rPr>
                <w:i/>
              </w:rPr>
              <w:t>14</w:t>
            </w:r>
            <w:r w:rsidR="00BD26C6">
              <w:rPr>
                <w:i/>
              </w:rPr>
              <w:t>]</w:t>
            </w:r>
          </w:p>
        </w:tc>
        <w:tc>
          <w:tcPr>
            <w:tcW w:w="7155" w:type="dxa"/>
          </w:tcPr>
          <w:p w:rsidR="001C7E9C" w:rsidRPr="001C7E9C" w:rsidRDefault="001C7E9C" w:rsidP="001C7E9C">
            <w:pPr>
              <w:jc w:val="left"/>
              <w:rPr>
                <w:i/>
              </w:rPr>
            </w:pPr>
            <w:r w:rsidRPr="001C7E9C">
              <w:rPr>
                <w:i/>
              </w:rPr>
              <w:t>to clarify the notion of essential characteristics and how they relate or not to DUS characteristics (see paragraph 6)</w:t>
            </w:r>
          </w:p>
        </w:tc>
        <w:tc>
          <w:tcPr>
            <w:tcW w:w="1513" w:type="dxa"/>
          </w:tcPr>
          <w:p w:rsidR="001C7E9C" w:rsidRPr="001C7E9C" w:rsidRDefault="001C7E9C" w:rsidP="001C7E9C">
            <w:pPr>
              <w:jc w:val="left"/>
              <w:rPr>
                <w:i/>
              </w:rPr>
            </w:pPr>
            <w:r w:rsidRPr="001C7E9C">
              <w:rPr>
                <w:i/>
              </w:rPr>
              <w:t>RU, ZA</w:t>
            </w:r>
          </w:p>
        </w:tc>
      </w:tr>
      <w:tr w:rsidR="001C7E9C" w:rsidRPr="001C7E9C" w:rsidTr="00A24F4D">
        <w:trPr>
          <w:gridAfter w:val="1"/>
          <w:wAfter w:w="10" w:type="dxa"/>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rPr>
                <w:i/>
              </w:rPr>
            </w:pPr>
            <w:r w:rsidRPr="001C7E9C">
              <w:rPr>
                <w:i/>
              </w:rPr>
              <w:t>Clearly distinguishable from the initial variety (Article 14(5)(b)(ii))</w:t>
            </w:r>
          </w:p>
          <w:p w:rsidR="001C7E9C" w:rsidRPr="001C7E9C" w:rsidRDefault="001C7E9C" w:rsidP="001C7E9C">
            <w:pPr>
              <w:jc w:val="left"/>
              <w:rPr>
                <w:i/>
              </w:rPr>
            </w:pPr>
          </w:p>
        </w:tc>
        <w:tc>
          <w:tcPr>
            <w:tcW w:w="1513" w:type="dxa"/>
          </w:tcPr>
          <w:p w:rsidR="001C7E9C" w:rsidRPr="001C7E9C" w:rsidRDefault="001C7E9C" w:rsidP="001C7E9C">
            <w:pPr>
              <w:jc w:val="left"/>
              <w:rPr>
                <w:i/>
              </w:rPr>
            </w:pPr>
          </w:p>
        </w:tc>
      </w:tr>
      <w:tr w:rsidR="001C7E9C" w:rsidRPr="001C7E9C" w:rsidTr="00A24F4D">
        <w:trPr>
          <w:gridAfter w:val="1"/>
          <w:wAfter w:w="10" w:type="dxa"/>
          <w:cantSplit/>
        </w:trPr>
        <w:tc>
          <w:tcPr>
            <w:tcW w:w="1305" w:type="dxa"/>
          </w:tcPr>
          <w:p w:rsidR="001C7E9C" w:rsidRPr="001C7E9C" w:rsidRDefault="001C7E9C" w:rsidP="001C7E9C">
            <w:pPr>
              <w:rPr>
                <w:i/>
              </w:rPr>
            </w:pPr>
            <w:r w:rsidRPr="001C7E9C">
              <w:rPr>
                <w:i/>
              </w:rPr>
              <w:t xml:space="preserve">Issue </w:t>
            </w:r>
            <w:r w:rsidR="00BD26C6">
              <w:rPr>
                <w:i/>
              </w:rPr>
              <w:t>14 [</w:t>
            </w:r>
            <w:r w:rsidRPr="001C7E9C">
              <w:rPr>
                <w:i/>
              </w:rPr>
              <w:t>15</w:t>
            </w:r>
            <w:r w:rsidR="00BD26C6">
              <w:rPr>
                <w:i/>
              </w:rPr>
              <w:t>]</w:t>
            </w:r>
          </w:p>
        </w:tc>
        <w:tc>
          <w:tcPr>
            <w:tcW w:w="7155" w:type="dxa"/>
          </w:tcPr>
          <w:p w:rsidR="001C7E9C" w:rsidRPr="001C7E9C" w:rsidRDefault="001C7E9C" w:rsidP="001C7E9C">
            <w:pPr>
              <w:jc w:val="left"/>
              <w:rPr>
                <w:i/>
              </w:rPr>
            </w:pPr>
            <w:r w:rsidRPr="001C7E9C">
              <w:rPr>
                <w:i/>
              </w:rPr>
              <w:t>to clarify the notion of “clearly distinguishable” in Article 14(5)(b)(ii) and to consider if the reference to Article 14(5)(a)(ii) in paragraph 7 is relevant</w:t>
            </w:r>
          </w:p>
        </w:tc>
        <w:tc>
          <w:tcPr>
            <w:tcW w:w="1513" w:type="dxa"/>
          </w:tcPr>
          <w:p w:rsidR="001C7E9C" w:rsidRPr="001C7E9C" w:rsidRDefault="001C7E9C" w:rsidP="001C7E9C">
            <w:pPr>
              <w:jc w:val="left"/>
              <w:rPr>
                <w:i/>
              </w:rPr>
            </w:pPr>
            <w:r w:rsidRPr="001C7E9C">
              <w:rPr>
                <w:i/>
              </w:rPr>
              <w:t xml:space="preserve">SE, RU </w:t>
            </w:r>
          </w:p>
        </w:tc>
      </w:tr>
      <w:tr w:rsidR="001C7E9C" w:rsidRPr="001C7E9C" w:rsidTr="00A24F4D">
        <w:trPr>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rPr>
                <w:i/>
              </w:rPr>
            </w:pPr>
            <w:r w:rsidRPr="001C7E9C">
              <w:rPr>
                <w:i/>
              </w:rPr>
              <w:t>Conformity with the initial variety in the expression of the essential characteristics (Article 14(5)(b)(iii))</w:t>
            </w:r>
          </w:p>
          <w:p w:rsidR="001C7E9C" w:rsidRPr="001C7E9C" w:rsidRDefault="001C7E9C" w:rsidP="001C7E9C">
            <w:pPr>
              <w:jc w:val="left"/>
              <w:rPr>
                <w:i/>
                <w:highlight w:val="yellow"/>
              </w:rPr>
            </w:pPr>
          </w:p>
        </w:tc>
        <w:tc>
          <w:tcPr>
            <w:tcW w:w="1523" w:type="dxa"/>
            <w:gridSpan w:val="2"/>
          </w:tcPr>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15 [</w:t>
            </w:r>
            <w:r w:rsidRPr="001C7E9C">
              <w:rPr>
                <w:i/>
              </w:rPr>
              <w:t>16</w:t>
            </w:r>
            <w:r w:rsidR="00BD26C6">
              <w:rPr>
                <w:i/>
              </w:rPr>
              <w:t>]</w:t>
            </w:r>
          </w:p>
        </w:tc>
        <w:tc>
          <w:tcPr>
            <w:tcW w:w="7155" w:type="dxa"/>
          </w:tcPr>
          <w:p w:rsidR="001C7E9C" w:rsidRPr="001C7E9C" w:rsidRDefault="001C7E9C" w:rsidP="001C7E9C">
            <w:pPr>
              <w:jc w:val="left"/>
              <w:rPr>
                <w:i/>
              </w:rPr>
            </w:pPr>
            <w:r w:rsidRPr="001C7E9C">
              <w:rPr>
                <w:i/>
              </w:rPr>
              <w:t>to determine how many differences and how important such differences are necessary for an EDV to conform “essentially” with the initial variety</w:t>
            </w:r>
          </w:p>
        </w:tc>
        <w:tc>
          <w:tcPr>
            <w:tcW w:w="1523" w:type="dxa"/>
            <w:gridSpan w:val="2"/>
          </w:tcPr>
          <w:p w:rsidR="001C7E9C" w:rsidRPr="001C7E9C" w:rsidRDefault="001C7E9C" w:rsidP="001C7E9C">
            <w:pPr>
              <w:jc w:val="left"/>
              <w:rPr>
                <w:i/>
              </w:rPr>
            </w:pPr>
            <w:r w:rsidRPr="001C7E9C">
              <w:rPr>
                <w:i/>
              </w:rPr>
              <w:t>EU, ZA</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16 [</w:t>
            </w:r>
            <w:r w:rsidRPr="001C7E9C">
              <w:rPr>
                <w:i/>
              </w:rPr>
              <w:t>17</w:t>
            </w:r>
            <w:r w:rsidR="00BD26C6">
              <w:rPr>
                <w:i/>
              </w:rPr>
              <w:t>]</w:t>
            </w:r>
          </w:p>
          <w:p w:rsidR="001C7E9C" w:rsidRPr="001C7E9C" w:rsidRDefault="001C7E9C" w:rsidP="001C7E9C">
            <w:pPr>
              <w:rPr>
                <w:i/>
              </w:rPr>
            </w:pPr>
          </w:p>
        </w:tc>
        <w:tc>
          <w:tcPr>
            <w:tcW w:w="7155" w:type="dxa"/>
          </w:tcPr>
          <w:p w:rsidR="001C7E9C" w:rsidRPr="001C7E9C" w:rsidRDefault="001C7E9C" w:rsidP="001C7E9C">
            <w:pPr>
              <w:jc w:val="left"/>
              <w:rPr>
                <w:i/>
              </w:rPr>
            </w:pPr>
            <w:r w:rsidRPr="001C7E9C">
              <w:rPr>
                <w:i/>
              </w:rPr>
              <w:t xml:space="preserve">to consider removing the sentence “differences should be one or very few” in paragraph 10 </w:t>
            </w:r>
          </w:p>
        </w:tc>
        <w:tc>
          <w:tcPr>
            <w:tcW w:w="1523" w:type="dxa"/>
            <w:gridSpan w:val="2"/>
          </w:tcPr>
          <w:p w:rsidR="001C7E9C" w:rsidRPr="001C7E9C" w:rsidRDefault="001C7E9C" w:rsidP="001C7E9C">
            <w:pPr>
              <w:jc w:val="left"/>
              <w:rPr>
                <w:i/>
              </w:rPr>
            </w:pPr>
            <w:r w:rsidRPr="001C7E9C">
              <w:rPr>
                <w:i/>
              </w:rPr>
              <w:t>EU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17 [</w:t>
            </w:r>
            <w:r w:rsidRPr="001C7E9C">
              <w:rPr>
                <w:i/>
              </w:rPr>
              <w:t>18</w:t>
            </w:r>
            <w:r w:rsidR="00BD26C6">
              <w:rPr>
                <w:i/>
              </w:rPr>
              <w:t>]</w:t>
            </w:r>
          </w:p>
        </w:tc>
        <w:tc>
          <w:tcPr>
            <w:tcW w:w="7155" w:type="dxa"/>
          </w:tcPr>
          <w:p w:rsidR="001C7E9C" w:rsidRPr="001C7E9C" w:rsidRDefault="001C7E9C" w:rsidP="001C7E9C">
            <w:pPr>
              <w:jc w:val="left"/>
              <w:rPr>
                <w:i/>
              </w:rPr>
            </w:pPr>
            <w:r w:rsidRPr="001C7E9C">
              <w:rPr>
                <w:i/>
              </w:rPr>
              <w:t xml:space="preserve">to clarify the meaning of “except for the differences which result from the act of derivation” and whether there can be any differences which do not result from the act of derivation </w:t>
            </w:r>
          </w:p>
        </w:tc>
        <w:tc>
          <w:tcPr>
            <w:tcW w:w="1523" w:type="dxa"/>
            <w:gridSpan w:val="2"/>
          </w:tcPr>
          <w:p w:rsidR="001C7E9C" w:rsidRPr="001C7E9C" w:rsidRDefault="001C7E9C" w:rsidP="001C7E9C">
            <w:pPr>
              <w:jc w:val="left"/>
              <w:rPr>
                <w:i/>
              </w:rPr>
            </w:pPr>
            <w:r w:rsidRPr="001C7E9C">
              <w:rPr>
                <w:i/>
              </w:rPr>
              <w:t>ZA</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18 [</w:t>
            </w:r>
            <w:r w:rsidRPr="001C7E9C">
              <w:rPr>
                <w:i/>
              </w:rPr>
              <w:t>19</w:t>
            </w:r>
            <w:r w:rsidR="00BD26C6">
              <w:rPr>
                <w:i/>
              </w:rPr>
              <w:t>]</w:t>
            </w:r>
          </w:p>
        </w:tc>
        <w:tc>
          <w:tcPr>
            <w:tcW w:w="7155" w:type="dxa"/>
          </w:tcPr>
          <w:p w:rsidR="001C7E9C" w:rsidRPr="001C7E9C" w:rsidRDefault="001C7E9C" w:rsidP="001C7E9C">
            <w:pPr>
              <w:jc w:val="left"/>
              <w:rPr>
                <w:i/>
              </w:rPr>
            </w:pPr>
            <w:r w:rsidRPr="001C7E9C">
              <w:rPr>
                <w:i/>
              </w:rPr>
              <w:t>to consider what justifies a limit on the number of differences for purposes of determining whether a variety is essentially derived or not, if the wording “except for the differences which result from the act of derivation” “do not set a limit to the amount of difference that may exist” (e.g. mutations induced by irradiation) (see paragraph 9)</w:t>
            </w:r>
          </w:p>
        </w:tc>
        <w:tc>
          <w:tcPr>
            <w:tcW w:w="1523" w:type="dxa"/>
            <w:gridSpan w:val="2"/>
          </w:tcPr>
          <w:p w:rsidR="001C7E9C" w:rsidRPr="001C7E9C" w:rsidRDefault="001C7E9C" w:rsidP="001C7E9C">
            <w:pPr>
              <w:jc w:val="left"/>
              <w:rPr>
                <w:i/>
              </w:rPr>
            </w:pPr>
            <w:r w:rsidRPr="001C7E9C">
              <w:rPr>
                <w:i/>
              </w:rPr>
              <w:t>ZA</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19 [</w:t>
            </w:r>
            <w:r w:rsidRPr="001C7E9C">
              <w:rPr>
                <w:i/>
              </w:rPr>
              <w:t>20</w:t>
            </w:r>
            <w:r w:rsidR="00BD26C6">
              <w:rPr>
                <w:i/>
              </w:rPr>
              <w:t>]</w:t>
            </w:r>
          </w:p>
        </w:tc>
        <w:tc>
          <w:tcPr>
            <w:tcW w:w="7155" w:type="dxa"/>
          </w:tcPr>
          <w:p w:rsidR="001C7E9C" w:rsidRPr="001C7E9C" w:rsidRDefault="001C7E9C" w:rsidP="001C7E9C">
            <w:pPr>
              <w:jc w:val="left"/>
              <w:rPr>
                <w:i/>
              </w:rPr>
            </w:pPr>
            <w:r w:rsidRPr="001C7E9C">
              <w:rPr>
                <w:i/>
              </w:rPr>
              <w:t xml:space="preserve">to review the explanations in paragraphs 8 to 11 to provide clear guidance concerning the provisions in Article 14(5)(b)(iii) </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20 [</w:t>
            </w:r>
            <w:r w:rsidRPr="001C7E9C">
              <w:rPr>
                <w:i/>
              </w:rPr>
              <w:t>21</w:t>
            </w:r>
            <w:r w:rsidR="00BD26C6">
              <w:rPr>
                <w:i/>
              </w:rPr>
              <w:t>]</w:t>
            </w:r>
          </w:p>
        </w:tc>
        <w:tc>
          <w:tcPr>
            <w:tcW w:w="7155" w:type="dxa"/>
          </w:tcPr>
          <w:p w:rsidR="001C7E9C" w:rsidRPr="001C7E9C" w:rsidRDefault="001C7E9C" w:rsidP="001C7E9C">
            <w:pPr>
              <w:jc w:val="left"/>
            </w:pPr>
            <w:r w:rsidRPr="001C7E9C">
              <w:rPr>
                <w:i/>
              </w:rPr>
              <w:t>to consider how to provide certainty in relation to the following “the existence of an EDV is sometimes hard to prove, and uncertainty exists due to the lack of clarity around the EDV concept and what the unaltered expression of essential characteristics means for a specific crop.”</w:t>
            </w:r>
          </w:p>
        </w:tc>
        <w:tc>
          <w:tcPr>
            <w:tcW w:w="1523" w:type="dxa"/>
            <w:gridSpan w:val="2"/>
          </w:tcPr>
          <w:p w:rsidR="001C7E9C" w:rsidRPr="001C7E9C" w:rsidRDefault="001C7E9C" w:rsidP="001C7E9C">
            <w:pPr>
              <w:jc w:val="left"/>
              <w:rPr>
                <w:i/>
              </w:rPr>
            </w:pPr>
            <w:r w:rsidRPr="001C7E9C">
              <w:rPr>
                <w:i/>
              </w:rPr>
              <w:t>Joint contribution by breeders</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21 [</w:t>
            </w:r>
            <w:r w:rsidRPr="001C7E9C">
              <w:rPr>
                <w:i/>
              </w:rPr>
              <w:t>22</w:t>
            </w:r>
            <w:r w:rsidR="00BD26C6">
              <w:rPr>
                <w:i/>
              </w:rPr>
              <w:t>]</w:t>
            </w:r>
          </w:p>
        </w:tc>
        <w:tc>
          <w:tcPr>
            <w:tcW w:w="7155" w:type="dxa"/>
          </w:tcPr>
          <w:p w:rsidR="001C7E9C" w:rsidRPr="001C7E9C" w:rsidRDefault="001C7E9C" w:rsidP="001C7E9C">
            <w:pPr>
              <w:jc w:val="left"/>
              <w:rPr>
                <w:i/>
              </w:rPr>
            </w:pPr>
            <w:r w:rsidRPr="001C7E9C">
              <w:rPr>
                <w:i/>
              </w:rPr>
              <w:t>to consider how to clarify the following “Respondents see that the EDV concept provided by UPOV is a way to solve disputes upfront between breeders. However, the latest UPOV Explanatory Notes on EDV (2017) created confusion among the breeders, particularly if that would mean that mutants of protected initial varieties are no longer seen as EDVs.”</w:t>
            </w:r>
          </w:p>
        </w:tc>
        <w:tc>
          <w:tcPr>
            <w:tcW w:w="1523" w:type="dxa"/>
            <w:gridSpan w:val="2"/>
          </w:tcPr>
          <w:p w:rsidR="001C7E9C" w:rsidRPr="001C7E9C" w:rsidRDefault="001C7E9C" w:rsidP="001C7E9C">
            <w:pPr>
              <w:jc w:val="left"/>
              <w:rPr>
                <w:i/>
              </w:rPr>
            </w:pPr>
            <w:r w:rsidRPr="001C7E9C">
              <w:rPr>
                <w:i/>
              </w:rPr>
              <w:t>Joint contribution by breeders, AIPH</w:t>
            </w:r>
          </w:p>
        </w:tc>
      </w:tr>
      <w:tr w:rsidR="001C7E9C" w:rsidRPr="001C7E9C" w:rsidTr="00A24F4D">
        <w:trPr>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rPr>
                <w:i/>
              </w:rPr>
            </w:pPr>
            <w:r w:rsidRPr="001C7E9C">
              <w:rPr>
                <w:i/>
              </w:rPr>
              <w:t>Examples on ways in which an essentially derived variety may be obtained (Article 14(5)(c))- paragraphs 12 and 13</w:t>
            </w:r>
          </w:p>
          <w:p w:rsidR="001C7E9C" w:rsidRPr="001C7E9C" w:rsidRDefault="001C7E9C" w:rsidP="001C7E9C">
            <w:pPr>
              <w:jc w:val="left"/>
              <w:rPr>
                <w:i/>
              </w:rPr>
            </w:pPr>
          </w:p>
        </w:tc>
        <w:tc>
          <w:tcPr>
            <w:tcW w:w="1523" w:type="dxa"/>
            <w:gridSpan w:val="2"/>
          </w:tcPr>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lastRenderedPageBreak/>
              <w:t xml:space="preserve">Issue </w:t>
            </w:r>
            <w:r w:rsidR="00BD26C6">
              <w:rPr>
                <w:i/>
              </w:rPr>
              <w:t>22 [</w:t>
            </w:r>
            <w:r w:rsidRPr="001C7E9C">
              <w:rPr>
                <w:i/>
              </w:rPr>
              <w:t>23</w:t>
            </w:r>
            <w:r w:rsidR="00BD26C6">
              <w:rPr>
                <w:i/>
              </w:rPr>
              <w:t>]</w:t>
            </w:r>
          </w:p>
        </w:tc>
        <w:tc>
          <w:tcPr>
            <w:tcW w:w="7155" w:type="dxa"/>
          </w:tcPr>
          <w:p w:rsidR="001C7E9C" w:rsidRPr="001C7E9C" w:rsidRDefault="001C7E9C" w:rsidP="001C7E9C">
            <w:pPr>
              <w:jc w:val="left"/>
              <w:rPr>
                <w:i/>
              </w:rPr>
            </w:pPr>
            <w:r w:rsidRPr="001C7E9C">
              <w:rPr>
                <w:i/>
              </w:rPr>
              <w:t>to consider explaining the term 'induced mutant' in relation to the “techniques of genome editing'”</w:t>
            </w:r>
          </w:p>
        </w:tc>
        <w:tc>
          <w:tcPr>
            <w:tcW w:w="1523" w:type="dxa"/>
            <w:gridSpan w:val="2"/>
          </w:tcPr>
          <w:p w:rsidR="001C7E9C" w:rsidRPr="001C7E9C" w:rsidRDefault="001C7E9C" w:rsidP="001C7E9C">
            <w:pPr>
              <w:jc w:val="left"/>
              <w:rPr>
                <w:i/>
              </w:rPr>
            </w:pPr>
            <w:r w:rsidRPr="001C7E9C">
              <w:rPr>
                <w:i/>
              </w:rPr>
              <w:t>SE</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23 [</w:t>
            </w:r>
            <w:r w:rsidRPr="001C7E9C">
              <w:rPr>
                <w:i/>
              </w:rPr>
              <w:t>24</w:t>
            </w:r>
            <w:r w:rsidR="00BD26C6">
              <w:rPr>
                <w:i/>
              </w:rPr>
              <w:t>]</w:t>
            </w:r>
          </w:p>
        </w:tc>
        <w:tc>
          <w:tcPr>
            <w:tcW w:w="7155" w:type="dxa"/>
          </w:tcPr>
          <w:p w:rsidR="001C7E9C" w:rsidRPr="001C7E9C" w:rsidRDefault="001C7E9C" w:rsidP="001C7E9C">
            <w:pPr>
              <w:jc w:val="left"/>
              <w:rPr>
                <w:i/>
              </w:rPr>
            </w:pPr>
            <w:r w:rsidRPr="001C7E9C">
              <w:rPr>
                <w:i/>
              </w:rPr>
              <w:t xml:space="preserve">to review the need to keep the text of Article 14(5)(c), in paragraph 12, as it is already included in  Section I (a) </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24 [</w:t>
            </w:r>
            <w:r w:rsidRPr="001C7E9C">
              <w:rPr>
                <w:i/>
              </w:rPr>
              <w:t>25</w:t>
            </w:r>
            <w:r w:rsidR="00BD26C6">
              <w:rPr>
                <w:i/>
              </w:rPr>
              <w:t>]</w:t>
            </w:r>
          </w:p>
        </w:tc>
        <w:tc>
          <w:tcPr>
            <w:tcW w:w="7155" w:type="dxa"/>
          </w:tcPr>
          <w:p w:rsidR="001C7E9C" w:rsidRPr="001C7E9C" w:rsidRDefault="001C7E9C" w:rsidP="001C7E9C">
            <w:pPr>
              <w:jc w:val="left"/>
              <w:rPr>
                <w:i/>
              </w:rPr>
            </w:pPr>
            <w:r w:rsidRPr="001C7E9C">
              <w:rPr>
                <w:i/>
              </w:rPr>
              <w:t>to consider the need to retain the first sentence in paragraph 13 and whether  to review the second sentence to explain that “for example” in Article 14(5)(c) means that those are examples and do not exclude the possibility of an essentially derived variety being obtained in other ways.</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keepNext/>
              <w:rPr>
                <w:i/>
              </w:rPr>
            </w:pPr>
          </w:p>
        </w:tc>
        <w:tc>
          <w:tcPr>
            <w:tcW w:w="7155" w:type="dxa"/>
          </w:tcPr>
          <w:p w:rsidR="001C7E9C" w:rsidRPr="001C7E9C" w:rsidRDefault="001C7E9C" w:rsidP="001C7E9C">
            <w:pPr>
              <w:keepNext/>
              <w:jc w:val="left"/>
              <w:rPr>
                <w:i/>
              </w:rPr>
            </w:pPr>
            <w:r w:rsidRPr="001C7E9C">
              <w:rPr>
                <w:i/>
              </w:rPr>
              <w:t>Method of breeding</w:t>
            </w:r>
          </w:p>
          <w:p w:rsidR="001C7E9C" w:rsidRPr="001C7E9C" w:rsidRDefault="001C7E9C" w:rsidP="001C7E9C">
            <w:pPr>
              <w:keepNext/>
              <w:jc w:val="left"/>
              <w:rPr>
                <w:i/>
              </w:rPr>
            </w:pPr>
          </w:p>
        </w:tc>
        <w:tc>
          <w:tcPr>
            <w:tcW w:w="1523" w:type="dxa"/>
            <w:gridSpan w:val="2"/>
          </w:tcPr>
          <w:p w:rsidR="001C7E9C" w:rsidRPr="001C7E9C" w:rsidRDefault="001C7E9C" w:rsidP="001C7E9C">
            <w:pPr>
              <w:keepNext/>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25 [</w:t>
            </w:r>
            <w:r w:rsidRPr="001C7E9C">
              <w:rPr>
                <w:i/>
              </w:rPr>
              <w:t>26</w:t>
            </w:r>
            <w:r w:rsidR="00BD26C6">
              <w:rPr>
                <w:i/>
              </w:rPr>
              <w:t>]</w:t>
            </w:r>
          </w:p>
        </w:tc>
        <w:tc>
          <w:tcPr>
            <w:tcW w:w="7155" w:type="dxa"/>
          </w:tcPr>
          <w:p w:rsidR="001C7E9C" w:rsidRPr="001C7E9C" w:rsidRDefault="001C7E9C" w:rsidP="001C7E9C">
            <w:pPr>
              <w:spacing w:after="60"/>
              <w:ind w:right="567"/>
              <w:jc w:val="left"/>
              <w:rPr>
                <w:rFonts w:eastAsia="Calibri" w:cs="Arial"/>
                <w:i/>
                <w:iCs/>
              </w:rPr>
            </w:pPr>
            <w:r w:rsidRPr="001C7E9C">
              <w:rPr>
                <w:rFonts w:eastAsia="Calibri" w:cs="Arial"/>
                <w:i/>
                <w:iCs/>
              </w:rPr>
              <w:t xml:space="preserve">to consider the need to revise the second sentence of paragraph 15  “[..].  For instance, the genetic change may result in a mutant that no longer retains the expression of the essential characteristics that result from the genotype of the initial variety.” </w:t>
            </w:r>
          </w:p>
        </w:tc>
        <w:tc>
          <w:tcPr>
            <w:tcW w:w="1523" w:type="dxa"/>
            <w:gridSpan w:val="2"/>
          </w:tcPr>
          <w:p w:rsidR="001C7E9C" w:rsidRPr="001C7E9C" w:rsidRDefault="001C7E9C" w:rsidP="001C7E9C">
            <w:pPr>
              <w:jc w:val="left"/>
              <w:rPr>
                <w:i/>
              </w:rPr>
            </w:pPr>
            <w:r w:rsidRPr="001C7E9C">
              <w:rPr>
                <w:i/>
              </w:rPr>
              <w:t>DE</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26 [</w:t>
            </w:r>
            <w:r w:rsidRPr="001C7E9C">
              <w:rPr>
                <w:i/>
              </w:rPr>
              <w:t>27</w:t>
            </w:r>
            <w:r w:rsidR="00BD26C6">
              <w:rPr>
                <w:i/>
              </w:rPr>
              <w:t>]</w:t>
            </w:r>
          </w:p>
        </w:tc>
        <w:tc>
          <w:tcPr>
            <w:tcW w:w="7155" w:type="dxa"/>
          </w:tcPr>
          <w:p w:rsidR="001C7E9C" w:rsidRPr="001C7E9C" w:rsidRDefault="001C7E9C" w:rsidP="001C7E9C">
            <w:pPr>
              <w:spacing w:after="60"/>
              <w:ind w:right="567"/>
              <w:jc w:val="left"/>
              <w:rPr>
                <w:rFonts w:eastAsia="Calibri" w:cs="Arial"/>
                <w:i/>
                <w:iCs/>
              </w:rPr>
            </w:pPr>
            <w:r w:rsidRPr="001C7E9C">
              <w:rPr>
                <w:rFonts w:eastAsia="Calibri" w:cs="Arial"/>
                <w:i/>
                <w:iCs/>
              </w:rPr>
              <w:t>to consider the following revision of paragraph 15  "While the genetic change may result in a mutant that no longer retains the expression of the essential characteristics that result from the genotype of the initial variety, this is rarely the effect of point mutations."</w:t>
            </w:r>
          </w:p>
        </w:tc>
        <w:tc>
          <w:tcPr>
            <w:tcW w:w="1523" w:type="dxa"/>
            <w:gridSpan w:val="2"/>
          </w:tcPr>
          <w:p w:rsidR="001C7E9C" w:rsidRPr="001C7E9C" w:rsidRDefault="001C7E9C" w:rsidP="001C7E9C">
            <w:pPr>
              <w:jc w:val="left"/>
              <w:rPr>
                <w:i/>
              </w:rPr>
            </w:pPr>
            <w:r w:rsidRPr="001C7E9C">
              <w:rPr>
                <w:i/>
              </w:rPr>
              <w:t>SE</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27 [</w:t>
            </w:r>
            <w:r w:rsidRPr="001C7E9C">
              <w:rPr>
                <w:i/>
              </w:rPr>
              <w:t>28</w:t>
            </w:r>
            <w:r w:rsidR="00BD26C6">
              <w:rPr>
                <w:i/>
              </w:rPr>
              <w:t>]</w:t>
            </w:r>
          </w:p>
        </w:tc>
        <w:tc>
          <w:tcPr>
            <w:tcW w:w="7155" w:type="dxa"/>
          </w:tcPr>
          <w:p w:rsidR="001C7E9C" w:rsidRPr="001C7E9C" w:rsidRDefault="001C7E9C" w:rsidP="001C7E9C">
            <w:pPr>
              <w:jc w:val="left"/>
              <w:rPr>
                <w:i/>
              </w:rPr>
            </w:pPr>
            <w:r w:rsidRPr="001C7E9C">
              <w:rPr>
                <w:i/>
              </w:rPr>
              <w:t xml:space="preserve">to consider if the breeding method used should not have an impact on the EDV concept </w:t>
            </w:r>
          </w:p>
        </w:tc>
        <w:tc>
          <w:tcPr>
            <w:tcW w:w="1523" w:type="dxa"/>
            <w:gridSpan w:val="2"/>
          </w:tcPr>
          <w:p w:rsidR="001C7E9C" w:rsidRPr="001C7E9C" w:rsidRDefault="001C7E9C" w:rsidP="001C7E9C">
            <w:pPr>
              <w:jc w:val="left"/>
              <w:rPr>
                <w:i/>
              </w:rPr>
            </w:pPr>
            <w:r w:rsidRPr="001C7E9C">
              <w:rPr>
                <w:i/>
              </w:rPr>
              <w:t>ZA</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28 [</w:t>
            </w:r>
            <w:r w:rsidRPr="001C7E9C">
              <w:rPr>
                <w:i/>
              </w:rPr>
              <w:t>29</w:t>
            </w:r>
            <w:r w:rsidR="00BD26C6">
              <w:rPr>
                <w:i/>
              </w:rPr>
              <w:t>]</w:t>
            </w:r>
          </w:p>
        </w:tc>
        <w:tc>
          <w:tcPr>
            <w:tcW w:w="7155" w:type="dxa"/>
          </w:tcPr>
          <w:p w:rsidR="001C7E9C" w:rsidRPr="001C7E9C" w:rsidRDefault="001C7E9C" w:rsidP="001C7E9C">
            <w:pPr>
              <w:jc w:val="left"/>
              <w:rPr>
                <w:i/>
              </w:rPr>
            </w:pPr>
            <w:r w:rsidRPr="001C7E9C">
              <w:rPr>
                <w:i/>
              </w:rPr>
              <w:t>to consider the need to clarify the contents of paragraphs 14 and 15 to facilitate the EDV determination process</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29 [</w:t>
            </w:r>
            <w:r w:rsidRPr="001C7E9C">
              <w:rPr>
                <w:i/>
              </w:rPr>
              <w:t>30</w:t>
            </w:r>
            <w:r w:rsidR="00BD26C6">
              <w:rPr>
                <w:i/>
              </w:rPr>
              <w:t>]</w:t>
            </w:r>
          </w:p>
        </w:tc>
        <w:tc>
          <w:tcPr>
            <w:tcW w:w="7155" w:type="dxa"/>
          </w:tcPr>
          <w:p w:rsidR="001C7E9C" w:rsidRPr="001C7E9C" w:rsidRDefault="001C7E9C" w:rsidP="001C7E9C">
            <w:pPr>
              <w:jc w:val="left"/>
              <w:rPr>
                <w:i/>
              </w:rPr>
            </w:pPr>
            <w:r w:rsidRPr="001C7E9C">
              <w:rPr>
                <w:i/>
              </w:rPr>
              <w:t xml:space="preserve">to consider the following proposals in relation to mutants: (a) in the majority of cases mutants are EDVs; (b) </w:t>
            </w:r>
            <w:r w:rsidRPr="001C7E9C">
              <w:rPr>
                <w:rFonts w:eastAsia="Calibri" w:cs="Arial"/>
                <w:i/>
                <w:iCs/>
              </w:rPr>
              <w:t>Mutants are always predominantly derived; (c) the mutant is completely derived from the initial variety.</w:t>
            </w:r>
          </w:p>
        </w:tc>
        <w:tc>
          <w:tcPr>
            <w:tcW w:w="1523" w:type="dxa"/>
            <w:gridSpan w:val="2"/>
          </w:tcPr>
          <w:p w:rsidR="001C7E9C" w:rsidRPr="001C7E9C" w:rsidRDefault="001C7E9C" w:rsidP="001C7E9C">
            <w:pPr>
              <w:jc w:val="left"/>
              <w:rPr>
                <w:i/>
              </w:rPr>
            </w:pPr>
            <w:r w:rsidRPr="001C7E9C">
              <w:rPr>
                <w:i/>
              </w:rPr>
              <w:t>EU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30 [</w:t>
            </w:r>
            <w:r w:rsidRPr="001C7E9C">
              <w:rPr>
                <w:i/>
              </w:rPr>
              <w:t>31</w:t>
            </w:r>
            <w:r w:rsidR="00BD26C6">
              <w:rPr>
                <w:i/>
              </w:rPr>
              <w:t>]</w:t>
            </w:r>
          </w:p>
        </w:tc>
        <w:tc>
          <w:tcPr>
            <w:tcW w:w="7155" w:type="dxa"/>
          </w:tcPr>
          <w:p w:rsidR="001C7E9C" w:rsidRPr="001C7E9C" w:rsidRDefault="001C7E9C" w:rsidP="001C7E9C">
            <w:pPr>
              <w:jc w:val="left"/>
              <w:rPr>
                <w:i/>
              </w:rPr>
            </w:pPr>
            <w:r w:rsidRPr="001C7E9C">
              <w:rPr>
                <w:i/>
              </w:rPr>
              <w:t>to consider reaching a common understanding on mutagenesis and the different kinds of mutagenesis techniques (e.g. spontaneous or induced mutagenesis provoking a single or several mutations)</w:t>
            </w:r>
          </w:p>
        </w:tc>
        <w:tc>
          <w:tcPr>
            <w:tcW w:w="1523" w:type="dxa"/>
            <w:gridSpan w:val="2"/>
          </w:tcPr>
          <w:p w:rsidR="001C7E9C" w:rsidRPr="001C7E9C" w:rsidRDefault="001C7E9C" w:rsidP="001C7E9C">
            <w:pPr>
              <w:jc w:val="left"/>
              <w:rPr>
                <w:i/>
              </w:rPr>
            </w:pPr>
            <w:r w:rsidRPr="001C7E9C">
              <w:rPr>
                <w:i/>
              </w:rPr>
              <w:t>EU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31 [</w:t>
            </w:r>
            <w:r w:rsidRPr="001C7E9C">
              <w:rPr>
                <w:i/>
              </w:rPr>
              <w:t>32</w:t>
            </w:r>
            <w:r w:rsidR="00BD26C6">
              <w:rPr>
                <w:i/>
              </w:rPr>
              <w:t>]</w:t>
            </w:r>
          </w:p>
        </w:tc>
        <w:tc>
          <w:tcPr>
            <w:tcW w:w="7155" w:type="dxa"/>
          </w:tcPr>
          <w:p w:rsidR="001C7E9C" w:rsidRPr="001C7E9C" w:rsidRDefault="001C7E9C" w:rsidP="001C7E9C">
            <w:pPr>
              <w:jc w:val="left"/>
              <w:rPr>
                <w:i/>
              </w:rPr>
            </w:pPr>
            <w:r w:rsidRPr="001C7E9C">
              <w:rPr>
                <w:i/>
              </w:rPr>
              <w:t xml:space="preserve">to consider, in relation to backcrossing, if thresholds can be defined to establish predominant derivation and to shift the burden of proof which might not be the case with mutants  “The difference between backcrossing and mutation is that in case of backcrossing there are two parent varieties providing each of them their genome. In order to avoid a limitation of the breeder’s exemption it is therefore particularly important to draw a borderline regarding the conformity. This can be done by using the terminology ‘repeated backcrossing’. It should also be stated that in relation to repeated backcrossing the limitation to ‘one or a few differences’ would remain an important principle for the conformity assessment.” (see also issue 17) </w:t>
            </w:r>
          </w:p>
        </w:tc>
        <w:tc>
          <w:tcPr>
            <w:tcW w:w="1523" w:type="dxa"/>
            <w:gridSpan w:val="2"/>
          </w:tcPr>
          <w:p w:rsidR="001C7E9C" w:rsidRPr="001C7E9C" w:rsidRDefault="001C7E9C" w:rsidP="001C7E9C">
            <w:pPr>
              <w:jc w:val="left"/>
              <w:rPr>
                <w:i/>
              </w:rPr>
            </w:pPr>
            <w:r w:rsidRPr="001C7E9C">
              <w:rPr>
                <w:i/>
              </w:rPr>
              <w:t>EU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32 [</w:t>
            </w:r>
            <w:r w:rsidRPr="001C7E9C">
              <w:rPr>
                <w:i/>
              </w:rPr>
              <w:t>33</w:t>
            </w:r>
            <w:r w:rsidR="00BD26C6">
              <w:rPr>
                <w:i/>
              </w:rPr>
              <w:t>]</w:t>
            </w:r>
          </w:p>
        </w:tc>
        <w:tc>
          <w:tcPr>
            <w:tcW w:w="7155" w:type="dxa"/>
          </w:tcPr>
          <w:p w:rsidR="001C7E9C" w:rsidRPr="001C7E9C" w:rsidRDefault="001C7E9C" w:rsidP="001C7E9C">
            <w:pPr>
              <w:jc w:val="left"/>
              <w:rPr>
                <w:i/>
              </w:rPr>
            </w:pPr>
            <w:r w:rsidRPr="001C7E9C">
              <w:rPr>
                <w:i/>
              </w:rPr>
              <w:t xml:space="preserve">to consider if the use of new breeding techniques (e.g. targeted mutagenesis) should in all cases lead to the conclusion that the variety is predominantly derived from the initial variety. </w:t>
            </w:r>
          </w:p>
        </w:tc>
        <w:tc>
          <w:tcPr>
            <w:tcW w:w="1523" w:type="dxa"/>
            <w:gridSpan w:val="2"/>
          </w:tcPr>
          <w:p w:rsidR="001C7E9C" w:rsidRPr="001C7E9C" w:rsidRDefault="001C7E9C" w:rsidP="001C7E9C">
            <w:pPr>
              <w:jc w:val="left"/>
              <w:rPr>
                <w:i/>
              </w:rPr>
            </w:pPr>
            <w:r w:rsidRPr="001C7E9C">
              <w:rPr>
                <w:i/>
              </w:rPr>
              <w:t>EU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33 [</w:t>
            </w:r>
            <w:r w:rsidRPr="001C7E9C">
              <w:rPr>
                <w:i/>
              </w:rPr>
              <w:t>34</w:t>
            </w:r>
            <w:r w:rsidR="00BD26C6">
              <w:rPr>
                <w:i/>
              </w:rPr>
              <w:t>]</w:t>
            </w:r>
          </w:p>
        </w:tc>
        <w:tc>
          <w:tcPr>
            <w:tcW w:w="7155" w:type="dxa"/>
          </w:tcPr>
          <w:p w:rsidR="001C7E9C" w:rsidRPr="001C7E9C" w:rsidRDefault="001C7E9C" w:rsidP="001C7E9C">
            <w:pPr>
              <w:jc w:val="left"/>
              <w:rPr>
                <w:i/>
              </w:rPr>
            </w:pPr>
            <w:r w:rsidRPr="001C7E9C">
              <w:rPr>
                <w:i/>
              </w:rPr>
              <w:t>to consider providing a more elaborated explanation of the terms “somaclonal variant” and “selected variant individual” as those terms just indicate the origin of a natural or induced mutant</w:t>
            </w:r>
          </w:p>
        </w:tc>
        <w:tc>
          <w:tcPr>
            <w:tcW w:w="1523" w:type="dxa"/>
            <w:gridSpan w:val="2"/>
          </w:tcPr>
          <w:p w:rsidR="001C7E9C" w:rsidRPr="001C7E9C" w:rsidRDefault="001C7E9C" w:rsidP="001C7E9C">
            <w:pPr>
              <w:jc w:val="left"/>
              <w:rPr>
                <w:i/>
              </w:rPr>
            </w:pPr>
            <w:r w:rsidRPr="001C7E9C">
              <w:rPr>
                <w:i/>
              </w:rPr>
              <w:t>DE</w:t>
            </w:r>
          </w:p>
        </w:tc>
      </w:tr>
      <w:tr w:rsidR="001C7E9C" w:rsidRPr="001C7E9C" w:rsidTr="00A24F4D">
        <w:trPr>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rPr>
                <w:i/>
              </w:rPr>
            </w:pPr>
            <w:r w:rsidRPr="001C7E9C">
              <w:rPr>
                <w:i/>
              </w:rPr>
              <w:t>Direct and indirect derivation</w:t>
            </w:r>
          </w:p>
          <w:p w:rsidR="001C7E9C" w:rsidRPr="001C7E9C" w:rsidRDefault="001C7E9C" w:rsidP="001C7E9C">
            <w:pPr>
              <w:jc w:val="left"/>
              <w:rPr>
                <w:i/>
              </w:rPr>
            </w:pPr>
          </w:p>
        </w:tc>
        <w:tc>
          <w:tcPr>
            <w:tcW w:w="1523" w:type="dxa"/>
            <w:gridSpan w:val="2"/>
          </w:tcPr>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34 [</w:t>
            </w:r>
            <w:r w:rsidRPr="001C7E9C">
              <w:rPr>
                <w:i/>
              </w:rPr>
              <w:t>35</w:t>
            </w:r>
            <w:r w:rsidR="00BD26C6">
              <w:rPr>
                <w:i/>
              </w:rPr>
              <w:t>]</w:t>
            </w:r>
          </w:p>
        </w:tc>
        <w:tc>
          <w:tcPr>
            <w:tcW w:w="7155" w:type="dxa"/>
          </w:tcPr>
          <w:p w:rsidR="001C7E9C" w:rsidRPr="001C7E9C" w:rsidRDefault="001C7E9C" w:rsidP="001C7E9C">
            <w:pPr>
              <w:jc w:val="left"/>
              <w:rPr>
                <w:i/>
              </w:rPr>
            </w:pPr>
            <w:r w:rsidRPr="001C7E9C">
              <w:rPr>
                <w:i/>
              </w:rPr>
              <w:t>to improve Figure 2 in order to clarify that ‘Z’ is clearly distinguishable from ’A’ but also clearly distinguishable from ‘B’ to ‘Y’.</w:t>
            </w:r>
          </w:p>
        </w:tc>
        <w:tc>
          <w:tcPr>
            <w:tcW w:w="1523" w:type="dxa"/>
            <w:gridSpan w:val="2"/>
          </w:tcPr>
          <w:p w:rsidR="001C7E9C" w:rsidRPr="001C7E9C" w:rsidRDefault="001C7E9C" w:rsidP="001C7E9C">
            <w:pPr>
              <w:jc w:val="left"/>
              <w:rPr>
                <w:i/>
              </w:rPr>
            </w:pPr>
            <w:r w:rsidRPr="001C7E9C">
              <w:rPr>
                <w:i/>
              </w:rPr>
              <w:t>DE</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35 [</w:t>
            </w:r>
            <w:r w:rsidRPr="001C7E9C">
              <w:rPr>
                <w:i/>
              </w:rPr>
              <w:t>36</w:t>
            </w:r>
            <w:r w:rsidR="00BD26C6">
              <w:rPr>
                <w:i/>
              </w:rPr>
              <w:t>]</w:t>
            </w:r>
          </w:p>
        </w:tc>
        <w:tc>
          <w:tcPr>
            <w:tcW w:w="7155" w:type="dxa"/>
          </w:tcPr>
          <w:p w:rsidR="001C7E9C" w:rsidRPr="001C7E9C" w:rsidRDefault="001C7E9C" w:rsidP="001C7E9C">
            <w:pPr>
              <w:jc w:val="left"/>
              <w:rPr>
                <w:i/>
              </w:rPr>
            </w:pPr>
            <w:r w:rsidRPr="001C7E9C">
              <w:rPr>
                <w:i/>
              </w:rPr>
              <w:t>to consider the following comment: “While the scheme in Figure 2 is theoretically, and legally, correct, it may be inferred that subsequent derivation lowers the likelihood that EDVs 'further away' from the initial variety A will retain the expression of essential characteristics of "A" and / or conform to "A" in essential characteristics.”</w:t>
            </w:r>
          </w:p>
        </w:tc>
        <w:tc>
          <w:tcPr>
            <w:tcW w:w="1523" w:type="dxa"/>
            <w:gridSpan w:val="2"/>
          </w:tcPr>
          <w:p w:rsidR="001C7E9C" w:rsidRPr="001C7E9C" w:rsidRDefault="001C7E9C" w:rsidP="001C7E9C">
            <w:pPr>
              <w:jc w:val="left"/>
              <w:rPr>
                <w:i/>
              </w:rPr>
            </w:pPr>
            <w:r w:rsidRPr="001C7E9C">
              <w:rPr>
                <w:i/>
              </w:rPr>
              <w:t>SE</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36 [</w:t>
            </w:r>
            <w:r w:rsidRPr="001C7E9C">
              <w:rPr>
                <w:i/>
              </w:rPr>
              <w:t>37</w:t>
            </w:r>
            <w:r w:rsidR="00BD26C6">
              <w:rPr>
                <w:i/>
              </w:rPr>
              <w:t>]</w:t>
            </w:r>
          </w:p>
        </w:tc>
        <w:tc>
          <w:tcPr>
            <w:tcW w:w="7155" w:type="dxa"/>
          </w:tcPr>
          <w:p w:rsidR="001C7E9C" w:rsidRPr="001C7E9C" w:rsidRDefault="001C7E9C" w:rsidP="001C7E9C">
            <w:pPr>
              <w:jc w:val="left"/>
              <w:rPr>
                <w:i/>
              </w:rPr>
            </w:pPr>
            <w:r w:rsidRPr="001C7E9C">
              <w:rPr>
                <w:i/>
              </w:rPr>
              <w:t>to review paragraphs 17, 18 and 19 in order to avoid repetitions</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keepNext/>
              <w:rPr>
                <w:i/>
              </w:rPr>
            </w:pPr>
          </w:p>
        </w:tc>
        <w:tc>
          <w:tcPr>
            <w:tcW w:w="7155" w:type="dxa"/>
          </w:tcPr>
          <w:p w:rsidR="001C7E9C" w:rsidRPr="001C7E9C" w:rsidRDefault="001C7E9C" w:rsidP="001C7E9C">
            <w:pPr>
              <w:keepNext/>
              <w:jc w:val="left"/>
            </w:pPr>
            <w:r w:rsidRPr="001C7E9C">
              <w:t>(c)</w:t>
            </w:r>
            <w:r w:rsidRPr="001C7E9C">
              <w:tab/>
              <w:t>Scope of the breeder’s right with respect to initial varieties and essentially derived varieties</w:t>
            </w:r>
          </w:p>
          <w:p w:rsidR="001C7E9C" w:rsidRPr="001C7E9C" w:rsidRDefault="001C7E9C" w:rsidP="001C7E9C">
            <w:pPr>
              <w:keepNext/>
              <w:jc w:val="left"/>
              <w:rPr>
                <w:i/>
              </w:rPr>
            </w:pPr>
          </w:p>
        </w:tc>
        <w:tc>
          <w:tcPr>
            <w:tcW w:w="1523" w:type="dxa"/>
            <w:gridSpan w:val="2"/>
          </w:tcPr>
          <w:p w:rsidR="001C7E9C" w:rsidRPr="001C7E9C" w:rsidRDefault="001C7E9C" w:rsidP="001C7E9C">
            <w:pPr>
              <w:keepNext/>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37 [</w:t>
            </w:r>
            <w:r w:rsidRPr="001C7E9C">
              <w:rPr>
                <w:i/>
              </w:rPr>
              <w:t>38</w:t>
            </w:r>
            <w:r w:rsidR="00BD26C6">
              <w:rPr>
                <w:i/>
              </w:rPr>
              <w:t>]</w:t>
            </w:r>
          </w:p>
        </w:tc>
        <w:tc>
          <w:tcPr>
            <w:tcW w:w="7155" w:type="dxa"/>
          </w:tcPr>
          <w:p w:rsidR="001C7E9C" w:rsidRPr="001C7E9C" w:rsidRDefault="001C7E9C" w:rsidP="001C7E9C">
            <w:pPr>
              <w:jc w:val="left"/>
              <w:rPr>
                <w:i/>
              </w:rPr>
            </w:pPr>
            <w:r w:rsidRPr="001C7E9C">
              <w:rPr>
                <w:i/>
              </w:rPr>
              <w:t xml:space="preserve">to consider whether the breeder of the initial protected variety should be granted a breeder’ right at the same time as the breeder of the EDV, without any additional examination by the authority and that the grant of the breeder’s right for the EDV shall not depend on additional conditions except for the designation of a denomination for the EDV and compliance with the formalities and payment of required fees. </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38 [</w:t>
            </w:r>
            <w:r w:rsidRPr="001C7E9C">
              <w:rPr>
                <w:i/>
              </w:rPr>
              <w:t>39</w:t>
            </w:r>
            <w:r w:rsidR="00BD26C6">
              <w:rPr>
                <w:i/>
              </w:rPr>
              <w:t>]</w:t>
            </w:r>
          </w:p>
        </w:tc>
        <w:tc>
          <w:tcPr>
            <w:tcW w:w="7155" w:type="dxa"/>
          </w:tcPr>
          <w:p w:rsidR="001C7E9C" w:rsidRPr="001C7E9C" w:rsidRDefault="001C7E9C" w:rsidP="001C7E9C">
            <w:pPr>
              <w:jc w:val="left"/>
              <w:rPr>
                <w:i/>
              </w:rPr>
            </w:pPr>
            <w:r w:rsidRPr="001C7E9C">
              <w:rPr>
                <w:i/>
              </w:rPr>
              <w:t>to consider whether information about the origin of the variety be specified in the application form and not be considered a commercial secret</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39 [</w:t>
            </w:r>
            <w:r w:rsidRPr="001C7E9C">
              <w:rPr>
                <w:i/>
              </w:rPr>
              <w:t>40</w:t>
            </w:r>
            <w:r w:rsidR="00BD26C6">
              <w:rPr>
                <w:i/>
              </w:rPr>
              <w:t>]</w:t>
            </w:r>
          </w:p>
        </w:tc>
        <w:tc>
          <w:tcPr>
            <w:tcW w:w="7155" w:type="dxa"/>
          </w:tcPr>
          <w:p w:rsidR="001C7E9C" w:rsidRPr="001C7E9C" w:rsidRDefault="001C7E9C" w:rsidP="001C7E9C">
            <w:pPr>
              <w:numPr>
                <w:ilvl w:val="0"/>
                <w:numId w:val="16"/>
              </w:numPr>
              <w:contextualSpacing/>
              <w:jc w:val="left"/>
              <w:rPr>
                <w:i/>
              </w:rPr>
            </w:pPr>
            <w:r w:rsidRPr="001C7E9C">
              <w:rPr>
                <w:i/>
              </w:rPr>
              <w:t xml:space="preserve">to consider whether application forms should be amended to disclose from which variety a variety was derived, what the act of derivation was, what are the essential characteristics of the initial protected variety and what are the essential characteristics of the derived variety. </w:t>
            </w:r>
          </w:p>
          <w:p w:rsidR="001C7E9C" w:rsidRPr="001C7E9C" w:rsidRDefault="001C7E9C" w:rsidP="001C7E9C">
            <w:pPr>
              <w:jc w:val="left"/>
              <w:rPr>
                <w:i/>
              </w:rPr>
            </w:pPr>
          </w:p>
          <w:p w:rsidR="001C7E9C" w:rsidRPr="001C7E9C" w:rsidRDefault="001C7E9C" w:rsidP="001C7E9C">
            <w:pPr>
              <w:numPr>
                <w:ilvl w:val="0"/>
                <w:numId w:val="16"/>
              </w:numPr>
              <w:contextualSpacing/>
              <w:jc w:val="left"/>
              <w:rPr>
                <w:i/>
              </w:rPr>
            </w:pPr>
            <w:r w:rsidRPr="001C7E9C">
              <w:rPr>
                <w:i/>
              </w:rPr>
              <w:t>to consider if the above proposal for the amendment of the application form could provide the basis for the breeder of the protected initial variety to  oppose  to the application on the basis that the applicant has failed to admit or agree that the variety is an essentially derived variety,</w:t>
            </w:r>
          </w:p>
          <w:p w:rsidR="001C7E9C" w:rsidRPr="001C7E9C" w:rsidRDefault="001C7E9C" w:rsidP="001C7E9C">
            <w:pPr>
              <w:jc w:val="left"/>
              <w:rPr>
                <w:i/>
              </w:rPr>
            </w:pPr>
          </w:p>
          <w:p w:rsidR="001C7E9C" w:rsidRPr="001C7E9C" w:rsidRDefault="001C7E9C" w:rsidP="001C7E9C">
            <w:pPr>
              <w:numPr>
                <w:ilvl w:val="0"/>
                <w:numId w:val="16"/>
              </w:numPr>
              <w:contextualSpacing/>
              <w:jc w:val="left"/>
              <w:rPr>
                <w:i/>
              </w:rPr>
            </w:pPr>
            <w:r w:rsidRPr="001C7E9C">
              <w:rPr>
                <w:i/>
              </w:rPr>
              <w:t>to consider if the above opposition procedure could provide the basis for the candidate variety be deemed to be essentially derived pending the final dete</w:t>
            </w:r>
            <w:r w:rsidR="00783AE3">
              <w:rPr>
                <w:i/>
              </w:rPr>
              <w:t xml:space="preserve">rmination by the PBR Authority </w:t>
            </w:r>
            <w:r w:rsidRPr="001C7E9C">
              <w:rPr>
                <w:i/>
              </w:rPr>
              <w:t>to the contrary.</w:t>
            </w:r>
          </w:p>
        </w:tc>
        <w:tc>
          <w:tcPr>
            <w:tcW w:w="1523" w:type="dxa"/>
            <w:gridSpan w:val="2"/>
          </w:tcPr>
          <w:p w:rsidR="001C7E9C" w:rsidRPr="001C7E9C" w:rsidRDefault="001C7E9C" w:rsidP="001C7E9C">
            <w:pPr>
              <w:jc w:val="left"/>
              <w:rPr>
                <w:i/>
              </w:rPr>
            </w:pPr>
            <w:r w:rsidRPr="001C7E9C">
              <w:rPr>
                <w:i/>
              </w:rPr>
              <w:t>ZA</w:t>
            </w:r>
          </w:p>
        </w:tc>
      </w:tr>
      <w:tr w:rsidR="00783AE3" w:rsidRPr="001C7E9C" w:rsidTr="00A24F4D">
        <w:trPr>
          <w:cantSplit/>
        </w:trPr>
        <w:tc>
          <w:tcPr>
            <w:tcW w:w="1305" w:type="dxa"/>
          </w:tcPr>
          <w:p w:rsidR="00783AE3" w:rsidRPr="00A50570" w:rsidRDefault="00783AE3">
            <w:pPr>
              <w:rPr>
                <w:i/>
                <w:u w:val="single"/>
              </w:rPr>
            </w:pPr>
            <w:r w:rsidRPr="00A50570">
              <w:rPr>
                <w:i/>
                <w:highlight w:val="lightGray"/>
                <w:u w:val="single"/>
              </w:rPr>
              <w:t xml:space="preserve">Issue 40 </w:t>
            </w:r>
          </w:p>
        </w:tc>
        <w:tc>
          <w:tcPr>
            <w:tcW w:w="7155" w:type="dxa"/>
          </w:tcPr>
          <w:p w:rsidR="00783AE3" w:rsidRPr="00A50570" w:rsidRDefault="00A50570">
            <w:pPr>
              <w:contextualSpacing/>
              <w:jc w:val="left"/>
              <w:rPr>
                <w:i/>
                <w:highlight w:val="lightGray"/>
                <w:u w:val="single"/>
              </w:rPr>
            </w:pPr>
            <w:r w:rsidRPr="00A50570">
              <w:rPr>
                <w:i/>
                <w:highlight w:val="lightGray"/>
                <w:u w:val="single"/>
              </w:rPr>
              <w:t xml:space="preserve">to consider </w:t>
            </w:r>
            <w:r w:rsidR="008D33D7">
              <w:rPr>
                <w:i/>
                <w:highlight w:val="lightGray"/>
                <w:u w:val="single"/>
              </w:rPr>
              <w:t xml:space="preserve">that it would not be appropriate </w:t>
            </w:r>
            <w:r w:rsidRPr="00A50570">
              <w:rPr>
                <w:i/>
                <w:highlight w:val="lightGray"/>
                <w:u w:val="single"/>
              </w:rPr>
              <w:t xml:space="preserve"> </w:t>
            </w:r>
            <w:r w:rsidR="008D33D7">
              <w:rPr>
                <w:i/>
                <w:highlight w:val="lightGray"/>
                <w:u w:val="single"/>
              </w:rPr>
              <w:t xml:space="preserve">to </w:t>
            </w:r>
            <w:r w:rsidR="00DE6156">
              <w:rPr>
                <w:i/>
                <w:highlight w:val="lightGray"/>
                <w:u w:val="single"/>
              </w:rPr>
              <w:t>discuss</w:t>
            </w:r>
            <w:r w:rsidR="008D33D7">
              <w:rPr>
                <w:i/>
                <w:highlight w:val="lightGray"/>
                <w:u w:val="single"/>
              </w:rPr>
              <w:t xml:space="preserve"> </w:t>
            </w:r>
            <w:r w:rsidRPr="00A50570">
              <w:rPr>
                <w:i/>
                <w:highlight w:val="lightGray"/>
                <w:u w:val="single"/>
              </w:rPr>
              <w:t xml:space="preserve">any requirement for variety origination disclosure requirements </w:t>
            </w:r>
            <w:r w:rsidR="008D33D7">
              <w:rPr>
                <w:i/>
                <w:highlight w:val="lightGray"/>
                <w:u w:val="single"/>
              </w:rPr>
              <w:t>to be included in</w:t>
            </w:r>
            <w:r w:rsidR="008D33D7" w:rsidRPr="00A50570">
              <w:rPr>
                <w:i/>
                <w:highlight w:val="lightGray"/>
                <w:u w:val="single"/>
              </w:rPr>
              <w:t xml:space="preserve"> </w:t>
            </w:r>
            <w:r w:rsidRPr="00A50570">
              <w:rPr>
                <w:i/>
                <w:highlight w:val="lightGray"/>
                <w:u w:val="single"/>
              </w:rPr>
              <w:t xml:space="preserve">the Explanatory Note on EDV. </w:t>
            </w:r>
          </w:p>
        </w:tc>
        <w:tc>
          <w:tcPr>
            <w:tcW w:w="1523" w:type="dxa"/>
            <w:gridSpan w:val="2"/>
          </w:tcPr>
          <w:p w:rsidR="00783AE3" w:rsidRPr="00A50570" w:rsidRDefault="00783AE3" w:rsidP="001C7E9C">
            <w:pPr>
              <w:jc w:val="left"/>
              <w:rPr>
                <w:i/>
                <w:u w:val="single"/>
              </w:rPr>
            </w:pPr>
            <w:r w:rsidRPr="00A50570">
              <w:rPr>
                <w:i/>
                <w:highlight w:val="lightGray"/>
                <w:u w:val="single"/>
              </w:rPr>
              <w:t>US</w:t>
            </w:r>
          </w:p>
        </w:tc>
      </w:tr>
      <w:tr w:rsidR="00783AE3" w:rsidRPr="001C7E9C" w:rsidTr="00A24F4D">
        <w:trPr>
          <w:cantSplit/>
        </w:trPr>
        <w:tc>
          <w:tcPr>
            <w:tcW w:w="1305" w:type="dxa"/>
          </w:tcPr>
          <w:p w:rsidR="00783AE3" w:rsidRPr="00A50570" w:rsidRDefault="00783AE3">
            <w:pPr>
              <w:rPr>
                <w:i/>
                <w:highlight w:val="lightGray"/>
                <w:u w:val="single"/>
              </w:rPr>
            </w:pPr>
            <w:r w:rsidRPr="00A50570">
              <w:rPr>
                <w:i/>
                <w:highlight w:val="lightGray"/>
                <w:u w:val="single"/>
              </w:rPr>
              <w:t xml:space="preserve">Issue </w:t>
            </w:r>
            <w:r w:rsidR="00BD26C6">
              <w:rPr>
                <w:i/>
                <w:highlight w:val="lightGray"/>
                <w:u w:val="single"/>
              </w:rPr>
              <w:t>41</w:t>
            </w:r>
          </w:p>
        </w:tc>
        <w:tc>
          <w:tcPr>
            <w:tcW w:w="7155" w:type="dxa"/>
          </w:tcPr>
          <w:p w:rsidR="00DE6156" w:rsidRDefault="00A50570">
            <w:pPr>
              <w:contextualSpacing/>
              <w:jc w:val="left"/>
              <w:rPr>
                <w:i/>
                <w:highlight w:val="lightGray"/>
                <w:u w:val="single"/>
              </w:rPr>
            </w:pPr>
            <w:r w:rsidRPr="00A50570">
              <w:rPr>
                <w:i/>
                <w:highlight w:val="lightGray"/>
                <w:u w:val="single"/>
              </w:rPr>
              <w:t xml:space="preserve">to consider </w:t>
            </w:r>
            <w:r w:rsidR="00DE6156">
              <w:rPr>
                <w:i/>
                <w:highlight w:val="lightGray"/>
                <w:u w:val="single"/>
              </w:rPr>
              <w:t xml:space="preserve">that it would not be appropriate </w:t>
            </w:r>
            <w:r w:rsidRPr="00A50570">
              <w:rPr>
                <w:i/>
                <w:highlight w:val="lightGray"/>
                <w:u w:val="single"/>
              </w:rPr>
              <w:t xml:space="preserve"> </w:t>
            </w:r>
            <w:r w:rsidR="00DE6156">
              <w:rPr>
                <w:i/>
                <w:highlight w:val="lightGray"/>
                <w:u w:val="single"/>
              </w:rPr>
              <w:t>to</w:t>
            </w:r>
            <w:r w:rsidR="00DE6156" w:rsidRPr="00A50570">
              <w:rPr>
                <w:i/>
                <w:highlight w:val="lightGray"/>
                <w:u w:val="single"/>
              </w:rPr>
              <w:t xml:space="preserve"> </w:t>
            </w:r>
            <w:r w:rsidR="00DE6156">
              <w:rPr>
                <w:i/>
                <w:highlight w:val="lightGray"/>
                <w:u w:val="single"/>
              </w:rPr>
              <w:t>(a)</w:t>
            </w:r>
            <w:r w:rsidR="00DE6156">
              <w:rPr>
                <w:i/>
                <w:highlight w:val="lightGray"/>
                <w:u w:val="single"/>
              </w:rPr>
              <w:tab/>
            </w:r>
            <w:r w:rsidRPr="00A50570">
              <w:rPr>
                <w:i/>
                <w:highlight w:val="lightGray"/>
                <w:u w:val="single"/>
              </w:rPr>
              <w:t>mandate examination practices at national or regional plant variety protection offices</w:t>
            </w:r>
          </w:p>
          <w:p w:rsidR="00783AE3" w:rsidRPr="00A50570" w:rsidRDefault="00DE6156">
            <w:pPr>
              <w:contextualSpacing/>
              <w:jc w:val="left"/>
              <w:rPr>
                <w:i/>
                <w:highlight w:val="lightGray"/>
                <w:u w:val="single"/>
              </w:rPr>
            </w:pPr>
            <w:r>
              <w:rPr>
                <w:i/>
                <w:highlight w:val="lightGray"/>
                <w:u w:val="single"/>
              </w:rPr>
              <w:t>and (b)</w:t>
            </w:r>
            <w:r>
              <w:rPr>
                <w:i/>
                <w:highlight w:val="lightGray"/>
                <w:u w:val="single"/>
              </w:rPr>
              <w:tab/>
            </w:r>
            <w:r w:rsidR="00A50570" w:rsidRPr="00A50570">
              <w:rPr>
                <w:i/>
                <w:highlight w:val="lightGray"/>
                <w:u w:val="single"/>
              </w:rPr>
              <w:t xml:space="preserve"> </w:t>
            </w:r>
            <w:r>
              <w:rPr>
                <w:i/>
                <w:highlight w:val="lightGray"/>
                <w:u w:val="single"/>
              </w:rPr>
              <w:t xml:space="preserve">for </w:t>
            </w:r>
            <w:r w:rsidR="00A50570" w:rsidRPr="00A50570">
              <w:rPr>
                <w:i/>
                <w:highlight w:val="lightGray"/>
                <w:u w:val="single"/>
              </w:rPr>
              <w:t xml:space="preserve">the working group to craft application forms or processes requiring certain information </w:t>
            </w:r>
          </w:p>
        </w:tc>
        <w:tc>
          <w:tcPr>
            <w:tcW w:w="1523" w:type="dxa"/>
            <w:gridSpan w:val="2"/>
          </w:tcPr>
          <w:p w:rsidR="00783AE3" w:rsidRPr="00A50570" w:rsidRDefault="00783AE3" w:rsidP="001C7E9C">
            <w:pPr>
              <w:jc w:val="left"/>
              <w:rPr>
                <w:i/>
                <w:highlight w:val="lightGray"/>
                <w:u w:val="single"/>
              </w:rPr>
            </w:pPr>
            <w:r w:rsidRPr="00A50570">
              <w:rPr>
                <w:i/>
                <w:highlight w:val="lightGray"/>
                <w:u w:val="single"/>
              </w:rPr>
              <w:t>US</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42 [</w:t>
            </w:r>
            <w:r w:rsidRPr="001C7E9C">
              <w:rPr>
                <w:i/>
              </w:rPr>
              <w:t>41</w:t>
            </w:r>
            <w:r w:rsidR="00BD26C6">
              <w:rPr>
                <w:i/>
              </w:rPr>
              <w:t>]</w:t>
            </w:r>
          </w:p>
        </w:tc>
        <w:tc>
          <w:tcPr>
            <w:tcW w:w="7155" w:type="dxa"/>
          </w:tcPr>
          <w:p w:rsidR="001C7E9C" w:rsidRPr="001C7E9C" w:rsidRDefault="001C7E9C" w:rsidP="001C7E9C">
            <w:pPr>
              <w:jc w:val="left"/>
              <w:rPr>
                <w:i/>
              </w:rPr>
            </w:pPr>
            <w:r w:rsidRPr="001C7E9C">
              <w:rPr>
                <w:i/>
              </w:rPr>
              <w:t xml:space="preserve">to consider whether UPOV and UPOV members should develop regulations for the legal registration of the right of the breeder of the initial protected variety in relation to the EDV and options for the operation of this right (see proposal in item 28). </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43 [</w:t>
            </w:r>
            <w:r w:rsidRPr="001C7E9C">
              <w:rPr>
                <w:i/>
              </w:rPr>
              <w:t>42</w:t>
            </w:r>
            <w:r w:rsidR="00BD26C6">
              <w:rPr>
                <w:i/>
              </w:rPr>
              <w:t>]</w:t>
            </w:r>
          </w:p>
        </w:tc>
        <w:tc>
          <w:tcPr>
            <w:tcW w:w="7155" w:type="dxa"/>
          </w:tcPr>
          <w:p w:rsidR="001C7E9C" w:rsidRPr="001C7E9C" w:rsidRDefault="001C7E9C" w:rsidP="001C7E9C">
            <w:pPr>
              <w:jc w:val="left"/>
              <w:rPr>
                <w:i/>
              </w:rPr>
            </w:pPr>
            <w:r w:rsidRPr="001C7E9C">
              <w:rPr>
                <w:i/>
              </w:rPr>
              <w:t>to consider adding, after Figure 4, that the breeder of the protected derived variety may obtain an authorization for commercialization of the EDV in the form of an exclusive license from the breeder of initial protected variety</w:t>
            </w:r>
          </w:p>
        </w:tc>
        <w:tc>
          <w:tcPr>
            <w:tcW w:w="1523" w:type="dxa"/>
            <w:gridSpan w:val="2"/>
          </w:tcPr>
          <w:p w:rsidR="001C7E9C" w:rsidRPr="001C7E9C" w:rsidRDefault="001C7E9C" w:rsidP="001C7E9C">
            <w:pPr>
              <w:jc w:val="left"/>
              <w:rPr>
                <w:i/>
              </w:rPr>
            </w:pPr>
            <w:r w:rsidRPr="001C7E9C">
              <w:rPr>
                <w:i/>
              </w:rPr>
              <w:t>RU</w:t>
            </w:r>
          </w:p>
        </w:tc>
      </w:tr>
      <w:tr w:rsidR="003C78C5" w:rsidRPr="001C7E9C" w:rsidTr="00A24F4D">
        <w:trPr>
          <w:cantSplit/>
        </w:trPr>
        <w:tc>
          <w:tcPr>
            <w:tcW w:w="1305" w:type="dxa"/>
          </w:tcPr>
          <w:p w:rsidR="003C78C5" w:rsidRPr="003C78C5" w:rsidRDefault="003C78C5">
            <w:pPr>
              <w:rPr>
                <w:i/>
                <w:u w:val="single"/>
              </w:rPr>
            </w:pPr>
            <w:r w:rsidRPr="003C78C5">
              <w:rPr>
                <w:i/>
                <w:highlight w:val="lightGray"/>
                <w:u w:val="single"/>
              </w:rPr>
              <w:t>Issue</w:t>
            </w:r>
            <w:r w:rsidRPr="008A1FAB">
              <w:rPr>
                <w:i/>
                <w:highlight w:val="lightGray"/>
                <w:u w:val="single"/>
              </w:rPr>
              <w:t xml:space="preserve"> </w:t>
            </w:r>
            <w:r w:rsidR="00BD26C6" w:rsidRPr="008A1FAB">
              <w:rPr>
                <w:i/>
                <w:highlight w:val="lightGray"/>
                <w:u w:val="single"/>
              </w:rPr>
              <w:t>44</w:t>
            </w:r>
          </w:p>
        </w:tc>
        <w:tc>
          <w:tcPr>
            <w:tcW w:w="7155" w:type="dxa"/>
          </w:tcPr>
          <w:p w:rsidR="003C78C5" w:rsidRPr="003C78C5" w:rsidRDefault="003C78C5">
            <w:pPr>
              <w:jc w:val="left"/>
              <w:rPr>
                <w:i/>
                <w:u w:val="single"/>
              </w:rPr>
            </w:pPr>
            <w:r w:rsidRPr="003C78C5">
              <w:rPr>
                <w:i/>
                <w:highlight w:val="lightGray"/>
                <w:u w:val="single"/>
              </w:rPr>
              <w:t>to consider inclusion of guidance on the variety denomination for an unprotected EDV</w:t>
            </w:r>
            <w:r w:rsidR="00DE6156">
              <w:rPr>
                <w:i/>
                <w:highlight w:val="lightGray"/>
                <w:u w:val="single"/>
              </w:rPr>
              <w:t xml:space="preserve"> that an</w:t>
            </w:r>
            <w:r w:rsidRPr="003C78C5">
              <w:rPr>
                <w:i/>
                <w:highlight w:val="lightGray"/>
                <w:u w:val="single"/>
              </w:rPr>
              <w:t xml:space="preserve"> </w:t>
            </w:r>
            <w:r w:rsidR="00DE6156">
              <w:rPr>
                <w:i/>
                <w:highlight w:val="lightGray"/>
                <w:u w:val="single"/>
              </w:rPr>
              <w:t xml:space="preserve">EDV </w:t>
            </w:r>
            <w:r w:rsidRPr="003C78C5">
              <w:rPr>
                <w:i/>
                <w:highlight w:val="lightGray"/>
                <w:u w:val="single"/>
              </w:rPr>
              <w:t xml:space="preserve">must not have the same variety denomination as its Initial Variety. </w:t>
            </w:r>
          </w:p>
        </w:tc>
        <w:tc>
          <w:tcPr>
            <w:tcW w:w="1523" w:type="dxa"/>
            <w:gridSpan w:val="2"/>
          </w:tcPr>
          <w:p w:rsidR="003C78C5" w:rsidRPr="001E01A8" w:rsidRDefault="001E01A8" w:rsidP="001C7E9C">
            <w:pPr>
              <w:jc w:val="left"/>
              <w:rPr>
                <w:i/>
                <w:u w:val="single"/>
              </w:rPr>
            </w:pPr>
            <w:r w:rsidRPr="001E01A8">
              <w:rPr>
                <w:i/>
                <w:highlight w:val="lightGray"/>
                <w:u w:val="single"/>
              </w:rPr>
              <w:t>Joint contribution by breeders</w:t>
            </w:r>
          </w:p>
          <w:p w:rsidR="003C78C5" w:rsidRPr="001C7E9C" w:rsidRDefault="003C78C5" w:rsidP="001C7E9C">
            <w:pPr>
              <w:jc w:val="left"/>
              <w:rPr>
                <w:i/>
              </w:rPr>
            </w:pPr>
          </w:p>
        </w:tc>
      </w:tr>
      <w:tr w:rsidR="003C78C5" w:rsidRPr="001C7E9C" w:rsidTr="00A24F4D">
        <w:trPr>
          <w:cantSplit/>
        </w:trPr>
        <w:tc>
          <w:tcPr>
            <w:tcW w:w="1305" w:type="dxa"/>
          </w:tcPr>
          <w:p w:rsidR="003C78C5" w:rsidRPr="003C78C5" w:rsidRDefault="003C78C5">
            <w:pPr>
              <w:rPr>
                <w:i/>
                <w:highlight w:val="lightGray"/>
                <w:u w:val="single"/>
              </w:rPr>
            </w:pPr>
            <w:r>
              <w:rPr>
                <w:i/>
                <w:highlight w:val="lightGray"/>
                <w:u w:val="single"/>
              </w:rPr>
              <w:t xml:space="preserve">Issue </w:t>
            </w:r>
            <w:r w:rsidR="00BD26C6">
              <w:rPr>
                <w:i/>
                <w:highlight w:val="lightGray"/>
                <w:u w:val="single"/>
              </w:rPr>
              <w:t>45</w:t>
            </w:r>
          </w:p>
        </w:tc>
        <w:tc>
          <w:tcPr>
            <w:tcW w:w="7155" w:type="dxa"/>
          </w:tcPr>
          <w:p w:rsidR="003C78C5" w:rsidRPr="003C78C5" w:rsidRDefault="001E01A8">
            <w:pPr>
              <w:jc w:val="left"/>
              <w:rPr>
                <w:i/>
                <w:highlight w:val="lightGray"/>
                <w:u w:val="single"/>
              </w:rPr>
            </w:pPr>
            <w:r>
              <w:rPr>
                <w:i/>
                <w:highlight w:val="lightGray"/>
                <w:u w:val="single"/>
              </w:rPr>
              <w:t xml:space="preserve">to consider </w:t>
            </w:r>
            <w:r w:rsidR="00DE6156">
              <w:rPr>
                <w:i/>
                <w:highlight w:val="lightGray"/>
                <w:u w:val="single"/>
              </w:rPr>
              <w:t>if</w:t>
            </w:r>
            <w:r w:rsidRPr="001E01A8">
              <w:rPr>
                <w:i/>
                <w:highlight w:val="lightGray"/>
                <w:u w:val="single"/>
              </w:rPr>
              <w:t xml:space="preserve"> the PVP authority </w:t>
            </w:r>
            <w:r w:rsidR="00DE6156">
              <w:rPr>
                <w:i/>
                <w:highlight w:val="lightGray"/>
                <w:u w:val="single"/>
              </w:rPr>
              <w:t xml:space="preserve">might be requested </w:t>
            </w:r>
            <w:r w:rsidRPr="001E01A8">
              <w:rPr>
                <w:i/>
                <w:highlight w:val="lightGray"/>
                <w:u w:val="single"/>
              </w:rPr>
              <w:t xml:space="preserve">to confirm that </w:t>
            </w:r>
            <w:r w:rsidR="00DE6156">
              <w:rPr>
                <w:i/>
                <w:highlight w:val="lightGray"/>
                <w:u w:val="single"/>
              </w:rPr>
              <w:t>an</w:t>
            </w:r>
            <w:r w:rsidR="00DE6156" w:rsidRPr="001E01A8">
              <w:rPr>
                <w:i/>
                <w:highlight w:val="lightGray"/>
                <w:u w:val="single"/>
              </w:rPr>
              <w:t xml:space="preserve"> </w:t>
            </w:r>
            <w:r w:rsidRPr="001E01A8">
              <w:rPr>
                <w:i/>
                <w:highlight w:val="lightGray"/>
                <w:u w:val="single"/>
              </w:rPr>
              <w:t>EDV is di</w:t>
            </w:r>
            <w:r w:rsidR="00B473BE">
              <w:rPr>
                <w:i/>
                <w:highlight w:val="lightGray"/>
                <w:u w:val="single"/>
              </w:rPr>
              <w:t>stinct from the initial variety.</w:t>
            </w:r>
          </w:p>
        </w:tc>
        <w:tc>
          <w:tcPr>
            <w:tcW w:w="1523" w:type="dxa"/>
            <w:gridSpan w:val="2"/>
          </w:tcPr>
          <w:p w:rsidR="003C78C5" w:rsidRPr="001E01A8" w:rsidRDefault="001E01A8" w:rsidP="001C7E9C">
            <w:pPr>
              <w:jc w:val="left"/>
              <w:rPr>
                <w:i/>
                <w:u w:val="single"/>
              </w:rPr>
            </w:pPr>
            <w:r w:rsidRPr="001E01A8">
              <w:rPr>
                <w:i/>
                <w:highlight w:val="lightGray"/>
                <w:u w:val="single"/>
              </w:rPr>
              <w:t>Joint contribution by breeders</w:t>
            </w:r>
          </w:p>
        </w:tc>
      </w:tr>
      <w:tr w:rsidR="001C7E9C" w:rsidRPr="001C7E9C" w:rsidTr="00A24F4D">
        <w:trPr>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pPr>
            <w:r w:rsidRPr="001C7E9C">
              <w:t xml:space="preserve">(d) </w:t>
            </w:r>
            <w:r w:rsidRPr="001C7E9C">
              <w:tab/>
              <w:t>Territoriality of protection of initial varieties and essentially derived varieties</w:t>
            </w:r>
          </w:p>
          <w:p w:rsidR="001C7E9C" w:rsidRPr="001C7E9C" w:rsidRDefault="001C7E9C" w:rsidP="001C7E9C">
            <w:pPr>
              <w:jc w:val="left"/>
              <w:rPr>
                <w:i/>
              </w:rPr>
            </w:pPr>
          </w:p>
        </w:tc>
        <w:tc>
          <w:tcPr>
            <w:tcW w:w="1523" w:type="dxa"/>
            <w:gridSpan w:val="2"/>
          </w:tcPr>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46 [</w:t>
            </w:r>
            <w:r w:rsidRPr="001C7E9C">
              <w:rPr>
                <w:i/>
              </w:rPr>
              <w:t>43</w:t>
            </w:r>
            <w:r w:rsidR="00BD26C6">
              <w:rPr>
                <w:i/>
              </w:rPr>
              <w:t>]</w:t>
            </w:r>
          </w:p>
        </w:tc>
        <w:tc>
          <w:tcPr>
            <w:tcW w:w="7155" w:type="dxa"/>
          </w:tcPr>
          <w:p w:rsidR="001C7E9C" w:rsidRPr="001C7E9C" w:rsidRDefault="001C7E9C" w:rsidP="001C7E9C">
            <w:pPr>
              <w:jc w:val="left"/>
              <w:rPr>
                <w:i/>
              </w:rPr>
            </w:pPr>
            <w:r w:rsidRPr="001C7E9C">
              <w:rPr>
                <w:i/>
              </w:rPr>
              <w:t>to consider, in paragraph [24], replacing the terms “in the territory concerned" by “...in the same territory", to clarify that the territory to which the breeder's right of the initial variety applies should be the same for the initial variety and the EDV.</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47 [</w:t>
            </w:r>
            <w:r w:rsidRPr="001C7E9C">
              <w:rPr>
                <w:i/>
              </w:rPr>
              <w:t>44</w:t>
            </w:r>
            <w:r w:rsidR="00BD26C6">
              <w:rPr>
                <w:i/>
              </w:rPr>
              <w:t>]</w:t>
            </w:r>
          </w:p>
        </w:tc>
        <w:tc>
          <w:tcPr>
            <w:tcW w:w="7155" w:type="dxa"/>
          </w:tcPr>
          <w:p w:rsidR="001C7E9C" w:rsidRPr="001C7E9C" w:rsidRDefault="001C7E9C" w:rsidP="001C7E9C">
            <w:pPr>
              <w:jc w:val="left"/>
              <w:rPr>
                <w:i/>
              </w:rPr>
            </w:pPr>
            <w:r w:rsidRPr="001C7E9C">
              <w:rPr>
                <w:i/>
              </w:rPr>
              <w:t>to consider adding, at the end of paragraph [24], the following “In case of discrepancy between initial and the derived varieties’ protection territories the breeder’s right for the initial variety is extended to imported material of derived variety in the protection territory of the initial variety”.</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keepNext/>
              <w:rPr>
                <w:i/>
              </w:rPr>
            </w:pPr>
          </w:p>
        </w:tc>
        <w:tc>
          <w:tcPr>
            <w:tcW w:w="7155" w:type="dxa"/>
          </w:tcPr>
          <w:p w:rsidR="001C7E9C" w:rsidRPr="001C7E9C" w:rsidRDefault="001C7E9C" w:rsidP="001C7E9C">
            <w:pPr>
              <w:keepNext/>
              <w:jc w:val="left"/>
            </w:pPr>
            <w:r w:rsidRPr="001C7E9C">
              <w:t>(e)</w:t>
            </w:r>
            <w:r w:rsidRPr="001C7E9C">
              <w:tab/>
              <w:t>Transition from an earlier Act to the 1991 Act of the UPOV Convention</w:t>
            </w:r>
          </w:p>
          <w:p w:rsidR="001C7E9C" w:rsidRPr="001C7E9C" w:rsidRDefault="001C7E9C" w:rsidP="001C7E9C">
            <w:pPr>
              <w:keepNext/>
              <w:jc w:val="left"/>
            </w:pPr>
          </w:p>
        </w:tc>
        <w:tc>
          <w:tcPr>
            <w:tcW w:w="1523" w:type="dxa"/>
            <w:gridSpan w:val="2"/>
          </w:tcPr>
          <w:p w:rsidR="001C7E9C" w:rsidRPr="001C7E9C" w:rsidRDefault="001C7E9C" w:rsidP="001C7E9C">
            <w:pPr>
              <w:keepNext/>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48 [</w:t>
            </w:r>
            <w:r w:rsidRPr="001C7E9C">
              <w:rPr>
                <w:i/>
              </w:rPr>
              <w:t>45</w:t>
            </w:r>
            <w:r w:rsidR="00BD26C6">
              <w:rPr>
                <w:i/>
              </w:rPr>
              <w:t>]</w:t>
            </w:r>
          </w:p>
        </w:tc>
        <w:tc>
          <w:tcPr>
            <w:tcW w:w="7155" w:type="dxa"/>
          </w:tcPr>
          <w:p w:rsidR="001C7E9C" w:rsidRPr="001C7E9C" w:rsidRDefault="001C7E9C" w:rsidP="001C7E9C">
            <w:pPr>
              <w:jc w:val="left"/>
              <w:rPr>
                <w:i/>
              </w:rPr>
            </w:pPr>
            <w:r w:rsidRPr="001C7E9C">
              <w:rPr>
                <w:i/>
              </w:rPr>
              <w:t xml:space="preserve">to consider whether paragraph [25], should be amended as follows: </w:t>
            </w:r>
          </w:p>
          <w:p w:rsidR="001C7E9C" w:rsidRPr="001C7E9C" w:rsidRDefault="001C7E9C" w:rsidP="001C7E9C">
            <w:pPr>
              <w:jc w:val="left"/>
              <w:rPr>
                <w:i/>
              </w:rPr>
            </w:pPr>
          </w:p>
          <w:p w:rsidR="001C7E9C" w:rsidRPr="001C7E9C" w:rsidRDefault="001C7E9C" w:rsidP="001C7E9C">
            <w:pPr>
              <w:jc w:val="left"/>
              <w:rPr>
                <w:i/>
              </w:rPr>
            </w:pPr>
            <w:r w:rsidRPr="001C7E9C">
              <w:rPr>
                <w:i/>
              </w:rPr>
              <w:t xml:space="preserve">“Members of the Union which amend their legislation in line with the 1991 Act of the UPOV Convention should cover the extension of the provisions of Article 14(5) to the generally known varieties”  </w:t>
            </w:r>
          </w:p>
          <w:p w:rsidR="001C7E9C" w:rsidRPr="001C7E9C" w:rsidRDefault="001C7E9C" w:rsidP="001C7E9C">
            <w:pPr>
              <w:jc w:val="left"/>
              <w:rPr>
                <w:i/>
              </w:rPr>
            </w:pPr>
          </w:p>
          <w:p w:rsidR="001C7E9C" w:rsidRPr="001C7E9C" w:rsidRDefault="001C7E9C" w:rsidP="001C7E9C">
            <w:pPr>
              <w:jc w:val="left"/>
              <w:rPr>
                <w:i/>
              </w:rPr>
            </w:pPr>
            <w:r w:rsidRPr="001C7E9C">
              <w:rPr>
                <w:i/>
              </w:rPr>
              <w:t>for members of the Union bound by  the 1991 Act to apply provisions of Article 14(5) to all protected varieties regardless of the date of grant.</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49 [</w:t>
            </w:r>
            <w:r w:rsidRPr="001C7E9C">
              <w:rPr>
                <w:i/>
              </w:rPr>
              <w:t>46</w:t>
            </w:r>
            <w:r w:rsidR="00BD26C6">
              <w:rPr>
                <w:i/>
              </w:rPr>
              <w:t>]</w:t>
            </w:r>
          </w:p>
        </w:tc>
        <w:tc>
          <w:tcPr>
            <w:tcW w:w="7155" w:type="dxa"/>
          </w:tcPr>
          <w:p w:rsidR="001C7E9C" w:rsidRPr="001C7E9C" w:rsidRDefault="001C7E9C" w:rsidP="001C7E9C">
            <w:pPr>
              <w:jc w:val="left"/>
              <w:rPr>
                <w:highlight w:val="yellow"/>
              </w:rPr>
            </w:pPr>
            <w:r w:rsidRPr="001C7E9C">
              <w:rPr>
                <w:i/>
              </w:rPr>
              <w:t xml:space="preserve">to consider removing paragraph </w:t>
            </w:r>
            <w:r w:rsidRPr="001C7E9C">
              <w:t xml:space="preserve">[26] </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rPr>
                <w:i/>
              </w:rPr>
            </w:pPr>
          </w:p>
        </w:tc>
        <w:tc>
          <w:tcPr>
            <w:tcW w:w="1523" w:type="dxa"/>
            <w:gridSpan w:val="2"/>
          </w:tcPr>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p>
        </w:tc>
        <w:tc>
          <w:tcPr>
            <w:tcW w:w="7155" w:type="dxa"/>
          </w:tcPr>
          <w:p w:rsidR="001C7E9C" w:rsidRPr="001C7E9C" w:rsidRDefault="001C7E9C" w:rsidP="001C7E9C">
            <w:pPr>
              <w:jc w:val="left"/>
            </w:pPr>
            <w:r w:rsidRPr="001C7E9C">
              <w:t>SECTION II:  ASSESSMENT OF ESSENTIALLY DERIVED VARIETIES</w:t>
            </w:r>
          </w:p>
          <w:p w:rsidR="001C7E9C" w:rsidRPr="001C7E9C" w:rsidRDefault="001C7E9C" w:rsidP="001C7E9C">
            <w:pPr>
              <w:jc w:val="left"/>
              <w:rPr>
                <w:highlight w:val="yellow"/>
              </w:rPr>
            </w:pPr>
          </w:p>
        </w:tc>
        <w:tc>
          <w:tcPr>
            <w:tcW w:w="1523" w:type="dxa"/>
            <w:gridSpan w:val="2"/>
          </w:tcPr>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50 [</w:t>
            </w:r>
            <w:r w:rsidRPr="001C7E9C">
              <w:rPr>
                <w:i/>
              </w:rPr>
              <w:t>47</w:t>
            </w:r>
            <w:r w:rsidR="00BD26C6">
              <w:rPr>
                <w:i/>
              </w:rPr>
              <w:t>]</w:t>
            </w:r>
          </w:p>
        </w:tc>
        <w:tc>
          <w:tcPr>
            <w:tcW w:w="7155" w:type="dxa"/>
          </w:tcPr>
          <w:p w:rsidR="005C3AAB" w:rsidRPr="001C7E9C" w:rsidRDefault="001C7E9C" w:rsidP="001C7E9C">
            <w:pPr>
              <w:jc w:val="left"/>
              <w:rPr>
                <w:i/>
              </w:rPr>
            </w:pPr>
            <w:r w:rsidRPr="001C7E9C">
              <w:rPr>
                <w:i/>
              </w:rPr>
              <w:t>to consider whether predominant derivation from an initial variety, confirmed by a high genotypic conformity, could be a key requirement for determining EDV.</w:t>
            </w:r>
          </w:p>
        </w:tc>
        <w:tc>
          <w:tcPr>
            <w:tcW w:w="1523" w:type="dxa"/>
            <w:gridSpan w:val="2"/>
          </w:tcPr>
          <w:p w:rsidR="001C7E9C" w:rsidRPr="001C7E9C" w:rsidRDefault="001C7E9C" w:rsidP="001C7E9C">
            <w:pPr>
              <w:jc w:val="left"/>
              <w:rPr>
                <w:i/>
              </w:rPr>
            </w:pPr>
            <w:r w:rsidRPr="001C7E9C">
              <w:rPr>
                <w:i/>
              </w:rPr>
              <w:t>EU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51 [</w:t>
            </w:r>
            <w:r w:rsidRPr="001C7E9C">
              <w:rPr>
                <w:i/>
              </w:rPr>
              <w:t>48</w:t>
            </w:r>
            <w:r w:rsidR="00BD26C6">
              <w:rPr>
                <w:i/>
              </w:rPr>
              <w:t>]</w:t>
            </w:r>
          </w:p>
        </w:tc>
        <w:tc>
          <w:tcPr>
            <w:tcW w:w="7155" w:type="dxa"/>
          </w:tcPr>
          <w:p w:rsidR="005C3AAB" w:rsidRPr="001C7E9C" w:rsidRDefault="001C7E9C" w:rsidP="001C7E9C">
            <w:pPr>
              <w:jc w:val="left"/>
              <w:rPr>
                <w:rFonts w:cs="Arial"/>
                <w:i/>
              </w:rPr>
            </w:pPr>
            <w:r w:rsidRPr="001C7E9C">
              <w:rPr>
                <w:rFonts w:cs="Arial"/>
                <w:i/>
              </w:rPr>
              <w:t>to explore the role of DNA analysis for determining, with genetic thresholds, the requirement of “predominantly derived”.</w:t>
            </w:r>
          </w:p>
        </w:tc>
        <w:tc>
          <w:tcPr>
            <w:tcW w:w="1523" w:type="dxa"/>
            <w:gridSpan w:val="2"/>
          </w:tcPr>
          <w:p w:rsidR="001C7E9C" w:rsidRPr="001C7E9C" w:rsidRDefault="001C7E9C" w:rsidP="001C7E9C">
            <w:pPr>
              <w:jc w:val="left"/>
              <w:rPr>
                <w:i/>
              </w:rPr>
            </w:pPr>
            <w:r w:rsidRPr="001C7E9C">
              <w:rPr>
                <w:i/>
              </w:rPr>
              <w:t>EU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52 [</w:t>
            </w:r>
            <w:r w:rsidRPr="001C7E9C">
              <w:rPr>
                <w:i/>
              </w:rPr>
              <w:t>49</w:t>
            </w:r>
            <w:r w:rsidR="00BD26C6">
              <w:rPr>
                <w:i/>
              </w:rPr>
              <w:t>]</w:t>
            </w:r>
          </w:p>
        </w:tc>
        <w:tc>
          <w:tcPr>
            <w:tcW w:w="7155" w:type="dxa"/>
          </w:tcPr>
          <w:p w:rsidR="005C3AAB" w:rsidRPr="001C7E9C" w:rsidRDefault="001C7E9C" w:rsidP="001C7E9C">
            <w:pPr>
              <w:jc w:val="left"/>
              <w:rPr>
                <w:rFonts w:cs="Arial"/>
                <w:i/>
              </w:rPr>
            </w:pPr>
            <w:r w:rsidRPr="001C7E9C">
              <w:rPr>
                <w:rFonts w:cs="Arial"/>
                <w:i/>
              </w:rPr>
              <w:t>to consider if for conformity, both genotype and phenotype should be considered; and to explore if a judge could have access to the breeding book and information on phenotypical similarities in order to decide if a variety is an EDV.</w:t>
            </w:r>
          </w:p>
        </w:tc>
        <w:tc>
          <w:tcPr>
            <w:tcW w:w="1523" w:type="dxa"/>
            <w:gridSpan w:val="2"/>
          </w:tcPr>
          <w:p w:rsidR="001C7E9C" w:rsidRPr="001C7E9C" w:rsidRDefault="001C7E9C" w:rsidP="001C7E9C">
            <w:pPr>
              <w:jc w:val="left"/>
              <w:rPr>
                <w:i/>
              </w:rPr>
            </w:pPr>
            <w:r w:rsidRPr="001C7E9C">
              <w:rPr>
                <w:i/>
              </w:rPr>
              <w:t>EU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53 [</w:t>
            </w:r>
            <w:r w:rsidRPr="001C7E9C">
              <w:rPr>
                <w:i/>
              </w:rPr>
              <w:t>50</w:t>
            </w:r>
            <w:r w:rsidR="00BD26C6">
              <w:rPr>
                <w:i/>
              </w:rPr>
              <w:t>]</w:t>
            </w:r>
          </w:p>
        </w:tc>
        <w:tc>
          <w:tcPr>
            <w:tcW w:w="7155" w:type="dxa"/>
          </w:tcPr>
          <w:p w:rsidR="001C7E9C" w:rsidRPr="001C7E9C" w:rsidRDefault="001C7E9C" w:rsidP="001C7E9C">
            <w:pPr>
              <w:jc w:val="left"/>
              <w:rPr>
                <w:rFonts w:cs="Arial"/>
                <w:i/>
              </w:rPr>
            </w:pPr>
            <w:r w:rsidRPr="001C7E9C">
              <w:rPr>
                <w:rFonts w:cs="Arial"/>
                <w:i/>
              </w:rPr>
              <w:t>to consider reintroducing in the guidance the concept in document UPOV/EXN/EDV/1, paragraph 15, that the determination of whether a variety is an EDV should:</w:t>
            </w:r>
          </w:p>
          <w:p w:rsidR="001C7E9C" w:rsidRPr="001C7E9C" w:rsidRDefault="001C7E9C" w:rsidP="001C7E9C">
            <w:pPr>
              <w:jc w:val="left"/>
              <w:rPr>
                <w:rFonts w:cs="Arial"/>
                <w:i/>
              </w:rPr>
            </w:pPr>
          </w:p>
          <w:p w:rsidR="001C7E9C" w:rsidRPr="001C7E9C" w:rsidRDefault="001C7E9C" w:rsidP="001C7E9C">
            <w:pPr>
              <w:numPr>
                <w:ilvl w:val="0"/>
                <w:numId w:val="17"/>
              </w:numPr>
              <w:contextualSpacing/>
              <w:jc w:val="left"/>
              <w:rPr>
                <w:i/>
              </w:rPr>
            </w:pPr>
            <w:r w:rsidRPr="001C7E9C">
              <w:rPr>
                <w:rFonts w:cs="Arial"/>
                <w:i/>
              </w:rPr>
              <w:t xml:space="preserve"> be made by the industry and at the end through an arbitration process or by courts; </w:t>
            </w:r>
          </w:p>
          <w:p w:rsidR="001C7E9C" w:rsidRPr="001C7E9C" w:rsidRDefault="001C7E9C" w:rsidP="001C7E9C">
            <w:pPr>
              <w:ind w:left="720"/>
              <w:contextualSpacing/>
              <w:jc w:val="left"/>
              <w:rPr>
                <w:i/>
              </w:rPr>
            </w:pPr>
          </w:p>
          <w:p w:rsidR="001C7E9C" w:rsidRPr="001C7E9C" w:rsidRDefault="001C7E9C" w:rsidP="001C7E9C">
            <w:pPr>
              <w:numPr>
                <w:ilvl w:val="0"/>
                <w:numId w:val="17"/>
              </w:numPr>
              <w:contextualSpacing/>
              <w:jc w:val="left"/>
              <w:rPr>
                <w:i/>
              </w:rPr>
            </w:pPr>
            <w:r w:rsidRPr="001C7E9C">
              <w:rPr>
                <w:rFonts w:cs="Arial"/>
                <w:i/>
              </w:rPr>
              <w:t xml:space="preserve">the granting authorities not to play the dispute resolving role; </w:t>
            </w:r>
          </w:p>
          <w:p w:rsidR="001C7E9C" w:rsidRPr="001C7E9C" w:rsidRDefault="001C7E9C" w:rsidP="001C7E9C">
            <w:pPr>
              <w:jc w:val="left"/>
              <w:rPr>
                <w:i/>
              </w:rPr>
            </w:pPr>
          </w:p>
          <w:p w:rsidR="001C7E9C" w:rsidRPr="001C7E9C" w:rsidRDefault="001C7E9C" w:rsidP="001C7E9C">
            <w:pPr>
              <w:numPr>
                <w:ilvl w:val="0"/>
                <w:numId w:val="17"/>
              </w:numPr>
              <w:contextualSpacing/>
              <w:jc w:val="left"/>
              <w:rPr>
                <w:i/>
              </w:rPr>
            </w:pPr>
            <w:r w:rsidRPr="001C7E9C">
              <w:rPr>
                <w:rFonts w:cs="Arial"/>
                <w:i/>
              </w:rPr>
              <w:t>it is up to the holder of a breeder’s right to defend its right;</w:t>
            </w:r>
          </w:p>
          <w:p w:rsidR="001C7E9C" w:rsidRPr="001C7E9C" w:rsidRDefault="001C7E9C" w:rsidP="001C7E9C">
            <w:pPr>
              <w:jc w:val="left"/>
              <w:rPr>
                <w:i/>
              </w:rPr>
            </w:pPr>
          </w:p>
          <w:p w:rsidR="005C3AAB" w:rsidRPr="001C7E9C" w:rsidRDefault="001C7E9C" w:rsidP="005C3AAB">
            <w:pPr>
              <w:numPr>
                <w:ilvl w:val="0"/>
                <w:numId w:val="17"/>
              </w:numPr>
              <w:contextualSpacing/>
              <w:jc w:val="left"/>
              <w:rPr>
                <w:i/>
              </w:rPr>
            </w:pPr>
            <w:r w:rsidRPr="001C7E9C">
              <w:rPr>
                <w:rFonts w:cs="Arial"/>
                <w:i/>
              </w:rPr>
              <w:t xml:space="preserve">experts from plant variety examination offices could </w:t>
            </w:r>
            <w:r w:rsidR="005C3AAB">
              <w:rPr>
                <w:rFonts w:cs="Arial"/>
                <w:i/>
              </w:rPr>
              <w:t>be called as experts by courts.</w:t>
            </w:r>
          </w:p>
        </w:tc>
        <w:tc>
          <w:tcPr>
            <w:tcW w:w="1523" w:type="dxa"/>
            <w:gridSpan w:val="2"/>
          </w:tcPr>
          <w:p w:rsidR="001C7E9C" w:rsidRPr="001C7E9C" w:rsidRDefault="001C7E9C" w:rsidP="001C7E9C">
            <w:pPr>
              <w:jc w:val="left"/>
              <w:rPr>
                <w:i/>
              </w:rPr>
            </w:pPr>
            <w:r w:rsidRPr="001C7E9C">
              <w:rPr>
                <w:i/>
              </w:rPr>
              <w:t>EU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54 [</w:t>
            </w:r>
            <w:r w:rsidRPr="001C7E9C">
              <w:rPr>
                <w:i/>
              </w:rPr>
              <w:t>51</w:t>
            </w:r>
            <w:r w:rsidR="00BD26C6">
              <w:rPr>
                <w:i/>
              </w:rPr>
              <w:t>]</w:t>
            </w:r>
          </w:p>
        </w:tc>
        <w:tc>
          <w:tcPr>
            <w:tcW w:w="7155" w:type="dxa"/>
          </w:tcPr>
          <w:p w:rsidR="001C7E9C" w:rsidRPr="001C7E9C" w:rsidRDefault="001C7E9C" w:rsidP="001C7E9C">
            <w:pPr>
              <w:jc w:val="left"/>
              <w:rPr>
                <w:rFonts w:cs="Arial"/>
                <w:i/>
              </w:rPr>
            </w:pPr>
            <w:r w:rsidRPr="001C7E9C">
              <w:rPr>
                <w:rFonts w:cs="Arial"/>
                <w:i/>
              </w:rPr>
              <w:t>to consider the following on the role of the position papers, for some species, developed by the industry:</w:t>
            </w:r>
          </w:p>
          <w:p w:rsidR="001C7E9C" w:rsidRPr="001C7E9C" w:rsidRDefault="001C7E9C" w:rsidP="001C7E9C">
            <w:pPr>
              <w:jc w:val="left"/>
              <w:rPr>
                <w:rFonts w:cs="Arial"/>
                <w:i/>
              </w:rPr>
            </w:pPr>
          </w:p>
          <w:p w:rsidR="001C7E9C" w:rsidRPr="001C7E9C" w:rsidRDefault="001C7E9C" w:rsidP="001C7E9C">
            <w:pPr>
              <w:numPr>
                <w:ilvl w:val="0"/>
                <w:numId w:val="18"/>
              </w:numPr>
              <w:contextualSpacing/>
              <w:jc w:val="left"/>
              <w:rPr>
                <w:rFonts w:cs="Arial"/>
                <w:i/>
              </w:rPr>
            </w:pPr>
            <w:r w:rsidRPr="001C7E9C">
              <w:rPr>
                <w:rFonts w:cs="Arial"/>
                <w:i/>
              </w:rPr>
              <w:t xml:space="preserve">such papers include thresholds on genetic similarities which could trigger the change of the burden of proof as to whether a variety is predominantly derived; </w:t>
            </w:r>
          </w:p>
          <w:p w:rsidR="001C7E9C" w:rsidRPr="001C7E9C" w:rsidRDefault="001C7E9C" w:rsidP="001C7E9C">
            <w:pPr>
              <w:jc w:val="left"/>
              <w:rPr>
                <w:rFonts w:cs="Arial"/>
                <w:i/>
              </w:rPr>
            </w:pPr>
          </w:p>
          <w:p w:rsidR="001C7E9C" w:rsidRPr="001C7E9C" w:rsidRDefault="001C7E9C" w:rsidP="001C7E9C">
            <w:pPr>
              <w:numPr>
                <w:ilvl w:val="0"/>
                <w:numId w:val="18"/>
              </w:numPr>
              <w:contextualSpacing/>
              <w:jc w:val="left"/>
              <w:rPr>
                <w:rFonts w:cs="Arial"/>
                <w:i/>
              </w:rPr>
            </w:pPr>
            <w:r w:rsidRPr="001C7E9C">
              <w:rPr>
                <w:rFonts w:cs="Arial"/>
                <w:i/>
              </w:rPr>
              <w:t xml:space="preserve">such papers do not include thresholds as regards how many characteristics must be similar/different when assessing if a variety is an EDV; </w:t>
            </w:r>
          </w:p>
          <w:p w:rsidR="001C7E9C" w:rsidRPr="001C7E9C" w:rsidRDefault="001C7E9C" w:rsidP="001C7E9C">
            <w:pPr>
              <w:ind w:left="720"/>
              <w:contextualSpacing/>
              <w:jc w:val="left"/>
              <w:rPr>
                <w:rFonts w:cs="Arial"/>
                <w:i/>
              </w:rPr>
            </w:pPr>
          </w:p>
          <w:p w:rsidR="001C7E9C" w:rsidRPr="001C7E9C" w:rsidRDefault="001C7E9C" w:rsidP="001C7E9C">
            <w:pPr>
              <w:numPr>
                <w:ilvl w:val="0"/>
                <w:numId w:val="18"/>
              </w:numPr>
              <w:contextualSpacing/>
              <w:jc w:val="left"/>
              <w:rPr>
                <w:rFonts w:cs="Arial"/>
                <w:i/>
              </w:rPr>
            </w:pPr>
            <w:r w:rsidRPr="001C7E9C">
              <w:rPr>
                <w:rFonts w:cs="Arial"/>
                <w:i/>
              </w:rPr>
              <w:t>a court is not bound by such papers but may take into account implementation practice when assessing a given case.</w:t>
            </w:r>
          </w:p>
        </w:tc>
        <w:tc>
          <w:tcPr>
            <w:tcW w:w="1523" w:type="dxa"/>
            <w:gridSpan w:val="2"/>
          </w:tcPr>
          <w:p w:rsidR="001C7E9C" w:rsidRPr="001C7E9C" w:rsidRDefault="001C7E9C" w:rsidP="001C7E9C">
            <w:pPr>
              <w:jc w:val="left"/>
              <w:rPr>
                <w:i/>
              </w:rPr>
            </w:pPr>
            <w:r w:rsidRPr="001C7E9C">
              <w:rPr>
                <w:i/>
              </w:rPr>
              <w:t>EU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55 [</w:t>
            </w:r>
            <w:r w:rsidRPr="001C7E9C">
              <w:rPr>
                <w:i/>
              </w:rPr>
              <w:t>52</w:t>
            </w:r>
            <w:r w:rsidR="00BD26C6">
              <w:rPr>
                <w:i/>
              </w:rPr>
              <w:t>]</w:t>
            </w:r>
          </w:p>
        </w:tc>
        <w:tc>
          <w:tcPr>
            <w:tcW w:w="7155" w:type="dxa"/>
          </w:tcPr>
          <w:p w:rsidR="001C7E9C" w:rsidRPr="001C7E9C" w:rsidRDefault="001C7E9C" w:rsidP="001C7E9C">
            <w:pPr>
              <w:jc w:val="left"/>
              <w:rPr>
                <w:rFonts w:cs="Arial"/>
                <w:i/>
              </w:rPr>
            </w:pPr>
            <w:r w:rsidRPr="001C7E9C">
              <w:rPr>
                <w:rFonts w:cs="Arial"/>
                <w:i/>
              </w:rPr>
              <w:t>to explore the need for a clearer explanation and criteria to identify a variety could be an EDV to avoid unnecessary law case.</w:t>
            </w:r>
          </w:p>
        </w:tc>
        <w:tc>
          <w:tcPr>
            <w:tcW w:w="1523" w:type="dxa"/>
            <w:gridSpan w:val="2"/>
          </w:tcPr>
          <w:p w:rsidR="001C7E9C" w:rsidRPr="001C7E9C" w:rsidRDefault="001C7E9C" w:rsidP="001C7E9C">
            <w:pPr>
              <w:jc w:val="left"/>
              <w:rPr>
                <w:i/>
              </w:rPr>
            </w:pPr>
            <w:r w:rsidRPr="001C7E9C">
              <w:rPr>
                <w:i/>
              </w:rPr>
              <w:t>JP</w:t>
            </w:r>
          </w:p>
        </w:tc>
      </w:tr>
      <w:tr w:rsidR="001C7E9C" w:rsidRPr="001C7E9C" w:rsidTr="00A24F4D">
        <w:trPr>
          <w:cantSplit/>
        </w:trPr>
        <w:tc>
          <w:tcPr>
            <w:tcW w:w="1305" w:type="dxa"/>
          </w:tcPr>
          <w:p w:rsidR="001C7E9C" w:rsidRPr="001C7E9C" w:rsidRDefault="001C7E9C" w:rsidP="001C7E9C">
            <w:pPr>
              <w:rPr>
                <w:i/>
              </w:rPr>
            </w:pPr>
            <w:r w:rsidRPr="001C7E9C">
              <w:rPr>
                <w:i/>
              </w:rPr>
              <w:lastRenderedPageBreak/>
              <w:t xml:space="preserve">Issue </w:t>
            </w:r>
            <w:r w:rsidR="00BD26C6">
              <w:rPr>
                <w:i/>
              </w:rPr>
              <w:t>56 [</w:t>
            </w:r>
            <w:r w:rsidRPr="001C7E9C">
              <w:rPr>
                <w:i/>
              </w:rPr>
              <w:t>53</w:t>
            </w:r>
            <w:r w:rsidR="00BD26C6">
              <w:rPr>
                <w:i/>
              </w:rPr>
              <w:t>]</w:t>
            </w:r>
          </w:p>
        </w:tc>
        <w:tc>
          <w:tcPr>
            <w:tcW w:w="7155" w:type="dxa"/>
          </w:tcPr>
          <w:p w:rsidR="001C7E9C" w:rsidRPr="001C7E9C" w:rsidRDefault="001C7E9C" w:rsidP="001C7E9C">
            <w:pPr>
              <w:jc w:val="left"/>
              <w:rPr>
                <w:rFonts w:cs="Arial"/>
                <w:i/>
              </w:rPr>
            </w:pPr>
            <w:r w:rsidRPr="001C7E9C">
              <w:rPr>
                <w:rFonts w:cs="Arial"/>
                <w:i/>
              </w:rPr>
              <w:t>to consider whether:</w:t>
            </w:r>
          </w:p>
          <w:p w:rsidR="001C7E9C" w:rsidRPr="001C7E9C" w:rsidRDefault="001C7E9C" w:rsidP="001C7E9C">
            <w:pPr>
              <w:jc w:val="left"/>
              <w:rPr>
                <w:rFonts w:cs="Arial"/>
                <w:i/>
              </w:rPr>
            </w:pPr>
          </w:p>
          <w:p w:rsidR="001C7E9C" w:rsidRPr="001C7E9C" w:rsidRDefault="001C7E9C" w:rsidP="001C7E9C">
            <w:pPr>
              <w:numPr>
                <w:ilvl w:val="0"/>
                <w:numId w:val="19"/>
              </w:numPr>
              <w:contextualSpacing/>
              <w:jc w:val="left"/>
              <w:rPr>
                <w:rFonts w:cs="Arial"/>
                <w:i/>
              </w:rPr>
            </w:pPr>
            <w:r w:rsidRPr="001C7E9C">
              <w:rPr>
                <w:rFonts w:cs="Arial"/>
                <w:i/>
              </w:rPr>
              <w:t>additional expertise regarding the origin of a new EDV variety to be required in rare court cases and only if the parties disagree;</w:t>
            </w:r>
          </w:p>
          <w:p w:rsidR="001C7E9C" w:rsidRPr="001C7E9C" w:rsidRDefault="001C7E9C" w:rsidP="001C7E9C">
            <w:pPr>
              <w:ind w:left="720"/>
              <w:contextualSpacing/>
              <w:jc w:val="left"/>
              <w:rPr>
                <w:rFonts w:cs="Arial"/>
                <w:i/>
              </w:rPr>
            </w:pPr>
          </w:p>
          <w:p w:rsidR="001C7E9C" w:rsidRPr="001C7E9C" w:rsidRDefault="001C7E9C" w:rsidP="001C7E9C">
            <w:pPr>
              <w:numPr>
                <w:ilvl w:val="0"/>
                <w:numId w:val="19"/>
              </w:numPr>
              <w:contextualSpacing/>
              <w:jc w:val="left"/>
              <w:rPr>
                <w:rFonts w:cs="Arial"/>
                <w:i/>
              </w:rPr>
            </w:pPr>
            <w:r w:rsidRPr="001C7E9C">
              <w:rPr>
                <w:rFonts w:cs="Arial"/>
                <w:i/>
              </w:rPr>
              <w:t>the methods of assessment in those court cases to depend on the method establishing the fact of origin and the conditions of commercialization;</w:t>
            </w:r>
          </w:p>
          <w:p w:rsidR="001C7E9C" w:rsidRPr="001C7E9C" w:rsidRDefault="001C7E9C" w:rsidP="001C7E9C">
            <w:pPr>
              <w:jc w:val="left"/>
              <w:rPr>
                <w:rFonts w:cs="Arial"/>
                <w:i/>
              </w:rPr>
            </w:pPr>
          </w:p>
          <w:p w:rsidR="005C3AAB" w:rsidRPr="001C7E9C" w:rsidRDefault="001C7E9C" w:rsidP="005C3AAB">
            <w:pPr>
              <w:numPr>
                <w:ilvl w:val="0"/>
                <w:numId w:val="19"/>
              </w:numPr>
              <w:contextualSpacing/>
              <w:jc w:val="left"/>
              <w:rPr>
                <w:rFonts w:cs="Arial"/>
                <w:i/>
              </w:rPr>
            </w:pPr>
            <w:r w:rsidRPr="001C7E9C">
              <w:rPr>
                <w:rFonts w:cs="Arial"/>
                <w:i/>
              </w:rPr>
              <w:t>the settlement of such a dispute between the parties to be considered in accordance with the applicable law.</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57 [</w:t>
            </w:r>
            <w:r w:rsidRPr="001C7E9C">
              <w:rPr>
                <w:i/>
              </w:rPr>
              <w:t>54</w:t>
            </w:r>
            <w:r w:rsidR="00BD26C6">
              <w:rPr>
                <w:i/>
              </w:rPr>
              <w:t>]</w:t>
            </w:r>
          </w:p>
        </w:tc>
        <w:tc>
          <w:tcPr>
            <w:tcW w:w="7155" w:type="dxa"/>
          </w:tcPr>
          <w:p w:rsidR="001C7E9C" w:rsidRPr="001C7E9C" w:rsidRDefault="001C7E9C" w:rsidP="001C7E9C">
            <w:pPr>
              <w:jc w:val="left"/>
              <w:rPr>
                <w:rFonts w:eastAsia="Calibri" w:cs="Arial"/>
                <w:i/>
              </w:rPr>
            </w:pPr>
            <w:r w:rsidRPr="001C7E9C">
              <w:rPr>
                <w:rFonts w:eastAsia="Calibri" w:cs="Arial"/>
                <w:i/>
              </w:rPr>
              <w:t xml:space="preserve">to note that the guidance does not provide for a mechanism to determine whether a variety is essentially derived variety, or not; and therefore to be aware of that it is problematic to construct the concept of essentially derived varieties and make its determination dependent on an undefined number of differences in undefined “essential” characteristics and then leave the determination thereof to breeders with competing interests.” </w:t>
            </w:r>
          </w:p>
        </w:tc>
        <w:tc>
          <w:tcPr>
            <w:tcW w:w="1523" w:type="dxa"/>
            <w:gridSpan w:val="2"/>
          </w:tcPr>
          <w:p w:rsidR="001C7E9C" w:rsidRPr="001C7E9C" w:rsidRDefault="001C7E9C" w:rsidP="001C7E9C">
            <w:pPr>
              <w:jc w:val="left"/>
              <w:rPr>
                <w:i/>
              </w:rPr>
            </w:pPr>
            <w:r w:rsidRPr="001C7E9C">
              <w:rPr>
                <w:i/>
              </w:rPr>
              <w:t>ZA</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58 [</w:t>
            </w:r>
            <w:r w:rsidRPr="001C7E9C">
              <w:rPr>
                <w:i/>
              </w:rPr>
              <w:t>55</w:t>
            </w:r>
            <w:r w:rsidR="00BD26C6">
              <w:rPr>
                <w:i/>
              </w:rPr>
              <w:t>]</w:t>
            </w:r>
          </w:p>
        </w:tc>
        <w:tc>
          <w:tcPr>
            <w:tcW w:w="7155" w:type="dxa"/>
          </w:tcPr>
          <w:p w:rsidR="005C3AAB" w:rsidRPr="001C7E9C" w:rsidRDefault="001C7E9C" w:rsidP="001C7E9C">
            <w:pPr>
              <w:jc w:val="left"/>
              <w:rPr>
                <w:rFonts w:eastAsia="Calibri" w:cs="Arial"/>
                <w:i/>
              </w:rPr>
            </w:pPr>
            <w:r w:rsidRPr="001C7E9C">
              <w:rPr>
                <w:rFonts w:eastAsia="Calibri" w:cs="Arial"/>
                <w:i/>
              </w:rPr>
              <w:t xml:space="preserve">to consider how to address the burden on the breeder of the protected initial variety, in particular, the responsibility and legal expenses to “force” a determination as essentially derived on a variety that was admittedly predominantly derived from the initial protected variety, and often in circumstances where the derived variety is commercialized in competition with the initial variety and causing the breeder initial variety irreparable harm. </w:t>
            </w:r>
          </w:p>
        </w:tc>
        <w:tc>
          <w:tcPr>
            <w:tcW w:w="1523" w:type="dxa"/>
            <w:gridSpan w:val="2"/>
          </w:tcPr>
          <w:p w:rsidR="001C7E9C" w:rsidRPr="001C7E9C" w:rsidRDefault="001C7E9C" w:rsidP="001C7E9C">
            <w:pPr>
              <w:jc w:val="left"/>
              <w:rPr>
                <w:i/>
              </w:rPr>
            </w:pPr>
            <w:r w:rsidRPr="001C7E9C">
              <w:rPr>
                <w:i/>
              </w:rPr>
              <w:t>ZA</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59 [</w:t>
            </w:r>
            <w:r w:rsidRPr="001C7E9C">
              <w:rPr>
                <w:i/>
              </w:rPr>
              <w:t>56</w:t>
            </w:r>
            <w:r w:rsidR="00BD26C6">
              <w:rPr>
                <w:i/>
              </w:rPr>
              <w:t>]</w:t>
            </w:r>
          </w:p>
        </w:tc>
        <w:tc>
          <w:tcPr>
            <w:tcW w:w="7155" w:type="dxa"/>
          </w:tcPr>
          <w:p w:rsidR="001C7E9C" w:rsidRPr="001C7E9C" w:rsidRDefault="001C7E9C" w:rsidP="001C7E9C">
            <w:pPr>
              <w:jc w:val="left"/>
              <w:rPr>
                <w:rFonts w:eastAsia="Calibri" w:cs="Arial"/>
                <w:i/>
              </w:rPr>
            </w:pPr>
            <w:r w:rsidRPr="001C7E9C">
              <w:rPr>
                <w:rFonts w:eastAsia="Calibri" w:cs="Arial"/>
                <w:i/>
              </w:rPr>
              <w:t>to consider whether to replace Section II by the following new Section II”</w:t>
            </w:r>
          </w:p>
          <w:p w:rsidR="001C7E9C" w:rsidRPr="001C7E9C" w:rsidRDefault="001C7E9C" w:rsidP="001C7E9C">
            <w:pPr>
              <w:jc w:val="left"/>
              <w:rPr>
                <w:rFonts w:eastAsia="Calibri" w:cs="Arial"/>
                <w:i/>
              </w:rPr>
            </w:pPr>
          </w:p>
          <w:p w:rsidR="001C7E9C" w:rsidRPr="001C7E9C" w:rsidRDefault="001C7E9C" w:rsidP="001C7E9C">
            <w:pPr>
              <w:jc w:val="left"/>
              <w:rPr>
                <w:rFonts w:eastAsia="Calibri" w:cs="Arial"/>
                <w:i/>
              </w:rPr>
            </w:pPr>
            <w:r w:rsidRPr="001C7E9C">
              <w:rPr>
                <w:rFonts w:eastAsia="Calibri" w:cs="Arial"/>
                <w:i/>
              </w:rPr>
              <w:t>“Section II “Registration of protected initial variety’s rights’ extension to essentially derived varieties”</w:t>
            </w:r>
          </w:p>
          <w:p w:rsidR="001C7E9C" w:rsidRPr="001C7E9C" w:rsidRDefault="001C7E9C" w:rsidP="001C7E9C">
            <w:pPr>
              <w:jc w:val="left"/>
              <w:rPr>
                <w:rFonts w:eastAsia="Calibri" w:cs="Arial"/>
                <w:i/>
              </w:rPr>
            </w:pPr>
          </w:p>
          <w:p w:rsidR="001C7E9C" w:rsidRPr="001C7E9C" w:rsidRDefault="001C7E9C" w:rsidP="001C7E9C">
            <w:pPr>
              <w:jc w:val="left"/>
              <w:rPr>
                <w:rFonts w:eastAsia="Calibri" w:cs="Arial"/>
                <w:i/>
              </w:rPr>
            </w:pPr>
            <w:r w:rsidRPr="001C7E9C">
              <w:rPr>
                <w:rFonts w:eastAsia="Calibri" w:cs="Arial"/>
                <w:i/>
              </w:rPr>
              <w:t>“An applicant (breeder) shall indicate the history of breeding (creation) of the variety in the application materials (the application form) for granting the breeder's right or application materials (the application form) for including the variety in the National List. At the stage of preliminary examination of the application the competent authority of the member of the Union examines the completeness of the information on the new variety and requests additional information if applicable.</w:t>
            </w:r>
          </w:p>
          <w:p w:rsidR="001C7E9C" w:rsidRPr="001C7E9C" w:rsidRDefault="001C7E9C" w:rsidP="001C7E9C">
            <w:pPr>
              <w:jc w:val="left"/>
              <w:rPr>
                <w:rFonts w:eastAsia="Calibri" w:cs="Arial"/>
                <w:i/>
              </w:rPr>
            </w:pPr>
          </w:p>
          <w:p w:rsidR="001C7E9C" w:rsidRPr="001C7E9C" w:rsidRDefault="001C7E9C" w:rsidP="001C7E9C">
            <w:pPr>
              <w:jc w:val="left"/>
              <w:rPr>
                <w:rFonts w:eastAsia="Calibri" w:cs="Arial"/>
                <w:i/>
              </w:rPr>
            </w:pPr>
            <w:r w:rsidRPr="001C7E9C">
              <w:rPr>
                <w:rFonts w:eastAsia="Calibri" w:cs="Arial"/>
                <w:i/>
              </w:rPr>
              <w:t>“A request to determine variety to the category ‘essentially derived varieties’ and to denominate the [</w:t>
            </w:r>
            <w:r w:rsidRPr="001C7E9C">
              <w:rPr>
                <w:rFonts w:eastAsia="Calibri" w:cs="Arial"/>
                <w:i/>
                <w:strike/>
              </w:rPr>
              <w:t>initial</w:t>
            </w:r>
            <w:r w:rsidRPr="001C7E9C">
              <w:rPr>
                <w:rFonts w:eastAsia="Calibri" w:cs="Arial"/>
                <w:i/>
              </w:rPr>
              <w:t>] variety is prepared by the authority based on the information containing the origin of the variety and DUS examination, and is published in the official Bulletin.</w:t>
            </w:r>
          </w:p>
          <w:p w:rsidR="001C7E9C" w:rsidRPr="001C7E9C" w:rsidRDefault="001C7E9C" w:rsidP="001C7E9C">
            <w:pPr>
              <w:jc w:val="left"/>
              <w:rPr>
                <w:rFonts w:eastAsia="Calibri" w:cs="Arial"/>
                <w:i/>
              </w:rPr>
            </w:pPr>
          </w:p>
          <w:p w:rsidR="001C7E9C" w:rsidRPr="001C7E9C" w:rsidRDefault="001C7E9C" w:rsidP="001C7E9C">
            <w:pPr>
              <w:jc w:val="left"/>
              <w:rPr>
                <w:rFonts w:eastAsia="Calibri" w:cs="Arial"/>
                <w:i/>
              </w:rPr>
            </w:pPr>
            <w:r w:rsidRPr="001C7E9C">
              <w:rPr>
                <w:rFonts w:eastAsia="Calibri" w:cs="Arial"/>
                <w:i/>
              </w:rPr>
              <w:t>“Comments on the application materials submitted within six months after the publication are to be agreed with stakeholders.</w:t>
            </w:r>
          </w:p>
          <w:p w:rsidR="001C7E9C" w:rsidRPr="001C7E9C" w:rsidRDefault="001C7E9C" w:rsidP="001C7E9C">
            <w:pPr>
              <w:jc w:val="left"/>
              <w:rPr>
                <w:rFonts w:eastAsia="Calibri" w:cs="Arial"/>
                <w:i/>
              </w:rPr>
            </w:pPr>
          </w:p>
          <w:p w:rsidR="001C7E9C" w:rsidRPr="001C7E9C" w:rsidRDefault="001C7E9C" w:rsidP="001C7E9C">
            <w:pPr>
              <w:jc w:val="left"/>
              <w:rPr>
                <w:rFonts w:eastAsia="Calibri" w:cs="Arial"/>
                <w:i/>
              </w:rPr>
            </w:pPr>
            <w:r w:rsidRPr="001C7E9C">
              <w:rPr>
                <w:rFonts w:eastAsia="Calibri" w:cs="Arial"/>
                <w:i/>
              </w:rPr>
              <w:t>“The decision of competent authority concerning the determination of variety to the category of essentially derived varieties and denomination of the [</w:t>
            </w:r>
            <w:r w:rsidRPr="001C7E9C">
              <w:rPr>
                <w:rFonts w:eastAsia="Calibri" w:cs="Arial"/>
                <w:i/>
                <w:strike/>
              </w:rPr>
              <w:t>initial</w:t>
            </w:r>
            <w:r w:rsidRPr="001C7E9C">
              <w:rPr>
                <w:rFonts w:eastAsia="Calibri" w:cs="Arial"/>
                <w:i/>
              </w:rPr>
              <w:t>] variety may be appealed in accordance with national legislation.</w:t>
            </w:r>
          </w:p>
          <w:p w:rsidR="001C7E9C" w:rsidRPr="001C7E9C" w:rsidRDefault="001C7E9C" w:rsidP="001C7E9C">
            <w:pPr>
              <w:jc w:val="left"/>
              <w:rPr>
                <w:rFonts w:eastAsia="Calibri" w:cs="Arial"/>
                <w:i/>
              </w:rPr>
            </w:pPr>
            <w:r w:rsidRPr="001C7E9C">
              <w:rPr>
                <w:rFonts w:eastAsia="Calibri" w:cs="Arial"/>
                <w:i/>
              </w:rPr>
              <w:t xml:space="preserve"> </w:t>
            </w:r>
          </w:p>
          <w:p w:rsidR="001C7E9C" w:rsidRPr="001C7E9C" w:rsidRDefault="001C7E9C" w:rsidP="001C7E9C">
            <w:pPr>
              <w:jc w:val="left"/>
              <w:rPr>
                <w:rFonts w:eastAsia="Calibri" w:cs="Arial"/>
                <w:i/>
              </w:rPr>
            </w:pPr>
            <w:r w:rsidRPr="001C7E9C">
              <w:rPr>
                <w:rFonts w:eastAsia="Calibri" w:cs="Arial"/>
                <w:i/>
              </w:rPr>
              <w:t>“In the case of the protection of the initial variety in the territory of the member of the Union, the competent authority request to submit a license agreement with the breeder of the initial variety about the conditions commercialization of the propagating material of the EDV when registering the breeder’s right for EDV.</w:t>
            </w:r>
          </w:p>
          <w:p w:rsidR="001C7E9C" w:rsidRPr="001C7E9C" w:rsidRDefault="001C7E9C" w:rsidP="001C7E9C">
            <w:pPr>
              <w:jc w:val="left"/>
              <w:rPr>
                <w:rFonts w:eastAsia="Calibri" w:cs="Arial"/>
                <w:i/>
              </w:rPr>
            </w:pPr>
          </w:p>
          <w:p w:rsidR="001C7E9C" w:rsidRPr="001C7E9C" w:rsidRDefault="001C7E9C" w:rsidP="001C7E9C">
            <w:pPr>
              <w:jc w:val="left"/>
              <w:rPr>
                <w:rFonts w:eastAsia="Calibri" w:cs="Arial"/>
                <w:i/>
              </w:rPr>
            </w:pPr>
            <w:r w:rsidRPr="001C7E9C">
              <w:rPr>
                <w:rFonts w:eastAsia="Calibri" w:cs="Arial"/>
                <w:i/>
              </w:rPr>
              <w:t>“Interrelation  between essentially  derived varieties (protected and unprotected  by private right) and the protected initial variety is reflected by the competent  authority by publishing the  information about varieties used in own territory, including the UPOV website.”</w:t>
            </w:r>
          </w:p>
        </w:tc>
        <w:tc>
          <w:tcPr>
            <w:tcW w:w="1523" w:type="dxa"/>
            <w:gridSpan w:val="2"/>
          </w:tcPr>
          <w:p w:rsidR="001C7E9C" w:rsidRPr="001C7E9C" w:rsidRDefault="001C7E9C" w:rsidP="001C7E9C">
            <w:pPr>
              <w:jc w:val="left"/>
              <w:rPr>
                <w:i/>
              </w:rPr>
            </w:pPr>
            <w:r w:rsidRPr="001C7E9C">
              <w:rPr>
                <w:i/>
              </w:rPr>
              <w:t>RU</w:t>
            </w:r>
          </w:p>
        </w:tc>
      </w:tr>
      <w:tr w:rsidR="001C7E9C" w:rsidRPr="001C7E9C" w:rsidTr="00A24F4D">
        <w:trPr>
          <w:cantSplit/>
        </w:trPr>
        <w:tc>
          <w:tcPr>
            <w:tcW w:w="1305" w:type="dxa"/>
          </w:tcPr>
          <w:p w:rsidR="001C7E9C" w:rsidRPr="001C7E9C" w:rsidRDefault="001C7E9C" w:rsidP="001C7E9C">
            <w:pPr>
              <w:rPr>
                <w:i/>
              </w:rPr>
            </w:pPr>
            <w:r w:rsidRPr="001C7E9C">
              <w:rPr>
                <w:i/>
              </w:rPr>
              <w:t xml:space="preserve">Issue </w:t>
            </w:r>
            <w:r w:rsidR="00BD26C6">
              <w:rPr>
                <w:i/>
              </w:rPr>
              <w:t>60 [</w:t>
            </w:r>
            <w:r w:rsidRPr="001C7E9C">
              <w:rPr>
                <w:i/>
              </w:rPr>
              <w:t>57</w:t>
            </w:r>
            <w:r w:rsidR="00BD26C6">
              <w:rPr>
                <w:i/>
              </w:rPr>
              <w:t>]</w:t>
            </w:r>
          </w:p>
        </w:tc>
        <w:tc>
          <w:tcPr>
            <w:tcW w:w="7155" w:type="dxa"/>
          </w:tcPr>
          <w:p w:rsidR="005C3AAB" w:rsidRPr="001C7E9C" w:rsidRDefault="001C7E9C" w:rsidP="001C7E9C">
            <w:pPr>
              <w:jc w:val="left"/>
              <w:rPr>
                <w:i/>
              </w:rPr>
            </w:pPr>
            <w:r w:rsidRPr="001C7E9C">
              <w:rPr>
                <w:i/>
              </w:rPr>
              <w:t>to consider if the “initiatives from the private sector, valuing the work of breeders,”  should be encouraged and further developed (see issue 51 above)</w:t>
            </w:r>
          </w:p>
        </w:tc>
        <w:tc>
          <w:tcPr>
            <w:tcW w:w="1523" w:type="dxa"/>
            <w:gridSpan w:val="2"/>
          </w:tcPr>
          <w:p w:rsidR="001C7E9C" w:rsidRPr="001C7E9C" w:rsidRDefault="001C7E9C" w:rsidP="001C7E9C">
            <w:pPr>
              <w:jc w:val="left"/>
              <w:rPr>
                <w:i/>
              </w:rPr>
            </w:pPr>
            <w:r w:rsidRPr="001C7E9C">
              <w:rPr>
                <w:i/>
              </w:rPr>
              <w:t>Joint contribution by breeders</w:t>
            </w:r>
          </w:p>
        </w:tc>
      </w:tr>
      <w:tr w:rsidR="001C7E9C" w:rsidRPr="001C7E9C" w:rsidTr="00A24F4D">
        <w:trPr>
          <w:cantSplit/>
        </w:trPr>
        <w:tc>
          <w:tcPr>
            <w:tcW w:w="1305" w:type="dxa"/>
          </w:tcPr>
          <w:p w:rsidR="001C7E9C" w:rsidRPr="001C7E9C" w:rsidRDefault="001C7E9C" w:rsidP="001C7E9C">
            <w:pPr>
              <w:rPr>
                <w:i/>
              </w:rPr>
            </w:pPr>
            <w:r w:rsidRPr="001C7E9C">
              <w:rPr>
                <w:i/>
              </w:rPr>
              <w:lastRenderedPageBreak/>
              <w:t xml:space="preserve">Issue </w:t>
            </w:r>
            <w:r w:rsidR="00BD26C6">
              <w:rPr>
                <w:i/>
              </w:rPr>
              <w:t>61 [</w:t>
            </w:r>
            <w:r w:rsidRPr="001C7E9C">
              <w:rPr>
                <w:i/>
              </w:rPr>
              <w:t>58</w:t>
            </w:r>
            <w:r w:rsidR="00BD26C6">
              <w:rPr>
                <w:i/>
              </w:rPr>
              <w:t>]</w:t>
            </w:r>
          </w:p>
        </w:tc>
        <w:tc>
          <w:tcPr>
            <w:tcW w:w="7155" w:type="dxa"/>
          </w:tcPr>
          <w:p w:rsidR="005C3AAB" w:rsidRPr="001C7E9C" w:rsidRDefault="001C7E9C" w:rsidP="001C7E9C">
            <w:pPr>
              <w:jc w:val="left"/>
              <w:rPr>
                <w:i/>
              </w:rPr>
            </w:pPr>
            <w:r w:rsidRPr="001C7E9C">
              <w:rPr>
                <w:i/>
              </w:rPr>
              <w:t>to consider “the interest of the alternative dispute resolutions put in place by trade associations.”</w:t>
            </w:r>
          </w:p>
        </w:tc>
        <w:tc>
          <w:tcPr>
            <w:tcW w:w="1523" w:type="dxa"/>
            <w:gridSpan w:val="2"/>
          </w:tcPr>
          <w:p w:rsidR="001C7E9C" w:rsidRPr="001C7E9C" w:rsidRDefault="001C7E9C" w:rsidP="001C7E9C">
            <w:pPr>
              <w:jc w:val="left"/>
              <w:rPr>
                <w:i/>
              </w:rPr>
            </w:pPr>
            <w:r w:rsidRPr="001C7E9C">
              <w:rPr>
                <w:i/>
              </w:rPr>
              <w:t>Joint contribution by breeders</w:t>
            </w:r>
          </w:p>
        </w:tc>
      </w:tr>
      <w:tr w:rsidR="00D9180A" w:rsidRPr="001C7E9C" w:rsidTr="00A24F4D">
        <w:trPr>
          <w:cantSplit/>
        </w:trPr>
        <w:tc>
          <w:tcPr>
            <w:tcW w:w="1305" w:type="dxa"/>
          </w:tcPr>
          <w:p w:rsidR="00D9180A" w:rsidRPr="007F112C" w:rsidRDefault="00B603F0">
            <w:pPr>
              <w:rPr>
                <w:i/>
                <w:highlight w:val="lightGray"/>
                <w:u w:val="single"/>
              </w:rPr>
            </w:pPr>
            <w:r w:rsidRPr="007F112C">
              <w:rPr>
                <w:i/>
                <w:highlight w:val="lightGray"/>
                <w:u w:val="single"/>
              </w:rPr>
              <w:t xml:space="preserve">Issue </w:t>
            </w:r>
            <w:r w:rsidR="00BD26C6">
              <w:rPr>
                <w:i/>
                <w:highlight w:val="lightGray"/>
                <w:u w:val="single"/>
              </w:rPr>
              <w:t>62</w:t>
            </w:r>
          </w:p>
        </w:tc>
        <w:tc>
          <w:tcPr>
            <w:tcW w:w="7155" w:type="dxa"/>
          </w:tcPr>
          <w:p w:rsidR="00D9180A" w:rsidRPr="007F112C" w:rsidRDefault="007F112C" w:rsidP="00B729BD">
            <w:pPr>
              <w:jc w:val="left"/>
              <w:rPr>
                <w:i/>
                <w:highlight w:val="lightGray"/>
                <w:u w:val="single"/>
              </w:rPr>
            </w:pPr>
            <w:r w:rsidRPr="007F112C">
              <w:rPr>
                <w:i/>
                <w:highlight w:val="lightGray"/>
                <w:u w:val="single"/>
              </w:rPr>
              <w:t xml:space="preserve">to consider that </w:t>
            </w:r>
            <w:r w:rsidR="00DE6156" w:rsidRPr="007F112C">
              <w:rPr>
                <w:i/>
                <w:highlight w:val="lightGray"/>
                <w:u w:val="single"/>
              </w:rPr>
              <w:t xml:space="preserve">standardization of genetic thresholds for EDV </w:t>
            </w:r>
            <w:r w:rsidR="00DE6156">
              <w:rPr>
                <w:i/>
                <w:highlight w:val="lightGray"/>
                <w:u w:val="single"/>
              </w:rPr>
              <w:t>may</w:t>
            </w:r>
            <w:r w:rsidR="00DE6156" w:rsidRPr="007F112C">
              <w:rPr>
                <w:i/>
                <w:highlight w:val="lightGray"/>
                <w:u w:val="single"/>
              </w:rPr>
              <w:t xml:space="preserve"> be useful for the international community, yet at the same time </w:t>
            </w:r>
            <w:r w:rsidR="00DE6156">
              <w:rPr>
                <w:i/>
                <w:highlight w:val="lightGray"/>
                <w:u w:val="single"/>
              </w:rPr>
              <w:t xml:space="preserve">UPOV </w:t>
            </w:r>
            <w:r w:rsidR="00DE6156" w:rsidRPr="007F112C">
              <w:rPr>
                <w:i/>
                <w:highlight w:val="lightGray"/>
                <w:u w:val="single"/>
              </w:rPr>
              <w:t>member</w:t>
            </w:r>
            <w:r w:rsidR="00DE6156">
              <w:rPr>
                <w:i/>
                <w:highlight w:val="lightGray"/>
                <w:u w:val="single"/>
              </w:rPr>
              <w:t>s</w:t>
            </w:r>
            <w:r w:rsidR="00DE6156" w:rsidRPr="007F112C">
              <w:rPr>
                <w:i/>
                <w:highlight w:val="lightGray"/>
                <w:u w:val="single"/>
              </w:rPr>
              <w:t xml:space="preserve"> ultimately should value any such genetic evidence of EDV consistent with their own evidentiary regimes</w:t>
            </w:r>
            <w:r w:rsidR="00222830">
              <w:rPr>
                <w:i/>
                <w:highlight w:val="lightGray"/>
                <w:u w:val="single"/>
              </w:rPr>
              <w:t>.</w:t>
            </w:r>
            <w:r w:rsidR="00DE6156" w:rsidRPr="007F112C">
              <w:rPr>
                <w:i/>
                <w:highlight w:val="lightGray"/>
                <w:u w:val="single"/>
              </w:rPr>
              <w:t xml:space="preserve"> </w:t>
            </w:r>
          </w:p>
        </w:tc>
        <w:tc>
          <w:tcPr>
            <w:tcW w:w="1523" w:type="dxa"/>
            <w:gridSpan w:val="2"/>
          </w:tcPr>
          <w:p w:rsidR="00D9180A" w:rsidRPr="007F112C" w:rsidRDefault="00B603F0" w:rsidP="001C7E9C">
            <w:pPr>
              <w:jc w:val="left"/>
              <w:rPr>
                <w:i/>
                <w:u w:val="single"/>
              </w:rPr>
            </w:pPr>
            <w:r w:rsidRPr="007F112C">
              <w:rPr>
                <w:i/>
                <w:highlight w:val="lightGray"/>
                <w:u w:val="single"/>
              </w:rPr>
              <w:t>US</w:t>
            </w:r>
          </w:p>
        </w:tc>
      </w:tr>
      <w:tr w:rsidR="00D9180A" w:rsidRPr="001C7E9C" w:rsidTr="00A24F4D">
        <w:trPr>
          <w:cantSplit/>
        </w:trPr>
        <w:tc>
          <w:tcPr>
            <w:tcW w:w="1305" w:type="dxa"/>
          </w:tcPr>
          <w:p w:rsidR="00D9180A" w:rsidRPr="007F112C" w:rsidRDefault="00B603F0">
            <w:pPr>
              <w:rPr>
                <w:i/>
                <w:highlight w:val="lightGray"/>
                <w:u w:val="single"/>
              </w:rPr>
            </w:pPr>
            <w:r w:rsidRPr="007F112C">
              <w:rPr>
                <w:i/>
                <w:highlight w:val="lightGray"/>
                <w:u w:val="single"/>
              </w:rPr>
              <w:t xml:space="preserve">Issue </w:t>
            </w:r>
            <w:r w:rsidR="00BD26C6">
              <w:rPr>
                <w:i/>
                <w:highlight w:val="lightGray"/>
                <w:u w:val="single"/>
              </w:rPr>
              <w:t>63</w:t>
            </w:r>
          </w:p>
        </w:tc>
        <w:tc>
          <w:tcPr>
            <w:tcW w:w="7155" w:type="dxa"/>
          </w:tcPr>
          <w:p w:rsidR="00D9180A" w:rsidRPr="007F112C" w:rsidRDefault="007F112C" w:rsidP="001C7E9C">
            <w:pPr>
              <w:jc w:val="left"/>
              <w:rPr>
                <w:i/>
                <w:highlight w:val="lightGray"/>
                <w:u w:val="single"/>
              </w:rPr>
            </w:pPr>
            <w:r w:rsidRPr="007F112C">
              <w:rPr>
                <w:i/>
                <w:highlight w:val="lightGray"/>
                <w:u w:val="single"/>
              </w:rPr>
              <w:t>to consider seeking “to find support for particular examples of EDV, either from case law of member jurisdictions, or from other areas of consensus which the group can elaborate on the terms used in the treaty text (e.g., ‘predominantly derived,’ ‘clearly distinguishable from the initial variety,’ and/or “conforms to the initial variety in the expression of the essential characteristics”, etc.)</w:t>
            </w:r>
            <w:r w:rsidR="00070E1A">
              <w:rPr>
                <w:i/>
                <w:highlight w:val="lightGray"/>
                <w:u w:val="single"/>
              </w:rPr>
              <w:t>.</w:t>
            </w:r>
            <w:r w:rsidRPr="00070E1A">
              <w:rPr>
                <w:i/>
                <w:highlight w:val="lightGray"/>
              </w:rPr>
              <w:t>”</w:t>
            </w:r>
          </w:p>
        </w:tc>
        <w:tc>
          <w:tcPr>
            <w:tcW w:w="1523" w:type="dxa"/>
            <w:gridSpan w:val="2"/>
          </w:tcPr>
          <w:p w:rsidR="00D9180A" w:rsidRPr="007F112C" w:rsidRDefault="00B603F0" w:rsidP="001C7E9C">
            <w:pPr>
              <w:jc w:val="left"/>
              <w:rPr>
                <w:i/>
                <w:u w:val="single"/>
              </w:rPr>
            </w:pPr>
            <w:r w:rsidRPr="007F112C">
              <w:rPr>
                <w:i/>
                <w:highlight w:val="lightGray"/>
                <w:u w:val="single"/>
              </w:rPr>
              <w:t>US</w:t>
            </w:r>
          </w:p>
        </w:tc>
      </w:tr>
      <w:tr w:rsidR="00B603F0" w:rsidRPr="001C7E9C" w:rsidTr="00A24F4D">
        <w:trPr>
          <w:cantSplit/>
        </w:trPr>
        <w:tc>
          <w:tcPr>
            <w:tcW w:w="1305" w:type="dxa"/>
          </w:tcPr>
          <w:p w:rsidR="00B603F0" w:rsidRPr="007F112C" w:rsidRDefault="00B603F0">
            <w:pPr>
              <w:rPr>
                <w:i/>
                <w:highlight w:val="lightGray"/>
                <w:u w:val="single"/>
              </w:rPr>
            </w:pPr>
            <w:r w:rsidRPr="007F112C">
              <w:rPr>
                <w:i/>
                <w:highlight w:val="lightGray"/>
                <w:u w:val="single"/>
              </w:rPr>
              <w:t xml:space="preserve">Issue </w:t>
            </w:r>
            <w:r w:rsidR="00BD26C6">
              <w:rPr>
                <w:i/>
                <w:highlight w:val="lightGray"/>
                <w:u w:val="single"/>
              </w:rPr>
              <w:t>64</w:t>
            </w:r>
          </w:p>
        </w:tc>
        <w:tc>
          <w:tcPr>
            <w:tcW w:w="7155" w:type="dxa"/>
          </w:tcPr>
          <w:p w:rsidR="00B603F0" w:rsidRPr="007F112C" w:rsidRDefault="007F112C" w:rsidP="007F112C">
            <w:pPr>
              <w:jc w:val="left"/>
              <w:rPr>
                <w:i/>
                <w:highlight w:val="lightGray"/>
                <w:u w:val="single"/>
              </w:rPr>
            </w:pPr>
            <w:r w:rsidRPr="007F112C">
              <w:rPr>
                <w:i/>
                <w:highlight w:val="lightGray"/>
                <w:u w:val="single"/>
              </w:rPr>
              <w:t>to consider that “the process of establishing any useful threshold values for genetic conformity assessments should be mutually arrived at by all interested UPOV members and stakeholders. The costs and impacts on small and medium sized entities should be considered (i.e., is genetic testing so cost prohibitive that small breeders cannot access the technology). Moreover, the working group should consider if certain classes of breeding techniques should trigger a prima facie (but rebutta</w:t>
            </w:r>
            <w:r w:rsidR="00070E1A">
              <w:rPr>
                <w:i/>
                <w:highlight w:val="lightGray"/>
                <w:u w:val="single"/>
              </w:rPr>
              <w:t>ble) case of ‘predominant derivations.’</w:t>
            </w:r>
            <w:r w:rsidRPr="007F112C">
              <w:rPr>
                <w:i/>
                <w:highlight w:val="lightGray"/>
                <w:u w:val="single"/>
              </w:rPr>
              <w:t xml:space="preserve"> Such classes of techniques could include, but not be limited to derivation of mutants by irradiation, point gene edits, or other techniques.”</w:t>
            </w:r>
          </w:p>
        </w:tc>
        <w:tc>
          <w:tcPr>
            <w:tcW w:w="1523" w:type="dxa"/>
            <w:gridSpan w:val="2"/>
          </w:tcPr>
          <w:p w:rsidR="00B603F0" w:rsidRPr="007F112C" w:rsidRDefault="00B603F0" w:rsidP="001C7E9C">
            <w:pPr>
              <w:jc w:val="left"/>
              <w:rPr>
                <w:i/>
                <w:u w:val="single"/>
              </w:rPr>
            </w:pPr>
            <w:r w:rsidRPr="007F112C">
              <w:rPr>
                <w:i/>
                <w:highlight w:val="lightGray"/>
                <w:u w:val="single"/>
              </w:rPr>
              <w:t>US</w:t>
            </w:r>
          </w:p>
        </w:tc>
      </w:tr>
      <w:tr w:rsidR="00B603F0" w:rsidRPr="001C7E9C" w:rsidTr="00A24F4D">
        <w:trPr>
          <w:cantSplit/>
        </w:trPr>
        <w:tc>
          <w:tcPr>
            <w:tcW w:w="1305" w:type="dxa"/>
          </w:tcPr>
          <w:p w:rsidR="00B603F0" w:rsidRPr="007F112C" w:rsidRDefault="00B603F0">
            <w:pPr>
              <w:rPr>
                <w:i/>
                <w:highlight w:val="lightGray"/>
                <w:u w:val="single"/>
              </w:rPr>
            </w:pPr>
            <w:r w:rsidRPr="007F112C">
              <w:rPr>
                <w:i/>
                <w:highlight w:val="lightGray"/>
                <w:u w:val="single"/>
              </w:rPr>
              <w:t xml:space="preserve">Issue </w:t>
            </w:r>
            <w:r w:rsidR="00BD26C6">
              <w:rPr>
                <w:i/>
                <w:highlight w:val="lightGray"/>
                <w:u w:val="single"/>
              </w:rPr>
              <w:t>65</w:t>
            </w:r>
          </w:p>
        </w:tc>
        <w:tc>
          <w:tcPr>
            <w:tcW w:w="7155" w:type="dxa"/>
          </w:tcPr>
          <w:p w:rsidR="00B603F0" w:rsidRPr="007F112C" w:rsidRDefault="007F112C" w:rsidP="00070E1A">
            <w:pPr>
              <w:jc w:val="left"/>
              <w:rPr>
                <w:i/>
                <w:highlight w:val="lightGray"/>
                <w:u w:val="single"/>
              </w:rPr>
            </w:pPr>
            <w:r w:rsidRPr="007F112C">
              <w:rPr>
                <w:i/>
                <w:highlight w:val="lightGray"/>
                <w:u w:val="single"/>
              </w:rPr>
              <w:t xml:space="preserve">to consider that “ultimate EDV determinations are best left to national courts or to an arbitration process. Any granting authority decision on EDV could be used as rebuttable evidence of an EDV in national courts or arbitration processes.  However, </w:t>
            </w:r>
            <w:r w:rsidR="00DE6156">
              <w:rPr>
                <w:i/>
                <w:highlight w:val="lightGray"/>
                <w:u w:val="single"/>
              </w:rPr>
              <w:t xml:space="preserve">[…] </w:t>
            </w:r>
            <w:r w:rsidRPr="007F112C">
              <w:rPr>
                <w:i/>
                <w:highlight w:val="lightGray"/>
                <w:u w:val="single"/>
              </w:rPr>
              <w:t>the 1991 Act of the Convention does not require offices to carry out EDV determinations, and the working group cannot serve as a means to create such a requirement.”</w:t>
            </w:r>
          </w:p>
        </w:tc>
        <w:tc>
          <w:tcPr>
            <w:tcW w:w="1523" w:type="dxa"/>
            <w:gridSpan w:val="2"/>
          </w:tcPr>
          <w:p w:rsidR="00B603F0" w:rsidRPr="007F112C" w:rsidRDefault="007F112C" w:rsidP="001C7E9C">
            <w:pPr>
              <w:jc w:val="left"/>
              <w:rPr>
                <w:i/>
                <w:u w:val="single"/>
              </w:rPr>
            </w:pPr>
            <w:r w:rsidRPr="007F112C">
              <w:rPr>
                <w:i/>
                <w:highlight w:val="lightGray"/>
                <w:u w:val="single"/>
              </w:rPr>
              <w:t>US</w:t>
            </w:r>
          </w:p>
        </w:tc>
      </w:tr>
    </w:tbl>
    <w:p w:rsidR="001C7E9C" w:rsidRPr="001C7E9C" w:rsidRDefault="001C7E9C" w:rsidP="001C7E9C">
      <w:pPr>
        <w:jc w:val="right"/>
      </w:pPr>
    </w:p>
    <w:p w:rsidR="001C7E9C" w:rsidRPr="001C7E9C" w:rsidRDefault="001C7E9C" w:rsidP="001C7E9C">
      <w:pPr>
        <w:jc w:val="right"/>
      </w:pPr>
    </w:p>
    <w:p w:rsidR="001C7E9C" w:rsidRPr="001C7E9C" w:rsidRDefault="001C7E9C" w:rsidP="001C7E9C">
      <w:pPr>
        <w:jc w:val="right"/>
      </w:pPr>
      <w:r w:rsidRPr="001C7E9C">
        <w:t>[</w:t>
      </w:r>
      <w:r>
        <w:t>Appendix II follows</w:t>
      </w:r>
      <w:r w:rsidRPr="001C7E9C">
        <w:t>]</w:t>
      </w:r>
    </w:p>
    <w:p w:rsidR="001C7E9C" w:rsidRDefault="001C7E9C" w:rsidP="001C7E9C">
      <w:pPr>
        <w:keepNext/>
        <w:jc w:val="center"/>
        <w:rPr>
          <w:rFonts w:cs="Arial"/>
        </w:rPr>
      </w:pPr>
    </w:p>
    <w:p w:rsidR="005C3AAB" w:rsidRPr="001C7E9C" w:rsidRDefault="005C3AAB" w:rsidP="001C7E9C">
      <w:pPr>
        <w:keepNext/>
        <w:jc w:val="center"/>
        <w:rPr>
          <w:rFonts w:cs="Arial"/>
        </w:rPr>
        <w:sectPr w:rsidR="005C3AAB" w:rsidRPr="001C7E9C" w:rsidSect="001C7E9C">
          <w:headerReference w:type="default" r:id="rId13"/>
          <w:headerReference w:type="first" r:id="rId14"/>
          <w:pgSz w:w="11907" w:h="16840" w:code="9"/>
          <w:pgMar w:top="510" w:right="1134" w:bottom="993" w:left="1134" w:header="510" w:footer="624" w:gutter="0"/>
          <w:pgNumType w:start="1"/>
          <w:cols w:space="720"/>
          <w:titlePg/>
        </w:sectPr>
      </w:pPr>
    </w:p>
    <w:p w:rsidR="001C7E9C" w:rsidRPr="00CF257C" w:rsidRDefault="001C7E9C" w:rsidP="00CF257C">
      <w:pPr>
        <w:jc w:val="center"/>
      </w:pPr>
      <w:r w:rsidRPr="00CF257C">
        <w:lastRenderedPageBreak/>
        <w:t>BREEDERS’ CUSTOMS AND PRACTICES</w:t>
      </w:r>
    </w:p>
    <w:p w:rsidR="001E032F" w:rsidRPr="001C7E9C" w:rsidRDefault="001E032F" w:rsidP="001C7E9C">
      <w:pPr>
        <w:keepNext/>
        <w:jc w:val="center"/>
        <w:rPr>
          <w:rFonts w:cs="Arial"/>
        </w:rPr>
      </w:pPr>
    </w:p>
    <w:p w:rsidR="001C7E9C" w:rsidRPr="001C7E9C" w:rsidRDefault="001C7E9C" w:rsidP="001C7E9C">
      <w:pPr>
        <w:keepNext/>
        <w:rPr>
          <w:rFonts w:cs="Arial"/>
        </w:rPr>
      </w:pPr>
      <w:r w:rsidRPr="001C7E9C">
        <w:rPr>
          <w:rFonts w:cs="Arial"/>
        </w:rPr>
        <w:t>In reply to Circular E-233 with a request to provide information on EDV customs and practices of breeders, the Office of the Union received:</w:t>
      </w:r>
    </w:p>
    <w:p w:rsidR="001C7E9C" w:rsidRPr="001C7E9C" w:rsidRDefault="001C7E9C" w:rsidP="001C7E9C">
      <w:pPr>
        <w:keepNext/>
        <w:rPr>
          <w:rFonts w:cs="Arial"/>
        </w:rPr>
      </w:pPr>
    </w:p>
    <w:p w:rsidR="001C7E9C" w:rsidRPr="001C7E9C" w:rsidRDefault="001C7E9C" w:rsidP="001C7E9C">
      <w:pPr>
        <w:tabs>
          <w:tab w:val="left" w:pos="1134"/>
        </w:tabs>
        <w:ind w:firstLine="567"/>
        <w:rPr>
          <w:rFonts w:cs="Arial"/>
        </w:rPr>
      </w:pPr>
      <w:r w:rsidRPr="001C7E9C">
        <w:rPr>
          <w:rFonts w:cs="Arial"/>
        </w:rPr>
        <w:t>(a)</w:t>
      </w:r>
      <w:r w:rsidRPr="001C7E9C">
        <w:rPr>
          <w:rFonts w:cs="Arial"/>
        </w:rPr>
        <w:tab/>
        <w:t>on April 9, 2020, a joint contribution by the International Seed Federation (ISF), the International Community of Breeders of Asexually Reproduced Horticultural Plants (</w:t>
      </w:r>
      <w:proofErr w:type="spellStart"/>
      <w:r w:rsidRPr="001C7E9C">
        <w:rPr>
          <w:rFonts w:cs="Arial"/>
        </w:rPr>
        <w:t>CIOPOR</w:t>
      </w:r>
      <w:r w:rsidR="00B729BD">
        <w:rPr>
          <w:rFonts w:cs="Arial"/>
        </w:rPr>
        <w:t>A</w:t>
      </w:r>
      <w:proofErr w:type="spellEnd"/>
      <w:r w:rsidR="00B729BD">
        <w:rPr>
          <w:rFonts w:cs="Arial"/>
        </w:rPr>
        <w:t xml:space="preserve">), </w:t>
      </w:r>
      <w:proofErr w:type="spellStart"/>
      <w:r w:rsidR="00B729BD">
        <w:rPr>
          <w:rFonts w:cs="Arial"/>
        </w:rPr>
        <w:t>Crop</w:t>
      </w:r>
      <w:r w:rsidR="001E032F">
        <w:rPr>
          <w:rFonts w:cs="Arial"/>
        </w:rPr>
        <w:t>Life</w:t>
      </w:r>
      <w:proofErr w:type="spellEnd"/>
      <w:r w:rsidR="001E032F">
        <w:rPr>
          <w:rFonts w:cs="Arial"/>
        </w:rPr>
        <w:t xml:space="preserve"> International</w:t>
      </w:r>
      <w:r w:rsidRPr="001C7E9C">
        <w:rPr>
          <w:rFonts w:cs="Arial"/>
        </w:rPr>
        <w:t xml:space="preserve">, </w:t>
      </w:r>
      <w:proofErr w:type="spellStart"/>
      <w:r w:rsidRPr="001C7E9C">
        <w:rPr>
          <w:rFonts w:cs="Arial"/>
        </w:rPr>
        <w:t>Euroseeds</w:t>
      </w:r>
      <w:proofErr w:type="spellEnd"/>
      <w:r w:rsidRPr="001C7E9C">
        <w:rPr>
          <w:rFonts w:cs="Arial"/>
        </w:rPr>
        <w:t>, the Asia and Pacific Seed Association (APSA), the African Seed Trade Association (AFSTA) and the Seed Association of the Americas (SAA) and the survey with the “Summary Report of EDV Survey Results and Comments from 98 actors active in various agricultural crops, ornamentals, fruits and vegetables and from various continents” (joint contribution by breeders);</w:t>
      </w:r>
    </w:p>
    <w:p w:rsidR="001C7E9C" w:rsidRPr="001C7E9C" w:rsidRDefault="001C7E9C" w:rsidP="001C7E9C">
      <w:pPr>
        <w:tabs>
          <w:tab w:val="left" w:pos="1134"/>
        </w:tabs>
        <w:ind w:firstLine="567"/>
        <w:rPr>
          <w:rFonts w:cs="Arial"/>
        </w:rPr>
      </w:pPr>
    </w:p>
    <w:p w:rsidR="001C7E9C" w:rsidRPr="001C7E9C" w:rsidRDefault="001C7E9C" w:rsidP="001C7E9C">
      <w:pPr>
        <w:tabs>
          <w:tab w:val="left" w:pos="1134"/>
        </w:tabs>
        <w:ind w:firstLine="567"/>
        <w:rPr>
          <w:rFonts w:cs="Arial"/>
        </w:rPr>
      </w:pPr>
      <w:r w:rsidRPr="001C7E9C">
        <w:rPr>
          <w:rFonts w:cs="Arial"/>
        </w:rPr>
        <w:t>(b)</w:t>
      </w:r>
      <w:r w:rsidRPr="001C7E9C">
        <w:rPr>
          <w:rFonts w:cs="Arial"/>
        </w:rPr>
        <w:tab/>
        <w:t xml:space="preserve">on May 27, 2020, a contribution from the International Association of Horticultural Producers (AIPH) expressing its support to certain findings in the survey referred to in (a), above.  </w:t>
      </w:r>
    </w:p>
    <w:p w:rsidR="001C7E9C" w:rsidRPr="001C7E9C" w:rsidRDefault="001C7E9C" w:rsidP="001C7E9C">
      <w:pPr>
        <w:rPr>
          <w:rFonts w:cs="Arial"/>
        </w:rPr>
      </w:pPr>
    </w:p>
    <w:p w:rsidR="001C7E9C" w:rsidRPr="001C7E9C" w:rsidRDefault="001C7E9C" w:rsidP="001C7E9C">
      <w:pPr>
        <w:rPr>
          <w:rFonts w:cs="Arial"/>
        </w:rPr>
      </w:pPr>
      <w:r w:rsidRPr="001C7E9C">
        <w:rPr>
          <w:rFonts w:cs="Arial"/>
        </w:rPr>
        <w:t>The following table presents relevant extracts from the survey (see (a) above).  The table also illustrates when the contribution of AIPH has indicated support to findings in the survey in the joint contribution by breeders.</w:t>
      </w:r>
    </w:p>
    <w:p w:rsidR="001C7E9C" w:rsidRDefault="001C7E9C" w:rsidP="001C7E9C">
      <w:pPr>
        <w:jc w:val="center"/>
        <w:rPr>
          <w:rFonts w:cs="Arial"/>
        </w:rPr>
      </w:pPr>
    </w:p>
    <w:p w:rsidR="00B95F42" w:rsidRPr="001C7E9C" w:rsidRDefault="00B95F42" w:rsidP="001C7E9C">
      <w:pPr>
        <w:jc w:val="center"/>
        <w:rPr>
          <w:rFonts w:cs="Arial"/>
        </w:rPr>
      </w:pPr>
    </w:p>
    <w:p w:rsidR="001C7E9C" w:rsidRPr="00CF257C" w:rsidRDefault="001C7E9C" w:rsidP="00CF257C">
      <w:pPr>
        <w:jc w:val="center"/>
      </w:pPr>
      <w:r w:rsidRPr="00CF257C">
        <w:t>BREEDERS’ CUSTOMS AND PRACTICES</w:t>
      </w:r>
    </w:p>
    <w:p w:rsidR="001C7E9C" w:rsidRPr="00CF257C" w:rsidRDefault="001C7E9C" w:rsidP="00CF257C">
      <w:pPr>
        <w:jc w:val="center"/>
      </w:pPr>
      <w:r w:rsidRPr="00CF257C">
        <w:t>CONCERNING SPECIFIC ASPECTS OF THE CURRENT EXPLANATORY NOTES</w:t>
      </w:r>
    </w:p>
    <w:p w:rsidR="001C7E9C" w:rsidRPr="00CF257C" w:rsidRDefault="001C7E9C" w:rsidP="00CF257C">
      <w:pPr>
        <w:jc w:val="center"/>
      </w:pPr>
    </w:p>
    <w:tbl>
      <w:tblPr>
        <w:tblStyle w:val="TableGrid10"/>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8930"/>
      </w:tblGrid>
      <w:tr w:rsidR="001C7E9C" w:rsidRPr="001C7E9C" w:rsidTr="00A24F4D">
        <w:trPr>
          <w:cantSplit/>
          <w:tblHeader/>
        </w:trPr>
        <w:tc>
          <w:tcPr>
            <w:tcW w:w="1305" w:type="dxa"/>
            <w:tcBorders>
              <w:top w:val="dotted" w:sz="4" w:space="0" w:color="auto"/>
              <w:left w:val="dotted" w:sz="4" w:space="0" w:color="auto"/>
              <w:bottom w:val="dotted" w:sz="4" w:space="0" w:color="auto"/>
            </w:tcBorders>
          </w:tcPr>
          <w:p w:rsidR="001C7E9C" w:rsidRPr="001C7E9C" w:rsidRDefault="001C7E9C" w:rsidP="001C7E9C">
            <w:pPr>
              <w:keepNext/>
            </w:pPr>
          </w:p>
        </w:tc>
        <w:tc>
          <w:tcPr>
            <w:tcW w:w="8930" w:type="dxa"/>
            <w:shd w:val="clear" w:color="auto" w:fill="EAF1DD" w:themeFill="accent3" w:themeFillTint="33"/>
          </w:tcPr>
          <w:p w:rsidR="001C7E9C" w:rsidRPr="001C7E9C" w:rsidRDefault="001C7E9C" w:rsidP="001C7E9C">
            <w:pPr>
              <w:keepNext/>
              <w:rPr>
                <w:i/>
              </w:rPr>
            </w:pPr>
            <w:r w:rsidRPr="001C7E9C">
              <w:rPr>
                <w:i/>
              </w:rPr>
              <w:t xml:space="preserve">Joint contribution by </w:t>
            </w:r>
            <w:proofErr w:type="spellStart"/>
            <w:r w:rsidRPr="001C7E9C">
              <w:rPr>
                <w:i/>
              </w:rPr>
              <w:t>ISF</w:t>
            </w:r>
            <w:proofErr w:type="spellEnd"/>
            <w:r w:rsidRPr="001C7E9C">
              <w:rPr>
                <w:i/>
              </w:rPr>
              <w:t xml:space="preserve">, </w:t>
            </w:r>
            <w:proofErr w:type="spellStart"/>
            <w:r w:rsidRPr="001C7E9C">
              <w:rPr>
                <w:i/>
              </w:rPr>
              <w:t>CIOPORA</w:t>
            </w:r>
            <w:proofErr w:type="spellEnd"/>
            <w:r w:rsidRPr="001C7E9C">
              <w:rPr>
                <w:i/>
              </w:rPr>
              <w:t xml:space="preserve">, </w:t>
            </w:r>
            <w:proofErr w:type="spellStart"/>
            <w:r w:rsidRPr="001C7E9C">
              <w:rPr>
                <w:i/>
              </w:rPr>
              <w:t>CropLife</w:t>
            </w:r>
            <w:proofErr w:type="spellEnd"/>
            <w:r w:rsidRPr="001C7E9C">
              <w:rPr>
                <w:i/>
              </w:rPr>
              <w:t xml:space="preserve"> International, </w:t>
            </w:r>
            <w:proofErr w:type="spellStart"/>
            <w:r w:rsidRPr="001C7E9C">
              <w:rPr>
                <w:i/>
              </w:rPr>
              <w:t>Euroseeds</w:t>
            </w:r>
            <w:proofErr w:type="spellEnd"/>
            <w:r w:rsidRPr="001C7E9C">
              <w:rPr>
                <w:i/>
              </w:rPr>
              <w:t xml:space="preserve">, </w:t>
            </w:r>
            <w:proofErr w:type="spellStart"/>
            <w:r w:rsidRPr="001C7E9C">
              <w:rPr>
                <w:i/>
              </w:rPr>
              <w:t>APSA</w:t>
            </w:r>
            <w:proofErr w:type="spellEnd"/>
            <w:r w:rsidRPr="001C7E9C">
              <w:rPr>
                <w:i/>
              </w:rPr>
              <w:t>, AFSTA, SAA</w:t>
            </w:r>
          </w:p>
          <w:p w:rsidR="001C7E9C" w:rsidRPr="001C7E9C" w:rsidRDefault="001C7E9C" w:rsidP="001C7E9C">
            <w:pPr>
              <w:keepNext/>
              <w:rPr>
                <w:i/>
              </w:rPr>
            </w:pPr>
          </w:p>
          <w:p w:rsidR="001C7E9C" w:rsidRPr="001C7E9C" w:rsidRDefault="001C7E9C" w:rsidP="001C7E9C">
            <w:pPr>
              <w:keepNext/>
              <w:rPr>
                <w:i/>
              </w:rPr>
            </w:pPr>
            <w:r w:rsidRPr="001C7E9C">
              <w:rPr>
                <w:rFonts w:cs="Arial"/>
              </w:rPr>
              <w:t xml:space="preserve">An asterisk (“*”) in the left column means support expressed by AIPH to the joint contribution.  </w:t>
            </w:r>
          </w:p>
        </w:tc>
      </w:tr>
      <w:tr w:rsidR="001C7E9C" w:rsidRPr="001C7E9C" w:rsidTr="00A24F4D">
        <w:trPr>
          <w:cantSplit/>
        </w:trPr>
        <w:tc>
          <w:tcPr>
            <w:tcW w:w="1305" w:type="dxa"/>
            <w:tcBorders>
              <w:top w:val="dotted" w:sz="4" w:space="0" w:color="auto"/>
            </w:tcBorders>
          </w:tcPr>
          <w:p w:rsidR="001C7E9C" w:rsidRPr="001C7E9C" w:rsidRDefault="001C7E9C" w:rsidP="001C7E9C">
            <w:pPr>
              <w:rPr>
                <w:i/>
              </w:rPr>
            </w:pPr>
          </w:p>
        </w:tc>
        <w:tc>
          <w:tcPr>
            <w:tcW w:w="8930" w:type="dxa"/>
          </w:tcPr>
          <w:p w:rsidR="001C7E9C" w:rsidRPr="00CF257C" w:rsidRDefault="001C7E9C" w:rsidP="00CF257C">
            <w:r w:rsidRPr="00CF257C">
              <w:t>PREAMBULE</w:t>
            </w:r>
          </w:p>
          <w:p w:rsidR="001C7E9C" w:rsidRPr="001C7E9C" w:rsidRDefault="001C7E9C" w:rsidP="001C7E9C">
            <w:r w:rsidRPr="001C7E9C">
              <w:t xml:space="preserve"> </w:t>
            </w:r>
          </w:p>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Pr="001C7E9C" w:rsidRDefault="001C7E9C" w:rsidP="001C7E9C">
            <w:r w:rsidRPr="001C7E9C">
              <w:t>SECTION I:  PROVISIONS OF ESSENTIALLY DERIVED VARIETIES</w:t>
            </w:r>
          </w:p>
          <w:p w:rsidR="001C7E9C" w:rsidRPr="001C7E9C" w:rsidRDefault="001C7E9C" w:rsidP="001C7E9C"/>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Pr="001C7E9C" w:rsidRDefault="001C7E9C" w:rsidP="001C7E9C">
            <w:r w:rsidRPr="001C7E9C">
              <w:t>(a)</w:t>
            </w:r>
            <w:r w:rsidRPr="001C7E9C">
              <w:tab/>
              <w:t>Relevant provisions of the 1991 Act of the UPOV Convention</w:t>
            </w:r>
          </w:p>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t>Practice 1</w:t>
            </w:r>
          </w:p>
        </w:tc>
        <w:tc>
          <w:tcPr>
            <w:tcW w:w="8930" w:type="dxa"/>
          </w:tcPr>
          <w:p w:rsidR="001C7E9C" w:rsidRPr="001C7E9C" w:rsidRDefault="001C7E9C" w:rsidP="001C7E9C">
            <w:pPr>
              <w:jc w:val="left"/>
              <w:rPr>
                <w:i/>
              </w:rPr>
            </w:pPr>
            <w:r w:rsidRPr="001C7E9C">
              <w:rPr>
                <w:i/>
              </w:rPr>
              <w:t xml:space="preserve">“majority of respondents (80%) acknowledged the preventive and clarifying effect that the EDV provision of UPOV 1991 Act has had regarding the development and marketing of predominantly derived varieties without an agreement”. </w:t>
            </w:r>
          </w:p>
        </w:tc>
      </w:tr>
      <w:tr w:rsidR="001C7E9C" w:rsidRPr="001C7E9C" w:rsidTr="00A24F4D">
        <w:trPr>
          <w:cantSplit/>
        </w:trPr>
        <w:tc>
          <w:tcPr>
            <w:tcW w:w="1305" w:type="dxa"/>
          </w:tcPr>
          <w:p w:rsidR="001C7E9C" w:rsidRPr="001C7E9C" w:rsidRDefault="001C7E9C" w:rsidP="001C7E9C">
            <w:pPr>
              <w:rPr>
                <w:i/>
              </w:rPr>
            </w:pPr>
            <w:r w:rsidRPr="001C7E9C">
              <w:rPr>
                <w:i/>
              </w:rPr>
              <w:t>Practice 2</w:t>
            </w:r>
          </w:p>
        </w:tc>
        <w:tc>
          <w:tcPr>
            <w:tcW w:w="8930" w:type="dxa"/>
          </w:tcPr>
          <w:p w:rsidR="001C7E9C" w:rsidRPr="001C7E9C" w:rsidRDefault="001C7E9C" w:rsidP="001C7E9C">
            <w:pPr>
              <w:jc w:val="left"/>
              <w:rPr>
                <w:i/>
              </w:rPr>
            </w:pPr>
            <w:r w:rsidRPr="001C7E9C">
              <w:rPr>
                <w:i/>
              </w:rPr>
              <w:t>“It [EDV provision] has led breeding companies to monitor their practices and there has been an auto-regulation of practices”</w:t>
            </w:r>
          </w:p>
        </w:tc>
      </w:tr>
      <w:tr w:rsidR="001C7E9C" w:rsidRPr="001C7E9C" w:rsidTr="00A24F4D">
        <w:trPr>
          <w:cantSplit/>
        </w:trPr>
        <w:tc>
          <w:tcPr>
            <w:tcW w:w="1305" w:type="dxa"/>
          </w:tcPr>
          <w:p w:rsidR="001C7E9C" w:rsidRPr="001C7E9C" w:rsidRDefault="001C7E9C" w:rsidP="001C7E9C">
            <w:pPr>
              <w:rPr>
                <w:i/>
              </w:rPr>
            </w:pPr>
            <w:r w:rsidRPr="001C7E9C">
              <w:rPr>
                <w:i/>
              </w:rPr>
              <w:t>Practice 3</w:t>
            </w:r>
          </w:p>
        </w:tc>
        <w:tc>
          <w:tcPr>
            <w:tcW w:w="8930" w:type="dxa"/>
          </w:tcPr>
          <w:p w:rsidR="001C7E9C" w:rsidRPr="001C7E9C" w:rsidRDefault="001C7E9C" w:rsidP="001C7E9C">
            <w:pPr>
              <w:jc w:val="left"/>
              <w:rPr>
                <w:i/>
              </w:rPr>
            </w:pPr>
            <w:r w:rsidRPr="001C7E9C">
              <w:rPr>
                <w:i/>
              </w:rPr>
              <w:t xml:space="preserve">“Some breeders mention that the EDV concept is not preventing the development and marketing of EDV’s; it is regulating it. The occurrence of spontaneous mutants cannot be prevented anyway” </w:t>
            </w:r>
          </w:p>
        </w:tc>
      </w:tr>
      <w:tr w:rsidR="001C7E9C" w:rsidRPr="001C7E9C" w:rsidTr="00A24F4D">
        <w:trPr>
          <w:cantSplit/>
        </w:trPr>
        <w:tc>
          <w:tcPr>
            <w:tcW w:w="1305" w:type="dxa"/>
          </w:tcPr>
          <w:p w:rsidR="001C7E9C" w:rsidRPr="001C7E9C" w:rsidRDefault="001C7E9C" w:rsidP="001C7E9C">
            <w:pPr>
              <w:rPr>
                <w:i/>
              </w:rPr>
            </w:pPr>
            <w:r w:rsidRPr="001C7E9C">
              <w:rPr>
                <w:i/>
              </w:rPr>
              <w:t>Practice 4</w:t>
            </w:r>
            <w:r w:rsidRPr="001C7E9C">
              <w:rPr>
                <w:b/>
                <w:i/>
              </w:rPr>
              <w:t>*</w:t>
            </w:r>
          </w:p>
        </w:tc>
        <w:tc>
          <w:tcPr>
            <w:tcW w:w="8930" w:type="dxa"/>
          </w:tcPr>
          <w:p w:rsidR="001C7E9C" w:rsidRPr="001C7E9C" w:rsidRDefault="001C7E9C" w:rsidP="001C7E9C">
            <w:pPr>
              <w:jc w:val="left"/>
              <w:rPr>
                <w:i/>
              </w:rPr>
            </w:pPr>
            <w:r w:rsidRPr="001C7E9C">
              <w:rPr>
                <w:i/>
              </w:rPr>
              <w:t>“It was also noted that the concept of EDV does not restrict biodiversity but rather enhances it as breeders are incentivized to work with broader germplasm if they want to avoid developing an EDV.”</w:t>
            </w:r>
          </w:p>
        </w:tc>
      </w:tr>
      <w:tr w:rsidR="001C7E9C" w:rsidRPr="001C7E9C" w:rsidTr="00A24F4D">
        <w:trPr>
          <w:cantSplit/>
        </w:trPr>
        <w:tc>
          <w:tcPr>
            <w:tcW w:w="1305" w:type="dxa"/>
          </w:tcPr>
          <w:p w:rsidR="001C7E9C" w:rsidRPr="001C7E9C" w:rsidRDefault="001C7E9C" w:rsidP="001C7E9C">
            <w:pPr>
              <w:rPr>
                <w:i/>
              </w:rPr>
            </w:pPr>
            <w:r w:rsidRPr="001C7E9C">
              <w:rPr>
                <w:i/>
              </w:rPr>
              <w:t>Practice 5</w:t>
            </w:r>
            <w:r w:rsidRPr="001C7E9C">
              <w:rPr>
                <w:b/>
                <w:i/>
              </w:rPr>
              <w:t>*</w:t>
            </w:r>
          </w:p>
          <w:p w:rsidR="001C7E9C" w:rsidRPr="001C7E9C" w:rsidRDefault="001C7E9C" w:rsidP="001C7E9C">
            <w:pPr>
              <w:rPr>
                <w:i/>
                <w:highlight w:val="green"/>
              </w:rPr>
            </w:pPr>
          </w:p>
        </w:tc>
        <w:tc>
          <w:tcPr>
            <w:tcW w:w="8930" w:type="dxa"/>
          </w:tcPr>
          <w:p w:rsidR="001C7E9C" w:rsidRPr="001C7E9C" w:rsidRDefault="001C7E9C" w:rsidP="001C7E9C">
            <w:pPr>
              <w:jc w:val="left"/>
              <w:rPr>
                <w:i/>
              </w:rPr>
            </w:pPr>
            <w:r w:rsidRPr="001C7E9C">
              <w:rPr>
                <w:i/>
              </w:rPr>
              <w:t>“the modification of one or more characteristics in an initial variety, for example via the latest breeding methods, does not automatically lead the new variety to be out of the scope of EDVs;”</w:t>
            </w:r>
          </w:p>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Pr="001C7E9C" w:rsidRDefault="001C7E9C" w:rsidP="001C7E9C">
            <w:pPr>
              <w:rPr>
                <w:i/>
              </w:rPr>
            </w:pPr>
            <w:r w:rsidRPr="001C7E9C">
              <w:rPr>
                <w:i/>
              </w:rPr>
              <w:t>Predominantly derived from the initial variety (Article 14(5)(b)(i))</w:t>
            </w:r>
          </w:p>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t>Practice 6</w:t>
            </w:r>
          </w:p>
        </w:tc>
        <w:tc>
          <w:tcPr>
            <w:tcW w:w="8930" w:type="dxa"/>
          </w:tcPr>
          <w:p w:rsidR="001C7E9C" w:rsidRPr="001C7E9C" w:rsidRDefault="001C7E9C" w:rsidP="001C7E9C">
            <w:pPr>
              <w:rPr>
                <w:i/>
              </w:rPr>
            </w:pPr>
            <w:r w:rsidRPr="001C7E9C">
              <w:rPr>
                <w:i/>
              </w:rPr>
              <w:t>“it does not matter whether the characteristic(s) in which the EDV differs from the protected initial variety is (are) of economic, agronomic or societal importance, essential or trivial. EDV principles remain the same and predominant derivation from an initial variety is a key requirement for a variety to be considered an EDV.”</w:t>
            </w:r>
          </w:p>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Pr="001C7E9C" w:rsidRDefault="001C7E9C" w:rsidP="001C7E9C">
            <w:pPr>
              <w:rPr>
                <w:i/>
              </w:rPr>
            </w:pPr>
            <w:r w:rsidRPr="001C7E9C">
              <w:rPr>
                <w:i/>
              </w:rPr>
              <w:t>Clearly distinguishable from the initial variety (Article 14(5)(b)(ii))</w:t>
            </w:r>
          </w:p>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B95F42">
            <w:pPr>
              <w:rPr>
                <w:i/>
              </w:rPr>
            </w:pPr>
          </w:p>
        </w:tc>
        <w:tc>
          <w:tcPr>
            <w:tcW w:w="8930" w:type="dxa"/>
          </w:tcPr>
          <w:p w:rsidR="001C7E9C" w:rsidRPr="001C7E9C" w:rsidRDefault="001C7E9C" w:rsidP="00B95F42">
            <w:pPr>
              <w:rPr>
                <w:i/>
              </w:rPr>
            </w:pPr>
            <w:r w:rsidRPr="001C7E9C">
              <w:rPr>
                <w:i/>
              </w:rPr>
              <w:t>Conformity with the initial variety in the expression of the ess</w:t>
            </w:r>
            <w:r w:rsidR="00266257">
              <w:rPr>
                <w:i/>
              </w:rPr>
              <w:t>ential characteristics (Article </w:t>
            </w:r>
            <w:r w:rsidRPr="001C7E9C">
              <w:rPr>
                <w:i/>
              </w:rPr>
              <w:t>14(5)(b)(iii))</w:t>
            </w:r>
          </w:p>
          <w:p w:rsidR="001C7E9C" w:rsidRPr="001C7E9C" w:rsidRDefault="001C7E9C" w:rsidP="00B95F42">
            <w:pPr>
              <w:rPr>
                <w:i/>
              </w:rPr>
            </w:pPr>
          </w:p>
        </w:tc>
      </w:tr>
      <w:tr w:rsidR="001C7E9C" w:rsidRPr="001C7E9C" w:rsidTr="00A24F4D">
        <w:trPr>
          <w:cantSplit/>
        </w:trPr>
        <w:tc>
          <w:tcPr>
            <w:tcW w:w="1305" w:type="dxa"/>
          </w:tcPr>
          <w:p w:rsidR="001C7E9C" w:rsidRPr="001C7E9C" w:rsidRDefault="001C7E9C" w:rsidP="001C7E9C">
            <w:pPr>
              <w:rPr>
                <w:i/>
              </w:rPr>
            </w:pPr>
            <w:r w:rsidRPr="001C7E9C">
              <w:rPr>
                <w:i/>
              </w:rPr>
              <w:lastRenderedPageBreak/>
              <w:t>Practice 7</w:t>
            </w:r>
            <w:r w:rsidRPr="001C7E9C">
              <w:rPr>
                <w:b/>
                <w:i/>
              </w:rPr>
              <w:t>*</w:t>
            </w:r>
          </w:p>
        </w:tc>
        <w:tc>
          <w:tcPr>
            <w:tcW w:w="8930" w:type="dxa"/>
          </w:tcPr>
          <w:p w:rsidR="001C7E9C" w:rsidRPr="001C7E9C" w:rsidRDefault="001C7E9C" w:rsidP="001C7E9C">
            <w:pPr>
              <w:rPr>
                <w:i/>
              </w:rPr>
            </w:pPr>
            <w:r w:rsidRPr="001C7E9C">
              <w:rPr>
                <w:i/>
              </w:rPr>
              <w:t>“[A] vast majority of respondents declared that it does not matter whether the characteristic(s) in which the EDV differs from the protected initial variety is of economic, agronomic or societal importance. They emphasized that as long as the variety is predominantly derived from the initial variety, it remains “derived from” and should be treated as an EDV.”</w:t>
            </w:r>
          </w:p>
        </w:tc>
      </w:tr>
      <w:tr w:rsidR="001C7E9C" w:rsidRPr="001C7E9C" w:rsidTr="00A24F4D">
        <w:trPr>
          <w:cantSplit/>
        </w:trPr>
        <w:tc>
          <w:tcPr>
            <w:tcW w:w="1305" w:type="dxa"/>
          </w:tcPr>
          <w:p w:rsidR="001C7E9C" w:rsidRPr="001C7E9C" w:rsidRDefault="001C7E9C" w:rsidP="001C7E9C">
            <w:pPr>
              <w:rPr>
                <w:i/>
              </w:rPr>
            </w:pPr>
            <w:r w:rsidRPr="001C7E9C">
              <w:rPr>
                <w:i/>
              </w:rPr>
              <w:t>Practice 8</w:t>
            </w:r>
          </w:p>
        </w:tc>
        <w:tc>
          <w:tcPr>
            <w:tcW w:w="8930" w:type="dxa"/>
          </w:tcPr>
          <w:p w:rsidR="001C7E9C" w:rsidRPr="001C7E9C" w:rsidRDefault="001C7E9C" w:rsidP="001C7E9C">
            <w:pPr>
              <w:rPr>
                <w:i/>
              </w:rPr>
            </w:pPr>
            <w:r w:rsidRPr="001C7E9C">
              <w:rPr>
                <w:i/>
              </w:rPr>
              <w:t>“Some companies indicate that the quality of the characteristics is important when entering into negotiations, with a more important trait the developer of the EDV can ask for a larger portion of the license fee”</w:t>
            </w:r>
          </w:p>
        </w:tc>
      </w:tr>
      <w:tr w:rsidR="001C7E9C" w:rsidRPr="001C7E9C" w:rsidTr="00A24F4D">
        <w:trPr>
          <w:cantSplit/>
        </w:trPr>
        <w:tc>
          <w:tcPr>
            <w:tcW w:w="1305" w:type="dxa"/>
          </w:tcPr>
          <w:p w:rsidR="001C7E9C" w:rsidRPr="001C7E9C" w:rsidRDefault="001C7E9C" w:rsidP="001C7E9C">
            <w:pPr>
              <w:rPr>
                <w:i/>
              </w:rPr>
            </w:pPr>
            <w:r w:rsidRPr="001C7E9C">
              <w:rPr>
                <w:i/>
              </w:rPr>
              <w:t>Practice 9</w:t>
            </w:r>
            <w:r w:rsidRPr="001C7E9C">
              <w:rPr>
                <w:b/>
                <w:i/>
              </w:rPr>
              <w:t>*</w:t>
            </w:r>
          </w:p>
        </w:tc>
        <w:tc>
          <w:tcPr>
            <w:tcW w:w="8930" w:type="dxa"/>
          </w:tcPr>
          <w:p w:rsidR="001C7E9C" w:rsidRPr="001C7E9C" w:rsidRDefault="001C7E9C" w:rsidP="001C7E9C">
            <w:pPr>
              <w:rPr>
                <w:i/>
              </w:rPr>
            </w:pPr>
            <w:r w:rsidRPr="001C7E9C">
              <w:rPr>
                <w:i/>
              </w:rPr>
              <w:t xml:space="preserve">“Almost all responding companies (more than 90%) consider it negative or very negative if varieties developed with latest breeding methods (such as </w:t>
            </w:r>
            <w:proofErr w:type="spellStart"/>
            <w:r w:rsidRPr="001C7E9C">
              <w:rPr>
                <w:i/>
              </w:rPr>
              <w:t>CRISPR-Cas</w:t>
            </w:r>
            <w:proofErr w:type="spellEnd"/>
            <w:r w:rsidRPr="001C7E9C">
              <w:rPr>
                <w:i/>
              </w:rPr>
              <w:t xml:space="preserve"> 9 or other recombinant DNA technologies) and differing in at least one characteristic from the protected initial variety were not considered as EDVs. They are of the opinion that this would give the users of these new technologies a very easy manner to take over varieties which would diminish the incentive to develop new varieties. It is expected that this will lower the development of segregating variation and thus reduce genetic gain.”</w:t>
            </w:r>
          </w:p>
        </w:tc>
      </w:tr>
      <w:tr w:rsidR="001C7E9C" w:rsidRPr="001C7E9C" w:rsidTr="00A24F4D">
        <w:trPr>
          <w:cantSplit/>
        </w:trPr>
        <w:tc>
          <w:tcPr>
            <w:tcW w:w="1305" w:type="dxa"/>
          </w:tcPr>
          <w:p w:rsidR="001C7E9C" w:rsidRPr="001C7E9C" w:rsidRDefault="001C7E9C" w:rsidP="001C7E9C">
            <w:pPr>
              <w:rPr>
                <w:i/>
              </w:rPr>
            </w:pPr>
            <w:r w:rsidRPr="001C7E9C">
              <w:rPr>
                <w:i/>
              </w:rPr>
              <w:t>Practice 10</w:t>
            </w:r>
          </w:p>
        </w:tc>
        <w:tc>
          <w:tcPr>
            <w:tcW w:w="8930" w:type="dxa"/>
          </w:tcPr>
          <w:p w:rsidR="001C7E9C" w:rsidRPr="001C7E9C" w:rsidRDefault="001C7E9C" w:rsidP="001C7E9C">
            <w:pPr>
              <w:jc w:val="left"/>
              <w:rPr>
                <w:i/>
              </w:rPr>
            </w:pPr>
            <w:r w:rsidRPr="001C7E9C">
              <w:rPr>
                <w:i/>
              </w:rPr>
              <w:t>“Some breeders mention that the EDV concept is not preventing the development and marketing of EDV’s; it is regulating it. The occurrence of spontaneous mutants cannot be prevented anyway. Some breeders mention that no one will prevent the commercialization of a truly valuable mutant, but the EDV concept can make sure no one in the industry is damaged by a multitude of unstable or inferior mutants being introduced on the market.”</w:t>
            </w:r>
          </w:p>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Pr="001C7E9C" w:rsidRDefault="001C7E9C" w:rsidP="001C7E9C">
            <w:pPr>
              <w:jc w:val="left"/>
              <w:rPr>
                <w:i/>
              </w:rPr>
            </w:pPr>
            <w:r w:rsidRPr="001C7E9C">
              <w:rPr>
                <w:i/>
              </w:rPr>
              <w:t>Examples on ways in which an essentially derived variety may be obtained (Article 14(5)(c))</w:t>
            </w:r>
          </w:p>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t xml:space="preserve">Practice 11 </w:t>
            </w:r>
          </w:p>
        </w:tc>
        <w:tc>
          <w:tcPr>
            <w:tcW w:w="8930" w:type="dxa"/>
          </w:tcPr>
          <w:p w:rsidR="001C7E9C" w:rsidRPr="001C7E9C" w:rsidRDefault="001C7E9C" w:rsidP="001C7E9C">
            <w:pPr>
              <w:jc w:val="left"/>
              <w:rPr>
                <w:i/>
              </w:rPr>
            </w:pPr>
            <w:r w:rsidRPr="001C7E9C">
              <w:rPr>
                <w:i/>
              </w:rPr>
              <w:t>“If spontaneous mutants or sports were found by growers (e.g. in ornamentals or fruits) there are often contracts in place that require reporting.”</w:t>
            </w:r>
          </w:p>
          <w:p w:rsidR="001C7E9C" w:rsidRPr="001C7E9C" w:rsidRDefault="001C7E9C" w:rsidP="001C7E9C">
            <w:pPr>
              <w:jc w:val="left"/>
              <w:rPr>
                <w:i/>
              </w:rPr>
            </w:pPr>
          </w:p>
          <w:p w:rsidR="001C7E9C" w:rsidRPr="001C7E9C" w:rsidRDefault="001C7E9C" w:rsidP="001C7E9C">
            <w:pPr>
              <w:jc w:val="left"/>
              <w:rPr>
                <w:i/>
              </w:rPr>
            </w:pPr>
            <w:r w:rsidRPr="001C7E9C">
              <w:rPr>
                <w:i/>
              </w:rPr>
              <w:t xml:space="preserve">“Some companies report they have contracts with growers for the situation that spontaneous mutants occur.” </w:t>
            </w:r>
          </w:p>
        </w:tc>
      </w:tr>
      <w:tr w:rsidR="001C7E9C" w:rsidRPr="001C7E9C" w:rsidTr="00A24F4D">
        <w:trPr>
          <w:cantSplit/>
        </w:trPr>
        <w:tc>
          <w:tcPr>
            <w:tcW w:w="1305" w:type="dxa"/>
          </w:tcPr>
          <w:p w:rsidR="001C7E9C" w:rsidRPr="001C7E9C" w:rsidRDefault="001C7E9C" w:rsidP="001C7E9C">
            <w:pPr>
              <w:rPr>
                <w:i/>
              </w:rPr>
            </w:pPr>
            <w:r w:rsidRPr="001C7E9C">
              <w:rPr>
                <w:i/>
              </w:rPr>
              <w:t>Practice 12</w:t>
            </w:r>
          </w:p>
        </w:tc>
        <w:tc>
          <w:tcPr>
            <w:tcW w:w="8930" w:type="dxa"/>
          </w:tcPr>
          <w:p w:rsidR="001C7E9C" w:rsidRPr="001C7E9C" w:rsidRDefault="001C7E9C" w:rsidP="001C7E9C">
            <w:pPr>
              <w:jc w:val="left"/>
              <w:rPr>
                <w:i/>
              </w:rPr>
            </w:pPr>
            <w:r w:rsidRPr="001C7E9C">
              <w:rPr>
                <w:i/>
              </w:rPr>
              <w:t>“Other companies have a policy not to develop EDV’s themselves.”</w:t>
            </w:r>
          </w:p>
        </w:tc>
      </w:tr>
      <w:tr w:rsidR="001C7E9C" w:rsidRPr="001C7E9C" w:rsidTr="00A24F4D">
        <w:trPr>
          <w:cantSplit/>
        </w:trPr>
        <w:tc>
          <w:tcPr>
            <w:tcW w:w="1305" w:type="dxa"/>
          </w:tcPr>
          <w:p w:rsidR="001C7E9C" w:rsidRPr="001C7E9C" w:rsidRDefault="001C7E9C" w:rsidP="001C7E9C">
            <w:pPr>
              <w:rPr>
                <w:i/>
              </w:rPr>
            </w:pPr>
            <w:r w:rsidRPr="001C7E9C">
              <w:rPr>
                <w:i/>
              </w:rPr>
              <w:t>Practice 13</w:t>
            </w:r>
          </w:p>
        </w:tc>
        <w:tc>
          <w:tcPr>
            <w:tcW w:w="8930" w:type="dxa"/>
          </w:tcPr>
          <w:p w:rsidR="001C7E9C" w:rsidRPr="001C7E9C" w:rsidRDefault="001C7E9C" w:rsidP="001C7E9C">
            <w:pPr>
              <w:jc w:val="left"/>
              <w:rPr>
                <w:i/>
              </w:rPr>
            </w:pPr>
            <w:r w:rsidRPr="001C7E9C">
              <w:rPr>
                <w:i/>
              </w:rPr>
              <w:t>“Regarding spontaneous mutants that occur in ornamental and fruit crops mostly at the premises of growers, many breeders reply that their policy is to find agreement on commercializing the EDV if there is added value of bringing this mutant to the market.”</w:t>
            </w:r>
          </w:p>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Pr="001C7E9C" w:rsidRDefault="001C7E9C" w:rsidP="001C7E9C">
            <w:pPr>
              <w:rPr>
                <w:i/>
              </w:rPr>
            </w:pPr>
            <w:r w:rsidRPr="001C7E9C">
              <w:rPr>
                <w:i/>
              </w:rPr>
              <w:t>Method of breeding</w:t>
            </w:r>
          </w:p>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Pr="001C7E9C" w:rsidRDefault="001C7E9C" w:rsidP="001C7E9C">
            <w:pPr>
              <w:rPr>
                <w:i/>
              </w:rPr>
            </w:pPr>
            <w:r w:rsidRPr="001C7E9C">
              <w:rPr>
                <w:i/>
              </w:rPr>
              <w:t>Direct and indirect derivation</w:t>
            </w:r>
          </w:p>
          <w:p w:rsidR="001C7E9C" w:rsidRPr="001C7E9C" w:rsidRDefault="001C7E9C" w:rsidP="001C7E9C">
            <w:pPr>
              <w:jc w:val="left"/>
              <w:rPr>
                <w:i/>
              </w:rPr>
            </w:pPr>
          </w:p>
        </w:tc>
      </w:tr>
      <w:tr w:rsidR="001C7E9C" w:rsidRPr="001C7E9C" w:rsidTr="00A24F4D">
        <w:trPr>
          <w:cantSplit/>
          <w:trHeight w:val="547"/>
        </w:trPr>
        <w:tc>
          <w:tcPr>
            <w:tcW w:w="1305" w:type="dxa"/>
          </w:tcPr>
          <w:p w:rsidR="001C7E9C" w:rsidRPr="001C7E9C" w:rsidRDefault="001C7E9C" w:rsidP="001C7E9C">
            <w:pPr>
              <w:rPr>
                <w:i/>
              </w:rPr>
            </w:pPr>
          </w:p>
        </w:tc>
        <w:tc>
          <w:tcPr>
            <w:tcW w:w="8930" w:type="dxa"/>
          </w:tcPr>
          <w:p w:rsidR="001C7E9C" w:rsidRPr="001C7E9C" w:rsidRDefault="001C7E9C" w:rsidP="001C7E9C">
            <w:r w:rsidRPr="001C7E9C">
              <w:t>(c)</w:t>
            </w:r>
            <w:r w:rsidRPr="001C7E9C">
              <w:tab/>
              <w:t>Scope of the breeder’s right with respect to initial varieties and essentially derived varieties</w:t>
            </w:r>
          </w:p>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Pr="001C7E9C" w:rsidRDefault="001C7E9C" w:rsidP="001C7E9C">
            <w:r w:rsidRPr="001C7E9C">
              <w:t xml:space="preserve">(d) </w:t>
            </w:r>
            <w:r w:rsidRPr="001C7E9C">
              <w:tab/>
              <w:t>Territoriality of protection of initial varieties and essentially derived varieties</w:t>
            </w:r>
          </w:p>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Default="001C7E9C" w:rsidP="001C7E9C">
            <w:pPr>
              <w:jc w:val="left"/>
            </w:pPr>
            <w:r w:rsidRPr="001C7E9C">
              <w:t>(e)</w:t>
            </w:r>
            <w:r w:rsidRPr="001C7E9C">
              <w:tab/>
              <w:t>Transition from an earlier Act to the 1991 Act of the UPOV Convention</w:t>
            </w:r>
          </w:p>
          <w:p w:rsidR="00B729BD" w:rsidRPr="001C7E9C" w:rsidRDefault="00B729BD" w:rsidP="001C7E9C">
            <w:pPr>
              <w:jc w:val="left"/>
            </w:pPr>
            <w:bookmarkStart w:id="22" w:name="_GoBack"/>
            <w:bookmarkEnd w:id="22"/>
          </w:p>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Pr="001C7E9C" w:rsidRDefault="001C7E9C" w:rsidP="001C7E9C">
            <w:pPr>
              <w:jc w:val="left"/>
            </w:pPr>
          </w:p>
        </w:tc>
      </w:tr>
      <w:tr w:rsidR="001C7E9C" w:rsidRPr="001C7E9C" w:rsidTr="00A24F4D">
        <w:trPr>
          <w:cantSplit/>
        </w:trPr>
        <w:tc>
          <w:tcPr>
            <w:tcW w:w="1305" w:type="dxa"/>
          </w:tcPr>
          <w:p w:rsidR="001C7E9C" w:rsidRPr="001C7E9C" w:rsidRDefault="001C7E9C" w:rsidP="001C7E9C">
            <w:pPr>
              <w:rPr>
                <w:i/>
              </w:rPr>
            </w:pPr>
          </w:p>
        </w:tc>
        <w:tc>
          <w:tcPr>
            <w:tcW w:w="8930" w:type="dxa"/>
          </w:tcPr>
          <w:p w:rsidR="001C7E9C" w:rsidRPr="001C7E9C" w:rsidRDefault="001C7E9C" w:rsidP="001C7E9C">
            <w:pPr>
              <w:jc w:val="left"/>
            </w:pPr>
            <w:r w:rsidRPr="001C7E9C">
              <w:t>SECTION II:  ASSESSMENT OF ESSENTIALLY DERIVED VARIETIES</w:t>
            </w:r>
          </w:p>
        </w:tc>
      </w:tr>
      <w:tr w:rsidR="001C7E9C" w:rsidRPr="001C7E9C" w:rsidTr="00A24F4D">
        <w:trPr>
          <w:cantSplit/>
        </w:trPr>
        <w:tc>
          <w:tcPr>
            <w:tcW w:w="1305" w:type="dxa"/>
          </w:tcPr>
          <w:p w:rsidR="001C7E9C" w:rsidRPr="001C7E9C" w:rsidRDefault="001C7E9C" w:rsidP="001C7E9C">
            <w:pPr>
              <w:rPr>
                <w:i/>
              </w:rPr>
            </w:pPr>
            <w:r w:rsidRPr="001C7E9C">
              <w:rPr>
                <w:i/>
              </w:rPr>
              <w:t>Practice 14</w:t>
            </w:r>
          </w:p>
        </w:tc>
        <w:tc>
          <w:tcPr>
            <w:tcW w:w="8930" w:type="dxa"/>
          </w:tcPr>
          <w:p w:rsidR="001C7E9C" w:rsidRPr="001C7E9C" w:rsidRDefault="001C7E9C" w:rsidP="001C7E9C">
            <w:pPr>
              <w:jc w:val="left"/>
            </w:pPr>
            <w:r w:rsidRPr="001C7E9C">
              <w:rPr>
                <w:i/>
              </w:rPr>
              <w:t>“Some of those who commented state that when third parties developed EDVs it was possible to agree with the third parties and come to a settlement/license agreement</w:t>
            </w:r>
          </w:p>
        </w:tc>
      </w:tr>
      <w:tr w:rsidR="001C7E9C" w:rsidRPr="001C7E9C" w:rsidTr="00A24F4D">
        <w:trPr>
          <w:cantSplit/>
        </w:trPr>
        <w:tc>
          <w:tcPr>
            <w:tcW w:w="1305" w:type="dxa"/>
          </w:tcPr>
          <w:p w:rsidR="001C7E9C" w:rsidRPr="001C7E9C" w:rsidRDefault="001C7E9C" w:rsidP="001C7E9C">
            <w:pPr>
              <w:rPr>
                <w:i/>
              </w:rPr>
            </w:pPr>
            <w:r w:rsidRPr="001C7E9C">
              <w:rPr>
                <w:i/>
              </w:rPr>
              <w:t>Practice 15</w:t>
            </w:r>
          </w:p>
        </w:tc>
        <w:tc>
          <w:tcPr>
            <w:tcW w:w="8930" w:type="dxa"/>
          </w:tcPr>
          <w:p w:rsidR="001C7E9C" w:rsidRPr="001C7E9C" w:rsidRDefault="001C7E9C" w:rsidP="001C7E9C">
            <w:pPr>
              <w:spacing w:after="60"/>
              <w:rPr>
                <w:rFonts w:eastAsia="Calibri" w:cs="Arial"/>
                <w:i/>
                <w:iCs/>
              </w:rPr>
            </w:pPr>
            <w:r w:rsidRPr="001C7E9C">
              <w:rPr>
                <w:rFonts w:eastAsia="Calibri" w:cs="Arial"/>
                <w:i/>
                <w:iCs/>
              </w:rPr>
              <w:t>“Many companies report that they monitor varieties of other breeders, some do this by use of DNA analysis. Some companies report they have contracts with growers for the situation that spontaneous mutants occur. Other companies have a policy not to develop EDV’s themselves. Some companies don’t see the need for a policy as EDV’s are not an issue in their crops or are considering to develop a policy in the near future. Regarding spontaneous mutants that occur in ornamental and fruit crops mostly at the premises of growers, many breeders reply that their policy is to find agreement on commercializing the EDV if there is added value of bringing this mutant to the market.”</w:t>
            </w:r>
          </w:p>
        </w:tc>
      </w:tr>
      <w:tr w:rsidR="001C7E9C" w:rsidRPr="001C7E9C" w:rsidTr="00A24F4D">
        <w:trPr>
          <w:cantSplit/>
        </w:trPr>
        <w:tc>
          <w:tcPr>
            <w:tcW w:w="1305" w:type="dxa"/>
          </w:tcPr>
          <w:p w:rsidR="001C7E9C" w:rsidRPr="001C7E9C" w:rsidRDefault="001C7E9C" w:rsidP="001C7E9C">
            <w:pPr>
              <w:rPr>
                <w:i/>
              </w:rPr>
            </w:pPr>
            <w:r w:rsidRPr="001C7E9C">
              <w:rPr>
                <w:i/>
              </w:rPr>
              <w:lastRenderedPageBreak/>
              <w:t>Practice 16</w:t>
            </w:r>
          </w:p>
        </w:tc>
        <w:tc>
          <w:tcPr>
            <w:tcW w:w="8930" w:type="dxa"/>
          </w:tcPr>
          <w:p w:rsidR="001C7E9C" w:rsidRPr="001C7E9C" w:rsidRDefault="001C7E9C" w:rsidP="001C7E9C">
            <w:pPr>
              <w:jc w:val="left"/>
              <w:rPr>
                <w:i/>
              </w:rPr>
            </w:pPr>
            <w:r w:rsidRPr="001C7E9C">
              <w:rPr>
                <w:i/>
              </w:rPr>
              <w:t>“Many companies conduct surveillance in this regard, sometimes with the help of molecular markers. 42% of the respondents have declared that their company has identified third party varieties that are potential EDV of their own protected varieties”</w:t>
            </w:r>
          </w:p>
        </w:tc>
      </w:tr>
      <w:tr w:rsidR="001C7E9C" w:rsidRPr="001C7E9C" w:rsidTr="00A24F4D">
        <w:trPr>
          <w:cantSplit/>
        </w:trPr>
        <w:tc>
          <w:tcPr>
            <w:tcW w:w="1305" w:type="dxa"/>
          </w:tcPr>
          <w:p w:rsidR="001C7E9C" w:rsidRPr="001C7E9C" w:rsidRDefault="001C7E9C" w:rsidP="001C7E9C">
            <w:pPr>
              <w:rPr>
                <w:i/>
              </w:rPr>
            </w:pPr>
            <w:r w:rsidRPr="001C7E9C">
              <w:rPr>
                <w:i/>
              </w:rPr>
              <w:t>Practice 17</w:t>
            </w:r>
          </w:p>
        </w:tc>
        <w:tc>
          <w:tcPr>
            <w:tcW w:w="8930" w:type="dxa"/>
          </w:tcPr>
          <w:p w:rsidR="001C7E9C" w:rsidRPr="001C7E9C" w:rsidRDefault="001C7E9C" w:rsidP="001C7E9C">
            <w:pPr>
              <w:jc w:val="left"/>
              <w:rPr>
                <w:i/>
              </w:rPr>
            </w:pPr>
            <w:r w:rsidRPr="001C7E9C">
              <w:rPr>
                <w:i/>
              </w:rPr>
              <w:t>“Most respondents consider that conditions (threshold, protocols, etc…) to classify varieties as an EDV should be developed by breeders or at least with the involvement of breeders familiar with the crops, preferably at the global level in order to avoid differences country by country. Some hold the view that independent authorities should also be involved in such work”</w:t>
            </w:r>
          </w:p>
        </w:tc>
      </w:tr>
      <w:tr w:rsidR="001C7E9C" w:rsidRPr="001C7E9C" w:rsidTr="00A24F4D">
        <w:trPr>
          <w:cantSplit/>
        </w:trPr>
        <w:tc>
          <w:tcPr>
            <w:tcW w:w="1305" w:type="dxa"/>
          </w:tcPr>
          <w:p w:rsidR="001C7E9C" w:rsidRPr="001C7E9C" w:rsidRDefault="001C7E9C" w:rsidP="001C7E9C">
            <w:pPr>
              <w:rPr>
                <w:i/>
              </w:rPr>
            </w:pPr>
            <w:r w:rsidRPr="001C7E9C">
              <w:rPr>
                <w:i/>
              </w:rPr>
              <w:t>Practice 18</w:t>
            </w:r>
          </w:p>
        </w:tc>
        <w:tc>
          <w:tcPr>
            <w:tcW w:w="8930" w:type="dxa"/>
          </w:tcPr>
          <w:p w:rsidR="001C7E9C" w:rsidRPr="001C7E9C" w:rsidRDefault="001C7E9C" w:rsidP="001C7E9C">
            <w:pPr>
              <w:jc w:val="left"/>
              <w:rPr>
                <w:i/>
              </w:rPr>
            </w:pPr>
            <w:r w:rsidRPr="001C7E9C">
              <w:rPr>
                <w:i/>
              </w:rPr>
              <w:t>“Some seed breeders consider that having an EDV threshold by the sector is important but state that having the possibility to go for a legal action and a final decision by an  independent body (e.g. a court) should be available.”</w:t>
            </w:r>
          </w:p>
        </w:tc>
      </w:tr>
      <w:tr w:rsidR="001C7E9C" w:rsidRPr="001C7E9C" w:rsidTr="00A24F4D">
        <w:trPr>
          <w:cantSplit/>
        </w:trPr>
        <w:tc>
          <w:tcPr>
            <w:tcW w:w="1305" w:type="dxa"/>
          </w:tcPr>
          <w:p w:rsidR="001C7E9C" w:rsidRPr="001C7E9C" w:rsidRDefault="001C7E9C" w:rsidP="001C7E9C">
            <w:pPr>
              <w:rPr>
                <w:i/>
              </w:rPr>
            </w:pPr>
            <w:r w:rsidRPr="001C7E9C">
              <w:rPr>
                <w:i/>
              </w:rPr>
              <w:t>Practice 19</w:t>
            </w:r>
          </w:p>
        </w:tc>
        <w:tc>
          <w:tcPr>
            <w:tcW w:w="8930" w:type="dxa"/>
          </w:tcPr>
          <w:p w:rsidR="001C7E9C" w:rsidRPr="001C7E9C" w:rsidRDefault="001C7E9C" w:rsidP="001C7E9C">
            <w:pPr>
              <w:jc w:val="left"/>
              <w:rPr>
                <w:i/>
              </w:rPr>
            </w:pPr>
            <w:r w:rsidRPr="001C7E9C">
              <w:rPr>
                <w:i/>
              </w:rPr>
              <w:t>“Some thought this question was not so easy to answer. Either because some felt that an independent authority would be better placed to delineate objectively between an EDV and the normal offspring from standard crosses; or because some considered that interests between breeders of the initial varieties and developers of EDVs will obviously differ.”</w:t>
            </w:r>
          </w:p>
        </w:tc>
      </w:tr>
      <w:tr w:rsidR="001C7E9C" w:rsidRPr="001C7E9C" w:rsidTr="00A24F4D">
        <w:trPr>
          <w:cantSplit/>
        </w:trPr>
        <w:tc>
          <w:tcPr>
            <w:tcW w:w="1305" w:type="dxa"/>
          </w:tcPr>
          <w:p w:rsidR="001C7E9C" w:rsidRPr="001C7E9C" w:rsidRDefault="001C7E9C" w:rsidP="001C7E9C">
            <w:pPr>
              <w:rPr>
                <w:i/>
              </w:rPr>
            </w:pPr>
            <w:r w:rsidRPr="001C7E9C">
              <w:rPr>
                <w:i/>
              </w:rPr>
              <w:t>Practice 20</w:t>
            </w:r>
            <w:r w:rsidRPr="001C7E9C">
              <w:rPr>
                <w:b/>
                <w:i/>
              </w:rPr>
              <w:t>*</w:t>
            </w:r>
          </w:p>
        </w:tc>
        <w:tc>
          <w:tcPr>
            <w:tcW w:w="8930" w:type="dxa"/>
          </w:tcPr>
          <w:p w:rsidR="001C7E9C" w:rsidRPr="001C7E9C" w:rsidRDefault="001C7E9C" w:rsidP="001C7E9C">
            <w:pPr>
              <w:jc w:val="left"/>
              <w:rPr>
                <w:i/>
              </w:rPr>
            </w:pPr>
            <w:r w:rsidRPr="001C7E9C">
              <w:rPr>
                <w:i/>
              </w:rPr>
              <w:t>“Most companies prefer decision by courts or arbitration, but some see also a role for PVP authorities in respect of technical questions.</w:t>
            </w:r>
          </w:p>
        </w:tc>
      </w:tr>
      <w:tr w:rsidR="001C7E9C" w:rsidRPr="001C7E9C" w:rsidTr="00A24F4D">
        <w:trPr>
          <w:cantSplit/>
        </w:trPr>
        <w:tc>
          <w:tcPr>
            <w:tcW w:w="1305" w:type="dxa"/>
          </w:tcPr>
          <w:p w:rsidR="001C7E9C" w:rsidRPr="001C7E9C" w:rsidRDefault="001C7E9C" w:rsidP="001C7E9C">
            <w:pPr>
              <w:rPr>
                <w:i/>
              </w:rPr>
            </w:pPr>
            <w:r w:rsidRPr="001C7E9C">
              <w:rPr>
                <w:i/>
              </w:rPr>
              <w:t>Practice 21</w:t>
            </w:r>
          </w:p>
        </w:tc>
        <w:tc>
          <w:tcPr>
            <w:tcW w:w="8930" w:type="dxa"/>
          </w:tcPr>
          <w:p w:rsidR="001C7E9C" w:rsidRPr="001C7E9C" w:rsidRDefault="001C7E9C" w:rsidP="001C7E9C">
            <w:pPr>
              <w:jc w:val="left"/>
              <w:rPr>
                <w:i/>
              </w:rPr>
            </w:pPr>
            <w:r w:rsidRPr="001C7E9C">
              <w:rPr>
                <w:i/>
              </w:rPr>
              <w:t>“It is often said that PVP authorities are expected to have a better (technical) knowledge than courts and/or arbitrators, depending on specific country situation. Therefore, the involvement of PVP offices as experts in a court or an arbitration panel can be valuable. Some would like to see that PVP authorities make a decision regarding potential EDV-status of a variety during the application procedure (which is expected to be cheaper than a court procedure) which could be followed by a procedure to go to court or arbitration. Others are of the opinion that PVP authorities should remain independent and not choose side in a dispute between companies. Furthermore, in a legal dispute many questions will be raised which require legal expertise and go beyond the expertise of a PVP authority, such as the validity of the title(s), the acts of infringement, liability and the level of compensation.”</w:t>
            </w:r>
          </w:p>
        </w:tc>
      </w:tr>
      <w:tr w:rsidR="001C7E9C" w:rsidRPr="001C7E9C" w:rsidTr="00A24F4D">
        <w:trPr>
          <w:cantSplit/>
        </w:trPr>
        <w:tc>
          <w:tcPr>
            <w:tcW w:w="1305" w:type="dxa"/>
          </w:tcPr>
          <w:p w:rsidR="001C7E9C" w:rsidRPr="001C7E9C" w:rsidRDefault="001C7E9C" w:rsidP="001C7E9C">
            <w:pPr>
              <w:rPr>
                <w:i/>
              </w:rPr>
            </w:pPr>
            <w:r w:rsidRPr="001C7E9C">
              <w:rPr>
                <w:i/>
              </w:rPr>
              <w:t>Practice 22</w:t>
            </w:r>
          </w:p>
        </w:tc>
        <w:tc>
          <w:tcPr>
            <w:tcW w:w="8930" w:type="dxa"/>
          </w:tcPr>
          <w:p w:rsidR="001C7E9C" w:rsidRPr="001C7E9C" w:rsidRDefault="001C7E9C" w:rsidP="001C7E9C">
            <w:pPr>
              <w:jc w:val="left"/>
              <w:rPr>
                <w:i/>
              </w:rPr>
            </w:pPr>
            <w:r w:rsidRPr="001C7E9C">
              <w:rPr>
                <w:i/>
              </w:rPr>
              <w:t>“many respondents from the seed sector indicated that they make use of the tools developed by the seed industry to prevent and help dispute resolutions.</w:t>
            </w:r>
          </w:p>
        </w:tc>
      </w:tr>
      <w:tr w:rsidR="001C7E9C" w:rsidRPr="001C7E9C" w:rsidTr="00A24F4D">
        <w:trPr>
          <w:cantSplit/>
        </w:trPr>
        <w:tc>
          <w:tcPr>
            <w:tcW w:w="1305" w:type="dxa"/>
          </w:tcPr>
          <w:p w:rsidR="001C7E9C" w:rsidRPr="001C7E9C" w:rsidRDefault="001C7E9C" w:rsidP="001C7E9C">
            <w:pPr>
              <w:rPr>
                <w:i/>
              </w:rPr>
            </w:pPr>
            <w:r w:rsidRPr="001C7E9C">
              <w:rPr>
                <w:i/>
              </w:rPr>
              <w:t>Practice 23</w:t>
            </w:r>
          </w:p>
        </w:tc>
        <w:tc>
          <w:tcPr>
            <w:tcW w:w="8930" w:type="dxa"/>
          </w:tcPr>
          <w:p w:rsidR="001C7E9C" w:rsidRPr="001C7E9C" w:rsidRDefault="001C7E9C" w:rsidP="001C7E9C">
            <w:pPr>
              <w:jc w:val="left"/>
              <w:rPr>
                <w:i/>
              </w:rPr>
            </w:pPr>
            <w:r w:rsidRPr="001C7E9C">
              <w:rPr>
                <w:i/>
              </w:rPr>
              <w:t>“</w:t>
            </w:r>
            <w:proofErr w:type="spellStart"/>
            <w:r w:rsidRPr="001C7E9C">
              <w:rPr>
                <w:i/>
              </w:rPr>
              <w:t>ISF</w:t>
            </w:r>
            <w:proofErr w:type="spellEnd"/>
            <w:r w:rsidRPr="001C7E9C">
              <w:rPr>
                <w:i/>
              </w:rPr>
              <w:t xml:space="preserve"> and </w:t>
            </w:r>
            <w:proofErr w:type="spellStart"/>
            <w:r w:rsidRPr="001C7E9C">
              <w:rPr>
                <w:i/>
              </w:rPr>
              <w:t>Euroseeds</w:t>
            </w:r>
            <w:proofErr w:type="spellEnd"/>
            <w:r w:rsidRPr="001C7E9C">
              <w:rPr>
                <w:i/>
              </w:rPr>
              <w:t xml:space="preserve"> have developed guidelines on EDV, setting genetic thresholds related to perennial ryegrass, maize, oilseed rape, cotton, lettuce and potatoes. </w:t>
            </w:r>
          </w:p>
          <w:p w:rsidR="001C7E9C" w:rsidRPr="001C7E9C" w:rsidRDefault="00B729BD" w:rsidP="001C7E9C">
            <w:pPr>
              <w:jc w:val="left"/>
              <w:rPr>
                <w:i/>
              </w:rPr>
            </w:pPr>
            <w:hyperlink r:id="rId15" w:anchor="essential-derivation" w:history="1">
              <w:r w:rsidR="001C7E9C" w:rsidRPr="001C7E9C">
                <w:rPr>
                  <w:i/>
                  <w:color w:val="0000FF"/>
                  <w:u w:val="single"/>
                </w:rPr>
                <w:t>https://www.worldseed.org/our-work/trade-rules/#essential-derivation</w:t>
              </w:r>
            </w:hyperlink>
            <w:r w:rsidR="001C7E9C" w:rsidRPr="001C7E9C">
              <w:rPr>
                <w:i/>
              </w:rPr>
              <w:t xml:space="preserve"> </w:t>
            </w:r>
          </w:p>
          <w:p w:rsidR="001C7E9C" w:rsidRPr="001C7E9C" w:rsidRDefault="00B729BD" w:rsidP="001C7E9C">
            <w:pPr>
              <w:jc w:val="left"/>
              <w:rPr>
                <w:i/>
              </w:rPr>
            </w:pPr>
            <w:hyperlink r:id="rId16" w:history="1">
              <w:r w:rsidR="001C7E9C" w:rsidRPr="001C7E9C">
                <w:rPr>
                  <w:i/>
                  <w:color w:val="0000FF"/>
                  <w:u w:val="single"/>
                </w:rPr>
                <w:t>https://www.euroseeds.eu/app/uploads/2019/07/12.0838.pdf</w:t>
              </w:r>
            </w:hyperlink>
            <w:r w:rsidR="001C7E9C" w:rsidRPr="001C7E9C">
              <w:rPr>
                <w:i/>
              </w:rPr>
              <w:t xml:space="preserve">” </w:t>
            </w:r>
          </w:p>
        </w:tc>
      </w:tr>
      <w:tr w:rsidR="001C7E9C" w:rsidRPr="001C7E9C" w:rsidTr="00A24F4D">
        <w:trPr>
          <w:cantSplit/>
        </w:trPr>
        <w:tc>
          <w:tcPr>
            <w:tcW w:w="1305" w:type="dxa"/>
          </w:tcPr>
          <w:p w:rsidR="001C7E9C" w:rsidRPr="001C7E9C" w:rsidRDefault="001C7E9C" w:rsidP="001C7E9C">
            <w:pPr>
              <w:rPr>
                <w:i/>
              </w:rPr>
            </w:pPr>
            <w:r w:rsidRPr="001C7E9C">
              <w:rPr>
                <w:i/>
              </w:rPr>
              <w:t>Practice 24</w:t>
            </w:r>
          </w:p>
        </w:tc>
        <w:tc>
          <w:tcPr>
            <w:tcW w:w="8930" w:type="dxa"/>
          </w:tcPr>
          <w:p w:rsidR="001C7E9C" w:rsidRPr="001C7E9C" w:rsidRDefault="001C7E9C" w:rsidP="001C7E9C">
            <w:pPr>
              <w:jc w:val="left"/>
            </w:pPr>
            <w:r w:rsidRPr="001C7E9C">
              <w:t>“82% of the respondents declared that their company did not actively develop varieties that are potential EDV of protected varieties from other companies.</w:t>
            </w:r>
          </w:p>
          <w:p w:rsidR="001C7E9C" w:rsidRPr="001C7E9C" w:rsidRDefault="001C7E9C" w:rsidP="001C7E9C">
            <w:pPr>
              <w:jc w:val="left"/>
            </w:pPr>
            <w:r w:rsidRPr="001C7E9C">
              <w:t>The vast majority of breeders try to avoid developing EDVs e.g. by working with their own material when conducting mutagenesis breeding or by performing cross breeding when working with material of competitors. However, some note that it is not the purpose to absolutely avoid EDV development, and they mention that they initiate dialog with the owner of the initial variety when needed.”</w:t>
            </w:r>
          </w:p>
        </w:tc>
      </w:tr>
      <w:tr w:rsidR="001C7E9C" w:rsidRPr="001C7E9C" w:rsidTr="00A24F4D">
        <w:trPr>
          <w:cantSplit/>
        </w:trPr>
        <w:tc>
          <w:tcPr>
            <w:tcW w:w="1305" w:type="dxa"/>
          </w:tcPr>
          <w:p w:rsidR="001C7E9C" w:rsidRPr="001C7E9C" w:rsidRDefault="001C7E9C" w:rsidP="001C7E9C">
            <w:pPr>
              <w:rPr>
                <w:i/>
              </w:rPr>
            </w:pPr>
            <w:r w:rsidRPr="001C7E9C">
              <w:rPr>
                <w:i/>
              </w:rPr>
              <w:t>Practice 25</w:t>
            </w:r>
          </w:p>
        </w:tc>
        <w:tc>
          <w:tcPr>
            <w:tcW w:w="8930" w:type="dxa"/>
          </w:tcPr>
          <w:p w:rsidR="001C7E9C" w:rsidRPr="001C7E9C" w:rsidRDefault="001C7E9C" w:rsidP="001C7E9C">
            <w:pPr>
              <w:rPr>
                <w:rFonts w:cs="Arial"/>
                <w:i/>
              </w:rPr>
            </w:pPr>
            <w:r w:rsidRPr="001C7E9C">
              <w:rPr>
                <w:rFonts w:cs="Arial"/>
                <w:i/>
              </w:rPr>
              <w:t>“Some note that they do not actively monitor EDV development by third parties.”</w:t>
            </w:r>
          </w:p>
          <w:p w:rsidR="001C7E9C" w:rsidRPr="001C7E9C" w:rsidRDefault="001C7E9C" w:rsidP="001C7E9C">
            <w:pPr>
              <w:jc w:val="left"/>
              <w:rPr>
                <w:i/>
              </w:rPr>
            </w:pPr>
          </w:p>
        </w:tc>
      </w:tr>
      <w:tr w:rsidR="001C7E9C" w:rsidRPr="001C7E9C" w:rsidTr="00A24F4D">
        <w:trPr>
          <w:cantSplit/>
        </w:trPr>
        <w:tc>
          <w:tcPr>
            <w:tcW w:w="1305" w:type="dxa"/>
          </w:tcPr>
          <w:p w:rsidR="001C7E9C" w:rsidRPr="001C7E9C" w:rsidRDefault="001C7E9C" w:rsidP="001C7E9C">
            <w:pPr>
              <w:rPr>
                <w:i/>
              </w:rPr>
            </w:pPr>
            <w:r w:rsidRPr="001C7E9C">
              <w:rPr>
                <w:i/>
              </w:rPr>
              <w:t>Practice 26</w:t>
            </w:r>
          </w:p>
        </w:tc>
        <w:tc>
          <w:tcPr>
            <w:tcW w:w="8930" w:type="dxa"/>
          </w:tcPr>
          <w:p w:rsidR="001C7E9C" w:rsidRPr="001C7E9C" w:rsidRDefault="001C7E9C" w:rsidP="001C7E9C">
            <w:pPr>
              <w:rPr>
                <w:rFonts w:cs="Arial"/>
                <w:i/>
              </w:rPr>
            </w:pPr>
            <w:r w:rsidRPr="001C7E9C">
              <w:rPr>
                <w:rFonts w:cs="Arial"/>
                <w:i/>
              </w:rPr>
              <w:t>“the majority of the respondents do not have a company policy in place to deal with EDV-related issues”</w:t>
            </w:r>
          </w:p>
        </w:tc>
      </w:tr>
      <w:tr w:rsidR="001C7E9C" w:rsidRPr="001C7E9C" w:rsidTr="00A24F4D">
        <w:trPr>
          <w:cantSplit/>
        </w:trPr>
        <w:tc>
          <w:tcPr>
            <w:tcW w:w="1305" w:type="dxa"/>
          </w:tcPr>
          <w:p w:rsidR="001C7E9C" w:rsidRPr="001C7E9C" w:rsidRDefault="001C7E9C" w:rsidP="001C7E9C">
            <w:pPr>
              <w:rPr>
                <w:i/>
              </w:rPr>
            </w:pPr>
            <w:r w:rsidRPr="001C7E9C">
              <w:rPr>
                <w:i/>
              </w:rPr>
              <w:t>Practice 27</w:t>
            </w:r>
          </w:p>
        </w:tc>
        <w:tc>
          <w:tcPr>
            <w:tcW w:w="8930" w:type="dxa"/>
          </w:tcPr>
          <w:p w:rsidR="001C7E9C" w:rsidRPr="001C7E9C" w:rsidRDefault="001C7E9C" w:rsidP="001C7E9C">
            <w:pPr>
              <w:rPr>
                <w:rFonts w:cs="Arial"/>
                <w:i/>
              </w:rPr>
            </w:pPr>
            <w:r w:rsidRPr="001C7E9C">
              <w:rPr>
                <w:rFonts w:cs="Arial"/>
                <w:i/>
              </w:rPr>
              <w:t>“Many companies have given instructions internally, to their breeders to avoid the making of EDV’s, either by using plant material of other breeders only for making crossings or by doing mutation breeding on own material only.”</w:t>
            </w:r>
          </w:p>
        </w:tc>
      </w:tr>
      <w:tr w:rsidR="001C7E9C" w:rsidRPr="001C7E9C" w:rsidTr="00A24F4D">
        <w:trPr>
          <w:cantSplit/>
        </w:trPr>
        <w:tc>
          <w:tcPr>
            <w:tcW w:w="1305" w:type="dxa"/>
          </w:tcPr>
          <w:p w:rsidR="001C7E9C" w:rsidRPr="001C7E9C" w:rsidRDefault="001C7E9C" w:rsidP="001C7E9C">
            <w:pPr>
              <w:rPr>
                <w:i/>
              </w:rPr>
            </w:pPr>
            <w:r w:rsidRPr="001C7E9C">
              <w:rPr>
                <w:i/>
              </w:rPr>
              <w:t>Practice 28</w:t>
            </w:r>
          </w:p>
        </w:tc>
        <w:tc>
          <w:tcPr>
            <w:tcW w:w="8930" w:type="dxa"/>
          </w:tcPr>
          <w:p w:rsidR="001C7E9C" w:rsidRPr="001C7E9C" w:rsidRDefault="001C7E9C" w:rsidP="001C7E9C">
            <w:pPr>
              <w:rPr>
                <w:rFonts w:cs="Arial"/>
                <w:i/>
              </w:rPr>
            </w:pPr>
            <w:r w:rsidRPr="001C7E9C">
              <w:rPr>
                <w:rFonts w:cs="Arial"/>
                <w:i/>
              </w:rPr>
              <w:t>“Some companies working with hybrid crops report instructions not to make too many back crossings and to check that the new variety is distinct enough. Some breeders report that although they have no written policy, their staff is aware of the issue.”</w:t>
            </w:r>
          </w:p>
        </w:tc>
      </w:tr>
    </w:tbl>
    <w:p w:rsidR="001C7E9C" w:rsidRDefault="001C7E9C" w:rsidP="001C7E9C">
      <w:pPr>
        <w:rPr>
          <w:rFonts w:cs="Arial"/>
        </w:rPr>
      </w:pPr>
    </w:p>
    <w:p w:rsidR="00AF32BD" w:rsidRDefault="00AF32BD" w:rsidP="001C7E9C">
      <w:pPr>
        <w:rPr>
          <w:rFonts w:cs="Arial"/>
        </w:rPr>
      </w:pPr>
    </w:p>
    <w:p w:rsidR="00AF32BD" w:rsidRPr="001C7E9C" w:rsidRDefault="00AF32BD" w:rsidP="00AF32BD">
      <w:pPr>
        <w:jc w:val="right"/>
        <w:rPr>
          <w:rFonts w:cs="Arial"/>
        </w:rPr>
      </w:pPr>
      <w:r w:rsidRPr="001C7E9C">
        <w:rPr>
          <w:rFonts w:cs="Arial"/>
        </w:rPr>
        <w:t>[</w:t>
      </w:r>
      <w:r>
        <w:rPr>
          <w:rFonts w:cs="Arial"/>
        </w:rPr>
        <w:t>Annex II follows</w:t>
      </w:r>
      <w:r w:rsidRPr="001C7E9C">
        <w:rPr>
          <w:rFonts w:cs="Arial"/>
        </w:rPr>
        <w:t>]</w:t>
      </w:r>
    </w:p>
    <w:p w:rsidR="00AF32BD" w:rsidRDefault="00AF32BD" w:rsidP="001C7E9C">
      <w:pPr>
        <w:rPr>
          <w:rFonts w:cs="Arial"/>
        </w:rPr>
      </w:pPr>
    </w:p>
    <w:p w:rsidR="00AF32BD" w:rsidRPr="001C7E9C" w:rsidRDefault="00AF32BD" w:rsidP="001C7E9C">
      <w:pPr>
        <w:rPr>
          <w:rFonts w:cs="Arial"/>
        </w:rPr>
      </w:pPr>
    </w:p>
    <w:p w:rsidR="00BC44F5" w:rsidRDefault="00BC44F5" w:rsidP="001C7E9C">
      <w:pPr>
        <w:rPr>
          <w:rFonts w:cs="Arial"/>
        </w:rPr>
        <w:sectPr w:rsidR="00BC44F5" w:rsidSect="001C7E9C">
          <w:headerReference w:type="default" r:id="rId17"/>
          <w:headerReference w:type="first" r:id="rId18"/>
          <w:pgSz w:w="11907" w:h="16840" w:code="9"/>
          <w:pgMar w:top="510" w:right="1134" w:bottom="993" w:left="1134" w:header="510" w:footer="624" w:gutter="0"/>
          <w:pgNumType w:start="1"/>
          <w:cols w:space="720"/>
          <w:titlePg/>
        </w:sectPr>
      </w:pPr>
    </w:p>
    <w:p w:rsidR="00C92861" w:rsidRDefault="00C92861" w:rsidP="00BC44F5">
      <w:pPr>
        <w:jc w:val="center"/>
        <w:rPr>
          <w:rFonts w:cs="Arial"/>
        </w:rPr>
      </w:pPr>
    </w:p>
    <w:p w:rsidR="00BC44F5" w:rsidRPr="00527057" w:rsidRDefault="00BC44F5" w:rsidP="00BC44F5">
      <w:pPr>
        <w:jc w:val="center"/>
        <w:rPr>
          <w:rFonts w:cs="Arial"/>
        </w:rPr>
      </w:pPr>
      <w:r w:rsidRPr="00527057">
        <w:rPr>
          <w:rFonts w:cs="Arial"/>
        </w:rPr>
        <w:t>DRAFT TERMS OF REFERENCE OF THE WORKING GROUP ON ESSENTIALLY DERIVED VARIETIES</w:t>
      </w:r>
    </w:p>
    <w:p w:rsidR="00BC44F5" w:rsidRPr="00527057" w:rsidRDefault="00BC44F5" w:rsidP="00BC44F5">
      <w:pPr>
        <w:jc w:val="center"/>
        <w:rPr>
          <w:rFonts w:cs="Arial"/>
        </w:rPr>
      </w:pPr>
      <w:r w:rsidRPr="00527057">
        <w:rPr>
          <w:rFonts w:cs="Arial"/>
        </w:rPr>
        <w:t>(WG-EDV)</w:t>
      </w:r>
    </w:p>
    <w:p w:rsidR="00BC44F5" w:rsidRPr="00A0552E" w:rsidRDefault="00BC44F5" w:rsidP="00BC44F5">
      <w:pPr>
        <w:jc w:val="center"/>
      </w:pPr>
    </w:p>
    <w:p w:rsidR="00C92861" w:rsidRDefault="00C92861" w:rsidP="00C92861">
      <w:pPr>
        <w:jc w:val="center"/>
        <w:rPr>
          <w:rFonts w:cs="Arial"/>
        </w:rPr>
      </w:pPr>
      <w:r>
        <w:rPr>
          <w:rFonts w:cs="Arial"/>
        </w:rPr>
        <w:t>[Reproduced from Annex II of</w:t>
      </w:r>
      <w:r w:rsidRPr="00C92861">
        <w:t xml:space="preserve"> </w:t>
      </w:r>
      <w:r w:rsidRPr="00C92861">
        <w:rPr>
          <w:rFonts w:cs="Arial"/>
        </w:rPr>
        <w:t>UPOV Circular E-20/093</w:t>
      </w:r>
      <w:r>
        <w:rPr>
          <w:rFonts w:cs="Arial"/>
        </w:rPr>
        <w:t xml:space="preserve"> dated </w:t>
      </w:r>
      <w:r w:rsidRPr="00C92861">
        <w:rPr>
          <w:rFonts w:cs="Arial"/>
        </w:rPr>
        <w:t>July 9, 2020</w:t>
      </w:r>
      <w:r w:rsidR="00D87CCA">
        <w:rPr>
          <w:rFonts w:cs="Arial"/>
        </w:rPr>
        <w:t xml:space="preserve"> – changes are presented in manual revision mode and highlighted in grey</w:t>
      </w:r>
      <w:r>
        <w:rPr>
          <w:rFonts w:cs="Arial"/>
        </w:rPr>
        <w:t>]</w:t>
      </w:r>
    </w:p>
    <w:p w:rsidR="00BC44F5" w:rsidRPr="00A0552E" w:rsidRDefault="00BC44F5" w:rsidP="00BC44F5">
      <w:pPr>
        <w:jc w:val="center"/>
      </w:pPr>
    </w:p>
    <w:p w:rsidR="00BC44F5" w:rsidRPr="00A0552E" w:rsidRDefault="00BC44F5" w:rsidP="00BC44F5">
      <w:pPr>
        <w:jc w:val="center"/>
      </w:pPr>
    </w:p>
    <w:p w:rsidR="00BC44F5" w:rsidRPr="00CF257C" w:rsidRDefault="00CF257C" w:rsidP="00CF257C">
      <w:bookmarkStart w:id="23" w:name="_Toc47557368"/>
      <w:bookmarkStart w:id="24" w:name="_Toc48316464"/>
      <w:r w:rsidRPr="00CF257C">
        <w:t>PURPOSE:</w:t>
      </w:r>
      <w:bookmarkEnd w:id="23"/>
      <w:bookmarkEnd w:id="24"/>
      <w:r w:rsidRPr="00CF257C">
        <w:t xml:space="preserve"> </w:t>
      </w:r>
    </w:p>
    <w:p w:rsidR="00BC44F5" w:rsidRPr="00527057" w:rsidRDefault="00BC44F5" w:rsidP="00BC44F5">
      <w:pPr>
        <w:pStyle w:val="ListParagraph"/>
        <w:ind w:left="0"/>
        <w:rPr>
          <w:rFonts w:cs="Arial"/>
        </w:rPr>
      </w:pPr>
    </w:p>
    <w:p w:rsidR="00BC44F5" w:rsidRPr="00527057" w:rsidRDefault="00BC44F5" w:rsidP="00BC44F5">
      <w:pPr>
        <w:pStyle w:val="ListParagraph"/>
        <w:ind w:left="0"/>
        <w:rPr>
          <w:rFonts w:cs="Arial"/>
        </w:rPr>
      </w:pPr>
      <w:r w:rsidRPr="00527057">
        <w:rPr>
          <w:rFonts w:cs="Arial"/>
        </w:rPr>
        <w:t>The purpose of the WG-EDV is to draft a revision of the “Explanatory Notes on Essentially Derived Varieties under the 1991 Act of the UPOV Convention” (document UPOV/EXN/EDV/2) for consideration by the Administrative and Legal Committee (CAJ).</w:t>
      </w:r>
    </w:p>
    <w:p w:rsidR="00BC44F5" w:rsidRPr="00527057" w:rsidRDefault="00BC44F5" w:rsidP="00BC44F5"/>
    <w:p w:rsidR="00BC44F5" w:rsidRPr="00527057" w:rsidRDefault="00BC44F5" w:rsidP="00BC44F5"/>
    <w:p w:rsidR="00BC44F5" w:rsidRPr="00527057" w:rsidRDefault="00BC44F5" w:rsidP="00BC44F5"/>
    <w:p w:rsidR="00BC44F5" w:rsidRPr="00CF257C" w:rsidRDefault="00CF257C" w:rsidP="00CF257C">
      <w:bookmarkStart w:id="25" w:name="_Toc47557369"/>
      <w:bookmarkStart w:id="26" w:name="_Toc48316465"/>
      <w:r w:rsidRPr="00CF257C">
        <w:t>COMPOSITION:</w:t>
      </w:r>
      <w:bookmarkEnd w:id="25"/>
      <w:bookmarkEnd w:id="26"/>
    </w:p>
    <w:p w:rsidR="00BC44F5" w:rsidRPr="00527057" w:rsidRDefault="00BC44F5" w:rsidP="00BC44F5">
      <w:pPr>
        <w:rPr>
          <w:rFonts w:cs="Arial"/>
        </w:rPr>
      </w:pPr>
    </w:p>
    <w:p w:rsidR="00BC44F5" w:rsidRPr="00527057" w:rsidRDefault="00BC44F5" w:rsidP="00BC44F5">
      <w:pPr>
        <w:ind w:firstLine="567"/>
        <w:rPr>
          <w:rFonts w:cs="Arial"/>
          <w:color w:val="000000"/>
        </w:rPr>
      </w:pPr>
      <w:r w:rsidRPr="00527057">
        <w:rPr>
          <w:rFonts w:cs="Arial"/>
        </w:rPr>
        <w:t>(a)</w:t>
      </w:r>
      <w:r w:rsidRPr="00527057">
        <w:rPr>
          <w:rFonts w:cs="Arial"/>
        </w:rPr>
        <w:tab/>
        <w:t xml:space="preserve">to be composed of the members of the Union and </w:t>
      </w:r>
      <w:r>
        <w:rPr>
          <w:rFonts w:cs="Arial"/>
        </w:rPr>
        <w:t xml:space="preserve">the </w:t>
      </w:r>
      <w:r w:rsidRPr="00527057">
        <w:rPr>
          <w:rFonts w:cs="Arial"/>
        </w:rPr>
        <w:t xml:space="preserve">observers agreed by the </w:t>
      </w:r>
      <w:r w:rsidRPr="00527057">
        <w:rPr>
          <w:rFonts w:cs="Arial"/>
          <w:color w:val="000000"/>
        </w:rPr>
        <w:t xml:space="preserve">CAJ; </w:t>
      </w:r>
    </w:p>
    <w:p w:rsidR="00BC44F5" w:rsidRPr="00527057" w:rsidRDefault="00BC44F5" w:rsidP="00BC44F5">
      <w:pPr>
        <w:rPr>
          <w:rFonts w:cs="Arial"/>
        </w:rPr>
      </w:pPr>
    </w:p>
    <w:p w:rsidR="00BC44F5" w:rsidRPr="00527057" w:rsidRDefault="00BC44F5" w:rsidP="00BC44F5">
      <w:pPr>
        <w:ind w:firstLine="567"/>
        <w:rPr>
          <w:rFonts w:cs="Arial"/>
        </w:rPr>
      </w:pPr>
      <w:r w:rsidRPr="00527057">
        <w:rPr>
          <w:rFonts w:cs="Arial"/>
        </w:rPr>
        <w:t>(b)</w:t>
      </w:r>
      <w:r w:rsidRPr="00527057">
        <w:rPr>
          <w:rFonts w:cs="Arial"/>
        </w:rPr>
        <w:tab/>
        <w:t>other members of the Union would be free to participate at any meeting of the WG-EDV and make comments, where so desired;</w:t>
      </w:r>
    </w:p>
    <w:p w:rsidR="00BC44F5" w:rsidRPr="00527057" w:rsidRDefault="00BC44F5" w:rsidP="00BC44F5">
      <w:pPr>
        <w:rPr>
          <w:rFonts w:cs="Arial"/>
        </w:rPr>
      </w:pPr>
    </w:p>
    <w:p w:rsidR="00BC44F5" w:rsidRPr="00527057" w:rsidRDefault="00BC44F5" w:rsidP="00BC44F5">
      <w:pPr>
        <w:ind w:firstLine="567"/>
        <w:rPr>
          <w:rFonts w:cs="Arial"/>
        </w:rPr>
      </w:pPr>
      <w:r w:rsidRPr="00527057">
        <w:rPr>
          <w:rFonts w:cs="Arial"/>
        </w:rPr>
        <w:t>(c)</w:t>
      </w:r>
      <w:r w:rsidRPr="00527057">
        <w:rPr>
          <w:rFonts w:cs="Arial"/>
        </w:rPr>
        <w:tab/>
        <w:t xml:space="preserve">the WG-EDV would revert back to the CAJ if the WG-EDV recommended to invite other observers or experts to any of its meetings; </w:t>
      </w:r>
      <w:r w:rsidRPr="00331C30">
        <w:rPr>
          <w:rFonts w:cs="Arial"/>
        </w:rPr>
        <w:t xml:space="preserve"> </w:t>
      </w:r>
      <w:r w:rsidRPr="00527057">
        <w:rPr>
          <w:rFonts w:cs="Arial"/>
        </w:rPr>
        <w:t xml:space="preserve">and   </w:t>
      </w:r>
    </w:p>
    <w:p w:rsidR="00BC44F5" w:rsidRPr="00527057" w:rsidRDefault="00BC44F5" w:rsidP="00BC44F5">
      <w:pPr>
        <w:rPr>
          <w:rFonts w:cs="Arial"/>
        </w:rPr>
      </w:pPr>
    </w:p>
    <w:p w:rsidR="00BC44F5" w:rsidRPr="00527057" w:rsidRDefault="00BC44F5" w:rsidP="00BC44F5">
      <w:pPr>
        <w:tabs>
          <w:tab w:val="left" w:pos="1134"/>
        </w:tabs>
        <w:ind w:firstLine="567"/>
        <w:rPr>
          <w:rFonts w:cs="Arial"/>
        </w:rPr>
      </w:pPr>
      <w:r w:rsidRPr="00527057">
        <w:rPr>
          <w:rFonts w:cs="Arial"/>
        </w:rPr>
        <w:t>(d)</w:t>
      </w:r>
      <w:r w:rsidRPr="00527057">
        <w:rPr>
          <w:rFonts w:cs="Arial"/>
        </w:rPr>
        <w:tab/>
        <w:t>meetings to be chaired by the Vice Secretary</w:t>
      </w:r>
      <w:r w:rsidRPr="00527057">
        <w:rPr>
          <w:rFonts w:cs="Arial"/>
        </w:rPr>
        <w:noBreakHyphen/>
        <w:t>General.</w:t>
      </w:r>
    </w:p>
    <w:p w:rsidR="00BC44F5" w:rsidRPr="00527057" w:rsidRDefault="00BC44F5" w:rsidP="00BC44F5"/>
    <w:p w:rsidR="00BC44F5" w:rsidRPr="00527057" w:rsidRDefault="00BC44F5" w:rsidP="00BC44F5"/>
    <w:p w:rsidR="00BC44F5" w:rsidRPr="00527057" w:rsidRDefault="00BC44F5" w:rsidP="00BC44F5"/>
    <w:p w:rsidR="00BC44F5" w:rsidRPr="00CF257C" w:rsidRDefault="00CF257C" w:rsidP="00CF257C">
      <w:bookmarkStart w:id="27" w:name="_Toc47557370"/>
      <w:bookmarkStart w:id="28" w:name="_Toc48316466"/>
      <w:r w:rsidRPr="00CF257C">
        <w:t>MODUS OPERANDI:</w:t>
      </w:r>
      <w:bookmarkEnd w:id="27"/>
      <w:bookmarkEnd w:id="28"/>
    </w:p>
    <w:p w:rsidR="00BC44F5" w:rsidRPr="00527057" w:rsidRDefault="00BC44F5" w:rsidP="00BC44F5">
      <w:pPr>
        <w:rPr>
          <w:rFonts w:cs="Arial"/>
          <w:u w:val="single"/>
        </w:rPr>
      </w:pPr>
    </w:p>
    <w:p w:rsidR="00BC44F5" w:rsidRPr="00527057" w:rsidRDefault="00BC44F5" w:rsidP="00BC44F5">
      <w:pPr>
        <w:ind w:firstLine="360"/>
        <w:rPr>
          <w:rFonts w:cs="Arial"/>
        </w:rPr>
      </w:pPr>
      <w:r w:rsidRPr="00527057">
        <w:rPr>
          <w:rFonts w:cs="Arial"/>
        </w:rPr>
        <w:t xml:space="preserve">(a) </w:t>
      </w:r>
      <w:r w:rsidRPr="00527057">
        <w:rPr>
          <w:rFonts w:cs="Arial"/>
        </w:rPr>
        <w:tab/>
        <w:t>in drafting the revision of document UPOV/EXN/EDV/2, the WG-EDV to consider:</w:t>
      </w:r>
    </w:p>
    <w:p w:rsidR="00BC44F5" w:rsidRPr="00527057" w:rsidRDefault="00BC44F5" w:rsidP="00BC44F5">
      <w:pPr>
        <w:rPr>
          <w:rFonts w:cs="Arial"/>
        </w:rPr>
      </w:pPr>
    </w:p>
    <w:p w:rsidR="00BC44F5" w:rsidRPr="00A0552E" w:rsidRDefault="00BC44F5" w:rsidP="00BC44F5">
      <w:pPr>
        <w:pStyle w:val="ListParagraph"/>
        <w:numPr>
          <w:ilvl w:val="0"/>
          <w:numId w:val="39"/>
        </w:numPr>
        <w:tabs>
          <w:tab w:val="left" w:pos="1701"/>
        </w:tabs>
        <w:ind w:left="1701" w:hanging="567"/>
        <w:rPr>
          <w:rFonts w:cs="Arial"/>
        </w:rPr>
      </w:pPr>
      <w:r w:rsidRPr="00527057">
        <w:rPr>
          <w:rFonts w:cs="Arial"/>
        </w:rPr>
        <w:t>the outcome of the 2019 Seminar on the Impact of Policy on Essentially Derived Variet</w:t>
      </w:r>
      <w:r>
        <w:rPr>
          <w:rFonts w:cs="Arial"/>
        </w:rPr>
        <w:t>ies (EDVs) on Breeding Strategy:</w:t>
      </w:r>
    </w:p>
    <w:p w:rsidR="00BC44F5" w:rsidRPr="00A0552E" w:rsidRDefault="00BC44F5" w:rsidP="00BC44F5">
      <w:pPr>
        <w:pStyle w:val="ListParagraph"/>
        <w:tabs>
          <w:tab w:val="left" w:pos="1701"/>
        </w:tabs>
        <w:ind w:left="1701"/>
        <w:rPr>
          <w:rFonts w:ascii="Times New Roman" w:hAnsi="Times New Roman" w:cs="Arial"/>
        </w:rPr>
      </w:pPr>
    </w:p>
    <w:p w:rsidR="00BC44F5" w:rsidRPr="00527057" w:rsidRDefault="00BC44F5" w:rsidP="00BC44F5">
      <w:pPr>
        <w:pStyle w:val="ListParagraph"/>
        <w:ind w:left="1701"/>
        <w:rPr>
          <w:rFonts w:cs="Arial"/>
        </w:rPr>
      </w:pPr>
      <w:r w:rsidRPr="00527057">
        <w:rPr>
          <w:rFonts w:cs="Arial"/>
        </w:rPr>
        <w:t>“- Evidence that the current UPOV guidance does not reflect the practice amongst breeders in the understanding of essentially derived varieties;</w:t>
      </w:r>
    </w:p>
    <w:p w:rsidR="00BC44F5" w:rsidRPr="00527057" w:rsidRDefault="00BC44F5" w:rsidP="00BC44F5">
      <w:pPr>
        <w:pStyle w:val="ListParagraph"/>
        <w:ind w:left="1701"/>
        <w:rPr>
          <w:rFonts w:cs="Arial"/>
        </w:rPr>
      </w:pPr>
    </w:p>
    <w:p w:rsidR="00BC44F5" w:rsidRPr="00527057" w:rsidRDefault="00BC44F5" w:rsidP="00BC44F5">
      <w:pPr>
        <w:pStyle w:val="ListParagraph"/>
        <w:ind w:left="1701"/>
        <w:rPr>
          <w:rFonts w:cs="Arial"/>
        </w:rPr>
      </w:pPr>
      <w:r w:rsidRPr="00527057">
        <w:rPr>
          <w:rFonts w:cs="Arial"/>
        </w:rPr>
        <w:t xml:space="preserve"> “- Evolution of breeding technologies has created new opportunities/incentives for predominantly deriving varieties from initial varieties, more rapidly and at a lower cost;</w:t>
      </w:r>
    </w:p>
    <w:p w:rsidR="00BC44F5" w:rsidRPr="00527057" w:rsidRDefault="00BC44F5" w:rsidP="00BC44F5">
      <w:pPr>
        <w:pStyle w:val="ListParagraph"/>
        <w:ind w:left="1701"/>
        <w:rPr>
          <w:rFonts w:cs="Arial"/>
        </w:rPr>
      </w:pPr>
    </w:p>
    <w:p w:rsidR="00BC44F5" w:rsidRPr="00527057" w:rsidRDefault="00BC44F5" w:rsidP="00BC44F5">
      <w:pPr>
        <w:ind w:left="1701"/>
        <w:rPr>
          <w:rFonts w:cs="Arial"/>
        </w:rPr>
      </w:pPr>
      <w:r w:rsidRPr="00527057">
        <w:rPr>
          <w:rFonts w:cs="Arial"/>
        </w:rPr>
        <w:t xml:space="preserve">“- Clear indication from presentations and discussions that the understanding and implementation of the EDV concept influences breeding strategy – therefore, it is important that UPOV guidance is tuned to maximize benefits to society in terms of maximizing progress in breeding.”; </w:t>
      </w:r>
      <w:r w:rsidRPr="00331C30">
        <w:rPr>
          <w:rFonts w:cs="Arial"/>
        </w:rPr>
        <w:t xml:space="preserve"> </w:t>
      </w:r>
      <w:r w:rsidRPr="00527057">
        <w:rPr>
          <w:rFonts w:cs="Arial"/>
        </w:rPr>
        <w:t>and</w:t>
      </w:r>
    </w:p>
    <w:p w:rsidR="00BC44F5" w:rsidRPr="00527057" w:rsidRDefault="00BC44F5" w:rsidP="00BC44F5">
      <w:pPr>
        <w:ind w:left="1644"/>
        <w:rPr>
          <w:rFonts w:cs="Arial"/>
        </w:rPr>
      </w:pPr>
    </w:p>
    <w:p w:rsidR="00BC44F5" w:rsidRPr="0053777F" w:rsidRDefault="00BC44F5" w:rsidP="00BC44F5">
      <w:pPr>
        <w:pStyle w:val="ListParagraph"/>
        <w:numPr>
          <w:ilvl w:val="0"/>
          <w:numId w:val="39"/>
        </w:numPr>
        <w:ind w:left="1701" w:hanging="567"/>
        <w:rPr>
          <w:rFonts w:cs="Arial"/>
        </w:rPr>
      </w:pPr>
      <w:r w:rsidRPr="00527057">
        <w:rPr>
          <w:rFonts w:cs="Arial"/>
        </w:rPr>
        <w:t xml:space="preserve">the policy issues in conjunction with the breeders’ customs and practices, as set out </w:t>
      </w:r>
      <w:r w:rsidRPr="0053777F">
        <w:rPr>
          <w:rFonts w:cs="Arial"/>
        </w:rPr>
        <w:t>in Annex</w:t>
      </w:r>
      <w:r w:rsidR="00D87CCA">
        <w:rPr>
          <w:rFonts w:cs="Arial"/>
        </w:rPr>
        <w:t xml:space="preserve"> </w:t>
      </w:r>
      <w:r w:rsidR="00D87CCA" w:rsidRPr="00674BA1">
        <w:rPr>
          <w:rFonts w:cs="Arial"/>
          <w:highlight w:val="lightGray"/>
          <w:u w:val="single"/>
        </w:rPr>
        <w:t>I o</w:t>
      </w:r>
      <w:r w:rsidR="00D87CCA" w:rsidRPr="00D87CCA">
        <w:rPr>
          <w:rFonts w:cs="Arial"/>
          <w:highlight w:val="lightGray"/>
          <w:u w:val="single"/>
        </w:rPr>
        <w:t>f this document</w:t>
      </w:r>
      <w:r w:rsidRPr="0053777F">
        <w:rPr>
          <w:rFonts w:cs="Arial"/>
        </w:rPr>
        <w:t> </w:t>
      </w:r>
      <w:r w:rsidRPr="00D87CCA">
        <w:rPr>
          <w:rFonts w:cs="Arial"/>
          <w:strike/>
          <w:highlight w:val="lightGray"/>
        </w:rPr>
        <w:t>III of this Circular</w:t>
      </w:r>
      <w:r>
        <w:rPr>
          <w:rFonts w:cs="Arial"/>
        </w:rPr>
        <w:t>;</w:t>
      </w:r>
      <w:r w:rsidRPr="0053777F">
        <w:rPr>
          <w:rFonts w:cs="Arial"/>
        </w:rPr>
        <w:t xml:space="preserve"> </w:t>
      </w:r>
    </w:p>
    <w:p w:rsidR="00BC44F5" w:rsidRPr="00527057" w:rsidRDefault="00BC44F5" w:rsidP="00BC44F5">
      <w:pPr>
        <w:rPr>
          <w:rFonts w:cs="Arial"/>
          <w:u w:val="single"/>
        </w:rPr>
      </w:pPr>
    </w:p>
    <w:p w:rsidR="00BC44F5" w:rsidRPr="00527057" w:rsidRDefault="00BC44F5" w:rsidP="00BC44F5">
      <w:pPr>
        <w:tabs>
          <w:tab w:val="left" w:pos="1134"/>
        </w:tabs>
        <w:ind w:firstLine="567"/>
        <w:rPr>
          <w:rFonts w:cs="Arial"/>
          <w:u w:val="single"/>
        </w:rPr>
      </w:pPr>
      <w:r w:rsidRPr="00527057">
        <w:rPr>
          <w:rFonts w:cs="Arial"/>
        </w:rPr>
        <w:t xml:space="preserve">(b) </w:t>
      </w:r>
      <w:r w:rsidRPr="00527057">
        <w:rPr>
          <w:rFonts w:cs="Arial"/>
        </w:rPr>
        <w:tab/>
      </w:r>
      <w:r w:rsidRPr="00435542">
        <w:rPr>
          <w:rFonts w:cs="Arial"/>
        </w:rPr>
        <w:t>the WG-EDV to meet at a time and frequency to address its mandate, by physical and/or virtual means, as agreed by the WG-EDV;</w:t>
      </w:r>
    </w:p>
    <w:p w:rsidR="00BC44F5" w:rsidRPr="00527057" w:rsidRDefault="00BC44F5" w:rsidP="00BC44F5">
      <w:pPr>
        <w:tabs>
          <w:tab w:val="left" w:pos="1134"/>
        </w:tabs>
        <w:rPr>
          <w:rFonts w:cs="Arial"/>
          <w:u w:val="single"/>
        </w:rPr>
      </w:pPr>
    </w:p>
    <w:p w:rsidR="00BC44F5" w:rsidRPr="00527057" w:rsidRDefault="00BC44F5" w:rsidP="00BC44F5">
      <w:pPr>
        <w:tabs>
          <w:tab w:val="left" w:pos="1134"/>
        </w:tabs>
        <w:ind w:firstLine="567"/>
        <w:rPr>
          <w:rFonts w:cs="Arial"/>
        </w:rPr>
      </w:pPr>
      <w:r w:rsidRPr="00527057">
        <w:rPr>
          <w:rFonts w:cs="Arial"/>
        </w:rPr>
        <w:t xml:space="preserve">(c) </w:t>
      </w:r>
      <w:r w:rsidRPr="00527057">
        <w:rPr>
          <w:rFonts w:cs="Arial"/>
        </w:rPr>
        <w:tab/>
      </w:r>
      <w:r>
        <w:rPr>
          <w:rFonts w:cs="Arial"/>
        </w:rPr>
        <w:t xml:space="preserve">the WG-EDV to report </w:t>
      </w:r>
      <w:r w:rsidRPr="00527057">
        <w:rPr>
          <w:rFonts w:cs="Arial"/>
        </w:rPr>
        <w:t>to the CAJ on progress of its work and to seek further guidance from the CAJ, as appropriate;</w:t>
      </w:r>
    </w:p>
    <w:p w:rsidR="00BC44F5" w:rsidRPr="00527057" w:rsidRDefault="00BC44F5" w:rsidP="00BC44F5">
      <w:pPr>
        <w:tabs>
          <w:tab w:val="left" w:pos="1134"/>
        </w:tabs>
        <w:rPr>
          <w:rFonts w:cs="Arial"/>
        </w:rPr>
      </w:pPr>
    </w:p>
    <w:p w:rsidR="00BC44F5" w:rsidRPr="00527057" w:rsidRDefault="00BC44F5" w:rsidP="00BC44F5">
      <w:pPr>
        <w:tabs>
          <w:tab w:val="left" w:pos="1134"/>
        </w:tabs>
        <w:ind w:firstLine="567"/>
        <w:rPr>
          <w:rFonts w:cs="Arial"/>
          <w:u w:val="single"/>
        </w:rPr>
      </w:pPr>
      <w:r w:rsidRPr="00527057">
        <w:rPr>
          <w:rFonts w:cs="Arial"/>
        </w:rPr>
        <w:t>(d)</w:t>
      </w:r>
      <w:r w:rsidRPr="00527057">
        <w:rPr>
          <w:rFonts w:cs="Arial"/>
        </w:rPr>
        <w:tab/>
        <w:t>WG-EDV documents to be made available to the CAJ.</w:t>
      </w:r>
    </w:p>
    <w:p w:rsidR="00BC44F5" w:rsidRPr="00527057" w:rsidRDefault="00BC44F5" w:rsidP="00BC44F5">
      <w:pPr>
        <w:tabs>
          <w:tab w:val="left" w:pos="1134"/>
        </w:tabs>
        <w:rPr>
          <w:rFonts w:cs="Arial"/>
        </w:rPr>
      </w:pPr>
    </w:p>
    <w:p w:rsidR="001C7E9C" w:rsidRPr="001C7E9C" w:rsidRDefault="001C7E9C" w:rsidP="001C7E9C">
      <w:pPr>
        <w:rPr>
          <w:rFonts w:cs="Arial"/>
        </w:rPr>
      </w:pPr>
    </w:p>
    <w:p w:rsidR="001C7E9C" w:rsidRPr="001C7E9C" w:rsidRDefault="001C7E9C" w:rsidP="00280887">
      <w:pPr>
        <w:jc w:val="right"/>
        <w:rPr>
          <w:rFonts w:cs="Arial"/>
        </w:rPr>
      </w:pPr>
      <w:r w:rsidRPr="001C7E9C">
        <w:rPr>
          <w:rFonts w:cs="Arial"/>
        </w:rPr>
        <w:t xml:space="preserve">[End of </w:t>
      </w:r>
      <w:r w:rsidR="00D432C2">
        <w:rPr>
          <w:rFonts w:cs="Arial"/>
        </w:rPr>
        <w:t>Annex</w:t>
      </w:r>
      <w:r w:rsidR="00BC44F5">
        <w:rPr>
          <w:rFonts w:cs="Arial"/>
        </w:rPr>
        <w:t xml:space="preserve"> II</w:t>
      </w:r>
      <w:r w:rsidR="00D432C2">
        <w:rPr>
          <w:rFonts w:cs="Arial"/>
        </w:rPr>
        <w:t xml:space="preserve"> </w:t>
      </w:r>
      <w:r>
        <w:rPr>
          <w:rFonts w:cs="Arial"/>
        </w:rPr>
        <w:t>and of document</w:t>
      </w:r>
      <w:r w:rsidRPr="001C7E9C">
        <w:rPr>
          <w:rFonts w:cs="Arial"/>
        </w:rPr>
        <w:t>]</w:t>
      </w:r>
    </w:p>
    <w:p w:rsidR="00050E16" w:rsidRPr="00C5280D" w:rsidRDefault="00050E16" w:rsidP="009B440E">
      <w:pPr>
        <w:jc w:val="left"/>
      </w:pPr>
    </w:p>
    <w:sectPr w:rsidR="00050E16" w:rsidRPr="00C5280D" w:rsidSect="001C7E9C">
      <w:headerReference w:type="first" r:id="rId19"/>
      <w:pgSz w:w="11907" w:h="16840" w:code="9"/>
      <w:pgMar w:top="510" w:right="1134" w:bottom="993" w:left="1134" w:header="51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9BD" w:rsidRDefault="00B729BD" w:rsidP="006655D3">
      <w:r>
        <w:separator/>
      </w:r>
    </w:p>
    <w:p w:rsidR="00B729BD" w:rsidRDefault="00B729BD" w:rsidP="006655D3"/>
    <w:p w:rsidR="00B729BD" w:rsidRDefault="00B729BD" w:rsidP="006655D3"/>
  </w:endnote>
  <w:endnote w:type="continuationSeparator" w:id="0">
    <w:p w:rsidR="00B729BD" w:rsidRDefault="00B729BD" w:rsidP="006655D3">
      <w:r>
        <w:separator/>
      </w:r>
    </w:p>
    <w:p w:rsidR="00B729BD" w:rsidRPr="00294751" w:rsidRDefault="00B729BD">
      <w:pPr>
        <w:pStyle w:val="Footer"/>
        <w:spacing w:after="60"/>
        <w:rPr>
          <w:sz w:val="18"/>
          <w:lang w:val="fr-FR"/>
        </w:rPr>
      </w:pPr>
      <w:r w:rsidRPr="00294751">
        <w:rPr>
          <w:sz w:val="18"/>
          <w:lang w:val="fr-FR"/>
        </w:rPr>
        <w:t>[Suite de la note de la page précédente]</w:t>
      </w:r>
    </w:p>
    <w:p w:rsidR="00B729BD" w:rsidRPr="00294751" w:rsidRDefault="00B729BD" w:rsidP="006655D3">
      <w:pPr>
        <w:rPr>
          <w:lang w:val="fr-FR"/>
        </w:rPr>
      </w:pPr>
    </w:p>
    <w:p w:rsidR="00B729BD" w:rsidRPr="00294751" w:rsidRDefault="00B729BD" w:rsidP="006655D3">
      <w:pPr>
        <w:rPr>
          <w:lang w:val="fr-FR"/>
        </w:rPr>
      </w:pPr>
    </w:p>
  </w:endnote>
  <w:endnote w:type="continuationNotice" w:id="1">
    <w:p w:rsidR="00B729BD" w:rsidRPr="00294751" w:rsidRDefault="00B729BD" w:rsidP="006655D3">
      <w:pPr>
        <w:rPr>
          <w:lang w:val="fr-FR"/>
        </w:rPr>
      </w:pPr>
      <w:r w:rsidRPr="00294751">
        <w:rPr>
          <w:lang w:val="fr-FR"/>
        </w:rPr>
        <w:t>[Suite de la note page suivante]</w:t>
      </w:r>
    </w:p>
    <w:p w:rsidR="00B729BD" w:rsidRPr="00294751" w:rsidRDefault="00B729BD" w:rsidP="006655D3">
      <w:pPr>
        <w:rPr>
          <w:lang w:val="fr-FR"/>
        </w:rPr>
      </w:pPr>
    </w:p>
    <w:p w:rsidR="00B729BD" w:rsidRPr="00294751" w:rsidRDefault="00B729B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9BD" w:rsidRDefault="00B729BD" w:rsidP="006655D3">
      <w:r>
        <w:separator/>
      </w:r>
    </w:p>
  </w:footnote>
  <w:footnote w:type="continuationSeparator" w:id="0">
    <w:p w:rsidR="00B729BD" w:rsidRDefault="00B729BD" w:rsidP="006655D3">
      <w:r>
        <w:separator/>
      </w:r>
    </w:p>
  </w:footnote>
  <w:footnote w:type="continuationNotice" w:id="1">
    <w:p w:rsidR="00B729BD" w:rsidRPr="00AB530F" w:rsidRDefault="00B729BD" w:rsidP="00AB530F">
      <w:pPr>
        <w:pStyle w:val="Footer"/>
      </w:pPr>
    </w:p>
  </w:footnote>
  <w:footnote w:id="2">
    <w:p w:rsidR="00B729BD" w:rsidRPr="008A1FAB" w:rsidRDefault="00B729BD" w:rsidP="008A1FAB">
      <w:pPr>
        <w:rPr>
          <w:sz w:val="16"/>
          <w:szCs w:val="16"/>
        </w:rPr>
      </w:pPr>
      <w:r>
        <w:rPr>
          <w:rStyle w:val="FootnoteReference"/>
        </w:rPr>
        <w:footnoteRef/>
      </w:r>
      <w:r>
        <w:t xml:space="preserve"> </w:t>
      </w:r>
      <w:r w:rsidRPr="008A1FAB">
        <w:rPr>
          <w:sz w:val="16"/>
          <w:szCs w:val="16"/>
        </w:rPr>
        <w:t>The cross references to the issues in the sub</w:t>
      </w:r>
      <w:r>
        <w:rPr>
          <w:sz w:val="16"/>
          <w:szCs w:val="16"/>
        </w:rPr>
        <w:t>section “General issues” have</w:t>
      </w:r>
      <w:r w:rsidRPr="008A1FAB">
        <w:rPr>
          <w:sz w:val="16"/>
          <w:szCs w:val="16"/>
        </w:rPr>
        <w:t xml:space="preserve"> been updated reflecting the new numbering in accordance with the comments and the new issues received in reply to Circular E-20/093. In the subsection </w:t>
      </w:r>
      <w:r>
        <w:rPr>
          <w:sz w:val="16"/>
          <w:szCs w:val="16"/>
        </w:rPr>
        <w:t>“I</w:t>
      </w:r>
      <w:r w:rsidRPr="008A1FAB">
        <w:rPr>
          <w:sz w:val="16"/>
          <w:szCs w:val="16"/>
        </w:rPr>
        <w:t>ssues concerning specific aspects of the current explanatory notes</w:t>
      </w:r>
      <w:r>
        <w:rPr>
          <w:sz w:val="16"/>
          <w:szCs w:val="16"/>
        </w:rPr>
        <w:t xml:space="preserve">” </w:t>
      </w:r>
      <w:r w:rsidRPr="008A1FAB">
        <w:rPr>
          <w:sz w:val="16"/>
          <w:szCs w:val="16"/>
        </w:rPr>
        <w:t xml:space="preserve">the numbers of the </w:t>
      </w:r>
      <w:r>
        <w:rPr>
          <w:sz w:val="16"/>
          <w:szCs w:val="16"/>
        </w:rPr>
        <w:t xml:space="preserve">issues in the </w:t>
      </w:r>
      <w:r w:rsidRPr="008A1FAB">
        <w:rPr>
          <w:sz w:val="16"/>
          <w:szCs w:val="16"/>
        </w:rPr>
        <w:t>previous version have been kept in square brackets</w:t>
      </w:r>
      <w:r>
        <w:rPr>
          <w:sz w:val="16"/>
          <w:szCs w:val="16"/>
        </w:rPr>
        <w:t xml:space="preserve"> for ease of reference</w:t>
      </w:r>
      <w:r w:rsidRPr="008A1FA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BD" w:rsidRPr="00C5280D" w:rsidRDefault="00B729BD" w:rsidP="00EB048E">
    <w:pPr>
      <w:pStyle w:val="Header"/>
      <w:rPr>
        <w:rStyle w:val="PageNumber"/>
        <w:lang w:val="en-US"/>
      </w:rPr>
    </w:pPr>
    <w:r>
      <w:rPr>
        <w:rStyle w:val="PageNumber"/>
        <w:lang w:val="en-US"/>
      </w:rPr>
      <w:t>CAJ/77/4</w:t>
    </w:r>
  </w:p>
  <w:p w:rsidR="00B729BD" w:rsidRPr="00C5280D" w:rsidRDefault="00B729B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67C70">
      <w:rPr>
        <w:rStyle w:val="PageNumber"/>
        <w:noProof/>
        <w:lang w:val="en-US"/>
      </w:rPr>
      <w:t>4</w:t>
    </w:r>
    <w:r w:rsidRPr="00C5280D">
      <w:rPr>
        <w:rStyle w:val="PageNumber"/>
        <w:lang w:val="en-US"/>
      </w:rPr>
      <w:fldChar w:fldCharType="end"/>
    </w:r>
  </w:p>
  <w:p w:rsidR="00B729BD" w:rsidRPr="00C5280D" w:rsidRDefault="00B729B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BD" w:rsidRDefault="00B729BD" w:rsidP="001C7E9C">
    <w:pPr>
      <w:pStyle w:val="Header"/>
    </w:pPr>
    <w:r>
      <w:t>CAJ/77/4</w:t>
    </w:r>
  </w:p>
  <w:p w:rsidR="00B729BD" w:rsidRDefault="00B729BD" w:rsidP="001C7E9C">
    <w:pPr>
      <w:pStyle w:val="Header"/>
    </w:pPr>
  </w:p>
  <w:p w:rsidR="00B729BD" w:rsidRDefault="00B729BD" w:rsidP="001C7E9C">
    <w:pPr>
      <w:pStyle w:val="Header"/>
    </w:pPr>
    <w:r>
      <w:t>ANNEX I</w:t>
    </w:r>
  </w:p>
  <w:p w:rsidR="00B729BD" w:rsidRDefault="00B729BD" w:rsidP="001C7E9C">
    <w:pPr>
      <w:pStyle w:val="Header"/>
    </w:pPr>
  </w:p>
  <w:p w:rsidR="00B729BD" w:rsidRDefault="00B72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BD" w:rsidRPr="00D432C2" w:rsidRDefault="00B729BD" w:rsidP="00EB048E">
    <w:pPr>
      <w:pStyle w:val="Header"/>
      <w:rPr>
        <w:rStyle w:val="PageNumber"/>
        <w:lang w:val="fr-CH"/>
      </w:rPr>
    </w:pPr>
    <w:r w:rsidRPr="00D432C2">
      <w:rPr>
        <w:rStyle w:val="PageNumber"/>
        <w:lang w:val="fr-CH"/>
      </w:rPr>
      <w:t>CAJ/77/4</w:t>
    </w:r>
  </w:p>
  <w:p w:rsidR="00B729BD" w:rsidRPr="00D432C2" w:rsidRDefault="00B729BD" w:rsidP="001C7E9C">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867C70">
      <w:rPr>
        <w:rStyle w:val="PageNumber"/>
        <w:noProof/>
        <w:lang w:val="fr-CH"/>
      </w:rPr>
      <w:t>8</w:t>
    </w:r>
    <w:r w:rsidRPr="00C5280D">
      <w:rPr>
        <w:rStyle w:val="PageNumber"/>
      </w:rPr>
      <w:fldChar w:fldCharType="end"/>
    </w:r>
  </w:p>
  <w:p w:rsidR="00B729BD" w:rsidRPr="00D432C2" w:rsidRDefault="00B729BD" w:rsidP="006655D3">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BD" w:rsidRPr="00D432C2" w:rsidRDefault="00B729BD" w:rsidP="001C7E9C">
    <w:pPr>
      <w:pStyle w:val="Header"/>
      <w:rPr>
        <w:lang w:val="en-US"/>
      </w:rPr>
    </w:pPr>
    <w:r w:rsidRPr="00D432C2">
      <w:rPr>
        <w:lang w:val="en-US"/>
      </w:rPr>
      <w:t>CAJ/77/4</w:t>
    </w:r>
  </w:p>
  <w:p w:rsidR="00B729BD" w:rsidRPr="00D432C2" w:rsidRDefault="00B729BD" w:rsidP="001C7E9C">
    <w:pPr>
      <w:pStyle w:val="Header"/>
      <w:rPr>
        <w:lang w:val="en-US"/>
      </w:rPr>
    </w:pPr>
  </w:p>
  <w:p w:rsidR="00B729BD" w:rsidRDefault="00B729BD" w:rsidP="001C7E9C">
    <w:pPr>
      <w:jc w:val="center"/>
    </w:pPr>
    <w:r>
      <w:t xml:space="preserve">ANNEX I, </w:t>
    </w:r>
    <w:r w:rsidRPr="00535B8D">
      <w:t>APPENDIX I</w:t>
    </w:r>
  </w:p>
  <w:p w:rsidR="00B729BD" w:rsidRPr="00D432C2" w:rsidRDefault="00B729BD" w:rsidP="001C7E9C">
    <w:pPr>
      <w:pStyle w:val="Header"/>
      <w:rPr>
        <w:lang w:val="en-US"/>
      </w:rPr>
    </w:pPr>
  </w:p>
  <w:p w:rsidR="00B729BD" w:rsidRPr="00D432C2" w:rsidRDefault="00B729BD">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BD" w:rsidRPr="00D432C2" w:rsidRDefault="00B729BD" w:rsidP="00EB048E">
    <w:pPr>
      <w:pStyle w:val="Header"/>
      <w:rPr>
        <w:rStyle w:val="PageNumber"/>
        <w:lang w:val="fr-CH"/>
      </w:rPr>
    </w:pPr>
    <w:r w:rsidRPr="00D432C2">
      <w:rPr>
        <w:rStyle w:val="PageNumber"/>
        <w:lang w:val="fr-CH"/>
      </w:rPr>
      <w:t>CAJ/77/4</w:t>
    </w:r>
  </w:p>
  <w:p w:rsidR="00B729BD" w:rsidRPr="00D432C2" w:rsidRDefault="00B729BD" w:rsidP="001C7E9C">
    <w:pPr>
      <w:jc w:val="center"/>
      <w:rPr>
        <w:lang w:val="fr-CH"/>
      </w:rPr>
    </w:pPr>
    <w:proofErr w:type="spellStart"/>
    <w:r w:rsidRPr="00D432C2">
      <w:rPr>
        <w:lang w:val="fr-CH"/>
      </w:rPr>
      <w:t>Annex</w:t>
    </w:r>
    <w:proofErr w:type="spellEnd"/>
    <w:r>
      <w:rPr>
        <w:lang w:val="fr-CH"/>
      </w:rPr>
      <w:t xml:space="preserve"> I</w:t>
    </w:r>
    <w:r w:rsidRPr="00D432C2">
      <w:rPr>
        <w:lang w:val="fr-CH"/>
      </w:rPr>
      <w:t xml:space="preserve">, </w:t>
    </w:r>
    <w:proofErr w:type="spellStart"/>
    <w:r w:rsidRPr="00D432C2">
      <w:rPr>
        <w:lang w:val="fr-CH"/>
      </w:rPr>
      <w:t>Appendix</w:t>
    </w:r>
    <w:proofErr w:type="spellEnd"/>
    <w:r w:rsidRPr="00D432C2">
      <w:rPr>
        <w:lang w:val="fr-CH"/>
      </w:rPr>
      <w:t xml:space="preserve"> II, page </w:t>
    </w:r>
    <w:r w:rsidRPr="00C5280D">
      <w:rPr>
        <w:rStyle w:val="PageNumber"/>
      </w:rPr>
      <w:fldChar w:fldCharType="begin"/>
    </w:r>
    <w:r w:rsidRPr="00D432C2">
      <w:rPr>
        <w:rStyle w:val="PageNumber"/>
        <w:lang w:val="fr-CH"/>
      </w:rPr>
      <w:instrText xml:space="preserve"> PAGE </w:instrText>
    </w:r>
    <w:r w:rsidRPr="00C5280D">
      <w:rPr>
        <w:rStyle w:val="PageNumber"/>
      </w:rPr>
      <w:fldChar w:fldCharType="separate"/>
    </w:r>
    <w:r w:rsidR="00867C70">
      <w:rPr>
        <w:rStyle w:val="PageNumber"/>
        <w:noProof/>
        <w:lang w:val="fr-CH"/>
      </w:rPr>
      <w:t>3</w:t>
    </w:r>
    <w:r w:rsidRPr="00C5280D">
      <w:rPr>
        <w:rStyle w:val="PageNumber"/>
      </w:rPr>
      <w:fldChar w:fldCharType="end"/>
    </w:r>
  </w:p>
  <w:p w:rsidR="00B729BD" w:rsidRPr="00D432C2" w:rsidRDefault="00B729BD"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BD" w:rsidRPr="00AF32BD" w:rsidRDefault="00B729BD" w:rsidP="001C7E9C">
    <w:pPr>
      <w:pStyle w:val="Header"/>
      <w:rPr>
        <w:lang w:val="en-US"/>
      </w:rPr>
    </w:pPr>
    <w:r w:rsidRPr="00AF32BD">
      <w:rPr>
        <w:lang w:val="en-US"/>
      </w:rPr>
      <w:t>CAJ/77/4</w:t>
    </w:r>
  </w:p>
  <w:p w:rsidR="00B729BD" w:rsidRDefault="00B729BD" w:rsidP="001C7E9C">
    <w:pPr>
      <w:jc w:val="center"/>
    </w:pPr>
  </w:p>
  <w:p w:rsidR="00B729BD" w:rsidRPr="00535B8D" w:rsidRDefault="00B729BD" w:rsidP="001C7E9C">
    <w:pPr>
      <w:jc w:val="center"/>
    </w:pPr>
    <w:r>
      <w:t xml:space="preserve">ANNEX I, </w:t>
    </w:r>
    <w:r w:rsidRPr="00535B8D">
      <w:t>APPENDIX II</w:t>
    </w:r>
  </w:p>
  <w:p w:rsidR="00B729BD" w:rsidRPr="00AF32BD" w:rsidRDefault="00B729BD" w:rsidP="001C7E9C">
    <w:pPr>
      <w:pStyle w:val="Header"/>
      <w:rPr>
        <w:lang w:val="en-US"/>
      </w:rPr>
    </w:pPr>
  </w:p>
  <w:p w:rsidR="00B729BD" w:rsidRPr="00AF32BD" w:rsidRDefault="00B729BD">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BD" w:rsidRDefault="00B729BD" w:rsidP="001C7E9C">
    <w:pPr>
      <w:pStyle w:val="Header"/>
    </w:pPr>
    <w:r>
      <w:t>CAJ/77/4</w:t>
    </w:r>
  </w:p>
  <w:p w:rsidR="00B729BD" w:rsidRDefault="00B729BD" w:rsidP="001C7E9C">
    <w:pPr>
      <w:jc w:val="center"/>
    </w:pPr>
  </w:p>
  <w:p w:rsidR="00B729BD" w:rsidRDefault="00B729BD" w:rsidP="00BC44F5">
    <w:pPr>
      <w:jc w:val="center"/>
    </w:pPr>
    <w:r>
      <w:t>ANNEX II</w:t>
    </w:r>
  </w:p>
  <w:p w:rsidR="00B729BD" w:rsidRDefault="00B72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9B5"/>
    <w:multiLevelType w:val="hybridMultilevel"/>
    <w:tmpl w:val="9186550E"/>
    <w:lvl w:ilvl="0" w:tplc="A75E6AA4">
      <w:start w:val="1"/>
      <w:numFmt w:val="lowerLetter"/>
      <w:lvlText w:val="(%1)"/>
      <w:lvlJc w:val="left"/>
      <w:pPr>
        <w:ind w:left="5948" w:hanging="564"/>
      </w:pPr>
      <w:rPr>
        <w:rFonts w:hint="default"/>
      </w:rPr>
    </w:lvl>
    <w:lvl w:ilvl="1" w:tplc="04090019" w:tentative="1">
      <w:start w:val="1"/>
      <w:numFmt w:val="lowerLetter"/>
      <w:lvlText w:val="%2."/>
      <w:lvlJc w:val="left"/>
      <w:pPr>
        <w:ind w:left="6464" w:hanging="360"/>
      </w:pPr>
    </w:lvl>
    <w:lvl w:ilvl="2" w:tplc="0409001B" w:tentative="1">
      <w:start w:val="1"/>
      <w:numFmt w:val="lowerRoman"/>
      <w:lvlText w:val="%3."/>
      <w:lvlJc w:val="right"/>
      <w:pPr>
        <w:ind w:left="7184" w:hanging="180"/>
      </w:pPr>
    </w:lvl>
    <w:lvl w:ilvl="3" w:tplc="0409000F" w:tentative="1">
      <w:start w:val="1"/>
      <w:numFmt w:val="decimal"/>
      <w:lvlText w:val="%4."/>
      <w:lvlJc w:val="left"/>
      <w:pPr>
        <w:ind w:left="7904" w:hanging="360"/>
      </w:pPr>
    </w:lvl>
    <w:lvl w:ilvl="4" w:tplc="04090019" w:tentative="1">
      <w:start w:val="1"/>
      <w:numFmt w:val="lowerLetter"/>
      <w:lvlText w:val="%5."/>
      <w:lvlJc w:val="left"/>
      <w:pPr>
        <w:ind w:left="8624" w:hanging="360"/>
      </w:pPr>
    </w:lvl>
    <w:lvl w:ilvl="5" w:tplc="0409001B" w:tentative="1">
      <w:start w:val="1"/>
      <w:numFmt w:val="lowerRoman"/>
      <w:lvlText w:val="%6."/>
      <w:lvlJc w:val="right"/>
      <w:pPr>
        <w:ind w:left="9344" w:hanging="180"/>
      </w:pPr>
    </w:lvl>
    <w:lvl w:ilvl="6" w:tplc="0409000F" w:tentative="1">
      <w:start w:val="1"/>
      <w:numFmt w:val="decimal"/>
      <w:lvlText w:val="%7."/>
      <w:lvlJc w:val="left"/>
      <w:pPr>
        <w:ind w:left="10064" w:hanging="360"/>
      </w:pPr>
    </w:lvl>
    <w:lvl w:ilvl="7" w:tplc="04090019" w:tentative="1">
      <w:start w:val="1"/>
      <w:numFmt w:val="lowerLetter"/>
      <w:lvlText w:val="%8."/>
      <w:lvlJc w:val="left"/>
      <w:pPr>
        <w:ind w:left="10784" w:hanging="360"/>
      </w:pPr>
    </w:lvl>
    <w:lvl w:ilvl="8" w:tplc="0409001B" w:tentative="1">
      <w:start w:val="1"/>
      <w:numFmt w:val="lowerRoman"/>
      <w:lvlText w:val="%9."/>
      <w:lvlJc w:val="right"/>
      <w:pPr>
        <w:ind w:left="11504" w:hanging="180"/>
      </w:pPr>
    </w:lvl>
  </w:abstractNum>
  <w:abstractNum w:abstractNumId="1"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4EAF"/>
    <w:multiLevelType w:val="hybridMultilevel"/>
    <w:tmpl w:val="B55C1E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6A25B4"/>
    <w:multiLevelType w:val="hybridMultilevel"/>
    <w:tmpl w:val="6AEC3858"/>
    <w:lvl w:ilvl="0" w:tplc="3B128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06B9B"/>
    <w:multiLevelType w:val="hybridMultilevel"/>
    <w:tmpl w:val="67FA5CFE"/>
    <w:lvl w:ilvl="0" w:tplc="A202C230">
      <w:start w:val="4"/>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C460EE8"/>
    <w:multiLevelType w:val="hybridMultilevel"/>
    <w:tmpl w:val="2E5277F8"/>
    <w:lvl w:ilvl="0" w:tplc="BAC23F0C">
      <w:start w:val="9"/>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1633AEE"/>
    <w:multiLevelType w:val="hybridMultilevel"/>
    <w:tmpl w:val="7A941162"/>
    <w:lvl w:ilvl="0" w:tplc="9F424946">
      <w:start w:val="9"/>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44E323E"/>
    <w:multiLevelType w:val="hybridMultilevel"/>
    <w:tmpl w:val="F8323A64"/>
    <w:lvl w:ilvl="0" w:tplc="B9FA6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B576E"/>
    <w:multiLevelType w:val="hybridMultilevel"/>
    <w:tmpl w:val="D1C04F46"/>
    <w:lvl w:ilvl="0" w:tplc="7B9C9AC4">
      <w:start w:val="2"/>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6057589"/>
    <w:multiLevelType w:val="hybridMultilevel"/>
    <w:tmpl w:val="DFD23042"/>
    <w:lvl w:ilvl="0" w:tplc="3B92D4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A86504"/>
    <w:multiLevelType w:val="hybridMultilevel"/>
    <w:tmpl w:val="68168630"/>
    <w:lvl w:ilvl="0" w:tplc="E14A6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4472B"/>
    <w:multiLevelType w:val="hybridMultilevel"/>
    <w:tmpl w:val="7F9289CC"/>
    <w:lvl w:ilvl="0" w:tplc="1C820274">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3" w15:restartNumberingAfterBreak="0">
    <w:nsid w:val="1BA37545"/>
    <w:multiLevelType w:val="hybridMultilevel"/>
    <w:tmpl w:val="313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A638D"/>
    <w:multiLevelType w:val="hybridMultilevel"/>
    <w:tmpl w:val="AEDCD394"/>
    <w:lvl w:ilvl="0" w:tplc="5AB4178E">
      <w:numFmt w:val="bullet"/>
      <w:lvlText w:val="-"/>
      <w:lvlJc w:val="left"/>
      <w:pPr>
        <w:ind w:left="1700" w:hanging="360"/>
      </w:pPr>
      <w:rPr>
        <w:rFonts w:ascii="Arial" w:eastAsia="Arial" w:hAnsi="Arial" w:cs="Arial" w:hint="default"/>
        <w:w w:val="100"/>
        <w:sz w:val="22"/>
        <w:szCs w:val="22"/>
      </w:rPr>
    </w:lvl>
    <w:lvl w:ilvl="1" w:tplc="219CA3DE">
      <w:numFmt w:val="bullet"/>
      <w:lvlText w:val="•"/>
      <w:lvlJc w:val="left"/>
      <w:pPr>
        <w:ind w:left="2626" w:hanging="360"/>
      </w:pPr>
      <w:rPr>
        <w:rFonts w:hint="default"/>
      </w:rPr>
    </w:lvl>
    <w:lvl w:ilvl="2" w:tplc="031C8780">
      <w:numFmt w:val="bullet"/>
      <w:lvlText w:val="•"/>
      <w:lvlJc w:val="left"/>
      <w:pPr>
        <w:ind w:left="3553" w:hanging="360"/>
      </w:pPr>
      <w:rPr>
        <w:rFonts w:hint="default"/>
      </w:rPr>
    </w:lvl>
    <w:lvl w:ilvl="3" w:tplc="B59A6658">
      <w:numFmt w:val="bullet"/>
      <w:lvlText w:val="•"/>
      <w:lvlJc w:val="left"/>
      <w:pPr>
        <w:ind w:left="4479" w:hanging="360"/>
      </w:pPr>
      <w:rPr>
        <w:rFonts w:hint="default"/>
      </w:rPr>
    </w:lvl>
    <w:lvl w:ilvl="4" w:tplc="9580DC40">
      <w:numFmt w:val="bullet"/>
      <w:lvlText w:val="•"/>
      <w:lvlJc w:val="left"/>
      <w:pPr>
        <w:ind w:left="5406" w:hanging="360"/>
      </w:pPr>
      <w:rPr>
        <w:rFonts w:hint="default"/>
      </w:rPr>
    </w:lvl>
    <w:lvl w:ilvl="5" w:tplc="066CD5B0">
      <w:numFmt w:val="bullet"/>
      <w:lvlText w:val="•"/>
      <w:lvlJc w:val="left"/>
      <w:pPr>
        <w:ind w:left="6333" w:hanging="360"/>
      </w:pPr>
      <w:rPr>
        <w:rFonts w:hint="default"/>
      </w:rPr>
    </w:lvl>
    <w:lvl w:ilvl="6" w:tplc="8146E6D4">
      <w:numFmt w:val="bullet"/>
      <w:lvlText w:val="•"/>
      <w:lvlJc w:val="left"/>
      <w:pPr>
        <w:ind w:left="7259" w:hanging="360"/>
      </w:pPr>
      <w:rPr>
        <w:rFonts w:hint="default"/>
      </w:rPr>
    </w:lvl>
    <w:lvl w:ilvl="7" w:tplc="DF763A88">
      <w:numFmt w:val="bullet"/>
      <w:lvlText w:val="•"/>
      <w:lvlJc w:val="left"/>
      <w:pPr>
        <w:ind w:left="8186" w:hanging="360"/>
      </w:pPr>
      <w:rPr>
        <w:rFonts w:hint="default"/>
      </w:rPr>
    </w:lvl>
    <w:lvl w:ilvl="8" w:tplc="CA84B0C2">
      <w:numFmt w:val="bullet"/>
      <w:lvlText w:val="•"/>
      <w:lvlJc w:val="left"/>
      <w:pPr>
        <w:ind w:left="9113" w:hanging="360"/>
      </w:pPr>
      <w:rPr>
        <w:rFonts w:hint="default"/>
      </w:rPr>
    </w:lvl>
  </w:abstractNum>
  <w:abstractNum w:abstractNumId="15" w15:restartNumberingAfterBreak="0">
    <w:nsid w:val="215A41AC"/>
    <w:multiLevelType w:val="hybridMultilevel"/>
    <w:tmpl w:val="5DECC3F8"/>
    <w:lvl w:ilvl="0" w:tplc="6D3407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F36BE"/>
    <w:multiLevelType w:val="hybridMultilevel"/>
    <w:tmpl w:val="5C5A44AE"/>
    <w:lvl w:ilvl="0" w:tplc="56569E10">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5F74138"/>
    <w:multiLevelType w:val="hybridMultilevel"/>
    <w:tmpl w:val="5BA67584"/>
    <w:lvl w:ilvl="0" w:tplc="34ECAA4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2297F"/>
    <w:multiLevelType w:val="hybridMultilevel"/>
    <w:tmpl w:val="68760C84"/>
    <w:lvl w:ilvl="0" w:tplc="4BC2AAA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A0E9B"/>
    <w:multiLevelType w:val="hybridMultilevel"/>
    <w:tmpl w:val="F126C86E"/>
    <w:lvl w:ilvl="0" w:tplc="A08E02A6">
      <w:start w:val="1"/>
      <w:numFmt w:val="lowerLetter"/>
      <w:lvlText w:val="(%1)"/>
      <w:lvlJc w:val="left"/>
      <w:pPr>
        <w:ind w:left="6027" w:hanging="360"/>
      </w:pPr>
      <w:rPr>
        <w:rFonts w:hint="default"/>
      </w:rPr>
    </w:lvl>
    <w:lvl w:ilvl="1" w:tplc="04090019" w:tentative="1">
      <w:start w:val="1"/>
      <w:numFmt w:val="lowerLetter"/>
      <w:lvlText w:val="%2."/>
      <w:lvlJc w:val="left"/>
      <w:pPr>
        <w:ind w:left="6747" w:hanging="360"/>
      </w:pPr>
    </w:lvl>
    <w:lvl w:ilvl="2" w:tplc="0409001B" w:tentative="1">
      <w:start w:val="1"/>
      <w:numFmt w:val="lowerRoman"/>
      <w:lvlText w:val="%3."/>
      <w:lvlJc w:val="right"/>
      <w:pPr>
        <w:ind w:left="7467" w:hanging="180"/>
      </w:pPr>
    </w:lvl>
    <w:lvl w:ilvl="3" w:tplc="0409000F" w:tentative="1">
      <w:start w:val="1"/>
      <w:numFmt w:val="decimal"/>
      <w:lvlText w:val="%4."/>
      <w:lvlJc w:val="left"/>
      <w:pPr>
        <w:ind w:left="8187" w:hanging="360"/>
      </w:pPr>
    </w:lvl>
    <w:lvl w:ilvl="4" w:tplc="04090019" w:tentative="1">
      <w:start w:val="1"/>
      <w:numFmt w:val="lowerLetter"/>
      <w:lvlText w:val="%5."/>
      <w:lvlJc w:val="left"/>
      <w:pPr>
        <w:ind w:left="8907" w:hanging="360"/>
      </w:pPr>
    </w:lvl>
    <w:lvl w:ilvl="5" w:tplc="0409001B" w:tentative="1">
      <w:start w:val="1"/>
      <w:numFmt w:val="lowerRoman"/>
      <w:lvlText w:val="%6."/>
      <w:lvlJc w:val="right"/>
      <w:pPr>
        <w:ind w:left="9627" w:hanging="180"/>
      </w:pPr>
    </w:lvl>
    <w:lvl w:ilvl="6" w:tplc="0409000F" w:tentative="1">
      <w:start w:val="1"/>
      <w:numFmt w:val="decimal"/>
      <w:lvlText w:val="%7."/>
      <w:lvlJc w:val="left"/>
      <w:pPr>
        <w:ind w:left="10347" w:hanging="360"/>
      </w:pPr>
    </w:lvl>
    <w:lvl w:ilvl="7" w:tplc="04090019" w:tentative="1">
      <w:start w:val="1"/>
      <w:numFmt w:val="lowerLetter"/>
      <w:lvlText w:val="%8."/>
      <w:lvlJc w:val="left"/>
      <w:pPr>
        <w:ind w:left="11067" w:hanging="360"/>
      </w:pPr>
    </w:lvl>
    <w:lvl w:ilvl="8" w:tplc="0409001B" w:tentative="1">
      <w:start w:val="1"/>
      <w:numFmt w:val="lowerRoman"/>
      <w:lvlText w:val="%9."/>
      <w:lvlJc w:val="right"/>
      <w:pPr>
        <w:ind w:left="11787" w:hanging="180"/>
      </w:pPr>
    </w:lvl>
  </w:abstractNum>
  <w:abstractNum w:abstractNumId="21" w15:restartNumberingAfterBreak="0">
    <w:nsid w:val="31612456"/>
    <w:multiLevelType w:val="hybridMultilevel"/>
    <w:tmpl w:val="069A9C1C"/>
    <w:lvl w:ilvl="0" w:tplc="E3FAA5AA">
      <w:start w:val="9"/>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5646FAF"/>
    <w:multiLevelType w:val="hybridMultilevel"/>
    <w:tmpl w:val="C5644080"/>
    <w:lvl w:ilvl="0" w:tplc="ECD4085A">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7ED3C9B"/>
    <w:multiLevelType w:val="hybridMultilevel"/>
    <w:tmpl w:val="D5500204"/>
    <w:lvl w:ilvl="0" w:tplc="1228F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B00147"/>
    <w:multiLevelType w:val="hybridMultilevel"/>
    <w:tmpl w:val="B49C35B4"/>
    <w:lvl w:ilvl="0" w:tplc="13E205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C857576"/>
    <w:multiLevelType w:val="hybridMultilevel"/>
    <w:tmpl w:val="E0E0AF04"/>
    <w:lvl w:ilvl="0" w:tplc="D716F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72CA6"/>
    <w:multiLevelType w:val="hybridMultilevel"/>
    <w:tmpl w:val="6804B8D0"/>
    <w:lvl w:ilvl="0" w:tplc="C7A450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FCB7D8E"/>
    <w:multiLevelType w:val="hybridMultilevel"/>
    <w:tmpl w:val="5BE8401A"/>
    <w:lvl w:ilvl="0" w:tplc="F9805A3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15:restartNumberingAfterBreak="0">
    <w:nsid w:val="4D7B3F35"/>
    <w:multiLevelType w:val="hybridMultilevel"/>
    <w:tmpl w:val="245411EC"/>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5D476B3"/>
    <w:multiLevelType w:val="hybridMultilevel"/>
    <w:tmpl w:val="7C228526"/>
    <w:lvl w:ilvl="0" w:tplc="B1468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3069B"/>
    <w:multiLevelType w:val="hybridMultilevel"/>
    <w:tmpl w:val="5152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04D6B"/>
    <w:multiLevelType w:val="hybridMultilevel"/>
    <w:tmpl w:val="BFFEE91C"/>
    <w:lvl w:ilvl="0" w:tplc="4636028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E775829"/>
    <w:multiLevelType w:val="hybridMultilevel"/>
    <w:tmpl w:val="72CEB122"/>
    <w:lvl w:ilvl="0" w:tplc="A17EE2E4">
      <w:start w:val="2"/>
      <w:numFmt w:val="lowerRoman"/>
      <w:lvlText w:val="(%1)"/>
      <w:lvlJc w:val="left"/>
      <w:pPr>
        <w:ind w:left="2367" w:hanging="72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4" w15:restartNumberingAfterBreak="0">
    <w:nsid w:val="61E8496A"/>
    <w:multiLevelType w:val="hybridMultilevel"/>
    <w:tmpl w:val="756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7762D9"/>
    <w:multiLevelType w:val="hybridMultilevel"/>
    <w:tmpl w:val="DBA4B7A0"/>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D482E14"/>
    <w:multiLevelType w:val="hybridMultilevel"/>
    <w:tmpl w:val="7AA8DB0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7" w15:restartNumberingAfterBreak="0">
    <w:nsid w:val="70000B86"/>
    <w:multiLevelType w:val="hybridMultilevel"/>
    <w:tmpl w:val="405A4FEE"/>
    <w:lvl w:ilvl="0" w:tplc="BB0AF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91ECF"/>
    <w:multiLevelType w:val="hybridMultilevel"/>
    <w:tmpl w:val="7BBC5FEC"/>
    <w:lvl w:ilvl="0" w:tplc="7FD81F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E4233"/>
    <w:multiLevelType w:val="hybridMultilevel"/>
    <w:tmpl w:val="9054753C"/>
    <w:lvl w:ilvl="0" w:tplc="2F28985C">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2"/>
  </w:num>
  <w:num w:numId="2">
    <w:abstractNumId w:val="28"/>
  </w:num>
  <w:num w:numId="3">
    <w:abstractNumId w:val="1"/>
  </w:num>
  <w:num w:numId="4">
    <w:abstractNumId w:val="13"/>
  </w:num>
  <w:num w:numId="5">
    <w:abstractNumId w:val="40"/>
  </w:num>
  <w:num w:numId="6">
    <w:abstractNumId w:val="18"/>
  </w:num>
  <w:num w:numId="7">
    <w:abstractNumId w:val="30"/>
  </w:num>
  <w:num w:numId="8">
    <w:abstractNumId w:val="39"/>
  </w:num>
  <w:num w:numId="9">
    <w:abstractNumId w:val="6"/>
  </w:num>
  <w:num w:numId="10">
    <w:abstractNumId w:val="27"/>
  </w:num>
  <w:num w:numId="11">
    <w:abstractNumId w:val="36"/>
  </w:num>
  <w:num w:numId="12">
    <w:abstractNumId w:val="34"/>
  </w:num>
  <w:num w:numId="13">
    <w:abstractNumId w:val="14"/>
  </w:num>
  <w:num w:numId="14">
    <w:abstractNumId w:val="2"/>
  </w:num>
  <w:num w:numId="15">
    <w:abstractNumId w:val="31"/>
  </w:num>
  <w:num w:numId="16">
    <w:abstractNumId w:val="38"/>
  </w:num>
  <w:num w:numId="17">
    <w:abstractNumId w:val="19"/>
  </w:num>
  <w:num w:numId="18">
    <w:abstractNumId w:val="15"/>
  </w:num>
  <w:num w:numId="19">
    <w:abstractNumId w:val="8"/>
  </w:num>
  <w:num w:numId="20">
    <w:abstractNumId w:val="23"/>
  </w:num>
  <w:num w:numId="21">
    <w:abstractNumId w:val="11"/>
  </w:num>
  <w:num w:numId="22">
    <w:abstractNumId w:val="3"/>
  </w:num>
  <w:num w:numId="23">
    <w:abstractNumId w:val="25"/>
  </w:num>
  <w:num w:numId="24">
    <w:abstractNumId w:val="10"/>
  </w:num>
  <w:num w:numId="25">
    <w:abstractNumId w:val="37"/>
  </w:num>
  <w:num w:numId="26">
    <w:abstractNumId w:val="7"/>
  </w:num>
  <w:num w:numId="27">
    <w:abstractNumId w:val="26"/>
  </w:num>
  <w:num w:numId="28">
    <w:abstractNumId w:val="5"/>
  </w:num>
  <w:num w:numId="29">
    <w:abstractNumId w:val="16"/>
  </w:num>
  <w:num w:numId="30">
    <w:abstractNumId w:val="33"/>
  </w:num>
  <w:num w:numId="31">
    <w:abstractNumId w:val="29"/>
  </w:num>
  <w:num w:numId="32">
    <w:abstractNumId w:val="35"/>
  </w:num>
  <w:num w:numId="33">
    <w:abstractNumId w:val="24"/>
  </w:num>
  <w:num w:numId="34">
    <w:abstractNumId w:val="17"/>
  </w:num>
  <w:num w:numId="35">
    <w:abstractNumId w:val="21"/>
  </w:num>
  <w:num w:numId="36">
    <w:abstractNumId w:val="9"/>
  </w:num>
  <w:num w:numId="37">
    <w:abstractNumId w:val="12"/>
  </w:num>
  <w:num w:numId="38">
    <w:abstractNumId w:val="4"/>
  </w:num>
  <w:num w:numId="39">
    <w:abstractNumId w:val="32"/>
  </w:num>
  <w:num w:numId="40">
    <w:abstractNumId w:val="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10CF3"/>
    <w:rsid w:val="00011E27"/>
    <w:rsid w:val="000148BC"/>
    <w:rsid w:val="00024AB8"/>
    <w:rsid w:val="00030854"/>
    <w:rsid w:val="00036028"/>
    <w:rsid w:val="00044642"/>
    <w:rsid w:val="000446B9"/>
    <w:rsid w:val="00047E21"/>
    <w:rsid w:val="00050E16"/>
    <w:rsid w:val="00070E1A"/>
    <w:rsid w:val="00085505"/>
    <w:rsid w:val="000C4E25"/>
    <w:rsid w:val="000C7021"/>
    <w:rsid w:val="000D6BBC"/>
    <w:rsid w:val="000D7780"/>
    <w:rsid w:val="000E3631"/>
    <w:rsid w:val="000E636A"/>
    <w:rsid w:val="000F2F11"/>
    <w:rsid w:val="00105929"/>
    <w:rsid w:val="00110BED"/>
    <w:rsid w:val="00110C36"/>
    <w:rsid w:val="001131D5"/>
    <w:rsid w:val="00141DB8"/>
    <w:rsid w:val="001438E2"/>
    <w:rsid w:val="001519EF"/>
    <w:rsid w:val="00172084"/>
    <w:rsid w:val="00173DE9"/>
    <w:rsid w:val="0017474A"/>
    <w:rsid w:val="001758C6"/>
    <w:rsid w:val="0017763C"/>
    <w:rsid w:val="00182B99"/>
    <w:rsid w:val="00192FD7"/>
    <w:rsid w:val="001A1D10"/>
    <w:rsid w:val="001C1525"/>
    <w:rsid w:val="001C365A"/>
    <w:rsid w:val="001C7E9C"/>
    <w:rsid w:val="001E01A8"/>
    <w:rsid w:val="001E032F"/>
    <w:rsid w:val="001F6CD7"/>
    <w:rsid w:val="0021332C"/>
    <w:rsid w:val="00213982"/>
    <w:rsid w:val="0021648E"/>
    <w:rsid w:val="00222830"/>
    <w:rsid w:val="00241C58"/>
    <w:rsid w:val="0024416D"/>
    <w:rsid w:val="00261F65"/>
    <w:rsid w:val="00266257"/>
    <w:rsid w:val="00271911"/>
    <w:rsid w:val="002800A0"/>
    <w:rsid w:val="002801B3"/>
    <w:rsid w:val="00280887"/>
    <w:rsid w:val="00281060"/>
    <w:rsid w:val="002940E8"/>
    <w:rsid w:val="00294751"/>
    <w:rsid w:val="002A6E50"/>
    <w:rsid w:val="002B4298"/>
    <w:rsid w:val="002B6CAA"/>
    <w:rsid w:val="002B7A36"/>
    <w:rsid w:val="002C256A"/>
    <w:rsid w:val="002D406E"/>
    <w:rsid w:val="0030105A"/>
    <w:rsid w:val="00305A7F"/>
    <w:rsid w:val="003152FE"/>
    <w:rsid w:val="00327436"/>
    <w:rsid w:val="00327B7E"/>
    <w:rsid w:val="00344BD6"/>
    <w:rsid w:val="0035528D"/>
    <w:rsid w:val="00361821"/>
    <w:rsid w:val="00361E9E"/>
    <w:rsid w:val="0037797B"/>
    <w:rsid w:val="003C78C5"/>
    <w:rsid w:val="003C7FBE"/>
    <w:rsid w:val="003D227C"/>
    <w:rsid w:val="003D2B4D"/>
    <w:rsid w:val="003E3B7B"/>
    <w:rsid w:val="003F1D03"/>
    <w:rsid w:val="003F20EC"/>
    <w:rsid w:val="003F2C59"/>
    <w:rsid w:val="003F7B9A"/>
    <w:rsid w:val="00412816"/>
    <w:rsid w:val="00444A88"/>
    <w:rsid w:val="00454DF7"/>
    <w:rsid w:val="00467A67"/>
    <w:rsid w:val="00474DA4"/>
    <w:rsid w:val="00476B4D"/>
    <w:rsid w:val="004805FA"/>
    <w:rsid w:val="004935D2"/>
    <w:rsid w:val="004958E1"/>
    <w:rsid w:val="004B1215"/>
    <w:rsid w:val="004B7763"/>
    <w:rsid w:val="004D047D"/>
    <w:rsid w:val="004E6564"/>
    <w:rsid w:val="004F1E9E"/>
    <w:rsid w:val="004F305A"/>
    <w:rsid w:val="00512164"/>
    <w:rsid w:val="00520297"/>
    <w:rsid w:val="00530A26"/>
    <w:rsid w:val="005338F9"/>
    <w:rsid w:val="0054281C"/>
    <w:rsid w:val="00544581"/>
    <w:rsid w:val="00552579"/>
    <w:rsid w:val="0055268D"/>
    <w:rsid w:val="00563E79"/>
    <w:rsid w:val="00576BE4"/>
    <w:rsid w:val="005779DB"/>
    <w:rsid w:val="005A400A"/>
    <w:rsid w:val="005C3AAB"/>
    <w:rsid w:val="005F3C19"/>
    <w:rsid w:val="005F7B92"/>
    <w:rsid w:val="00612379"/>
    <w:rsid w:val="006153B6"/>
    <w:rsid w:val="0061555F"/>
    <w:rsid w:val="006209B0"/>
    <w:rsid w:val="00626561"/>
    <w:rsid w:val="00626AE0"/>
    <w:rsid w:val="00634B66"/>
    <w:rsid w:val="00636CA6"/>
    <w:rsid w:val="00641200"/>
    <w:rsid w:val="00645CA8"/>
    <w:rsid w:val="006613E8"/>
    <w:rsid w:val="00661F8A"/>
    <w:rsid w:val="006655D3"/>
    <w:rsid w:val="00667404"/>
    <w:rsid w:val="00674BA1"/>
    <w:rsid w:val="00687EB4"/>
    <w:rsid w:val="00690876"/>
    <w:rsid w:val="00695C56"/>
    <w:rsid w:val="006A5CDE"/>
    <w:rsid w:val="006A644A"/>
    <w:rsid w:val="006B17D2"/>
    <w:rsid w:val="006C224E"/>
    <w:rsid w:val="006D780A"/>
    <w:rsid w:val="006E4164"/>
    <w:rsid w:val="0071039F"/>
    <w:rsid w:val="0071271E"/>
    <w:rsid w:val="00726D31"/>
    <w:rsid w:val="00732DEC"/>
    <w:rsid w:val="0073400A"/>
    <w:rsid w:val="00735BD5"/>
    <w:rsid w:val="007436E9"/>
    <w:rsid w:val="007451EC"/>
    <w:rsid w:val="00747AFC"/>
    <w:rsid w:val="00751613"/>
    <w:rsid w:val="00753EE9"/>
    <w:rsid w:val="007556F6"/>
    <w:rsid w:val="00760EEF"/>
    <w:rsid w:val="00774E48"/>
    <w:rsid w:val="00776B40"/>
    <w:rsid w:val="00777EE5"/>
    <w:rsid w:val="00783AE3"/>
    <w:rsid w:val="00784037"/>
    <w:rsid w:val="00784836"/>
    <w:rsid w:val="00786736"/>
    <w:rsid w:val="0079023E"/>
    <w:rsid w:val="007A01A3"/>
    <w:rsid w:val="007A2854"/>
    <w:rsid w:val="007B1F80"/>
    <w:rsid w:val="007C1D92"/>
    <w:rsid w:val="007C4CB9"/>
    <w:rsid w:val="007D0B9D"/>
    <w:rsid w:val="007D19B0"/>
    <w:rsid w:val="007F112C"/>
    <w:rsid w:val="007F498F"/>
    <w:rsid w:val="0080679D"/>
    <w:rsid w:val="00807CA3"/>
    <w:rsid w:val="008108B0"/>
    <w:rsid w:val="00811B20"/>
    <w:rsid w:val="00812609"/>
    <w:rsid w:val="008211B5"/>
    <w:rsid w:val="0082296E"/>
    <w:rsid w:val="00824099"/>
    <w:rsid w:val="00846D7C"/>
    <w:rsid w:val="0086029E"/>
    <w:rsid w:val="00867AC1"/>
    <w:rsid w:val="00867C70"/>
    <w:rsid w:val="00870347"/>
    <w:rsid w:val="00870603"/>
    <w:rsid w:val="008713BF"/>
    <w:rsid w:val="00890DF8"/>
    <w:rsid w:val="008A1FAB"/>
    <w:rsid w:val="008A729B"/>
    <w:rsid w:val="008A743F"/>
    <w:rsid w:val="008B3D4F"/>
    <w:rsid w:val="008C0970"/>
    <w:rsid w:val="008D0BC5"/>
    <w:rsid w:val="008D2CF7"/>
    <w:rsid w:val="008D33D7"/>
    <w:rsid w:val="00900C26"/>
    <w:rsid w:val="0090197F"/>
    <w:rsid w:val="00903264"/>
    <w:rsid w:val="00906DDC"/>
    <w:rsid w:val="00917D0D"/>
    <w:rsid w:val="00934E09"/>
    <w:rsid w:val="00936253"/>
    <w:rsid w:val="00940D46"/>
    <w:rsid w:val="00952DD4"/>
    <w:rsid w:val="00964601"/>
    <w:rsid w:val="00965AE7"/>
    <w:rsid w:val="00970FED"/>
    <w:rsid w:val="00972F06"/>
    <w:rsid w:val="00992D82"/>
    <w:rsid w:val="00997029"/>
    <w:rsid w:val="009A7339"/>
    <w:rsid w:val="009B440E"/>
    <w:rsid w:val="009C27B8"/>
    <w:rsid w:val="009C40DE"/>
    <w:rsid w:val="009D1D6A"/>
    <w:rsid w:val="009D690D"/>
    <w:rsid w:val="009E51EB"/>
    <w:rsid w:val="009E65B6"/>
    <w:rsid w:val="009E6AA4"/>
    <w:rsid w:val="009F4EBC"/>
    <w:rsid w:val="009F7591"/>
    <w:rsid w:val="009F77CF"/>
    <w:rsid w:val="00A1281C"/>
    <w:rsid w:val="00A176AE"/>
    <w:rsid w:val="00A24C10"/>
    <w:rsid w:val="00A24F4D"/>
    <w:rsid w:val="00A42AC3"/>
    <w:rsid w:val="00A430CF"/>
    <w:rsid w:val="00A50570"/>
    <w:rsid w:val="00A54309"/>
    <w:rsid w:val="00A74587"/>
    <w:rsid w:val="00A805B4"/>
    <w:rsid w:val="00A80F2A"/>
    <w:rsid w:val="00AB2B93"/>
    <w:rsid w:val="00AB530F"/>
    <w:rsid w:val="00AB7E5B"/>
    <w:rsid w:val="00AC2883"/>
    <w:rsid w:val="00AE0EF1"/>
    <w:rsid w:val="00AE2937"/>
    <w:rsid w:val="00AF32BD"/>
    <w:rsid w:val="00AF500F"/>
    <w:rsid w:val="00B07301"/>
    <w:rsid w:val="00B11E67"/>
    <w:rsid w:val="00B11F3E"/>
    <w:rsid w:val="00B224DE"/>
    <w:rsid w:val="00B324D4"/>
    <w:rsid w:val="00B44CE4"/>
    <w:rsid w:val="00B46575"/>
    <w:rsid w:val="00B473BE"/>
    <w:rsid w:val="00B603F0"/>
    <w:rsid w:val="00B61777"/>
    <w:rsid w:val="00B622E6"/>
    <w:rsid w:val="00B729BD"/>
    <w:rsid w:val="00B76359"/>
    <w:rsid w:val="00B84BBD"/>
    <w:rsid w:val="00B95F42"/>
    <w:rsid w:val="00BA43FB"/>
    <w:rsid w:val="00BC127D"/>
    <w:rsid w:val="00BC1FE6"/>
    <w:rsid w:val="00BC44F5"/>
    <w:rsid w:val="00BD09DC"/>
    <w:rsid w:val="00BD26C6"/>
    <w:rsid w:val="00BE31F6"/>
    <w:rsid w:val="00C061B6"/>
    <w:rsid w:val="00C119CB"/>
    <w:rsid w:val="00C2446C"/>
    <w:rsid w:val="00C36AE5"/>
    <w:rsid w:val="00C374E0"/>
    <w:rsid w:val="00C41168"/>
    <w:rsid w:val="00C41F17"/>
    <w:rsid w:val="00C46AF0"/>
    <w:rsid w:val="00C527FA"/>
    <w:rsid w:val="00C5280D"/>
    <w:rsid w:val="00C53EB3"/>
    <w:rsid w:val="00C559EF"/>
    <w:rsid w:val="00C5791C"/>
    <w:rsid w:val="00C66290"/>
    <w:rsid w:val="00C713F2"/>
    <w:rsid w:val="00C72B7A"/>
    <w:rsid w:val="00C92861"/>
    <w:rsid w:val="00C973F2"/>
    <w:rsid w:val="00CA304C"/>
    <w:rsid w:val="00CA774A"/>
    <w:rsid w:val="00CB1510"/>
    <w:rsid w:val="00CC11B0"/>
    <w:rsid w:val="00CC2841"/>
    <w:rsid w:val="00CF1330"/>
    <w:rsid w:val="00CF257C"/>
    <w:rsid w:val="00CF7E36"/>
    <w:rsid w:val="00D369F1"/>
    <w:rsid w:val="00D3708D"/>
    <w:rsid w:val="00D40426"/>
    <w:rsid w:val="00D432C2"/>
    <w:rsid w:val="00D5799A"/>
    <w:rsid w:val="00D57C96"/>
    <w:rsid w:val="00D57D18"/>
    <w:rsid w:val="00D71C35"/>
    <w:rsid w:val="00D87CCA"/>
    <w:rsid w:val="00D91203"/>
    <w:rsid w:val="00D9180A"/>
    <w:rsid w:val="00D95174"/>
    <w:rsid w:val="00DA4973"/>
    <w:rsid w:val="00DA6F36"/>
    <w:rsid w:val="00DB596E"/>
    <w:rsid w:val="00DB7773"/>
    <w:rsid w:val="00DC00EA"/>
    <w:rsid w:val="00DC0C46"/>
    <w:rsid w:val="00DC3802"/>
    <w:rsid w:val="00DD6208"/>
    <w:rsid w:val="00DE498C"/>
    <w:rsid w:val="00DE6156"/>
    <w:rsid w:val="00DF7311"/>
    <w:rsid w:val="00E07D87"/>
    <w:rsid w:val="00E12DAD"/>
    <w:rsid w:val="00E249C8"/>
    <w:rsid w:val="00E32F7E"/>
    <w:rsid w:val="00E5267B"/>
    <w:rsid w:val="00E559F0"/>
    <w:rsid w:val="00E63C0E"/>
    <w:rsid w:val="00E72D49"/>
    <w:rsid w:val="00E7593C"/>
    <w:rsid w:val="00E7678A"/>
    <w:rsid w:val="00E935F1"/>
    <w:rsid w:val="00E94A81"/>
    <w:rsid w:val="00EA1FFB"/>
    <w:rsid w:val="00EB048E"/>
    <w:rsid w:val="00EB4E9C"/>
    <w:rsid w:val="00EC6EF1"/>
    <w:rsid w:val="00ED7939"/>
    <w:rsid w:val="00EE3296"/>
    <w:rsid w:val="00EE34DF"/>
    <w:rsid w:val="00EF2F89"/>
    <w:rsid w:val="00F03E98"/>
    <w:rsid w:val="00F1237A"/>
    <w:rsid w:val="00F22CBD"/>
    <w:rsid w:val="00F272F1"/>
    <w:rsid w:val="00F31412"/>
    <w:rsid w:val="00F45372"/>
    <w:rsid w:val="00F560F7"/>
    <w:rsid w:val="00F57AE1"/>
    <w:rsid w:val="00F6334D"/>
    <w:rsid w:val="00F63599"/>
    <w:rsid w:val="00FA49AB"/>
    <w:rsid w:val="00FB751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A56635"/>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F257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C7E9C"/>
    <w:pPr>
      <w:outlineLvl w:val="5"/>
    </w:pPr>
    <w:rPr>
      <w:lang w:val="es-ES_tradnl"/>
    </w:rPr>
  </w:style>
  <w:style w:type="paragraph" w:styleId="Heading7">
    <w:name w:val="heading 7"/>
    <w:basedOn w:val="Normal"/>
    <w:next w:val="Normal"/>
    <w:link w:val="Heading7Char"/>
    <w:qFormat/>
    <w:rsid w:val="001C7E9C"/>
    <w:pPr>
      <w:spacing w:before="240" w:after="60"/>
      <w:outlineLvl w:val="6"/>
    </w:pPr>
    <w:rPr>
      <w:szCs w:val="24"/>
    </w:rPr>
  </w:style>
  <w:style w:type="paragraph" w:styleId="Heading8">
    <w:name w:val="heading 8"/>
    <w:basedOn w:val="Normal"/>
    <w:next w:val="Normal"/>
    <w:link w:val="Heading8Char"/>
    <w:qFormat/>
    <w:rsid w:val="001C7E9C"/>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84037"/>
    <w:pPr>
      <w:tabs>
        <w:tab w:val="right" w:leader="dot" w:pos="9639"/>
      </w:tabs>
      <w:spacing w:before="120"/>
      <w:ind w:left="284" w:right="567"/>
    </w:pPr>
    <w:rPr>
      <w:rFonts w:ascii="Arial" w:hAnsi="Arial"/>
      <w:sz w:val="18"/>
    </w:rPr>
  </w:style>
  <w:style w:type="paragraph" w:styleId="TOC3">
    <w:name w:val="toc 3"/>
    <w:next w:val="Normal"/>
    <w:autoRedefine/>
    <w:uiPriority w:val="39"/>
    <w:rsid w:val="00784037"/>
    <w:pPr>
      <w:tabs>
        <w:tab w:val="right" w:leader="dot" w:pos="9639"/>
      </w:tabs>
      <w:spacing w:before="60" w:after="120"/>
      <w:ind w:left="568" w:right="851" w:hanging="284"/>
      <w:jc w:val="both"/>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84037"/>
    <w:pPr>
      <w:tabs>
        <w:tab w:val="right" w:leader="dot" w:pos="9639"/>
      </w:tabs>
      <w:spacing w:after="120"/>
      <w:ind w:right="284"/>
      <w:jc w:val="both"/>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784037"/>
    <w:rPr>
      <w:rFonts w:ascii="Arial" w:hAnsi="Arial"/>
      <w:i/>
    </w:rPr>
  </w:style>
  <w:style w:type="paragraph" w:styleId="ListParagraph">
    <w:name w:val="List Paragraph"/>
    <w:basedOn w:val="Normal"/>
    <w:uiPriority w:val="34"/>
    <w:qFormat/>
    <w:rsid w:val="00784037"/>
    <w:pPr>
      <w:ind w:left="720"/>
      <w:contextualSpacing/>
    </w:pPr>
  </w:style>
  <w:style w:type="character" w:customStyle="1" w:styleId="Heading1Char">
    <w:name w:val="Heading 1 Char"/>
    <w:basedOn w:val="DefaultParagraphFont"/>
    <w:link w:val="Heading1"/>
    <w:rsid w:val="00CF257C"/>
    <w:rPr>
      <w:rFonts w:ascii="Arial" w:hAnsi="Arial"/>
      <w:caps/>
    </w:rPr>
  </w:style>
  <w:style w:type="character" w:customStyle="1" w:styleId="Heading6Char">
    <w:name w:val="Heading 6 Char"/>
    <w:basedOn w:val="DefaultParagraphFont"/>
    <w:link w:val="Heading6"/>
    <w:rsid w:val="001C7E9C"/>
    <w:rPr>
      <w:rFonts w:ascii="Arial" w:hAnsi="Arial"/>
      <w:lang w:val="es-ES_tradnl"/>
    </w:rPr>
  </w:style>
  <w:style w:type="character" w:customStyle="1" w:styleId="Heading7Char">
    <w:name w:val="Heading 7 Char"/>
    <w:basedOn w:val="DefaultParagraphFont"/>
    <w:link w:val="Heading7"/>
    <w:rsid w:val="001C7E9C"/>
    <w:rPr>
      <w:rFonts w:ascii="Arial" w:hAnsi="Arial"/>
      <w:szCs w:val="24"/>
    </w:rPr>
  </w:style>
  <w:style w:type="character" w:customStyle="1" w:styleId="Heading8Char">
    <w:name w:val="Heading 8 Char"/>
    <w:basedOn w:val="DefaultParagraphFont"/>
    <w:link w:val="Heading8"/>
    <w:rsid w:val="001C7E9C"/>
    <w:rPr>
      <w:rFonts w:ascii="Arial" w:hAnsi="Arial"/>
      <w:u w:val="single"/>
    </w:rPr>
  </w:style>
  <w:style w:type="paragraph" w:styleId="NormalWeb">
    <w:name w:val="Normal (Web)"/>
    <w:basedOn w:val="Normal"/>
    <w:rsid w:val="001C7E9C"/>
    <w:pPr>
      <w:spacing w:before="100" w:beforeAutospacing="1" w:after="100" w:afterAutospacing="1"/>
      <w:jc w:val="left"/>
    </w:pPr>
    <w:rPr>
      <w:szCs w:val="24"/>
    </w:rPr>
  </w:style>
  <w:style w:type="paragraph" w:customStyle="1" w:styleId="pdflink">
    <w:name w:val="pdflink"/>
    <w:basedOn w:val="Normal"/>
    <w:next w:val="Normal"/>
    <w:rsid w:val="001C7E9C"/>
    <w:rPr>
      <w:color w:val="800000"/>
      <w:u w:val="words"/>
    </w:rPr>
  </w:style>
  <w:style w:type="paragraph" w:customStyle="1" w:styleId="Draft">
    <w:name w:val="Draft"/>
    <w:basedOn w:val="Normal"/>
    <w:next w:val="preparedby"/>
    <w:rsid w:val="001C7E9C"/>
    <w:pPr>
      <w:spacing w:before="720" w:after="480"/>
      <w:jc w:val="center"/>
    </w:pPr>
    <w:rPr>
      <w:caps/>
      <w:sz w:val="28"/>
    </w:rPr>
  </w:style>
  <w:style w:type="paragraph" w:customStyle="1" w:styleId="quote1">
    <w:name w:val="quote1"/>
    <w:basedOn w:val="Normal"/>
    <w:semiHidden/>
    <w:rsid w:val="001C7E9C"/>
    <w:pPr>
      <w:ind w:left="567" w:right="565" w:firstLine="567"/>
    </w:pPr>
    <w:rPr>
      <w:snapToGrid w:val="0"/>
      <w:sz w:val="22"/>
      <w:szCs w:val="22"/>
    </w:rPr>
  </w:style>
  <w:style w:type="paragraph" w:customStyle="1" w:styleId="tqparabox">
    <w:name w:val="tqparabox"/>
    <w:basedOn w:val="Normal"/>
    <w:rsid w:val="001C7E9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1C7E9C"/>
    <w:pPr>
      <w:ind w:left="1200"/>
    </w:pPr>
  </w:style>
  <w:style w:type="paragraph" w:styleId="BodyTextIndent">
    <w:name w:val="Body Text Indent"/>
    <w:basedOn w:val="Normal"/>
    <w:link w:val="BodyTextIndentChar"/>
    <w:rsid w:val="001C7E9C"/>
    <w:pPr>
      <w:ind w:left="567"/>
    </w:pPr>
    <w:rPr>
      <w:lang w:val="es-ES_tradnl"/>
    </w:rPr>
  </w:style>
  <w:style w:type="character" w:customStyle="1" w:styleId="BodyTextIndentChar">
    <w:name w:val="Body Text Indent Char"/>
    <w:basedOn w:val="DefaultParagraphFont"/>
    <w:link w:val="BodyTextIndent"/>
    <w:rsid w:val="001C7E9C"/>
    <w:rPr>
      <w:rFonts w:ascii="Arial" w:hAnsi="Arial"/>
      <w:lang w:val="es-ES_tradnl"/>
    </w:rPr>
  </w:style>
  <w:style w:type="paragraph" w:customStyle="1" w:styleId="twpcheck">
    <w:name w:val="twpcheck"/>
    <w:basedOn w:val="Normal"/>
    <w:rsid w:val="001C7E9C"/>
    <w:pPr>
      <w:spacing w:before="80" w:after="80"/>
      <w:jc w:val="left"/>
    </w:pPr>
    <w:rPr>
      <w:rFonts w:cs="Arial"/>
      <w:snapToGrid w:val="0"/>
      <w:sz w:val="16"/>
      <w:szCs w:val="16"/>
    </w:rPr>
  </w:style>
  <w:style w:type="paragraph" w:customStyle="1" w:styleId="DecisionInvitingPara">
    <w:name w:val="Decision Inviting Para."/>
    <w:basedOn w:val="Normal"/>
    <w:rsid w:val="001C7E9C"/>
    <w:pPr>
      <w:ind w:left="4536"/>
    </w:pPr>
    <w:rPr>
      <w:i/>
      <w:lang w:val="es-ES_tradnl"/>
    </w:rPr>
  </w:style>
  <w:style w:type="paragraph" w:customStyle="1" w:styleId="Enttepair">
    <w:name w:val="Entête_pair"/>
    <w:basedOn w:val="Normal"/>
    <w:next w:val="Normal"/>
    <w:rsid w:val="001C7E9C"/>
    <w:pPr>
      <w:pBdr>
        <w:bottom w:val="single" w:sz="4" w:space="1" w:color="auto"/>
      </w:pBdr>
      <w:jc w:val="left"/>
    </w:pPr>
    <w:rPr>
      <w:szCs w:val="24"/>
    </w:rPr>
  </w:style>
  <w:style w:type="paragraph" w:customStyle="1" w:styleId="Entteimpair">
    <w:name w:val="Entête_impair"/>
    <w:basedOn w:val="Normal"/>
    <w:next w:val="Normal"/>
    <w:rsid w:val="001C7E9C"/>
    <w:pPr>
      <w:pBdr>
        <w:bottom w:val="single" w:sz="4" w:space="1" w:color="auto"/>
      </w:pBdr>
      <w:jc w:val="right"/>
    </w:pPr>
  </w:style>
  <w:style w:type="table" w:styleId="TableGrid">
    <w:name w:val="Table Grid"/>
    <w:basedOn w:val="TableNormal"/>
    <w:rsid w:val="001C7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1C7E9C"/>
  </w:style>
  <w:style w:type="character" w:customStyle="1" w:styleId="E-mailSignatureChar">
    <w:name w:val="E-mail Signature Char"/>
    <w:basedOn w:val="DefaultParagraphFont"/>
    <w:link w:val="E-mailSignature"/>
    <w:semiHidden/>
    <w:rsid w:val="001C7E9C"/>
    <w:rPr>
      <w:rFonts w:ascii="Arial" w:hAnsi="Arial"/>
    </w:rPr>
  </w:style>
  <w:style w:type="character" w:styleId="Emphasis">
    <w:name w:val="Emphasis"/>
    <w:basedOn w:val="DefaultParagraphFont"/>
    <w:qFormat/>
    <w:rsid w:val="001C7E9C"/>
    <w:rPr>
      <w:i/>
      <w:iCs/>
    </w:rPr>
  </w:style>
  <w:style w:type="paragraph" w:styleId="EnvelopeAddress">
    <w:name w:val="envelope address"/>
    <w:basedOn w:val="Normal"/>
    <w:semiHidden/>
    <w:rsid w:val="001C7E9C"/>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1C7E9C"/>
    <w:rPr>
      <w:rFonts w:cs="Arial"/>
    </w:rPr>
  </w:style>
  <w:style w:type="character" w:styleId="HTMLAcronym">
    <w:name w:val="HTML Acronym"/>
    <w:basedOn w:val="DefaultParagraphFont"/>
    <w:semiHidden/>
    <w:rsid w:val="001C7E9C"/>
  </w:style>
  <w:style w:type="paragraph" w:styleId="HTMLAddress">
    <w:name w:val="HTML Address"/>
    <w:basedOn w:val="Normal"/>
    <w:link w:val="HTMLAddressChar"/>
    <w:semiHidden/>
    <w:rsid w:val="001C7E9C"/>
    <w:rPr>
      <w:i/>
      <w:iCs/>
    </w:rPr>
  </w:style>
  <w:style w:type="character" w:customStyle="1" w:styleId="HTMLAddressChar">
    <w:name w:val="HTML Address Char"/>
    <w:basedOn w:val="DefaultParagraphFont"/>
    <w:link w:val="HTMLAddress"/>
    <w:semiHidden/>
    <w:rsid w:val="001C7E9C"/>
    <w:rPr>
      <w:rFonts w:ascii="Arial" w:hAnsi="Arial"/>
      <w:i/>
      <w:iCs/>
    </w:rPr>
  </w:style>
  <w:style w:type="character" w:styleId="HTMLCite">
    <w:name w:val="HTML Cite"/>
    <w:basedOn w:val="DefaultParagraphFont"/>
    <w:semiHidden/>
    <w:rsid w:val="001C7E9C"/>
    <w:rPr>
      <w:i/>
      <w:iCs/>
    </w:rPr>
  </w:style>
  <w:style w:type="character" w:styleId="HTMLCode">
    <w:name w:val="HTML Code"/>
    <w:basedOn w:val="DefaultParagraphFont"/>
    <w:semiHidden/>
    <w:rsid w:val="001C7E9C"/>
    <w:rPr>
      <w:rFonts w:ascii="Courier New" w:hAnsi="Courier New" w:cs="Courier New"/>
      <w:sz w:val="20"/>
      <w:szCs w:val="20"/>
    </w:rPr>
  </w:style>
  <w:style w:type="character" w:styleId="HTMLDefinition">
    <w:name w:val="HTML Definition"/>
    <w:basedOn w:val="DefaultParagraphFont"/>
    <w:semiHidden/>
    <w:rsid w:val="001C7E9C"/>
    <w:rPr>
      <w:i/>
      <w:iCs/>
    </w:rPr>
  </w:style>
  <w:style w:type="character" w:styleId="HTMLKeyboard">
    <w:name w:val="HTML Keyboard"/>
    <w:basedOn w:val="DefaultParagraphFont"/>
    <w:semiHidden/>
    <w:rsid w:val="001C7E9C"/>
    <w:rPr>
      <w:rFonts w:ascii="Courier New" w:hAnsi="Courier New" w:cs="Courier New"/>
      <w:sz w:val="20"/>
      <w:szCs w:val="20"/>
    </w:rPr>
  </w:style>
  <w:style w:type="paragraph" w:styleId="HTMLPreformatted">
    <w:name w:val="HTML Preformatted"/>
    <w:basedOn w:val="Normal"/>
    <w:link w:val="HTMLPreformattedChar"/>
    <w:semiHidden/>
    <w:rsid w:val="001C7E9C"/>
    <w:rPr>
      <w:rFonts w:ascii="Courier New" w:hAnsi="Courier New" w:cs="Courier New"/>
    </w:rPr>
  </w:style>
  <w:style w:type="character" w:customStyle="1" w:styleId="HTMLPreformattedChar">
    <w:name w:val="HTML Preformatted Char"/>
    <w:basedOn w:val="DefaultParagraphFont"/>
    <w:link w:val="HTMLPreformatted"/>
    <w:semiHidden/>
    <w:rsid w:val="001C7E9C"/>
    <w:rPr>
      <w:rFonts w:ascii="Courier New" w:hAnsi="Courier New" w:cs="Courier New"/>
    </w:rPr>
  </w:style>
  <w:style w:type="character" w:styleId="HTMLSample">
    <w:name w:val="HTML Sample"/>
    <w:basedOn w:val="DefaultParagraphFont"/>
    <w:semiHidden/>
    <w:rsid w:val="001C7E9C"/>
    <w:rPr>
      <w:rFonts w:ascii="Courier New" w:hAnsi="Courier New" w:cs="Courier New"/>
    </w:rPr>
  </w:style>
  <w:style w:type="character" w:styleId="HTMLTypewriter">
    <w:name w:val="HTML Typewriter"/>
    <w:basedOn w:val="DefaultParagraphFont"/>
    <w:semiHidden/>
    <w:rsid w:val="001C7E9C"/>
    <w:rPr>
      <w:rFonts w:ascii="Courier New" w:hAnsi="Courier New" w:cs="Courier New"/>
      <w:sz w:val="20"/>
      <w:szCs w:val="20"/>
    </w:rPr>
  </w:style>
  <w:style w:type="character" w:styleId="HTMLVariable">
    <w:name w:val="HTML Variable"/>
    <w:basedOn w:val="DefaultParagraphFont"/>
    <w:semiHidden/>
    <w:rsid w:val="001C7E9C"/>
    <w:rPr>
      <w:i/>
      <w:iCs/>
    </w:rPr>
  </w:style>
  <w:style w:type="character" w:styleId="LineNumber">
    <w:name w:val="line number"/>
    <w:basedOn w:val="DefaultParagraphFont"/>
    <w:semiHidden/>
    <w:rsid w:val="001C7E9C"/>
  </w:style>
  <w:style w:type="paragraph" w:styleId="List">
    <w:name w:val="List"/>
    <w:basedOn w:val="Normal"/>
    <w:semiHidden/>
    <w:rsid w:val="001C7E9C"/>
    <w:pPr>
      <w:ind w:left="360" w:hanging="360"/>
    </w:pPr>
  </w:style>
  <w:style w:type="paragraph" w:styleId="List2">
    <w:name w:val="List 2"/>
    <w:basedOn w:val="Normal"/>
    <w:semiHidden/>
    <w:rsid w:val="001C7E9C"/>
    <w:pPr>
      <w:ind w:left="720" w:hanging="360"/>
    </w:pPr>
  </w:style>
  <w:style w:type="paragraph" w:styleId="List3">
    <w:name w:val="List 3"/>
    <w:basedOn w:val="Normal"/>
    <w:semiHidden/>
    <w:rsid w:val="001C7E9C"/>
    <w:pPr>
      <w:ind w:left="1080" w:hanging="360"/>
    </w:pPr>
  </w:style>
  <w:style w:type="paragraph" w:styleId="List4">
    <w:name w:val="List 4"/>
    <w:basedOn w:val="Normal"/>
    <w:rsid w:val="001C7E9C"/>
    <w:pPr>
      <w:ind w:left="1440" w:hanging="360"/>
    </w:pPr>
  </w:style>
  <w:style w:type="paragraph" w:styleId="List5">
    <w:name w:val="List 5"/>
    <w:basedOn w:val="Normal"/>
    <w:rsid w:val="001C7E9C"/>
    <w:pPr>
      <w:ind w:left="1800" w:hanging="360"/>
    </w:pPr>
  </w:style>
  <w:style w:type="paragraph" w:styleId="ListBullet">
    <w:name w:val="List Bullet"/>
    <w:basedOn w:val="Normal"/>
    <w:autoRedefine/>
    <w:rsid w:val="001C7E9C"/>
    <w:pPr>
      <w:tabs>
        <w:tab w:val="num" w:pos="360"/>
      </w:tabs>
      <w:ind w:left="360" w:hanging="360"/>
    </w:pPr>
    <w:rPr>
      <w:bCs/>
      <w:szCs w:val="24"/>
      <w:lang w:val="es-ES" w:eastAsia="zh-CN"/>
    </w:rPr>
  </w:style>
  <w:style w:type="paragraph" w:styleId="ListBullet2">
    <w:name w:val="List Bullet 2"/>
    <w:basedOn w:val="Normal"/>
    <w:semiHidden/>
    <w:rsid w:val="001C7E9C"/>
    <w:pPr>
      <w:tabs>
        <w:tab w:val="num" w:pos="720"/>
      </w:tabs>
      <w:ind w:left="720" w:hanging="360"/>
    </w:pPr>
  </w:style>
  <w:style w:type="paragraph" w:styleId="ListBullet3">
    <w:name w:val="List Bullet 3"/>
    <w:basedOn w:val="Normal"/>
    <w:semiHidden/>
    <w:rsid w:val="001C7E9C"/>
    <w:pPr>
      <w:tabs>
        <w:tab w:val="num" w:pos="1080"/>
      </w:tabs>
      <w:ind w:left="1080" w:hanging="360"/>
    </w:pPr>
  </w:style>
  <w:style w:type="paragraph" w:styleId="ListBullet4">
    <w:name w:val="List Bullet 4"/>
    <w:basedOn w:val="Normal"/>
    <w:semiHidden/>
    <w:rsid w:val="001C7E9C"/>
    <w:pPr>
      <w:tabs>
        <w:tab w:val="num" w:pos="1440"/>
      </w:tabs>
      <w:ind w:left="1440" w:hanging="360"/>
    </w:pPr>
  </w:style>
  <w:style w:type="paragraph" w:styleId="ListBullet5">
    <w:name w:val="List Bullet 5"/>
    <w:basedOn w:val="Normal"/>
    <w:semiHidden/>
    <w:rsid w:val="001C7E9C"/>
    <w:pPr>
      <w:tabs>
        <w:tab w:val="num" w:pos="1800"/>
      </w:tabs>
      <w:ind w:left="1800" w:hanging="360"/>
    </w:pPr>
  </w:style>
  <w:style w:type="paragraph" w:styleId="ListContinue">
    <w:name w:val="List Continue"/>
    <w:basedOn w:val="Normal"/>
    <w:semiHidden/>
    <w:rsid w:val="001C7E9C"/>
    <w:pPr>
      <w:spacing w:after="120"/>
      <w:ind w:left="360"/>
    </w:pPr>
  </w:style>
  <w:style w:type="paragraph" w:styleId="ListContinue2">
    <w:name w:val="List Continue 2"/>
    <w:basedOn w:val="Normal"/>
    <w:semiHidden/>
    <w:rsid w:val="001C7E9C"/>
    <w:pPr>
      <w:spacing w:after="120"/>
      <w:ind w:left="720"/>
    </w:pPr>
  </w:style>
  <w:style w:type="paragraph" w:styleId="ListContinue3">
    <w:name w:val="List Continue 3"/>
    <w:basedOn w:val="Normal"/>
    <w:semiHidden/>
    <w:rsid w:val="001C7E9C"/>
    <w:pPr>
      <w:spacing w:after="120"/>
      <w:ind w:left="1080"/>
    </w:pPr>
  </w:style>
  <w:style w:type="paragraph" w:styleId="ListContinue4">
    <w:name w:val="List Continue 4"/>
    <w:basedOn w:val="Normal"/>
    <w:semiHidden/>
    <w:rsid w:val="001C7E9C"/>
    <w:pPr>
      <w:spacing w:after="120"/>
      <w:ind w:left="1440"/>
    </w:pPr>
  </w:style>
  <w:style w:type="paragraph" w:styleId="ListContinue5">
    <w:name w:val="List Continue 5"/>
    <w:basedOn w:val="Normal"/>
    <w:semiHidden/>
    <w:rsid w:val="001C7E9C"/>
    <w:pPr>
      <w:spacing w:after="120"/>
      <w:ind w:left="1800"/>
    </w:pPr>
  </w:style>
  <w:style w:type="paragraph" w:styleId="ListNumber">
    <w:name w:val="List Number"/>
    <w:basedOn w:val="Normal"/>
    <w:rsid w:val="001C7E9C"/>
    <w:pPr>
      <w:tabs>
        <w:tab w:val="num" w:pos="360"/>
      </w:tabs>
      <w:ind w:left="360" w:hanging="360"/>
    </w:pPr>
  </w:style>
  <w:style w:type="paragraph" w:styleId="ListNumber2">
    <w:name w:val="List Number 2"/>
    <w:basedOn w:val="Normal"/>
    <w:semiHidden/>
    <w:rsid w:val="001C7E9C"/>
    <w:pPr>
      <w:tabs>
        <w:tab w:val="num" w:pos="720"/>
      </w:tabs>
      <w:ind w:left="720" w:hanging="360"/>
    </w:pPr>
  </w:style>
  <w:style w:type="paragraph" w:styleId="ListNumber3">
    <w:name w:val="List Number 3"/>
    <w:basedOn w:val="Normal"/>
    <w:semiHidden/>
    <w:rsid w:val="001C7E9C"/>
    <w:pPr>
      <w:tabs>
        <w:tab w:val="num" w:pos="1080"/>
      </w:tabs>
      <w:ind w:left="1080" w:hanging="360"/>
    </w:pPr>
  </w:style>
  <w:style w:type="paragraph" w:styleId="ListNumber4">
    <w:name w:val="List Number 4"/>
    <w:basedOn w:val="Normal"/>
    <w:semiHidden/>
    <w:rsid w:val="001C7E9C"/>
    <w:pPr>
      <w:tabs>
        <w:tab w:val="num" w:pos="1440"/>
      </w:tabs>
      <w:ind w:left="1440" w:hanging="360"/>
    </w:pPr>
  </w:style>
  <w:style w:type="paragraph" w:styleId="ListNumber5">
    <w:name w:val="List Number 5"/>
    <w:basedOn w:val="Normal"/>
    <w:semiHidden/>
    <w:rsid w:val="001C7E9C"/>
    <w:pPr>
      <w:tabs>
        <w:tab w:val="num" w:pos="1800"/>
      </w:tabs>
      <w:ind w:left="1800" w:hanging="360"/>
    </w:pPr>
  </w:style>
  <w:style w:type="paragraph" w:styleId="MessageHeader">
    <w:name w:val="Message Header"/>
    <w:basedOn w:val="Normal"/>
    <w:link w:val="MessageHeaderChar"/>
    <w:semiHidden/>
    <w:rsid w:val="001C7E9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rsid w:val="001C7E9C"/>
    <w:rPr>
      <w:rFonts w:ascii="Arial" w:hAnsi="Arial" w:cs="Arial"/>
      <w:szCs w:val="24"/>
      <w:shd w:val="pct20" w:color="auto" w:fill="auto"/>
    </w:rPr>
  </w:style>
  <w:style w:type="paragraph" w:styleId="NoteHeading">
    <w:name w:val="Note Heading"/>
    <w:basedOn w:val="Normal"/>
    <w:next w:val="Normal"/>
    <w:link w:val="NoteHeadingChar"/>
    <w:semiHidden/>
    <w:rsid w:val="001C7E9C"/>
  </w:style>
  <w:style w:type="character" w:customStyle="1" w:styleId="NoteHeadingChar">
    <w:name w:val="Note Heading Char"/>
    <w:basedOn w:val="DefaultParagraphFont"/>
    <w:link w:val="NoteHeading"/>
    <w:semiHidden/>
    <w:rsid w:val="001C7E9C"/>
    <w:rPr>
      <w:rFonts w:ascii="Arial" w:hAnsi="Arial"/>
    </w:rPr>
  </w:style>
  <w:style w:type="paragraph" w:styleId="Salutation">
    <w:name w:val="Salutation"/>
    <w:basedOn w:val="Normal"/>
    <w:next w:val="Normal"/>
    <w:link w:val="SalutationChar"/>
    <w:rsid w:val="001C7E9C"/>
  </w:style>
  <w:style w:type="character" w:customStyle="1" w:styleId="SalutationChar">
    <w:name w:val="Salutation Char"/>
    <w:basedOn w:val="DefaultParagraphFont"/>
    <w:link w:val="Salutation"/>
    <w:rsid w:val="001C7E9C"/>
    <w:rPr>
      <w:rFonts w:ascii="Arial" w:hAnsi="Arial"/>
    </w:rPr>
  </w:style>
  <w:style w:type="character" w:styleId="Strong">
    <w:name w:val="Strong"/>
    <w:basedOn w:val="DefaultParagraphFont"/>
    <w:qFormat/>
    <w:rsid w:val="001C7E9C"/>
    <w:rPr>
      <w:b/>
      <w:bCs/>
    </w:rPr>
  </w:style>
  <w:style w:type="paragraph" w:styleId="Subtitle">
    <w:name w:val="Subtitle"/>
    <w:basedOn w:val="Normal"/>
    <w:link w:val="SubtitleChar"/>
    <w:qFormat/>
    <w:rsid w:val="001C7E9C"/>
    <w:pPr>
      <w:spacing w:after="60"/>
      <w:jc w:val="center"/>
      <w:outlineLvl w:val="1"/>
    </w:pPr>
    <w:rPr>
      <w:rFonts w:cs="Arial"/>
      <w:szCs w:val="24"/>
    </w:rPr>
  </w:style>
  <w:style w:type="character" w:customStyle="1" w:styleId="SubtitleChar">
    <w:name w:val="Subtitle Char"/>
    <w:basedOn w:val="DefaultParagraphFont"/>
    <w:link w:val="Subtitle"/>
    <w:rsid w:val="001C7E9C"/>
    <w:rPr>
      <w:rFonts w:ascii="Arial" w:hAnsi="Arial" w:cs="Arial"/>
      <w:szCs w:val="24"/>
    </w:rPr>
  </w:style>
  <w:style w:type="table" w:styleId="Table3Deffects1">
    <w:name w:val="Table 3D effects 1"/>
    <w:basedOn w:val="TableNormal"/>
    <w:semiHidden/>
    <w:rsid w:val="001C7E9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C7E9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C7E9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C7E9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C7E9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C7E9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C7E9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C7E9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C7E9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C7E9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C7E9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C7E9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C7E9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C7E9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C7E9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C7E9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C7E9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C7E9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C7E9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C7E9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C7E9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C7E9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C7E9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C7E9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C7E9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C7E9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C7E9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C7E9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C7E9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C7E9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C7E9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C7E9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C7E9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C7E9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C7E9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C7E9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C7E9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C7E9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C7E9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C7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C7E9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C7E9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C7E9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1C7E9C"/>
    <w:pPr>
      <w:ind w:left="1440"/>
    </w:pPr>
  </w:style>
  <w:style w:type="paragraph" w:styleId="TOC8">
    <w:name w:val="toc 8"/>
    <w:basedOn w:val="Normal"/>
    <w:next w:val="Normal"/>
    <w:autoRedefine/>
    <w:semiHidden/>
    <w:rsid w:val="001C7E9C"/>
    <w:pPr>
      <w:ind w:left="1680"/>
    </w:pPr>
  </w:style>
  <w:style w:type="paragraph" w:styleId="TOC9">
    <w:name w:val="toc 9"/>
    <w:basedOn w:val="Normal"/>
    <w:next w:val="Normal"/>
    <w:autoRedefine/>
    <w:semiHidden/>
    <w:rsid w:val="001C7E9C"/>
    <w:pPr>
      <w:ind w:left="1920"/>
    </w:pPr>
  </w:style>
  <w:style w:type="character" w:styleId="FollowedHyperlink">
    <w:name w:val="FollowedHyperlink"/>
    <w:basedOn w:val="DefaultParagraphFont"/>
    <w:rsid w:val="001C7E9C"/>
    <w:rPr>
      <w:color w:val="606420"/>
      <w:u w:val="single"/>
    </w:rPr>
  </w:style>
  <w:style w:type="paragraph" w:styleId="BlockText">
    <w:name w:val="Block Text"/>
    <w:basedOn w:val="Normal"/>
    <w:rsid w:val="001C7E9C"/>
    <w:pPr>
      <w:ind w:left="567" w:right="566"/>
    </w:pPr>
    <w:rPr>
      <w:sz w:val="22"/>
    </w:rPr>
  </w:style>
  <w:style w:type="paragraph" w:styleId="Caption">
    <w:name w:val="caption"/>
    <w:basedOn w:val="Normal"/>
    <w:next w:val="Normal"/>
    <w:qFormat/>
    <w:rsid w:val="001C7E9C"/>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1C7E9C"/>
    <w:rPr>
      <w:sz w:val="22"/>
      <w:lang w:val="es-ES_tradnl"/>
    </w:rPr>
  </w:style>
  <w:style w:type="character" w:customStyle="1" w:styleId="CommentTextChar">
    <w:name w:val="Comment Text Char"/>
    <w:basedOn w:val="DefaultParagraphFont"/>
    <w:link w:val="CommentText"/>
    <w:semiHidden/>
    <w:rsid w:val="001C7E9C"/>
    <w:rPr>
      <w:rFonts w:ascii="Arial" w:hAnsi="Arial"/>
      <w:sz w:val="22"/>
      <w:lang w:val="es-ES_tradnl"/>
    </w:rPr>
  </w:style>
  <w:style w:type="paragraph" w:customStyle="1" w:styleId="Committee">
    <w:name w:val="Committee"/>
    <w:basedOn w:val="Title"/>
    <w:rsid w:val="001C7E9C"/>
    <w:rPr>
      <w:caps w:val="0"/>
    </w:rPr>
  </w:style>
  <w:style w:type="paragraph" w:customStyle="1" w:styleId="n">
    <w:name w:val="n"/>
    <w:basedOn w:val="Header"/>
    <w:rsid w:val="001C7E9C"/>
  </w:style>
  <w:style w:type="paragraph" w:customStyle="1" w:styleId="TitleofSection">
    <w:name w:val="Title of Section"/>
    <w:basedOn w:val="TitleofDoc"/>
    <w:rsid w:val="001C7E9C"/>
    <w:pPr>
      <w:spacing w:before="120" w:after="120"/>
    </w:pPr>
    <w:rPr>
      <w:b/>
      <w:caps w:val="0"/>
      <w:lang w:eastAsia="de-DE"/>
    </w:rPr>
  </w:style>
  <w:style w:type="paragraph" w:customStyle="1" w:styleId="TOCAnnex">
    <w:name w:val="TOC Annex"/>
    <w:basedOn w:val="Normal"/>
    <w:rsid w:val="001C7E9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1C7E9C"/>
    <w:pPr>
      <w:jc w:val="center"/>
    </w:pPr>
    <w:rPr>
      <w:b/>
      <w:caps/>
      <w:szCs w:val="24"/>
    </w:rPr>
  </w:style>
  <w:style w:type="paragraph" w:customStyle="1" w:styleId="Notetoarticle">
    <w:name w:val="Note to article"/>
    <w:basedOn w:val="Normal"/>
    <w:semiHidden/>
    <w:rsid w:val="001C7E9C"/>
  </w:style>
  <w:style w:type="paragraph" w:styleId="PlainText">
    <w:name w:val="Plain Text"/>
    <w:basedOn w:val="Normal"/>
    <w:link w:val="PlainTextChar"/>
    <w:rsid w:val="001C7E9C"/>
    <w:rPr>
      <w:rFonts w:ascii="Courier New" w:hAnsi="Courier New" w:cs="Courier New"/>
      <w:lang w:eastAsia="fr-FR"/>
    </w:rPr>
  </w:style>
  <w:style w:type="character" w:customStyle="1" w:styleId="PlainTextChar">
    <w:name w:val="Plain Text Char"/>
    <w:basedOn w:val="DefaultParagraphFont"/>
    <w:link w:val="PlainText"/>
    <w:rsid w:val="001C7E9C"/>
    <w:rPr>
      <w:rFonts w:ascii="Courier New" w:hAnsi="Courier New" w:cs="Courier New"/>
      <w:lang w:eastAsia="fr-FR"/>
    </w:rPr>
  </w:style>
  <w:style w:type="table" w:customStyle="1" w:styleId="TableGrid10">
    <w:name w:val="Table Grid1"/>
    <w:basedOn w:val="TableNormal"/>
    <w:next w:val="TableGrid"/>
    <w:rsid w:val="001C7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euroseeds.eu/app/uploads/2019/07/12.083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orldseed.org/our-work/trade-rules/" TargetMode="External"/><Relationship Id="rId10" Type="http://schemas.openxmlformats.org/officeDocument/2006/relationships/hyperlink" Target="https://www.upov.int/meetings/en/pages/caj77/e_20_093.html"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upov.int/meetings/en/pages/caj77/contributions.html"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0908-BF9C-4466-AEDD-FF7D2D1B3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caj_77_EN.dotx</Template>
  <TotalTime>115</TotalTime>
  <Pages>17</Pages>
  <Words>7601</Words>
  <Characters>43332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CAJ/77/4</vt:lpstr>
    </vt:vector>
  </TitlesOfParts>
  <Company>UPOV</Company>
  <LinksUpToDate>false</LinksUpToDate>
  <CharactersWithSpaces>50832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CAJ/77/4</dc:title>
  <dc:creator>SANTOS Carla Marina</dc:creator>
  <cp:lastModifiedBy>SANTOS Carla Marina</cp:lastModifiedBy>
  <cp:revision>27</cp:revision>
  <cp:lastPrinted>2020-08-13T16:21:00Z</cp:lastPrinted>
  <dcterms:created xsi:type="dcterms:W3CDTF">2020-08-13T20:14:00Z</dcterms:created>
  <dcterms:modified xsi:type="dcterms:W3CDTF">2020-08-21T09:15:00Z</dcterms:modified>
</cp:coreProperties>
</file>