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rsidR="00EB4E9C" w:rsidRPr="003C7FBE" w:rsidRDefault="00E559F0" w:rsidP="003C7FBE">
            <w:pPr>
              <w:pStyle w:val="Doccode"/>
            </w:pPr>
            <w:r>
              <w:t>CAJ/77</w:t>
            </w:r>
            <w:r w:rsidR="00EB4E9C" w:rsidRPr="00AC2883">
              <w:t>/</w:t>
            </w:r>
            <w:r w:rsidR="00FA59A0">
              <w:t xml:space="preserve">3 </w:t>
            </w:r>
            <w:r w:rsidR="00FA59A0" w:rsidRPr="00CE5020">
              <w:rPr>
                <w:highlight w:val="yellow"/>
                <w:u w:val="single"/>
              </w:rPr>
              <w:t>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22E77">
            <w:pPr>
              <w:pStyle w:val="Docoriginal"/>
            </w:pPr>
            <w:r w:rsidRPr="00AC2883">
              <w:t>Date:</w:t>
            </w:r>
            <w:r w:rsidRPr="000E636A">
              <w:rPr>
                <w:b w:val="0"/>
                <w:spacing w:val="0"/>
              </w:rPr>
              <w:t xml:space="preserve">  </w:t>
            </w:r>
            <w:r w:rsidR="00C5465D" w:rsidRPr="00E3542C">
              <w:rPr>
                <w:b w:val="0"/>
                <w:strike/>
                <w:spacing w:val="0"/>
                <w:highlight w:val="yellow"/>
              </w:rPr>
              <w:t xml:space="preserve">August </w:t>
            </w:r>
            <w:r w:rsidR="00C5465D" w:rsidRPr="00483B5D">
              <w:rPr>
                <w:b w:val="0"/>
                <w:strike/>
                <w:spacing w:val="0"/>
                <w:highlight w:val="yellow"/>
              </w:rPr>
              <w:t>8</w:t>
            </w:r>
            <w:r w:rsidR="00483B5D" w:rsidRPr="00483B5D">
              <w:rPr>
                <w:b w:val="0"/>
                <w:strike/>
                <w:spacing w:val="0"/>
                <w:highlight w:val="yellow"/>
              </w:rPr>
              <w:t>,</w:t>
            </w:r>
            <w:r w:rsidR="00C5465D">
              <w:rPr>
                <w:b w:val="0"/>
                <w:spacing w:val="0"/>
              </w:rPr>
              <w:t xml:space="preserve"> </w:t>
            </w:r>
            <w:r w:rsidR="00C5465D" w:rsidRPr="002D7093">
              <w:rPr>
                <w:b w:val="0"/>
                <w:spacing w:val="0"/>
                <w:highlight w:val="yellow"/>
                <w:u w:val="single"/>
              </w:rPr>
              <w:t>September 25</w:t>
            </w:r>
            <w:r w:rsidR="00FA59A0" w:rsidRPr="00CE5020">
              <w:rPr>
                <w:b w:val="0"/>
                <w:spacing w:val="0"/>
                <w:highlight w:val="yellow"/>
                <w:u w:val="single"/>
              </w:rPr>
              <w:t>,</w:t>
            </w:r>
            <w:r w:rsidR="00FA59A0" w:rsidRPr="00483B5D">
              <w:rPr>
                <w:b w:val="0"/>
                <w:spacing w:val="0"/>
              </w:rPr>
              <w:t xml:space="preserve"> 2020</w:t>
            </w:r>
          </w:p>
        </w:tc>
      </w:tr>
      <w:tr w:rsidR="00CC1EDE" w:rsidRPr="00C5280D" w:rsidTr="00453694">
        <w:tc>
          <w:tcPr>
            <w:tcW w:w="6512" w:type="dxa"/>
            <w:tcBorders>
              <w:top w:val="single" w:sz="4" w:space="0" w:color="auto"/>
              <w:bottom w:val="single" w:sz="4" w:space="0" w:color="auto"/>
            </w:tcBorders>
          </w:tcPr>
          <w:p w:rsidR="00CC1EDE" w:rsidRPr="008F204B" w:rsidRDefault="00CC1EDE" w:rsidP="00CE5020">
            <w:pPr>
              <w:pStyle w:val="Sessiontc"/>
              <w:spacing w:line="240" w:lineRule="auto"/>
              <w:rPr>
                <w:i/>
              </w:rPr>
            </w:pPr>
            <w:bookmarkStart w:id="0" w:name="TitleOfDoc"/>
            <w:bookmarkEnd w:id="0"/>
            <w:r w:rsidRPr="00CE5020">
              <w:rPr>
                <w:i/>
              </w:rPr>
              <w:t>to be considered by correspondence</w:t>
            </w:r>
          </w:p>
        </w:tc>
        <w:tc>
          <w:tcPr>
            <w:tcW w:w="3127" w:type="dxa"/>
            <w:tcBorders>
              <w:top w:val="single" w:sz="4" w:space="0" w:color="auto"/>
              <w:bottom w:val="single" w:sz="4" w:space="0" w:color="auto"/>
            </w:tcBorders>
          </w:tcPr>
          <w:p w:rsidR="00CC1EDE" w:rsidRPr="0049132A" w:rsidRDefault="00CC1EDE" w:rsidP="00453694">
            <w:pPr>
              <w:pStyle w:val="Doccode"/>
            </w:pPr>
          </w:p>
        </w:tc>
      </w:tr>
    </w:tbl>
    <w:p w:rsidR="00122E77" w:rsidRPr="00122E77" w:rsidRDefault="00122E77" w:rsidP="00122E77">
      <w:pPr>
        <w:spacing w:before="600" w:after="240"/>
        <w:jc w:val="left"/>
        <w:rPr>
          <w:b/>
          <w:caps/>
        </w:rPr>
      </w:pPr>
      <w:r w:rsidRPr="00122E77">
        <w:rPr>
          <w:b/>
          <w:caps/>
        </w:rPr>
        <w:t>Development of guidance and information materials</w:t>
      </w:r>
    </w:p>
    <w:p w:rsidR="00122E77" w:rsidRPr="00122E77" w:rsidRDefault="00122E77" w:rsidP="00122E77">
      <w:pPr>
        <w:spacing w:after="240"/>
        <w:jc w:val="left"/>
        <w:rPr>
          <w:i/>
          <w:iCs/>
        </w:rPr>
      </w:pPr>
      <w:bookmarkStart w:id="1" w:name="Prepared"/>
      <w:bookmarkEnd w:id="1"/>
      <w:r w:rsidRPr="00122E77">
        <w:rPr>
          <w:i/>
          <w:iCs/>
        </w:rPr>
        <w:t>Document prepared by the Office of the Union</w:t>
      </w:r>
    </w:p>
    <w:p w:rsidR="00122E77" w:rsidRPr="00122E77" w:rsidRDefault="00122E77" w:rsidP="00122E77">
      <w:pPr>
        <w:spacing w:after="600"/>
        <w:jc w:val="left"/>
        <w:rPr>
          <w:i/>
          <w:iCs/>
          <w:color w:val="A6A6A6" w:themeColor="background1" w:themeShade="A6"/>
        </w:rPr>
      </w:pPr>
      <w:r w:rsidRPr="00122E77">
        <w:rPr>
          <w:i/>
          <w:iCs/>
          <w:color w:val="A6A6A6" w:themeColor="background1" w:themeShade="A6"/>
        </w:rPr>
        <w:t>Disclaimer:  this document does not represent UPOV policies or guidance</w:t>
      </w:r>
    </w:p>
    <w:p w:rsidR="00122E77" w:rsidRPr="00122E77" w:rsidRDefault="00122E77" w:rsidP="00122E77">
      <w:pPr>
        <w:keepNext/>
        <w:outlineLvl w:val="0"/>
        <w:rPr>
          <w:caps/>
          <w:snapToGrid w:val="0"/>
        </w:rPr>
      </w:pPr>
      <w:bookmarkStart w:id="2" w:name="_Toc522523019"/>
      <w:bookmarkStart w:id="3" w:name="_Toc42523410"/>
      <w:bookmarkStart w:id="4" w:name="_Toc51935380"/>
      <w:r w:rsidRPr="00122E77">
        <w:rPr>
          <w:caps/>
          <w:snapToGrid w:val="0"/>
        </w:rPr>
        <w:t>EXECUTIVE SUMMARY</w:t>
      </w:r>
      <w:bookmarkEnd w:id="2"/>
      <w:bookmarkEnd w:id="3"/>
      <w:bookmarkEnd w:id="4"/>
      <w:r w:rsidRPr="00122E77">
        <w:rPr>
          <w:caps/>
          <w:snapToGrid w:val="0"/>
        </w:rPr>
        <w:t xml:space="preserve"> </w:t>
      </w:r>
    </w:p>
    <w:p w:rsidR="00122E77" w:rsidRPr="00122E77" w:rsidRDefault="00122E77" w:rsidP="00122E77">
      <w:pPr>
        <w:rPr>
          <w:caps/>
          <w:snapToGrid w:val="0"/>
          <w:sz w:val="18"/>
        </w:rPr>
      </w:pPr>
    </w:p>
    <w:p w:rsidR="00122E77" w:rsidRPr="00122E77" w:rsidRDefault="00122E77" w:rsidP="00122E77">
      <w:r w:rsidRPr="00122E77">
        <w:fldChar w:fldCharType="begin"/>
      </w:r>
      <w:r w:rsidRPr="00122E77">
        <w:instrText xml:space="preserve"> AUTONUM  </w:instrText>
      </w:r>
      <w:r w:rsidRPr="00122E77">
        <w:fldChar w:fldCharType="end"/>
      </w:r>
      <w:r w:rsidRPr="00122E77">
        <w:tab/>
        <w:t>The purpose of this document is to provide background information to assist the Administrative and Legal Committee (CAJ) in its consideration</w:t>
      </w:r>
      <w:r w:rsidRPr="00122E77">
        <w:rPr>
          <w:vertAlign w:val="superscript"/>
        </w:rPr>
        <w:footnoteReference w:id="2"/>
      </w:r>
      <w:r w:rsidRPr="00122E77">
        <w:t xml:space="preserve"> of relevant matters concerning the development of guidance and information materials.</w:t>
      </w:r>
    </w:p>
    <w:p w:rsidR="00122E77" w:rsidRPr="00122E77" w:rsidRDefault="00122E77" w:rsidP="00122E77">
      <w:pPr>
        <w:rPr>
          <w:sz w:val="18"/>
        </w:rPr>
      </w:pPr>
    </w:p>
    <w:p w:rsidR="00122E77" w:rsidRPr="00122E77" w:rsidRDefault="00122E77" w:rsidP="00122E77">
      <w:r w:rsidRPr="00122E77">
        <w:fldChar w:fldCharType="begin"/>
      </w:r>
      <w:r w:rsidRPr="00122E77">
        <w:instrText xml:space="preserve"> AUTONUM  </w:instrText>
      </w:r>
      <w:r w:rsidRPr="00122E77">
        <w:fldChar w:fldCharType="end"/>
      </w:r>
      <w:r w:rsidRPr="00122E77">
        <w:tab/>
        <w:t>The CAJ is invited to:</w:t>
      </w:r>
      <w:bookmarkStart w:id="5" w:name="_Ref46754969"/>
      <w:r w:rsidRPr="00122E77">
        <w:rPr>
          <w:vertAlign w:val="superscript"/>
        </w:rPr>
        <w:t xml:space="preserve"> </w:t>
      </w:r>
      <w:bookmarkEnd w:id="5"/>
    </w:p>
    <w:p w:rsidR="00122E77" w:rsidRPr="00122E77" w:rsidRDefault="00122E77" w:rsidP="00122E77">
      <w:pPr>
        <w:spacing w:after="60"/>
        <w:rPr>
          <w:sz w:val="18"/>
        </w:rPr>
      </w:pPr>
    </w:p>
    <w:p w:rsidR="00122E77" w:rsidRPr="00122E77" w:rsidRDefault="00122E77" w:rsidP="00122E77">
      <w:pPr>
        <w:spacing w:after="120"/>
      </w:pPr>
      <w:r w:rsidRPr="00122E77">
        <w:tab/>
        <w:t>(a)</w:t>
      </w:r>
      <w:r w:rsidRPr="00122E77">
        <w:tab/>
        <w:t xml:space="preserve">consider the proposed revision of document UPOV/INF/16/8 “Exchangeable Software”, </w:t>
      </w:r>
      <w:r w:rsidRPr="00122E77">
        <w:rPr>
          <w:lang w:eastAsia="ja-JP"/>
        </w:rPr>
        <w:t xml:space="preserve">on the basis of </w:t>
      </w:r>
      <w:r w:rsidRPr="00122E77">
        <w:t>document UPOV/INF/16/9 Draft </w:t>
      </w:r>
      <w:r w:rsidRPr="00CE5020">
        <w:rPr>
          <w:strike/>
          <w:highlight w:val="yellow"/>
        </w:rPr>
        <w:t>1</w:t>
      </w:r>
      <w:r w:rsidR="00CE5020" w:rsidRPr="00CE5020">
        <w:rPr>
          <w:bCs/>
          <w:snapToGrid w:val="0"/>
          <w:szCs w:val="24"/>
          <w:highlight w:val="yellow"/>
          <w:u w:val="single"/>
        </w:rPr>
        <w:t>2</w:t>
      </w:r>
      <w:r w:rsidR="002C31FA" w:rsidRPr="00CE5020">
        <w:rPr>
          <w:rStyle w:val="EndnoteReference"/>
          <w:b/>
          <w:bCs/>
          <w:snapToGrid w:val="0"/>
          <w:szCs w:val="24"/>
          <w:highlight w:val="yellow"/>
          <w:u w:val="single"/>
        </w:rPr>
        <w:endnoteReference w:id="2"/>
      </w:r>
      <w:r w:rsidRPr="00122E77">
        <w:t xml:space="preserve">;  </w:t>
      </w:r>
    </w:p>
    <w:p w:rsidR="00122E77" w:rsidRPr="00122E77" w:rsidRDefault="00122E77" w:rsidP="00122E77">
      <w:pPr>
        <w:spacing w:after="120"/>
      </w:pPr>
      <w:r w:rsidRPr="00122E77">
        <w:tab/>
        <w:t>(b)</w:t>
      </w:r>
      <w:r w:rsidRPr="00122E77">
        <w:tab/>
        <w:t>note that, subject to agreement by the TC and CAJ, an agreed draft of document UPOV/INF/16/9 will be presented for adoption by the Council in 2020;</w:t>
      </w:r>
    </w:p>
    <w:p w:rsidR="00122E77" w:rsidRPr="00122E77" w:rsidRDefault="00122E77" w:rsidP="00122E77">
      <w:pPr>
        <w:tabs>
          <w:tab w:val="left" w:pos="567"/>
          <w:tab w:val="left" w:pos="1134"/>
          <w:tab w:val="left" w:pos="5387"/>
        </w:tabs>
        <w:spacing w:after="120"/>
      </w:pPr>
      <w:r w:rsidRPr="00122E77">
        <w:tab/>
        <w:t>(c)</w:t>
      </w:r>
      <w:r w:rsidRPr="00122E77">
        <w:tab/>
        <w:t xml:space="preserve">consider the proposed revision of document UPOV/INF/22/6 “Software and equipment used by members of the Union”, </w:t>
      </w:r>
      <w:r w:rsidRPr="00122E77">
        <w:rPr>
          <w:lang w:eastAsia="ja-JP"/>
        </w:rPr>
        <w:t xml:space="preserve">on the basis of </w:t>
      </w:r>
      <w:r w:rsidRPr="00122E77">
        <w:t xml:space="preserve">document UPOV/INF/22/7 Draft 1;  </w:t>
      </w:r>
    </w:p>
    <w:p w:rsidR="00122E77" w:rsidRPr="00122E77" w:rsidRDefault="00122E77" w:rsidP="00122E77">
      <w:pPr>
        <w:tabs>
          <w:tab w:val="left" w:pos="567"/>
          <w:tab w:val="left" w:pos="1134"/>
          <w:tab w:val="left" w:pos="5387"/>
        </w:tabs>
        <w:spacing w:after="120"/>
        <w:rPr>
          <w:highlight w:val="yellow"/>
        </w:rPr>
      </w:pPr>
      <w:r w:rsidRPr="00122E77">
        <w:tab/>
        <w:t>(d)</w:t>
      </w:r>
      <w:r w:rsidRPr="00122E77">
        <w:tab/>
        <w:t>note that, subject to agreement by the TC and the CAJ, an agreed draft of document UPOV/INF/22/7 will be presented for adoption by the Council in 2020;</w:t>
      </w:r>
    </w:p>
    <w:p w:rsidR="00122E77" w:rsidRPr="00122E77" w:rsidRDefault="00122E77" w:rsidP="00122E77">
      <w:pPr>
        <w:tabs>
          <w:tab w:val="left" w:pos="567"/>
          <w:tab w:val="left" w:pos="1134"/>
          <w:tab w:val="left" w:pos="5387"/>
        </w:tabs>
        <w:spacing w:after="120"/>
      </w:pPr>
      <w:r w:rsidRPr="00122E77">
        <w:tab/>
        <w:t>(e)</w:t>
      </w:r>
      <w:r w:rsidRPr="00122E77">
        <w:tab/>
        <w:t>note the replies received from members of the Union in response to Circular E 20/017, reproduced in Annex I to this document;</w:t>
      </w:r>
    </w:p>
    <w:p w:rsidR="00122E77" w:rsidRPr="00122E77" w:rsidRDefault="00122E77" w:rsidP="00122E77">
      <w:pPr>
        <w:tabs>
          <w:tab w:val="left" w:pos="567"/>
          <w:tab w:val="left" w:pos="1134"/>
          <w:tab w:val="left" w:pos="5387"/>
        </w:tabs>
        <w:spacing w:after="120"/>
      </w:pPr>
      <w:r w:rsidRPr="00122E77">
        <w:tab/>
        <w:t>(f)</w:t>
      </w:r>
      <w:r w:rsidRPr="00122E77">
        <w:tab/>
        <w:t xml:space="preserve">consider the request by the TWV, at its fifty-fourth session, not to introduce Class 205B in document UPOV/EXN/DEN/1 (see paragraph 25);  </w:t>
      </w:r>
    </w:p>
    <w:p w:rsidR="00122E77" w:rsidRPr="00122E77" w:rsidRDefault="00122E77" w:rsidP="00122E77">
      <w:pPr>
        <w:tabs>
          <w:tab w:val="left" w:pos="567"/>
          <w:tab w:val="left" w:pos="1134"/>
          <w:tab w:val="left" w:pos="5387"/>
        </w:tabs>
        <w:spacing w:after="120"/>
      </w:pPr>
      <w:r w:rsidRPr="00122E77">
        <w:tab/>
        <w:t>(g)</w:t>
      </w:r>
      <w:r w:rsidRPr="00122E77">
        <w:tab/>
        <w:t xml:space="preserve">consider the proposed revision </w:t>
      </w:r>
      <w:r w:rsidRPr="00122E77">
        <w:rPr>
          <w:lang w:eastAsia="ja-JP"/>
        </w:rPr>
        <w:t xml:space="preserve">of </w:t>
      </w:r>
      <w:r w:rsidRPr="00122E77">
        <w:t xml:space="preserve">document UPOV/EXN/DEN “Explanatory Notes on Variety Denominations under the UPOV Convention”, on the basis of document UPOV/EXN/DEN/1 Draft 4;  </w:t>
      </w:r>
    </w:p>
    <w:p w:rsidR="00122E77" w:rsidRPr="00122E77" w:rsidRDefault="00122E77" w:rsidP="00122E77">
      <w:pPr>
        <w:tabs>
          <w:tab w:val="left" w:pos="567"/>
          <w:tab w:val="left" w:pos="1134"/>
          <w:tab w:val="left" w:pos="5387"/>
        </w:tabs>
        <w:spacing w:after="120"/>
      </w:pPr>
      <w:r w:rsidRPr="00122E77">
        <w:tab/>
      </w:r>
      <w:r w:rsidRPr="00CE5020">
        <w:rPr>
          <w:strike/>
          <w:highlight w:val="yellow"/>
        </w:rPr>
        <w:t>(h)</w:t>
      </w:r>
      <w:r w:rsidRPr="00CE5020">
        <w:rPr>
          <w:strike/>
          <w:highlight w:val="yellow"/>
        </w:rPr>
        <w:tab/>
        <w:t>note that, subject to agreement</w:t>
      </w:r>
      <w:r w:rsidRPr="00CE5020">
        <w:rPr>
          <w:strike/>
          <w:snapToGrid w:val="0"/>
          <w:highlight w:val="yellow"/>
          <w:lang w:eastAsia="ja-JP"/>
        </w:rPr>
        <w:t xml:space="preserve"> </w:t>
      </w:r>
      <w:r w:rsidRPr="00CE5020">
        <w:rPr>
          <w:strike/>
          <w:highlight w:val="yellow"/>
        </w:rPr>
        <w:t>by the CAJ, an agreed draft of document UPOV/EXN/DEN/1 will be presented for adoption by the Council in 2020</w:t>
      </w:r>
      <w:r w:rsidR="002C31FA" w:rsidRPr="00CE5020">
        <w:rPr>
          <w:b/>
          <w:highlight w:val="yellow"/>
          <w:u w:val="single"/>
          <w:vertAlign w:val="superscript"/>
        </w:rPr>
        <w:endnoteReference w:id="3"/>
      </w:r>
      <w:r w:rsidRPr="00122E77">
        <w:t>;</w:t>
      </w:r>
    </w:p>
    <w:p w:rsidR="00122E77" w:rsidRPr="00122E77" w:rsidRDefault="00122E77" w:rsidP="00122E77">
      <w:pPr>
        <w:tabs>
          <w:tab w:val="left" w:pos="567"/>
          <w:tab w:val="left" w:pos="1134"/>
          <w:tab w:val="left" w:pos="5387"/>
        </w:tabs>
        <w:spacing w:after="120"/>
      </w:pPr>
      <w:r w:rsidRPr="00122E77">
        <w:tab/>
        <w:t>(i)</w:t>
      </w:r>
      <w:r w:rsidRPr="00122E77">
        <w:tab/>
        <w:t>consider document TGP/5:  Section 6/3 “TGP 5 Experience and Cooperation in DUS Testing, Section 6:  UPOV Report on Technical Examination and UPOV Variety Description”, on the basis of document </w:t>
      </w:r>
      <w:r w:rsidRPr="00122E77">
        <w:rPr>
          <w:spacing w:val="-2"/>
        </w:rPr>
        <w:t>TGP/5:  Section 6/3 Draft 1</w:t>
      </w:r>
      <w:r w:rsidRPr="00122E77">
        <w:t>;</w:t>
      </w:r>
    </w:p>
    <w:p w:rsidR="00122E77" w:rsidRPr="00122E77" w:rsidRDefault="00122E77" w:rsidP="00122E77">
      <w:pPr>
        <w:tabs>
          <w:tab w:val="left" w:pos="567"/>
          <w:tab w:val="left" w:pos="1134"/>
          <w:tab w:val="left" w:pos="5387"/>
        </w:tabs>
        <w:spacing w:after="120"/>
      </w:pPr>
      <w:r w:rsidRPr="00122E77">
        <w:tab/>
        <w:t>(j)</w:t>
      </w:r>
      <w:r w:rsidRPr="00122E77">
        <w:tab/>
        <w:t>note that, subject to agreement by the CAJ, an agreed draft of document TGP/5:  Section 6/3 will be presented for adoption by the Council in 2020;</w:t>
      </w:r>
    </w:p>
    <w:p w:rsidR="00122E77" w:rsidRPr="00122E77" w:rsidRDefault="00122E77" w:rsidP="00122E77">
      <w:pPr>
        <w:tabs>
          <w:tab w:val="left" w:pos="567"/>
          <w:tab w:val="left" w:pos="1134"/>
          <w:tab w:val="left" w:pos="5387"/>
        </w:tabs>
        <w:spacing w:after="120"/>
      </w:pPr>
      <w:r w:rsidRPr="00122E77">
        <w:tab/>
        <w:t>(k)</w:t>
      </w:r>
      <w:r w:rsidRPr="00122E77">
        <w:tab/>
        <w:t>consider document TGP/7/8 “Development of Test Guidelines”, on the basis of document TGP/7/8 Draft 1;</w:t>
      </w:r>
    </w:p>
    <w:p w:rsidR="00122E77" w:rsidRPr="00122E77" w:rsidRDefault="00122E77" w:rsidP="00122E77">
      <w:pPr>
        <w:tabs>
          <w:tab w:val="left" w:pos="567"/>
          <w:tab w:val="left" w:pos="1134"/>
          <w:tab w:val="left" w:pos="5387"/>
        </w:tabs>
        <w:spacing w:after="120"/>
      </w:pPr>
      <w:r w:rsidRPr="00122E77">
        <w:tab/>
        <w:t>(l)</w:t>
      </w:r>
      <w:r w:rsidRPr="00122E77">
        <w:tab/>
        <w:t>note that, subject to agreement by the CAJ, an agreed draft of document TGP/7/8 will be presented for adoption by the Council in 2020;</w:t>
      </w:r>
    </w:p>
    <w:p w:rsidR="00122E77" w:rsidRPr="00122E77" w:rsidRDefault="00122E77" w:rsidP="00122E77">
      <w:pPr>
        <w:tabs>
          <w:tab w:val="left" w:pos="567"/>
          <w:tab w:val="left" w:pos="1134"/>
          <w:tab w:val="left" w:pos="5387"/>
        </w:tabs>
        <w:spacing w:after="120"/>
      </w:pPr>
      <w:r w:rsidRPr="00122E77">
        <w:lastRenderedPageBreak/>
        <w:tab/>
        <w:t>(m)</w:t>
      </w:r>
      <w:r w:rsidRPr="00122E77">
        <w:tab/>
        <w:t>consider document TGP/14/5 “Glossary of Terms Used in UPOV Documents”, on the basis of document TGP/14/5 Draft 1;</w:t>
      </w:r>
    </w:p>
    <w:p w:rsidR="00122E77" w:rsidRPr="00122E77" w:rsidRDefault="00122E77" w:rsidP="00122E77">
      <w:pPr>
        <w:tabs>
          <w:tab w:val="left" w:pos="567"/>
          <w:tab w:val="left" w:pos="1134"/>
          <w:tab w:val="left" w:pos="5387"/>
        </w:tabs>
        <w:spacing w:after="120"/>
      </w:pPr>
      <w:r w:rsidRPr="00122E77">
        <w:tab/>
        <w:t>(n)</w:t>
      </w:r>
      <w:r w:rsidRPr="00122E77">
        <w:tab/>
        <w:t>note that, subject to agreement by the CAJ, an agreed draft of document TGP/14/5 will be presented for adoption by the Council in 2020.</w:t>
      </w:r>
    </w:p>
    <w:p w:rsidR="00122E77" w:rsidRPr="00122E77" w:rsidRDefault="00122E77" w:rsidP="00122E77">
      <w:pPr>
        <w:tabs>
          <w:tab w:val="left" w:pos="567"/>
          <w:tab w:val="left" w:pos="1134"/>
          <w:tab w:val="left" w:pos="5387"/>
        </w:tabs>
        <w:spacing w:after="120"/>
      </w:pPr>
      <w:r w:rsidRPr="00122E77">
        <w:tab/>
        <w:t>(o)</w:t>
      </w:r>
      <w:r w:rsidRPr="00122E77">
        <w:tab/>
        <w:t>consider document TGP/15/3 “Guidance on the use of Biochemical and Molecular Markers in the examination of Distinctness, Uniformity and Stability (DUS)”, on the basis of document TGP/15/3 Draft 1;</w:t>
      </w:r>
    </w:p>
    <w:p w:rsidR="00122E77" w:rsidRPr="00122E77" w:rsidRDefault="00122E77" w:rsidP="00122E77">
      <w:pPr>
        <w:tabs>
          <w:tab w:val="left" w:pos="567"/>
          <w:tab w:val="left" w:pos="1134"/>
          <w:tab w:val="left" w:pos="5387"/>
        </w:tabs>
        <w:spacing w:after="120"/>
      </w:pPr>
      <w:r w:rsidRPr="00122E77">
        <w:tab/>
        <w:t>(p)</w:t>
      </w:r>
      <w:r w:rsidRPr="00122E77">
        <w:tab/>
        <w:t>note that, subject to agreement by the CAJ, an agreed draft of document TGP/15/3 will be presented for adoption by the Council in 2020.</w:t>
      </w:r>
    </w:p>
    <w:p w:rsidR="00122E77" w:rsidRPr="00122E77" w:rsidRDefault="00122E77" w:rsidP="00122E77">
      <w:pPr>
        <w:tabs>
          <w:tab w:val="left" w:pos="567"/>
          <w:tab w:val="left" w:pos="1134"/>
          <w:tab w:val="left" w:pos="5387"/>
        </w:tabs>
        <w:spacing w:after="120"/>
      </w:pPr>
      <w:r w:rsidRPr="00122E77">
        <w:tab/>
        <w:t>(q)</w:t>
      </w:r>
      <w:r w:rsidRPr="00122E77">
        <w:tab/>
        <w:t xml:space="preserve">consider the “Guide to the UPOV Code System”, on the basis of document UPOV/INF/23/1 Draft 1; </w:t>
      </w:r>
    </w:p>
    <w:p w:rsidR="00122E77" w:rsidRPr="00122E77" w:rsidRDefault="00122E77" w:rsidP="00122E77">
      <w:pPr>
        <w:tabs>
          <w:tab w:val="left" w:pos="567"/>
          <w:tab w:val="left" w:pos="1134"/>
          <w:tab w:val="left" w:pos="5387"/>
        </w:tabs>
        <w:spacing w:after="120"/>
      </w:pPr>
      <w:r w:rsidRPr="00122E77">
        <w:rPr>
          <w:spacing w:val="-2"/>
        </w:rPr>
        <w:tab/>
        <w:t>(r)</w:t>
      </w:r>
      <w:r w:rsidRPr="00122E77">
        <w:rPr>
          <w:spacing w:val="-2"/>
        </w:rPr>
        <w:tab/>
      </w:r>
      <w:r w:rsidRPr="00122E77">
        <w:rPr>
          <w:rFonts w:eastAsia="MS Mincho"/>
          <w:snapToGrid w:val="0"/>
          <w:lang w:eastAsia="ja-JP"/>
        </w:rPr>
        <w:t>propose that</w:t>
      </w:r>
      <w:r w:rsidRPr="00122E77">
        <w:t xml:space="preserve"> the TC </w:t>
      </w:r>
      <w:r w:rsidRPr="00122E77">
        <w:rPr>
          <w:lang w:eastAsia="ja-JP"/>
        </w:rPr>
        <w:t xml:space="preserve">consider a new draft of </w:t>
      </w:r>
      <w:r w:rsidRPr="00122E77">
        <w:rPr>
          <w:rFonts w:eastAsia="MS Mincho"/>
          <w:snapToGrid w:val="0"/>
          <w:lang w:eastAsia="ja-JP"/>
        </w:rPr>
        <w:t xml:space="preserve">document UPOV/INF/23/1 “Guide to the UPOV Code System” </w:t>
      </w:r>
      <w:r w:rsidRPr="00122E77">
        <w:t>in 2021</w:t>
      </w:r>
      <w:r w:rsidRPr="00122E77">
        <w:rPr>
          <w:spacing w:val="-2"/>
        </w:rPr>
        <w:t>;</w:t>
      </w:r>
    </w:p>
    <w:p w:rsidR="00122E77" w:rsidRPr="00122E77" w:rsidRDefault="00122E77" w:rsidP="00122E77">
      <w:pPr>
        <w:tabs>
          <w:tab w:val="left" w:pos="567"/>
          <w:tab w:val="left" w:pos="1134"/>
          <w:tab w:val="left" w:pos="5387"/>
        </w:tabs>
        <w:spacing w:after="120"/>
        <w:rPr>
          <w:highlight w:val="yellow"/>
        </w:rPr>
      </w:pPr>
      <w:r w:rsidRPr="00122E77">
        <w:tab/>
        <w:t>(s)</w:t>
      </w:r>
      <w:r w:rsidRPr="00122E77">
        <w:tab/>
        <w:t>consider the proposals for revision of documents UPOV/INF/6 and TGP/5 Section 2, as proposed in paragraphs 58 and 59 to this document, for adoption by the Council at its session in 2021;</w:t>
      </w:r>
    </w:p>
    <w:p w:rsidR="00122E77" w:rsidRPr="00122E77" w:rsidRDefault="00122E77" w:rsidP="00122E77">
      <w:pPr>
        <w:tabs>
          <w:tab w:val="left" w:pos="567"/>
          <w:tab w:val="left" w:pos="1134"/>
          <w:tab w:val="left" w:pos="5387"/>
        </w:tabs>
        <w:spacing w:after="120"/>
        <w:rPr>
          <w:highlight w:val="yellow"/>
        </w:rPr>
      </w:pPr>
      <w:r w:rsidRPr="00122E77">
        <w:tab/>
        <w:t>(t)</w:t>
      </w:r>
      <w:r w:rsidRPr="00122E77">
        <w:tab/>
        <w:t>note that matters concerning essentially derived varieties are considered in document CAJ/77/4;</w:t>
      </w:r>
    </w:p>
    <w:p w:rsidR="00122E77" w:rsidRPr="00122E77" w:rsidRDefault="00122E77" w:rsidP="00122E77">
      <w:pPr>
        <w:tabs>
          <w:tab w:val="left" w:pos="567"/>
          <w:tab w:val="left" w:pos="1134"/>
          <w:tab w:val="left" w:pos="5387"/>
        </w:tabs>
        <w:spacing w:after="120"/>
      </w:pPr>
      <w:r w:rsidRPr="00122E77">
        <w:tab/>
        <w:t>(u)</w:t>
      </w:r>
      <w:r w:rsidRPr="00122E77">
        <w:tab/>
        <w:t>note that matters concerning harvested material are considered in document CAJ/77/5;</w:t>
      </w:r>
    </w:p>
    <w:p w:rsidR="00122E77" w:rsidRPr="00122E77" w:rsidRDefault="00122E77" w:rsidP="00122E77">
      <w:pPr>
        <w:tabs>
          <w:tab w:val="left" w:pos="567"/>
          <w:tab w:val="left" w:pos="1134"/>
          <w:tab w:val="left" w:pos="5387"/>
        </w:tabs>
        <w:spacing w:after="120"/>
      </w:pPr>
      <w:r w:rsidRPr="00122E77">
        <w:tab/>
        <w:t>(v)</w:t>
      </w:r>
      <w:r w:rsidRPr="00122E77">
        <w:tab/>
        <w:t>note that matters concerning novelty of parent lines with regard to the exploitation of the hybrid variety are considered in document CAJ/77/6;</w:t>
      </w:r>
    </w:p>
    <w:p w:rsidR="00122E77" w:rsidRPr="00122E77" w:rsidRDefault="00122E77" w:rsidP="00122E77">
      <w:pPr>
        <w:tabs>
          <w:tab w:val="left" w:pos="567"/>
          <w:tab w:val="left" w:pos="1134"/>
          <w:tab w:val="left" w:pos="5387"/>
        </w:tabs>
        <w:spacing w:after="120"/>
      </w:pPr>
      <w:r w:rsidRPr="00122E77">
        <w:tab/>
        <w:t>(w)</w:t>
      </w:r>
      <w:r w:rsidRPr="00122E77">
        <w:tab/>
        <w:t>to consider the program for the development of information materials, as proposed in Annex VI to this document, subject to its conclusions on the matters above;  and</w:t>
      </w:r>
    </w:p>
    <w:p w:rsidR="00122E77" w:rsidRPr="00122E77" w:rsidRDefault="00122E77" w:rsidP="00122E77">
      <w:pPr>
        <w:tabs>
          <w:tab w:val="left" w:pos="567"/>
          <w:tab w:val="left" w:pos="1134"/>
          <w:tab w:val="left" w:pos="5387"/>
        </w:tabs>
        <w:spacing w:after="120"/>
      </w:pPr>
      <w:r w:rsidRPr="00122E77">
        <w:tab/>
        <w:t>(x)</w:t>
      </w:r>
      <w:r w:rsidRPr="00122E77">
        <w:tab/>
        <w:t>consider the program for the development of TGP documents, as set out in Annex VII of this document, taking into account the conclusions of the TC.</w:t>
      </w:r>
    </w:p>
    <w:p w:rsidR="00122E77" w:rsidRPr="00122E77" w:rsidRDefault="00122E77" w:rsidP="00122E77">
      <w:pPr>
        <w:tabs>
          <w:tab w:val="left" w:pos="567"/>
          <w:tab w:val="left" w:pos="1134"/>
          <w:tab w:val="left" w:pos="5387"/>
        </w:tabs>
        <w:spacing w:after="60"/>
        <w:rPr>
          <w:sz w:val="18"/>
          <w:highlight w:val="yellow"/>
        </w:rPr>
      </w:pPr>
    </w:p>
    <w:p w:rsidR="00122E77" w:rsidRPr="00122E77" w:rsidRDefault="00122E77" w:rsidP="00122E77">
      <w:pPr>
        <w:spacing w:after="200"/>
        <w:rPr>
          <w:rFonts w:cs="Arial"/>
        </w:rPr>
      </w:pPr>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rPr>
        <w:tab/>
        <w:t>The structure of this document is as follows:</w:t>
      </w:r>
    </w:p>
    <w:p w:rsidR="00B86044" w:rsidRDefault="00122E77">
      <w:pPr>
        <w:pStyle w:val="TOC1"/>
        <w:rPr>
          <w:rFonts w:asciiTheme="minorHAnsi" w:eastAsiaTheme="minorEastAsia" w:hAnsiTheme="minorHAnsi" w:cstheme="minorBidi"/>
          <w:caps w:val="0"/>
          <w:noProof/>
          <w:sz w:val="22"/>
          <w:szCs w:val="22"/>
        </w:rPr>
      </w:pPr>
      <w:r w:rsidRPr="00122E77">
        <w:rPr>
          <w:rFonts w:cs="Arial"/>
          <w:bCs/>
          <w:noProof/>
          <w:snapToGrid w:val="0"/>
          <w:highlight w:val="yellow"/>
        </w:rPr>
        <w:fldChar w:fldCharType="begin"/>
      </w:r>
      <w:r w:rsidRPr="00122E77">
        <w:rPr>
          <w:rFonts w:cs="Arial"/>
          <w:bCs/>
          <w:noProof/>
          <w:snapToGrid w:val="0"/>
          <w:highlight w:val="yellow"/>
        </w:rPr>
        <w:instrText xml:space="preserve"> TOC \o "1-4" \h \z \u </w:instrText>
      </w:r>
      <w:r w:rsidRPr="00122E77">
        <w:rPr>
          <w:rFonts w:cs="Arial"/>
          <w:bCs/>
          <w:noProof/>
          <w:snapToGrid w:val="0"/>
          <w:highlight w:val="yellow"/>
        </w:rPr>
        <w:fldChar w:fldCharType="separate"/>
      </w:r>
      <w:hyperlink w:anchor="_Toc51935380" w:history="1">
        <w:r w:rsidR="00B86044" w:rsidRPr="0006182B">
          <w:rPr>
            <w:rStyle w:val="Hyperlink"/>
            <w:noProof/>
            <w:snapToGrid w:val="0"/>
          </w:rPr>
          <w:t>EXECUTIVE SUMMARY</w:t>
        </w:r>
        <w:r w:rsidR="00B86044">
          <w:rPr>
            <w:noProof/>
            <w:webHidden/>
          </w:rPr>
          <w:tab/>
        </w:r>
        <w:r w:rsidR="00B86044">
          <w:rPr>
            <w:noProof/>
            <w:webHidden/>
          </w:rPr>
          <w:fldChar w:fldCharType="begin"/>
        </w:r>
        <w:r w:rsidR="00B86044">
          <w:rPr>
            <w:noProof/>
            <w:webHidden/>
          </w:rPr>
          <w:instrText xml:space="preserve"> PAGEREF _Toc51935380 \h </w:instrText>
        </w:r>
        <w:r w:rsidR="00B86044">
          <w:rPr>
            <w:noProof/>
            <w:webHidden/>
          </w:rPr>
        </w:r>
        <w:r w:rsidR="00B86044">
          <w:rPr>
            <w:noProof/>
            <w:webHidden/>
          </w:rPr>
          <w:fldChar w:fldCharType="separate"/>
        </w:r>
        <w:r w:rsidR="00B86044">
          <w:rPr>
            <w:noProof/>
            <w:webHidden/>
          </w:rPr>
          <w:t>1</w:t>
        </w:r>
        <w:r w:rsidR="00B86044">
          <w:rPr>
            <w:noProof/>
            <w:webHidden/>
          </w:rPr>
          <w:fldChar w:fldCharType="end"/>
        </w:r>
      </w:hyperlink>
    </w:p>
    <w:p w:rsidR="00B86044" w:rsidRDefault="00800945">
      <w:pPr>
        <w:pStyle w:val="TOC1"/>
        <w:rPr>
          <w:rFonts w:asciiTheme="minorHAnsi" w:eastAsiaTheme="minorEastAsia" w:hAnsiTheme="minorHAnsi" w:cstheme="minorBidi"/>
          <w:caps w:val="0"/>
          <w:noProof/>
          <w:sz w:val="22"/>
          <w:szCs w:val="22"/>
        </w:rPr>
      </w:pPr>
      <w:hyperlink w:anchor="_Toc51935381" w:history="1">
        <w:r w:rsidR="00B86044" w:rsidRPr="0006182B">
          <w:rPr>
            <w:rStyle w:val="Hyperlink"/>
            <w:noProof/>
          </w:rPr>
          <w:t>BACKGROUND</w:t>
        </w:r>
        <w:r w:rsidR="00B86044">
          <w:rPr>
            <w:noProof/>
            <w:webHidden/>
          </w:rPr>
          <w:tab/>
        </w:r>
        <w:r w:rsidR="00B86044">
          <w:rPr>
            <w:noProof/>
            <w:webHidden/>
          </w:rPr>
          <w:fldChar w:fldCharType="begin"/>
        </w:r>
        <w:r w:rsidR="00B86044">
          <w:rPr>
            <w:noProof/>
            <w:webHidden/>
          </w:rPr>
          <w:instrText xml:space="preserve"> PAGEREF _Toc51935381 \h </w:instrText>
        </w:r>
        <w:r w:rsidR="00B86044">
          <w:rPr>
            <w:noProof/>
            <w:webHidden/>
          </w:rPr>
        </w:r>
        <w:r w:rsidR="00B86044">
          <w:rPr>
            <w:noProof/>
            <w:webHidden/>
          </w:rPr>
          <w:fldChar w:fldCharType="separate"/>
        </w:r>
        <w:r w:rsidR="00B86044">
          <w:rPr>
            <w:noProof/>
            <w:webHidden/>
          </w:rPr>
          <w:t>3</w:t>
        </w:r>
        <w:r w:rsidR="00B86044">
          <w:rPr>
            <w:noProof/>
            <w:webHidden/>
          </w:rPr>
          <w:fldChar w:fldCharType="end"/>
        </w:r>
      </w:hyperlink>
    </w:p>
    <w:p w:rsidR="00B86044" w:rsidRDefault="00800945">
      <w:pPr>
        <w:pStyle w:val="TOC1"/>
        <w:rPr>
          <w:rFonts w:asciiTheme="minorHAnsi" w:eastAsiaTheme="minorEastAsia" w:hAnsiTheme="minorHAnsi" w:cstheme="minorBidi"/>
          <w:caps w:val="0"/>
          <w:noProof/>
          <w:sz w:val="22"/>
          <w:szCs w:val="22"/>
        </w:rPr>
      </w:pPr>
      <w:hyperlink w:anchor="_Toc51935382" w:history="1">
        <w:r w:rsidR="00B86044" w:rsidRPr="0006182B">
          <w:rPr>
            <w:rStyle w:val="Hyperlink"/>
            <w:noProof/>
          </w:rPr>
          <w:t>Matters proposed for adoption by the Council in 2020</w:t>
        </w:r>
        <w:r w:rsidR="00B86044">
          <w:rPr>
            <w:noProof/>
            <w:webHidden/>
          </w:rPr>
          <w:tab/>
        </w:r>
        <w:r w:rsidR="00B86044">
          <w:rPr>
            <w:noProof/>
            <w:webHidden/>
          </w:rPr>
          <w:fldChar w:fldCharType="begin"/>
        </w:r>
        <w:r w:rsidR="00B86044">
          <w:rPr>
            <w:noProof/>
            <w:webHidden/>
          </w:rPr>
          <w:instrText xml:space="preserve"> PAGEREF _Toc51935382 \h </w:instrText>
        </w:r>
        <w:r w:rsidR="00B86044">
          <w:rPr>
            <w:noProof/>
            <w:webHidden/>
          </w:rPr>
        </w:r>
        <w:r w:rsidR="00B86044">
          <w:rPr>
            <w:noProof/>
            <w:webHidden/>
          </w:rPr>
          <w:fldChar w:fldCharType="separate"/>
        </w:r>
        <w:r w:rsidR="00B86044">
          <w:rPr>
            <w:noProof/>
            <w:webHidden/>
          </w:rPr>
          <w:t>3</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383" w:history="1">
        <w:r w:rsidR="00B86044" w:rsidRPr="0006182B">
          <w:rPr>
            <w:rStyle w:val="Hyperlink"/>
            <w:noProof/>
            <w:snapToGrid w:val="0"/>
          </w:rPr>
          <w:t>(a)</w:t>
        </w:r>
        <w:r w:rsidR="00B86044">
          <w:rPr>
            <w:rFonts w:asciiTheme="minorHAnsi" w:eastAsiaTheme="minorEastAsia" w:hAnsiTheme="minorHAnsi" w:cstheme="minorBidi"/>
            <w:noProof/>
            <w:sz w:val="22"/>
            <w:szCs w:val="22"/>
          </w:rPr>
          <w:tab/>
        </w:r>
        <w:r w:rsidR="00B86044" w:rsidRPr="0006182B">
          <w:rPr>
            <w:rStyle w:val="Hyperlink"/>
            <w:noProof/>
            <w:snapToGrid w:val="0"/>
          </w:rPr>
          <w:t>Information Materials</w:t>
        </w:r>
        <w:r w:rsidR="00B86044">
          <w:rPr>
            <w:noProof/>
            <w:webHidden/>
          </w:rPr>
          <w:tab/>
        </w:r>
        <w:r w:rsidR="00B86044">
          <w:rPr>
            <w:noProof/>
            <w:webHidden/>
          </w:rPr>
          <w:fldChar w:fldCharType="begin"/>
        </w:r>
        <w:r w:rsidR="00B86044">
          <w:rPr>
            <w:noProof/>
            <w:webHidden/>
          </w:rPr>
          <w:instrText xml:space="preserve"> PAGEREF _Toc51935383 \h </w:instrText>
        </w:r>
        <w:r w:rsidR="00B86044">
          <w:rPr>
            <w:noProof/>
            <w:webHidden/>
          </w:rPr>
        </w:r>
        <w:r w:rsidR="00B86044">
          <w:rPr>
            <w:noProof/>
            <w:webHidden/>
          </w:rPr>
          <w:fldChar w:fldCharType="separate"/>
        </w:r>
        <w:r w:rsidR="00B86044">
          <w:rPr>
            <w:noProof/>
            <w:webHidden/>
          </w:rPr>
          <w:t>3</w:t>
        </w:r>
        <w:r w:rsidR="00B86044">
          <w:rPr>
            <w:noProof/>
            <w:webHidden/>
          </w:rPr>
          <w:fldChar w:fldCharType="end"/>
        </w:r>
      </w:hyperlink>
    </w:p>
    <w:p w:rsidR="00B86044" w:rsidRDefault="00800945">
      <w:pPr>
        <w:pStyle w:val="TOC3"/>
        <w:rPr>
          <w:rFonts w:asciiTheme="minorHAnsi" w:eastAsiaTheme="minorEastAsia" w:hAnsiTheme="minorHAnsi" w:cstheme="minorBidi"/>
          <w:noProof/>
          <w:sz w:val="22"/>
          <w:szCs w:val="22"/>
          <w:lang w:val="en-US"/>
        </w:rPr>
      </w:pPr>
      <w:hyperlink w:anchor="_Toc51935384" w:history="1">
        <w:r w:rsidR="00B86044" w:rsidRPr="0006182B">
          <w:rPr>
            <w:rStyle w:val="Hyperlink"/>
            <w:i/>
            <w:noProof/>
          </w:rPr>
          <w:t>Revision of document UPOV/INF/16 “Exchangeable Software” (document UPOV/INF/16/9 Draft </w:t>
        </w:r>
        <w:r w:rsidR="00B86044" w:rsidRPr="0006182B">
          <w:rPr>
            <w:rStyle w:val="Hyperlink"/>
            <w:i/>
            <w:strike/>
            <w:noProof/>
            <w:highlight w:val="yellow"/>
          </w:rPr>
          <w:t>1</w:t>
        </w:r>
        <w:r w:rsidR="00B86044" w:rsidRPr="0006182B">
          <w:rPr>
            <w:rStyle w:val="Hyperlink"/>
            <w:bCs/>
            <w:i/>
            <w:noProof/>
            <w:snapToGrid w:val="0"/>
            <w:highlight w:val="yellow"/>
          </w:rPr>
          <w:t>2</w:t>
        </w:r>
        <w:r w:rsidR="00B86044" w:rsidRPr="0006182B">
          <w:rPr>
            <w:rStyle w:val="Hyperlink"/>
            <w:i/>
            <w:noProof/>
          </w:rPr>
          <w:t>)</w:t>
        </w:r>
        <w:r w:rsidR="00B86044">
          <w:rPr>
            <w:noProof/>
            <w:webHidden/>
          </w:rPr>
          <w:tab/>
        </w:r>
        <w:r w:rsidR="00B86044">
          <w:rPr>
            <w:noProof/>
            <w:webHidden/>
          </w:rPr>
          <w:fldChar w:fldCharType="begin"/>
        </w:r>
        <w:r w:rsidR="00B86044">
          <w:rPr>
            <w:noProof/>
            <w:webHidden/>
          </w:rPr>
          <w:instrText xml:space="preserve"> PAGEREF _Toc51935384 \h </w:instrText>
        </w:r>
        <w:r w:rsidR="00B86044">
          <w:rPr>
            <w:noProof/>
            <w:webHidden/>
          </w:rPr>
        </w:r>
        <w:r w:rsidR="00B86044">
          <w:rPr>
            <w:noProof/>
            <w:webHidden/>
          </w:rPr>
          <w:fldChar w:fldCharType="separate"/>
        </w:r>
        <w:r w:rsidR="00B86044">
          <w:rPr>
            <w:noProof/>
            <w:webHidden/>
          </w:rPr>
          <w:t>3</w:t>
        </w:r>
        <w:r w:rsidR="00B86044">
          <w:rPr>
            <w:noProof/>
            <w:webHidden/>
          </w:rPr>
          <w:fldChar w:fldCharType="end"/>
        </w:r>
      </w:hyperlink>
    </w:p>
    <w:p w:rsidR="00B86044" w:rsidRDefault="00800945">
      <w:pPr>
        <w:pStyle w:val="TOC4"/>
        <w:rPr>
          <w:rFonts w:asciiTheme="minorHAnsi" w:eastAsiaTheme="minorEastAsia" w:hAnsiTheme="minorHAnsi" w:cstheme="minorBidi"/>
          <w:noProof/>
          <w:sz w:val="22"/>
          <w:szCs w:val="22"/>
          <w:lang w:val="en-US"/>
        </w:rPr>
      </w:pPr>
      <w:hyperlink w:anchor="_Toc51935385" w:history="1">
        <w:r w:rsidR="00B86044" w:rsidRPr="0006182B">
          <w:rPr>
            <w:rStyle w:val="Hyperlink"/>
            <w:noProof/>
            <w:snapToGrid w:val="0"/>
            <w:lang w:eastAsia="ja-JP"/>
          </w:rPr>
          <w:t>Inclusion of new software in document UPOV/INF/16</w:t>
        </w:r>
        <w:r w:rsidR="00B86044">
          <w:rPr>
            <w:noProof/>
            <w:webHidden/>
          </w:rPr>
          <w:tab/>
        </w:r>
        <w:r w:rsidR="00B86044">
          <w:rPr>
            <w:noProof/>
            <w:webHidden/>
          </w:rPr>
          <w:fldChar w:fldCharType="begin"/>
        </w:r>
        <w:r w:rsidR="00B86044">
          <w:rPr>
            <w:noProof/>
            <w:webHidden/>
          </w:rPr>
          <w:instrText xml:space="preserve"> PAGEREF _Toc51935385 \h </w:instrText>
        </w:r>
        <w:r w:rsidR="00B86044">
          <w:rPr>
            <w:noProof/>
            <w:webHidden/>
          </w:rPr>
        </w:r>
        <w:r w:rsidR="00B86044">
          <w:rPr>
            <w:noProof/>
            <w:webHidden/>
          </w:rPr>
          <w:fldChar w:fldCharType="separate"/>
        </w:r>
        <w:r w:rsidR="00B86044">
          <w:rPr>
            <w:noProof/>
            <w:webHidden/>
          </w:rPr>
          <w:t>3</w:t>
        </w:r>
        <w:r w:rsidR="00B86044">
          <w:rPr>
            <w:noProof/>
            <w:webHidden/>
          </w:rPr>
          <w:fldChar w:fldCharType="end"/>
        </w:r>
      </w:hyperlink>
    </w:p>
    <w:p w:rsidR="00B86044" w:rsidRDefault="00800945">
      <w:pPr>
        <w:pStyle w:val="TOC4"/>
        <w:rPr>
          <w:rFonts w:asciiTheme="minorHAnsi" w:eastAsiaTheme="minorEastAsia" w:hAnsiTheme="minorHAnsi" w:cstheme="minorBidi"/>
          <w:noProof/>
          <w:sz w:val="22"/>
          <w:szCs w:val="22"/>
          <w:lang w:val="en-US"/>
        </w:rPr>
      </w:pPr>
      <w:hyperlink w:anchor="_Toc51935386" w:history="1">
        <w:r w:rsidR="00B86044" w:rsidRPr="0006182B">
          <w:rPr>
            <w:rStyle w:val="Hyperlink"/>
            <w:noProof/>
            <w:snapToGrid w:val="0"/>
          </w:rPr>
          <w:t>Invitation to provide information on the use of the software included in document UPOV/INF/16</w:t>
        </w:r>
        <w:r w:rsidR="00B86044">
          <w:rPr>
            <w:noProof/>
            <w:webHidden/>
          </w:rPr>
          <w:tab/>
        </w:r>
        <w:r w:rsidR="00B86044">
          <w:rPr>
            <w:noProof/>
            <w:webHidden/>
          </w:rPr>
          <w:fldChar w:fldCharType="begin"/>
        </w:r>
        <w:r w:rsidR="00B86044">
          <w:rPr>
            <w:noProof/>
            <w:webHidden/>
          </w:rPr>
          <w:instrText xml:space="preserve"> PAGEREF _Toc51935386 \h </w:instrText>
        </w:r>
        <w:r w:rsidR="00B86044">
          <w:rPr>
            <w:noProof/>
            <w:webHidden/>
          </w:rPr>
        </w:r>
        <w:r w:rsidR="00B86044">
          <w:rPr>
            <w:noProof/>
            <w:webHidden/>
          </w:rPr>
          <w:fldChar w:fldCharType="separate"/>
        </w:r>
        <w:r w:rsidR="00B86044">
          <w:rPr>
            <w:noProof/>
            <w:webHidden/>
          </w:rPr>
          <w:t>4</w:t>
        </w:r>
        <w:r w:rsidR="00B86044">
          <w:rPr>
            <w:noProof/>
            <w:webHidden/>
          </w:rPr>
          <w:fldChar w:fldCharType="end"/>
        </w:r>
      </w:hyperlink>
    </w:p>
    <w:p w:rsidR="00B86044" w:rsidRDefault="00800945">
      <w:pPr>
        <w:pStyle w:val="TOC3"/>
        <w:rPr>
          <w:rFonts w:asciiTheme="minorHAnsi" w:eastAsiaTheme="minorEastAsia" w:hAnsiTheme="minorHAnsi" w:cstheme="minorBidi"/>
          <w:noProof/>
          <w:sz w:val="22"/>
          <w:szCs w:val="22"/>
          <w:lang w:val="en-US"/>
        </w:rPr>
      </w:pPr>
      <w:hyperlink w:anchor="_Toc51935387" w:history="1">
        <w:r w:rsidR="00B86044" w:rsidRPr="0006182B">
          <w:rPr>
            <w:rStyle w:val="Hyperlink"/>
            <w:i/>
            <w:noProof/>
          </w:rPr>
          <w:t>Revision of document UPOV/INF/22 “Software and equipment used by members of the Union” (document UPOV/INF/22/7 Draft 1)</w:t>
        </w:r>
        <w:r w:rsidR="00B86044">
          <w:rPr>
            <w:noProof/>
            <w:webHidden/>
          </w:rPr>
          <w:tab/>
        </w:r>
        <w:r w:rsidR="00B86044">
          <w:rPr>
            <w:noProof/>
            <w:webHidden/>
          </w:rPr>
          <w:fldChar w:fldCharType="begin"/>
        </w:r>
        <w:r w:rsidR="00B86044">
          <w:rPr>
            <w:noProof/>
            <w:webHidden/>
          </w:rPr>
          <w:instrText xml:space="preserve"> PAGEREF _Toc51935387 \h </w:instrText>
        </w:r>
        <w:r w:rsidR="00B86044">
          <w:rPr>
            <w:noProof/>
            <w:webHidden/>
          </w:rPr>
        </w:r>
        <w:r w:rsidR="00B86044">
          <w:rPr>
            <w:noProof/>
            <w:webHidden/>
          </w:rPr>
          <w:fldChar w:fldCharType="separate"/>
        </w:r>
        <w:r w:rsidR="00B86044">
          <w:rPr>
            <w:noProof/>
            <w:webHidden/>
          </w:rPr>
          <w:t>4</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388" w:history="1">
        <w:r w:rsidR="00B86044" w:rsidRPr="0006182B">
          <w:rPr>
            <w:rStyle w:val="Hyperlink"/>
            <w:noProof/>
          </w:rPr>
          <w:t>(b)</w:t>
        </w:r>
        <w:r w:rsidR="00B86044">
          <w:rPr>
            <w:rFonts w:asciiTheme="minorHAnsi" w:eastAsiaTheme="minorEastAsia" w:hAnsiTheme="minorHAnsi" w:cstheme="minorBidi"/>
            <w:noProof/>
            <w:sz w:val="22"/>
            <w:szCs w:val="22"/>
          </w:rPr>
          <w:tab/>
        </w:r>
        <w:r w:rsidR="00B86044" w:rsidRPr="0006182B">
          <w:rPr>
            <w:rStyle w:val="Hyperlink"/>
            <w:noProof/>
          </w:rPr>
          <w:t>Explanatory Notes</w:t>
        </w:r>
        <w:r w:rsidR="00B86044">
          <w:rPr>
            <w:noProof/>
            <w:webHidden/>
          </w:rPr>
          <w:tab/>
        </w:r>
        <w:r w:rsidR="00B86044">
          <w:rPr>
            <w:noProof/>
            <w:webHidden/>
          </w:rPr>
          <w:fldChar w:fldCharType="begin"/>
        </w:r>
        <w:r w:rsidR="00B86044">
          <w:rPr>
            <w:noProof/>
            <w:webHidden/>
          </w:rPr>
          <w:instrText xml:space="preserve"> PAGEREF _Toc51935388 \h </w:instrText>
        </w:r>
        <w:r w:rsidR="00B86044">
          <w:rPr>
            <w:noProof/>
            <w:webHidden/>
          </w:rPr>
        </w:r>
        <w:r w:rsidR="00B86044">
          <w:rPr>
            <w:noProof/>
            <w:webHidden/>
          </w:rPr>
          <w:fldChar w:fldCharType="separate"/>
        </w:r>
        <w:r w:rsidR="00B86044">
          <w:rPr>
            <w:noProof/>
            <w:webHidden/>
          </w:rPr>
          <w:t>5</w:t>
        </w:r>
        <w:r w:rsidR="00B86044">
          <w:rPr>
            <w:noProof/>
            <w:webHidden/>
          </w:rPr>
          <w:fldChar w:fldCharType="end"/>
        </w:r>
      </w:hyperlink>
    </w:p>
    <w:p w:rsidR="00B86044" w:rsidRDefault="00800945">
      <w:pPr>
        <w:pStyle w:val="TOC3"/>
        <w:rPr>
          <w:rFonts w:asciiTheme="minorHAnsi" w:eastAsiaTheme="minorEastAsia" w:hAnsiTheme="minorHAnsi" w:cstheme="minorBidi"/>
          <w:noProof/>
          <w:sz w:val="22"/>
          <w:szCs w:val="22"/>
          <w:lang w:val="en-US"/>
        </w:rPr>
      </w:pPr>
      <w:hyperlink w:anchor="_Toc51935389" w:history="1">
        <w:r w:rsidR="00B86044" w:rsidRPr="0006182B">
          <w:rPr>
            <w:rStyle w:val="Hyperlink"/>
            <w:i/>
            <w:noProof/>
          </w:rPr>
          <w:t>UPOV/EXN/DEN:  Explanatory Notes on Variety Denominations under the UPOV Convention (document UPOV/EXN/DEN/1 Draft 4</w:t>
        </w:r>
        <w:r w:rsidR="00B86044" w:rsidRPr="00B86044">
          <w:rPr>
            <w:rStyle w:val="Hyperlink"/>
            <w:i/>
            <w:noProof/>
            <w:color w:val="auto"/>
            <w:highlight w:val="yellow"/>
          </w:rPr>
          <w:t xml:space="preserve"> to be considered at the virtual session of the CAJ</w:t>
        </w:r>
        <w:r w:rsidR="00B86044" w:rsidRPr="00B86044">
          <w:rPr>
            <w:rStyle w:val="Hyperlink"/>
            <w:i/>
            <w:noProof/>
            <w:color w:val="auto"/>
          </w:rPr>
          <w:t>)</w:t>
        </w:r>
        <w:r w:rsidR="00B86044">
          <w:rPr>
            <w:noProof/>
            <w:webHidden/>
          </w:rPr>
          <w:tab/>
        </w:r>
        <w:r w:rsidR="00B86044">
          <w:rPr>
            <w:noProof/>
            <w:webHidden/>
          </w:rPr>
          <w:fldChar w:fldCharType="begin"/>
        </w:r>
        <w:r w:rsidR="00B86044">
          <w:rPr>
            <w:noProof/>
            <w:webHidden/>
          </w:rPr>
          <w:instrText xml:space="preserve"> PAGEREF _Toc51935389 \h </w:instrText>
        </w:r>
        <w:r w:rsidR="00B86044">
          <w:rPr>
            <w:noProof/>
            <w:webHidden/>
          </w:rPr>
        </w:r>
        <w:r w:rsidR="00B86044">
          <w:rPr>
            <w:noProof/>
            <w:webHidden/>
          </w:rPr>
          <w:fldChar w:fldCharType="separate"/>
        </w:r>
        <w:r w:rsidR="00B86044">
          <w:rPr>
            <w:noProof/>
            <w:webHidden/>
          </w:rPr>
          <w:t>5</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390" w:history="1">
        <w:r w:rsidR="00B86044" w:rsidRPr="0006182B">
          <w:rPr>
            <w:rStyle w:val="Hyperlink"/>
            <w:noProof/>
          </w:rPr>
          <w:t>(c)</w:t>
        </w:r>
        <w:r w:rsidR="00B86044">
          <w:rPr>
            <w:rFonts w:asciiTheme="minorHAnsi" w:eastAsiaTheme="minorEastAsia" w:hAnsiTheme="minorHAnsi" w:cstheme="minorBidi"/>
            <w:noProof/>
            <w:sz w:val="22"/>
            <w:szCs w:val="22"/>
          </w:rPr>
          <w:tab/>
        </w:r>
        <w:r w:rsidR="00B86044" w:rsidRPr="0006182B">
          <w:rPr>
            <w:rStyle w:val="Hyperlink"/>
            <w:noProof/>
          </w:rPr>
          <w:t>TGP Documents</w:t>
        </w:r>
        <w:r w:rsidR="00B86044">
          <w:rPr>
            <w:noProof/>
            <w:webHidden/>
          </w:rPr>
          <w:tab/>
        </w:r>
        <w:r w:rsidR="00B86044">
          <w:rPr>
            <w:noProof/>
            <w:webHidden/>
          </w:rPr>
          <w:fldChar w:fldCharType="begin"/>
        </w:r>
        <w:r w:rsidR="00B86044">
          <w:rPr>
            <w:noProof/>
            <w:webHidden/>
          </w:rPr>
          <w:instrText xml:space="preserve"> PAGEREF _Toc51935390 \h </w:instrText>
        </w:r>
        <w:r w:rsidR="00B86044">
          <w:rPr>
            <w:noProof/>
            <w:webHidden/>
          </w:rPr>
        </w:r>
        <w:r w:rsidR="00B86044">
          <w:rPr>
            <w:noProof/>
            <w:webHidden/>
          </w:rPr>
          <w:fldChar w:fldCharType="separate"/>
        </w:r>
        <w:r w:rsidR="00B86044">
          <w:rPr>
            <w:noProof/>
            <w:webHidden/>
          </w:rPr>
          <w:t>6</w:t>
        </w:r>
        <w:r w:rsidR="00B86044">
          <w:rPr>
            <w:noProof/>
            <w:webHidden/>
          </w:rPr>
          <w:fldChar w:fldCharType="end"/>
        </w:r>
      </w:hyperlink>
    </w:p>
    <w:p w:rsidR="00B86044" w:rsidRDefault="00800945">
      <w:pPr>
        <w:pStyle w:val="TOC3"/>
        <w:rPr>
          <w:rFonts w:asciiTheme="minorHAnsi" w:eastAsiaTheme="minorEastAsia" w:hAnsiTheme="minorHAnsi" w:cstheme="minorBidi"/>
          <w:noProof/>
          <w:sz w:val="22"/>
          <w:szCs w:val="22"/>
          <w:lang w:val="en-US"/>
        </w:rPr>
      </w:pPr>
      <w:hyperlink w:anchor="_Toc51935391" w:history="1">
        <w:r w:rsidR="00B86044" w:rsidRPr="0006182B">
          <w:rPr>
            <w:rStyle w:val="Hyperlink"/>
            <w:i/>
            <w:noProof/>
          </w:rPr>
          <w:t>Revision of document TGP/5 “Experience and Cooperation in DUS Testing”, Section 6 “UPOV Report on Technical Examination and UPOV Variety Description” (document TGP/5: Section 6/3 Draft 1)</w:t>
        </w:r>
        <w:r w:rsidR="00B86044">
          <w:rPr>
            <w:noProof/>
            <w:webHidden/>
          </w:rPr>
          <w:tab/>
        </w:r>
        <w:r w:rsidR="00B86044">
          <w:rPr>
            <w:noProof/>
            <w:webHidden/>
          </w:rPr>
          <w:fldChar w:fldCharType="begin"/>
        </w:r>
        <w:r w:rsidR="00B86044">
          <w:rPr>
            <w:noProof/>
            <w:webHidden/>
          </w:rPr>
          <w:instrText xml:space="preserve"> PAGEREF _Toc51935391 \h </w:instrText>
        </w:r>
        <w:r w:rsidR="00B86044">
          <w:rPr>
            <w:noProof/>
            <w:webHidden/>
          </w:rPr>
        </w:r>
        <w:r w:rsidR="00B86044">
          <w:rPr>
            <w:noProof/>
            <w:webHidden/>
          </w:rPr>
          <w:fldChar w:fldCharType="separate"/>
        </w:r>
        <w:r w:rsidR="00B86044">
          <w:rPr>
            <w:noProof/>
            <w:webHidden/>
          </w:rPr>
          <w:t>6</w:t>
        </w:r>
        <w:r w:rsidR="00B86044">
          <w:rPr>
            <w:noProof/>
            <w:webHidden/>
          </w:rPr>
          <w:fldChar w:fldCharType="end"/>
        </w:r>
      </w:hyperlink>
    </w:p>
    <w:p w:rsidR="00B86044" w:rsidRDefault="00800945">
      <w:pPr>
        <w:pStyle w:val="TOC3"/>
        <w:rPr>
          <w:rFonts w:asciiTheme="minorHAnsi" w:eastAsiaTheme="minorEastAsia" w:hAnsiTheme="minorHAnsi" w:cstheme="minorBidi"/>
          <w:noProof/>
          <w:sz w:val="22"/>
          <w:szCs w:val="22"/>
          <w:lang w:val="en-US"/>
        </w:rPr>
      </w:pPr>
      <w:hyperlink w:anchor="_Toc51935392" w:history="1">
        <w:r w:rsidR="00B86044" w:rsidRPr="0006182B">
          <w:rPr>
            <w:rStyle w:val="Hyperlink"/>
            <w:i/>
            <w:noProof/>
          </w:rPr>
          <w:t>Revision of document TGP/7 “Development of Test Guidelines” (document TGP/7/8 Draft 1)</w:t>
        </w:r>
        <w:r w:rsidR="00B86044">
          <w:rPr>
            <w:noProof/>
            <w:webHidden/>
          </w:rPr>
          <w:tab/>
        </w:r>
        <w:r w:rsidR="00B86044">
          <w:rPr>
            <w:noProof/>
            <w:webHidden/>
          </w:rPr>
          <w:fldChar w:fldCharType="begin"/>
        </w:r>
        <w:r w:rsidR="00B86044">
          <w:rPr>
            <w:noProof/>
            <w:webHidden/>
          </w:rPr>
          <w:instrText xml:space="preserve"> PAGEREF _Toc51935392 \h </w:instrText>
        </w:r>
        <w:r w:rsidR="00B86044">
          <w:rPr>
            <w:noProof/>
            <w:webHidden/>
          </w:rPr>
        </w:r>
        <w:r w:rsidR="00B86044">
          <w:rPr>
            <w:noProof/>
            <w:webHidden/>
          </w:rPr>
          <w:fldChar w:fldCharType="separate"/>
        </w:r>
        <w:r w:rsidR="00B86044">
          <w:rPr>
            <w:noProof/>
            <w:webHidden/>
          </w:rPr>
          <w:t>7</w:t>
        </w:r>
        <w:r w:rsidR="00B86044">
          <w:rPr>
            <w:noProof/>
            <w:webHidden/>
          </w:rPr>
          <w:fldChar w:fldCharType="end"/>
        </w:r>
      </w:hyperlink>
    </w:p>
    <w:p w:rsidR="00B86044" w:rsidRDefault="00800945">
      <w:pPr>
        <w:pStyle w:val="TOC3"/>
        <w:rPr>
          <w:rFonts w:asciiTheme="minorHAnsi" w:eastAsiaTheme="minorEastAsia" w:hAnsiTheme="minorHAnsi" w:cstheme="minorBidi"/>
          <w:noProof/>
          <w:sz w:val="22"/>
          <w:szCs w:val="22"/>
          <w:lang w:val="en-US"/>
        </w:rPr>
      </w:pPr>
      <w:hyperlink w:anchor="_Toc51935393" w:history="1">
        <w:r w:rsidR="00B86044" w:rsidRPr="00B86044">
          <w:rPr>
            <w:rStyle w:val="Hyperlink"/>
            <w:i/>
            <w:noProof/>
            <w:spacing w:val="-4"/>
          </w:rPr>
          <w:t>Revision of document TGP/14 “Glossary of Terms Used in UPOV Documents” (document TGP/14/5 Draft 1)</w:t>
        </w:r>
        <w:r w:rsidR="00B86044">
          <w:rPr>
            <w:noProof/>
            <w:webHidden/>
          </w:rPr>
          <w:tab/>
        </w:r>
        <w:r w:rsidR="00B86044">
          <w:rPr>
            <w:noProof/>
            <w:webHidden/>
          </w:rPr>
          <w:fldChar w:fldCharType="begin"/>
        </w:r>
        <w:r w:rsidR="00B86044">
          <w:rPr>
            <w:noProof/>
            <w:webHidden/>
          </w:rPr>
          <w:instrText xml:space="preserve"> PAGEREF _Toc51935393 \h </w:instrText>
        </w:r>
        <w:r w:rsidR="00B86044">
          <w:rPr>
            <w:noProof/>
            <w:webHidden/>
          </w:rPr>
        </w:r>
        <w:r w:rsidR="00B86044">
          <w:rPr>
            <w:noProof/>
            <w:webHidden/>
          </w:rPr>
          <w:fldChar w:fldCharType="separate"/>
        </w:r>
        <w:r w:rsidR="00B86044">
          <w:rPr>
            <w:noProof/>
            <w:webHidden/>
          </w:rPr>
          <w:t>7</w:t>
        </w:r>
        <w:r w:rsidR="00B86044">
          <w:rPr>
            <w:noProof/>
            <w:webHidden/>
          </w:rPr>
          <w:fldChar w:fldCharType="end"/>
        </w:r>
      </w:hyperlink>
    </w:p>
    <w:p w:rsidR="00B86044" w:rsidRDefault="00800945">
      <w:pPr>
        <w:pStyle w:val="TOC3"/>
        <w:rPr>
          <w:rFonts w:asciiTheme="minorHAnsi" w:eastAsiaTheme="minorEastAsia" w:hAnsiTheme="minorHAnsi" w:cstheme="minorBidi"/>
          <w:noProof/>
          <w:sz w:val="22"/>
          <w:szCs w:val="22"/>
          <w:lang w:val="en-US"/>
        </w:rPr>
      </w:pPr>
      <w:hyperlink w:anchor="_Toc51935394" w:history="1">
        <w:r w:rsidR="00B86044" w:rsidRPr="0006182B">
          <w:rPr>
            <w:rStyle w:val="Hyperlink"/>
            <w:i/>
            <w:noProof/>
          </w:rPr>
          <w:t>Revision of document TGP/15 “Guidance on the Use of Biochemical and Molecular Markers in the Examination of Distinctness, Uniformity and Stability (DUS)” (document TGP/15/3 Draft 1)</w:t>
        </w:r>
        <w:r w:rsidR="00B86044">
          <w:rPr>
            <w:noProof/>
            <w:webHidden/>
          </w:rPr>
          <w:tab/>
        </w:r>
        <w:r w:rsidR="00B86044">
          <w:rPr>
            <w:noProof/>
            <w:webHidden/>
          </w:rPr>
          <w:fldChar w:fldCharType="begin"/>
        </w:r>
        <w:r w:rsidR="00B86044">
          <w:rPr>
            <w:noProof/>
            <w:webHidden/>
          </w:rPr>
          <w:instrText xml:space="preserve"> PAGEREF _Toc51935394 \h </w:instrText>
        </w:r>
        <w:r w:rsidR="00B86044">
          <w:rPr>
            <w:noProof/>
            <w:webHidden/>
          </w:rPr>
        </w:r>
        <w:r w:rsidR="00B86044">
          <w:rPr>
            <w:noProof/>
            <w:webHidden/>
          </w:rPr>
          <w:fldChar w:fldCharType="separate"/>
        </w:r>
        <w:r w:rsidR="00B86044">
          <w:rPr>
            <w:noProof/>
            <w:webHidden/>
          </w:rPr>
          <w:t>8</w:t>
        </w:r>
        <w:r w:rsidR="00B86044">
          <w:rPr>
            <w:noProof/>
            <w:webHidden/>
          </w:rPr>
          <w:fldChar w:fldCharType="end"/>
        </w:r>
      </w:hyperlink>
    </w:p>
    <w:p w:rsidR="00B86044" w:rsidRDefault="00800945">
      <w:pPr>
        <w:pStyle w:val="TOC1"/>
        <w:rPr>
          <w:rFonts w:asciiTheme="minorHAnsi" w:eastAsiaTheme="minorEastAsia" w:hAnsiTheme="minorHAnsi" w:cstheme="minorBidi"/>
          <w:caps w:val="0"/>
          <w:noProof/>
          <w:sz w:val="22"/>
          <w:szCs w:val="22"/>
        </w:rPr>
      </w:pPr>
      <w:hyperlink w:anchor="_Toc51935395" w:history="1">
        <w:r w:rsidR="00B86044" w:rsidRPr="0006182B">
          <w:rPr>
            <w:rStyle w:val="Hyperlink"/>
            <w:noProof/>
          </w:rPr>
          <w:t>Other matters for consideration by the CAJ</w:t>
        </w:r>
        <w:r w:rsidR="00B86044">
          <w:rPr>
            <w:noProof/>
            <w:webHidden/>
          </w:rPr>
          <w:tab/>
        </w:r>
        <w:r w:rsidR="00B86044">
          <w:rPr>
            <w:noProof/>
            <w:webHidden/>
          </w:rPr>
          <w:fldChar w:fldCharType="begin"/>
        </w:r>
        <w:r w:rsidR="00B86044">
          <w:rPr>
            <w:noProof/>
            <w:webHidden/>
          </w:rPr>
          <w:instrText xml:space="preserve"> PAGEREF _Toc51935395 \h </w:instrText>
        </w:r>
        <w:r w:rsidR="00B86044">
          <w:rPr>
            <w:noProof/>
            <w:webHidden/>
          </w:rPr>
        </w:r>
        <w:r w:rsidR="00B86044">
          <w:rPr>
            <w:noProof/>
            <w:webHidden/>
          </w:rPr>
          <w:fldChar w:fldCharType="separate"/>
        </w:r>
        <w:r w:rsidR="00B86044">
          <w:rPr>
            <w:noProof/>
            <w:webHidden/>
          </w:rPr>
          <w:t>8</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396" w:history="1">
        <w:r w:rsidR="00B86044" w:rsidRPr="0006182B">
          <w:rPr>
            <w:rStyle w:val="Hyperlink"/>
            <w:noProof/>
            <w:snapToGrid w:val="0"/>
          </w:rPr>
          <w:t>Document UPOV/INF/23:  Guide to the UPOV Code System (document UPOV/INF/23/1 Draft 1)</w:t>
        </w:r>
        <w:r w:rsidR="00B86044">
          <w:rPr>
            <w:noProof/>
            <w:webHidden/>
          </w:rPr>
          <w:tab/>
        </w:r>
        <w:r w:rsidR="00B86044">
          <w:rPr>
            <w:noProof/>
            <w:webHidden/>
          </w:rPr>
          <w:fldChar w:fldCharType="begin"/>
        </w:r>
        <w:r w:rsidR="00B86044">
          <w:rPr>
            <w:noProof/>
            <w:webHidden/>
          </w:rPr>
          <w:instrText xml:space="preserve"> PAGEREF _Toc51935396 \h </w:instrText>
        </w:r>
        <w:r w:rsidR="00B86044">
          <w:rPr>
            <w:noProof/>
            <w:webHidden/>
          </w:rPr>
        </w:r>
        <w:r w:rsidR="00B86044">
          <w:rPr>
            <w:noProof/>
            <w:webHidden/>
          </w:rPr>
          <w:fldChar w:fldCharType="separate"/>
        </w:r>
        <w:r w:rsidR="00B86044">
          <w:rPr>
            <w:noProof/>
            <w:webHidden/>
          </w:rPr>
          <w:t>8</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397" w:history="1">
        <w:r w:rsidR="00B86044" w:rsidRPr="0006182B">
          <w:rPr>
            <w:rStyle w:val="Hyperlink"/>
            <w:noProof/>
            <w:snapToGrid w:val="0"/>
          </w:rPr>
          <w:t>Reference to UPOV PRISMA in UPOV guidance and information materials</w:t>
        </w:r>
        <w:r w:rsidR="00B86044">
          <w:rPr>
            <w:noProof/>
            <w:webHidden/>
          </w:rPr>
          <w:tab/>
        </w:r>
        <w:r w:rsidR="00B86044">
          <w:rPr>
            <w:noProof/>
            <w:webHidden/>
          </w:rPr>
          <w:fldChar w:fldCharType="begin"/>
        </w:r>
        <w:r w:rsidR="00B86044">
          <w:rPr>
            <w:noProof/>
            <w:webHidden/>
          </w:rPr>
          <w:instrText xml:space="preserve"> PAGEREF _Toc51935397 \h </w:instrText>
        </w:r>
        <w:r w:rsidR="00B86044">
          <w:rPr>
            <w:noProof/>
            <w:webHidden/>
          </w:rPr>
        </w:r>
        <w:r w:rsidR="00B86044">
          <w:rPr>
            <w:noProof/>
            <w:webHidden/>
          </w:rPr>
          <w:fldChar w:fldCharType="separate"/>
        </w:r>
        <w:r w:rsidR="00B86044">
          <w:rPr>
            <w:noProof/>
            <w:webHidden/>
          </w:rPr>
          <w:t>9</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398" w:history="1">
        <w:r w:rsidR="00B86044" w:rsidRPr="0006182B">
          <w:rPr>
            <w:rStyle w:val="Hyperlink"/>
            <w:noProof/>
          </w:rPr>
          <w:t>Essentially Derived Varieties</w:t>
        </w:r>
        <w:r w:rsidR="00B86044">
          <w:rPr>
            <w:noProof/>
            <w:webHidden/>
          </w:rPr>
          <w:tab/>
        </w:r>
        <w:r w:rsidR="00B86044">
          <w:rPr>
            <w:noProof/>
            <w:webHidden/>
          </w:rPr>
          <w:fldChar w:fldCharType="begin"/>
        </w:r>
        <w:r w:rsidR="00B86044">
          <w:rPr>
            <w:noProof/>
            <w:webHidden/>
          </w:rPr>
          <w:instrText xml:space="preserve"> PAGEREF _Toc51935398 \h </w:instrText>
        </w:r>
        <w:r w:rsidR="00B86044">
          <w:rPr>
            <w:noProof/>
            <w:webHidden/>
          </w:rPr>
        </w:r>
        <w:r w:rsidR="00B86044">
          <w:rPr>
            <w:noProof/>
            <w:webHidden/>
          </w:rPr>
          <w:fldChar w:fldCharType="separate"/>
        </w:r>
        <w:r w:rsidR="00B86044">
          <w:rPr>
            <w:noProof/>
            <w:webHidden/>
          </w:rPr>
          <w:t>10</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399" w:history="1">
        <w:r w:rsidR="00B86044" w:rsidRPr="0006182B">
          <w:rPr>
            <w:rStyle w:val="Hyperlink"/>
            <w:noProof/>
          </w:rPr>
          <w:t>Harvested Material</w:t>
        </w:r>
        <w:r w:rsidR="00B86044">
          <w:rPr>
            <w:noProof/>
            <w:webHidden/>
          </w:rPr>
          <w:tab/>
        </w:r>
        <w:r w:rsidR="00B86044">
          <w:rPr>
            <w:noProof/>
            <w:webHidden/>
          </w:rPr>
          <w:fldChar w:fldCharType="begin"/>
        </w:r>
        <w:r w:rsidR="00B86044">
          <w:rPr>
            <w:noProof/>
            <w:webHidden/>
          </w:rPr>
          <w:instrText xml:space="preserve"> PAGEREF _Toc51935399 \h </w:instrText>
        </w:r>
        <w:r w:rsidR="00B86044">
          <w:rPr>
            <w:noProof/>
            <w:webHidden/>
          </w:rPr>
        </w:r>
        <w:r w:rsidR="00B86044">
          <w:rPr>
            <w:noProof/>
            <w:webHidden/>
          </w:rPr>
          <w:fldChar w:fldCharType="separate"/>
        </w:r>
        <w:r w:rsidR="00B86044">
          <w:rPr>
            <w:noProof/>
            <w:webHidden/>
          </w:rPr>
          <w:t>10</w:t>
        </w:r>
        <w:r w:rsidR="00B86044">
          <w:rPr>
            <w:noProof/>
            <w:webHidden/>
          </w:rPr>
          <w:fldChar w:fldCharType="end"/>
        </w:r>
      </w:hyperlink>
    </w:p>
    <w:p w:rsidR="00B86044" w:rsidRDefault="00800945">
      <w:pPr>
        <w:pStyle w:val="TOC2"/>
        <w:rPr>
          <w:rFonts w:asciiTheme="minorHAnsi" w:eastAsiaTheme="minorEastAsia" w:hAnsiTheme="minorHAnsi" w:cstheme="minorBidi"/>
          <w:noProof/>
          <w:sz w:val="22"/>
          <w:szCs w:val="22"/>
        </w:rPr>
      </w:pPr>
      <w:hyperlink w:anchor="_Toc51935400" w:history="1">
        <w:r w:rsidR="00B86044" w:rsidRPr="0006182B">
          <w:rPr>
            <w:rStyle w:val="Hyperlink"/>
            <w:noProof/>
          </w:rPr>
          <w:t>Novelty of parent lines with regard to the exploitation of the hybrid variety</w:t>
        </w:r>
        <w:r w:rsidR="00B86044">
          <w:rPr>
            <w:noProof/>
            <w:webHidden/>
          </w:rPr>
          <w:tab/>
        </w:r>
        <w:r w:rsidR="00B86044">
          <w:rPr>
            <w:noProof/>
            <w:webHidden/>
          </w:rPr>
          <w:fldChar w:fldCharType="begin"/>
        </w:r>
        <w:r w:rsidR="00B86044">
          <w:rPr>
            <w:noProof/>
            <w:webHidden/>
          </w:rPr>
          <w:instrText xml:space="preserve"> PAGEREF _Toc51935400 \h </w:instrText>
        </w:r>
        <w:r w:rsidR="00B86044">
          <w:rPr>
            <w:noProof/>
            <w:webHidden/>
          </w:rPr>
        </w:r>
        <w:r w:rsidR="00B86044">
          <w:rPr>
            <w:noProof/>
            <w:webHidden/>
          </w:rPr>
          <w:fldChar w:fldCharType="separate"/>
        </w:r>
        <w:r w:rsidR="00B86044">
          <w:rPr>
            <w:noProof/>
            <w:webHidden/>
          </w:rPr>
          <w:t>11</w:t>
        </w:r>
        <w:r w:rsidR="00B86044">
          <w:rPr>
            <w:noProof/>
            <w:webHidden/>
          </w:rPr>
          <w:fldChar w:fldCharType="end"/>
        </w:r>
      </w:hyperlink>
    </w:p>
    <w:p w:rsidR="00B86044" w:rsidRDefault="00800945">
      <w:pPr>
        <w:pStyle w:val="TOC1"/>
        <w:rPr>
          <w:rFonts w:asciiTheme="minorHAnsi" w:eastAsiaTheme="minorEastAsia" w:hAnsiTheme="minorHAnsi" w:cstheme="minorBidi"/>
          <w:caps w:val="0"/>
          <w:noProof/>
          <w:sz w:val="22"/>
          <w:szCs w:val="22"/>
        </w:rPr>
      </w:pPr>
      <w:hyperlink w:anchor="_Toc51935401" w:history="1">
        <w:r w:rsidR="00B86044" w:rsidRPr="0006182B">
          <w:rPr>
            <w:rStyle w:val="Hyperlink"/>
            <w:noProof/>
          </w:rPr>
          <w:t>TENTATIVE PROGRAM FOR THE DEVELOPMENT OF guidance and INFORMATION MATERIALS</w:t>
        </w:r>
        <w:r w:rsidR="00B86044">
          <w:rPr>
            <w:noProof/>
            <w:webHidden/>
          </w:rPr>
          <w:tab/>
        </w:r>
        <w:r w:rsidR="00B86044">
          <w:rPr>
            <w:noProof/>
            <w:webHidden/>
          </w:rPr>
          <w:fldChar w:fldCharType="begin"/>
        </w:r>
        <w:r w:rsidR="00B86044">
          <w:rPr>
            <w:noProof/>
            <w:webHidden/>
          </w:rPr>
          <w:instrText xml:space="preserve"> PAGEREF _Toc51935401 \h </w:instrText>
        </w:r>
        <w:r w:rsidR="00B86044">
          <w:rPr>
            <w:noProof/>
            <w:webHidden/>
          </w:rPr>
        </w:r>
        <w:r w:rsidR="00B86044">
          <w:rPr>
            <w:noProof/>
            <w:webHidden/>
          </w:rPr>
          <w:fldChar w:fldCharType="separate"/>
        </w:r>
        <w:r w:rsidR="00B86044">
          <w:rPr>
            <w:noProof/>
            <w:webHidden/>
          </w:rPr>
          <w:t>11</w:t>
        </w:r>
        <w:r w:rsidR="00B86044">
          <w:rPr>
            <w:noProof/>
            <w:webHidden/>
          </w:rPr>
          <w:fldChar w:fldCharType="end"/>
        </w:r>
      </w:hyperlink>
    </w:p>
    <w:p w:rsidR="00122E77" w:rsidRPr="00122E77" w:rsidRDefault="00122E77" w:rsidP="00122E77">
      <w:pPr>
        <w:rPr>
          <w:noProof/>
          <w:snapToGrid w:val="0"/>
          <w:sz w:val="16"/>
          <w:highlight w:val="yellow"/>
        </w:rPr>
      </w:pPr>
      <w:r w:rsidRPr="00122E77">
        <w:rPr>
          <w:noProof/>
          <w:snapToGrid w:val="0"/>
          <w:highlight w:val="yellow"/>
        </w:rPr>
        <w:fldChar w:fldCharType="end"/>
      </w:r>
    </w:p>
    <w:p w:rsidR="00122E77" w:rsidRPr="00122E77" w:rsidRDefault="00122E77" w:rsidP="00122E77">
      <w:pPr>
        <w:keepNext/>
        <w:ind w:left="1134" w:right="283" w:hanging="1134"/>
        <w:rPr>
          <w:spacing w:val="-4"/>
          <w:sz w:val="18"/>
        </w:rPr>
      </w:pPr>
      <w:r w:rsidRPr="00122E77">
        <w:rPr>
          <w:sz w:val="18"/>
        </w:rPr>
        <w:lastRenderedPageBreak/>
        <w:t>ANNEX I:</w:t>
      </w:r>
      <w:r w:rsidRPr="00122E77">
        <w:rPr>
          <w:sz w:val="18"/>
        </w:rPr>
        <w:tab/>
      </w:r>
      <w:r w:rsidRPr="00122E77">
        <w:rPr>
          <w:spacing w:val="-4"/>
          <w:sz w:val="18"/>
        </w:rPr>
        <w:t>Replies to</w:t>
      </w:r>
      <w:r w:rsidRPr="00122E77">
        <w:rPr>
          <w:spacing w:val="-4"/>
        </w:rPr>
        <w:t xml:space="preserve"> </w:t>
      </w:r>
      <w:r w:rsidRPr="00122E77">
        <w:rPr>
          <w:spacing w:val="-4"/>
          <w:sz w:val="18"/>
        </w:rPr>
        <w:t>UPOV Circular E-20/017 concerning the CAJ consideration of document UPOV/EXN/DEN/1 Draft 3 by correspondence</w:t>
      </w:r>
    </w:p>
    <w:p w:rsidR="00122E77" w:rsidRPr="00122E77" w:rsidRDefault="00122E77" w:rsidP="00122E77">
      <w:pPr>
        <w:spacing w:before="60" w:after="60"/>
        <w:ind w:left="1418"/>
        <w:rPr>
          <w:sz w:val="18"/>
        </w:rPr>
      </w:pPr>
      <w:r w:rsidRPr="00122E77">
        <w:rPr>
          <w:sz w:val="18"/>
        </w:rPr>
        <w:t>Appendix I:  Argentina</w:t>
      </w:r>
    </w:p>
    <w:p w:rsidR="00122E77" w:rsidRPr="00122E77" w:rsidRDefault="00122E77" w:rsidP="00122E77">
      <w:pPr>
        <w:spacing w:before="60" w:after="60"/>
        <w:ind w:left="1418"/>
        <w:rPr>
          <w:sz w:val="18"/>
        </w:rPr>
      </w:pPr>
      <w:r w:rsidRPr="00122E77">
        <w:rPr>
          <w:sz w:val="18"/>
        </w:rPr>
        <w:t xml:space="preserve">Appendix II:  Canada </w:t>
      </w:r>
    </w:p>
    <w:p w:rsidR="00122E77" w:rsidRPr="00122E77" w:rsidRDefault="00122E77" w:rsidP="00122E77">
      <w:pPr>
        <w:spacing w:before="60" w:after="60"/>
        <w:ind w:left="1418"/>
        <w:rPr>
          <w:sz w:val="18"/>
        </w:rPr>
      </w:pPr>
      <w:r w:rsidRPr="00122E77">
        <w:rPr>
          <w:sz w:val="18"/>
        </w:rPr>
        <w:t>Appendix III:  European Union</w:t>
      </w:r>
    </w:p>
    <w:p w:rsidR="00122E77" w:rsidRPr="00122E77" w:rsidRDefault="00122E77" w:rsidP="00122E77">
      <w:pPr>
        <w:spacing w:before="60" w:after="60"/>
        <w:ind w:left="1418"/>
        <w:rPr>
          <w:sz w:val="18"/>
        </w:rPr>
      </w:pPr>
      <w:r w:rsidRPr="00122E77">
        <w:rPr>
          <w:sz w:val="18"/>
        </w:rPr>
        <w:t>Appendix IV:  France</w:t>
      </w:r>
    </w:p>
    <w:p w:rsidR="00122E77" w:rsidRPr="00122E77" w:rsidRDefault="00122E77" w:rsidP="00122E77">
      <w:pPr>
        <w:spacing w:before="60" w:after="60"/>
        <w:ind w:left="1418"/>
        <w:rPr>
          <w:sz w:val="18"/>
        </w:rPr>
      </w:pPr>
      <w:r w:rsidRPr="00122E77">
        <w:rPr>
          <w:sz w:val="18"/>
        </w:rPr>
        <w:t>Appendix V:  New Zealand</w:t>
      </w:r>
    </w:p>
    <w:p w:rsidR="00122E77" w:rsidRPr="00122E77" w:rsidRDefault="00122E77" w:rsidP="00122E77">
      <w:pPr>
        <w:spacing w:before="60"/>
        <w:rPr>
          <w:sz w:val="18"/>
        </w:rPr>
      </w:pPr>
      <w:r w:rsidRPr="00122E77">
        <w:rPr>
          <w:sz w:val="18"/>
        </w:rPr>
        <w:t>ANNEX II:</w:t>
      </w:r>
      <w:r w:rsidRPr="00122E77">
        <w:rPr>
          <w:sz w:val="18"/>
        </w:rPr>
        <w:tab/>
        <w:t>Revisions to document TGP/5, Section 6</w:t>
      </w:r>
    </w:p>
    <w:p w:rsidR="00122E77" w:rsidRPr="00122E77" w:rsidRDefault="00122E77" w:rsidP="00122E77">
      <w:pPr>
        <w:spacing w:before="60"/>
        <w:rPr>
          <w:sz w:val="18"/>
        </w:rPr>
      </w:pPr>
      <w:r w:rsidRPr="00122E77">
        <w:rPr>
          <w:sz w:val="18"/>
        </w:rPr>
        <w:t>ANNEX III:</w:t>
      </w:r>
      <w:r w:rsidRPr="00122E77">
        <w:rPr>
          <w:sz w:val="18"/>
        </w:rPr>
        <w:tab/>
        <w:t>Revisions to document TGP/7</w:t>
      </w:r>
    </w:p>
    <w:p w:rsidR="00122E77" w:rsidRPr="00122E77" w:rsidRDefault="00122E77" w:rsidP="00122E77">
      <w:pPr>
        <w:spacing w:before="60"/>
        <w:rPr>
          <w:sz w:val="18"/>
        </w:rPr>
      </w:pPr>
      <w:bookmarkStart w:id="6" w:name="_Toc386185971"/>
      <w:bookmarkStart w:id="7" w:name="_Toc419124859"/>
      <w:r w:rsidRPr="00122E77">
        <w:rPr>
          <w:sz w:val="18"/>
        </w:rPr>
        <w:t>ANNEX IV:</w:t>
      </w:r>
      <w:r w:rsidRPr="00122E77">
        <w:rPr>
          <w:sz w:val="18"/>
        </w:rPr>
        <w:tab/>
        <w:t>Revisions to document TGP/14</w:t>
      </w:r>
    </w:p>
    <w:p w:rsidR="00122E77" w:rsidRPr="00122E77" w:rsidRDefault="00122E77" w:rsidP="00122E77">
      <w:pPr>
        <w:spacing w:before="60"/>
        <w:ind w:left="1134" w:hanging="1134"/>
        <w:rPr>
          <w:sz w:val="18"/>
        </w:rPr>
      </w:pPr>
      <w:r w:rsidRPr="00122E77">
        <w:rPr>
          <w:sz w:val="18"/>
        </w:rPr>
        <w:t>ANNEX V:</w:t>
      </w:r>
      <w:r w:rsidRPr="00122E77">
        <w:rPr>
          <w:sz w:val="18"/>
        </w:rPr>
        <w:tab/>
        <w:t>Revisions to document TGP/15</w:t>
      </w:r>
    </w:p>
    <w:p w:rsidR="00122E77" w:rsidRPr="00122E77" w:rsidRDefault="00122E77" w:rsidP="00122E77">
      <w:pPr>
        <w:spacing w:before="60"/>
        <w:ind w:left="1134" w:hanging="1134"/>
        <w:rPr>
          <w:sz w:val="18"/>
        </w:rPr>
      </w:pPr>
      <w:r w:rsidRPr="00122E77">
        <w:rPr>
          <w:sz w:val="18"/>
        </w:rPr>
        <w:t>ANNEX VI:</w:t>
      </w:r>
      <w:r w:rsidRPr="00122E77">
        <w:rPr>
          <w:sz w:val="18"/>
        </w:rPr>
        <w:tab/>
        <w:t>Overview of the development of information materials</w:t>
      </w:r>
    </w:p>
    <w:p w:rsidR="00122E77" w:rsidRPr="00122E77" w:rsidRDefault="00122E77" w:rsidP="00122E77">
      <w:pPr>
        <w:spacing w:before="60"/>
        <w:ind w:left="1134" w:hanging="1134"/>
        <w:rPr>
          <w:sz w:val="18"/>
        </w:rPr>
      </w:pPr>
      <w:r w:rsidRPr="00122E77">
        <w:rPr>
          <w:sz w:val="18"/>
        </w:rPr>
        <w:t>ANNEX VII:</w:t>
      </w:r>
      <w:r w:rsidRPr="00122E77">
        <w:rPr>
          <w:sz w:val="18"/>
        </w:rPr>
        <w:tab/>
        <w:t>Program for the development of TGP documents</w:t>
      </w:r>
    </w:p>
    <w:p w:rsidR="00122E77" w:rsidRPr="00122E77" w:rsidRDefault="00122E77" w:rsidP="00122E77">
      <w:pPr>
        <w:ind w:left="1134" w:hanging="1134"/>
        <w:rPr>
          <w:sz w:val="18"/>
          <w:highlight w:val="yellow"/>
        </w:rPr>
      </w:pPr>
    </w:p>
    <w:p w:rsidR="00122E77" w:rsidRPr="00122E77" w:rsidRDefault="00122E77" w:rsidP="00122E77">
      <w:pPr>
        <w:keepNext/>
        <w:rPr>
          <w:rFonts w:cs="Arial"/>
        </w:rPr>
      </w:pPr>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rPr>
        <w:tab/>
        <w:t>The following abbreviations are used in this document:</w:t>
      </w:r>
    </w:p>
    <w:p w:rsidR="00122E77" w:rsidRPr="00122E77" w:rsidRDefault="00122E77" w:rsidP="00122E77">
      <w:pPr>
        <w:keepNext/>
        <w:ind w:left="1701" w:hanging="1134"/>
        <w:rPr>
          <w:rFonts w:cs="Arial"/>
        </w:rPr>
      </w:pPr>
    </w:p>
    <w:p w:rsidR="00122E77" w:rsidRPr="00122E77" w:rsidRDefault="00122E77" w:rsidP="00122E77">
      <w:pPr>
        <w:keepNext/>
        <w:ind w:left="1701" w:hanging="1134"/>
        <w:rPr>
          <w:rFonts w:cs="Arial"/>
        </w:rPr>
      </w:pPr>
      <w:r w:rsidRPr="00122E77">
        <w:rPr>
          <w:rFonts w:cs="Arial"/>
        </w:rPr>
        <w:t>CAJ:</w:t>
      </w:r>
      <w:r w:rsidRPr="00122E77">
        <w:rPr>
          <w:rFonts w:cs="Arial"/>
        </w:rPr>
        <w:tab/>
        <w:t>Administrative and Legal Committee</w:t>
      </w:r>
    </w:p>
    <w:p w:rsidR="00122E77" w:rsidRPr="00122E77" w:rsidRDefault="00122E77" w:rsidP="00122E77">
      <w:pPr>
        <w:keepNext/>
        <w:ind w:left="1701" w:hanging="1134"/>
        <w:rPr>
          <w:rFonts w:cs="Arial"/>
        </w:rPr>
      </w:pPr>
      <w:r w:rsidRPr="00122E77">
        <w:rPr>
          <w:rFonts w:cs="Arial"/>
        </w:rPr>
        <w:t>CAJ</w:t>
      </w:r>
      <w:r w:rsidRPr="00122E77">
        <w:rPr>
          <w:rFonts w:cs="Arial"/>
        </w:rPr>
        <w:noBreakHyphen/>
        <w:t>AG:</w:t>
      </w:r>
      <w:r w:rsidRPr="00122E77">
        <w:rPr>
          <w:rFonts w:cs="Arial"/>
        </w:rPr>
        <w:tab/>
        <w:t>Administrative and Legal Committee Advisory Group</w:t>
      </w:r>
    </w:p>
    <w:p w:rsidR="00122E77" w:rsidRPr="00122E77" w:rsidRDefault="00122E77" w:rsidP="00122E77">
      <w:pPr>
        <w:ind w:left="1701" w:hanging="1134"/>
        <w:rPr>
          <w:rFonts w:cs="Arial"/>
          <w:color w:val="000000"/>
        </w:rPr>
      </w:pPr>
      <w:r w:rsidRPr="00122E77">
        <w:t>WG-DEN:</w:t>
      </w:r>
      <w:r w:rsidRPr="00122E77">
        <w:tab/>
        <w:t>Working Group on Variety Denominations</w:t>
      </w:r>
    </w:p>
    <w:p w:rsidR="00122E77" w:rsidRPr="00122E77" w:rsidRDefault="00122E77" w:rsidP="00122E77">
      <w:pPr>
        <w:keepNext/>
        <w:ind w:left="1701" w:hanging="1134"/>
        <w:rPr>
          <w:rFonts w:cs="Arial"/>
        </w:rPr>
      </w:pPr>
      <w:r w:rsidRPr="00122E77">
        <w:rPr>
          <w:rFonts w:cs="Arial"/>
        </w:rPr>
        <w:t xml:space="preserve">TC:  </w:t>
      </w:r>
      <w:r w:rsidRPr="00122E77">
        <w:rPr>
          <w:rFonts w:cs="Arial"/>
        </w:rPr>
        <w:tab/>
        <w:t>Technical Committee</w:t>
      </w:r>
    </w:p>
    <w:p w:rsidR="00122E77" w:rsidRPr="00122E77" w:rsidRDefault="00122E77" w:rsidP="00122E77">
      <w:pPr>
        <w:ind w:left="1701" w:hanging="1134"/>
        <w:rPr>
          <w:rFonts w:cs="Arial"/>
        </w:rPr>
      </w:pPr>
      <w:r w:rsidRPr="00122E77">
        <w:rPr>
          <w:rFonts w:cs="Arial"/>
        </w:rPr>
        <w:t xml:space="preserve">TC-EDC:  </w:t>
      </w:r>
      <w:r w:rsidRPr="00122E77">
        <w:rPr>
          <w:rFonts w:cs="Arial"/>
        </w:rPr>
        <w:tab/>
        <w:t>Enlarged Editorial Committee</w:t>
      </w:r>
    </w:p>
    <w:p w:rsidR="00122E77" w:rsidRPr="00122E77" w:rsidRDefault="00122E77" w:rsidP="00122E77">
      <w:pPr>
        <w:ind w:left="1701" w:hanging="1134"/>
        <w:rPr>
          <w:rFonts w:cs="Arial"/>
          <w:color w:val="000000"/>
        </w:rPr>
      </w:pPr>
      <w:r w:rsidRPr="00122E77">
        <w:rPr>
          <w:rFonts w:cs="Arial"/>
          <w:color w:val="000000"/>
        </w:rPr>
        <w:t>TWPs:</w:t>
      </w:r>
      <w:r w:rsidRPr="00122E77">
        <w:rPr>
          <w:rFonts w:cs="Arial"/>
          <w:color w:val="000000"/>
        </w:rPr>
        <w:tab/>
        <w:t xml:space="preserve">Technical Working Parties </w:t>
      </w:r>
      <w:bookmarkStart w:id="8" w:name="_Toc352678045"/>
      <w:bookmarkStart w:id="9" w:name="_Toc353797725"/>
      <w:bookmarkStart w:id="10" w:name="_Toc386185970"/>
      <w:bookmarkStart w:id="11" w:name="_Toc419124858"/>
    </w:p>
    <w:p w:rsidR="00122E77" w:rsidRPr="00122E77" w:rsidRDefault="00122E77" w:rsidP="00122E77">
      <w:pPr>
        <w:ind w:left="1701" w:hanging="1134"/>
        <w:rPr>
          <w:rFonts w:cs="Arial"/>
          <w:color w:val="000000"/>
        </w:rPr>
      </w:pPr>
      <w:r w:rsidRPr="00122E77">
        <w:rPr>
          <w:rFonts w:cs="Arial"/>
          <w:color w:val="000000"/>
        </w:rPr>
        <w:t xml:space="preserve">TWC: </w:t>
      </w:r>
      <w:r w:rsidRPr="00122E77">
        <w:rPr>
          <w:rFonts w:cs="Arial"/>
          <w:color w:val="000000"/>
        </w:rPr>
        <w:tab/>
        <w:t>Technical Working Party on Automation and Computer Programs</w:t>
      </w:r>
    </w:p>
    <w:p w:rsidR="00122E77" w:rsidRPr="00122E77" w:rsidRDefault="00122E77" w:rsidP="00122E77">
      <w:pPr>
        <w:jc w:val="left"/>
        <w:rPr>
          <w:rFonts w:cs="Arial"/>
          <w:color w:val="000000"/>
          <w:sz w:val="18"/>
        </w:rPr>
      </w:pPr>
    </w:p>
    <w:p w:rsidR="00122E77" w:rsidRPr="00122E77" w:rsidRDefault="00122E77" w:rsidP="00122E77">
      <w:pPr>
        <w:jc w:val="left"/>
        <w:rPr>
          <w:rFonts w:cs="Arial"/>
          <w:color w:val="000000"/>
          <w:sz w:val="18"/>
        </w:rPr>
      </w:pPr>
    </w:p>
    <w:p w:rsidR="00122E77" w:rsidRPr="00122E77" w:rsidRDefault="00122E77" w:rsidP="00122E77">
      <w:pPr>
        <w:jc w:val="left"/>
        <w:rPr>
          <w:rFonts w:cs="Arial"/>
          <w:color w:val="000000"/>
          <w:sz w:val="18"/>
        </w:rPr>
      </w:pPr>
    </w:p>
    <w:p w:rsidR="00122E77" w:rsidRPr="00122E77" w:rsidRDefault="00122E77" w:rsidP="00122E77">
      <w:pPr>
        <w:keepNext/>
        <w:outlineLvl w:val="0"/>
        <w:rPr>
          <w:caps/>
        </w:rPr>
      </w:pPr>
      <w:bookmarkStart w:id="12" w:name="_Toc51935381"/>
      <w:r w:rsidRPr="00122E77">
        <w:rPr>
          <w:caps/>
        </w:rPr>
        <w:t>BACKGROUND</w:t>
      </w:r>
      <w:bookmarkEnd w:id="12"/>
    </w:p>
    <w:p w:rsidR="00122E77" w:rsidRPr="00122E77" w:rsidRDefault="00122E77" w:rsidP="00122E77">
      <w:pPr>
        <w:rPr>
          <w:rFonts w:cs="Arial"/>
        </w:rPr>
      </w:pPr>
    </w:p>
    <w:bookmarkEnd w:id="8"/>
    <w:bookmarkEnd w:id="9"/>
    <w:bookmarkEnd w:id="10"/>
    <w:bookmarkEnd w:id="11"/>
    <w:p w:rsidR="00122E77" w:rsidRPr="00122E77" w:rsidRDefault="00122E77" w:rsidP="00122E77">
      <w:pPr>
        <w:rPr>
          <w:rFonts w:cs="Arial"/>
        </w:rPr>
      </w:pPr>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rPr>
        <w:tab/>
      </w:r>
      <w:r w:rsidRPr="00122E77">
        <w:t>The TC, at its fifty-fifth session</w:t>
      </w:r>
      <w:bookmarkStart w:id="13" w:name="_Ref42609340"/>
      <w:r w:rsidRPr="00122E77">
        <w:rPr>
          <w:vertAlign w:val="superscript"/>
        </w:rPr>
        <w:footnoteReference w:id="3"/>
      </w:r>
      <w:bookmarkEnd w:id="13"/>
      <w:r w:rsidRPr="00122E77">
        <w:t>, and the CAJ, at its seventy</w:t>
      </w:r>
      <w:r w:rsidRPr="00122E77">
        <w:noBreakHyphen/>
        <w:t>sixth session</w:t>
      </w:r>
      <w:bookmarkStart w:id="14" w:name="_Ref42609563"/>
      <w:r w:rsidRPr="00122E77">
        <w:rPr>
          <w:vertAlign w:val="superscript"/>
        </w:rPr>
        <w:footnoteReference w:id="4"/>
      </w:r>
      <w:bookmarkEnd w:id="14"/>
      <w:r w:rsidRPr="00122E77">
        <w:t>, approved the program for the development of TGP documents, as set out in the Annex to documents TC/55/4 and CAJ/76/2, respectively, subject to the conclusions at their sessions (see document TC/55/25 Corr. “Report”, paragraph 176, and document CAJ/76/9 “Report”, paragraph 33).</w:t>
      </w:r>
    </w:p>
    <w:p w:rsidR="00122E77" w:rsidRPr="00122E77" w:rsidRDefault="00122E77" w:rsidP="00122E77"/>
    <w:p w:rsidR="00122E77" w:rsidRPr="00122E77" w:rsidRDefault="00122E77" w:rsidP="00122E77">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rPr>
        <w:tab/>
        <w:t>In accordance with the draft agenda for CAJ/77, this document includes matters concerning “TGP Documents” to cover all relevant information materials under “Development of Guidance and Information Materials”, to be presented in future sessions of the CAJ.</w:t>
      </w:r>
    </w:p>
    <w:p w:rsidR="00122E77" w:rsidRPr="00122E77" w:rsidRDefault="00122E77" w:rsidP="00122E77">
      <w:pPr>
        <w:rPr>
          <w:rFonts w:cs="Arial"/>
        </w:rPr>
      </w:pPr>
    </w:p>
    <w:p w:rsidR="00122E77" w:rsidRPr="00122E77" w:rsidRDefault="00122E77" w:rsidP="00122E77">
      <w:pPr>
        <w:rPr>
          <w:rFonts w:cs="Arial"/>
        </w:rPr>
      </w:pPr>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color w:val="000000"/>
        </w:rPr>
        <w:tab/>
      </w:r>
      <w:r w:rsidRPr="00122E77">
        <w:rPr>
          <w:rFonts w:cs="Arial"/>
          <w:spacing w:val="-2"/>
        </w:rPr>
        <w:t>The approved guidance and information materials are published on the UPOV website at</w:t>
      </w:r>
      <w:r w:rsidRPr="00122E77">
        <w:rPr>
          <w:rFonts w:cs="Arial"/>
        </w:rPr>
        <w:t xml:space="preserve"> </w:t>
      </w:r>
      <w:hyperlink r:id="rId9" w:history="1">
        <w:r w:rsidRPr="00122E77">
          <w:rPr>
            <w:rFonts w:cs="Arial"/>
            <w:color w:val="0000FF"/>
            <w:u w:val="single"/>
          </w:rPr>
          <w:t>http://www.upov.int/upov_collection/en/</w:t>
        </w:r>
      </w:hyperlink>
      <w:r w:rsidRPr="00122E77">
        <w:rPr>
          <w:rFonts w:cs="Arial"/>
        </w:rPr>
        <w:t>.</w:t>
      </w:r>
    </w:p>
    <w:bookmarkEnd w:id="6"/>
    <w:bookmarkEnd w:id="7"/>
    <w:p w:rsidR="00122E77" w:rsidRPr="00122E77" w:rsidRDefault="00122E77" w:rsidP="00122E77">
      <w:pPr>
        <w:tabs>
          <w:tab w:val="left" w:pos="1092"/>
        </w:tabs>
        <w:rPr>
          <w:sz w:val="16"/>
        </w:rPr>
      </w:pPr>
    </w:p>
    <w:p w:rsidR="00122E77" w:rsidRPr="00122E77" w:rsidRDefault="00122E77" w:rsidP="00122E77">
      <w:pPr>
        <w:tabs>
          <w:tab w:val="left" w:pos="1092"/>
        </w:tabs>
        <w:rPr>
          <w:sz w:val="16"/>
        </w:rPr>
      </w:pPr>
    </w:p>
    <w:p w:rsidR="00122E77" w:rsidRPr="00122E77" w:rsidRDefault="00122E77" w:rsidP="00122E77">
      <w:pPr>
        <w:ind w:left="567" w:hanging="567"/>
        <w:jc w:val="left"/>
        <w:rPr>
          <w:sz w:val="16"/>
          <w:highlight w:val="yellow"/>
        </w:rPr>
      </w:pPr>
    </w:p>
    <w:p w:rsidR="00122E77" w:rsidRPr="00122E77" w:rsidRDefault="00122E77" w:rsidP="00122E77">
      <w:pPr>
        <w:keepNext/>
        <w:outlineLvl w:val="0"/>
        <w:rPr>
          <w:caps/>
        </w:rPr>
      </w:pPr>
      <w:bookmarkStart w:id="15" w:name="_Toc51935382"/>
      <w:r w:rsidRPr="00122E77">
        <w:rPr>
          <w:caps/>
        </w:rPr>
        <w:t>Matters proposed for adoption by the Council in 2020</w:t>
      </w:r>
      <w:bookmarkEnd w:id="15"/>
    </w:p>
    <w:p w:rsidR="00122E77" w:rsidRPr="00122E77" w:rsidRDefault="00122E77" w:rsidP="00122E77">
      <w:pPr>
        <w:keepNext/>
        <w:rPr>
          <w:highlight w:val="yellow"/>
        </w:rPr>
      </w:pPr>
    </w:p>
    <w:p w:rsidR="00122E77" w:rsidRPr="00122E77" w:rsidRDefault="00122E77" w:rsidP="00122E77">
      <w:pPr>
        <w:keepNext/>
        <w:numPr>
          <w:ilvl w:val="0"/>
          <w:numId w:val="6"/>
        </w:numPr>
        <w:ind w:left="567" w:hanging="567"/>
        <w:outlineLvl w:val="1"/>
        <w:rPr>
          <w:snapToGrid w:val="0"/>
          <w:u w:val="single"/>
        </w:rPr>
      </w:pPr>
      <w:bookmarkStart w:id="16" w:name="_Toc51935383"/>
      <w:r w:rsidRPr="00122E77">
        <w:rPr>
          <w:snapToGrid w:val="0"/>
          <w:u w:val="single"/>
        </w:rPr>
        <w:t>Information Materials</w:t>
      </w:r>
      <w:bookmarkEnd w:id="16"/>
    </w:p>
    <w:p w:rsidR="00122E77" w:rsidRPr="00122E77" w:rsidRDefault="00122E77" w:rsidP="00122E77">
      <w:pPr>
        <w:keepNext/>
      </w:pPr>
    </w:p>
    <w:p w:rsidR="00122E77" w:rsidRPr="00122E77" w:rsidRDefault="00122E77" w:rsidP="00122E77">
      <w:pPr>
        <w:keepNext/>
        <w:outlineLvl w:val="2"/>
        <w:rPr>
          <w:i/>
        </w:rPr>
      </w:pPr>
      <w:bookmarkStart w:id="17" w:name="_Toc51935384"/>
      <w:r w:rsidRPr="00122E77">
        <w:rPr>
          <w:i/>
        </w:rPr>
        <w:t>Revision of document UPOV/INF/16 “Exchangeable Software” (document UPOV/INF/16/9 Draft </w:t>
      </w:r>
      <w:r w:rsidR="00CE5020" w:rsidRPr="00CE5020">
        <w:rPr>
          <w:i/>
          <w:strike/>
          <w:highlight w:val="yellow"/>
        </w:rPr>
        <w:t>1</w:t>
      </w:r>
      <w:r w:rsidR="00CE5020" w:rsidRPr="00CE5020">
        <w:rPr>
          <w:bCs/>
          <w:i/>
          <w:snapToGrid w:val="0"/>
          <w:szCs w:val="24"/>
          <w:highlight w:val="yellow"/>
          <w:u w:val="single"/>
        </w:rPr>
        <w:t>2</w:t>
      </w:r>
      <w:r w:rsidRPr="00122E77">
        <w:rPr>
          <w:i/>
        </w:rPr>
        <w:t>)</w:t>
      </w:r>
      <w:bookmarkEnd w:id="17"/>
    </w:p>
    <w:p w:rsidR="00122E77" w:rsidRPr="00122E77" w:rsidRDefault="00122E77" w:rsidP="00122E77">
      <w:pPr>
        <w:rPr>
          <w:snapToGrid w:val="0"/>
          <w:lang w:eastAsia="ja-JP"/>
        </w:rPr>
      </w:pPr>
    </w:p>
    <w:p w:rsidR="00122E77" w:rsidRPr="00122E77" w:rsidRDefault="00122E77" w:rsidP="00122E77">
      <w:pPr>
        <w:keepNext/>
        <w:ind w:left="567"/>
        <w:outlineLvl w:val="3"/>
        <w:rPr>
          <w:snapToGrid w:val="0"/>
          <w:u w:val="single"/>
          <w:lang w:eastAsia="ja-JP"/>
        </w:rPr>
      </w:pPr>
      <w:bookmarkStart w:id="18" w:name="_Toc46411604"/>
      <w:bookmarkStart w:id="19" w:name="_Toc51935385"/>
      <w:r w:rsidRPr="00122E77">
        <w:rPr>
          <w:snapToGrid w:val="0"/>
          <w:u w:val="single"/>
          <w:lang w:eastAsia="ja-JP"/>
        </w:rPr>
        <w:t>Inclusion of new software in document UPOV/INF/16</w:t>
      </w:r>
      <w:bookmarkEnd w:id="18"/>
      <w:bookmarkEnd w:id="19"/>
    </w:p>
    <w:p w:rsidR="00122E77" w:rsidRPr="00122E77" w:rsidRDefault="00122E77" w:rsidP="00122E77">
      <w:pPr>
        <w:keepNext/>
        <w:rPr>
          <w:snapToGrid w:val="0"/>
          <w:lang w:eastAsia="ja-JP"/>
        </w:rPr>
      </w:pPr>
    </w:p>
    <w:p w:rsidR="00122E77" w:rsidRPr="00122E77" w:rsidRDefault="00122E77" w:rsidP="00122E77">
      <w:pPr>
        <w:keepNext/>
      </w:pPr>
      <w:r w:rsidRPr="00122E77">
        <w:rPr>
          <w:snapToGrid w:val="0"/>
        </w:rPr>
        <w:fldChar w:fldCharType="begin"/>
      </w:r>
      <w:r w:rsidRPr="00122E77">
        <w:rPr>
          <w:snapToGrid w:val="0"/>
        </w:rPr>
        <w:instrText xml:space="preserve"> AUTONUM  </w:instrText>
      </w:r>
      <w:r w:rsidRPr="00122E77">
        <w:rPr>
          <w:snapToGrid w:val="0"/>
        </w:rPr>
        <w:fldChar w:fldCharType="end"/>
      </w:r>
      <w:r w:rsidRPr="00122E77">
        <w:rPr>
          <w:snapToGrid w:val="0"/>
        </w:rPr>
        <w:tab/>
        <w:t>Section 2 of d</w:t>
      </w:r>
      <w:r w:rsidRPr="00122E77">
        <w:t>ocument UPOV/INF/16 “Exchangeable Software” provides the following:</w:t>
      </w:r>
    </w:p>
    <w:p w:rsidR="00122E77" w:rsidRPr="00122E77" w:rsidRDefault="00122E77" w:rsidP="00122E77">
      <w:pPr>
        <w:rPr>
          <w:rFonts w:cs="Arial"/>
        </w:rPr>
      </w:pPr>
    </w:p>
    <w:p w:rsidR="00122E77" w:rsidRPr="00122E77" w:rsidRDefault="00122E77" w:rsidP="00122E77">
      <w:pPr>
        <w:keepNext/>
        <w:ind w:left="567" w:right="567"/>
        <w:rPr>
          <w:rFonts w:cs="Arial"/>
          <w:snapToGrid w:val="0"/>
          <w:sz w:val="18"/>
          <w:u w:val="single"/>
        </w:rPr>
      </w:pPr>
      <w:r w:rsidRPr="00122E77">
        <w:rPr>
          <w:rFonts w:cs="Arial"/>
          <w:snapToGrid w:val="0"/>
          <w:sz w:val="18"/>
        </w:rPr>
        <w:t>“2.</w:t>
      </w:r>
      <w:r w:rsidRPr="00122E77">
        <w:rPr>
          <w:rFonts w:cs="Arial"/>
          <w:snapToGrid w:val="0"/>
          <w:sz w:val="18"/>
        </w:rPr>
        <w:tab/>
      </w:r>
      <w:r w:rsidRPr="00122E77">
        <w:rPr>
          <w:rFonts w:cs="Arial"/>
          <w:snapToGrid w:val="0"/>
          <w:sz w:val="18"/>
          <w:u w:val="single"/>
        </w:rPr>
        <w:t xml:space="preserve">Procedure for inclusion of software </w:t>
      </w:r>
    </w:p>
    <w:p w:rsidR="00122E77" w:rsidRPr="00122E77" w:rsidRDefault="00122E77" w:rsidP="00122E77">
      <w:pPr>
        <w:keepNext/>
        <w:ind w:left="567" w:right="567"/>
        <w:rPr>
          <w:rFonts w:cs="Arial"/>
          <w:snapToGrid w:val="0"/>
          <w:sz w:val="18"/>
          <w:u w:val="single"/>
        </w:rPr>
      </w:pPr>
    </w:p>
    <w:p w:rsidR="00122E77" w:rsidRPr="00122E77" w:rsidRDefault="00122E77" w:rsidP="00122E77">
      <w:pPr>
        <w:keepLines/>
        <w:ind w:left="567" w:right="567"/>
        <w:rPr>
          <w:rFonts w:cs="Arial"/>
          <w:snapToGrid w:val="0"/>
          <w:sz w:val="18"/>
        </w:rPr>
      </w:pPr>
      <w:r w:rsidRPr="00122E77">
        <w:rPr>
          <w:rFonts w:cs="Arial"/>
          <w:snapToGrid w:val="0"/>
          <w:sz w:val="18"/>
        </w:rPr>
        <w:t xml:space="preserve">“Software proposed for inclusion in document UPOV/INF/16 by members of the Union is, in the first instance, presented for review by the </w:t>
      </w:r>
      <w:r w:rsidRPr="00122E77">
        <w:rPr>
          <w:rFonts w:cs="Arial"/>
          <w:snapToGrid w:val="0"/>
          <w:color w:val="000000"/>
          <w:sz w:val="18"/>
        </w:rPr>
        <w:t>Technical Working Party on Automation and Computer Programs (TWC)</w:t>
      </w:r>
      <w:r w:rsidRPr="00122E77">
        <w:rPr>
          <w:rFonts w:cs="Arial"/>
          <w:snapToGrid w:val="0"/>
          <w:sz w:val="18"/>
        </w:rPr>
        <w:t>.  On the basis of such presentations and the experience of members of the Union, the TWC makes a recommendation to the Technical Committee</w:t>
      </w:r>
      <w:r w:rsidRPr="00122E77">
        <w:rPr>
          <w:rFonts w:cs="Arial"/>
          <w:snapToGrid w:val="0"/>
          <w:sz w:val="18"/>
          <w:lang w:eastAsia="ja-JP"/>
        </w:rPr>
        <w:t xml:space="preserve"> (TC)</w:t>
      </w:r>
      <w:r w:rsidRPr="00122E77">
        <w:rPr>
          <w:rFonts w:cs="Arial"/>
          <w:snapToGrid w:val="0"/>
          <w:sz w:val="18"/>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bookmarkStart w:id="20" w:name="_Toc380588287"/>
    <w:bookmarkStart w:id="21" w:name="_Toc10906376"/>
    <w:bookmarkStart w:id="22" w:name="_Toc14686108"/>
    <w:p w:rsidR="00122E77" w:rsidRPr="00122E77" w:rsidRDefault="00122E77" w:rsidP="00122E77">
      <w:pPr>
        <w:keepNext/>
        <w:rPr>
          <w:spacing w:val="-2"/>
          <w:lang w:eastAsia="ja-JP"/>
        </w:rPr>
      </w:pPr>
      <w:r w:rsidRPr="00122E77">
        <w:rPr>
          <w:spacing w:val="-2"/>
          <w:lang w:eastAsia="ja-JP"/>
        </w:rPr>
        <w:lastRenderedPageBreak/>
        <w:fldChar w:fldCharType="begin"/>
      </w:r>
      <w:r w:rsidRPr="00122E77">
        <w:rPr>
          <w:spacing w:val="-2"/>
          <w:lang w:eastAsia="ja-JP"/>
        </w:rPr>
        <w:instrText xml:space="preserve"> AUTONUM  </w:instrText>
      </w:r>
      <w:r w:rsidRPr="00122E77">
        <w:rPr>
          <w:spacing w:val="-2"/>
          <w:lang w:eastAsia="ja-JP"/>
        </w:rPr>
        <w:fldChar w:fldCharType="end"/>
      </w:r>
      <w:r w:rsidRPr="00122E77">
        <w:rPr>
          <w:spacing w:val="-2"/>
          <w:lang w:eastAsia="ja-JP"/>
        </w:rPr>
        <w:tab/>
        <w:t>Following the recommendation by the TWC, at its thirty-seventh session, the software “Off-type Calculator” is proposed for inclusion in document UPOV/INF/16, as presented in document </w:t>
      </w:r>
      <w:r w:rsidRPr="00122E77">
        <w:rPr>
          <w:rFonts w:eastAsia="MS Mincho"/>
          <w:spacing w:val="-2"/>
          <w:lang w:eastAsia="ja-JP"/>
        </w:rPr>
        <w:t>UPOV/INF/16/9 Draft </w:t>
      </w:r>
      <w:r w:rsidR="00CE5020" w:rsidRPr="00CE5020">
        <w:rPr>
          <w:strike/>
          <w:highlight w:val="yellow"/>
        </w:rPr>
        <w:t>1</w:t>
      </w:r>
      <w:r w:rsidR="00CE5020" w:rsidRPr="00CE5020">
        <w:rPr>
          <w:bCs/>
          <w:snapToGrid w:val="0"/>
          <w:szCs w:val="24"/>
          <w:highlight w:val="yellow"/>
          <w:u w:val="single"/>
        </w:rPr>
        <w:t>2</w:t>
      </w:r>
      <w:r w:rsidRPr="00122E77">
        <w:rPr>
          <w:spacing w:val="-2"/>
          <w:lang w:eastAsia="ja-JP"/>
        </w:rPr>
        <w:t>:</w:t>
      </w:r>
    </w:p>
    <w:p w:rsidR="00122E77" w:rsidRPr="00122E77" w:rsidRDefault="00122E77" w:rsidP="00122E77">
      <w:pPr>
        <w:keepNext/>
        <w:ind w:left="1134" w:hanging="720"/>
        <w:jc w:val="left"/>
        <w:rPr>
          <w:snapToGrid w:val="0"/>
          <w:lang w:eastAsia="ja-JP"/>
        </w:rPr>
      </w:pPr>
    </w:p>
    <w:p w:rsidR="00122E77" w:rsidRPr="00122E77" w:rsidRDefault="00122E77" w:rsidP="00122E77">
      <w:pPr>
        <w:keepNext/>
        <w:ind w:left="567"/>
        <w:outlineLvl w:val="3"/>
        <w:rPr>
          <w:snapToGrid w:val="0"/>
          <w:sz w:val="22"/>
          <w:u w:val="single"/>
          <w:lang w:eastAsia="ja-JP"/>
        </w:rPr>
      </w:pPr>
      <w:bookmarkStart w:id="23" w:name="_Toc46411606"/>
      <w:bookmarkStart w:id="24" w:name="_Toc51935386"/>
      <w:r w:rsidRPr="00122E77">
        <w:rPr>
          <w:snapToGrid w:val="0"/>
          <w:u w:val="single"/>
        </w:rPr>
        <w:t>Invitation to provide information on the use of the software included in document UPOV/INF/16</w:t>
      </w:r>
      <w:bookmarkEnd w:id="23"/>
      <w:bookmarkEnd w:id="24"/>
    </w:p>
    <w:p w:rsidR="00122E77" w:rsidRPr="00122E77" w:rsidRDefault="00122E77" w:rsidP="00122E77">
      <w:pPr>
        <w:keepNext/>
        <w:rPr>
          <w:snapToGrid w:val="0"/>
          <w:lang w:eastAsia="ja-JP"/>
        </w:rPr>
      </w:pPr>
    </w:p>
    <w:p w:rsidR="00122E77" w:rsidRPr="00122E77" w:rsidRDefault="00122E77" w:rsidP="00122E77">
      <w:pPr>
        <w:keepNext/>
      </w:pPr>
      <w:r w:rsidRPr="00122E77">
        <w:rPr>
          <w:snapToGrid w:val="0"/>
        </w:rPr>
        <w:fldChar w:fldCharType="begin"/>
      </w:r>
      <w:r w:rsidRPr="00122E77">
        <w:rPr>
          <w:snapToGrid w:val="0"/>
        </w:rPr>
        <w:instrText xml:space="preserve"> AUTONUM  </w:instrText>
      </w:r>
      <w:r w:rsidRPr="00122E77">
        <w:rPr>
          <w:snapToGrid w:val="0"/>
        </w:rPr>
        <w:fldChar w:fldCharType="end"/>
      </w:r>
      <w:r w:rsidRPr="00122E77">
        <w:rPr>
          <w:snapToGrid w:val="0"/>
        </w:rPr>
        <w:tab/>
        <w:t>Section 4 of d</w:t>
      </w:r>
      <w:r w:rsidRPr="00122E77">
        <w:t>ocument UPOV/INF/16 “Exchangeable Software” provides the following:</w:t>
      </w:r>
    </w:p>
    <w:p w:rsidR="00122E77" w:rsidRPr="00122E77" w:rsidRDefault="00122E77" w:rsidP="00122E77">
      <w:pPr>
        <w:keepNext/>
      </w:pPr>
    </w:p>
    <w:p w:rsidR="00122E77" w:rsidRPr="00122E77" w:rsidRDefault="00122E77" w:rsidP="00122E77">
      <w:pPr>
        <w:keepNext/>
        <w:ind w:left="567" w:right="566"/>
        <w:rPr>
          <w:snapToGrid w:val="0"/>
          <w:sz w:val="18"/>
          <w:szCs w:val="18"/>
          <w:u w:val="single"/>
        </w:rPr>
      </w:pPr>
      <w:r w:rsidRPr="00122E77">
        <w:rPr>
          <w:snapToGrid w:val="0"/>
          <w:sz w:val="18"/>
          <w:szCs w:val="18"/>
        </w:rPr>
        <w:t>“4.</w:t>
      </w:r>
      <w:r w:rsidRPr="00122E77">
        <w:rPr>
          <w:snapToGrid w:val="0"/>
          <w:sz w:val="18"/>
          <w:szCs w:val="18"/>
        </w:rPr>
        <w:tab/>
      </w:r>
      <w:r w:rsidRPr="00122E77">
        <w:rPr>
          <w:snapToGrid w:val="0"/>
          <w:sz w:val="18"/>
          <w:szCs w:val="18"/>
          <w:u w:val="single"/>
        </w:rPr>
        <w:t>Information on use by members of the Union</w:t>
      </w:r>
    </w:p>
    <w:p w:rsidR="00122E77" w:rsidRPr="00122E77" w:rsidRDefault="00122E77" w:rsidP="00122E77">
      <w:pPr>
        <w:keepNext/>
        <w:ind w:left="567" w:right="566"/>
        <w:rPr>
          <w:snapToGrid w:val="0"/>
          <w:sz w:val="18"/>
          <w:szCs w:val="18"/>
        </w:rPr>
      </w:pPr>
    </w:p>
    <w:p w:rsidR="00122E77" w:rsidRPr="00122E77" w:rsidRDefault="00122E77" w:rsidP="00122E77">
      <w:pPr>
        <w:keepNext/>
        <w:ind w:left="567" w:right="566"/>
        <w:rPr>
          <w:snapToGrid w:val="0"/>
          <w:sz w:val="18"/>
          <w:szCs w:val="18"/>
        </w:rPr>
      </w:pPr>
      <w:r w:rsidRPr="00122E77">
        <w:rPr>
          <w:snapToGrid w:val="0"/>
          <w:sz w:val="18"/>
          <w:szCs w:val="18"/>
        </w:rPr>
        <w:t>“4.1</w:t>
      </w:r>
      <w:r w:rsidRPr="00122E77">
        <w:rPr>
          <w:snapToGrid w:val="0"/>
          <w:sz w:val="18"/>
          <w:szCs w:val="18"/>
        </w:rPr>
        <w:tab/>
        <w:t>A circular is issued to members of the Union on an annual basis, inviting them to provide information on their use of the software included in document UPOV/INF/16.</w:t>
      </w:r>
    </w:p>
    <w:p w:rsidR="00122E77" w:rsidRPr="00122E77" w:rsidRDefault="00122E77" w:rsidP="00122E77">
      <w:pPr>
        <w:keepNext/>
        <w:ind w:left="567" w:right="566"/>
        <w:rPr>
          <w:snapToGrid w:val="0"/>
          <w:sz w:val="18"/>
          <w:szCs w:val="18"/>
          <w:lang w:eastAsia="ja-JP"/>
        </w:rPr>
      </w:pPr>
    </w:p>
    <w:p w:rsidR="00122E77" w:rsidRPr="00122E77" w:rsidRDefault="00122E77" w:rsidP="00122E77">
      <w:pPr>
        <w:ind w:left="567" w:right="566"/>
        <w:rPr>
          <w:snapToGrid w:val="0"/>
          <w:spacing w:val="-2"/>
          <w:sz w:val="18"/>
          <w:szCs w:val="18"/>
        </w:rPr>
      </w:pPr>
      <w:r w:rsidRPr="00122E77">
        <w:rPr>
          <w:snapToGrid w:val="0"/>
          <w:spacing w:val="-2"/>
          <w:sz w:val="18"/>
          <w:szCs w:val="18"/>
        </w:rPr>
        <w:t>“4.2</w:t>
      </w:r>
      <w:r w:rsidRPr="00122E77">
        <w:rPr>
          <w:snapToGrid w:val="0"/>
          <w:spacing w:val="-2"/>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122E77" w:rsidRPr="00122E77" w:rsidRDefault="00122E77" w:rsidP="00122E77">
      <w:pPr>
        <w:ind w:right="566"/>
        <w:rPr>
          <w:snapToGrid w:val="0"/>
          <w:spacing w:val="-2"/>
          <w:szCs w:val="18"/>
        </w:rPr>
      </w:pPr>
    </w:p>
    <w:p w:rsidR="00122E77" w:rsidRPr="00122E77" w:rsidRDefault="00122E77" w:rsidP="00122E77">
      <w:pPr>
        <w:rPr>
          <w:snapToGrid w:val="0"/>
          <w:lang w:eastAsia="ja-JP"/>
        </w:rPr>
      </w:pPr>
      <w:r w:rsidRPr="00122E77">
        <w:rPr>
          <w:snapToGrid w:val="0"/>
        </w:rPr>
        <w:fldChar w:fldCharType="begin"/>
      </w:r>
      <w:r w:rsidRPr="00122E77">
        <w:rPr>
          <w:snapToGrid w:val="0"/>
        </w:rPr>
        <w:instrText xml:space="preserve"> AUTONUM  </w:instrText>
      </w:r>
      <w:r w:rsidRPr="00122E77">
        <w:rPr>
          <w:snapToGrid w:val="0"/>
        </w:rPr>
        <w:fldChar w:fldCharType="end"/>
      </w:r>
      <w:r w:rsidRPr="00122E77">
        <w:rPr>
          <w:snapToGrid w:val="0"/>
        </w:rPr>
        <w:tab/>
        <w:t xml:space="preserve">On April 14, 2020, the Office of the Union issued </w:t>
      </w:r>
      <w:r w:rsidRPr="00122E77">
        <w:t xml:space="preserve">Circular E-20/031 to the designated persons of the members of the Union in the TC, inviting them to provide or update information regarding the use of the software included in document UPOV/INF/16.  </w:t>
      </w:r>
    </w:p>
    <w:p w:rsidR="00122E77" w:rsidRPr="00122E77" w:rsidRDefault="00122E77" w:rsidP="00122E77">
      <w:pPr>
        <w:rPr>
          <w:snapToGrid w:val="0"/>
          <w:lang w:eastAsia="ja-JP"/>
        </w:rPr>
      </w:pPr>
    </w:p>
    <w:p w:rsidR="00122E77" w:rsidRPr="00122E77" w:rsidRDefault="00122E77" w:rsidP="00122E77">
      <w:pPr>
        <w:rPr>
          <w:snapToGrid w:val="0"/>
          <w:lang w:eastAsia="ja-JP"/>
        </w:rPr>
      </w:pPr>
      <w:r w:rsidRPr="00122E77">
        <w:rPr>
          <w:snapToGrid w:val="0"/>
        </w:rPr>
        <w:fldChar w:fldCharType="begin"/>
      </w:r>
      <w:r w:rsidRPr="00122E77">
        <w:rPr>
          <w:snapToGrid w:val="0"/>
        </w:rPr>
        <w:instrText xml:space="preserve"> AUTONUM  </w:instrText>
      </w:r>
      <w:r w:rsidRPr="00122E77">
        <w:rPr>
          <w:snapToGrid w:val="0"/>
        </w:rPr>
        <w:fldChar w:fldCharType="end"/>
      </w:r>
      <w:r w:rsidRPr="00122E77">
        <w:rPr>
          <w:snapToGrid w:val="0"/>
        </w:rPr>
        <w:tab/>
      </w:r>
      <w:r w:rsidRPr="00122E77">
        <w:t>No new information was received from members of the Union in response to Circular E-20/031.</w:t>
      </w:r>
    </w:p>
    <w:p w:rsidR="00122E77" w:rsidRPr="00122E77" w:rsidRDefault="00122E77" w:rsidP="00122E77">
      <w:pPr>
        <w:rPr>
          <w:snapToGrid w:val="0"/>
          <w:spacing w:val="-2"/>
          <w:lang w:eastAsia="ja-JP"/>
        </w:rPr>
      </w:pPr>
    </w:p>
    <w:p w:rsidR="00122E77" w:rsidRPr="00122E77" w:rsidRDefault="00122E77" w:rsidP="00122E77">
      <w:pPr>
        <w:rPr>
          <w:snapToGrid w:val="0"/>
          <w:lang w:eastAsia="ja-JP"/>
        </w:rPr>
      </w:pPr>
      <w:r w:rsidRPr="00122E77">
        <w:rPr>
          <w:lang w:eastAsia="ja-JP"/>
        </w:rPr>
        <w:fldChar w:fldCharType="begin"/>
      </w:r>
      <w:r w:rsidRPr="00122E77">
        <w:rPr>
          <w:lang w:eastAsia="ja-JP"/>
        </w:rPr>
        <w:instrText xml:space="preserve"> AUTONUM  </w:instrText>
      </w:r>
      <w:r w:rsidRPr="00122E77">
        <w:rPr>
          <w:lang w:eastAsia="ja-JP"/>
        </w:rPr>
        <w:fldChar w:fldCharType="end"/>
      </w:r>
      <w:r w:rsidRPr="00122E77">
        <w:rPr>
          <w:lang w:eastAsia="ja-JP"/>
        </w:rPr>
        <w:tab/>
        <w:t>Subject to agreement of a draft of document UPOV/INF/</w:t>
      </w:r>
      <w:r w:rsidRPr="00122E77">
        <w:rPr>
          <w:rFonts w:hint="eastAsia"/>
          <w:lang w:eastAsia="ja-JP"/>
        </w:rPr>
        <w:t>16</w:t>
      </w:r>
      <w:r w:rsidRPr="00122E77">
        <w:rPr>
          <w:lang w:eastAsia="ja-JP"/>
        </w:rPr>
        <w:t>/9 by the TC and the CAJ, on the basis of document UPOV/INF/</w:t>
      </w:r>
      <w:r w:rsidRPr="00122E77">
        <w:rPr>
          <w:rFonts w:hint="eastAsia"/>
          <w:lang w:eastAsia="ja-JP"/>
        </w:rPr>
        <w:t>16</w:t>
      </w:r>
      <w:r w:rsidRPr="00122E77">
        <w:rPr>
          <w:lang w:eastAsia="ja-JP"/>
        </w:rPr>
        <w:t>/9 Draft 1, which contains</w:t>
      </w:r>
      <w:r w:rsidRPr="00122E77">
        <w:t xml:space="preserve"> </w:t>
      </w:r>
      <w:r w:rsidRPr="00122E77">
        <w:rPr>
          <w:lang w:eastAsia="ja-JP"/>
        </w:rPr>
        <w:t xml:space="preserve">the proposal for the inclusion of the software “Off-type Calculator”, an agreed draft of document UPOV/INF/16/9 “Exchangeable Software” will be presented for adoption by the Council in 2020. </w:t>
      </w:r>
    </w:p>
    <w:p w:rsidR="00122E77" w:rsidRPr="00122E77" w:rsidRDefault="00122E77" w:rsidP="00122E77">
      <w:pPr>
        <w:rPr>
          <w:snapToGrid w:val="0"/>
          <w:spacing w:val="-2"/>
          <w:lang w:eastAsia="ja-JP"/>
        </w:rPr>
      </w:pPr>
    </w:p>
    <w:p w:rsidR="00122E77" w:rsidRPr="00122E77" w:rsidRDefault="00122E77" w:rsidP="00122E77">
      <w:pPr>
        <w:keepNext/>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w:t>
      </w:r>
    </w:p>
    <w:p w:rsidR="00122E77" w:rsidRPr="00122E77" w:rsidRDefault="00122E77" w:rsidP="00122E77">
      <w:pPr>
        <w:keepNext/>
        <w:tabs>
          <w:tab w:val="left" w:pos="5387"/>
          <w:tab w:val="left" w:pos="5954"/>
        </w:tabs>
        <w:ind w:left="4820"/>
        <w:rPr>
          <w:i/>
        </w:rPr>
      </w:pPr>
    </w:p>
    <w:p w:rsidR="00122E77" w:rsidRPr="00122E77" w:rsidRDefault="00122E77" w:rsidP="00122E77">
      <w:pPr>
        <w:tabs>
          <w:tab w:val="left" w:pos="5387"/>
          <w:tab w:val="left" w:pos="5954"/>
        </w:tabs>
        <w:ind w:left="4820"/>
        <w:rPr>
          <w:i/>
        </w:rPr>
      </w:pPr>
      <w:r w:rsidRPr="00122E77">
        <w:rPr>
          <w:i/>
        </w:rPr>
        <w:tab/>
        <w:t>(a)</w:t>
      </w:r>
      <w:r w:rsidRPr="00122E77">
        <w:rPr>
          <w:i/>
        </w:rPr>
        <w:tab/>
        <w:t xml:space="preserve">consider the proposed revision of document UPOV/INF/16/8 “Exchangeable Software”, </w:t>
      </w:r>
      <w:r w:rsidRPr="00122E77">
        <w:rPr>
          <w:i/>
          <w:lang w:eastAsia="ja-JP"/>
        </w:rPr>
        <w:t xml:space="preserve">on the basis of </w:t>
      </w:r>
      <w:r w:rsidRPr="00122E77">
        <w:rPr>
          <w:i/>
        </w:rPr>
        <w:t>document UPOV/INF/16/9 Draft </w:t>
      </w:r>
      <w:r w:rsidR="00CE5020" w:rsidRPr="00CE5020">
        <w:rPr>
          <w:i/>
          <w:strike/>
          <w:highlight w:val="yellow"/>
        </w:rPr>
        <w:t>1</w:t>
      </w:r>
      <w:r w:rsidR="00CE5020" w:rsidRPr="00CE5020">
        <w:rPr>
          <w:bCs/>
          <w:i/>
          <w:snapToGrid w:val="0"/>
          <w:szCs w:val="24"/>
          <w:highlight w:val="yellow"/>
          <w:u w:val="single"/>
        </w:rPr>
        <w:t>2</w:t>
      </w:r>
      <w:r w:rsidRPr="00122E77">
        <w:rPr>
          <w:i/>
        </w:rPr>
        <w:t>;  and</w:t>
      </w:r>
    </w:p>
    <w:p w:rsidR="00122E77" w:rsidRPr="00122E77" w:rsidRDefault="00122E77" w:rsidP="00122E77">
      <w:pPr>
        <w:tabs>
          <w:tab w:val="left" w:pos="5387"/>
          <w:tab w:val="left" w:pos="5954"/>
        </w:tabs>
        <w:ind w:left="4820"/>
        <w:rPr>
          <w:i/>
        </w:rPr>
      </w:pPr>
    </w:p>
    <w:p w:rsidR="00122E77" w:rsidRPr="00122E77" w:rsidRDefault="00122E77" w:rsidP="00122E77">
      <w:pPr>
        <w:tabs>
          <w:tab w:val="left" w:pos="5387"/>
          <w:tab w:val="left" w:pos="5954"/>
        </w:tabs>
        <w:ind w:left="4820"/>
        <w:rPr>
          <w:i/>
        </w:rPr>
      </w:pPr>
      <w:r w:rsidRPr="00122E77">
        <w:rPr>
          <w:i/>
        </w:rPr>
        <w:tab/>
        <w:t>(b)</w:t>
      </w:r>
      <w:r w:rsidRPr="00122E77">
        <w:rPr>
          <w:i/>
        </w:rPr>
        <w:tab/>
        <w:t>note that, subject to agreement by the TC and CAJ, an agreed draft of document UPOV/INF/16/9 will be presented for adoption by the Council in 2020.</w:t>
      </w:r>
    </w:p>
    <w:p w:rsidR="00122E77" w:rsidRPr="00122E77" w:rsidRDefault="00122E77" w:rsidP="00122E77"/>
    <w:p w:rsidR="00122E77" w:rsidRPr="00122E77" w:rsidRDefault="00122E77" w:rsidP="00122E77">
      <w:pPr>
        <w:keepNext/>
        <w:outlineLvl w:val="2"/>
        <w:rPr>
          <w:i/>
        </w:rPr>
      </w:pPr>
      <w:bookmarkStart w:id="25" w:name="_Toc51935387"/>
      <w:bookmarkEnd w:id="20"/>
      <w:bookmarkEnd w:id="21"/>
      <w:bookmarkEnd w:id="22"/>
      <w:r w:rsidRPr="00122E77">
        <w:rPr>
          <w:i/>
        </w:rPr>
        <w:t>Revision of document UPOV/INF/22 “Software and equipment used by members of the Union” (document UPOV/INF/22/7 Draft 1)</w:t>
      </w:r>
      <w:bookmarkEnd w:id="25"/>
    </w:p>
    <w:p w:rsidR="00122E77" w:rsidRPr="00122E77" w:rsidRDefault="00122E77" w:rsidP="00122E77">
      <w:pPr>
        <w:rPr>
          <w:snapToGrid w:val="0"/>
        </w:rPr>
      </w:pPr>
    </w:p>
    <w:p w:rsidR="00122E77" w:rsidRPr="00122E77" w:rsidRDefault="00122E77" w:rsidP="00122E77">
      <w:r w:rsidRPr="00122E77">
        <w:rPr>
          <w:snapToGrid w:val="0"/>
        </w:rPr>
        <w:fldChar w:fldCharType="begin"/>
      </w:r>
      <w:r w:rsidRPr="00122E77">
        <w:rPr>
          <w:snapToGrid w:val="0"/>
        </w:rPr>
        <w:instrText xml:space="preserve"> AUTONUM  </w:instrText>
      </w:r>
      <w:r w:rsidRPr="00122E77">
        <w:rPr>
          <w:snapToGrid w:val="0"/>
        </w:rPr>
        <w:fldChar w:fldCharType="end"/>
      </w:r>
      <w:r w:rsidRPr="00122E77">
        <w:rPr>
          <w:snapToGrid w:val="0"/>
        </w:rPr>
        <w:tab/>
        <w:t xml:space="preserve">On April 14, 2020, the Office of the Union issued </w:t>
      </w:r>
      <w:r w:rsidRPr="00122E77">
        <w:t xml:space="preserve">Circular E-20/031 to the designated </w:t>
      </w:r>
      <w:r w:rsidRPr="00122E77">
        <w:rPr>
          <w:spacing w:val="-2"/>
        </w:rPr>
        <w:t xml:space="preserve">persons of the members of the Union in the TC, inviting them to provide or update information </w:t>
      </w:r>
      <w:r w:rsidRPr="00122E77">
        <w:rPr>
          <w:rFonts w:hint="eastAsia"/>
          <w:spacing w:val="-2"/>
          <w:lang w:eastAsia="ja-JP"/>
        </w:rPr>
        <w:t>for</w:t>
      </w:r>
      <w:r w:rsidRPr="00122E77">
        <w:rPr>
          <w:spacing w:val="-2"/>
        </w:rPr>
        <w:t xml:space="preserve"> document UPOV/INF/</w:t>
      </w:r>
      <w:r w:rsidRPr="00122E77">
        <w:rPr>
          <w:rFonts w:hint="eastAsia"/>
          <w:spacing w:val="-2"/>
          <w:lang w:eastAsia="ja-JP"/>
        </w:rPr>
        <w:t>22</w:t>
      </w:r>
      <w:r w:rsidRPr="00122E77">
        <w:rPr>
          <w:spacing w:val="-2"/>
        </w:rPr>
        <w:t>.</w:t>
      </w:r>
      <w:r w:rsidRPr="00122E77">
        <w:t xml:space="preserve">  </w:t>
      </w:r>
    </w:p>
    <w:p w:rsidR="00122E77" w:rsidRPr="00122E77" w:rsidRDefault="00122E77" w:rsidP="00122E77"/>
    <w:p w:rsidR="00122E77" w:rsidRPr="00122E77" w:rsidRDefault="00122E77" w:rsidP="00122E77">
      <w:r w:rsidRPr="00122E77">
        <w:fldChar w:fldCharType="begin"/>
      </w:r>
      <w:r w:rsidRPr="00122E77">
        <w:instrText xml:space="preserve"> AUTONUM  </w:instrText>
      </w:r>
      <w:r w:rsidRPr="00122E77">
        <w:fldChar w:fldCharType="end"/>
      </w:r>
      <w:r w:rsidRPr="00122E77">
        <w:tab/>
        <w:t>The information received from Lithuania and Uruguay in response to circular E-20/031 is included in document UPOV/INF/22/7 Draft 1.</w:t>
      </w:r>
    </w:p>
    <w:p w:rsidR="00122E77" w:rsidRPr="00122E77" w:rsidRDefault="00122E77" w:rsidP="00122E77">
      <w:pPr>
        <w:rPr>
          <w:rFonts w:eastAsia="MS Mincho"/>
          <w:snapToGrid w:val="0"/>
          <w:lang w:eastAsia="ja-JP"/>
        </w:rPr>
      </w:pPr>
    </w:p>
    <w:p w:rsidR="00122E77" w:rsidRPr="00122E77" w:rsidRDefault="00122E77" w:rsidP="00122E77">
      <w:pPr>
        <w:rPr>
          <w:snapToGrid w:val="0"/>
          <w:lang w:eastAsia="ja-JP"/>
        </w:rPr>
      </w:pPr>
      <w:r w:rsidRPr="00122E77">
        <w:rPr>
          <w:lang w:eastAsia="ja-JP"/>
        </w:rPr>
        <w:fldChar w:fldCharType="begin"/>
      </w:r>
      <w:r w:rsidRPr="00122E77">
        <w:rPr>
          <w:lang w:eastAsia="ja-JP"/>
        </w:rPr>
        <w:instrText xml:space="preserve"> AUTONUM  </w:instrText>
      </w:r>
      <w:r w:rsidRPr="00122E77">
        <w:rPr>
          <w:lang w:eastAsia="ja-JP"/>
        </w:rPr>
        <w:fldChar w:fldCharType="end"/>
      </w:r>
      <w:r w:rsidRPr="00122E77">
        <w:rPr>
          <w:lang w:eastAsia="ja-JP"/>
        </w:rPr>
        <w:tab/>
        <w:t>Subject to agreement of a draft of document UPOV/INF/</w:t>
      </w:r>
      <w:r w:rsidRPr="00122E77">
        <w:rPr>
          <w:rFonts w:hint="eastAsia"/>
          <w:lang w:eastAsia="ja-JP"/>
        </w:rPr>
        <w:t>22</w:t>
      </w:r>
      <w:r w:rsidRPr="00122E77">
        <w:rPr>
          <w:lang w:eastAsia="ja-JP"/>
        </w:rPr>
        <w:t>/7 by the TC and the CAJ, on the basis of document UPOV/INF/</w:t>
      </w:r>
      <w:r w:rsidRPr="00122E77">
        <w:rPr>
          <w:rFonts w:hint="eastAsia"/>
          <w:lang w:eastAsia="ja-JP"/>
        </w:rPr>
        <w:t>22</w:t>
      </w:r>
      <w:r w:rsidRPr="00122E77">
        <w:rPr>
          <w:lang w:eastAsia="ja-JP"/>
        </w:rPr>
        <w:t xml:space="preserve">/7 Draft 1, an agreed draft of document UPOV/INF/22/7 “Software and equipment used by members of the Union” will be presented for adoption by the Council in 2020. </w:t>
      </w:r>
    </w:p>
    <w:p w:rsidR="00122E77" w:rsidRPr="00122E77" w:rsidRDefault="00122E77" w:rsidP="00122E77">
      <w:pPr>
        <w:rPr>
          <w:rFonts w:eastAsia="MS Mincho"/>
          <w:snapToGrid w:val="0"/>
          <w:lang w:eastAsia="ja-JP"/>
        </w:rPr>
      </w:pPr>
    </w:p>
    <w:p w:rsidR="00122E77" w:rsidRPr="00122E77" w:rsidRDefault="00122E77" w:rsidP="00122E77">
      <w:pPr>
        <w:keepNext/>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w:t>
      </w:r>
    </w:p>
    <w:p w:rsidR="00122E77" w:rsidRPr="00122E77" w:rsidRDefault="00122E77" w:rsidP="00122E77">
      <w:pPr>
        <w:keepNext/>
        <w:tabs>
          <w:tab w:val="left" w:pos="5387"/>
          <w:tab w:val="left" w:pos="5954"/>
        </w:tabs>
        <w:ind w:left="4820"/>
        <w:rPr>
          <w:i/>
        </w:rPr>
      </w:pPr>
    </w:p>
    <w:p w:rsidR="00122E77" w:rsidRPr="00122E77" w:rsidRDefault="00122E77" w:rsidP="00122E77">
      <w:pPr>
        <w:tabs>
          <w:tab w:val="left" w:pos="5387"/>
          <w:tab w:val="left" w:pos="5954"/>
        </w:tabs>
        <w:ind w:left="4820"/>
        <w:rPr>
          <w:i/>
        </w:rPr>
      </w:pPr>
      <w:r w:rsidRPr="00122E77">
        <w:rPr>
          <w:i/>
        </w:rPr>
        <w:tab/>
        <w:t>(a)</w:t>
      </w:r>
      <w:r w:rsidRPr="00122E77">
        <w:rPr>
          <w:i/>
        </w:rPr>
        <w:tab/>
        <w:t xml:space="preserve">consider the proposed revision of document UPOV/INF/22/6 “Software and equipment used by members of the Union”, </w:t>
      </w:r>
      <w:r w:rsidRPr="00122E77">
        <w:rPr>
          <w:i/>
          <w:lang w:eastAsia="ja-JP"/>
        </w:rPr>
        <w:t xml:space="preserve">on the basis of </w:t>
      </w:r>
      <w:r w:rsidRPr="00122E77">
        <w:rPr>
          <w:i/>
        </w:rPr>
        <w:t>document UPOV/INF/22/7 Draft 1;  and</w:t>
      </w:r>
    </w:p>
    <w:p w:rsidR="00122E77" w:rsidRPr="00122E77" w:rsidRDefault="00122E77" w:rsidP="00122E77">
      <w:pPr>
        <w:tabs>
          <w:tab w:val="left" w:pos="5387"/>
          <w:tab w:val="left" w:pos="5954"/>
        </w:tabs>
        <w:ind w:left="4820"/>
        <w:rPr>
          <w:i/>
        </w:rPr>
      </w:pPr>
    </w:p>
    <w:p w:rsidR="00122E77" w:rsidRPr="00122E77" w:rsidRDefault="00122E77" w:rsidP="00122E77">
      <w:pPr>
        <w:tabs>
          <w:tab w:val="left" w:pos="5387"/>
          <w:tab w:val="left" w:pos="5954"/>
        </w:tabs>
        <w:ind w:left="4820"/>
        <w:rPr>
          <w:i/>
        </w:rPr>
      </w:pPr>
      <w:r w:rsidRPr="00122E77">
        <w:rPr>
          <w:i/>
        </w:rPr>
        <w:tab/>
        <w:t>(b)</w:t>
      </w:r>
      <w:r w:rsidRPr="00122E77">
        <w:rPr>
          <w:i/>
        </w:rPr>
        <w:tab/>
        <w:t xml:space="preserve">note that, subject to agreement by the TC and the CAJ, an agreed draft of document UPOV/INF/22/7 will be presented for adoption by the Council in 2020.  </w:t>
      </w:r>
    </w:p>
    <w:p w:rsidR="00122E77" w:rsidRPr="00122E77" w:rsidRDefault="00122E77" w:rsidP="00122E77">
      <w:pPr>
        <w:tabs>
          <w:tab w:val="left" w:pos="5387"/>
          <w:tab w:val="left" w:pos="5954"/>
        </w:tabs>
        <w:ind w:left="4820"/>
      </w:pPr>
    </w:p>
    <w:p w:rsidR="00122E77" w:rsidRPr="00122E77" w:rsidRDefault="00122E77" w:rsidP="00122E77">
      <w:pPr>
        <w:tabs>
          <w:tab w:val="left" w:pos="5387"/>
          <w:tab w:val="left" w:pos="5954"/>
        </w:tabs>
        <w:ind w:left="4820"/>
      </w:pPr>
    </w:p>
    <w:p w:rsidR="00122E77" w:rsidRPr="00122E77" w:rsidRDefault="00122E77" w:rsidP="00122E77">
      <w:pPr>
        <w:keepNext/>
        <w:numPr>
          <w:ilvl w:val="0"/>
          <w:numId w:val="6"/>
        </w:numPr>
        <w:ind w:left="567" w:hanging="567"/>
        <w:outlineLvl w:val="1"/>
        <w:rPr>
          <w:u w:val="single"/>
        </w:rPr>
      </w:pPr>
      <w:bookmarkStart w:id="26" w:name="_Toc42523417"/>
      <w:bookmarkStart w:id="27" w:name="_Toc51935388"/>
      <w:r w:rsidRPr="00122E77">
        <w:rPr>
          <w:u w:val="single"/>
        </w:rPr>
        <w:lastRenderedPageBreak/>
        <w:t>Explanatory Notes</w:t>
      </w:r>
      <w:bookmarkEnd w:id="26"/>
      <w:bookmarkEnd w:id="27"/>
      <w:r w:rsidRPr="00122E77">
        <w:rPr>
          <w:u w:val="single"/>
        </w:rPr>
        <w:t xml:space="preserve"> </w:t>
      </w:r>
    </w:p>
    <w:p w:rsidR="00122E77" w:rsidRPr="00122E77" w:rsidRDefault="00122E77" w:rsidP="00122E77">
      <w:pPr>
        <w:keepNext/>
        <w:tabs>
          <w:tab w:val="left" w:pos="5387"/>
        </w:tabs>
        <w:rPr>
          <w:highlight w:val="green"/>
        </w:rPr>
      </w:pPr>
    </w:p>
    <w:p w:rsidR="00122E77" w:rsidRPr="00122E77" w:rsidRDefault="00122E77" w:rsidP="00122E77">
      <w:pPr>
        <w:keepNext/>
        <w:outlineLvl w:val="2"/>
        <w:rPr>
          <w:i/>
        </w:rPr>
      </w:pPr>
      <w:bookmarkStart w:id="28" w:name="_Toc42523418"/>
      <w:bookmarkStart w:id="29" w:name="_Toc51935389"/>
      <w:r w:rsidRPr="00122E77">
        <w:rPr>
          <w:i/>
        </w:rPr>
        <w:t xml:space="preserve">UPOV/EXN/DEN:  </w:t>
      </w:r>
      <w:bookmarkEnd w:id="28"/>
      <w:r w:rsidRPr="00122E77">
        <w:rPr>
          <w:i/>
        </w:rPr>
        <w:t>Explanatory Notes on Variety Denominations under the UPOV Convention (document UPOV/EXN/DEN/1 Draft 4</w:t>
      </w:r>
      <w:r w:rsidR="00CE5020" w:rsidRPr="00CE5020">
        <w:rPr>
          <w:i/>
          <w:highlight w:val="yellow"/>
          <w:u w:val="single"/>
        </w:rPr>
        <w:t xml:space="preserve"> </w:t>
      </w:r>
      <w:r w:rsidR="002C31FA" w:rsidRPr="00F637AD">
        <w:rPr>
          <w:i/>
          <w:highlight w:val="yellow"/>
          <w:u w:val="single"/>
        </w:rPr>
        <w:t>to be considered at the virtual session of the CAJ</w:t>
      </w:r>
      <w:r w:rsidR="002C31FA" w:rsidRPr="00F637AD">
        <w:rPr>
          <w:i/>
        </w:rPr>
        <w:t>)</w:t>
      </w:r>
      <w:r w:rsidR="008A046A" w:rsidRPr="00CE5020">
        <w:rPr>
          <w:rStyle w:val="EndnoteReference"/>
          <w:b/>
          <w:i/>
          <w:highlight w:val="yellow"/>
          <w:u w:val="single"/>
        </w:rPr>
        <w:endnoteReference w:id="4"/>
      </w:r>
      <w:bookmarkEnd w:id="29"/>
    </w:p>
    <w:p w:rsidR="00122E77" w:rsidRPr="00122E77" w:rsidRDefault="00122E77" w:rsidP="00122E77"/>
    <w:p w:rsidR="00122E77" w:rsidRPr="00122E77" w:rsidRDefault="00122E77" w:rsidP="00122E77">
      <w:pPr>
        <w:keepLines/>
        <w:rPr>
          <w:spacing w:val="-2"/>
        </w:rPr>
      </w:pPr>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t>The CAJ, at its seventy-sixth session</w:t>
      </w:r>
      <w:r w:rsidRPr="00122E77">
        <w:rPr>
          <w:spacing w:val="-2"/>
          <w:vertAlign w:val="superscript"/>
        </w:rPr>
        <w:fldChar w:fldCharType="begin"/>
      </w:r>
      <w:r w:rsidRPr="00122E77">
        <w:rPr>
          <w:spacing w:val="-2"/>
          <w:vertAlign w:val="superscript"/>
        </w:rPr>
        <w:instrText xml:space="preserve"> NOTEREF _Ref42609563 \h  \* MERGEFORMAT </w:instrText>
      </w:r>
      <w:r w:rsidRPr="00122E77">
        <w:rPr>
          <w:spacing w:val="-2"/>
          <w:vertAlign w:val="superscript"/>
        </w:rPr>
      </w:r>
      <w:r w:rsidRPr="00122E77">
        <w:rPr>
          <w:spacing w:val="-2"/>
          <w:vertAlign w:val="superscript"/>
        </w:rPr>
        <w:fldChar w:fldCharType="separate"/>
      </w:r>
      <w:r w:rsidRPr="00122E77">
        <w:rPr>
          <w:spacing w:val="-2"/>
          <w:vertAlign w:val="superscript"/>
        </w:rPr>
        <w:t>3</w:t>
      </w:r>
      <w:r w:rsidRPr="00122E77">
        <w:rPr>
          <w:spacing w:val="-2"/>
          <w:vertAlign w:val="superscript"/>
        </w:rPr>
        <w:fldChar w:fldCharType="end"/>
      </w:r>
      <w:r w:rsidRPr="00122E77">
        <w:rPr>
          <w:spacing w:val="-2"/>
        </w:rPr>
        <w:t xml:space="preserve"> noted the revisions of document UPOV/INF/12/5, as presented in document UPOV/EXN/DEN/1 Draft 2</w:t>
      </w:r>
      <w:r w:rsidRPr="00122E77">
        <w:rPr>
          <w:spacing w:val="-2"/>
          <w:vertAlign w:val="superscript"/>
        </w:rPr>
        <w:footnoteReference w:id="5"/>
      </w:r>
      <w:r w:rsidRPr="00122E77">
        <w:rPr>
          <w:spacing w:val="-2"/>
        </w:rPr>
        <w:t xml:space="preserve"> with the amendments proposed by the WG-DEN at its sixth meeting</w:t>
      </w:r>
      <w:r w:rsidRPr="00122E77">
        <w:rPr>
          <w:spacing w:val="-2"/>
          <w:vertAlign w:val="superscript"/>
        </w:rPr>
        <w:footnoteReference w:id="6"/>
      </w:r>
      <w:r w:rsidRPr="00122E77">
        <w:rPr>
          <w:spacing w:val="-2"/>
        </w:rPr>
        <w:t>.</w:t>
      </w:r>
    </w:p>
    <w:p w:rsidR="00122E77" w:rsidRPr="00122E77" w:rsidRDefault="00122E77" w:rsidP="00122E77"/>
    <w:p w:rsidR="00122E77" w:rsidRPr="00122E77" w:rsidRDefault="00122E77" w:rsidP="00122E77">
      <w:r w:rsidRPr="00122E77">
        <w:fldChar w:fldCharType="begin"/>
      </w:r>
      <w:r w:rsidRPr="00122E77">
        <w:instrText xml:space="preserve"> AUTONUM  </w:instrText>
      </w:r>
      <w:r w:rsidRPr="00122E77">
        <w:fldChar w:fldCharType="end"/>
      </w:r>
      <w:r w:rsidRPr="00122E77">
        <w:tab/>
        <w:t>The CAJ noted that the WG-DEN had requested the Office of the Union to clarify the following wording:</w:t>
      </w:r>
    </w:p>
    <w:p w:rsidR="00122E77" w:rsidRPr="00122E77" w:rsidRDefault="00122E77" w:rsidP="00122E77"/>
    <w:p w:rsidR="00122E77" w:rsidRPr="00122E77" w:rsidRDefault="00122E77" w:rsidP="00122E77">
      <w:pPr>
        <w:ind w:left="567" w:right="567"/>
        <w:rPr>
          <w:sz w:val="18"/>
        </w:rPr>
      </w:pPr>
      <w:r w:rsidRPr="00122E77">
        <w:rPr>
          <w:sz w:val="18"/>
        </w:rPr>
        <w:t>“Section 5.3 (a):</w:t>
      </w:r>
    </w:p>
    <w:p w:rsidR="00122E77" w:rsidRPr="00122E77" w:rsidRDefault="00122E77" w:rsidP="00122E77">
      <w:pPr>
        <w:ind w:left="567" w:right="567"/>
        <w:rPr>
          <w:sz w:val="18"/>
        </w:rPr>
      </w:pPr>
      <w:r w:rsidRPr="00122E77">
        <w:rPr>
          <w:sz w:val="18"/>
        </w:rPr>
        <w:t>“it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w:t>
      </w:r>
    </w:p>
    <w:p w:rsidR="00122E77" w:rsidRPr="00122E77" w:rsidRDefault="00122E77" w:rsidP="00122E77"/>
    <w:p w:rsidR="00122E77" w:rsidRPr="00122E77" w:rsidRDefault="00122E77" w:rsidP="00122E77">
      <w:r w:rsidRPr="00122E77">
        <w:fldChar w:fldCharType="begin"/>
      </w:r>
      <w:r w:rsidRPr="00122E77">
        <w:instrText xml:space="preserve"> AUTONUM  </w:instrText>
      </w:r>
      <w:r w:rsidRPr="00122E77">
        <w:fldChar w:fldCharType="end"/>
      </w:r>
      <w:r w:rsidRPr="00122E77">
        <w:tab/>
        <w:t>The CAJ noted the request of the Delegation of the European Union to consider a change in Section 2.3.3.(a) (i) of the “visual and phonetic” to “visual or phonetic” and to introduce an additional component for “concept”.  The Office of the Union reported that those proposals had been considered by the WG-DEN and had not been retained and that the proposals would result in inconsistencies without other amendments.</w:t>
      </w:r>
    </w:p>
    <w:p w:rsidR="00122E77" w:rsidRPr="00122E77" w:rsidRDefault="00122E77" w:rsidP="00122E77"/>
    <w:p w:rsidR="00122E77" w:rsidRPr="00122E77" w:rsidRDefault="00122E77" w:rsidP="00122E77">
      <w:r w:rsidRPr="00122E77">
        <w:fldChar w:fldCharType="begin"/>
      </w:r>
      <w:r w:rsidRPr="00122E77">
        <w:instrText xml:space="preserve"> AUTONUM  </w:instrText>
      </w:r>
      <w:r w:rsidRPr="00122E77">
        <w:fldChar w:fldCharType="end"/>
      </w:r>
      <w:r w:rsidRPr="00122E77">
        <w:tab/>
        <w:t>The CAJ agreed that the Office of the Union should invite members and observers to make written comments by correspondence on document UPOV/EXN/DEN “Explanatory Notes on Variety Denominations under the UPOV Convention” (</w:t>
      </w:r>
      <w:r w:rsidRPr="00122E77">
        <w:rPr>
          <w:spacing w:val="-2"/>
        </w:rPr>
        <w:t xml:space="preserve">document UPOV/EXN/DEN/1 Draft 3) </w:t>
      </w:r>
      <w:r w:rsidRPr="00122E77">
        <w:t>concerning the matters in paragraphs 20 and 21.  The Office of the Union, based on the written comments received by correspondence, would prepare a draft of document UPOV/EXN/DEN “Explanatory Notes on Variety Denominations under the UPOV Convention” (</w:t>
      </w:r>
      <w:r w:rsidRPr="00122E77">
        <w:rPr>
          <w:spacing w:val="-2"/>
        </w:rPr>
        <w:t>document UPOV/EXN/DEN/1 Draft 4)</w:t>
      </w:r>
      <w:r w:rsidRPr="00122E77">
        <w:t xml:space="preserve"> for consideration by the CAJ.  The CAJ noted that the CAJ and the Council would be invited in 2020 to consider a revision of document UPOV/EXN/DEN/1 “Explanatory Notes on Variety Denominations under the UPOV Convention”.</w:t>
      </w:r>
    </w:p>
    <w:p w:rsidR="00122E77" w:rsidRPr="00122E77" w:rsidRDefault="00122E77" w:rsidP="00122E77">
      <w:pPr>
        <w:rPr>
          <w:strike/>
        </w:rPr>
      </w:pPr>
    </w:p>
    <w:p w:rsidR="00122E77" w:rsidRPr="00122E77" w:rsidRDefault="00122E77" w:rsidP="00122E77">
      <w:pPr>
        <w:keepNext/>
        <w:keepLines/>
        <w:rPr>
          <w:rFonts w:eastAsia="MS Mincho"/>
          <w:snapToGrid w:val="0"/>
          <w:lang w:eastAsia="ja-JP"/>
        </w:rPr>
      </w:pPr>
      <w:r w:rsidRPr="00122E77">
        <w:rPr>
          <w:rFonts w:eastAsia="MS Mincho"/>
          <w:snapToGrid w:val="0"/>
          <w:lang w:eastAsia="ja-JP"/>
        </w:rPr>
        <w:fldChar w:fldCharType="begin"/>
      </w:r>
      <w:r w:rsidRPr="00122E77">
        <w:rPr>
          <w:rFonts w:eastAsia="MS Mincho"/>
          <w:snapToGrid w:val="0"/>
          <w:lang w:eastAsia="ja-JP"/>
        </w:rPr>
        <w:instrText xml:space="preserve"> AUTONUM  </w:instrText>
      </w:r>
      <w:r w:rsidRPr="00122E77">
        <w:rPr>
          <w:rFonts w:eastAsia="MS Mincho"/>
          <w:snapToGrid w:val="0"/>
          <w:lang w:eastAsia="ja-JP"/>
        </w:rPr>
        <w:fldChar w:fldCharType="end"/>
      </w:r>
      <w:r w:rsidRPr="00122E77">
        <w:rPr>
          <w:rFonts w:eastAsia="MS Mincho"/>
          <w:snapToGrid w:val="0"/>
          <w:lang w:eastAsia="ja-JP"/>
        </w:rPr>
        <w:tab/>
        <w:t>On Apri</w:t>
      </w:r>
      <w:r w:rsidRPr="00122E77">
        <w:rPr>
          <w:rFonts w:eastAsia="MS Mincho" w:hint="eastAsia"/>
          <w:snapToGrid w:val="0"/>
          <w:lang w:eastAsia="ja-JP"/>
        </w:rPr>
        <w:t>l 3</w:t>
      </w:r>
      <w:r w:rsidRPr="00122E77">
        <w:rPr>
          <w:rFonts w:eastAsia="MS Mincho"/>
          <w:snapToGrid w:val="0"/>
          <w:lang w:eastAsia="ja-JP"/>
        </w:rPr>
        <w:t>, 2020, the Office of the Union issued Circular E-20/</w:t>
      </w:r>
      <w:r w:rsidRPr="00122E77">
        <w:rPr>
          <w:rFonts w:eastAsia="MS Mincho" w:hint="eastAsia"/>
          <w:snapToGrid w:val="0"/>
          <w:lang w:eastAsia="ja-JP"/>
        </w:rPr>
        <w:t>0</w:t>
      </w:r>
      <w:r w:rsidRPr="00122E77">
        <w:rPr>
          <w:rFonts w:eastAsia="MS Mincho"/>
          <w:snapToGrid w:val="0"/>
          <w:lang w:eastAsia="ja-JP"/>
        </w:rPr>
        <w:t xml:space="preserve">17 to the designated persons of the members and observers in the CAJ, inviting them to consider and submit comments on </w:t>
      </w:r>
      <w:r w:rsidRPr="00122E77">
        <w:t>document UPOV/EXN/DEN/1 Draft 3, which included the changes to document UPOV/INF/12/5 that were agreed by the WG-DEN, and the proposals of the Community Plant Variety Office (CPVO) of the European Union to amend section 2.3.3 of document UPOV/EXN/DEN/1 Draft 3, as contained in the Annex to Circular E</w:t>
      </w:r>
      <w:r w:rsidRPr="00122E77">
        <w:noBreakHyphen/>
        <w:t xml:space="preserve">20/017. </w:t>
      </w:r>
    </w:p>
    <w:p w:rsidR="00122E77" w:rsidRPr="00122E77" w:rsidRDefault="00122E77" w:rsidP="00122E77"/>
    <w:p w:rsidR="00122E77" w:rsidRPr="00122E77" w:rsidRDefault="00122E77" w:rsidP="00122E77">
      <w:pPr>
        <w:rPr>
          <w:rFonts w:eastAsia="MS Mincho"/>
          <w:snapToGrid w:val="0"/>
          <w:lang w:eastAsia="ja-JP"/>
        </w:rPr>
      </w:pPr>
      <w:r w:rsidRPr="00122E77">
        <w:rPr>
          <w:rFonts w:eastAsia="MS Mincho"/>
          <w:snapToGrid w:val="0"/>
          <w:lang w:eastAsia="ja-JP"/>
        </w:rPr>
        <w:fldChar w:fldCharType="begin"/>
      </w:r>
      <w:r w:rsidRPr="00122E77">
        <w:rPr>
          <w:rFonts w:eastAsia="MS Mincho"/>
          <w:snapToGrid w:val="0"/>
          <w:lang w:eastAsia="ja-JP"/>
        </w:rPr>
        <w:instrText xml:space="preserve"> AUTONUM  </w:instrText>
      </w:r>
      <w:r w:rsidRPr="00122E77">
        <w:rPr>
          <w:rFonts w:eastAsia="MS Mincho"/>
          <w:snapToGrid w:val="0"/>
          <w:lang w:eastAsia="ja-JP"/>
        </w:rPr>
        <w:fldChar w:fldCharType="end"/>
      </w:r>
      <w:r w:rsidRPr="00122E77">
        <w:rPr>
          <w:rFonts w:eastAsia="MS Mincho"/>
          <w:snapToGrid w:val="0"/>
          <w:lang w:eastAsia="ja-JP"/>
        </w:rPr>
        <w:tab/>
        <w:t>In reply to Circular E-20/017, comments were received from Argentina, Canada, European Union, France and New Zealand</w:t>
      </w:r>
      <w:r w:rsidRPr="00122E77">
        <w:t>.  Those comments are reproduced as Annex I to this document.</w:t>
      </w:r>
      <w:r w:rsidRPr="00122E77">
        <w:rPr>
          <w:rFonts w:eastAsia="MS Mincho"/>
          <w:snapToGrid w:val="0"/>
          <w:lang w:eastAsia="ja-JP"/>
        </w:rPr>
        <w:t xml:space="preserve"> </w:t>
      </w:r>
    </w:p>
    <w:p w:rsidR="00122E77" w:rsidRPr="00122E77" w:rsidRDefault="00122E77" w:rsidP="00122E77">
      <w:pPr>
        <w:rPr>
          <w:rFonts w:eastAsia="MS Mincho"/>
          <w:snapToGrid w:val="0"/>
          <w:lang w:eastAsia="ja-JP"/>
        </w:rPr>
      </w:pPr>
    </w:p>
    <w:p w:rsidR="00122E77" w:rsidRPr="00122E77" w:rsidRDefault="00122E77" w:rsidP="00122E77">
      <w:pPr>
        <w:rPr>
          <w:rFonts w:eastAsia="MS Mincho"/>
          <w:snapToGrid w:val="0"/>
          <w:lang w:eastAsia="ja-JP"/>
        </w:rPr>
      </w:pPr>
      <w:r w:rsidRPr="00122E77">
        <w:rPr>
          <w:rFonts w:eastAsia="MS Mincho"/>
          <w:snapToGrid w:val="0"/>
          <w:lang w:eastAsia="ja-JP"/>
        </w:rPr>
        <w:fldChar w:fldCharType="begin"/>
      </w:r>
      <w:r w:rsidRPr="00122E77">
        <w:rPr>
          <w:rFonts w:eastAsia="MS Mincho"/>
          <w:snapToGrid w:val="0"/>
          <w:lang w:eastAsia="ja-JP"/>
        </w:rPr>
        <w:instrText xml:space="preserve"> AUTONUM  </w:instrText>
      </w:r>
      <w:r w:rsidRPr="00122E77">
        <w:rPr>
          <w:rFonts w:eastAsia="MS Mincho"/>
          <w:snapToGrid w:val="0"/>
          <w:lang w:eastAsia="ja-JP"/>
        </w:rPr>
        <w:fldChar w:fldCharType="end"/>
      </w:r>
      <w:r w:rsidRPr="00122E77">
        <w:rPr>
          <w:rFonts w:eastAsia="MS Mincho"/>
          <w:snapToGrid w:val="0"/>
          <w:lang w:eastAsia="ja-JP"/>
        </w:rPr>
        <w:tab/>
      </w:r>
      <w:r w:rsidRPr="00122E77">
        <w:t>In relation to the proposal to split the current denomination class 205 (</w:t>
      </w:r>
      <w:proofErr w:type="spellStart"/>
      <w:r w:rsidRPr="00122E77">
        <w:t>Cichorium</w:t>
      </w:r>
      <w:proofErr w:type="spellEnd"/>
      <w:r w:rsidRPr="00122E77">
        <w:t xml:space="preserve"> and </w:t>
      </w:r>
      <w:proofErr w:type="spellStart"/>
      <w:r w:rsidRPr="00122E77">
        <w:t>Lactuca</w:t>
      </w:r>
      <w:proofErr w:type="spellEnd"/>
      <w:r w:rsidRPr="00122E77">
        <w:t>) into two classes, as agreed by 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t xml:space="preserve">, the </w:t>
      </w:r>
      <w:r w:rsidRPr="00122E77">
        <w:rPr>
          <w:rFonts w:eastAsia="MS Mincho"/>
          <w:snapToGrid w:val="0"/>
          <w:lang w:eastAsia="ja-JP"/>
        </w:rPr>
        <w:t>Technical Working Party on Vegetables (TWV), at its fifty-fourth session, held from May 11 to 15, 2020, noted that approximately 1200 varieties with UPOV code CICHO_INT in the PLUTO database could not be allocated with certainty to either one of the Classes (Class 205 or Class 205B) and agreed not to support the proposal to split denomination Class 205 at this stage.  On that basis, it is proposed not to revise Class 205 at this time, pending further consideration by the TC and the CAJ.</w:t>
      </w:r>
    </w:p>
    <w:p w:rsidR="00122E77" w:rsidRPr="00122E77" w:rsidRDefault="00122E77" w:rsidP="00122E77">
      <w:pPr>
        <w:rPr>
          <w:rFonts w:eastAsia="MS Mincho"/>
          <w:snapToGrid w:val="0"/>
          <w:lang w:eastAsia="ja-JP"/>
        </w:rPr>
      </w:pPr>
    </w:p>
    <w:p w:rsidR="00122E77" w:rsidRPr="00122E77" w:rsidRDefault="00122E77" w:rsidP="00122E77">
      <w:pPr>
        <w:rPr>
          <w:spacing w:val="2"/>
          <w:lang w:val="en-GB"/>
        </w:rPr>
      </w:pPr>
      <w:r w:rsidRPr="00122E77">
        <w:rPr>
          <w:spacing w:val="2"/>
          <w:lang w:val="en-GB"/>
        </w:rPr>
        <w:fldChar w:fldCharType="begin"/>
      </w:r>
      <w:r w:rsidRPr="00122E77">
        <w:rPr>
          <w:spacing w:val="2"/>
          <w:lang w:val="en-GB"/>
        </w:rPr>
        <w:instrText xml:space="preserve"> AUTONUM  </w:instrText>
      </w:r>
      <w:r w:rsidRPr="00122E77">
        <w:rPr>
          <w:spacing w:val="2"/>
          <w:lang w:val="en-GB"/>
        </w:rPr>
        <w:fldChar w:fldCharType="end"/>
      </w:r>
      <w:r w:rsidRPr="00122E77">
        <w:rPr>
          <w:spacing w:val="2"/>
          <w:lang w:val="en-GB"/>
        </w:rPr>
        <w:tab/>
        <w:t xml:space="preserve">In accordance with the request from the CAJ, </w:t>
      </w:r>
      <w:r w:rsidRPr="00122E77">
        <w:rPr>
          <w:spacing w:val="-2"/>
        </w:rPr>
        <w:t>at its seventy-sixth session</w:t>
      </w:r>
      <w:r w:rsidRPr="00122E77">
        <w:rPr>
          <w:spacing w:val="-2"/>
          <w:vertAlign w:val="superscript"/>
        </w:rPr>
        <w:fldChar w:fldCharType="begin"/>
      </w:r>
      <w:r w:rsidRPr="00122E77">
        <w:rPr>
          <w:spacing w:val="-2"/>
          <w:vertAlign w:val="superscript"/>
        </w:rPr>
        <w:instrText xml:space="preserve"> NOTEREF _Ref42609563 \h  \* MERGEFORMAT </w:instrText>
      </w:r>
      <w:r w:rsidRPr="00122E77">
        <w:rPr>
          <w:spacing w:val="-2"/>
          <w:vertAlign w:val="superscript"/>
        </w:rPr>
      </w:r>
      <w:r w:rsidRPr="00122E77">
        <w:rPr>
          <w:spacing w:val="-2"/>
          <w:vertAlign w:val="superscript"/>
        </w:rPr>
        <w:fldChar w:fldCharType="separate"/>
      </w:r>
      <w:r w:rsidRPr="00122E77">
        <w:rPr>
          <w:spacing w:val="-2"/>
          <w:vertAlign w:val="superscript"/>
        </w:rPr>
        <w:t>3</w:t>
      </w:r>
      <w:r w:rsidRPr="00122E77">
        <w:rPr>
          <w:spacing w:val="-2"/>
          <w:vertAlign w:val="superscript"/>
        </w:rPr>
        <w:fldChar w:fldCharType="end"/>
      </w:r>
      <w:r w:rsidRPr="00122E77">
        <w:rPr>
          <w:spacing w:val="-2"/>
        </w:rPr>
        <w:t xml:space="preserve">, </w:t>
      </w:r>
      <w:r w:rsidRPr="00122E77">
        <w:rPr>
          <w:spacing w:val="2"/>
          <w:lang w:val="en-GB"/>
        </w:rPr>
        <w:t>document UPOV/EXN/DEN “Explanatory Notes on Variety Denominations under the UPOV Convention” (document UPOV/EXN/DEN/1 Draft 4) reflecting the changes to text of document UPOV/INF/12/5 that were considered by the CAJ by correspondence (Circular E-20/017) and proposals in response to the comments received in reply to Circular E-20/017 and the developments relevant for Draft Class 205B.</w:t>
      </w:r>
    </w:p>
    <w:p w:rsidR="00122E77" w:rsidRPr="00122E77" w:rsidRDefault="00122E77" w:rsidP="00122E77">
      <w:pPr>
        <w:rPr>
          <w:spacing w:val="2"/>
          <w:lang w:val="en-GB"/>
        </w:rPr>
      </w:pPr>
    </w:p>
    <w:p w:rsidR="00122E77" w:rsidRPr="00122E77" w:rsidRDefault="00122E77" w:rsidP="00122E77">
      <w:pPr>
        <w:rPr>
          <w:spacing w:val="2"/>
        </w:rPr>
      </w:pPr>
      <w:r w:rsidRPr="00122E77">
        <w:rPr>
          <w:spacing w:val="2"/>
          <w:lang w:val="en-GB"/>
        </w:rPr>
        <w:fldChar w:fldCharType="begin"/>
      </w:r>
      <w:r w:rsidRPr="00122E77">
        <w:rPr>
          <w:spacing w:val="2"/>
          <w:lang w:val="en-GB"/>
        </w:rPr>
        <w:instrText xml:space="preserve"> AUTONUM  </w:instrText>
      </w:r>
      <w:r w:rsidRPr="00122E77">
        <w:rPr>
          <w:spacing w:val="2"/>
          <w:lang w:val="en-GB"/>
        </w:rPr>
        <w:fldChar w:fldCharType="end"/>
      </w:r>
      <w:r w:rsidRPr="00122E77">
        <w:rPr>
          <w:spacing w:val="2"/>
          <w:lang w:val="en-GB"/>
        </w:rPr>
        <w:tab/>
      </w:r>
      <w:r w:rsidRPr="00122E77">
        <w:rPr>
          <w:rFonts w:cs="Arial"/>
          <w:snapToGrid w:val="0"/>
          <w:spacing w:val="2"/>
        </w:rPr>
        <w:t xml:space="preserve">Subject to agreement </w:t>
      </w:r>
      <w:r w:rsidRPr="00122E77">
        <w:rPr>
          <w:lang w:eastAsia="ja-JP"/>
        </w:rPr>
        <w:t xml:space="preserve">of a draft of </w:t>
      </w:r>
      <w:r w:rsidRPr="00122E77">
        <w:t>document UPOV/EXN/DEN/1 by the CAJ, on the basis of document UPOV/EXN/DEN/1 Draft 4, an agreed draft of document UPOV/EXN/DEN/1</w:t>
      </w:r>
      <w:r w:rsidRPr="00122E77">
        <w:rPr>
          <w:rFonts w:cs="Arial"/>
          <w:snapToGrid w:val="0"/>
          <w:spacing w:val="2"/>
        </w:rPr>
        <w:t xml:space="preserve"> </w:t>
      </w:r>
      <w:r w:rsidRPr="00122E77">
        <w:rPr>
          <w:rFonts w:cs="Arial"/>
        </w:rPr>
        <w:t>“</w:t>
      </w:r>
      <w:r w:rsidRPr="00122E77">
        <w:rPr>
          <w:rFonts w:eastAsiaTheme="minorEastAsia" w:cs="Arial"/>
          <w:snapToGrid w:val="0"/>
          <w:lang w:eastAsia="ja-JP"/>
        </w:rPr>
        <w:t>Explanatory Notes on Variety Denominations under the UPOV Convention</w:t>
      </w:r>
      <w:r w:rsidRPr="00122E77">
        <w:rPr>
          <w:rFonts w:cs="Arial"/>
        </w:rPr>
        <w:t xml:space="preserve">” </w:t>
      </w:r>
      <w:r w:rsidRPr="00122E77">
        <w:rPr>
          <w:rFonts w:cs="Arial"/>
          <w:snapToGrid w:val="0"/>
          <w:spacing w:val="2"/>
        </w:rPr>
        <w:t xml:space="preserve">will be presented for adoption by the Council in 2020 </w:t>
      </w:r>
      <w:r w:rsidRPr="00122E77">
        <w:rPr>
          <w:spacing w:val="2"/>
        </w:rPr>
        <w:t xml:space="preserve">(see document </w:t>
      </w:r>
      <w:r w:rsidRPr="00122E77">
        <w:t>CAJ/76/9 “</w:t>
      </w:r>
      <w:r w:rsidRPr="00122E77">
        <w:rPr>
          <w:snapToGrid w:val="0"/>
        </w:rPr>
        <w:t>Report</w:t>
      </w:r>
      <w:r w:rsidRPr="00122E77">
        <w:rPr>
          <w:snapToGrid w:val="0"/>
          <w:lang w:eastAsia="ja-JP"/>
        </w:rPr>
        <w:t>”, paragraphs 34 to 39</w:t>
      </w:r>
      <w:r w:rsidRPr="00122E77">
        <w:rPr>
          <w:spacing w:val="2"/>
        </w:rPr>
        <w:t xml:space="preserve">). </w:t>
      </w:r>
    </w:p>
    <w:p w:rsidR="00122E77" w:rsidRPr="00122E77" w:rsidRDefault="00122E77" w:rsidP="00122E77">
      <w:pPr>
        <w:jc w:val="left"/>
      </w:pPr>
    </w:p>
    <w:p w:rsidR="00122E77" w:rsidRPr="00CE5020" w:rsidRDefault="00122E77" w:rsidP="00122E77">
      <w:pPr>
        <w:keepNext/>
        <w:tabs>
          <w:tab w:val="left" w:pos="5387"/>
          <w:tab w:val="left" w:pos="5954"/>
        </w:tabs>
        <w:ind w:left="4820"/>
        <w:rPr>
          <w:rFonts w:eastAsia="MS Mincho"/>
          <w:i/>
          <w:snapToGrid w:val="0"/>
          <w:lang w:eastAsia="ja-JP"/>
        </w:rPr>
      </w:pPr>
      <w:r w:rsidRPr="00CE5020">
        <w:rPr>
          <w:rFonts w:eastAsia="MS Mincho"/>
          <w:i/>
        </w:rPr>
        <w:lastRenderedPageBreak/>
        <w:fldChar w:fldCharType="begin"/>
      </w:r>
      <w:r w:rsidRPr="00CE5020">
        <w:rPr>
          <w:rFonts w:eastAsia="MS Mincho"/>
          <w:i/>
        </w:rPr>
        <w:instrText xml:space="preserve"> AUTONUM  </w:instrText>
      </w:r>
      <w:r w:rsidRPr="00CE5020">
        <w:rPr>
          <w:rFonts w:eastAsia="MS Mincho"/>
          <w:i/>
        </w:rPr>
        <w:fldChar w:fldCharType="end"/>
      </w:r>
      <w:r w:rsidRPr="00CE5020">
        <w:rPr>
          <w:rFonts w:eastAsia="MS Mincho"/>
          <w:i/>
        </w:rPr>
        <w:tab/>
        <w:t>The CAJ</w:t>
      </w:r>
      <w:r w:rsidR="002D6B61" w:rsidRPr="00CE5020">
        <w:rPr>
          <w:rFonts w:eastAsia="MS Mincho"/>
          <w:i/>
        </w:rPr>
        <w:t xml:space="preserve">, </w:t>
      </w:r>
      <w:r w:rsidR="002D6B61" w:rsidRPr="00CE5020">
        <w:rPr>
          <w:rFonts w:eastAsia="MS Mincho"/>
          <w:i/>
          <w:highlight w:val="yellow"/>
          <w:u w:val="single"/>
        </w:rPr>
        <w:t>at its virtual session</w:t>
      </w:r>
      <w:r w:rsidR="002D6B61" w:rsidRPr="00CE5020">
        <w:rPr>
          <w:rFonts w:eastAsia="MS Mincho"/>
          <w:i/>
        </w:rPr>
        <w:t>,</w:t>
      </w:r>
      <w:r w:rsidRPr="00CE5020">
        <w:rPr>
          <w:rFonts w:eastAsia="MS Mincho"/>
          <w:i/>
        </w:rPr>
        <w:t xml:space="preserve"> is invited to:</w:t>
      </w:r>
    </w:p>
    <w:p w:rsidR="00122E77" w:rsidRPr="00122E77" w:rsidRDefault="00122E77" w:rsidP="00122E77">
      <w:pPr>
        <w:keepNext/>
        <w:rPr>
          <w:i/>
          <w:snapToGrid w:val="0"/>
          <w:lang w:eastAsia="ja-JP"/>
        </w:rPr>
      </w:pPr>
    </w:p>
    <w:p w:rsidR="00122E77" w:rsidRPr="00122E77" w:rsidRDefault="00122E77" w:rsidP="00122E77">
      <w:pPr>
        <w:keepLines/>
        <w:tabs>
          <w:tab w:val="left" w:pos="5387"/>
          <w:tab w:val="left" w:pos="5954"/>
        </w:tabs>
        <w:ind w:left="4820"/>
        <w:rPr>
          <w:i/>
          <w:snapToGrid w:val="0"/>
          <w:lang w:eastAsia="ja-JP"/>
        </w:rPr>
      </w:pPr>
      <w:r w:rsidRPr="00122E77">
        <w:rPr>
          <w:i/>
          <w:snapToGrid w:val="0"/>
          <w:lang w:eastAsia="ja-JP"/>
        </w:rPr>
        <w:tab/>
        <w:t>(a)</w:t>
      </w:r>
      <w:r w:rsidRPr="00122E77">
        <w:rPr>
          <w:i/>
          <w:snapToGrid w:val="0"/>
          <w:lang w:eastAsia="ja-JP"/>
        </w:rPr>
        <w:tab/>
        <w:t>note the replies received from members of the Union in response to Circular E</w:t>
      </w:r>
      <w:r w:rsidRPr="00122E77">
        <w:rPr>
          <w:i/>
          <w:snapToGrid w:val="0"/>
          <w:lang w:eastAsia="ja-JP"/>
        </w:rPr>
        <w:noBreakHyphen/>
        <w:t>20/</w:t>
      </w:r>
      <w:r w:rsidRPr="00122E77">
        <w:rPr>
          <w:rFonts w:hint="eastAsia"/>
          <w:i/>
          <w:snapToGrid w:val="0"/>
          <w:lang w:eastAsia="ja-JP"/>
        </w:rPr>
        <w:t>0</w:t>
      </w:r>
      <w:r w:rsidRPr="00122E77">
        <w:rPr>
          <w:i/>
          <w:snapToGrid w:val="0"/>
          <w:lang w:eastAsia="ja-JP"/>
        </w:rPr>
        <w:t>17, reproduced in Annex I</w:t>
      </w:r>
      <w:r w:rsidRPr="00122E77">
        <w:rPr>
          <w:i/>
        </w:rPr>
        <w:t xml:space="preserve"> </w:t>
      </w:r>
      <w:r w:rsidRPr="00122E77">
        <w:rPr>
          <w:i/>
          <w:snapToGrid w:val="0"/>
          <w:lang w:eastAsia="ja-JP"/>
        </w:rPr>
        <w:t>to this document;</w:t>
      </w:r>
    </w:p>
    <w:p w:rsidR="00122E77" w:rsidRPr="00122E77" w:rsidRDefault="00122E77" w:rsidP="00122E77">
      <w:pPr>
        <w:keepLines/>
        <w:tabs>
          <w:tab w:val="left" w:pos="5387"/>
          <w:tab w:val="left" w:pos="5954"/>
        </w:tabs>
        <w:ind w:left="4820"/>
        <w:rPr>
          <w:i/>
          <w:snapToGrid w:val="0"/>
          <w:lang w:eastAsia="ja-JP"/>
        </w:rPr>
      </w:pPr>
    </w:p>
    <w:p w:rsidR="00122E77" w:rsidRPr="00122E77" w:rsidRDefault="00122E77" w:rsidP="00122E77">
      <w:pPr>
        <w:keepLines/>
        <w:tabs>
          <w:tab w:val="left" w:pos="5387"/>
          <w:tab w:val="left" w:pos="5954"/>
        </w:tabs>
        <w:ind w:left="4820"/>
        <w:rPr>
          <w:i/>
          <w:spacing w:val="-4"/>
        </w:rPr>
      </w:pPr>
      <w:r w:rsidRPr="00122E77">
        <w:rPr>
          <w:i/>
          <w:spacing w:val="-4"/>
        </w:rPr>
        <w:tab/>
        <w:t>(b)</w:t>
      </w:r>
      <w:r w:rsidRPr="00122E77">
        <w:rPr>
          <w:i/>
          <w:spacing w:val="-4"/>
        </w:rPr>
        <w:tab/>
      </w:r>
      <w:r w:rsidRPr="00122E77">
        <w:rPr>
          <w:i/>
        </w:rPr>
        <w:t xml:space="preserve">consider the request by the TWV, at its fifty-fourth session, </w:t>
      </w:r>
      <w:r w:rsidRPr="00122E77">
        <w:rPr>
          <w:rFonts w:eastAsia="MS Mincho"/>
          <w:i/>
          <w:snapToGrid w:val="0"/>
          <w:lang w:eastAsia="ja-JP"/>
        </w:rPr>
        <w:t xml:space="preserve">not to introduce Class 205B in document </w:t>
      </w:r>
      <w:r w:rsidRPr="00122E77">
        <w:rPr>
          <w:i/>
        </w:rPr>
        <w:t xml:space="preserve">UPOV/EXN/DEN/1 </w:t>
      </w:r>
      <w:r w:rsidRPr="00122E77">
        <w:rPr>
          <w:i/>
          <w:snapToGrid w:val="0"/>
          <w:lang w:eastAsia="ja-JP"/>
        </w:rPr>
        <w:t>(see paragraph 25)</w:t>
      </w:r>
      <w:r w:rsidRPr="00122E77">
        <w:rPr>
          <w:i/>
        </w:rPr>
        <w:t>;</w:t>
      </w:r>
      <w:r w:rsidR="002C31FA">
        <w:rPr>
          <w:i/>
        </w:rPr>
        <w:t xml:space="preserve"> </w:t>
      </w:r>
      <w:r w:rsidR="002C31FA" w:rsidRPr="00453694">
        <w:rPr>
          <w:i/>
          <w:highlight w:val="yellow"/>
          <w:u w:val="single"/>
        </w:rPr>
        <w:t>and</w:t>
      </w:r>
      <w:r w:rsidRPr="00122E77">
        <w:rPr>
          <w:i/>
          <w:spacing w:val="-4"/>
        </w:rPr>
        <w:t xml:space="preserve">  </w:t>
      </w:r>
    </w:p>
    <w:p w:rsidR="00122E77" w:rsidRPr="00122E77" w:rsidRDefault="00122E77" w:rsidP="00122E77">
      <w:pPr>
        <w:keepLines/>
        <w:tabs>
          <w:tab w:val="left" w:pos="5387"/>
          <w:tab w:val="left" w:pos="5954"/>
        </w:tabs>
        <w:ind w:left="4820"/>
        <w:rPr>
          <w:i/>
          <w:spacing w:val="-4"/>
        </w:rPr>
      </w:pPr>
    </w:p>
    <w:p w:rsidR="00122E77" w:rsidRPr="00453694" w:rsidRDefault="00122E77">
      <w:pPr>
        <w:keepLines/>
        <w:tabs>
          <w:tab w:val="left" w:pos="5387"/>
          <w:tab w:val="left" w:pos="5954"/>
        </w:tabs>
        <w:ind w:left="4820"/>
        <w:rPr>
          <w:i/>
          <w:strike/>
          <w:spacing w:val="-4"/>
          <w:highlight w:val="yellow"/>
        </w:rPr>
      </w:pPr>
      <w:r w:rsidRPr="00122E77">
        <w:rPr>
          <w:i/>
          <w:snapToGrid w:val="0"/>
          <w:lang w:eastAsia="ja-JP"/>
        </w:rPr>
        <w:tab/>
        <w:t>(c)</w:t>
      </w:r>
      <w:r w:rsidRPr="00122E77">
        <w:rPr>
          <w:i/>
          <w:snapToGrid w:val="0"/>
          <w:lang w:eastAsia="ja-JP"/>
        </w:rPr>
        <w:tab/>
        <w:t xml:space="preserve">consider the proposed revision of </w:t>
      </w:r>
      <w:r w:rsidRPr="00122E77">
        <w:rPr>
          <w:i/>
        </w:rPr>
        <w:t xml:space="preserve">document UPOV/EXN/DEN “Explanatory Notes on Variety Denominations under the UPOV Convention”, on the basis of document UPOV/EXN/DEN/1 Draft </w:t>
      </w:r>
      <w:r w:rsidRPr="00D76DB3">
        <w:rPr>
          <w:i/>
        </w:rPr>
        <w:t>4</w:t>
      </w:r>
      <w:r w:rsidR="00D76DB3" w:rsidRPr="00D76DB3">
        <w:rPr>
          <w:i/>
        </w:rPr>
        <w:t xml:space="preserve"> </w:t>
      </w:r>
      <w:r w:rsidR="00D76DB3" w:rsidRPr="00453694">
        <w:rPr>
          <w:i/>
          <w:highlight w:val="yellow"/>
          <w:u w:val="single"/>
        </w:rPr>
        <w:t>in conjunction with the comments received on document UPOV/EXN/DEN/1 Draft 4 in response to Circular E-</w:t>
      </w:r>
      <w:r w:rsidR="00800945">
        <w:rPr>
          <w:i/>
          <w:highlight w:val="yellow"/>
          <w:u w:val="single"/>
        </w:rPr>
        <w:t> </w:t>
      </w:r>
      <w:r w:rsidR="00D76DB3" w:rsidRPr="00453694">
        <w:rPr>
          <w:i/>
          <w:highlight w:val="yellow"/>
          <w:u w:val="single"/>
        </w:rPr>
        <w:t>20/120</w:t>
      </w:r>
      <w:r w:rsidR="002D6B61" w:rsidRPr="00453694">
        <w:rPr>
          <w:i/>
          <w:highlight w:val="yellow"/>
          <w:u w:val="single"/>
        </w:rPr>
        <w:t>,</w:t>
      </w:r>
      <w:r w:rsidR="00D76DB3" w:rsidRPr="00453694">
        <w:rPr>
          <w:i/>
          <w:highlight w:val="yellow"/>
          <w:u w:val="single"/>
        </w:rPr>
        <w:t xml:space="preserve"> </w:t>
      </w:r>
      <w:r w:rsidR="002D6B61" w:rsidRPr="00453694">
        <w:rPr>
          <w:i/>
          <w:highlight w:val="yellow"/>
          <w:u w:val="single"/>
        </w:rPr>
        <w:t>as presented</w:t>
      </w:r>
      <w:r w:rsidR="00D76DB3" w:rsidRPr="00453694">
        <w:rPr>
          <w:i/>
          <w:highlight w:val="yellow"/>
          <w:u w:val="single"/>
        </w:rPr>
        <w:t xml:space="preserve"> in document CAJ/77/9 “Outcome of the consideration of documents by correspondence”.</w:t>
      </w:r>
      <w:r w:rsidRPr="00453694">
        <w:rPr>
          <w:i/>
          <w:strike/>
          <w:snapToGrid w:val="0"/>
          <w:highlight w:val="yellow"/>
          <w:lang w:eastAsia="ja-JP"/>
        </w:rPr>
        <w:t>;</w:t>
      </w:r>
      <w:r w:rsidRPr="00453694">
        <w:rPr>
          <w:i/>
          <w:strike/>
          <w:snapToGrid w:val="0"/>
          <w:lang w:eastAsia="ja-JP"/>
        </w:rPr>
        <w:t xml:space="preserve">  </w:t>
      </w:r>
      <w:r w:rsidRPr="00453694">
        <w:rPr>
          <w:i/>
          <w:strike/>
          <w:snapToGrid w:val="0"/>
          <w:highlight w:val="yellow"/>
          <w:lang w:eastAsia="ja-JP"/>
        </w:rPr>
        <w:t>a</w:t>
      </w:r>
      <w:r w:rsidRPr="00453694">
        <w:rPr>
          <w:i/>
          <w:strike/>
          <w:spacing w:val="-4"/>
          <w:highlight w:val="yellow"/>
        </w:rPr>
        <w:t>nd</w:t>
      </w:r>
    </w:p>
    <w:p w:rsidR="00122E77" w:rsidRPr="00453694" w:rsidRDefault="00122E77" w:rsidP="00453694">
      <w:pPr>
        <w:keepLines/>
        <w:tabs>
          <w:tab w:val="left" w:pos="5387"/>
          <w:tab w:val="left" w:pos="5954"/>
        </w:tabs>
        <w:ind w:left="4820"/>
        <w:rPr>
          <w:i/>
          <w:strike/>
          <w:snapToGrid w:val="0"/>
          <w:highlight w:val="yellow"/>
          <w:lang w:eastAsia="ja-JP"/>
        </w:rPr>
      </w:pPr>
    </w:p>
    <w:p w:rsidR="00122E77" w:rsidRPr="00453694" w:rsidRDefault="00122E77" w:rsidP="00453694">
      <w:pPr>
        <w:keepLines/>
        <w:tabs>
          <w:tab w:val="left" w:pos="5387"/>
          <w:tab w:val="left" w:pos="5954"/>
        </w:tabs>
        <w:ind w:left="4820"/>
        <w:rPr>
          <w:i/>
          <w:strike/>
          <w:snapToGrid w:val="0"/>
          <w:lang w:eastAsia="ja-JP"/>
        </w:rPr>
      </w:pPr>
      <w:r w:rsidRPr="00453694">
        <w:rPr>
          <w:i/>
          <w:strike/>
          <w:snapToGrid w:val="0"/>
          <w:highlight w:val="yellow"/>
          <w:lang w:eastAsia="ja-JP"/>
        </w:rPr>
        <w:tab/>
        <w:t>(d)</w:t>
      </w:r>
      <w:r w:rsidRPr="00453694">
        <w:rPr>
          <w:i/>
          <w:strike/>
          <w:snapToGrid w:val="0"/>
          <w:highlight w:val="yellow"/>
          <w:lang w:eastAsia="ja-JP"/>
        </w:rPr>
        <w:tab/>
        <w:t xml:space="preserve">note that, </w:t>
      </w:r>
      <w:r w:rsidRPr="00453694">
        <w:rPr>
          <w:i/>
          <w:strike/>
          <w:highlight w:val="yellow"/>
        </w:rPr>
        <w:t>subject to agreement</w:t>
      </w:r>
      <w:r w:rsidRPr="00453694">
        <w:rPr>
          <w:i/>
          <w:strike/>
          <w:snapToGrid w:val="0"/>
          <w:highlight w:val="yellow"/>
          <w:lang w:eastAsia="ja-JP"/>
        </w:rPr>
        <w:t xml:space="preserve"> by the CAJ, </w:t>
      </w:r>
      <w:r w:rsidRPr="00453694">
        <w:rPr>
          <w:i/>
          <w:strike/>
          <w:highlight w:val="yellow"/>
        </w:rPr>
        <w:t xml:space="preserve">an agreed draft of document UPOV/EXN/DEN/1 </w:t>
      </w:r>
      <w:r w:rsidRPr="00453694">
        <w:rPr>
          <w:i/>
          <w:strike/>
          <w:snapToGrid w:val="0"/>
          <w:highlight w:val="yellow"/>
          <w:lang w:eastAsia="ja-JP"/>
        </w:rPr>
        <w:t>will be presented for adoption by the Council in 2020.</w:t>
      </w:r>
    </w:p>
    <w:p w:rsidR="00122E77" w:rsidRPr="00122E77" w:rsidRDefault="00122E77" w:rsidP="00122E77"/>
    <w:p w:rsidR="00122E77" w:rsidRPr="00122E77" w:rsidRDefault="00122E77" w:rsidP="00122E77">
      <w:pPr>
        <w:jc w:val="left"/>
      </w:pPr>
    </w:p>
    <w:p w:rsidR="00122E77" w:rsidRPr="00122E77" w:rsidRDefault="00122E77" w:rsidP="00122E77">
      <w:pPr>
        <w:keepNext/>
        <w:numPr>
          <w:ilvl w:val="0"/>
          <w:numId w:val="6"/>
        </w:numPr>
        <w:ind w:left="567" w:hanging="567"/>
        <w:outlineLvl w:val="1"/>
        <w:rPr>
          <w:u w:val="single"/>
        </w:rPr>
      </w:pPr>
      <w:bookmarkStart w:id="31" w:name="_Toc51935390"/>
      <w:r w:rsidRPr="00122E77">
        <w:rPr>
          <w:u w:val="single"/>
        </w:rPr>
        <w:t>TGP Documents</w:t>
      </w:r>
      <w:bookmarkEnd w:id="31"/>
      <w:r w:rsidRPr="00122E77">
        <w:rPr>
          <w:u w:val="single"/>
        </w:rPr>
        <w:t xml:space="preserve"> </w:t>
      </w:r>
    </w:p>
    <w:p w:rsidR="00122E77" w:rsidRPr="00122E77" w:rsidRDefault="00122E77" w:rsidP="00122E77">
      <w:pPr>
        <w:keepNext/>
      </w:pPr>
    </w:p>
    <w:p w:rsidR="00122E77" w:rsidRPr="00122E77" w:rsidRDefault="00122E77" w:rsidP="00122E77">
      <w:pPr>
        <w:rPr>
          <w:spacing w:val="-2"/>
        </w:rPr>
      </w:pPr>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t>The following revisions of TGP documents were agreed by 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rPr>
          <w:spacing w:val="-2"/>
        </w:rPr>
        <w:t>, to be proposed for adoption by the Council in 2020</w:t>
      </w:r>
      <w:r w:rsidRPr="00122E77">
        <w:rPr>
          <w:spacing w:val="2"/>
        </w:rPr>
        <w:t>,</w:t>
      </w:r>
      <w:r w:rsidRPr="00122E77">
        <w:rPr>
          <w:spacing w:val="-2"/>
        </w:rPr>
        <w:t xml:space="preserve"> subject to approval by the CAJ.</w:t>
      </w:r>
    </w:p>
    <w:p w:rsidR="00122E77" w:rsidRPr="00122E77" w:rsidRDefault="00122E77" w:rsidP="00122E77">
      <w:pPr>
        <w:ind w:left="567" w:hanging="567"/>
        <w:jc w:val="left"/>
        <w:rPr>
          <w:highlight w:val="yellow"/>
        </w:rPr>
      </w:pPr>
    </w:p>
    <w:p w:rsidR="00122E77" w:rsidRPr="00122E77" w:rsidRDefault="00122E77" w:rsidP="00122E77">
      <w:pPr>
        <w:keepNext/>
        <w:outlineLvl w:val="2"/>
        <w:rPr>
          <w:i/>
        </w:rPr>
      </w:pPr>
      <w:bookmarkStart w:id="32" w:name="_Toc15566517"/>
      <w:bookmarkStart w:id="33" w:name="_Toc21683347"/>
      <w:bookmarkStart w:id="34" w:name="_Toc51935391"/>
      <w:r w:rsidRPr="00122E77">
        <w:rPr>
          <w:i/>
        </w:rPr>
        <w:t>Revision of document TGP/5 “Experience and Cooperation in DUS Testing</w:t>
      </w:r>
      <w:bookmarkEnd w:id="32"/>
      <w:bookmarkEnd w:id="33"/>
      <w:r w:rsidRPr="00122E77">
        <w:rPr>
          <w:i/>
        </w:rPr>
        <w:t>”, Section 6 “UPOV Report on Technical Examination and UPOV Variety Description” (document TGP/5: Section 6/3 Draft 1)</w:t>
      </w:r>
      <w:bookmarkEnd w:id="34"/>
    </w:p>
    <w:p w:rsidR="00122E77" w:rsidRPr="00122E77" w:rsidRDefault="00122E77" w:rsidP="00122E77">
      <w:pPr>
        <w:keepNext/>
        <w:ind w:left="567" w:hanging="567"/>
        <w:jc w:val="left"/>
      </w:pPr>
    </w:p>
    <w:p w:rsidR="00122E77" w:rsidRPr="00122E77" w:rsidRDefault="00122E77" w:rsidP="00122E77">
      <w:pPr>
        <w:keepLines/>
        <w:rPr>
          <w:spacing w:val="-2"/>
        </w:rPr>
      </w:pPr>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t>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rPr>
          <w:spacing w:val="-2"/>
        </w:rPr>
        <w:t xml:space="preserve">, </w:t>
      </w:r>
      <w:r w:rsidRPr="00122E77">
        <w:t xml:space="preserve">agreed to propose a revision to document TGP/5 “Experience and Cooperation in DUS Testing”, Section 6 “UPOV Report on Technical Examination and UPOV Variety Description”, to include </w:t>
      </w:r>
      <w:r w:rsidRPr="00122E77">
        <w:rPr>
          <w:rFonts w:eastAsia="SimSun"/>
        </w:rPr>
        <w:t>guidance on t</w:t>
      </w:r>
      <w:r w:rsidRPr="00122E77">
        <w:t xml:space="preserve">he purpose of the variety description developed at the time of the grant of the breeder’s right and the status of the original variety description in relation to the verification of the conformity of plant material to a protected variety for enforcement of the breeder’s right.  </w:t>
      </w:r>
      <w:r w:rsidRPr="00122E77">
        <w:rPr>
          <w:spacing w:val="-2"/>
        </w:rPr>
        <w:t>The proposed revision of document TGP/5, Section 6, is reproduced in Annex II to this document.</w:t>
      </w:r>
    </w:p>
    <w:p w:rsidR="00122E77" w:rsidRPr="00122E77" w:rsidRDefault="00122E77" w:rsidP="00122E77">
      <w:pPr>
        <w:rPr>
          <w:spacing w:val="-2"/>
        </w:rPr>
      </w:pPr>
    </w:p>
    <w:p w:rsidR="00122E77" w:rsidRPr="00122E77" w:rsidRDefault="00122E77" w:rsidP="00122E77">
      <w:pPr>
        <w:rPr>
          <w:bCs/>
          <w:snapToGrid w:val="0"/>
          <w:szCs w:val="24"/>
        </w:rPr>
      </w:pPr>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t>The French, German and Spanish translations of the original English text have been checked by the relevant members of the Editorial Committee prior to submission of the draft of document TGP/5: Section 6 to the Council.  Document TGP/5: Section 6/3 Draft 1 incorporates the amendments agreed by the TC, as presented in Annex II to this document (in revision mode), and the linguistic changes made by the relevant members of the Editorial Committee.</w:t>
      </w:r>
    </w:p>
    <w:p w:rsidR="00122E77" w:rsidRPr="00122E77" w:rsidRDefault="00122E77" w:rsidP="00122E77"/>
    <w:p w:rsidR="00122E77" w:rsidRPr="00122E77" w:rsidRDefault="00122E77" w:rsidP="00122E77">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r>
      <w:r w:rsidRPr="00122E77">
        <w:t xml:space="preserve">Subject to agreement of a draft of </w:t>
      </w:r>
      <w:r w:rsidRPr="00122E77">
        <w:rPr>
          <w:spacing w:val="-2"/>
        </w:rPr>
        <w:t xml:space="preserve">document TGP/5:  Section 6/3 </w:t>
      </w:r>
      <w:r w:rsidRPr="00122E77">
        <w:t>by the CAJ, on the basis of document </w:t>
      </w:r>
      <w:r w:rsidRPr="00122E77">
        <w:rPr>
          <w:spacing w:val="-2"/>
        </w:rPr>
        <w:t>TGP/5:  Section 6/3 Draft 1</w:t>
      </w:r>
      <w:r w:rsidRPr="00122E77">
        <w:t>, an agreed draft of document </w:t>
      </w:r>
      <w:r w:rsidRPr="00122E77">
        <w:rPr>
          <w:spacing w:val="-2"/>
        </w:rPr>
        <w:t xml:space="preserve">TGP/5:  Section 6/3 </w:t>
      </w:r>
      <w:r w:rsidRPr="00122E77">
        <w:t>“</w:t>
      </w:r>
      <w:r w:rsidRPr="00122E77">
        <w:rPr>
          <w:rFonts w:eastAsiaTheme="minorEastAsia"/>
        </w:rPr>
        <w:t>TGP/5 “Experience and Cooperation in DUS Testing, Section 6 UPOV Report on Technical Examination and UPOV Variety Description</w:t>
      </w:r>
      <w:r w:rsidRPr="00122E77">
        <w:t>” will be presented for adoption by the Council in 2020.</w:t>
      </w:r>
    </w:p>
    <w:p w:rsidR="00122E77" w:rsidRPr="00122E77" w:rsidRDefault="00122E77" w:rsidP="00122E77">
      <w:pPr>
        <w:ind w:left="567" w:hanging="567"/>
        <w:jc w:val="left"/>
      </w:pPr>
    </w:p>
    <w:p w:rsidR="00122E77" w:rsidRPr="00122E77" w:rsidRDefault="00122E77" w:rsidP="00122E77">
      <w:pPr>
        <w:keepNext/>
        <w:keepLines/>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w:t>
      </w:r>
    </w:p>
    <w:p w:rsidR="00122E77" w:rsidRPr="00122E77" w:rsidRDefault="00122E77" w:rsidP="00122E77">
      <w:pPr>
        <w:keepNext/>
        <w:keepLines/>
        <w:tabs>
          <w:tab w:val="left" w:pos="5387"/>
          <w:tab w:val="left" w:pos="5954"/>
        </w:tabs>
        <w:ind w:left="4820"/>
        <w:rPr>
          <w:i/>
        </w:rPr>
      </w:pPr>
    </w:p>
    <w:p w:rsidR="00122E77" w:rsidRPr="00122E77" w:rsidRDefault="00122E77" w:rsidP="00122E77">
      <w:pPr>
        <w:keepNext/>
        <w:keepLines/>
        <w:tabs>
          <w:tab w:val="left" w:pos="5387"/>
          <w:tab w:val="left" w:pos="5954"/>
        </w:tabs>
        <w:ind w:left="4820"/>
        <w:rPr>
          <w:i/>
        </w:rPr>
      </w:pPr>
      <w:r w:rsidRPr="00122E77">
        <w:rPr>
          <w:i/>
        </w:rPr>
        <w:tab/>
        <w:t>(a)</w:t>
      </w:r>
      <w:r w:rsidRPr="00122E77">
        <w:rPr>
          <w:i/>
        </w:rPr>
        <w:tab/>
        <w:t>consider document TGP/5:  Section 6/3 “TGP/5 Experience and Cooperation in DUS Testing, Section 6:  UPOV Report on Technical Examination and UPOV Variety Description”, on the basis of document </w:t>
      </w:r>
      <w:r w:rsidRPr="00122E77">
        <w:rPr>
          <w:i/>
          <w:spacing w:val="-2"/>
        </w:rPr>
        <w:t>TGP/5:  Section 6/3 Draft 1;</w:t>
      </w:r>
      <w:r w:rsidRPr="00122E77">
        <w:rPr>
          <w:i/>
        </w:rPr>
        <w:t xml:space="preserve">  and</w:t>
      </w:r>
    </w:p>
    <w:p w:rsidR="00122E77" w:rsidRPr="00122E77" w:rsidRDefault="00122E77" w:rsidP="00122E77"/>
    <w:p w:rsidR="00122E77" w:rsidRPr="00122E77" w:rsidRDefault="00122E77" w:rsidP="00122E77">
      <w:pPr>
        <w:keepLines/>
        <w:tabs>
          <w:tab w:val="left" w:pos="5387"/>
          <w:tab w:val="left" w:pos="5954"/>
        </w:tabs>
        <w:ind w:left="4820"/>
        <w:rPr>
          <w:i/>
        </w:rPr>
      </w:pPr>
      <w:r w:rsidRPr="00122E77">
        <w:rPr>
          <w:i/>
        </w:rPr>
        <w:tab/>
        <w:t>(b)</w:t>
      </w:r>
      <w:r w:rsidRPr="00122E77">
        <w:rPr>
          <w:i/>
        </w:rPr>
        <w:tab/>
        <w:t xml:space="preserve">note </w:t>
      </w:r>
      <w:r w:rsidRPr="00122E77">
        <w:rPr>
          <w:i/>
          <w:spacing w:val="-2"/>
        </w:rPr>
        <w:t>that, subject to agreement by the CAJ, an agreed draft</w:t>
      </w:r>
      <w:r w:rsidRPr="00122E77">
        <w:rPr>
          <w:rFonts w:eastAsia="MS Mincho"/>
          <w:i/>
          <w:spacing w:val="-2"/>
          <w:lang w:eastAsia="ja-JP"/>
        </w:rPr>
        <w:t xml:space="preserve"> of </w:t>
      </w:r>
      <w:r w:rsidRPr="00122E77">
        <w:rPr>
          <w:i/>
        </w:rPr>
        <w:t xml:space="preserve">document TGP/5:  Section 6/3 </w:t>
      </w:r>
      <w:r w:rsidRPr="00122E77">
        <w:rPr>
          <w:rFonts w:eastAsia="MS Mincho"/>
          <w:i/>
          <w:spacing w:val="-2"/>
          <w:lang w:eastAsia="ja-JP"/>
        </w:rPr>
        <w:t xml:space="preserve">will be presented for adoption by the Council in 2020. </w:t>
      </w:r>
    </w:p>
    <w:p w:rsidR="00122E77" w:rsidRPr="00122E77" w:rsidRDefault="00122E77" w:rsidP="00122E77"/>
    <w:p w:rsidR="00122E77" w:rsidRPr="00122E77" w:rsidRDefault="00122E77" w:rsidP="00122E77">
      <w:pPr>
        <w:keepNext/>
        <w:outlineLvl w:val="2"/>
        <w:rPr>
          <w:i/>
        </w:rPr>
      </w:pPr>
      <w:bookmarkStart w:id="35" w:name="_Toc51935392"/>
      <w:r w:rsidRPr="00122E77">
        <w:rPr>
          <w:i/>
        </w:rPr>
        <w:lastRenderedPageBreak/>
        <w:t>Revision of document TGP/7 “Development of Test Guidelines” (document TGP/7/8 Draft 1)</w:t>
      </w:r>
      <w:bookmarkEnd w:id="35"/>
    </w:p>
    <w:p w:rsidR="00122E77" w:rsidRPr="00122E77" w:rsidRDefault="00122E77" w:rsidP="00122E77">
      <w:pPr>
        <w:keepNext/>
      </w:pPr>
    </w:p>
    <w:p w:rsidR="00122E77" w:rsidRPr="00122E77" w:rsidRDefault="00122E77" w:rsidP="00122E77">
      <w:pPr>
        <w:keepNext/>
      </w:pPr>
      <w:r w:rsidRPr="00122E77">
        <w:fldChar w:fldCharType="begin"/>
      </w:r>
      <w:r w:rsidRPr="00122E77">
        <w:instrText xml:space="preserve"> AUTONUM  </w:instrText>
      </w:r>
      <w:r w:rsidRPr="00122E77">
        <w:fldChar w:fldCharType="end"/>
      </w:r>
      <w:r w:rsidRPr="00122E77">
        <w:tab/>
        <w:t>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t xml:space="preserve">, agreed to amend the guidance in document TGP/7, Guidance Note 18 (GN 18), to allow the exclusion of a characteristic from observation on the basis of a state of expression of a preceding pseudo-qualitative or quantitative characteristic, as set out in Annex III to this document. </w:t>
      </w:r>
    </w:p>
    <w:p w:rsidR="00122E77" w:rsidRPr="00122E77" w:rsidRDefault="00122E77" w:rsidP="00122E77"/>
    <w:p w:rsidR="00122E77" w:rsidRPr="00122E77" w:rsidRDefault="00122E77" w:rsidP="00122E77">
      <w:r w:rsidRPr="00122E77">
        <w:fldChar w:fldCharType="begin"/>
      </w:r>
      <w:r w:rsidRPr="00122E77">
        <w:instrText xml:space="preserve"> AUTONUM  </w:instrText>
      </w:r>
      <w:r w:rsidRPr="00122E77">
        <w:fldChar w:fldCharType="end"/>
      </w:r>
      <w:r w:rsidRPr="00122E77">
        <w:tab/>
        <w:t xml:space="preserve">The TC agreed to revise document TGP/7 to present all states of expression for quantitative characteristics in Test Guidelines.  </w:t>
      </w:r>
    </w:p>
    <w:p w:rsidR="00122E77" w:rsidRPr="00122E77" w:rsidRDefault="00122E77" w:rsidP="00122E77">
      <w:pPr>
        <w:rPr>
          <w:spacing w:val="-2"/>
        </w:rPr>
      </w:pPr>
    </w:p>
    <w:p w:rsidR="00122E77" w:rsidRPr="00122E77" w:rsidRDefault="00122E77" w:rsidP="00122E77">
      <w:pPr>
        <w:rPr>
          <w:bCs/>
          <w:snapToGrid w:val="0"/>
          <w:szCs w:val="24"/>
        </w:rPr>
      </w:pPr>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t>The French, German and Spanish translations of the original English text have been checked by the relevant members of the Editorial Committee prior to submission of the draft of document TGP/7/8 to the Council.  Document TGP/7/8 Draft 1 incorporates the amendments agreed by the TC, as presented in Annex III to this document (in revision mode), and the linguistic changes made by the relevant members of the Editorial Committee.</w:t>
      </w:r>
    </w:p>
    <w:p w:rsidR="00122E77" w:rsidRPr="00122E77" w:rsidRDefault="00122E77" w:rsidP="00122E77"/>
    <w:p w:rsidR="00122E77" w:rsidRPr="00122E77" w:rsidRDefault="00122E77" w:rsidP="00122E77">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r>
      <w:r w:rsidRPr="00122E77">
        <w:t xml:space="preserve">Subject to agreement of a draft of </w:t>
      </w:r>
      <w:r w:rsidRPr="00122E77">
        <w:rPr>
          <w:spacing w:val="-2"/>
        </w:rPr>
        <w:t xml:space="preserve">document TGP/7/8 </w:t>
      </w:r>
      <w:r w:rsidRPr="00122E77">
        <w:t>by the CAJ, on the basis of document </w:t>
      </w:r>
      <w:r w:rsidRPr="00122E77">
        <w:rPr>
          <w:spacing w:val="-2"/>
        </w:rPr>
        <w:t>TGP/7/8 Draft 1</w:t>
      </w:r>
      <w:r w:rsidRPr="00122E77">
        <w:t>, an agreed draft of document </w:t>
      </w:r>
      <w:r w:rsidRPr="00122E77">
        <w:rPr>
          <w:spacing w:val="-2"/>
        </w:rPr>
        <w:t>TGP/7/8 </w:t>
      </w:r>
      <w:r w:rsidRPr="00122E77">
        <w:t>“</w:t>
      </w:r>
      <w:r w:rsidRPr="00122E77">
        <w:rPr>
          <w:rFonts w:eastAsiaTheme="minorEastAsia"/>
        </w:rPr>
        <w:t>Development of Test Guidelines</w:t>
      </w:r>
      <w:r w:rsidRPr="00122E77">
        <w:t>” will be presented for adoption by the Council in 2020.</w:t>
      </w:r>
    </w:p>
    <w:p w:rsidR="00122E77" w:rsidRPr="00122E77" w:rsidRDefault="00122E77" w:rsidP="00122E77"/>
    <w:p w:rsidR="00122E77" w:rsidRPr="00122E77" w:rsidRDefault="00122E77" w:rsidP="00122E77">
      <w:pPr>
        <w:keepLines/>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w:t>
      </w:r>
    </w:p>
    <w:p w:rsidR="00122E77" w:rsidRPr="00122E77" w:rsidRDefault="00122E77" w:rsidP="00122E77">
      <w:pPr>
        <w:keepLines/>
        <w:tabs>
          <w:tab w:val="left" w:pos="5387"/>
          <w:tab w:val="left" w:pos="5954"/>
        </w:tabs>
        <w:ind w:left="4820"/>
        <w:rPr>
          <w:i/>
        </w:rPr>
      </w:pPr>
    </w:p>
    <w:p w:rsidR="00122E77" w:rsidRPr="00122E77" w:rsidRDefault="00122E77" w:rsidP="00122E77">
      <w:pPr>
        <w:keepLines/>
        <w:tabs>
          <w:tab w:val="left" w:pos="5387"/>
          <w:tab w:val="left" w:pos="5954"/>
        </w:tabs>
        <w:ind w:left="4820"/>
        <w:rPr>
          <w:i/>
        </w:rPr>
      </w:pPr>
      <w:r w:rsidRPr="00122E77">
        <w:rPr>
          <w:i/>
        </w:rPr>
        <w:tab/>
        <w:t>(a)</w:t>
      </w:r>
      <w:r w:rsidRPr="00122E77">
        <w:rPr>
          <w:i/>
        </w:rPr>
        <w:tab/>
        <w:t xml:space="preserve">consider document </w:t>
      </w:r>
      <w:r w:rsidRPr="00122E77">
        <w:rPr>
          <w:i/>
          <w:spacing w:val="-2"/>
        </w:rPr>
        <w:t xml:space="preserve">TGP/7/8 </w:t>
      </w:r>
      <w:r w:rsidRPr="00122E77">
        <w:rPr>
          <w:i/>
        </w:rPr>
        <w:t>“Development of Test Guidelines”, on the basis of document </w:t>
      </w:r>
      <w:r w:rsidRPr="00122E77">
        <w:rPr>
          <w:i/>
          <w:spacing w:val="-2"/>
        </w:rPr>
        <w:t>TGP/7/8 Draft 1;</w:t>
      </w:r>
      <w:r w:rsidRPr="00122E77">
        <w:rPr>
          <w:i/>
        </w:rPr>
        <w:t xml:space="preserve">  and</w:t>
      </w:r>
    </w:p>
    <w:p w:rsidR="00122E77" w:rsidRPr="00122E77" w:rsidRDefault="00122E77" w:rsidP="00122E77"/>
    <w:p w:rsidR="00122E77" w:rsidRPr="00122E77" w:rsidRDefault="00122E77" w:rsidP="00122E77">
      <w:pPr>
        <w:keepLines/>
        <w:tabs>
          <w:tab w:val="left" w:pos="5387"/>
          <w:tab w:val="left" w:pos="5954"/>
        </w:tabs>
        <w:ind w:left="4820"/>
        <w:rPr>
          <w:i/>
        </w:rPr>
      </w:pPr>
      <w:r w:rsidRPr="00122E77">
        <w:rPr>
          <w:i/>
        </w:rPr>
        <w:tab/>
        <w:t>(b)</w:t>
      </w:r>
      <w:r w:rsidRPr="00122E77">
        <w:rPr>
          <w:i/>
        </w:rPr>
        <w:tab/>
        <w:t xml:space="preserve">note </w:t>
      </w:r>
      <w:r w:rsidRPr="00122E77">
        <w:rPr>
          <w:i/>
          <w:spacing w:val="-2"/>
        </w:rPr>
        <w:t>that, subject to agreement by the CAJ, an agreed draft</w:t>
      </w:r>
      <w:r w:rsidRPr="00122E77">
        <w:rPr>
          <w:rFonts w:eastAsia="MS Mincho"/>
          <w:i/>
          <w:spacing w:val="-2"/>
          <w:lang w:eastAsia="ja-JP"/>
        </w:rPr>
        <w:t xml:space="preserve"> of </w:t>
      </w:r>
      <w:r w:rsidRPr="00122E77">
        <w:rPr>
          <w:i/>
        </w:rPr>
        <w:t xml:space="preserve">document </w:t>
      </w:r>
      <w:r w:rsidRPr="00122E77">
        <w:rPr>
          <w:i/>
          <w:spacing w:val="-2"/>
        </w:rPr>
        <w:t xml:space="preserve">TGP/7/8 </w:t>
      </w:r>
      <w:r w:rsidRPr="00122E77">
        <w:rPr>
          <w:rFonts w:eastAsia="MS Mincho"/>
          <w:i/>
          <w:spacing w:val="-2"/>
          <w:lang w:eastAsia="ja-JP"/>
        </w:rPr>
        <w:t xml:space="preserve">will be presented for adoption by the Council in 2020. </w:t>
      </w:r>
    </w:p>
    <w:p w:rsidR="00122E77" w:rsidRPr="00122E77" w:rsidRDefault="00122E77" w:rsidP="00122E77"/>
    <w:p w:rsidR="00122E77" w:rsidRPr="00122E77" w:rsidRDefault="00122E77" w:rsidP="00122E77">
      <w:pPr>
        <w:keepNext/>
        <w:outlineLvl w:val="2"/>
        <w:rPr>
          <w:i/>
        </w:rPr>
      </w:pPr>
      <w:bookmarkStart w:id="36" w:name="_Toc51935393"/>
      <w:r w:rsidRPr="00122E77">
        <w:rPr>
          <w:i/>
        </w:rPr>
        <w:t>Revision of document TGP/14 “Glossary of Terms Used in UPOV Documents” (document TGP/14/5 Draft 1)</w:t>
      </w:r>
      <w:bookmarkEnd w:id="36"/>
    </w:p>
    <w:p w:rsidR="00122E77" w:rsidRPr="00122E77" w:rsidRDefault="00122E77" w:rsidP="00122E77">
      <w:pPr>
        <w:keepNext/>
      </w:pPr>
    </w:p>
    <w:p w:rsidR="00122E77" w:rsidRPr="00122E77" w:rsidRDefault="00122E77" w:rsidP="00122E77">
      <w:pPr>
        <w:keepNext/>
        <w:rPr>
          <w:rFonts w:cs="Arial"/>
        </w:rPr>
      </w:pPr>
      <w:r w:rsidRPr="00122E77">
        <w:fldChar w:fldCharType="begin"/>
      </w:r>
      <w:r w:rsidRPr="00122E77">
        <w:instrText xml:space="preserve"> AUTONUM  </w:instrText>
      </w:r>
      <w:r w:rsidRPr="00122E77">
        <w:fldChar w:fldCharType="end"/>
      </w:r>
      <w:r w:rsidRPr="00122E77">
        <w:tab/>
        <w:t>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t xml:space="preserve">, agreed to revise the list of UPOV Color Groups in document TGP/14 “Glossary of Terms used in UPOV Documents” on the basis of the color groups set out in Annex IV to this document. </w:t>
      </w:r>
    </w:p>
    <w:p w:rsidR="00122E77" w:rsidRPr="00122E77" w:rsidRDefault="00122E77" w:rsidP="00122E77"/>
    <w:p w:rsidR="00122E77" w:rsidRPr="00122E77" w:rsidRDefault="00122E77" w:rsidP="00122E77">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rPr>
        <w:tab/>
      </w:r>
      <w:r w:rsidRPr="00122E77">
        <w:t xml:space="preserve">The TC agreed to revise document TGP/14, Section 2, Subsection 3:  “Color”, and Subsection 3:  Annex:  “Color names for the RHS </w:t>
      </w:r>
      <w:proofErr w:type="spellStart"/>
      <w:r w:rsidRPr="00122E77">
        <w:t>Colour</w:t>
      </w:r>
      <w:proofErr w:type="spellEnd"/>
      <w:r w:rsidRPr="00122E77">
        <w:t xml:space="preserve"> Chart”, to reflect the introduction of the revised list of UPOV Color Groups, as set out in Annex IV to this document. </w:t>
      </w:r>
    </w:p>
    <w:p w:rsidR="00122E77" w:rsidRPr="00122E77" w:rsidRDefault="00122E77" w:rsidP="00122E77">
      <w:pPr>
        <w:rPr>
          <w:spacing w:val="-2"/>
        </w:rPr>
      </w:pPr>
    </w:p>
    <w:p w:rsidR="00122E77" w:rsidRPr="00122E77" w:rsidRDefault="00122E77" w:rsidP="00122E77">
      <w:pPr>
        <w:rPr>
          <w:bCs/>
          <w:snapToGrid w:val="0"/>
          <w:szCs w:val="24"/>
        </w:rPr>
      </w:pPr>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t>The French, German and Spanish translations of the original English text have been checked by the relevant members of the Editorial Committee prior to submission of the draft of document TGP/14/5 to the Council.  Document TGP/14/5 Draft 1 incorporates the amendments agreed by the TC, as presented in Annex IV to this document, and the linguistic changes made by the relevant members of the Editorial Committee.</w:t>
      </w:r>
    </w:p>
    <w:p w:rsidR="00122E77" w:rsidRPr="00122E77" w:rsidRDefault="00122E77" w:rsidP="00122E77">
      <w:pPr>
        <w:rPr>
          <w:highlight w:val="yellow"/>
        </w:rPr>
      </w:pPr>
    </w:p>
    <w:p w:rsidR="00122E77" w:rsidRPr="00122E77" w:rsidRDefault="00122E77" w:rsidP="00122E77">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r>
      <w:r w:rsidRPr="00122E77">
        <w:t xml:space="preserve">Subject to agreement of a draft of </w:t>
      </w:r>
      <w:r w:rsidRPr="00122E77">
        <w:rPr>
          <w:spacing w:val="-2"/>
        </w:rPr>
        <w:t xml:space="preserve">document TGP/14/5 </w:t>
      </w:r>
      <w:r w:rsidRPr="00122E77">
        <w:t>by the CAJ, on the basis of document </w:t>
      </w:r>
      <w:r w:rsidRPr="00122E77">
        <w:rPr>
          <w:spacing w:val="-2"/>
        </w:rPr>
        <w:t>TGP/14/5 Draft 1</w:t>
      </w:r>
      <w:r w:rsidRPr="00122E77">
        <w:t>, an agreed draft of document </w:t>
      </w:r>
      <w:r w:rsidRPr="00122E77">
        <w:rPr>
          <w:spacing w:val="-2"/>
        </w:rPr>
        <w:t>TGP/14/5 </w:t>
      </w:r>
      <w:r w:rsidRPr="00122E77">
        <w:t>“</w:t>
      </w:r>
      <w:r w:rsidRPr="00122E77">
        <w:rPr>
          <w:rFonts w:eastAsiaTheme="minorEastAsia"/>
        </w:rPr>
        <w:t>Glossary of Terms Used in UPOV Documents</w:t>
      </w:r>
      <w:r w:rsidRPr="00122E77">
        <w:t>” will be presented for adoption by the Council in 2020.</w:t>
      </w:r>
    </w:p>
    <w:p w:rsidR="00122E77" w:rsidRPr="00122E77" w:rsidRDefault="00122E77" w:rsidP="00122E77">
      <w:pPr>
        <w:rPr>
          <w:highlight w:val="yellow"/>
        </w:rPr>
      </w:pPr>
    </w:p>
    <w:p w:rsidR="00122E77" w:rsidRPr="00122E77" w:rsidRDefault="00122E77" w:rsidP="00122E77">
      <w:pPr>
        <w:keepLines/>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w:t>
      </w:r>
    </w:p>
    <w:p w:rsidR="00122E77" w:rsidRPr="00122E77" w:rsidRDefault="00122E77" w:rsidP="00122E77">
      <w:pPr>
        <w:keepLines/>
        <w:tabs>
          <w:tab w:val="left" w:pos="5387"/>
          <w:tab w:val="left" w:pos="5954"/>
        </w:tabs>
        <w:ind w:left="4820"/>
        <w:rPr>
          <w:i/>
        </w:rPr>
      </w:pPr>
    </w:p>
    <w:p w:rsidR="00122E77" w:rsidRPr="00122E77" w:rsidRDefault="00122E77" w:rsidP="00122E77">
      <w:pPr>
        <w:keepLines/>
        <w:tabs>
          <w:tab w:val="left" w:pos="5387"/>
          <w:tab w:val="left" w:pos="5954"/>
        </w:tabs>
        <w:ind w:left="4820"/>
        <w:rPr>
          <w:i/>
        </w:rPr>
      </w:pPr>
      <w:r w:rsidRPr="00122E77">
        <w:rPr>
          <w:i/>
        </w:rPr>
        <w:tab/>
        <w:t>(a)</w:t>
      </w:r>
      <w:r w:rsidRPr="00122E77">
        <w:rPr>
          <w:i/>
        </w:rPr>
        <w:tab/>
        <w:t xml:space="preserve">consider document </w:t>
      </w:r>
      <w:r w:rsidRPr="00122E77">
        <w:rPr>
          <w:i/>
          <w:spacing w:val="-2"/>
        </w:rPr>
        <w:t xml:space="preserve">TGP/14/5 </w:t>
      </w:r>
      <w:r w:rsidRPr="00122E77">
        <w:rPr>
          <w:i/>
        </w:rPr>
        <w:t>“</w:t>
      </w:r>
      <w:r w:rsidRPr="00122E77">
        <w:rPr>
          <w:rFonts w:eastAsiaTheme="minorEastAsia"/>
          <w:i/>
        </w:rPr>
        <w:t>Glossary of Terms Used in UPOV Documents</w:t>
      </w:r>
      <w:r w:rsidRPr="00122E77">
        <w:rPr>
          <w:i/>
        </w:rPr>
        <w:t>”, on the basis of document </w:t>
      </w:r>
      <w:r w:rsidRPr="00122E77">
        <w:rPr>
          <w:i/>
          <w:spacing w:val="-2"/>
        </w:rPr>
        <w:t>TGP/14/5 Draft 1;</w:t>
      </w:r>
      <w:r w:rsidRPr="00122E77">
        <w:rPr>
          <w:i/>
        </w:rPr>
        <w:t xml:space="preserve">  and</w:t>
      </w:r>
    </w:p>
    <w:p w:rsidR="00122E77" w:rsidRPr="00122E77" w:rsidRDefault="00122E77" w:rsidP="00122E77">
      <w:pPr>
        <w:keepLines/>
        <w:tabs>
          <w:tab w:val="left" w:pos="5387"/>
          <w:tab w:val="left" w:pos="5954"/>
        </w:tabs>
        <w:ind w:left="4820"/>
        <w:rPr>
          <w:i/>
        </w:rPr>
      </w:pPr>
    </w:p>
    <w:p w:rsidR="00122E77" w:rsidRPr="00122E77" w:rsidRDefault="00122E77" w:rsidP="00122E77">
      <w:pPr>
        <w:keepLines/>
        <w:tabs>
          <w:tab w:val="left" w:pos="5387"/>
          <w:tab w:val="left" w:pos="5954"/>
        </w:tabs>
        <w:ind w:left="4820"/>
        <w:rPr>
          <w:i/>
        </w:rPr>
      </w:pPr>
      <w:r w:rsidRPr="00122E77">
        <w:rPr>
          <w:i/>
        </w:rPr>
        <w:tab/>
        <w:t>(b)</w:t>
      </w:r>
      <w:r w:rsidRPr="00122E77">
        <w:rPr>
          <w:i/>
        </w:rPr>
        <w:tab/>
        <w:t xml:space="preserve">note </w:t>
      </w:r>
      <w:r w:rsidRPr="00122E77">
        <w:rPr>
          <w:i/>
          <w:spacing w:val="-2"/>
        </w:rPr>
        <w:t>that, subject to agreement by the CAJ, an agreed draft</w:t>
      </w:r>
      <w:r w:rsidRPr="00122E77">
        <w:rPr>
          <w:rFonts w:eastAsia="MS Mincho"/>
          <w:i/>
          <w:spacing w:val="-2"/>
          <w:lang w:eastAsia="ja-JP"/>
        </w:rPr>
        <w:t xml:space="preserve"> of </w:t>
      </w:r>
      <w:r w:rsidRPr="00122E77">
        <w:rPr>
          <w:i/>
        </w:rPr>
        <w:t xml:space="preserve">document </w:t>
      </w:r>
      <w:r w:rsidRPr="00122E77">
        <w:rPr>
          <w:i/>
          <w:spacing w:val="-2"/>
        </w:rPr>
        <w:t xml:space="preserve">TGP/14/5 </w:t>
      </w:r>
      <w:r w:rsidRPr="00122E77">
        <w:rPr>
          <w:rFonts w:eastAsia="MS Mincho"/>
          <w:i/>
          <w:spacing w:val="-2"/>
          <w:lang w:eastAsia="ja-JP"/>
        </w:rPr>
        <w:t xml:space="preserve">will be presented for adoption by the Council in 2020. </w:t>
      </w:r>
    </w:p>
    <w:p w:rsidR="00122E77" w:rsidRPr="00122E77" w:rsidRDefault="00122E77" w:rsidP="00122E77">
      <w:pPr>
        <w:rPr>
          <w:rFonts w:eastAsia="MS Mincho"/>
        </w:rPr>
      </w:pPr>
    </w:p>
    <w:p w:rsidR="00122E77" w:rsidRPr="00122E77" w:rsidRDefault="00122E77" w:rsidP="00122E77">
      <w:pPr>
        <w:keepNext/>
        <w:keepLines/>
        <w:outlineLvl w:val="2"/>
        <w:rPr>
          <w:i/>
        </w:rPr>
      </w:pPr>
      <w:bookmarkStart w:id="37" w:name="_Toc51935394"/>
      <w:r w:rsidRPr="00122E77">
        <w:rPr>
          <w:i/>
        </w:rPr>
        <w:lastRenderedPageBreak/>
        <w:t>Revision of document TGP/15 “Guidance on the Use of Biochemical and Molecular Markers in the Examination of Distinctness, Uniformity and Stability (DUS)” (document TGP/15/3 Draft 1)</w:t>
      </w:r>
      <w:bookmarkEnd w:id="37"/>
    </w:p>
    <w:p w:rsidR="00122E77" w:rsidRPr="00122E77" w:rsidRDefault="00122E77" w:rsidP="00122E77">
      <w:pPr>
        <w:keepNext/>
        <w:keepLines/>
      </w:pPr>
    </w:p>
    <w:p w:rsidR="00122E77" w:rsidRPr="00122E77" w:rsidRDefault="00122E77" w:rsidP="00122E77">
      <w:pPr>
        <w:keepNext/>
        <w:keepLines/>
        <w:rPr>
          <w:rFonts w:eastAsia="Calibri" w:cs="Arial"/>
          <w:sz w:val="18"/>
          <w:szCs w:val="18"/>
        </w:rPr>
      </w:pPr>
      <w:r w:rsidRPr="00122E77">
        <w:fldChar w:fldCharType="begin"/>
      </w:r>
      <w:r w:rsidRPr="00122E77">
        <w:instrText xml:space="preserve"> AUTONUM  </w:instrText>
      </w:r>
      <w:r w:rsidRPr="00122E77">
        <w:fldChar w:fldCharType="end"/>
      </w:r>
      <w:r w:rsidRPr="00122E77">
        <w:tab/>
        <w:t>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t>, agreed to add a new example to document TGP/15 to illustrate a situation where the characteristic-specific marker did not provide complete information on the state of expression of a characteristic, as set out in Annex V to this document.</w:t>
      </w:r>
    </w:p>
    <w:p w:rsidR="00122E77" w:rsidRPr="00122E77" w:rsidRDefault="00122E77" w:rsidP="00122E77">
      <w:pPr>
        <w:keepNext/>
      </w:pPr>
    </w:p>
    <w:p w:rsidR="00122E77" w:rsidRPr="00122E77" w:rsidRDefault="00122E77" w:rsidP="00122E77">
      <w:r w:rsidRPr="00122E77">
        <w:fldChar w:fldCharType="begin"/>
      </w:r>
      <w:r w:rsidRPr="00122E77">
        <w:instrText xml:space="preserve"> AUTONUM  </w:instrText>
      </w:r>
      <w:r w:rsidRPr="00122E77">
        <w:fldChar w:fldCharType="end"/>
      </w:r>
      <w:r w:rsidRPr="00122E77">
        <w:tab/>
        <w:t xml:space="preserve">The TC noted that the new example “Characteristic-specific marker with incomplete information on state of expression” would become a second example of model “Characteristic-specific molecular markers” in document TGP/15.  </w:t>
      </w:r>
    </w:p>
    <w:p w:rsidR="00122E77" w:rsidRPr="00122E77" w:rsidRDefault="00122E77" w:rsidP="00122E77"/>
    <w:p w:rsidR="00122E77" w:rsidRPr="00122E77" w:rsidRDefault="00122E77" w:rsidP="00122E77">
      <w:pPr>
        <w:keepLines/>
      </w:pPr>
      <w:r w:rsidRPr="00122E77">
        <w:fldChar w:fldCharType="begin"/>
      </w:r>
      <w:r w:rsidRPr="00122E77">
        <w:instrText xml:space="preserve"> AUTONUM  </w:instrText>
      </w:r>
      <w:r w:rsidRPr="00122E77">
        <w:fldChar w:fldCharType="end"/>
      </w:r>
      <w:r w:rsidRPr="00122E77">
        <w:tab/>
        <w:t xml:space="preserve">The TC agreed that model “Genetic selection of similar varieties for the first growing cycle” should be presented in document TGP/15 as a second example of model “Combining phenotypic and molecular distances in the management of variety collections”.  The TC agreed that the terminology on different “Models” should be reviewed in the document.  </w:t>
      </w:r>
    </w:p>
    <w:p w:rsidR="00122E77" w:rsidRPr="00122E77" w:rsidRDefault="00122E77" w:rsidP="00122E77">
      <w:pPr>
        <w:keepLines/>
      </w:pPr>
    </w:p>
    <w:p w:rsidR="00122E77" w:rsidRPr="00122E77" w:rsidRDefault="00122E77" w:rsidP="00122E77">
      <w:pPr>
        <w:rPr>
          <w:bCs/>
          <w:snapToGrid w:val="0"/>
          <w:szCs w:val="24"/>
        </w:rPr>
      </w:pPr>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t>The French, German and Spanish translations of the original English text have been checked by the relevant members of the Editorial Committee prior to submission of the draft of document TGP/15/3 to the Council.  Document TGP/15/3 Draft 1 incorporates the amendments agreed by the TC, as presented in Annex V to this document, and the linguistic changes made by the relevant members of the Editorial Committee.</w:t>
      </w:r>
    </w:p>
    <w:p w:rsidR="00122E77" w:rsidRPr="00122E77" w:rsidRDefault="00122E77" w:rsidP="00122E77"/>
    <w:p w:rsidR="00122E77" w:rsidRPr="00122E77" w:rsidRDefault="00122E77" w:rsidP="00122E77">
      <w:r w:rsidRPr="00122E77">
        <w:rPr>
          <w:spacing w:val="-2"/>
        </w:rPr>
        <w:fldChar w:fldCharType="begin"/>
      </w:r>
      <w:r w:rsidRPr="00122E77">
        <w:rPr>
          <w:spacing w:val="-2"/>
        </w:rPr>
        <w:instrText xml:space="preserve"> AUTONUM  </w:instrText>
      </w:r>
      <w:r w:rsidRPr="00122E77">
        <w:rPr>
          <w:spacing w:val="-2"/>
        </w:rPr>
        <w:fldChar w:fldCharType="end"/>
      </w:r>
      <w:r w:rsidRPr="00122E77">
        <w:rPr>
          <w:spacing w:val="-2"/>
        </w:rPr>
        <w:tab/>
      </w:r>
      <w:r w:rsidRPr="00122E77">
        <w:t xml:space="preserve">Subject to agreement of a draft of </w:t>
      </w:r>
      <w:r w:rsidRPr="00122E77">
        <w:rPr>
          <w:spacing w:val="-2"/>
        </w:rPr>
        <w:t xml:space="preserve">document TGP/15/3 </w:t>
      </w:r>
      <w:r w:rsidRPr="00122E77">
        <w:t>by the CAJ, on the basis of document TGP/15/3 Draft 1, an agreed draft of document </w:t>
      </w:r>
      <w:r w:rsidRPr="00122E77">
        <w:rPr>
          <w:spacing w:val="-2"/>
        </w:rPr>
        <w:t>TGP/15/3 </w:t>
      </w:r>
      <w:r w:rsidRPr="00122E77">
        <w:t>Guidance on the Use of Biochemical and Molecular Markers in the Examination of Distinctness, Uniformity and Stability (DUS)” will be presented for adoption by the Council in 2020.</w:t>
      </w:r>
    </w:p>
    <w:p w:rsidR="00122E77" w:rsidRPr="00122E77" w:rsidRDefault="00122E77" w:rsidP="00122E77">
      <w:pPr>
        <w:rPr>
          <w:highlight w:val="yellow"/>
        </w:rPr>
      </w:pPr>
    </w:p>
    <w:p w:rsidR="00122E77" w:rsidRPr="00122E77" w:rsidRDefault="00122E77" w:rsidP="00122E77">
      <w:pPr>
        <w:keepLines/>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w:t>
      </w:r>
    </w:p>
    <w:p w:rsidR="00122E77" w:rsidRPr="00122E77" w:rsidRDefault="00122E77" w:rsidP="00122E77">
      <w:pPr>
        <w:keepLines/>
        <w:tabs>
          <w:tab w:val="left" w:pos="5387"/>
          <w:tab w:val="left" w:pos="5954"/>
        </w:tabs>
        <w:ind w:left="4820"/>
        <w:rPr>
          <w:i/>
        </w:rPr>
      </w:pPr>
    </w:p>
    <w:p w:rsidR="00122E77" w:rsidRPr="00122E77" w:rsidRDefault="00122E77" w:rsidP="00122E77">
      <w:pPr>
        <w:keepLines/>
        <w:tabs>
          <w:tab w:val="left" w:pos="5387"/>
          <w:tab w:val="left" w:pos="5954"/>
        </w:tabs>
        <w:ind w:left="4820"/>
        <w:rPr>
          <w:i/>
          <w:spacing w:val="-4"/>
        </w:rPr>
      </w:pPr>
      <w:r w:rsidRPr="00122E77">
        <w:rPr>
          <w:i/>
          <w:spacing w:val="-4"/>
        </w:rPr>
        <w:tab/>
        <w:t>(a)</w:t>
      </w:r>
      <w:r w:rsidRPr="00122E77">
        <w:rPr>
          <w:i/>
          <w:spacing w:val="-4"/>
        </w:rPr>
        <w:tab/>
        <w:t xml:space="preserve">consider document </w:t>
      </w:r>
      <w:r w:rsidRPr="00122E77">
        <w:rPr>
          <w:i/>
          <w:spacing w:val="-2"/>
        </w:rPr>
        <w:t>TGP/15/3 </w:t>
      </w:r>
      <w:r w:rsidRPr="00122E77">
        <w:rPr>
          <w:i/>
          <w:spacing w:val="-4"/>
        </w:rPr>
        <w:t xml:space="preserve"> “Guidance on the use of Biochemical and Molecular Markers in the examination of Distinctness, Uniformity and Stability (DUS)”, on the basis of document TGP/15/3 Draft 1; and</w:t>
      </w:r>
    </w:p>
    <w:p w:rsidR="00122E77" w:rsidRPr="00122E77" w:rsidRDefault="00122E77" w:rsidP="00122E77"/>
    <w:p w:rsidR="00122E77" w:rsidRPr="00122E77" w:rsidRDefault="00122E77" w:rsidP="00122E77">
      <w:pPr>
        <w:keepLines/>
        <w:tabs>
          <w:tab w:val="left" w:pos="5387"/>
          <w:tab w:val="left" w:pos="5954"/>
        </w:tabs>
        <w:ind w:left="4820"/>
        <w:rPr>
          <w:i/>
        </w:rPr>
      </w:pPr>
      <w:r w:rsidRPr="00122E77">
        <w:rPr>
          <w:i/>
        </w:rPr>
        <w:tab/>
        <w:t>(b)</w:t>
      </w:r>
      <w:r w:rsidRPr="00122E77">
        <w:rPr>
          <w:i/>
        </w:rPr>
        <w:tab/>
        <w:t xml:space="preserve">note </w:t>
      </w:r>
      <w:r w:rsidRPr="00122E77">
        <w:rPr>
          <w:i/>
          <w:spacing w:val="-2"/>
        </w:rPr>
        <w:t>that, subject to agreement by the CAJ, an agreed draft</w:t>
      </w:r>
      <w:r w:rsidRPr="00122E77">
        <w:rPr>
          <w:rFonts w:eastAsia="MS Mincho"/>
          <w:i/>
          <w:spacing w:val="-2"/>
          <w:lang w:eastAsia="ja-JP"/>
        </w:rPr>
        <w:t xml:space="preserve"> of </w:t>
      </w:r>
      <w:r w:rsidRPr="00122E77">
        <w:rPr>
          <w:i/>
        </w:rPr>
        <w:t xml:space="preserve">document </w:t>
      </w:r>
      <w:r w:rsidRPr="00122E77">
        <w:rPr>
          <w:i/>
          <w:spacing w:val="-2"/>
        </w:rPr>
        <w:t>TGP/15/3 </w:t>
      </w:r>
      <w:r w:rsidRPr="00122E77">
        <w:rPr>
          <w:rFonts w:eastAsia="MS Mincho"/>
          <w:i/>
          <w:spacing w:val="-2"/>
          <w:lang w:eastAsia="ja-JP"/>
        </w:rPr>
        <w:t xml:space="preserve">will be presented for adoption by the Council in 2020. </w:t>
      </w:r>
    </w:p>
    <w:p w:rsidR="00122E77" w:rsidRPr="00122E77" w:rsidRDefault="00122E77" w:rsidP="00122E77">
      <w:pPr>
        <w:tabs>
          <w:tab w:val="left" w:pos="5387"/>
        </w:tabs>
        <w:rPr>
          <w:highlight w:val="yellow"/>
        </w:rPr>
      </w:pPr>
    </w:p>
    <w:p w:rsidR="00122E77" w:rsidRPr="00122E77" w:rsidRDefault="00122E77" w:rsidP="00122E77">
      <w:pPr>
        <w:tabs>
          <w:tab w:val="left" w:pos="5387"/>
        </w:tabs>
        <w:rPr>
          <w:highlight w:val="yellow"/>
        </w:rPr>
      </w:pPr>
    </w:p>
    <w:p w:rsidR="00122E77" w:rsidRPr="00122E77" w:rsidRDefault="00122E77" w:rsidP="00122E77">
      <w:pPr>
        <w:tabs>
          <w:tab w:val="left" w:pos="5387"/>
        </w:tabs>
        <w:rPr>
          <w:highlight w:val="yellow"/>
        </w:rPr>
      </w:pPr>
    </w:p>
    <w:p w:rsidR="00122E77" w:rsidRPr="00122E77" w:rsidRDefault="00122E77" w:rsidP="00122E77">
      <w:pPr>
        <w:keepNext/>
        <w:outlineLvl w:val="0"/>
        <w:rPr>
          <w:caps/>
        </w:rPr>
      </w:pPr>
      <w:bookmarkStart w:id="38" w:name="_Toc51935395"/>
      <w:r w:rsidRPr="00122E77">
        <w:rPr>
          <w:caps/>
        </w:rPr>
        <w:t>Other matters for consideration by the CAJ</w:t>
      </w:r>
      <w:bookmarkEnd w:id="38"/>
      <w:r w:rsidRPr="00122E77">
        <w:rPr>
          <w:caps/>
        </w:rPr>
        <w:t xml:space="preserve"> </w:t>
      </w:r>
    </w:p>
    <w:p w:rsidR="00122E77" w:rsidRPr="00122E77" w:rsidRDefault="00122E77" w:rsidP="00122E77">
      <w:pPr>
        <w:keepNext/>
      </w:pPr>
    </w:p>
    <w:p w:rsidR="00122E77" w:rsidRPr="00122E77" w:rsidRDefault="00122E77" w:rsidP="00122E77">
      <w:pPr>
        <w:keepNext/>
        <w:outlineLvl w:val="1"/>
        <w:rPr>
          <w:snapToGrid w:val="0"/>
          <w:u w:val="single"/>
        </w:rPr>
      </w:pPr>
      <w:bookmarkStart w:id="39" w:name="_Toc42523416"/>
      <w:bookmarkStart w:id="40" w:name="_Toc51935396"/>
      <w:r w:rsidRPr="00122E77">
        <w:rPr>
          <w:snapToGrid w:val="0"/>
          <w:u w:val="single"/>
        </w:rPr>
        <w:t>Document UPOV/INF/23:  Guide to the UPOV Code System (document UPOV/INF/23/1 Draft 1)</w:t>
      </w:r>
      <w:bookmarkEnd w:id="39"/>
      <w:bookmarkEnd w:id="40"/>
      <w:r w:rsidRPr="00122E77">
        <w:rPr>
          <w:snapToGrid w:val="0"/>
          <w:u w:val="single"/>
        </w:rPr>
        <w:t xml:space="preserve"> </w:t>
      </w:r>
    </w:p>
    <w:p w:rsidR="00122E77" w:rsidRPr="00122E77" w:rsidRDefault="00122E77" w:rsidP="00122E77">
      <w:pPr>
        <w:keepNext/>
        <w:jc w:val="left"/>
      </w:pPr>
    </w:p>
    <w:p w:rsidR="00122E77" w:rsidRPr="00122E77" w:rsidRDefault="00122E77" w:rsidP="00122E77">
      <w:pPr>
        <w:rPr>
          <w:rFonts w:cs="Arial"/>
          <w:snapToGrid w:val="0"/>
          <w:spacing w:val="2"/>
          <w:lang w:val="en-GB"/>
        </w:rPr>
      </w:pPr>
      <w:r w:rsidRPr="00122E77">
        <w:rPr>
          <w:spacing w:val="2"/>
          <w:lang w:val="en-GB"/>
        </w:rPr>
        <w:fldChar w:fldCharType="begin"/>
      </w:r>
      <w:r w:rsidRPr="00122E77">
        <w:rPr>
          <w:spacing w:val="2"/>
          <w:lang w:val="en-GB"/>
        </w:rPr>
        <w:instrText xml:space="preserve"> AUTONUM  </w:instrText>
      </w:r>
      <w:r w:rsidRPr="00122E77">
        <w:rPr>
          <w:spacing w:val="2"/>
          <w:lang w:val="en-GB"/>
        </w:rPr>
        <w:fldChar w:fldCharType="end"/>
      </w:r>
      <w:r w:rsidRPr="00122E77">
        <w:rPr>
          <w:spacing w:val="2"/>
          <w:lang w:val="en-GB"/>
        </w:rPr>
        <w:tab/>
      </w:r>
      <w:r w:rsidRPr="00122E77">
        <w:rPr>
          <w:rFonts w:cs="Arial"/>
          <w:snapToGrid w:val="0"/>
          <w:spacing w:val="2"/>
          <w:lang w:val="en-GB"/>
        </w:rPr>
        <w:t>The “Guide to the UPOV Code System”</w:t>
      </w:r>
      <w:r w:rsidRPr="00122E77">
        <w:rPr>
          <w:rFonts w:cs="Arial"/>
          <w:spacing w:val="2"/>
          <w:lang w:val="en-GB"/>
        </w:rPr>
        <w:t>, as amended by the TC, at its forty</w:t>
      </w:r>
      <w:r w:rsidRPr="00122E77">
        <w:rPr>
          <w:rFonts w:cs="Arial"/>
          <w:spacing w:val="2"/>
          <w:lang w:val="en-GB"/>
        </w:rPr>
        <w:noBreakHyphen/>
        <w:t>eighth session</w:t>
      </w:r>
      <w:r w:rsidRPr="00122E77">
        <w:rPr>
          <w:rFonts w:cs="Arial"/>
          <w:spacing w:val="2"/>
          <w:vertAlign w:val="superscript"/>
          <w:lang w:val="en-GB"/>
        </w:rPr>
        <w:footnoteReference w:id="7"/>
      </w:r>
      <w:r w:rsidRPr="00122E77">
        <w:rPr>
          <w:rFonts w:cs="Arial"/>
          <w:spacing w:val="2"/>
          <w:lang w:val="en-GB"/>
        </w:rPr>
        <w:t xml:space="preserve">, and the CAJ, at its </w:t>
      </w:r>
      <w:r w:rsidRPr="00122E77">
        <w:rPr>
          <w:rFonts w:cs="Arial"/>
          <w:bCs/>
          <w:snapToGrid w:val="0"/>
          <w:spacing w:val="2"/>
          <w:lang w:val="en-GB"/>
        </w:rPr>
        <w:t>sixty-fifth session</w:t>
      </w:r>
      <w:r w:rsidRPr="00122E77">
        <w:rPr>
          <w:rFonts w:cs="Arial"/>
          <w:bCs/>
          <w:snapToGrid w:val="0"/>
          <w:spacing w:val="2"/>
          <w:vertAlign w:val="superscript"/>
          <w:lang w:val="en-GB"/>
        </w:rPr>
        <w:footnoteReference w:id="8"/>
      </w:r>
      <w:r w:rsidRPr="00122E77">
        <w:rPr>
          <w:rFonts w:cs="Arial"/>
          <w:bCs/>
          <w:snapToGrid w:val="0"/>
          <w:spacing w:val="2"/>
          <w:lang w:val="en-GB"/>
        </w:rPr>
        <w:t xml:space="preserve">, </w:t>
      </w:r>
      <w:r w:rsidRPr="00122E77">
        <w:rPr>
          <w:rFonts w:cs="Arial"/>
          <w:snapToGrid w:val="0"/>
          <w:spacing w:val="2"/>
          <w:lang w:val="en-GB"/>
        </w:rPr>
        <w:t>is reproduced in Annex I to documents TC/49/6 and CAJ/67/6 and is available on the UPOV website</w:t>
      </w:r>
      <w:r w:rsidRPr="00122E77">
        <w:rPr>
          <w:rFonts w:cs="Arial"/>
          <w:spacing w:val="2"/>
          <w:lang w:val="en-GB"/>
        </w:rPr>
        <w:t xml:space="preserve"> (see </w:t>
      </w:r>
      <w:hyperlink r:id="rId10" w:history="1">
        <w:r w:rsidRPr="00122E77">
          <w:rPr>
            <w:color w:val="0000FF"/>
            <w:spacing w:val="2"/>
            <w:u w:val="single"/>
            <w:lang w:val="en-GB"/>
          </w:rPr>
          <w:t>https://www.upov.int/genie/resources/pdfs/upov_code_system_en.pdf</w:t>
        </w:r>
      </w:hyperlink>
      <w:r w:rsidRPr="00122E77">
        <w:rPr>
          <w:color w:val="0000FF"/>
          <w:spacing w:val="2"/>
          <w:u w:val="single"/>
          <w:lang w:val="en-GB"/>
        </w:rPr>
        <w:t>)</w:t>
      </w:r>
      <w:r w:rsidRPr="00122E77">
        <w:rPr>
          <w:rFonts w:cs="Arial"/>
          <w:snapToGrid w:val="0"/>
          <w:spacing w:val="2"/>
          <w:lang w:val="en-GB"/>
        </w:rPr>
        <w:t>.</w:t>
      </w:r>
    </w:p>
    <w:p w:rsidR="00122E77" w:rsidRPr="00122E77" w:rsidRDefault="00122E77" w:rsidP="00122E77">
      <w:pPr>
        <w:rPr>
          <w:rFonts w:cs="Arial"/>
          <w:snapToGrid w:val="0"/>
          <w:spacing w:val="-2"/>
          <w:lang w:val="en-GB"/>
        </w:rPr>
      </w:pPr>
    </w:p>
    <w:p w:rsidR="00122E77" w:rsidRPr="00122E77" w:rsidRDefault="00122E77" w:rsidP="00122E77">
      <w:pPr>
        <w:rPr>
          <w:i/>
        </w:rPr>
      </w:pPr>
      <w:r w:rsidRPr="00122E77">
        <w:rPr>
          <w:spacing w:val="2"/>
          <w:lang w:val="en-GB"/>
        </w:rPr>
        <w:fldChar w:fldCharType="begin"/>
      </w:r>
      <w:r w:rsidRPr="00122E77">
        <w:rPr>
          <w:spacing w:val="2"/>
          <w:lang w:val="en-GB"/>
        </w:rPr>
        <w:instrText xml:space="preserve"> AUTONUM  </w:instrText>
      </w:r>
      <w:r w:rsidRPr="00122E77">
        <w:rPr>
          <w:spacing w:val="2"/>
          <w:lang w:val="en-GB"/>
        </w:rPr>
        <w:fldChar w:fldCharType="end"/>
      </w:r>
      <w:r w:rsidRPr="00122E77">
        <w:rPr>
          <w:spacing w:val="2"/>
          <w:lang w:val="en-GB"/>
        </w:rPr>
        <w:tab/>
      </w:r>
      <w:r w:rsidRPr="00122E77">
        <w:t>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t xml:space="preserve">, considered the proposed amendments to the “Guide to the UPOV Code System” to reflect the creation of exceptions for the UPOV Codes for popcorn, sweet corn and </w:t>
      </w:r>
      <w:r w:rsidRPr="00122E77">
        <w:rPr>
          <w:i/>
        </w:rPr>
        <w:t>Brassica </w:t>
      </w:r>
      <w:proofErr w:type="spellStart"/>
      <w:r w:rsidRPr="00122E77">
        <w:rPr>
          <w:i/>
        </w:rPr>
        <w:t>oleracea</w:t>
      </w:r>
      <w:proofErr w:type="spellEnd"/>
      <w:r w:rsidRPr="00122E77">
        <w:t xml:space="preserve">.  The TC recalled that the main purpose of the UPOV Code System was to overcome the problem of synonyms for plant taxa and should be based on taxonomic criteria, also bearing in mind that the UPOV Code System was used by other international organizations, such as ISTA.  The TC agreed that the exceptions proposed to the “Guide to the UPOV Code System” diverged from the Germplasm Resources Information Network (GRIN).  The TC agreed that UPOV Codes should continue following GRIN taxonomy as far as possible. </w:t>
      </w:r>
    </w:p>
    <w:p w:rsidR="00122E77" w:rsidRPr="00122E77" w:rsidRDefault="00122E77" w:rsidP="00122E77"/>
    <w:p w:rsidR="00122E77" w:rsidRPr="00122E77" w:rsidRDefault="00122E77" w:rsidP="00122E77">
      <w:pPr>
        <w:keepNext/>
        <w:keepLines/>
        <w:spacing w:after="240"/>
        <w:rPr>
          <w:i/>
        </w:rPr>
      </w:pPr>
      <w:r w:rsidRPr="00122E77">
        <w:rPr>
          <w:spacing w:val="2"/>
          <w:lang w:val="en-GB"/>
        </w:rPr>
        <w:lastRenderedPageBreak/>
        <w:fldChar w:fldCharType="begin"/>
      </w:r>
      <w:r w:rsidRPr="00122E77">
        <w:rPr>
          <w:spacing w:val="2"/>
          <w:lang w:val="en-GB"/>
        </w:rPr>
        <w:instrText xml:space="preserve"> AUTONUM  </w:instrText>
      </w:r>
      <w:r w:rsidRPr="00122E77">
        <w:rPr>
          <w:spacing w:val="2"/>
          <w:lang w:val="en-GB"/>
        </w:rPr>
        <w:fldChar w:fldCharType="end"/>
      </w:r>
      <w:r w:rsidRPr="00122E77">
        <w:rPr>
          <w:spacing w:val="2"/>
          <w:lang w:val="en-GB"/>
        </w:rPr>
        <w:tab/>
      </w:r>
      <w:r w:rsidRPr="00122E77">
        <w:t xml:space="preserve">The TC agreed to postpone the amendment to the “Guide to the UPOV Code System” and to explore alternative solutions to enable UPOV Codes to provide useful information on variety groups or types for DUS testing purposes.  The TC agreed to invite the Office of the Union to prepare a document with proposals, for consideration at its fifty-sixth session (document TC/55/25 “Report”, paragraphs 208 to 210). </w:t>
      </w:r>
    </w:p>
    <w:p w:rsidR="00122E77" w:rsidRPr="00122E77" w:rsidRDefault="00122E77" w:rsidP="00122E77">
      <w:pPr>
        <w:autoSpaceDE w:val="0"/>
        <w:autoSpaceDN w:val="0"/>
        <w:adjustRightInd w:val="0"/>
        <w:rPr>
          <w:rFonts w:cs="Arial"/>
          <w:color w:val="000000"/>
        </w:rPr>
      </w:pPr>
      <w:r w:rsidRPr="00122E77">
        <w:rPr>
          <w:rFonts w:cs="Arial"/>
          <w:color w:val="000000"/>
        </w:rPr>
        <w:fldChar w:fldCharType="begin"/>
      </w:r>
      <w:r w:rsidRPr="00122E77">
        <w:rPr>
          <w:rFonts w:cs="Arial"/>
          <w:color w:val="000000"/>
        </w:rPr>
        <w:instrText xml:space="preserve"> AUTONUM  </w:instrText>
      </w:r>
      <w:r w:rsidRPr="00122E77">
        <w:rPr>
          <w:rFonts w:cs="Arial"/>
          <w:color w:val="000000"/>
        </w:rPr>
        <w:fldChar w:fldCharType="end"/>
      </w:r>
      <w:r w:rsidRPr="00122E77">
        <w:rPr>
          <w:rFonts w:cs="Arial"/>
          <w:color w:val="000000"/>
        </w:rPr>
        <w:tab/>
        <w:t xml:space="preserve">The Consultative Committee, at its ninety-sixth session, held in Geneva on October 31, 2019, noted that, at the appropriate time, the Council would be invited to adopt the “Program for improvements to the PLUTO database” and the “Guide to the UPOV Code System”, which would be made accessible via the UPOV Collection UPOV/INF document series (document </w:t>
      </w:r>
      <w:r w:rsidRPr="00122E77">
        <w:rPr>
          <w:rFonts w:cstheme="minorBidi"/>
          <w:color w:val="000000"/>
          <w:szCs w:val="24"/>
        </w:rPr>
        <w:t>CC/96/14, “Report”, paragraph 85)</w:t>
      </w:r>
      <w:r w:rsidRPr="00122E77">
        <w:rPr>
          <w:rFonts w:cs="Arial"/>
          <w:color w:val="000000"/>
        </w:rPr>
        <w:t xml:space="preserve">. </w:t>
      </w:r>
    </w:p>
    <w:p w:rsidR="00122E77" w:rsidRPr="00122E77" w:rsidRDefault="00122E77" w:rsidP="00122E77">
      <w:pPr>
        <w:rPr>
          <w:rFonts w:cs="Arial"/>
          <w:snapToGrid w:val="0"/>
          <w:spacing w:val="-2"/>
          <w:lang w:val="en-GB"/>
        </w:rPr>
      </w:pPr>
    </w:p>
    <w:p w:rsidR="00122E77" w:rsidRPr="00122E77" w:rsidRDefault="00122E77" w:rsidP="00122E77">
      <w:pPr>
        <w:rPr>
          <w:lang w:eastAsia="ja-JP"/>
        </w:rPr>
      </w:pPr>
      <w:r w:rsidRPr="00122E77">
        <w:rPr>
          <w:lang w:eastAsia="ja-JP"/>
        </w:rPr>
        <w:fldChar w:fldCharType="begin"/>
      </w:r>
      <w:r w:rsidRPr="00122E77">
        <w:rPr>
          <w:lang w:eastAsia="ja-JP"/>
        </w:rPr>
        <w:instrText xml:space="preserve"> AUTONUM  </w:instrText>
      </w:r>
      <w:r w:rsidRPr="00122E77">
        <w:rPr>
          <w:lang w:eastAsia="ja-JP"/>
        </w:rPr>
        <w:fldChar w:fldCharType="end"/>
      </w:r>
      <w:r w:rsidRPr="00122E77">
        <w:rPr>
          <w:lang w:eastAsia="ja-JP"/>
        </w:rPr>
        <w:tab/>
        <w:t>The CAJ will be invited to consider document UPOV/INF/</w:t>
      </w:r>
      <w:r w:rsidRPr="00122E77">
        <w:rPr>
          <w:rFonts w:hint="eastAsia"/>
          <w:lang w:eastAsia="ja-JP"/>
        </w:rPr>
        <w:t>2</w:t>
      </w:r>
      <w:r w:rsidRPr="00122E77">
        <w:rPr>
          <w:lang w:eastAsia="ja-JP"/>
        </w:rPr>
        <w:t>3/1, on the basis of document UPOV/INF/</w:t>
      </w:r>
      <w:r w:rsidRPr="00122E77">
        <w:rPr>
          <w:rFonts w:hint="eastAsia"/>
          <w:lang w:eastAsia="ja-JP"/>
        </w:rPr>
        <w:t>23</w:t>
      </w:r>
      <w:r w:rsidRPr="00122E77">
        <w:rPr>
          <w:lang w:eastAsia="ja-JP"/>
        </w:rPr>
        <w:t xml:space="preserve">/1 Draft 1 </w:t>
      </w:r>
      <w:r w:rsidRPr="00122E77">
        <w:rPr>
          <w:snapToGrid w:val="0"/>
          <w:lang w:eastAsia="ja-JP"/>
        </w:rPr>
        <w:t>“Guide to the UPOV Code System”</w:t>
      </w:r>
      <w:r w:rsidRPr="00122E77">
        <w:rPr>
          <w:lang w:eastAsia="ja-JP"/>
        </w:rPr>
        <w:t xml:space="preserve">. </w:t>
      </w:r>
    </w:p>
    <w:p w:rsidR="00122E77" w:rsidRPr="00122E77" w:rsidRDefault="00122E77" w:rsidP="00122E77">
      <w:pPr>
        <w:rPr>
          <w:lang w:eastAsia="ja-JP"/>
        </w:rPr>
      </w:pPr>
    </w:p>
    <w:p w:rsidR="00122E77" w:rsidRPr="00122E77" w:rsidRDefault="00122E77" w:rsidP="00122E77">
      <w:pPr>
        <w:rPr>
          <w:lang w:eastAsia="ja-JP"/>
        </w:rPr>
      </w:pPr>
      <w:r w:rsidRPr="00122E77">
        <w:rPr>
          <w:lang w:eastAsia="ja-JP"/>
        </w:rPr>
        <w:fldChar w:fldCharType="begin"/>
      </w:r>
      <w:r w:rsidRPr="00122E77">
        <w:rPr>
          <w:lang w:eastAsia="ja-JP"/>
        </w:rPr>
        <w:instrText xml:space="preserve"> AUTONUM  </w:instrText>
      </w:r>
      <w:r w:rsidRPr="00122E77">
        <w:rPr>
          <w:lang w:eastAsia="ja-JP"/>
        </w:rPr>
        <w:fldChar w:fldCharType="end"/>
      </w:r>
      <w:r w:rsidRPr="00122E77">
        <w:rPr>
          <w:lang w:eastAsia="ja-JP"/>
        </w:rPr>
        <w:tab/>
        <w:t>The CAJ, s</w:t>
      </w:r>
      <w:r w:rsidRPr="00122E77">
        <w:t xml:space="preserve">ubject to its conclusions at its session in 2020, may invite the TC in 2021 </w:t>
      </w:r>
      <w:r w:rsidRPr="00122E77">
        <w:rPr>
          <w:lang w:eastAsia="ja-JP"/>
        </w:rPr>
        <w:t>to consider a new draft of document UPOV/INF/</w:t>
      </w:r>
      <w:r w:rsidRPr="00122E77">
        <w:rPr>
          <w:rFonts w:hint="eastAsia"/>
          <w:lang w:eastAsia="ja-JP"/>
        </w:rPr>
        <w:t>2</w:t>
      </w:r>
      <w:r w:rsidRPr="00122E77">
        <w:rPr>
          <w:lang w:eastAsia="ja-JP"/>
        </w:rPr>
        <w:t xml:space="preserve">3/1. </w:t>
      </w:r>
    </w:p>
    <w:p w:rsidR="00122E77" w:rsidRPr="00122E77" w:rsidRDefault="00122E77" w:rsidP="00122E77">
      <w:pPr>
        <w:rPr>
          <w:rFonts w:cs="Arial"/>
          <w:snapToGrid w:val="0"/>
          <w:spacing w:val="-2"/>
          <w:lang w:val="en-GB"/>
        </w:rPr>
      </w:pPr>
    </w:p>
    <w:p w:rsidR="00122E77" w:rsidRPr="00122E77" w:rsidRDefault="00122E77" w:rsidP="00122E77">
      <w:pPr>
        <w:keepNext/>
        <w:tabs>
          <w:tab w:val="left" w:pos="5387"/>
          <w:tab w:val="left" w:pos="5954"/>
        </w:tabs>
        <w:ind w:left="4820"/>
        <w:rPr>
          <w:rFonts w:eastAsia="MS Mincho"/>
          <w:i/>
        </w:rPr>
      </w:pPr>
      <w:r w:rsidRPr="00122E77">
        <w:rPr>
          <w:rFonts w:eastAsia="MS Mincho"/>
          <w:i/>
        </w:rPr>
        <w:fldChar w:fldCharType="begin"/>
      </w:r>
      <w:r w:rsidRPr="00122E77">
        <w:rPr>
          <w:rFonts w:eastAsia="MS Mincho"/>
          <w:i/>
        </w:rPr>
        <w:instrText xml:space="preserve"> AUTONUM  </w:instrText>
      </w:r>
      <w:r w:rsidRPr="00122E77">
        <w:rPr>
          <w:rFonts w:eastAsia="MS Mincho"/>
          <w:i/>
        </w:rPr>
        <w:fldChar w:fldCharType="end"/>
      </w:r>
      <w:r w:rsidRPr="00122E77">
        <w:rPr>
          <w:rFonts w:eastAsia="MS Mincho"/>
          <w:i/>
        </w:rPr>
        <w:tab/>
        <w:t>The CAJ is invited to:</w:t>
      </w:r>
    </w:p>
    <w:p w:rsidR="00122E77" w:rsidRPr="00122E77" w:rsidRDefault="00122E77" w:rsidP="00122E77">
      <w:pPr>
        <w:keepNext/>
        <w:tabs>
          <w:tab w:val="left" w:pos="5387"/>
          <w:tab w:val="left" w:pos="5954"/>
        </w:tabs>
        <w:ind w:left="4820"/>
        <w:rPr>
          <w:rFonts w:eastAsia="MS Mincho"/>
          <w:i/>
        </w:rPr>
      </w:pPr>
    </w:p>
    <w:p w:rsidR="00122E77" w:rsidRPr="00122E77" w:rsidRDefault="00122E77" w:rsidP="00122E77">
      <w:pPr>
        <w:keepNext/>
        <w:tabs>
          <w:tab w:val="left" w:pos="5387"/>
          <w:tab w:val="left" w:pos="5954"/>
        </w:tabs>
        <w:ind w:left="4820"/>
        <w:rPr>
          <w:rFonts w:eastAsia="MS Mincho"/>
          <w:i/>
          <w:snapToGrid w:val="0"/>
          <w:lang w:eastAsia="ja-JP"/>
        </w:rPr>
      </w:pPr>
      <w:r w:rsidRPr="00122E77">
        <w:rPr>
          <w:i/>
          <w:snapToGrid w:val="0"/>
          <w:lang w:eastAsia="ja-JP"/>
        </w:rPr>
        <w:tab/>
        <w:t>(a)</w:t>
      </w:r>
      <w:r w:rsidRPr="00122E77">
        <w:rPr>
          <w:i/>
          <w:snapToGrid w:val="0"/>
          <w:lang w:eastAsia="ja-JP"/>
        </w:rPr>
        <w:tab/>
        <w:t>consider the “Guide to the UPOV Code System”, on the basis of document UPOV/INF/23/1 Draft 1;  and</w:t>
      </w:r>
    </w:p>
    <w:p w:rsidR="00122E77" w:rsidRPr="00122E77" w:rsidRDefault="00122E77" w:rsidP="00122E77">
      <w:pPr>
        <w:keepNext/>
        <w:tabs>
          <w:tab w:val="left" w:pos="4962"/>
          <w:tab w:val="left" w:pos="5670"/>
        </w:tabs>
        <w:ind w:left="4820"/>
        <w:rPr>
          <w:rFonts w:eastAsia="MS Mincho"/>
          <w:i/>
          <w:snapToGrid w:val="0"/>
          <w:lang w:eastAsia="ja-JP"/>
        </w:rPr>
      </w:pPr>
    </w:p>
    <w:p w:rsidR="00122E77" w:rsidRPr="00122E77" w:rsidRDefault="00122E77" w:rsidP="00122E77">
      <w:pPr>
        <w:keepNext/>
        <w:tabs>
          <w:tab w:val="left" w:pos="5387"/>
          <w:tab w:val="left" w:pos="5954"/>
        </w:tabs>
        <w:ind w:left="4820"/>
        <w:rPr>
          <w:rFonts w:eastAsia="MS Mincho"/>
          <w:i/>
          <w:snapToGrid w:val="0"/>
          <w:lang w:eastAsia="ja-JP"/>
        </w:rPr>
      </w:pPr>
      <w:r w:rsidRPr="00122E77">
        <w:rPr>
          <w:rFonts w:eastAsia="MS Mincho"/>
          <w:i/>
          <w:snapToGrid w:val="0"/>
          <w:lang w:eastAsia="ja-JP"/>
        </w:rPr>
        <w:tab/>
        <w:t>(b)</w:t>
      </w:r>
      <w:r w:rsidRPr="00122E77">
        <w:rPr>
          <w:rFonts w:eastAsia="MS Mincho"/>
          <w:i/>
          <w:snapToGrid w:val="0"/>
          <w:lang w:eastAsia="ja-JP"/>
        </w:rPr>
        <w:tab/>
        <w:t>propose that</w:t>
      </w:r>
      <w:r w:rsidRPr="00122E77">
        <w:rPr>
          <w:i/>
        </w:rPr>
        <w:t xml:space="preserve"> the TC </w:t>
      </w:r>
      <w:r w:rsidRPr="00122E77">
        <w:rPr>
          <w:i/>
          <w:lang w:eastAsia="ja-JP"/>
        </w:rPr>
        <w:t xml:space="preserve">consider a new draft of </w:t>
      </w:r>
      <w:r w:rsidRPr="00122E77">
        <w:rPr>
          <w:rFonts w:eastAsia="MS Mincho"/>
          <w:i/>
          <w:snapToGrid w:val="0"/>
          <w:lang w:eastAsia="ja-JP"/>
        </w:rPr>
        <w:t xml:space="preserve">document UPOV/INF/23/1 “Guide to the UPOV Code System” </w:t>
      </w:r>
      <w:r w:rsidRPr="00122E77">
        <w:rPr>
          <w:i/>
        </w:rPr>
        <w:t>in 2021</w:t>
      </w:r>
      <w:r w:rsidRPr="00122E77">
        <w:rPr>
          <w:rFonts w:eastAsia="MS Mincho"/>
          <w:i/>
          <w:snapToGrid w:val="0"/>
          <w:lang w:eastAsia="ja-JP"/>
        </w:rPr>
        <w:t xml:space="preserve">. </w:t>
      </w:r>
    </w:p>
    <w:p w:rsidR="00122E77" w:rsidRPr="00122E77" w:rsidRDefault="00122E77" w:rsidP="00122E77"/>
    <w:p w:rsidR="00122E77" w:rsidRPr="00122E77" w:rsidRDefault="00122E77" w:rsidP="00122E77"/>
    <w:p w:rsidR="00122E77" w:rsidRPr="00122E77" w:rsidRDefault="00122E77" w:rsidP="00122E77">
      <w:pPr>
        <w:keepNext/>
        <w:outlineLvl w:val="1"/>
        <w:rPr>
          <w:snapToGrid w:val="0"/>
          <w:u w:val="single"/>
        </w:rPr>
      </w:pPr>
      <w:bookmarkStart w:id="41" w:name="_Toc42523425"/>
      <w:bookmarkStart w:id="42" w:name="_Toc51935397"/>
      <w:r w:rsidRPr="00122E77">
        <w:rPr>
          <w:snapToGrid w:val="0"/>
          <w:u w:val="single"/>
        </w:rPr>
        <w:t>Reference to UPOV PRISMA in UPOV guidance and information materials</w:t>
      </w:r>
      <w:bookmarkEnd w:id="41"/>
      <w:bookmarkEnd w:id="42"/>
    </w:p>
    <w:p w:rsidR="00122E77" w:rsidRPr="00122E77" w:rsidRDefault="00122E77" w:rsidP="00122E77"/>
    <w:p w:rsidR="00122E77" w:rsidRPr="00122E77" w:rsidRDefault="00122E77" w:rsidP="00122E77">
      <w:pPr>
        <w:keepLines/>
        <w:rPr>
          <w:spacing w:val="-2"/>
        </w:rPr>
      </w:pPr>
      <w:r w:rsidRPr="00122E77">
        <w:rPr>
          <w:i/>
          <w:spacing w:val="-2"/>
        </w:rPr>
        <w:fldChar w:fldCharType="begin"/>
      </w:r>
      <w:r w:rsidRPr="00122E77">
        <w:rPr>
          <w:spacing w:val="-2"/>
        </w:rPr>
        <w:instrText xml:space="preserve"> AUTONUM  </w:instrText>
      </w:r>
      <w:r w:rsidRPr="00122E77">
        <w:rPr>
          <w:i/>
          <w:spacing w:val="-2"/>
        </w:rPr>
        <w:fldChar w:fldCharType="end"/>
      </w:r>
      <w:r w:rsidRPr="00122E77">
        <w:rPr>
          <w:spacing w:val="-2"/>
        </w:rPr>
        <w:tab/>
        <w:t>At its seventy-sixth session</w:t>
      </w:r>
      <w:r w:rsidRPr="00122E77">
        <w:rPr>
          <w:spacing w:val="-2"/>
          <w:vertAlign w:val="superscript"/>
        </w:rPr>
        <w:fldChar w:fldCharType="begin"/>
      </w:r>
      <w:r w:rsidRPr="00122E77">
        <w:rPr>
          <w:spacing w:val="-2"/>
          <w:vertAlign w:val="superscript"/>
        </w:rPr>
        <w:instrText xml:space="preserve"> NOTEREF _Ref42609563 \h  \* MERGEFORMAT </w:instrText>
      </w:r>
      <w:r w:rsidRPr="00122E77">
        <w:rPr>
          <w:spacing w:val="-2"/>
          <w:vertAlign w:val="superscript"/>
        </w:rPr>
      </w:r>
      <w:r w:rsidRPr="00122E77">
        <w:rPr>
          <w:spacing w:val="-2"/>
          <w:vertAlign w:val="superscript"/>
        </w:rPr>
        <w:fldChar w:fldCharType="separate"/>
      </w:r>
      <w:r w:rsidRPr="00122E77">
        <w:rPr>
          <w:spacing w:val="-2"/>
          <w:vertAlign w:val="superscript"/>
        </w:rPr>
        <w:t>3</w:t>
      </w:r>
      <w:r w:rsidRPr="00122E77">
        <w:rPr>
          <w:spacing w:val="-2"/>
          <w:vertAlign w:val="superscript"/>
        </w:rPr>
        <w:fldChar w:fldCharType="end"/>
      </w:r>
      <w:r w:rsidRPr="00122E77">
        <w:rPr>
          <w:spacing w:val="-2"/>
        </w:rPr>
        <w:t>, t</w:t>
      </w:r>
      <w:r w:rsidRPr="00122E77">
        <w:rPr>
          <w:rFonts w:eastAsiaTheme="minorEastAsia"/>
          <w:spacing w:val="-2"/>
        </w:rPr>
        <w:t xml:space="preserve">he CAJ agreed </w:t>
      </w:r>
      <w:r w:rsidRPr="00122E77">
        <w:rPr>
          <w:spacing w:val="-2"/>
        </w:rPr>
        <w:t>that the Office of the Union should identify UPOV information material where references to UPOV PRISMA would be relevant (e.g. document TGP/5 Section 2 “UPOV Model Form for the Application for Plant Breeders' Rights” and corresponding update of document UPOV/INF/6 “Guidance for the Preparation of Laws Based on the 1991 Act of the UPOV Convention”) and make proposals for revision accordingly (see document CAJ/76/9 “Report”, paragraph 56).</w:t>
      </w:r>
    </w:p>
    <w:p w:rsidR="00122E77" w:rsidRPr="00122E77" w:rsidRDefault="00122E77" w:rsidP="00122E77"/>
    <w:p w:rsidR="00122E77" w:rsidRPr="00122E77" w:rsidRDefault="00122E77" w:rsidP="00122E77">
      <w:pPr>
        <w:keepNext/>
        <w:keepLines/>
        <w:rPr>
          <w:spacing w:val="-2"/>
        </w:rPr>
      </w:pPr>
      <w:r w:rsidRPr="00122E77">
        <w:rPr>
          <w:i/>
          <w:spacing w:val="-2"/>
        </w:rPr>
        <w:fldChar w:fldCharType="begin"/>
      </w:r>
      <w:r w:rsidRPr="00122E77">
        <w:rPr>
          <w:spacing w:val="-2"/>
        </w:rPr>
        <w:instrText xml:space="preserve"> AUTONUM  </w:instrText>
      </w:r>
      <w:r w:rsidRPr="00122E77">
        <w:rPr>
          <w:i/>
          <w:spacing w:val="-2"/>
        </w:rPr>
        <w:fldChar w:fldCharType="end"/>
      </w:r>
      <w:r w:rsidRPr="00122E77">
        <w:rPr>
          <w:spacing w:val="-2"/>
        </w:rPr>
        <w:tab/>
        <w:t xml:space="preserve">In relation to document UPOV/INF/6 “Guidance for the Preparation of Laws Based on the 1991 Act of the UPOV Convention”, it is proposed to add a reference to UPOV PRISMA in the Notes of Article 10 “Filing of applications”.  The proposal is to use the wording recently adopted by the Council in 2019, for document UPOV/INF/5, Part II “Example of Plant Breeders’ Rights publication”, paragraph 11 and to add a new paragraph  as reproduced below (see new text </w:t>
      </w:r>
      <w:r w:rsidRPr="00122E77">
        <w:rPr>
          <w:spacing w:val="-2"/>
          <w:highlight w:val="lightGray"/>
        </w:rPr>
        <w:t>highlighted in grey</w:t>
      </w:r>
      <w:r w:rsidRPr="00122E77">
        <w:rPr>
          <w:spacing w:val="-2"/>
        </w:rPr>
        <w:t xml:space="preserve">): </w:t>
      </w:r>
    </w:p>
    <w:p w:rsidR="00122E77" w:rsidRPr="00122E77" w:rsidRDefault="00122E77" w:rsidP="00122E77">
      <w:pPr>
        <w:keepNext/>
        <w:rPr>
          <w:rFonts w:cs="Arial"/>
        </w:rPr>
      </w:pPr>
    </w:p>
    <w:p w:rsidR="00122E77" w:rsidRPr="00122E77" w:rsidRDefault="00122E77" w:rsidP="00122E77">
      <w:pPr>
        <w:keepNext/>
        <w:spacing w:after="360"/>
        <w:ind w:left="567" w:right="567"/>
        <w:jc w:val="center"/>
        <w:rPr>
          <w:rFonts w:cs="Arial"/>
          <w:caps/>
          <w:sz w:val="18"/>
        </w:rPr>
      </w:pPr>
      <w:bookmarkStart w:id="43" w:name="_Toc208994181"/>
      <w:bookmarkStart w:id="44" w:name="_Toc221094640"/>
      <w:bookmarkStart w:id="45" w:name="_Toc482107806"/>
      <w:bookmarkStart w:id="46" w:name="_Toc482107831"/>
      <w:bookmarkStart w:id="47" w:name="Note_article_"/>
      <w:bookmarkStart w:id="48" w:name="Note_article_10"/>
      <w:r w:rsidRPr="00122E77">
        <w:rPr>
          <w:rFonts w:cs="Arial"/>
          <w:caps/>
          <w:sz w:val="18"/>
        </w:rPr>
        <w:t>Notes on Article 10   Filing of Applications</w:t>
      </w:r>
      <w:bookmarkEnd w:id="43"/>
      <w:bookmarkEnd w:id="44"/>
      <w:bookmarkEnd w:id="45"/>
      <w:bookmarkEnd w:id="46"/>
    </w:p>
    <w:bookmarkEnd w:id="47"/>
    <w:bookmarkEnd w:id="48"/>
    <w:p w:rsidR="00122E77" w:rsidRPr="00122E77" w:rsidRDefault="00122E77" w:rsidP="00122E77">
      <w:pPr>
        <w:tabs>
          <w:tab w:val="left" w:pos="426"/>
          <w:tab w:val="left" w:pos="992"/>
        </w:tabs>
        <w:ind w:left="567" w:right="567"/>
        <w:rPr>
          <w:rFonts w:cs="Arial"/>
          <w:b/>
          <w:sz w:val="18"/>
        </w:rPr>
      </w:pPr>
      <w:r w:rsidRPr="00122E77">
        <w:rPr>
          <w:rFonts w:cs="Arial"/>
          <w:b/>
          <w:sz w:val="18"/>
        </w:rPr>
        <w:tab/>
        <w:t>(1)</w:t>
      </w:r>
      <w:r w:rsidRPr="00122E77">
        <w:rPr>
          <w:rFonts w:cs="Arial"/>
          <w:b/>
          <w:sz w:val="18"/>
        </w:rPr>
        <w:tab/>
        <w:t>[</w:t>
      </w:r>
      <w:r w:rsidRPr="00122E77">
        <w:rPr>
          <w:rFonts w:cs="Arial"/>
          <w:b/>
          <w:i/>
          <w:sz w:val="18"/>
        </w:rPr>
        <w:t>Place of first application</w:t>
      </w:r>
      <w:r w:rsidRPr="00122E77">
        <w:rPr>
          <w:rFonts w:cs="Arial"/>
          <w:b/>
          <w:sz w:val="18"/>
        </w:rPr>
        <w:t>]  The breeder may choose the Contracting Party with whose authority he wishes to file his first application for a breeder’s right.</w:t>
      </w:r>
    </w:p>
    <w:p w:rsidR="00122E77" w:rsidRPr="00122E77" w:rsidRDefault="00122E77" w:rsidP="00122E77">
      <w:pPr>
        <w:tabs>
          <w:tab w:val="left" w:pos="426"/>
          <w:tab w:val="left" w:pos="992"/>
        </w:tabs>
        <w:ind w:left="567" w:right="567"/>
        <w:rPr>
          <w:rFonts w:cs="Arial"/>
          <w:b/>
          <w:sz w:val="18"/>
        </w:rPr>
      </w:pPr>
    </w:p>
    <w:p w:rsidR="00122E77" w:rsidRPr="00122E77" w:rsidRDefault="00122E77" w:rsidP="00122E77">
      <w:pPr>
        <w:tabs>
          <w:tab w:val="left" w:pos="426"/>
          <w:tab w:val="left" w:pos="992"/>
        </w:tabs>
        <w:ind w:left="567" w:right="567"/>
        <w:rPr>
          <w:rFonts w:cs="Arial"/>
          <w:b/>
          <w:sz w:val="18"/>
        </w:rPr>
      </w:pPr>
      <w:r w:rsidRPr="00122E77">
        <w:rPr>
          <w:rFonts w:cs="Arial"/>
          <w:b/>
          <w:sz w:val="18"/>
        </w:rPr>
        <w:tab/>
        <w:t>(2)</w:t>
      </w:r>
      <w:r w:rsidRPr="00122E77">
        <w:rPr>
          <w:rFonts w:cs="Arial"/>
          <w:b/>
          <w:sz w:val="18"/>
        </w:rPr>
        <w:tab/>
        <w:t>[</w:t>
      </w:r>
      <w:r w:rsidRPr="00122E77">
        <w:rPr>
          <w:rFonts w:cs="Arial"/>
          <w:b/>
          <w:i/>
          <w:sz w:val="18"/>
        </w:rPr>
        <w:t>Time of subsequent applications</w:t>
      </w:r>
      <w:r w:rsidRPr="00122E77">
        <w:rPr>
          <w:rFonts w:cs="Arial"/>
          <w:b/>
          <w:sz w:val="18"/>
        </w:rPr>
        <w:t>]  The breeder may apply to the authorities of other Contracting Parties for the grant of breeders’ rights without waiting for the grant to him of a breeder’s right by the authority of the Contracting Party with which the first application was filed.</w:t>
      </w:r>
    </w:p>
    <w:p w:rsidR="00122E77" w:rsidRPr="00122E77" w:rsidRDefault="00122E77" w:rsidP="00122E77">
      <w:pPr>
        <w:tabs>
          <w:tab w:val="left" w:pos="426"/>
          <w:tab w:val="left" w:pos="992"/>
        </w:tabs>
        <w:ind w:left="567" w:right="567"/>
        <w:rPr>
          <w:rFonts w:cs="Arial"/>
          <w:b/>
          <w:sz w:val="18"/>
        </w:rPr>
      </w:pPr>
    </w:p>
    <w:p w:rsidR="00122E77" w:rsidRPr="00122E77" w:rsidRDefault="00122E77" w:rsidP="00122E77">
      <w:pPr>
        <w:tabs>
          <w:tab w:val="left" w:pos="426"/>
          <w:tab w:val="left" w:pos="992"/>
        </w:tabs>
        <w:ind w:left="567" w:right="567"/>
        <w:rPr>
          <w:rFonts w:cs="Arial"/>
          <w:b/>
          <w:sz w:val="18"/>
        </w:rPr>
      </w:pPr>
      <w:r w:rsidRPr="00122E77">
        <w:rPr>
          <w:rFonts w:cs="Arial"/>
          <w:b/>
          <w:sz w:val="18"/>
        </w:rPr>
        <w:tab/>
        <w:t>(3)</w:t>
      </w:r>
      <w:r w:rsidRPr="00122E77">
        <w:rPr>
          <w:rFonts w:cs="Arial"/>
          <w:b/>
          <w:sz w:val="18"/>
        </w:rPr>
        <w:tab/>
        <w:t>[</w:t>
      </w:r>
      <w:r w:rsidRPr="00122E77">
        <w:rPr>
          <w:rFonts w:cs="Arial"/>
          <w:b/>
          <w:i/>
          <w:sz w:val="18"/>
        </w:rPr>
        <w:t>Independence of protection</w:t>
      </w:r>
      <w:r w:rsidRPr="00122E77">
        <w:rPr>
          <w:rFonts w:cs="Arial"/>
          <w:b/>
          <w:sz w:val="18"/>
        </w:rPr>
        <w:t>]  No Contracting Party shall refuse to grant a breeder’s right or limit its duration on the ground that protection for the same variety has not been applied for, has been refused or has expired in any other State or intergovernmental organization.</w:t>
      </w:r>
    </w:p>
    <w:p w:rsidR="00122E77" w:rsidRPr="00122E77" w:rsidRDefault="00122E77" w:rsidP="00122E77">
      <w:pPr>
        <w:ind w:left="567" w:right="567"/>
        <w:rPr>
          <w:rFonts w:cs="Arial"/>
          <w:sz w:val="18"/>
        </w:rPr>
      </w:pPr>
    </w:p>
    <w:p w:rsidR="00122E77" w:rsidRPr="00122E77" w:rsidRDefault="00122E77" w:rsidP="00122E77">
      <w:pPr>
        <w:ind w:left="567" w:right="567"/>
        <w:rPr>
          <w:rFonts w:cs="Arial"/>
          <w:sz w:val="18"/>
        </w:rPr>
      </w:pPr>
      <w:r w:rsidRPr="00122E77">
        <w:rPr>
          <w:rFonts w:cs="Arial"/>
          <w:sz w:val="18"/>
        </w:rPr>
        <w:t>1.1</w:t>
      </w:r>
      <w:r w:rsidRPr="00122E77">
        <w:rPr>
          <w:rFonts w:cs="Arial"/>
          <w:sz w:val="18"/>
        </w:rPr>
        <w:tab/>
        <w:t>The UPOV Model Form for the Application for Plant Breeders’ Rights (document </w:t>
      </w:r>
      <w:hyperlink r:id="rId11" w:history="1">
        <w:r w:rsidRPr="00122E77">
          <w:rPr>
            <w:rFonts w:cs="Arial"/>
            <w:color w:val="0000FF"/>
            <w:sz w:val="18"/>
            <w:u w:val="single"/>
          </w:rPr>
          <w:t>TGP/5</w:t>
        </w:r>
      </w:hyperlink>
      <w:r w:rsidRPr="00122E77">
        <w:rPr>
          <w:rFonts w:cs="Arial"/>
          <w:sz w:val="18"/>
        </w:rPr>
        <w:t xml:space="preserve"> “Experience and Cooperation in DUS Testing” </w:t>
      </w:r>
      <w:hyperlink r:id="rId12" w:history="1">
        <w:r w:rsidRPr="00122E77">
          <w:rPr>
            <w:rFonts w:cs="Arial"/>
            <w:color w:val="0000FF"/>
            <w:sz w:val="18"/>
            <w:u w:val="single"/>
          </w:rPr>
          <w:t>Section 2</w:t>
        </w:r>
      </w:hyperlink>
      <w:r w:rsidRPr="00122E77">
        <w:rPr>
          <w:rFonts w:cs="Arial"/>
          <w:sz w:val="18"/>
        </w:rPr>
        <w:t>), provides guidance for the development of application forms for breeders’ rights.</w:t>
      </w:r>
    </w:p>
    <w:p w:rsidR="00122E77" w:rsidRPr="00122E77" w:rsidRDefault="00122E77" w:rsidP="00122E77">
      <w:pPr>
        <w:ind w:left="567" w:right="567"/>
        <w:rPr>
          <w:rFonts w:cs="Arial"/>
          <w:b/>
          <w:sz w:val="18"/>
        </w:rPr>
      </w:pPr>
    </w:p>
    <w:p w:rsidR="00122E77" w:rsidRPr="00122E77" w:rsidRDefault="00122E77" w:rsidP="00122E77">
      <w:pPr>
        <w:ind w:left="567" w:right="567"/>
        <w:rPr>
          <w:rFonts w:cs="Arial"/>
          <w:sz w:val="18"/>
        </w:rPr>
      </w:pPr>
      <w:r w:rsidRPr="00122E77">
        <w:rPr>
          <w:rFonts w:cs="Arial"/>
          <w:sz w:val="18"/>
        </w:rPr>
        <w:t>1.2</w:t>
      </w:r>
      <w:r w:rsidRPr="00122E77">
        <w:rPr>
          <w:rFonts w:cs="Arial"/>
          <w:sz w:val="18"/>
        </w:rPr>
        <w:tab/>
        <w:t xml:space="preserve">For the UPOV Technical Questionnaire to be Completed in Connection with an Application for Plant Breeders’ Rights see document </w:t>
      </w:r>
      <w:hyperlink r:id="rId13" w:history="1">
        <w:r w:rsidRPr="00122E77">
          <w:rPr>
            <w:rFonts w:cs="Arial"/>
            <w:color w:val="0000FF"/>
            <w:sz w:val="18"/>
            <w:u w:val="single"/>
          </w:rPr>
          <w:t>TGP/5</w:t>
        </w:r>
      </w:hyperlink>
      <w:r w:rsidRPr="00122E77">
        <w:rPr>
          <w:rFonts w:cs="Arial"/>
          <w:sz w:val="18"/>
        </w:rPr>
        <w:t xml:space="preserve"> “Experience and Cooperation in DUS Testing” </w:t>
      </w:r>
      <w:hyperlink r:id="rId14" w:history="1">
        <w:r w:rsidRPr="00122E77">
          <w:rPr>
            <w:rFonts w:cs="Arial"/>
            <w:color w:val="0000FF"/>
            <w:sz w:val="18"/>
            <w:u w:val="single"/>
          </w:rPr>
          <w:t>Section 3</w:t>
        </w:r>
      </w:hyperlink>
      <w:r w:rsidRPr="00122E77">
        <w:rPr>
          <w:rFonts w:cs="Arial"/>
          <w:sz w:val="18"/>
        </w:rPr>
        <w:t>.</w:t>
      </w:r>
    </w:p>
    <w:p w:rsidR="00122E77" w:rsidRPr="00122E77" w:rsidRDefault="00122E77" w:rsidP="00122E77">
      <w:pPr>
        <w:spacing w:before="240"/>
        <w:ind w:left="567" w:right="567"/>
        <w:rPr>
          <w:rFonts w:cs="Arial"/>
          <w:sz w:val="18"/>
        </w:rPr>
      </w:pPr>
      <w:r w:rsidRPr="00122E77">
        <w:rPr>
          <w:rFonts w:cs="Arial"/>
          <w:sz w:val="18"/>
          <w:highlight w:val="lightGray"/>
        </w:rPr>
        <w:t>1.3</w:t>
      </w:r>
      <w:r w:rsidRPr="00122E77">
        <w:rPr>
          <w:rFonts w:cs="Arial"/>
          <w:sz w:val="18"/>
          <w:highlight w:val="lightGray"/>
        </w:rPr>
        <w:tab/>
        <w:t xml:space="preserve">To facilitate the filing of applications, UPOV has developed the UPOV PRISMA PBR application tool which enables applicants to transmit their application data to participating members of the Union via the UPOV website (available at </w:t>
      </w:r>
      <w:hyperlink r:id="rId15" w:history="1">
        <w:r w:rsidRPr="00122E77">
          <w:rPr>
            <w:rFonts w:cs="Arial"/>
            <w:color w:val="0000FF"/>
            <w:sz w:val="18"/>
            <w:highlight w:val="lightGray"/>
            <w:u w:val="single"/>
          </w:rPr>
          <w:t>http://www.upov.int/upovprisma</w:t>
        </w:r>
      </w:hyperlink>
      <w:r w:rsidRPr="00122E77">
        <w:rPr>
          <w:rFonts w:cs="Arial"/>
          <w:sz w:val="18"/>
          <w:highlight w:val="lightGray"/>
        </w:rPr>
        <w:t>).</w:t>
      </w:r>
      <w:r w:rsidRPr="00122E77">
        <w:rPr>
          <w:rFonts w:cs="Arial"/>
          <w:sz w:val="18"/>
        </w:rPr>
        <w:t xml:space="preserve">  </w:t>
      </w:r>
    </w:p>
    <w:p w:rsidR="00122E77" w:rsidRPr="00122E77" w:rsidRDefault="00122E77" w:rsidP="00122E77">
      <w:pPr>
        <w:rPr>
          <w:rFonts w:cs="Arial"/>
        </w:rPr>
      </w:pPr>
    </w:p>
    <w:p w:rsidR="00122E77" w:rsidRPr="00122E77" w:rsidRDefault="00122E77" w:rsidP="00122E77">
      <w:pPr>
        <w:keepNext/>
        <w:keepLines/>
        <w:rPr>
          <w:spacing w:val="-2"/>
        </w:rPr>
      </w:pPr>
      <w:r w:rsidRPr="00122E77">
        <w:rPr>
          <w:i/>
          <w:spacing w:val="-2"/>
        </w:rPr>
        <w:lastRenderedPageBreak/>
        <w:fldChar w:fldCharType="begin"/>
      </w:r>
      <w:r w:rsidRPr="00122E77">
        <w:rPr>
          <w:spacing w:val="-2"/>
        </w:rPr>
        <w:instrText xml:space="preserve"> AUTONUM  </w:instrText>
      </w:r>
      <w:r w:rsidRPr="00122E77">
        <w:rPr>
          <w:i/>
          <w:spacing w:val="-2"/>
        </w:rPr>
        <w:fldChar w:fldCharType="end"/>
      </w:r>
      <w:r w:rsidRPr="00122E77">
        <w:rPr>
          <w:spacing w:val="-2"/>
        </w:rPr>
        <w:tab/>
        <w:t xml:space="preserve">In relation to document TGP/5 Section 2 “UPOV Model Form for the Application for Plant Breeders' Rights”, it is proposed to add in Annex I “Instructions for converting the UPOV Model Form for the application for Plant Breeders’ Rights into an authority’s own form” under chapter (A) General Instructions, the following paragraph (see new text </w:t>
      </w:r>
      <w:r w:rsidRPr="00122E77">
        <w:rPr>
          <w:spacing w:val="-2"/>
          <w:highlight w:val="lightGray"/>
        </w:rPr>
        <w:t>highlighted in grey</w:t>
      </w:r>
      <w:r w:rsidRPr="00122E77">
        <w:rPr>
          <w:spacing w:val="-2"/>
        </w:rPr>
        <w:t>):</w:t>
      </w:r>
    </w:p>
    <w:p w:rsidR="00122E77" w:rsidRPr="00122E77" w:rsidRDefault="00122E77" w:rsidP="00122E77">
      <w:pPr>
        <w:keepNext/>
        <w:rPr>
          <w:spacing w:val="-2"/>
        </w:rPr>
      </w:pPr>
    </w:p>
    <w:p w:rsidR="00122E77" w:rsidRPr="00122E77" w:rsidRDefault="00122E77" w:rsidP="00122E77">
      <w:pPr>
        <w:keepNext/>
        <w:ind w:left="567" w:right="567"/>
        <w:rPr>
          <w:sz w:val="18"/>
        </w:rPr>
      </w:pPr>
      <w:r w:rsidRPr="00122E77">
        <w:rPr>
          <w:sz w:val="18"/>
        </w:rPr>
        <w:t>A.</w:t>
      </w:r>
      <w:r w:rsidRPr="00122E77">
        <w:rPr>
          <w:sz w:val="18"/>
        </w:rPr>
        <w:tab/>
      </w:r>
      <w:r w:rsidRPr="00122E77">
        <w:rPr>
          <w:sz w:val="18"/>
          <w:u w:val="single"/>
        </w:rPr>
        <w:t>General Instructions</w:t>
      </w:r>
    </w:p>
    <w:p w:rsidR="00122E77" w:rsidRPr="00122E77" w:rsidRDefault="00122E77" w:rsidP="00122E77">
      <w:pPr>
        <w:keepNext/>
        <w:ind w:left="567" w:right="567"/>
        <w:rPr>
          <w:sz w:val="18"/>
        </w:rPr>
      </w:pPr>
    </w:p>
    <w:p w:rsidR="00122E77" w:rsidRPr="00122E77" w:rsidRDefault="00122E77" w:rsidP="00122E77">
      <w:pPr>
        <w:keepLines/>
        <w:ind w:left="567" w:right="567"/>
        <w:rPr>
          <w:sz w:val="18"/>
        </w:rPr>
      </w:pPr>
      <w:r w:rsidRPr="00122E77">
        <w:rPr>
          <w:sz w:val="18"/>
        </w:rPr>
        <w:t>0.1</w:t>
      </w:r>
      <w:r w:rsidRPr="00122E77">
        <w:rPr>
          <w:sz w:val="18"/>
        </w:rPr>
        <w:tab/>
        <w:t>When converting the UPOV Model Form into an Authority’s own form and when drafting explanations for completing that form (“explanations”), the contents and the terminology of the applicable law have to be taken into particular account.  Subsequently, reference is made to some particularities.  To ensure that the Model Form fulfills its function, it is important that the general structure, the contents and the numbering of the individual parts be maintained in the Authority’s own forms.</w:t>
      </w:r>
    </w:p>
    <w:p w:rsidR="00122E77" w:rsidRPr="00122E77" w:rsidRDefault="00122E77" w:rsidP="00122E77">
      <w:pPr>
        <w:ind w:left="567" w:right="567"/>
        <w:rPr>
          <w:sz w:val="18"/>
        </w:rPr>
      </w:pPr>
    </w:p>
    <w:p w:rsidR="00122E77" w:rsidRPr="00122E77" w:rsidRDefault="00122E77" w:rsidP="00122E77">
      <w:pPr>
        <w:ind w:left="567" w:right="567"/>
        <w:rPr>
          <w:sz w:val="18"/>
        </w:rPr>
      </w:pPr>
      <w:r w:rsidRPr="00122E77">
        <w:rPr>
          <w:sz w:val="18"/>
        </w:rPr>
        <w:t>0.2</w:t>
      </w:r>
      <w:r w:rsidRPr="00122E77">
        <w:rPr>
          <w:sz w:val="18"/>
        </w:rPr>
        <w:tab/>
        <w:t>The right-hand margin is reserved for official use;  it may also be used for references to instructions in the explanations.</w:t>
      </w:r>
    </w:p>
    <w:p w:rsidR="00122E77" w:rsidRPr="00122E77" w:rsidRDefault="00122E77" w:rsidP="00122E77">
      <w:pPr>
        <w:ind w:left="567" w:right="567"/>
        <w:rPr>
          <w:sz w:val="18"/>
        </w:rPr>
      </w:pPr>
    </w:p>
    <w:p w:rsidR="00122E77" w:rsidRPr="00122E77" w:rsidRDefault="00122E77" w:rsidP="00122E77">
      <w:pPr>
        <w:keepNext/>
        <w:ind w:left="567" w:right="567"/>
        <w:rPr>
          <w:sz w:val="18"/>
        </w:rPr>
      </w:pPr>
      <w:r w:rsidRPr="00122E77">
        <w:rPr>
          <w:sz w:val="18"/>
        </w:rPr>
        <w:t>0.3</w:t>
      </w:r>
      <w:r w:rsidRPr="00122E77">
        <w:rPr>
          <w:sz w:val="18"/>
        </w:rPr>
        <w:tab/>
        <w:t xml:space="preserve">In the explanations, instructions should be given on how dates are to be written and how members of the </w:t>
      </w:r>
      <w:smartTag w:uri="urn:schemas-microsoft-com:office:smarttags" w:element="place">
        <w:r w:rsidRPr="00122E77">
          <w:rPr>
            <w:sz w:val="18"/>
          </w:rPr>
          <w:t>Union</w:t>
        </w:r>
      </w:smartTag>
      <w:r w:rsidRPr="00122E77">
        <w:rPr>
          <w:sz w:val="18"/>
        </w:rPr>
        <w:t xml:space="preserve"> are to be referred to.  The following instructions are proposed:</w:t>
      </w:r>
    </w:p>
    <w:p w:rsidR="00122E77" w:rsidRPr="00122E77" w:rsidRDefault="00122E77" w:rsidP="00122E77">
      <w:pPr>
        <w:ind w:left="567" w:right="567"/>
        <w:rPr>
          <w:sz w:val="18"/>
        </w:rPr>
      </w:pPr>
    </w:p>
    <w:p w:rsidR="00122E77" w:rsidRPr="00122E77" w:rsidRDefault="00122E77" w:rsidP="00122E77">
      <w:pPr>
        <w:ind w:left="1134" w:right="567" w:hanging="567"/>
        <w:rPr>
          <w:sz w:val="18"/>
          <w:u w:val="single"/>
        </w:rPr>
      </w:pPr>
      <w:r w:rsidRPr="00122E77">
        <w:rPr>
          <w:sz w:val="18"/>
        </w:rPr>
        <w:t>-</w:t>
      </w:r>
      <w:r w:rsidRPr="00122E77">
        <w:rPr>
          <w:sz w:val="18"/>
        </w:rPr>
        <w:tab/>
        <w:t>“The format of dates should be specified and should include a requirement for the year to be provided in 4-digit format (e.g.:  2007);”</w:t>
      </w:r>
    </w:p>
    <w:p w:rsidR="00122E77" w:rsidRPr="00122E77" w:rsidRDefault="00122E77" w:rsidP="00122E77">
      <w:pPr>
        <w:ind w:left="1134" w:right="567" w:hanging="567"/>
        <w:rPr>
          <w:sz w:val="18"/>
        </w:rPr>
      </w:pPr>
    </w:p>
    <w:p w:rsidR="00122E77" w:rsidRPr="00122E77" w:rsidRDefault="00122E77" w:rsidP="00122E77">
      <w:pPr>
        <w:ind w:left="1134" w:right="567" w:hanging="567"/>
        <w:rPr>
          <w:sz w:val="18"/>
          <w:u w:val="single"/>
        </w:rPr>
      </w:pPr>
      <w:r w:rsidRPr="00122E77">
        <w:rPr>
          <w:sz w:val="18"/>
        </w:rPr>
        <w:t>-</w:t>
      </w:r>
      <w:r w:rsidRPr="00122E77">
        <w:rPr>
          <w:sz w:val="18"/>
        </w:rPr>
        <w:tab/>
        <w:t>“members of the Union are to be designated by the two-letter ISO codes applicable to States and Intergovernmental Organizations (e.g. AL (Albania), QZ (European Community (Community Plant Variety Office (CPVO)).”</w:t>
      </w:r>
    </w:p>
    <w:p w:rsidR="00122E77" w:rsidRPr="00122E77" w:rsidRDefault="00122E77" w:rsidP="00122E77">
      <w:pPr>
        <w:ind w:left="1134" w:right="567"/>
        <w:rPr>
          <w:sz w:val="18"/>
        </w:rPr>
      </w:pPr>
    </w:p>
    <w:p w:rsidR="00122E77" w:rsidRPr="00122E77" w:rsidRDefault="00122E77" w:rsidP="00122E77">
      <w:pPr>
        <w:keepNext/>
        <w:ind w:left="1134" w:right="567" w:hanging="567"/>
        <w:rPr>
          <w:snapToGrid w:val="0"/>
          <w:sz w:val="18"/>
        </w:rPr>
      </w:pPr>
      <w:r w:rsidRPr="00122E77">
        <w:rPr>
          <w:sz w:val="18"/>
        </w:rPr>
        <w:t>0.4</w:t>
      </w:r>
      <w:r w:rsidRPr="00122E77">
        <w:rPr>
          <w:sz w:val="18"/>
        </w:rPr>
        <w:tab/>
      </w:r>
      <w:r w:rsidRPr="00122E77">
        <w:rPr>
          <w:snapToGrid w:val="0"/>
          <w:sz w:val="18"/>
        </w:rPr>
        <w:t xml:space="preserve">A standard UPOV reference has been provided for each field in the UPOV Model Form.  For example, </w:t>
      </w:r>
    </w:p>
    <w:p w:rsidR="00122E77" w:rsidRPr="00122E77" w:rsidRDefault="00122E77" w:rsidP="00122E77">
      <w:pPr>
        <w:keepNext/>
        <w:ind w:left="567" w:right="567"/>
        <w:rPr>
          <w:snapToGrid w:val="0"/>
          <w:sz w:val="18"/>
        </w:rPr>
      </w:pPr>
    </w:p>
    <w:p w:rsidR="00122E77" w:rsidRPr="00122E77" w:rsidRDefault="00122E77" w:rsidP="00122E77">
      <w:pPr>
        <w:keepNext/>
        <w:ind w:left="567" w:right="567"/>
        <w:rPr>
          <w:snapToGrid w:val="0"/>
          <w:sz w:val="18"/>
        </w:rPr>
      </w:pPr>
      <w:r w:rsidRPr="00122E77">
        <w:rPr>
          <w:snapToGrid w:val="0"/>
          <w:sz w:val="18"/>
        </w:rPr>
        <w:tab/>
        <w:t xml:space="preserve">for item 1.(a) Applicant(s) Name(s), </w:t>
      </w:r>
    </w:p>
    <w:p w:rsidR="00122E77" w:rsidRPr="00122E77" w:rsidRDefault="00122E77" w:rsidP="00122E77">
      <w:pPr>
        <w:keepNext/>
        <w:ind w:left="567" w:right="567"/>
        <w:rPr>
          <w:snapToGrid w:val="0"/>
          <w:sz w:val="18"/>
        </w:rPr>
      </w:pPr>
    </w:p>
    <w:p w:rsidR="00122E77" w:rsidRPr="00122E77" w:rsidRDefault="00122E77" w:rsidP="00122E77">
      <w:pPr>
        <w:keepNext/>
        <w:ind w:left="567" w:right="567"/>
        <w:rPr>
          <w:snapToGrid w:val="0"/>
          <w:sz w:val="18"/>
        </w:rPr>
      </w:pPr>
      <w:r w:rsidRPr="00122E77">
        <w:rPr>
          <w:snapToGrid w:val="0"/>
          <w:sz w:val="18"/>
        </w:rPr>
        <w:tab/>
        <w:t>the standard UPOV reference is UPOV A1: 1(a)(i)</w:t>
      </w:r>
    </w:p>
    <w:p w:rsidR="00122E77" w:rsidRPr="00122E77" w:rsidRDefault="00122E77" w:rsidP="00122E77">
      <w:pPr>
        <w:ind w:left="567" w:right="567"/>
        <w:rPr>
          <w:snapToGrid w:val="0"/>
          <w:sz w:val="18"/>
        </w:rPr>
      </w:pPr>
    </w:p>
    <w:p w:rsidR="00122E77" w:rsidRPr="00122E77" w:rsidRDefault="00122E77" w:rsidP="00122E77">
      <w:pPr>
        <w:ind w:left="567" w:right="567"/>
        <w:rPr>
          <w:sz w:val="18"/>
        </w:rPr>
      </w:pPr>
      <w:r w:rsidRPr="00122E77">
        <w:rPr>
          <w:snapToGrid w:val="0"/>
          <w:sz w:val="18"/>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122E77" w:rsidRPr="00122E77" w:rsidRDefault="00122E77" w:rsidP="00122E77">
      <w:pPr>
        <w:ind w:right="567"/>
        <w:rPr>
          <w:spacing w:val="-2"/>
        </w:rPr>
      </w:pPr>
    </w:p>
    <w:p w:rsidR="00122E77" w:rsidRPr="00122E77" w:rsidRDefault="00122E77" w:rsidP="00122E77">
      <w:pPr>
        <w:keepLines/>
        <w:ind w:left="567" w:right="567"/>
        <w:rPr>
          <w:spacing w:val="-2"/>
          <w:sz w:val="18"/>
        </w:rPr>
      </w:pPr>
      <w:r w:rsidRPr="00122E77">
        <w:rPr>
          <w:spacing w:val="-2"/>
          <w:sz w:val="18"/>
          <w:highlight w:val="lightGray"/>
        </w:rPr>
        <w:t>0.5</w:t>
      </w:r>
      <w:r w:rsidRPr="00122E77">
        <w:rPr>
          <w:spacing w:val="-2"/>
          <w:sz w:val="18"/>
          <w:highlight w:val="lightGray"/>
        </w:rPr>
        <w:tab/>
        <w:t xml:space="preserve">To facilitate the filing of applications, UPOV has developed the UPOV PRISMA PBR application tool which enables applicants to transmit their application data to participating members of the Union via the UPOV website (available at </w:t>
      </w:r>
      <w:hyperlink r:id="rId16" w:history="1">
        <w:r w:rsidRPr="00122E77">
          <w:rPr>
            <w:color w:val="0000FF"/>
            <w:spacing w:val="-2"/>
            <w:sz w:val="18"/>
            <w:highlight w:val="lightGray"/>
            <w:u w:val="single"/>
          </w:rPr>
          <w:t>http://www.upov.int/upovprisma</w:t>
        </w:r>
      </w:hyperlink>
      <w:r w:rsidRPr="00122E77">
        <w:rPr>
          <w:spacing w:val="-2"/>
          <w:sz w:val="18"/>
          <w:highlight w:val="lightGray"/>
        </w:rPr>
        <w:t xml:space="preserve">). In order </w:t>
      </w:r>
      <w:r w:rsidRPr="00122E77">
        <w:rPr>
          <w:snapToGrid w:val="0"/>
          <w:sz w:val="18"/>
          <w:highlight w:val="lightGray"/>
        </w:rPr>
        <w:t>to facilitate harmonization, it is recommended that participating members of the Union in UPOV PRISMA use the UPOV Model Form.</w:t>
      </w:r>
    </w:p>
    <w:p w:rsidR="00122E77" w:rsidRPr="00122E77" w:rsidRDefault="00122E77" w:rsidP="00122E77">
      <w:pPr>
        <w:rPr>
          <w:spacing w:val="-2"/>
        </w:rPr>
      </w:pPr>
    </w:p>
    <w:p w:rsidR="00122E77" w:rsidRPr="00122E77" w:rsidRDefault="00122E77" w:rsidP="00122E77">
      <w:pPr>
        <w:tabs>
          <w:tab w:val="left" w:pos="5387"/>
          <w:tab w:val="left" w:pos="5954"/>
        </w:tabs>
        <w:ind w:left="4820"/>
        <w:rPr>
          <w:rFonts w:eastAsia="MS Mincho"/>
          <w:i/>
          <w:spacing w:val="-4"/>
        </w:rPr>
      </w:pPr>
      <w:r w:rsidRPr="00122E77">
        <w:rPr>
          <w:rFonts w:eastAsia="MS Mincho"/>
          <w:i/>
          <w:spacing w:val="-4"/>
        </w:rPr>
        <w:fldChar w:fldCharType="begin"/>
      </w:r>
      <w:r w:rsidRPr="00122E77">
        <w:rPr>
          <w:rFonts w:eastAsia="MS Mincho"/>
          <w:i/>
          <w:spacing w:val="-4"/>
        </w:rPr>
        <w:instrText xml:space="preserve"> AUTONUM  </w:instrText>
      </w:r>
      <w:r w:rsidRPr="00122E77">
        <w:rPr>
          <w:rFonts w:eastAsia="MS Mincho"/>
          <w:i/>
          <w:spacing w:val="-4"/>
        </w:rPr>
        <w:fldChar w:fldCharType="end"/>
      </w:r>
      <w:r w:rsidRPr="00122E77">
        <w:rPr>
          <w:rFonts w:eastAsia="MS Mincho"/>
          <w:i/>
          <w:spacing w:val="-4"/>
        </w:rPr>
        <w:tab/>
        <w:t xml:space="preserve">The CAJ is invited to consider the proposals for revision of documents UPOV/INF/6 and </w:t>
      </w:r>
      <w:r w:rsidRPr="00122E77">
        <w:rPr>
          <w:i/>
          <w:spacing w:val="-4"/>
        </w:rPr>
        <w:t>TGP/5 Section 2</w:t>
      </w:r>
      <w:r w:rsidRPr="00122E77">
        <w:rPr>
          <w:rFonts w:eastAsia="MS Mincho"/>
          <w:i/>
          <w:spacing w:val="-4"/>
        </w:rPr>
        <w:t>, as proposed in paragraphs 58 and 59 to this document, for adoption by the Council at its session in 2021.</w:t>
      </w:r>
    </w:p>
    <w:p w:rsidR="00122E77" w:rsidRPr="00122E77" w:rsidRDefault="00122E77" w:rsidP="00122E77">
      <w:pPr>
        <w:rPr>
          <w:rFonts w:cs="Arial"/>
        </w:rPr>
      </w:pPr>
    </w:p>
    <w:p w:rsidR="00122E77" w:rsidRPr="00122E77" w:rsidRDefault="00122E77" w:rsidP="00122E77"/>
    <w:p w:rsidR="00122E77" w:rsidRPr="00122E77" w:rsidRDefault="00122E77" w:rsidP="00122E77">
      <w:pPr>
        <w:keepNext/>
        <w:outlineLvl w:val="1"/>
        <w:rPr>
          <w:snapToGrid w:val="0"/>
          <w:u w:val="single"/>
        </w:rPr>
      </w:pPr>
      <w:bookmarkStart w:id="49" w:name="_Toc51935398"/>
      <w:r w:rsidRPr="00122E77">
        <w:rPr>
          <w:u w:val="single"/>
        </w:rPr>
        <w:t>Essentially Derived Varieties</w:t>
      </w:r>
      <w:bookmarkEnd w:id="49"/>
    </w:p>
    <w:p w:rsidR="00122E77" w:rsidRPr="00122E77" w:rsidRDefault="00122E77" w:rsidP="00122E77"/>
    <w:p w:rsidR="00122E77" w:rsidRPr="00122E77" w:rsidRDefault="00122E77" w:rsidP="00122E77">
      <w:r w:rsidRPr="00122E77">
        <w:fldChar w:fldCharType="begin"/>
      </w:r>
      <w:r w:rsidRPr="00122E77">
        <w:instrText xml:space="preserve"> AUTONUM  </w:instrText>
      </w:r>
      <w:r w:rsidRPr="00122E77">
        <w:fldChar w:fldCharType="end"/>
      </w:r>
      <w:r w:rsidRPr="00122E77">
        <w:tab/>
        <w:t>Matters concerning essentially derived varieties are considered in document CAJ/77/4 “Essentially Derived Varieties”.</w:t>
      </w:r>
    </w:p>
    <w:p w:rsidR="00122E77" w:rsidRPr="00122E77" w:rsidRDefault="00122E77" w:rsidP="00122E77"/>
    <w:p w:rsidR="00122E77" w:rsidRPr="00122E77" w:rsidRDefault="00122E77" w:rsidP="00122E77">
      <w:pPr>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 note that matters concerning essentially derived varieties are considered in document CAJ/77/4.</w:t>
      </w:r>
    </w:p>
    <w:p w:rsidR="00122E77" w:rsidRPr="00122E77" w:rsidRDefault="00122E77" w:rsidP="00122E77"/>
    <w:p w:rsidR="00122E77" w:rsidRPr="00122E77" w:rsidRDefault="00122E77" w:rsidP="00122E77"/>
    <w:p w:rsidR="00122E77" w:rsidRPr="00122E77" w:rsidRDefault="00122E77" w:rsidP="00122E77">
      <w:pPr>
        <w:keepNext/>
        <w:outlineLvl w:val="1"/>
        <w:rPr>
          <w:u w:val="single"/>
        </w:rPr>
      </w:pPr>
      <w:bookmarkStart w:id="50" w:name="_Toc51935399"/>
      <w:r w:rsidRPr="00122E77">
        <w:rPr>
          <w:u w:val="single"/>
        </w:rPr>
        <w:t>Harvested Material</w:t>
      </w:r>
      <w:bookmarkEnd w:id="50"/>
      <w:r w:rsidRPr="00122E77">
        <w:rPr>
          <w:u w:val="single"/>
        </w:rPr>
        <w:t xml:space="preserve"> </w:t>
      </w:r>
    </w:p>
    <w:p w:rsidR="00122E77" w:rsidRPr="00122E77" w:rsidRDefault="00122E77" w:rsidP="00122E77"/>
    <w:p w:rsidR="00122E77" w:rsidRPr="00122E77" w:rsidRDefault="00122E77" w:rsidP="00122E77">
      <w:r w:rsidRPr="00122E77">
        <w:fldChar w:fldCharType="begin"/>
      </w:r>
      <w:r w:rsidRPr="00122E77">
        <w:instrText xml:space="preserve"> AUTONUM  </w:instrText>
      </w:r>
      <w:r w:rsidRPr="00122E77">
        <w:fldChar w:fldCharType="end"/>
      </w:r>
      <w:r w:rsidRPr="00122E77">
        <w:tab/>
        <w:t>Matters concerning harvested material are considered in document CAJ/77/5 “Harvested Material”.</w:t>
      </w:r>
    </w:p>
    <w:p w:rsidR="00122E77" w:rsidRPr="00122E77" w:rsidRDefault="00122E77" w:rsidP="00122E77"/>
    <w:p w:rsidR="00122E77" w:rsidRPr="00122E77" w:rsidRDefault="00122E77" w:rsidP="00122E77">
      <w:pPr>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 note that matters concerning harvested material are considered in document CAJ/77/5.</w:t>
      </w:r>
    </w:p>
    <w:p w:rsidR="00122E77" w:rsidRPr="00122E77" w:rsidRDefault="00122E77" w:rsidP="00122E77"/>
    <w:p w:rsidR="00122E77" w:rsidRPr="00122E77" w:rsidRDefault="00122E77" w:rsidP="00122E77"/>
    <w:p w:rsidR="00122E77" w:rsidRPr="00122E77" w:rsidRDefault="00122E77" w:rsidP="00122E77">
      <w:pPr>
        <w:keepNext/>
        <w:outlineLvl w:val="1"/>
        <w:rPr>
          <w:u w:val="single"/>
        </w:rPr>
      </w:pPr>
      <w:bookmarkStart w:id="51" w:name="_Toc51935400"/>
      <w:r w:rsidRPr="00122E77">
        <w:rPr>
          <w:u w:val="single"/>
        </w:rPr>
        <w:lastRenderedPageBreak/>
        <w:t>Novelty of parent lines with regard to the exploitation of the hybrid variety</w:t>
      </w:r>
      <w:bookmarkEnd w:id="51"/>
    </w:p>
    <w:p w:rsidR="00122E77" w:rsidRPr="00122E77" w:rsidRDefault="00122E77" w:rsidP="00122E77">
      <w:pPr>
        <w:keepNext/>
        <w:ind w:left="567"/>
        <w:outlineLvl w:val="3"/>
        <w:rPr>
          <w:u w:val="single"/>
        </w:rPr>
      </w:pPr>
    </w:p>
    <w:p w:rsidR="00122E77" w:rsidRPr="00122E77" w:rsidRDefault="00122E77" w:rsidP="00122E77">
      <w:r w:rsidRPr="00122E77">
        <w:fldChar w:fldCharType="begin"/>
      </w:r>
      <w:r w:rsidRPr="00122E77">
        <w:instrText xml:space="preserve"> AUTONUM  </w:instrText>
      </w:r>
      <w:r w:rsidRPr="00122E77">
        <w:fldChar w:fldCharType="end"/>
      </w:r>
      <w:r w:rsidRPr="00122E77">
        <w:tab/>
        <w:t>Matters concerning novelty of parent lines with regard to the exploitation of the hybrid variety are considered in document CAJ/77/6 “Novelty of parent lines with regard to the exploitation of the hybrid variety”.</w:t>
      </w:r>
    </w:p>
    <w:p w:rsidR="00122E77" w:rsidRPr="00122E77" w:rsidRDefault="00122E77" w:rsidP="00122E77"/>
    <w:p w:rsidR="00122E77" w:rsidRPr="00122E77" w:rsidRDefault="00122E77" w:rsidP="00122E77">
      <w:pPr>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The CAJ is invited to note that matters concerning novelty of parent lines with regard to the exploitation of the hybrid variety are considered in document CAJ/77/6.</w:t>
      </w:r>
    </w:p>
    <w:p w:rsidR="00122E77" w:rsidRPr="00122E77" w:rsidRDefault="00122E77" w:rsidP="00122E77"/>
    <w:p w:rsidR="00122E77" w:rsidRPr="00122E77" w:rsidRDefault="00122E77" w:rsidP="00122E77"/>
    <w:p w:rsidR="00122E77" w:rsidRPr="00122E77" w:rsidRDefault="00122E77" w:rsidP="00122E77">
      <w:pPr>
        <w:jc w:val="left"/>
      </w:pPr>
      <w:bookmarkStart w:id="52" w:name="_Toc522523021"/>
      <w:bookmarkStart w:id="53" w:name="_Toc42523412"/>
    </w:p>
    <w:p w:rsidR="00122E77" w:rsidRPr="00122E77" w:rsidRDefault="00122E77" w:rsidP="00122E77">
      <w:pPr>
        <w:keepNext/>
        <w:outlineLvl w:val="0"/>
        <w:rPr>
          <w:caps/>
        </w:rPr>
      </w:pPr>
      <w:bookmarkStart w:id="54" w:name="_Toc522523025"/>
      <w:bookmarkStart w:id="55" w:name="_Toc14799995"/>
      <w:bookmarkStart w:id="56" w:name="_Toc51935401"/>
      <w:bookmarkEnd w:id="52"/>
      <w:bookmarkEnd w:id="53"/>
      <w:r w:rsidRPr="00122E77">
        <w:rPr>
          <w:caps/>
        </w:rPr>
        <w:t>TENTATIVE PROGRAM FOR THE DEVELOPMENT OF guidance and INFORMATION MATERIALS</w:t>
      </w:r>
      <w:bookmarkEnd w:id="54"/>
      <w:bookmarkEnd w:id="55"/>
      <w:bookmarkEnd w:id="56"/>
    </w:p>
    <w:p w:rsidR="00122E77" w:rsidRPr="00122E77" w:rsidRDefault="00122E77" w:rsidP="00122E77">
      <w:pPr>
        <w:keepNext/>
        <w:outlineLvl w:val="1"/>
        <w:rPr>
          <w:rFonts w:cs="Arial"/>
          <w:u w:val="single"/>
        </w:rPr>
      </w:pPr>
    </w:p>
    <w:p w:rsidR="00122E77" w:rsidRPr="00122E77" w:rsidRDefault="00122E77" w:rsidP="00122E77">
      <w:pPr>
        <w:keepNext/>
      </w:pPr>
      <w:r w:rsidRPr="00122E77">
        <w:rPr>
          <w:rFonts w:eastAsia="MS Mincho"/>
        </w:rPr>
        <w:fldChar w:fldCharType="begin"/>
      </w:r>
      <w:r w:rsidRPr="00122E77">
        <w:rPr>
          <w:rFonts w:eastAsia="MS Mincho"/>
        </w:rPr>
        <w:instrText xml:space="preserve"> AUTONUM  </w:instrText>
      </w:r>
      <w:r w:rsidRPr="00122E77">
        <w:rPr>
          <w:rFonts w:eastAsia="MS Mincho"/>
        </w:rPr>
        <w:fldChar w:fldCharType="end"/>
      </w:r>
      <w:r w:rsidRPr="00122E77">
        <w:rPr>
          <w:rFonts w:eastAsia="MS Mincho"/>
        </w:rPr>
        <w:tab/>
      </w:r>
      <w:r w:rsidRPr="00122E77">
        <w:t>An overview of information materials is provided in Annex VI to this document.</w:t>
      </w:r>
    </w:p>
    <w:p w:rsidR="00122E77" w:rsidRPr="00122E77" w:rsidRDefault="00122E77" w:rsidP="00122E77">
      <w:pPr>
        <w:keepNext/>
        <w:rPr>
          <w:rFonts w:eastAsia="MS Mincho"/>
        </w:rPr>
      </w:pPr>
    </w:p>
    <w:p w:rsidR="00122E77" w:rsidRPr="00122E77" w:rsidRDefault="00122E77" w:rsidP="00122E77">
      <w:pPr>
        <w:keepLines/>
        <w:tabs>
          <w:tab w:val="left" w:pos="5387"/>
          <w:tab w:val="left" w:pos="5954"/>
        </w:tabs>
        <w:ind w:left="4820"/>
        <w:rPr>
          <w:rFonts w:eastAsia="MS Mincho"/>
          <w:i/>
        </w:rPr>
      </w:pPr>
      <w:r w:rsidRPr="00122E77">
        <w:rPr>
          <w:rFonts w:eastAsia="MS Mincho"/>
          <w:i/>
        </w:rPr>
        <w:fldChar w:fldCharType="begin"/>
      </w:r>
      <w:r w:rsidRPr="00122E77">
        <w:rPr>
          <w:rFonts w:eastAsia="MS Mincho"/>
          <w:i/>
        </w:rPr>
        <w:instrText xml:space="preserve"> AUTONUM  </w:instrText>
      </w:r>
      <w:r w:rsidRPr="00122E77">
        <w:rPr>
          <w:rFonts w:eastAsia="MS Mincho"/>
          <w:i/>
        </w:rPr>
        <w:fldChar w:fldCharType="end"/>
      </w:r>
      <w:r w:rsidRPr="00122E77">
        <w:rPr>
          <w:rFonts w:eastAsia="MS Mincho"/>
          <w:i/>
        </w:rPr>
        <w:tab/>
        <w:t>The CAJ is invited to consider the program for the development of information materials, as proposed in Annex VI to this document, subject to its conclusions on the matters above.</w:t>
      </w:r>
    </w:p>
    <w:p w:rsidR="00122E77" w:rsidRPr="00122E77" w:rsidRDefault="00122E77" w:rsidP="00122E77">
      <w:pPr>
        <w:jc w:val="left"/>
      </w:pPr>
    </w:p>
    <w:p w:rsidR="00122E77" w:rsidRPr="00122E77" w:rsidRDefault="00122E77" w:rsidP="00122E77">
      <w:pPr>
        <w:keepNext/>
        <w:keepLines/>
      </w:pPr>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rPr>
        <w:tab/>
      </w:r>
      <w:bookmarkStart w:id="57" w:name="OLE_LINK10"/>
      <w:r w:rsidRPr="00122E77">
        <w:rPr>
          <w:rFonts w:cs="Arial"/>
          <w:color w:val="000000"/>
          <w:lang w:eastAsia="ja-JP"/>
        </w:rPr>
        <w:t xml:space="preserve">Annex VII </w:t>
      </w:r>
      <w:r w:rsidRPr="00122E77">
        <w:t>to this document presents the program for the development of TGP documents, as agreed by the TC and the CAJ.</w:t>
      </w:r>
    </w:p>
    <w:p w:rsidR="00122E77" w:rsidRPr="00122E77" w:rsidRDefault="00122E77" w:rsidP="00122E77">
      <w:pPr>
        <w:keepNext/>
        <w:keepLines/>
      </w:pPr>
    </w:p>
    <w:bookmarkEnd w:id="57"/>
    <w:p w:rsidR="00122E77" w:rsidRPr="00122E77" w:rsidRDefault="00122E77" w:rsidP="00122E77">
      <w:pPr>
        <w:keepNext/>
        <w:keepLines/>
        <w:rPr>
          <w:rFonts w:cs="Arial"/>
          <w:color w:val="000000"/>
          <w:lang w:eastAsia="ja-JP"/>
        </w:rPr>
      </w:pPr>
      <w:r w:rsidRPr="00122E77">
        <w:rPr>
          <w:rFonts w:cs="Arial"/>
        </w:rPr>
        <w:fldChar w:fldCharType="begin"/>
      </w:r>
      <w:r w:rsidRPr="00122E77">
        <w:rPr>
          <w:rFonts w:cs="Arial"/>
        </w:rPr>
        <w:instrText xml:space="preserve"> AUTONUM  </w:instrText>
      </w:r>
      <w:r w:rsidRPr="00122E77">
        <w:rPr>
          <w:rFonts w:cs="Arial"/>
        </w:rPr>
        <w:fldChar w:fldCharType="end"/>
      </w:r>
      <w:r w:rsidRPr="00122E77">
        <w:rPr>
          <w:rFonts w:cs="Arial"/>
        </w:rPr>
        <w:tab/>
        <w:t>A report on the conclusions of the TC</w:t>
      </w:r>
      <w:r w:rsidRPr="00122E77">
        <w:t xml:space="preserve"> will be presented in document CAJ/77/2 “Report on developments in the Technical Committee”.</w:t>
      </w:r>
    </w:p>
    <w:p w:rsidR="00122E77" w:rsidRPr="00122E77" w:rsidRDefault="00122E77" w:rsidP="00122E77"/>
    <w:p w:rsidR="00122E77" w:rsidRPr="00122E77" w:rsidRDefault="00122E77" w:rsidP="00122E77">
      <w:pPr>
        <w:tabs>
          <w:tab w:val="left" w:pos="5387"/>
          <w:tab w:val="left" w:pos="5954"/>
        </w:tabs>
        <w:ind w:left="4820"/>
        <w:rPr>
          <w:i/>
        </w:rPr>
      </w:pPr>
      <w:r w:rsidRPr="00122E77">
        <w:rPr>
          <w:i/>
        </w:rPr>
        <w:fldChar w:fldCharType="begin"/>
      </w:r>
      <w:r w:rsidRPr="00122E77">
        <w:rPr>
          <w:i/>
        </w:rPr>
        <w:instrText xml:space="preserve"> AUTONUM  </w:instrText>
      </w:r>
      <w:r w:rsidRPr="00122E77">
        <w:rPr>
          <w:i/>
        </w:rPr>
        <w:fldChar w:fldCharType="end"/>
      </w:r>
      <w:r w:rsidRPr="00122E77">
        <w:rPr>
          <w:i/>
        </w:rPr>
        <w:tab/>
        <w:t xml:space="preserve">The CAJ is invited </w:t>
      </w:r>
      <w:r w:rsidRPr="00122E77">
        <w:rPr>
          <w:i/>
          <w:spacing w:val="-2"/>
        </w:rPr>
        <w:t>to consider t</w:t>
      </w:r>
      <w:r w:rsidRPr="00122E77">
        <w:rPr>
          <w:i/>
        </w:rPr>
        <w:t xml:space="preserve">he program for the development of TGP documents, as set out in Annex VII of this document, </w:t>
      </w:r>
      <w:r w:rsidRPr="00122E77">
        <w:rPr>
          <w:i/>
          <w:spacing w:val="-2"/>
        </w:rPr>
        <w:t>taking into account the conclusions of the TC</w:t>
      </w:r>
      <w:r w:rsidRPr="00122E77">
        <w:rPr>
          <w:i/>
        </w:rPr>
        <w:t>.</w:t>
      </w:r>
    </w:p>
    <w:p w:rsidR="00122E77" w:rsidRPr="00122E77" w:rsidRDefault="00122E77" w:rsidP="00122E77">
      <w:pPr>
        <w:jc w:val="left"/>
      </w:pPr>
    </w:p>
    <w:p w:rsidR="00122E77" w:rsidRPr="00122E77" w:rsidRDefault="00122E77" w:rsidP="00122E77">
      <w:pPr>
        <w:jc w:val="left"/>
      </w:pPr>
    </w:p>
    <w:p w:rsidR="00122E77" w:rsidRPr="00122E77" w:rsidRDefault="00122E77" w:rsidP="00122E77">
      <w:pPr>
        <w:tabs>
          <w:tab w:val="left" w:pos="5387"/>
          <w:tab w:val="left" w:pos="5954"/>
        </w:tabs>
        <w:ind w:left="4820"/>
        <w:jc w:val="right"/>
      </w:pPr>
      <w:r w:rsidRPr="00122E77">
        <w:t>[Annexes follow]</w:t>
      </w:r>
    </w:p>
    <w:p w:rsidR="00122E77" w:rsidRPr="00122E77" w:rsidRDefault="00122E77" w:rsidP="00122E77">
      <w:pPr>
        <w:tabs>
          <w:tab w:val="left" w:pos="5387"/>
          <w:tab w:val="left" w:pos="5954"/>
        </w:tabs>
        <w:ind w:left="4820"/>
        <w:jc w:val="right"/>
        <w:sectPr w:rsidR="00122E77" w:rsidRPr="00122E77" w:rsidSect="002C31FA">
          <w:headerReference w:type="even" r:id="rId17"/>
          <w:headerReference w:type="default" r:id="rId18"/>
          <w:footerReference w:type="even" r:id="rId19"/>
          <w:headerReference w:type="first" r:id="rId20"/>
          <w:endnotePr>
            <w:numFmt w:val="lowerLetter"/>
          </w:endnotePr>
          <w:pgSz w:w="11907" w:h="16840" w:code="9"/>
          <w:pgMar w:top="510" w:right="1134" w:bottom="709" w:left="1134" w:header="510" w:footer="680" w:gutter="0"/>
          <w:cols w:space="720"/>
          <w:titlePg/>
          <w:docGrid w:linePitch="272"/>
        </w:sectPr>
      </w:pPr>
    </w:p>
    <w:p w:rsidR="00122E77" w:rsidRPr="00122E77" w:rsidRDefault="00122E77" w:rsidP="00122E77">
      <w:pPr>
        <w:jc w:val="center"/>
      </w:pPr>
      <w:r w:rsidRPr="00122E77">
        <w:lastRenderedPageBreak/>
        <w:t>REPLIES TO UPOV CIRCULAR E-20/017 CONCERNING THE CAJ CONSIDERATION OF DOCUMENT UPOV/EXN/DEN/1 DRAFT 3 BY CORRESPONDENCE</w:t>
      </w:r>
    </w:p>
    <w:p w:rsidR="00122E77" w:rsidRPr="00122E77" w:rsidRDefault="00122E77" w:rsidP="00122E77">
      <w:pPr>
        <w:ind w:left="1134" w:right="283" w:hanging="1134"/>
        <w:rPr>
          <w:spacing w:val="-4"/>
          <w:sz w:val="18"/>
        </w:rPr>
      </w:pPr>
    </w:p>
    <w:p w:rsidR="00122E77" w:rsidRPr="00122E77" w:rsidRDefault="00122E77" w:rsidP="00122E77"/>
    <w:p w:rsidR="00122E77" w:rsidRPr="00122E77" w:rsidRDefault="00122E77" w:rsidP="00122E77">
      <w:r w:rsidRPr="00122E77">
        <w:t>On April 3, 2020, the Office of the Union issued Circular E-20/017 to the designated persons of the members and observers in the CAJ, inviting them to consider and submit comments on document UPOV/EXN/DEN/1 Draft 3, which included the changes to document UPOV/INF/12/5 that were agreed by the WG-DEN, and the proposals of the Community Plant Variety Office (CPVO) of the European Union to amend section 2.3.3 of document UPOV/EXN/DEN/1 Draft 3, as contained in the Annex to Circular E 20/017.</w:t>
      </w:r>
    </w:p>
    <w:p w:rsidR="00122E77" w:rsidRPr="00122E77" w:rsidRDefault="00122E77" w:rsidP="00122E77">
      <w:pPr>
        <w:ind w:left="1134" w:right="283" w:hanging="1134"/>
        <w:rPr>
          <w:spacing w:val="-4"/>
          <w:sz w:val="18"/>
        </w:rPr>
      </w:pPr>
    </w:p>
    <w:p w:rsidR="00122E77" w:rsidRPr="00122E77" w:rsidRDefault="00122E77" w:rsidP="00122E77">
      <w:r w:rsidRPr="00122E77">
        <w:rPr>
          <w:rFonts w:eastAsia="MS Mincho"/>
          <w:snapToGrid w:val="0"/>
          <w:lang w:eastAsia="ja-JP"/>
        </w:rPr>
        <w:t>In reply to Circular E-20/017, comments were received from Argentina, Canada, European Union, France and New Zealand</w:t>
      </w:r>
      <w:r w:rsidRPr="00122E77">
        <w:t xml:space="preserve">.  </w:t>
      </w:r>
    </w:p>
    <w:p w:rsidR="00122E77" w:rsidRPr="00122E77" w:rsidRDefault="00122E77" w:rsidP="00122E77"/>
    <w:p w:rsidR="00122E77" w:rsidRPr="00122E77" w:rsidRDefault="00122E77" w:rsidP="00122E77">
      <w:pPr>
        <w:rPr>
          <w:rFonts w:eastAsia="MS Mincho"/>
          <w:snapToGrid w:val="0"/>
          <w:lang w:eastAsia="ja-JP"/>
        </w:rPr>
      </w:pPr>
      <w:r w:rsidRPr="00122E77">
        <w:t>Replies to Circular E-20/017 are reproduced in Annex I as follows:</w:t>
      </w:r>
      <w:r w:rsidRPr="00122E77">
        <w:rPr>
          <w:rFonts w:eastAsia="MS Mincho"/>
          <w:snapToGrid w:val="0"/>
          <w:lang w:eastAsia="ja-JP"/>
        </w:rPr>
        <w:t xml:space="preserve"> </w:t>
      </w:r>
    </w:p>
    <w:p w:rsidR="00122E77" w:rsidRPr="00122E77" w:rsidRDefault="00122E77" w:rsidP="00122E77">
      <w:pPr>
        <w:rPr>
          <w:rFonts w:eastAsia="MS Mincho"/>
          <w:snapToGrid w:val="0"/>
          <w:lang w:eastAsia="ja-JP"/>
        </w:rPr>
      </w:pPr>
    </w:p>
    <w:p w:rsidR="00122E77" w:rsidRPr="00122E77" w:rsidRDefault="00122E77" w:rsidP="00122E77">
      <w:pPr>
        <w:numPr>
          <w:ilvl w:val="0"/>
          <w:numId w:val="22"/>
        </w:numPr>
        <w:spacing w:before="60" w:after="60"/>
        <w:ind w:left="567" w:hanging="283"/>
        <w:contextualSpacing/>
      </w:pPr>
      <w:r w:rsidRPr="00122E77">
        <w:t>Appendix I:  Argentina</w:t>
      </w:r>
    </w:p>
    <w:p w:rsidR="00122E77" w:rsidRPr="00122E77" w:rsidRDefault="00122E77" w:rsidP="00122E77">
      <w:pPr>
        <w:spacing w:before="60" w:after="60"/>
        <w:ind w:left="567" w:hanging="283"/>
        <w:contextualSpacing/>
      </w:pPr>
    </w:p>
    <w:p w:rsidR="00122E77" w:rsidRPr="00122E77" w:rsidRDefault="00122E77" w:rsidP="00122E77">
      <w:pPr>
        <w:numPr>
          <w:ilvl w:val="0"/>
          <w:numId w:val="22"/>
        </w:numPr>
        <w:spacing w:before="60" w:after="60"/>
        <w:ind w:left="567" w:hanging="283"/>
        <w:contextualSpacing/>
      </w:pPr>
      <w:r w:rsidRPr="00122E77">
        <w:t xml:space="preserve">Appendix II:  Canada </w:t>
      </w:r>
    </w:p>
    <w:p w:rsidR="00122E77" w:rsidRPr="00122E77" w:rsidRDefault="00122E77" w:rsidP="00122E77">
      <w:pPr>
        <w:spacing w:before="60" w:after="60"/>
        <w:ind w:left="567" w:hanging="283"/>
        <w:contextualSpacing/>
      </w:pPr>
    </w:p>
    <w:p w:rsidR="00122E77" w:rsidRPr="00122E77" w:rsidRDefault="00122E77" w:rsidP="00122E77">
      <w:pPr>
        <w:numPr>
          <w:ilvl w:val="0"/>
          <w:numId w:val="22"/>
        </w:numPr>
        <w:spacing w:before="60" w:after="60"/>
        <w:ind w:left="567" w:hanging="283"/>
        <w:contextualSpacing/>
      </w:pPr>
      <w:r w:rsidRPr="00122E77">
        <w:t>Appendix III:  European Union</w:t>
      </w:r>
    </w:p>
    <w:p w:rsidR="00122E77" w:rsidRPr="00122E77" w:rsidRDefault="00122E77" w:rsidP="00122E77">
      <w:pPr>
        <w:spacing w:before="60" w:after="60"/>
        <w:ind w:left="567" w:hanging="283"/>
        <w:contextualSpacing/>
      </w:pPr>
    </w:p>
    <w:p w:rsidR="00122E77" w:rsidRPr="00122E77" w:rsidRDefault="00122E77" w:rsidP="00122E77">
      <w:pPr>
        <w:numPr>
          <w:ilvl w:val="0"/>
          <w:numId w:val="22"/>
        </w:numPr>
        <w:spacing w:before="60" w:after="60"/>
        <w:ind w:left="567" w:hanging="283"/>
        <w:contextualSpacing/>
      </w:pPr>
      <w:r w:rsidRPr="00122E77">
        <w:t>Appendix IV:  France</w:t>
      </w:r>
    </w:p>
    <w:p w:rsidR="00122E77" w:rsidRPr="00122E77" w:rsidRDefault="00122E77" w:rsidP="00122E77">
      <w:pPr>
        <w:spacing w:before="60" w:after="60"/>
        <w:ind w:left="567" w:hanging="283"/>
        <w:contextualSpacing/>
      </w:pPr>
    </w:p>
    <w:p w:rsidR="00122E77" w:rsidRPr="00122E77" w:rsidRDefault="00122E77" w:rsidP="00122E77">
      <w:pPr>
        <w:numPr>
          <w:ilvl w:val="0"/>
          <w:numId w:val="22"/>
        </w:numPr>
        <w:spacing w:before="60" w:after="60"/>
        <w:ind w:left="567" w:hanging="283"/>
        <w:contextualSpacing/>
      </w:pPr>
      <w:r w:rsidRPr="00122E77">
        <w:t>Appendix V:  New Zealand</w:t>
      </w:r>
    </w:p>
    <w:p w:rsidR="00122E77" w:rsidRPr="00122E77" w:rsidRDefault="00122E77" w:rsidP="00122E77">
      <w:pPr>
        <w:spacing w:before="60" w:after="60"/>
        <w:ind w:left="1211"/>
        <w:contextualSpacing/>
      </w:pPr>
    </w:p>
    <w:p w:rsidR="00122E77" w:rsidRPr="00122E77" w:rsidRDefault="00122E77" w:rsidP="00122E77">
      <w:pPr>
        <w:tabs>
          <w:tab w:val="left" w:pos="5387"/>
          <w:tab w:val="left" w:pos="5954"/>
        </w:tabs>
        <w:ind w:left="4820"/>
        <w:jc w:val="right"/>
      </w:pPr>
    </w:p>
    <w:p w:rsidR="00122E77" w:rsidRPr="00122E77" w:rsidRDefault="00122E77" w:rsidP="00122E77">
      <w:pPr>
        <w:tabs>
          <w:tab w:val="left" w:pos="5387"/>
          <w:tab w:val="left" w:pos="5954"/>
        </w:tabs>
        <w:ind w:left="4820"/>
        <w:jc w:val="right"/>
      </w:pPr>
    </w:p>
    <w:p w:rsidR="00122E77" w:rsidRPr="00122E77" w:rsidRDefault="00122E77" w:rsidP="00122E77">
      <w:pPr>
        <w:jc w:val="right"/>
      </w:pPr>
      <w:r w:rsidRPr="00122E77">
        <w:t>[Appendix I follows]</w:t>
      </w:r>
    </w:p>
    <w:p w:rsidR="00122E77" w:rsidRPr="00122E77" w:rsidRDefault="00122E77" w:rsidP="00122E77">
      <w:pPr>
        <w:tabs>
          <w:tab w:val="left" w:pos="5387"/>
          <w:tab w:val="left" w:pos="5954"/>
        </w:tabs>
        <w:ind w:left="4820"/>
        <w:jc w:val="right"/>
      </w:pPr>
    </w:p>
    <w:p w:rsidR="00122E77" w:rsidRPr="00122E77" w:rsidRDefault="00122E77" w:rsidP="00122E77">
      <w:pPr>
        <w:tabs>
          <w:tab w:val="left" w:pos="5387"/>
          <w:tab w:val="left" w:pos="5954"/>
        </w:tabs>
        <w:ind w:left="4820"/>
        <w:jc w:val="right"/>
        <w:sectPr w:rsidR="00122E77" w:rsidRPr="00122E77" w:rsidSect="002C31FA">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1907" w:h="16840" w:code="9"/>
          <w:pgMar w:top="510" w:right="1134" w:bottom="851" w:left="1134" w:header="510" w:footer="680" w:gutter="0"/>
          <w:cols w:space="720"/>
          <w:titlePg/>
        </w:sectPr>
      </w:pPr>
    </w:p>
    <w:p w:rsidR="00122E77" w:rsidRPr="00122E77" w:rsidRDefault="00122E77" w:rsidP="00122E77">
      <w:pPr>
        <w:jc w:val="center"/>
      </w:pPr>
      <w:r w:rsidRPr="00122E77">
        <w:lastRenderedPageBreak/>
        <w:t>Reply to Circular E-20/017 from Argentina</w:t>
      </w:r>
    </w:p>
    <w:p w:rsidR="00122E77" w:rsidRPr="00122E77" w:rsidRDefault="00122E77" w:rsidP="00122E77">
      <w:pPr>
        <w:jc w:val="center"/>
      </w:pPr>
    </w:p>
    <w:p w:rsidR="00122E77" w:rsidRPr="00122E77" w:rsidRDefault="00122E77" w:rsidP="00122E77">
      <w:pPr>
        <w:jc w:val="center"/>
      </w:pPr>
      <w:r w:rsidRPr="00122E77">
        <w:t xml:space="preserve">[Original:  Spanish] </w:t>
      </w:r>
    </w:p>
    <w:p w:rsidR="00122E77" w:rsidRPr="00122E77" w:rsidRDefault="00122E77" w:rsidP="00122E77">
      <w:pPr>
        <w:tabs>
          <w:tab w:val="left" w:pos="5387"/>
          <w:tab w:val="left" w:pos="5954"/>
        </w:tabs>
        <w:ind w:left="4820"/>
        <w:jc w:val="right"/>
      </w:pPr>
    </w:p>
    <w:p w:rsidR="00122E77" w:rsidRPr="00122E77" w:rsidRDefault="00122E77" w:rsidP="00122E77">
      <w:pPr>
        <w:tabs>
          <w:tab w:val="left" w:pos="5387"/>
          <w:tab w:val="left" w:pos="5954"/>
        </w:tabs>
        <w:ind w:left="4820"/>
        <w:jc w:val="right"/>
      </w:pPr>
    </w:p>
    <w:p w:rsidR="00122E77" w:rsidRPr="00122E77" w:rsidRDefault="00122E77" w:rsidP="00122E77">
      <w:pPr>
        <w:widowControl w:val="0"/>
        <w:autoSpaceDE w:val="0"/>
        <w:autoSpaceDN w:val="0"/>
        <w:spacing w:before="1"/>
        <w:ind w:left="2520" w:right="1899"/>
        <w:jc w:val="center"/>
        <w:rPr>
          <w:rFonts w:ascii="Times New Roman" w:hAnsi="Times New Roman"/>
          <w:sz w:val="22"/>
          <w:szCs w:val="22"/>
        </w:rPr>
      </w:pPr>
      <w:r w:rsidRPr="00122E77">
        <w:rPr>
          <w:rFonts w:ascii="Times New Roman" w:hAnsi="Times New Roman"/>
          <w:sz w:val="22"/>
          <w:szCs w:val="22"/>
        </w:rPr>
        <w:t>Republic of Argentina</w:t>
      </w:r>
    </w:p>
    <w:p w:rsidR="00122E77" w:rsidRPr="00122E77" w:rsidRDefault="00122E77" w:rsidP="00122E77">
      <w:pPr>
        <w:widowControl w:val="0"/>
        <w:autoSpaceDE w:val="0"/>
        <w:autoSpaceDN w:val="0"/>
        <w:spacing w:before="1"/>
        <w:ind w:left="2520" w:right="1899"/>
        <w:jc w:val="center"/>
        <w:rPr>
          <w:rFonts w:ascii="Times New Roman" w:hAnsi="Times New Roman"/>
          <w:sz w:val="22"/>
          <w:szCs w:val="22"/>
        </w:rPr>
      </w:pPr>
      <w:r w:rsidRPr="00122E77">
        <w:rPr>
          <w:rFonts w:ascii="Times New Roman" w:hAnsi="Times New Roman"/>
          <w:sz w:val="22"/>
          <w:szCs w:val="22"/>
        </w:rPr>
        <w:t xml:space="preserve"> – National Executive Power 2020 – </w:t>
      </w:r>
    </w:p>
    <w:p w:rsidR="00122E77" w:rsidRPr="00122E77" w:rsidRDefault="00122E77" w:rsidP="00122E77">
      <w:pPr>
        <w:widowControl w:val="0"/>
        <w:tabs>
          <w:tab w:val="left" w:pos="6096"/>
        </w:tabs>
        <w:autoSpaceDE w:val="0"/>
        <w:autoSpaceDN w:val="0"/>
        <w:spacing w:before="19" w:line="276" w:lineRule="auto"/>
        <w:ind w:left="2520" w:right="1899"/>
        <w:jc w:val="center"/>
        <w:rPr>
          <w:rFonts w:ascii="Times New Roman" w:hAnsi="Times New Roman"/>
          <w:sz w:val="22"/>
          <w:szCs w:val="22"/>
        </w:rPr>
      </w:pPr>
      <w:r w:rsidRPr="00122E77">
        <w:rPr>
          <w:rFonts w:ascii="Times New Roman" w:hAnsi="Times New Roman"/>
          <w:sz w:val="22"/>
          <w:szCs w:val="22"/>
        </w:rPr>
        <w:t xml:space="preserve">Year of General Manuel </w:t>
      </w:r>
      <w:proofErr w:type="spellStart"/>
      <w:r w:rsidRPr="00122E77">
        <w:rPr>
          <w:rFonts w:ascii="Times New Roman" w:hAnsi="Times New Roman"/>
          <w:sz w:val="22"/>
          <w:szCs w:val="22"/>
        </w:rPr>
        <w:t>Belgrano</w:t>
      </w:r>
      <w:proofErr w:type="spellEnd"/>
    </w:p>
    <w:p w:rsidR="00122E77" w:rsidRPr="00122E77" w:rsidRDefault="00122E77" w:rsidP="00122E77">
      <w:pPr>
        <w:widowControl w:val="0"/>
        <w:tabs>
          <w:tab w:val="left" w:pos="6096"/>
        </w:tabs>
        <w:autoSpaceDE w:val="0"/>
        <w:autoSpaceDN w:val="0"/>
        <w:spacing w:before="19" w:line="276" w:lineRule="auto"/>
        <w:ind w:left="2520" w:right="1899"/>
        <w:jc w:val="center"/>
        <w:rPr>
          <w:rFonts w:ascii="Times New Roman" w:hAnsi="Times New Roman"/>
          <w:sz w:val="25"/>
          <w:szCs w:val="22"/>
        </w:rPr>
      </w:pPr>
    </w:p>
    <w:p w:rsidR="00122E77" w:rsidRPr="00122E77" w:rsidRDefault="00122E77" w:rsidP="00122E77">
      <w:pPr>
        <w:widowControl w:val="0"/>
        <w:autoSpaceDE w:val="0"/>
        <w:autoSpaceDN w:val="0"/>
        <w:spacing w:before="1"/>
        <w:ind w:left="2520" w:right="1899"/>
        <w:jc w:val="center"/>
        <w:rPr>
          <w:rFonts w:ascii="Times New Roman" w:hAnsi="Times New Roman"/>
          <w:b/>
          <w:sz w:val="22"/>
          <w:szCs w:val="22"/>
        </w:rPr>
      </w:pPr>
      <w:r w:rsidRPr="00122E77">
        <w:rPr>
          <w:rFonts w:ascii="Times New Roman" w:hAnsi="Times New Roman"/>
          <w:b/>
          <w:sz w:val="22"/>
          <w:szCs w:val="22"/>
        </w:rPr>
        <w:t>Note</w:t>
      </w:r>
    </w:p>
    <w:p w:rsidR="00122E77" w:rsidRPr="00122E77" w:rsidRDefault="00122E77" w:rsidP="00122E77">
      <w:pPr>
        <w:widowControl w:val="0"/>
        <w:autoSpaceDE w:val="0"/>
        <w:autoSpaceDN w:val="0"/>
        <w:jc w:val="left"/>
        <w:rPr>
          <w:rFonts w:ascii="Times New Roman" w:hAnsi="Times New Roman"/>
          <w:b/>
          <w:sz w:val="24"/>
          <w:szCs w:val="22"/>
        </w:rPr>
      </w:pPr>
    </w:p>
    <w:p w:rsidR="00122E77" w:rsidRPr="00122E77" w:rsidRDefault="00122E77" w:rsidP="00122E77">
      <w:pPr>
        <w:widowControl w:val="0"/>
        <w:autoSpaceDE w:val="0"/>
        <w:autoSpaceDN w:val="0"/>
        <w:jc w:val="left"/>
        <w:rPr>
          <w:rFonts w:ascii="Times New Roman" w:hAnsi="Times New Roman"/>
          <w:b/>
          <w:sz w:val="24"/>
          <w:szCs w:val="22"/>
        </w:rPr>
      </w:pPr>
    </w:p>
    <w:p w:rsidR="00122E77" w:rsidRPr="00122E77" w:rsidRDefault="00122E77" w:rsidP="00122E77">
      <w:pPr>
        <w:widowControl w:val="0"/>
        <w:autoSpaceDE w:val="0"/>
        <w:autoSpaceDN w:val="0"/>
        <w:spacing w:before="10"/>
        <w:jc w:val="left"/>
        <w:rPr>
          <w:rFonts w:ascii="Times New Roman" w:hAnsi="Times New Roman"/>
          <w:b/>
          <w:sz w:val="32"/>
          <w:szCs w:val="22"/>
        </w:rPr>
      </w:pPr>
    </w:p>
    <w:p w:rsidR="00122E77" w:rsidRPr="00800945" w:rsidRDefault="00122E77" w:rsidP="00122E77">
      <w:pPr>
        <w:widowControl w:val="0"/>
        <w:autoSpaceDE w:val="0"/>
        <w:autoSpaceDN w:val="0"/>
        <w:spacing w:before="1"/>
        <w:jc w:val="left"/>
        <w:rPr>
          <w:rFonts w:ascii="Times New Roman" w:hAnsi="Times New Roman"/>
          <w:sz w:val="22"/>
          <w:szCs w:val="22"/>
          <w:lang w:val="es-AR"/>
        </w:rPr>
      </w:pPr>
      <w:proofErr w:type="spellStart"/>
      <w:r w:rsidRPr="00800945">
        <w:rPr>
          <w:rFonts w:ascii="Times New Roman" w:hAnsi="Times New Roman"/>
          <w:b/>
          <w:sz w:val="22"/>
          <w:szCs w:val="22"/>
          <w:lang w:val="es-AR"/>
        </w:rPr>
        <w:t>Number</w:t>
      </w:r>
      <w:proofErr w:type="spellEnd"/>
      <w:r w:rsidRPr="00800945">
        <w:rPr>
          <w:rFonts w:ascii="Times New Roman" w:hAnsi="Times New Roman"/>
          <w:b/>
          <w:sz w:val="22"/>
          <w:szCs w:val="22"/>
          <w:lang w:val="es-AR"/>
        </w:rPr>
        <w:t xml:space="preserve">: </w:t>
      </w:r>
      <w:r w:rsidRPr="00800945">
        <w:rPr>
          <w:rFonts w:ascii="Times New Roman" w:hAnsi="Times New Roman"/>
          <w:sz w:val="22"/>
          <w:szCs w:val="22"/>
          <w:lang w:val="es-AR"/>
        </w:rPr>
        <w:t>NO-2020-31293107-APN-INASE#MAGYP</w:t>
      </w:r>
    </w:p>
    <w:p w:rsidR="00122E77" w:rsidRPr="00800945" w:rsidRDefault="00122E77" w:rsidP="00122E77">
      <w:pPr>
        <w:widowControl w:val="0"/>
        <w:autoSpaceDE w:val="0"/>
        <w:autoSpaceDN w:val="0"/>
        <w:spacing w:before="4"/>
        <w:jc w:val="left"/>
        <w:rPr>
          <w:rFonts w:ascii="Times New Roman" w:hAnsi="Times New Roman"/>
          <w:sz w:val="25"/>
          <w:szCs w:val="22"/>
          <w:lang w:val="es-AR"/>
        </w:rPr>
      </w:pPr>
    </w:p>
    <w:p w:rsidR="00122E77" w:rsidRPr="00800945" w:rsidRDefault="00122E77" w:rsidP="00122E77">
      <w:pPr>
        <w:widowControl w:val="0"/>
        <w:autoSpaceDE w:val="0"/>
        <w:autoSpaceDN w:val="0"/>
        <w:spacing w:before="91"/>
        <w:ind w:right="147"/>
        <w:jc w:val="right"/>
        <w:rPr>
          <w:rFonts w:ascii="Times New Roman" w:hAnsi="Times New Roman"/>
          <w:sz w:val="22"/>
          <w:szCs w:val="22"/>
          <w:lang w:val="es-AR"/>
        </w:rPr>
      </w:pPr>
      <w:r w:rsidRPr="00800945">
        <w:rPr>
          <w:rFonts w:ascii="Times New Roman" w:hAnsi="Times New Roman"/>
          <w:sz w:val="22"/>
          <w:szCs w:val="22"/>
          <w:lang w:val="es-AR"/>
        </w:rPr>
        <w:t>BUENOS AIRES</w:t>
      </w:r>
    </w:p>
    <w:p w:rsidR="00122E77" w:rsidRPr="00122E77" w:rsidRDefault="00122E77" w:rsidP="00122E77">
      <w:pPr>
        <w:widowControl w:val="0"/>
        <w:autoSpaceDE w:val="0"/>
        <w:autoSpaceDN w:val="0"/>
        <w:spacing w:before="77"/>
        <w:ind w:right="148"/>
        <w:jc w:val="right"/>
        <w:rPr>
          <w:rFonts w:ascii="Times New Roman" w:hAnsi="Times New Roman"/>
          <w:sz w:val="22"/>
          <w:szCs w:val="22"/>
        </w:rPr>
      </w:pPr>
      <w:r w:rsidRPr="00122E77">
        <w:rPr>
          <w:rFonts w:ascii="Times New Roman" w:hAnsi="Times New Roman"/>
          <w:sz w:val="22"/>
          <w:szCs w:val="22"/>
        </w:rPr>
        <w:t>Monday, May 11, 2020</w:t>
      </w:r>
    </w:p>
    <w:p w:rsidR="00122E77" w:rsidRPr="00122E77" w:rsidRDefault="00122E77" w:rsidP="00122E77">
      <w:pPr>
        <w:widowControl w:val="0"/>
        <w:autoSpaceDE w:val="0"/>
        <w:autoSpaceDN w:val="0"/>
        <w:jc w:val="left"/>
        <w:rPr>
          <w:rFonts w:ascii="Times New Roman" w:hAnsi="Times New Roman"/>
          <w:sz w:val="21"/>
          <w:szCs w:val="22"/>
        </w:rPr>
      </w:pPr>
    </w:p>
    <w:p w:rsidR="00122E77" w:rsidRPr="00122E77" w:rsidRDefault="00122E77" w:rsidP="00122E77">
      <w:pPr>
        <w:widowControl w:val="0"/>
        <w:autoSpaceDE w:val="0"/>
        <w:autoSpaceDN w:val="0"/>
        <w:spacing w:before="95"/>
        <w:jc w:val="left"/>
        <w:rPr>
          <w:rFonts w:ascii="Times New Roman" w:hAnsi="Times New Roman"/>
          <w:sz w:val="22"/>
          <w:szCs w:val="22"/>
          <w:lang w:val="pt-PT"/>
        </w:rPr>
      </w:pPr>
      <w:r w:rsidRPr="00122E77">
        <w:rPr>
          <w:rFonts w:ascii="Times New Roman" w:hAnsi="Times New Roman"/>
          <w:b/>
          <w:sz w:val="22"/>
          <w:szCs w:val="22"/>
          <w:lang w:val="pt-PT"/>
        </w:rPr>
        <w:t xml:space="preserve">Reference: </w:t>
      </w:r>
      <w:r w:rsidRPr="00122E77">
        <w:rPr>
          <w:rFonts w:ascii="Times New Roman" w:hAnsi="Times New Roman"/>
          <w:sz w:val="22"/>
          <w:szCs w:val="22"/>
          <w:lang w:val="pt-PT"/>
        </w:rPr>
        <w:t>Response to Circular E-20/017</w:t>
      </w:r>
    </w:p>
    <w:p w:rsidR="00122E77" w:rsidRPr="00122E77" w:rsidRDefault="00122E77" w:rsidP="00122E77">
      <w:pPr>
        <w:widowControl w:val="0"/>
        <w:autoSpaceDE w:val="0"/>
        <w:autoSpaceDN w:val="0"/>
        <w:jc w:val="left"/>
        <w:rPr>
          <w:rFonts w:ascii="Times New Roman" w:hAnsi="Times New Roman"/>
          <w:sz w:val="24"/>
          <w:szCs w:val="22"/>
          <w:lang w:val="pt-PT"/>
        </w:rPr>
      </w:pPr>
    </w:p>
    <w:p w:rsidR="00122E77" w:rsidRPr="00122E77" w:rsidRDefault="00122E77" w:rsidP="00122E77">
      <w:pPr>
        <w:widowControl w:val="0"/>
        <w:autoSpaceDE w:val="0"/>
        <w:autoSpaceDN w:val="0"/>
        <w:spacing w:before="1"/>
        <w:jc w:val="left"/>
        <w:rPr>
          <w:rFonts w:ascii="Times New Roman" w:hAnsi="Times New Roman"/>
          <w:sz w:val="30"/>
          <w:szCs w:val="22"/>
          <w:lang w:val="pt-PT"/>
        </w:rPr>
      </w:pPr>
    </w:p>
    <w:p w:rsidR="00122E77" w:rsidRPr="00122E77" w:rsidRDefault="00122E77" w:rsidP="00122E77">
      <w:pPr>
        <w:widowControl w:val="0"/>
        <w:autoSpaceDE w:val="0"/>
        <w:autoSpaceDN w:val="0"/>
        <w:jc w:val="left"/>
        <w:rPr>
          <w:rFonts w:ascii="Times New Roman" w:hAnsi="Times New Roman"/>
          <w:sz w:val="22"/>
          <w:szCs w:val="22"/>
        </w:rPr>
      </w:pPr>
      <w:r w:rsidRPr="00122E77">
        <w:rPr>
          <w:rFonts w:ascii="Times New Roman" w:hAnsi="Times New Roman"/>
          <w:b/>
          <w:sz w:val="22"/>
          <w:szCs w:val="22"/>
        </w:rPr>
        <w:t xml:space="preserve">To: </w:t>
      </w:r>
      <w:r w:rsidRPr="00122E77">
        <w:rPr>
          <w:rFonts w:ascii="Times New Roman" w:hAnsi="Times New Roman"/>
          <w:sz w:val="22"/>
          <w:szCs w:val="22"/>
        </w:rPr>
        <w:t>Peter Button (UPOV),</w:t>
      </w:r>
    </w:p>
    <w:p w:rsidR="00122E77" w:rsidRPr="00122E77" w:rsidRDefault="00122E77" w:rsidP="00122E77">
      <w:pPr>
        <w:widowControl w:val="0"/>
        <w:autoSpaceDE w:val="0"/>
        <w:autoSpaceDN w:val="0"/>
        <w:spacing w:before="8"/>
        <w:jc w:val="left"/>
        <w:rPr>
          <w:rFonts w:ascii="Times New Roman" w:hAnsi="Times New Roman"/>
          <w:sz w:val="28"/>
          <w:szCs w:val="22"/>
        </w:rPr>
      </w:pPr>
    </w:p>
    <w:p w:rsidR="00122E77" w:rsidRPr="00122E77" w:rsidRDefault="00122E77" w:rsidP="00122E77">
      <w:pPr>
        <w:widowControl w:val="0"/>
        <w:autoSpaceDE w:val="0"/>
        <w:autoSpaceDN w:val="0"/>
        <w:spacing w:before="1"/>
        <w:jc w:val="left"/>
        <w:rPr>
          <w:rFonts w:ascii="Times New Roman" w:hAnsi="Times New Roman"/>
          <w:sz w:val="22"/>
          <w:szCs w:val="22"/>
        </w:rPr>
      </w:pPr>
      <w:r w:rsidRPr="00122E77">
        <w:rPr>
          <w:rFonts w:ascii="Times New Roman" w:hAnsi="Times New Roman"/>
          <w:b/>
          <w:sz w:val="22"/>
          <w:szCs w:val="22"/>
        </w:rPr>
        <w:t xml:space="preserve">Cc: </w:t>
      </w:r>
      <w:r w:rsidRPr="00122E77">
        <w:rPr>
          <w:rFonts w:ascii="Times New Roman" w:hAnsi="Times New Roman"/>
          <w:sz w:val="22"/>
          <w:szCs w:val="22"/>
        </w:rPr>
        <w:t xml:space="preserve">María Laura Villamayor (INASE#MAGYP), Hernando </w:t>
      </w:r>
      <w:proofErr w:type="spellStart"/>
      <w:r w:rsidRPr="00122E77">
        <w:rPr>
          <w:rFonts w:ascii="Times New Roman" w:hAnsi="Times New Roman"/>
          <w:sz w:val="22"/>
          <w:szCs w:val="22"/>
        </w:rPr>
        <w:t>Pecci</w:t>
      </w:r>
      <w:proofErr w:type="spellEnd"/>
      <w:r w:rsidRPr="00122E77">
        <w:rPr>
          <w:rFonts w:ascii="Times New Roman" w:hAnsi="Times New Roman"/>
          <w:sz w:val="22"/>
          <w:szCs w:val="22"/>
        </w:rPr>
        <w:t xml:space="preserve"> (DRV#INASE),</w:t>
      </w:r>
    </w:p>
    <w:p w:rsidR="00122E77" w:rsidRPr="00122E77" w:rsidRDefault="00122E77" w:rsidP="00122E77">
      <w:pPr>
        <w:widowControl w:val="0"/>
        <w:autoSpaceDE w:val="0"/>
        <w:autoSpaceDN w:val="0"/>
        <w:jc w:val="left"/>
        <w:rPr>
          <w:rFonts w:ascii="Times New Roman" w:hAnsi="Times New Roman"/>
          <w:szCs w:val="22"/>
        </w:rPr>
      </w:pPr>
    </w:p>
    <w:p w:rsidR="00122E77" w:rsidRPr="00122E77" w:rsidRDefault="00122E77" w:rsidP="00122E77">
      <w:pPr>
        <w:widowControl w:val="0"/>
        <w:autoSpaceDE w:val="0"/>
        <w:autoSpaceDN w:val="0"/>
        <w:jc w:val="left"/>
        <w:rPr>
          <w:rFonts w:ascii="Times New Roman" w:hAnsi="Times New Roman"/>
          <w:szCs w:val="22"/>
        </w:rPr>
      </w:pPr>
    </w:p>
    <w:p w:rsidR="00122E77" w:rsidRPr="00122E77" w:rsidRDefault="00122E77" w:rsidP="00122E77">
      <w:pPr>
        <w:widowControl w:val="0"/>
        <w:autoSpaceDE w:val="0"/>
        <w:autoSpaceDN w:val="0"/>
        <w:spacing w:before="8"/>
        <w:jc w:val="left"/>
        <w:rPr>
          <w:rFonts w:ascii="Times New Roman" w:hAnsi="Times New Roman"/>
          <w:sz w:val="24"/>
          <w:szCs w:val="22"/>
        </w:rPr>
      </w:pPr>
      <w:r w:rsidRPr="00122E77">
        <w:rPr>
          <w:rFonts w:ascii="Times New Roman" w:hAnsi="Times New Roman"/>
          <w:noProof/>
          <w:sz w:val="22"/>
          <w:szCs w:val="22"/>
        </w:rPr>
        <mc:AlternateContent>
          <mc:Choice Requires="wpg">
            <w:drawing>
              <wp:anchor distT="0" distB="0" distL="0" distR="0" simplePos="0" relativeHeight="251629568" behindDoc="1" locked="0" layoutInCell="1" allowOverlap="1" wp14:anchorId="69F834F9" wp14:editId="7215258F">
                <wp:simplePos x="0" y="0"/>
                <wp:positionH relativeFrom="page">
                  <wp:posOffset>762000</wp:posOffset>
                </wp:positionH>
                <wp:positionV relativeFrom="paragraph">
                  <wp:posOffset>132715</wp:posOffset>
                </wp:positionV>
                <wp:extent cx="6725285" cy="19050"/>
                <wp:effectExtent l="9525" t="11430" r="889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19050"/>
                          <a:chOff x="1200" y="209"/>
                          <a:chExt cx="10591" cy="30"/>
                        </a:xfrm>
                      </wpg:grpSpPr>
                      <wps:wsp>
                        <wps:cNvPr id="14" name="Line 12"/>
                        <wps:cNvCnPr>
                          <a:cxnSpLocks noChangeShapeType="1"/>
                        </wps:cNvCnPr>
                        <wps:spPr bwMode="auto">
                          <a:xfrm>
                            <a:off x="1208" y="220"/>
                            <a:ext cx="10575" cy="0"/>
                          </a:xfrm>
                          <a:prstGeom prst="line">
                            <a:avLst/>
                          </a:prstGeom>
                          <a:noFill/>
                          <a:ln w="4826">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200" y="213"/>
                            <a:ext cx="10591" cy="0"/>
                          </a:xfrm>
                          <a:prstGeom prst="line">
                            <a:avLst/>
                          </a:prstGeom>
                          <a:noFill/>
                          <a:ln w="4699">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6" name="Freeform 14"/>
                        <wps:cNvSpPr>
                          <a:spLocks/>
                        </wps:cNvSpPr>
                        <wps:spPr bwMode="auto">
                          <a:xfrm>
                            <a:off x="11776" y="216"/>
                            <a:ext cx="8" cy="15"/>
                          </a:xfrm>
                          <a:custGeom>
                            <a:avLst/>
                            <a:gdLst>
                              <a:gd name="T0" fmla="+- 0 11783 11776"/>
                              <a:gd name="T1" fmla="*/ T0 w 8"/>
                              <a:gd name="T2" fmla="+- 0 217 217"/>
                              <a:gd name="T3" fmla="*/ 217 h 15"/>
                              <a:gd name="T4" fmla="+- 0 11776 11776"/>
                              <a:gd name="T5" fmla="*/ T4 w 8"/>
                              <a:gd name="T6" fmla="+- 0 224 217"/>
                              <a:gd name="T7" fmla="*/ 224 h 15"/>
                              <a:gd name="T8" fmla="+- 0 11783 11776"/>
                              <a:gd name="T9" fmla="*/ T8 w 8"/>
                              <a:gd name="T10" fmla="+- 0 232 217"/>
                              <a:gd name="T11" fmla="*/ 232 h 15"/>
                              <a:gd name="T12" fmla="+- 0 11783 11776"/>
                              <a:gd name="T13" fmla="*/ T12 w 8"/>
                              <a:gd name="T14" fmla="+- 0 217 217"/>
                              <a:gd name="T15" fmla="*/ 217 h 15"/>
                            </a:gdLst>
                            <a:ahLst/>
                            <a:cxnLst>
                              <a:cxn ang="0">
                                <a:pos x="T1" y="T3"/>
                              </a:cxn>
                              <a:cxn ang="0">
                                <a:pos x="T5" y="T7"/>
                              </a:cxn>
                              <a:cxn ang="0">
                                <a:pos x="T9" y="T11"/>
                              </a:cxn>
                              <a:cxn ang="0">
                                <a:pos x="T13" y="T15"/>
                              </a:cxn>
                            </a:cxnLst>
                            <a:rect l="0" t="0" r="r" b="b"/>
                            <a:pathLst>
                              <a:path w="8" h="15">
                                <a:moveTo>
                                  <a:pt x="7" y="0"/>
                                </a:moveTo>
                                <a:lnTo>
                                  <a:pt x="0" y="7"/>
                                </a:lnTo>
                                <a:lnTo>
                                  <a:pt x="7" y="15"/>
                                </a:lnTo>
                                <a:lnTo>
                                  <a:pt x="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783" y="209"/>
                            <a:ext cx="8" cy="30"/>
                          </a:xfrm>
                          <a:custGeom>
                            <a:avLst/>
                            <a:gdLst>
                              <a:gd name="T0" fmla="+- 0 11791 11783"/>
                              <a:gd name="T1" fmla="*/ T0 w 8"/>
                              <a:gd name="T2" fmla="+- 0 209 209"/>
                              <a:gd name="T3" fmla="*/ 209 h 30"/>
                              <a:gd name="T4" fmla="+- 0 11783 11783"/>
                              <a:gd name="T5" fmla="*/ T4 w 8"/>
                              <a:gd name="T6" fmla="+- 0 217 209"/>
                              <a:gd name="T7" fmla="*/ 217 h 30"/>
                              <a:gd name="T8" fmla="+- 0 11783 11783"/>
                              <a:gd name="T9" fmla="*/ T8 w 8"/>
                              <a:gd name="T10" fmla="+- 0 232 209"/>
                              <a:gd name="T11" fmla="*/ 232 h 30"/>
                              <a:gd name="T12" fmla="+- 0 11791 11783"/>
                              <a:gd name="T13" fmla="*/ T12 w 8"/>
                              <a:gd name="T14" fmla="+- 0 239 209"/>
                              <a:gd name="T15" fmla="*/ 239 h 30"/>
                              <a:gd name="T16" fmla="+- 0 11791 11783"/>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8" y="0"/>
                                </a:moveTo>
                                <a:lnTo>
                                  <a:pt x="0" y="8"/>
                                </a:lnTo>
                                <a:lnTo>
                                  <a:pt x="0" y="23"/>
                                </a:lnTo>
                                <a:lnTo>
                                  <a:pt x="8" y="30"/>
                                </a:lnTo>
                                <a:lnTo>
                                  <a:pt x="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1208" y="228"/>
                            <a:ext cx="10575" cy="0"/>
                          </a:xfrm>
                          <a:prstGeom prst="line">
                            <a:avLst/>
                          </a:prstGeom>
                          <a:noFill/>
                          <a:ln w="4699">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200" y="235"/>
                            <a:ext cx="10591" cy="0"/>
                          </a:xfrm>
                          <a:prstGeom prst="line">
                            <a:avLst/>
                          </a:prstGeom>
                          <a:noFill/>
                          <a:ln w="4826">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 name="Freeform 18"/>
                        <wps:cNvSpPr>
                          <a:spLocks/>
                        </wps:cNvSpPr>
                        <wps:spPr bwMode="auto">
                          <a:xfrm>
                            <a:off x="1207" y="216"/>
                            <a:ext cx="8" cy="15"/>
                          </a:xfrm>
                          <a:custGeom>
                            <a:avLst/>
                            <a:gdLst>
                              <a:gd name="T0" fmla="+- 0 1208 1208"/>
                              <a:gd name="T1" fmla="*/ T0 w 8"/>
                              <a:gd name="T2" fmla="+- 0 217 217"/>
                              <a:gd name="T3" fmla="*/ 217 h 15"/>
                              <a:gd name="T4" fmla="+- 0 1208 1208"/>
                              <a:gd name="T5" fmla="*/ T4 w 8"/>
                              <a:gd name="T6" fmla="+- 0 232 217"/>
                              <a:gd name="T7" fmla="*/ 232 h 15"/>
                              <a:gd name="T8" fmla="+- 0 1215 1208"/>
                              <a:gd name="T9" fmla="*/ T8 w 8"/>
                              <a:gd name="T10" fmla="+- 0 224 217"/>
                              <a:gd name="T11" fmla="*/ 224 h 15"/>
                              <a:gd name="T12" fmla="+- 0 1208 1208"/>
                              <a:gd name="T13" fmla="*/ T12 w 8"/>
                              <a:gd name="T14" fmla="+- 0 217 217"/>
                              <a:gd name="T15" fmla="*/ 217 h 15"/>
                            </a:gdLst>
                            <a:ahLst/>
                            <a:cxnLst>
                              <a:cxn ang="0">
                                <a:pos x="T1" y="T3"/>
                              </a:cxn>
                              <a:cxn ang="0">
                                <a:pos x="T5" y="T7"/>
                              </a:cxn>
                              <a:cxn ang="0">
                                <a:pos x="T9" y="T11"/>
                              </a:cxn>
                              <a:cxn ang="0">
                                <a:pos x="T13" y="T15"/>
                              </a:cxn>
                            </a:cxnLst>
                            <a:rect l="0" t="0" r="r" b="b"/>
                            <a:pathLst>
                              <a:path w="8" h="15">
                                <a:moveTo>
                                  <a:pt x="0" y="0"/>
                                </a:moveTo>
                                <a:lnTo>
                                  <a:pt x="0" y="15"/>
                                </a:lnTo>
                                <a:lnTo>
                                  <a:pt x="7" y="7"/>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200" y="209"/>
                            <a:ext cx="8" cy="30"/>
                          </a:xfrm>
                          <a:custGeom>
                            <a:avLst/>
                            <a:gdLst>
                              <a:gd name="T0" fmla="+- 0 1200 1200"/>
                              <a:gd name="T1" fmla="*/ T0 w 8"/>
                              <a:gd name="T2" fmla="+- 0 209 209"/>
                              <a:gd name="T3" fmla="*/ 209 h 30"/>
                              <a:gd name="T4" fmla="+- 0 1200 1200"/>
                              <a:gd name="T5" fmla="*/ T4 w 8"/>
                              <a:gd name="T6" fmla="+- 0 239 209"/>
                              <a:gd name="T7" fmla="*/ 239 h 30"/>
                              <a:gd name="T8" fmla="+- 0 1208 1200"/>
                              <a:gd name="T9" fmla="*/ T8 w 8"/>
                              <a:gd name="T10" fmla="+- 0 232 209"/>
                              <a:gd name="T11" fmla="*/ 232 h 30"/>
                              <a:gd name="T12" fmla="+- 0 1208 1200"/>
                              <a:gd name="T13" fmla="*/ T12 w 8"/>
                              <a:gd name="T14" fmla="+- 0 217 209"/>
                              <a:gd name="T15" fmla="*/ 217 h 30"/>
                              <a:gd name="T16" fmla="+- 0 1200 1200"/>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0" y="0"/>
                                </a:moveTo>
                                <a:lnTo>
                                  <a:pt x="0" y="30"/>
                                </a:lnTo>
                                <a:lnTo>
                                  <a:pt x="8" y="23"/>
                                </a:lnTo>
                                <a:lnTo>
                                  <a:pt x="8" y="8"/>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63A4F" id="Group 13" o:spid="_x0000_s1026" style="position:absolute;margin-left:60pt;margin-top:10.45pt;width:529.55pt;height:1.5pt;z-index:-251686912;mso-wrap-distance-left:0;mso-wrap-distance-right:0;mso-position-horizontal-relative:page" coordorigin="1200,209" coordsize="10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">
                <v:line id="Line 12" o:spid="_x0000_s1027" style="position:absolute;visibility:visible;mso-wrap-style:square" from="1208,220" to="117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" strokecolor="#7f7d78" strokeweight=".38pt"/>
                <v:line id="Line 13" o:spid="_x0000_s1028" style="position:absolute;visibility:visible;mso-wrap-style:square" from="1200,213" to="117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" strokecolor="#7f7d78" strokeweight=".37pt"/>
                <v:shape id="Freeform 14" o:spid="_x0000_s1029" style="position:absolute;left:11776;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" path="m7,l,7r7,8l7,xe" fillcolor="#d3d0c7" stroked="f">
                  <v:path arrowok="t" o:connecttype="custom" o:connectlocs="7,217;0,224;7,232;7,217" o:connectangles="0,0,0,0"/>
                </v:shape>
                <v:shape id="Freeform 15" o:spid="_x0000_s1030" style="position:absolute;left:11783;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" path="m8,l,8,,23r8,7l8,xe" fillcolor="#d3d0c7" stroked="f">
                  <v:path arrowok="t" o:connecttype="custom" o:connectlocs="8,209;0,217;0,232;8,239;8,209" o:connectangles="0,0,0,0,0"/>
                </v:shape>
                <v:line id="Line 16" o:spid="_x0000_s1031" style="position:absolute;visibility:visible;mso-wrap-style:square" from="1208,228" to="1178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" strokecolor="#d3d0c7" strokeweight=".37pt"/>
                <v:line id="Line 17" o:spid="_x0000_s1032" style="position:absolute;visibility:visible;mso-wrap-style:square" from="1200,235" to="11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" strokecolor="#d3d0c7" strokeweight=".38pt"/>
                <v:shape id="Freeform 18" o:spid="_x0000_s1033" style="position:absolute;left:1207;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" path="m,l,15,7,7,,xe" fillcolor="#7f7d78" stroked="f">
                  <v:path arrowok="t" o:connecttype="custom" o:connectlocs="0,217;0,232;7,224;0,217" o:connectangles="0,0,0,0"/>
                </v:shape>
                <v:shape id="Freeform 19" o:spid="_x0000_s1034" style="position:absolute;left:1200;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" path="m,l,30,8,23,8,8,,xe" fillcolor="#7f7d78" stroked="f">
                  <v:path arrowok="t" o:connecttype="custom" o:connectlocs="0,209;0,239;8,232;8,217;0,209" o:connectangles="0,0,0,0,0"/>
                </v:shape>
                <w10:wrap type="topAndBottom" anchorx="page"/>
              </v:group>
            </w:pict>
          </mc:Fallback>
        </mc:AlternateContent>
      </w:r>
    </w:p>
    <w:p w:rsidR="00122E77" w:rsidRPr="00122E77" w:rsidRDefault="00122E77" w:rsidP="00122E77">
      <w:pPr>
        <w:widowControl w:val="0"/>
        <w:autoSpaceDE w:val="0"/>
        <w:autoSpaceDN w:val="0"/>
        <w:spacing w:before="7"/>
        <w:jc w:val="left"/>
        <w:rPr>
          <w:rFonts w:ascii="Times New Roman" w:hAnsi="Times New Roman"/>
          <w:b/>
          <w:sz w:val="25"/>
          <w:szCs w:val="22"/>
        </w:rPr>
      </w:pPr>
    </w:p>
    <w:p w:rsidR="00122E77" w:rsidRPr="00122E77" w:rsidRDefault="00122E77" w:rsidP="00122E77">
      <w:pPr>
        <w:widowControl w:val="0"/>
        <w:autoSpaceDE w:val="0"/>
        <w:autoSpaceDN w:val="0"/>
        <w:jc w:val="left"/>
        <w:rPr>
          <w:rFonts w:ascii="Times New Roman" w:hAnsi="Times New Roman"/>
          <w:sz w:val="22"/>
          <w:szCs w:val="22"/>
        </w:rPr>
      </w:pPr>
      <w:r w:rsidRPr="00122E77">
        <w:rPr>
          <w:rFonts w:ascii="Times New Roman" w:hAnsi="Times New Roman"/>
          <w:sz w:val="22"/>
          <w:szCs w:val="22"/>
        </w:rPr>
        <w:t>Peter Button,</w:t>
      </w:r>
    </w:p>
    <w:p w:rsidR="00122E77" w:rsidRPr="00122E77" w:rsidRDefault="00122E77" w:rsidP="00122E77">
      <w:pPr>
        <w:widowControl w:val="0"/>
        <w:autoSpaceDE w:val="0"/>
        <w:autoSpaceDN w:val="0"/>
        <w:spacing w:before="11"/>
        <w:jc w:val="left"/>
        <w:rPr>
          <w:rFonts w:ascii="Times New Roman" w:hAnsi="Times New Roman"/>
          <w:sz w:val="22"/>
          <w:szCs w:val="22"/>
        </w:rPr>
      </w:pPr>
    </w:p>
    <w:p w:rsidR="00122E77" w:rsidRPr="00122E77" w:rsidRDefault="00122E77" w:rsidP="00122E77">
      <w:pPr>
        <w:widowControl w:val="0"/>
        <w:autoSpaceDE w:val="0"/>
        <w:autoSpaceDN w:val="0"/>
        <w:jc w:val="left"/>
        <w:rPr>
          <w:rFonts w:ascii="Times New Roman" w:hAnsi="Times New Roman"/>
          <w:sz w:val="22"/>
          <w:szCs w:val="22"/>
        </w:rPr>
      </w:pPr>
      <w:r w:rsidRPr="00122E77">
        <w:rPr>
          <w:rFonts w:ascii="Times New Roman" w:hAnsi="Times New Roman"/>
          <w:sz w:val="22"/>
          <w:szCs w:val="22"/>
        </w:rPr>
        <w:t>Vice Secretary-General</w:t>
      </w:r>
    </w:p>
    <w:p w:rsidR="00122E77" w:rsidRPr="00122E77" w:rsidRDefault="00122E77" w:rsidP="00122E77">
      <w:pPr>
        <w:widowControl w:val="0"/>
        <w:autoSpaceDE w:val="0"/>
        <w:autoSpaceDN w:val="0"/>
        <w:spacing w:before="10"/>
        <w:jc w:val="left"/>
        <w:rPr>
          <w:rFonts w:ascii="Times New Roman" w:hAnsi="Times New Roman"/>
          <w:sz w:val="22"/>
          <w:szCs w:val="22"/>
        </w:rPr>
      </w:pPr>
    </w:p>
    <w:p w:rsidR="00122E77" w:rsidRPr="00122E77" w:rsidRDefault="00122E77" w:rsidP="00122E77">
      <w:pPr>
        <w:widowControl w:val="0"/>
        <w:autoSpaceDE w:val="0"/>
        <w:autoSpaceDN w:val="0"/>
        <w:jc w:val="left"/>
        <w:rPr>
          <w:rFonts w:ascii="Times New Roman" w:hAnsi="Times New Roman"/>
          <w:sz w:val="24"/>
          <w:szCs w:val="22"/>
        </w:rPr>
      </w:pPr>
      <w:r w:rsidRPr="00122E77">
        <w:rPr>
          <w:rFonts w:ascii="Times New Roman" w:hAnsi="Times New Roman"/>
          <w:sz w:val="22"/>
          <w:szCs w:val="22"/>
        </w:rPr>
        <w:t>THE INTERNATIONAL UNION FOR THE PROTECTION OF NEW VARIETIES OF PLANTS</w:t>
      </w:r>
    </w:p>
    <w:p w:rsidR="00122E77" w:rsidRPr="00122E77" w:rsidRDefault="00122E77" w:rsidP="00122E77">
      <w:pPr>
        <w:widowControl w:val="0"/>
        <w:autoSpaceDE w:val="0"/>
        <w:autoSpaceDN w:val="0"/>
        <w:jc w:val="left"/>
        <w:rPr>
          <w:rFonts w:ascii="Times New Roman" w:hAnsi="Times New Roman"/>
          <w:sz w:val="24"/>
          <w:szCs w:val="22"/>
        </w:rPr>
      </w:pPr>
    </w:p>
    <w:p w:rsidR="00122E77" w:rsidRPr="00122E77" w:rsidRDefault="00122E77" w:rsidP="00122E77">
      <w:pPr>
        <w:widowControl w:val="0"/>
        <w:autoSpaceDE w:val="0"/>
        <w:autoSpaceDN w:val="0"/>
        <w:spacing w:before="9"/>
        <w:jc w:val="left"/>
        <w:rPr>
          <w:rFonts w:ascii="Times New Roman" w:hAnsi="Times New Roman"/>
          <w:sz w:val="19"/>
          <w:szCs w:val="22"/>
        </w:rPr>
      </w:pPr>
    </w:p>
    <w:p w:rsidR="00122E77" w:rsidRPr="00122E77" w:rsidRDefault="00122E77" w:rsidP="00122E77">
      <w:pPr>
        <w:widowControl w:val="0"/>
        <w:autoSpaceDE w:val="0"/>
        <w:autoSpaceDN w:val="0"/>
        <w:jc w:val="left"/>
        <w:rPr>
          <w:rFonts w:ascii="Times New Roman" w:hAnsi="Times New Roman"/>
          <w:sz w:val="22"/>
          <w:szCs w:val="22"/>
        </w:rPr>
      </w:pPr>
      <w:r w:rsidRPr="00122E77">
        <w:rPr>
          <w:rFonts w:ascii="Times New Roman" w:hAnsi="Times New Roman"/>
          <w:sz w:val="22"/>
          <w:szCs w:val="22"/>
        </w:rPr>
        <w:t>Dear Mr. Button,</w:t>
      </w:r>
    </w:p>
    <w:p w:rsidR="00122E77" w:rsidRPr="00122E77" w:rsidRDefault="00122E77" w:rsidP="00122E77">
      <w:pPr>
        <w:widowControl w:val="0"/>
        <w:autoSpaceDE w:val="0"/>
        <w:autoSpaceDN w:val="0"/>
        <w:spacing w:before="11"/>
        <w:jc w:val="left"/>
        <w:rPr>
          <w:rFonts w:ascii="Times New Roman" w:hAnsi="Times New Roman"/>
          <w:sz w:val="22"/>
          <w:szCs w:val="22"/>
        </w:rPr>
      </w:pPr>
    </w:p>
    <w:p w:rsidR="00122E77" w:rsidRPr="00122E77" w:rsidRDefault="00122E77" w:rsidP="00122E77">
      <w:pPr>
        <w:widowControl w:val="0"/>
        <w:autoSpaceDE w:val="0"/>
        <w:autoSpaceDN w:val="0"/>
        <w:spacing w:line="276" w:lineRule="auto"/>
        <w:ind w:right="526"/>
        <w:jc w:val="left"/>
        <w:rPr>
          <w:rFonts w:ascii="Times New Roman" w:hAnsi="Times New Roman"/>
          <w:sz w:val="22"/>
          <w:szCs w:val="22"/>
        </w:rPr>
      </w:pPr>
      <w:r w:rsidRPr="00122E77">
        <w:rPr>
          <w:rFonts w:ascii="Times New Roman" w:hAnsi="Times New Roman"/>
          <w:sz w:val="22"/>
          <w:szCs w:val="22"/>
        </w:rPr>
        <w:t>I am writing to you in response to Circular E-20/017, which requests comments on document UPOV/EXN/DEN/1 Draft 3 and the proposals of the Community Plant Variety Office (CPVO) of the European Union to amend Section 2.3.3 of document UPOV/EXN/DEN/1 Draft 3.</w:t>
      </w:r>
    </w:p>
    <w:p w:rsidR="00122E77" w:rsidRPr="00122E77" w:rsidRDefault="00122E77" w:rsidP="00122E77">
      <w:pPr>
        <w:widowControl w:val="0"/>
        <w:autoSpaceDE w:val="0"/>
        <w:autoSpaceDN w:val="0"/>
        <w:spacing w:before="8"/>
        <w:jc w:val="left"/>
        <w:rPr>
          <w:rFonts w:ascii="Times New Roman" w:hAnsi="Times New Roman"/>
          <w:sz w:val="19"/>
          <w:szCs w:val="22"/>
        </w:rPr>
      </w:pPr>
    </w:p>
    <w:p w:rsidR="00122E77" w:rsidRPr="00122E77" w:rsidRDefault="00122E77" w:rsidP="00122E77">
      <w:pPr>
        <w:widowControl w:val="0"/>
        <w:autoSpaceDE w:val="0"/>
        <w:autoSpaceDN w:val="0"/>
        <w:spacing w:before="1"/>
        <w:jc w:val="left"/>
        <w:rPr>
          <w:rFonts w:ascii="Times New Roman" w:hAnsi="Times New Roman"/>
          <w:sz w:val="22"/>
          <w:szCs w:val="22"/>
        </w:rPr>
      </w:pPr>
      <w:r w:rsidRPr="00122E77">
        <w:rPr>
          <w:rFonts w:ascii="Times New Roman" w:hAnsi="Times New Roman"/>
          <w:sz w:val="22"/>
          <w:szCs w:val="22"/>
        </w:rPr>
        <w:t>Accordingly, I have the honor of transmitting herewith Argentina’s response to the circular.</w:t>
      </w:r>
    </w:p>
    <w:p w:rsidR="00122E77" w:rsidRPr="00122E77" w:rsidRDefault="00122E77" w:rsidP="00122E77">
      <w:pPr>
        <w:widowControl w:val="0"/>
        <w:autoSpaceDE w:val="0"/>
        <w:autoSpaceDN w:val="0"/>
        <w:spacing w:before="10"/>
        <w:jc w:val="left"/>
        <w:rPr>
          <w:rFonts w:ascii="Times New Roman" w:hAnsi="Times New Roman"/>
          <w:sz w:val="22"/>
          <w:szCs w:val="22"/>
        </w:rPr>
      </w:pPr>
    </w:p>
    <w:p w:rsidR="00122E77" w:rsidRPr="00122E77" w:rsidRDefault="00122E77" w:rsidP="00122E77">
      <w:pPr>
        <w:rPr>
          <w:rFonts w:ascii="Times New Roman" w:hAnsi="Times New Roman"/>
          <w:b/>
          <w:sz w:val="22"/>
          <w:u w:val="single"/>
        </w:rPr>
      </w:pPr>
      <w:r w:rsidRPr="00122E77">
        <w:rPr>
          <w:rFonts w:ascii="Times New Roman" w:hAnsi="Times New Roman"/>
          <w:b/>
          <w:sz w:val="22"/>
          <w:u w:val="single"/>
        </w:rPr>
        <w:t>Paragraph 1.3</w:t>
      </w:r>
    </w:p>
    <w:p w:rsidR="00122E77" w:rsidRPr="00122E77" w:rsidRDefault="00122E77" w:rsidP="00122E77">
      <w:pPr>
        <w:widowControl w:val="0"/>
        <w:autoSpaceDE w:val="0"/>
        <w:autoSpaceDN w:val="0"/>
        <w:spacing w:before="8"/>
        <w:jc w:val="left"/>
        <w:rPr>
          <w:rFonts w:ascii="Times New Roman" w:hAnsi="Times New Roman"/>
          <w:b/>
          <w:sz w:val="14"/>
          <w:szCs w:val="22"/>
        </w:rPr>
      </w:pPr>
    </w:p>
    <w:p w:rsidR="00122E77" w:rsidRPr="00122E77" w:rsidRDefault="00122E77" w:rsidP="00122E77">
      <w:pPr>
        <w:widowControl w:val="0"/>
        <w:autoSpaceDE w:val="0"/>
        <w:autoSpaceDN w:val="0"/>
        <w:spacing w:before="95"/>
        <w:jc w:val="left"/>
        <w:rPr>
          <w:rFonts w:ascii="Times New Roman" w:hAnsi="Times New Roman"/>
          <w:sz w:val="22"/>
          <w:szCs w:val="22"/>
        </w:rPr>
      </w:pPr>
      <w:r w:rsidRPr="00122E77">
        <w:rPr>
          <w:rFonts w:ascii="Times New Roman" w:hAnsi="Times New Roman"/>
          <w:sz w:val="22"/>
          <w:szCs w:val="22"/>
        </w:rPr>
        <w:t>“</w:t>
      </w:r>
      <w:r w:rsidRPr="00122E77">
        <w:rPr>
          <w:rFonts w:ascii="Times New Roman" w:hAnsi="Times New Roman"/>
          <w:i/>
          <w:sz w:val="22"/>
          <w:szCs w:val="22"/>
        </w:rPr>
        <w:t xml:space="preserve">Si </w:t>
      </w:r>
      <w:proofErr w:type="spellStart"/>
      <w:r w:rsidRPr="00122E77">
        <w:rPr>
          <w:rFonts w:ascii="Times New Roman" w:hAnsi="Times New Roman"/>
          <w:i/>
          <w:sz w:val="22"/>
          <w:szCs w:val="22"/>
        </w:rPr>
        <w:t>tiene</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conocimiento</w:t>
      </w:r>
      <w:proofErr w:type="spellEnd"/>
      <w:r w:rsidRPr="00122E77">
        <w:rPr>
          <w:rFonts w:ascii="Times New Roman" w:hAnsi="Times New Roman"/>
          <w:sz w:val="22"/>
          <w:szCs w:val="22"/>
        </w:rPr>
        <w:t>” [If [an authority] is aware] is repeated in this paragraph. It appears at the beginning and again in the middle. As it is redundant, it would be appropriate to delete one of two such instances.</w:t>
      </w:r>
    </w:p>
    <w:p w:rsidR="00122E77" w:rsidRPr="00122E77" w:rsidRDefault="00122E77" w:rsidP="00122E77">
      <w:pPr>
        <w:widowControl w:val="0"/>
        <w:autoSpaceDE w:val="0"/>
        <w:autoSpaceDN w:val="0"/>
        <w:spacing w:before="11"/>
        <w:jc w:val="left"/>
        <w:rPr>
          <w:rFonts w:ascii="Times New Roman" w:hAnsi="Times New Roman"/>
          <w:sz w:val="22"/>
          <w:szCs w:val="22"/>
        </w:rPr>
      </w:pPr>
    </w:p>
    <w:p w:rsidR="00122E77" w:rsidRPr="00122E77" w:rsidRDefault="00122E77" w:rsidP="00122E77">
      <w:pPr>
        <w:keepNext/>
        <w:rPr>
          <w:rFonts w:ascii="Times New Roman" w:hAnsi="Times New Roman"/>
          <w:b/>
          <w:sz w:val="22"/>
          <w:u w:val="single"/>
        </w:rPr>
      </w:pPr>
      <w:r w:rsidRPr="00122E77">
        <w:rPr>
          <w:rFonts w:ascii="Times New Roman" w:hAnsi="Times New Roman"/>
          <w:b/>
          <w:sz w:val="22"/>
          <w:u w:val="single"/>
        </w:rPr>
        <w:t>Proposals for examples in Spanish:</w:t>
      </w:r>
    </w:p>
    <w:p w:rsidR="00122E77" w:rsidRPr="00122E77" w:rsidRDefault="00122E77" w:rsidP="00122E77">
      <w:pPr>
        <w:keepNext/>
        <w:widowControl w:val="0"/>
        <w:autoSpaceDE w:val="0"/>
        <w:autoSpaceDN w:val="0"/>
        <w:spacing w:before="7"/>
        <w:jc w:val="left"/>
        <w:rPr>
          <w:rFonts w:ascii="Times New Roman" w:hAnsi="Times New Roman"/>
          <w:b/>
          <w:sz w:val="14"/>
          <w:szCs w:val="22"/>
        </w:rPr>
      </w:pPr>
    </w:p>
    <w:p w:rsidR="00122E77" w:rsidRPr="00122E77" w:rsidRDefault="00122E77" w:rsidP="00122E77">
      <w:pPr>
        <w:widowControl w:val="0"/>
        <w:numPr>
          <w:ilvl w:val="1"/>
          <w:numId w:val="24"/>
        </w:numPr>
        <w:tabs>
          <w:tab w:val="left" w:pos="438"/>
        </w:tabs>
        <w:autoSpaceDE w:val="0"/>
        <w:autoSpaceDN w:val="0"/>
        <w:spacing w:before="95"/>
        <w:rPr>
          <w:rFonts w:ascii="Times New Roman" w:hAnsi="Times New Roman"/>
          <w:sz w:val="22"/>
          <w:szCs w:val="22"/>
          <w:lang w:val="es-ES"/>
        </w:rPr>
      </w:pPr>
      <w:r w:rsidRPr="00122E77">
        <w:rPr>
          <w:rFonts w:ascii="Times New Roman" w:hAnsi="Times New Roman"/>
          <w:sz w:val="22"/>
          <w:szCs w:val="22"/>
        </w:rPr>
        <w:t xml:space="preserve"> </w:t>
      </w:r>
      <w:r w:rsidRPr="00122E77">
        <w:rPr>
          <w:rFonts w:ascii="Times New Roman" w:hAnsi="Times New Roman"/>
          <w:sz w:val="22"/>
          <w:szCs w:val="22"/>
          <w:lang w:val="es-ES"/>
        </w:rPr>
        <w:t>“</w:t>
      </w:r>
      <w:r w:rsidRPr="00122E77">
        <w:rPr>
          <w:rFonts w:ascii="Times New Roman" w:hAnsi="Times New Roman"/>
          <w:i/>
          <w:sz w:val="22"/>
          <w:szCs w:val="22"/>
          <w:lang w:val="es-ES"/>
        </w:rPr>
        <w:t>Susceptibles de inducir en error o de prestarse a</w:t>
      </w:r>
      <w:r w:rsidRPr="00122E77">
        <w:rPr>
          <w:rFonts w:ascii="Times New Roman" w:hAnsi="Times New Roman"/>
          <w:i/>
          <w:spacing w:val="18"/>
          <w:sz w:val="22"/>
          <w:szCs w:val="22"/>
          <w:lang w:val="es-ES"/>
        </w:rPr>
        <w:t xml:space="preserve"> </w:t>
      </w:r>
      <w:r w:rsidRPr="00122E77">
        <w:rPr>
          <w:rFonts w:ascii="Times New Roman" w:hAnsi="Times New Roman"/>
          <w:i/>
          <w:sz w:val="22"/>
          <w:szCs w:val="22"/>
          <w:lang w:val="es-ES"/>
        </w:rPr>
        <w:t>confusión</w:t>
      </w:r>
      <w:r w:rsidRPr="00122E77">
        <w:rPr>
          <w:rFonts w:ascii="Times New Roman" w:hAnsi="Times New Roman"/>
          <w:sz w:val="22"/>
          <w:szCs w:val="22"/>
          <w:lang w:val="es-ES"/>
        </w:rPr>
        <w:t>” [</w:t>
      </w:r>
      <w:proofErr w:type="spellStart"/>
      <w:r w:rsidRPr="00122E77">
        <w:rPr>
          <w:rFonts w:ascii="Times New Roman" w:hAnsi="Times New Roman"/>
          <w:sz w:val="22"/>
          <w:szCs w:val="22"/>
          <w:lang w:val="es-ES"/>
        </w:rPr>
        <w:t>Liable</w:t>
      </w:r>
      <w:proofErr w:type="spellEnd"/>
      <w:r w:rsidRPr="00122E77">
        <w:rPr>
          <w:rFonts w:ascii="Times New Roman" w:hAnsi="Times New Roman"/>
          <w:sz w:val="22"/>
          <w:szCs w:val="22"/>
          <w:lang w:val="es-ES"/>
        </w:rPr>
        <w:t xml:space="preserve"> to </w:t>
      </w:r>
      <w:proofErr w:type="spellStart"/>
      <w:r w:rsidRPr="00122E77">
        <w:rPr>
          <w:rFonts w:ascii="Times New Roman" w:hAnsi="Times New Roman"/>
          <w:sz w:val="22"/>
          <w:szCs w:val="22"/>
          <w:lang w:val="es-ES"/>
        </w:rPr>
        <w:t>mislead</w:t>
      </w:r>
      <w:proofErr w:type="spellEnd"/>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or</w:t>
      </w:r>
      <w:proofErr w:type="spellEnd"/>
      <w:r w:rsidRPr="00122E77">
        <w:rPr>
          <w:rFonts w:ascii="Times New Roman" w:hAnsi="Times New Roman"/>
          <w:sz w:val="22"/>
          <w:szCs w:val="22"/>
          <w:lang w:val="es-ES"/>
        </w:rPr>
        <w:t xml:space="preserve"> to cause </w:t>
      </w:r>
      <w:proofErr w:type="spellStart"/>
      <w:r w:rsidRPr="00122E77">
        <w:rPr>
          <w:rFonts w:ascii="Times New Roman" w:hAnsi="Times New Roman"/>
          <w:sz w:val="22"/>
          <w:szCs w:val="22"/>
          <w:lang w:val="es-ES"/>
        </w:rPr>
        <w:t>confusion</w:t>
      </w:r>
      <w:proofErr w:type="spellEnd"/>
      <w:r w:rsidRPr="00122E77">
        <w:rPr>
          <w:rFonts w:ascii="Times New Roman" w:hAnsi="Times New Roman"/>
          <w:sz w:val="22"/>
          <w:szCs w:val="22"/>
          <w:lang w:val="es-ES"/>
        </w:rPr>
        <w:t>]</w:t>
      </w:r>
    </w:p>
    <w:p w:rsidR="00122E77" w:rsidRPr="00122E77" w:rsidRDefault="00122E77" w:rsidP="00122E77">
      <w:pPr>
        <w:widowControl w:val="0"/>
        <w:autoSpaceDE w:val="0"/>
        <w:autoSpaceDN w:val="0"/>
        <w:spacing w:before="11"/>
        <w:jc w:val="left"/>
        <w:rPr>
          <w:rFonts w:ascii="Times New Roman" w:hAnsi="Times New Roman"/>
          <w:sz w:val="22"/>
          <w:szCs w:val="22"/>
          <w:lang w:val="es-ES"/>
        </w:rPr>
      </w:pPr>
    </w:p>
    <w:p w:rsidR="00122E77" w:rsidRPr="00122E77" w:rsidRDefault="00122E77" w:rsidP="00122E77">
      <w:pPr>
        <w:widowControl w:val="0"/>
        <w:autoSpaceDE w:val="0"/>
        <w:autoSpaceDN w:val="0"/>
        <w:ind w:left="775"/>
        <w:jc w:val="left"/>
        <w:rPr>
          <w:rFonts w:ascii="Times New Roman" w:hAnsi="Times New Roman"/>
          <w:sz w:val="22"/>
          <w:szCs w:val="22"/>
        </w:rPr>
      </w:pPr>
      <w:r w:rsidRPr="00122E77">
        <w:rPr>
          <w:rFonts w:ascii="Times New Roman" w:hAnsi="Times New Roman"/>
          <w:sz w:val="22"/>
          <w:szCs w:val="22"/>
        </w:rPr>
        <w:lastRenderedPageBreak/>
        <w:t>2.3.1 “</w:t>
      </w:r>
      <w:proofErr w:type="spellStart"/>
      <w:r w:rsidRPr="00122E77">
        <w:rPr>
          <w:rFonts w:ascii="Times New Roman" w:hAnsi="Times New Roman"/>
          <w:i/>
          <w:sz w:val="22"/>
          <w:szCs w:val="22"/>
        </w:rPr>
        <w:t>Características</w:t>
      </w:r>
      <w:proofErr w:type="spellEnd"/>
      <w:r w:rsidRPr="00122E77">
        <w:rPr>
          <w:rFonts w:ascii="Times New Roman" w:hAnsi="Times New Roman"/>
          <w:i/>
          <w:sz w:val="22"/>
          <w:szCs w:val="22"/>
        </w:rPr>
        <w:t xml:space="preserve"> de la </w:t>
      </w:r>
      <w:proofErr w:type="spellStart"/>
      <w:r w:rsidRPr="00122E77">
        <w:rPr>
          <w:rFonts w:ascii="Times New Roman" w:hAnsi="Times New Roman"/>
          <w:i/>
          <w:sz w:val="22"/>
          <w:szCs w:val="22"/>
        </w:rPr>
        <w:t>variedad</w:t>
      </w:r>
      <w:proofErr w:type="spellEnd"/>
      <w:r w:rsidRPr="00122E77">
        <w:rPr>
          <w:rFonts w:ascii="Times New Roman" w:hAnsi="Times New Roman"/>
          <w:sz w:val="22"/>
          <w:szCs w:val="22"/>
        </w:rPr>
        <w:t>” [Characteristics of the variety]</w:t>
      </w:r>
    </w:p>
    <w:p w:rsidR="00122E77" w:rsidRPr="00122E77" w:rsidRDefault="00122E77" w:rsidP="00122E77">
      <w:pPr>
        <w:widowControl w:val="0"/>
        <w:autoSpaceDE w:val="0"/>
        <w:autoSpaceDN w:val="0"/>
        <w:spacing w:before="10"/>
        <w:jc w:val="left"/>
        <w:rPr>
          <w:rFonts w:ascii="Times New Roman" w:hAnsi="Times New Roman"/>
          <w:sz w:val="22"/>
          <w:szCs w:val="22"/>
        </w:rPr>
      </w:pPr>
    </w:p>
    <w:p w:rsidR="00122E77" w:rsidRPr="00122E77" w:rsidRDefault="00122E77" w:rsidP="00122E77">
      <w:pPr>
        <w:widowControl w:val="0"/>
        <w:autoSpaceDE w:val="0"/>
        <w:autoSpaceDN w:val="0"/>
        <w:spacing w:before="1"/>
        <w:ind w:left="1450"/>
        <w:jc w:val="left"/>
        <w:rPr>
          <w:rFonts w:ascii="Times New Roman" w:hAnsi="Times New Roman"/>
          <w:sz w:val="22"/>
          <w:szCs w:val="22"/>
        </w:rPr>
      </w:pPr>
      <w:r w:rsidRPr="00122E77">
        <w:rPr>
          <w:rFonts w:ascii="Times New Roman" w:hAnsi="Times New Roman"/>
          <w:sz w:val="22"/>
          <w:szCs w:val="22"/>
        </w:rPr>
        <w:t>(c) “</w:t>
      </w:r>
      <w:proofErr w:type="spellStart"/>
      <w:r w:rsidRPr="00122E77">
        <w:rPr>
          <w:rFonts w:ascii="Times New Roman" w:hAnsi="Times New Roman"/>
          <w:i/>
          <w:sz w:val="22"/>
          <w:szCs w:val="22"/>
        </w:rPr>
        <w:t>Ejemplos</w:t>
      </w:r>
      <w:proofErr w:type="spellEnd"/>
      <w:r w:rsidRPr="00122E77">
        <w:rPr>
          <w:rFonts w:ascii="Times New Roman" w:hAnsi="Times New Roman"/>
          <w:sz w:val="22"/>
          <w:szCs w:val="22"/>
        </w:rPr>
        <w:t>”</w:t>
      </w:r>
      <w:r w:rsidRPr="00122E77">
        <w:rPr>
          <w:rFonts w:ascii="Times New Roman" w:hAnsi="Times New Roman"/>
          <w:i/>
          <w:sz w:val="22"/>
          <w:szCs w:val="22"/>
        </w:rPr>
        <w:t xml:space="preserve"> </w:t>
      </w:r>
      <w:r w:rsidRPr="00122E77">
        <w:rPr>
          <w:rFonts w:ascii="Times New Roman" w:hAnsi="Times New Roman"/>
          <w:sz w:val="22"/>
          <w:szCs w:val="22"/>
        </w:rPr>
        <w:t>[Examples]:</w:t>
      </w:r>
    </w:p>
    <w:p w:rsidR="00122E77" w:rsidRPr="00122E77" w:rsidRDefault="00122E77" w:rsidP="00122E77">
      <w:pPr>
        <w:widowControl w:val="0"/>
        <w:autoSpaceDE w:val="0"/>
        <w:autoSpaceDN w:val="0"/>
        <w:spacing w:before="10"/>
        <w:jc w:val="left"/>
        <w:rPr>
          <w:rFonts w:ascii="Times New Roman" w:hAnsi="Times New Roman"/>
          <w:sz w:val="22"/>
          <w:szCs w:val="22"/>
        </w:rPr>
      </w:pPr>
    </w:p>
    <w:p w:rsidR="00122E77" w:rsidRPr="00122E77" w:rsidRDefault="00122E77" w:rsidP="00122E77">
      <w:pPr>
        <w:widowControl w:val="0"/>
        <w:autoSpaceDE w:val="0"/>
        <w:autoSpaceDN w:val="0"/>
        <w:ind w:left="2125"/>
        <w:jc w:val="left"/>
        <w:rPr>
          <w:rFonts w:ascii="Times New Roman" w:hAnsi="Times New Roman"/>
          <w:sz w:val="22"/>
          <w:szCs w:val="22"/>
        </w:rPr>
      </w:pPr>
      <w:r w:rsidRPr="00122E77">
        <w:rPr>
          <w:rFonts w:ascii="Times New Roman" w:hAnsi="Times New Roman"/>
          <w:sz w:val="22"/>
          <w:szCs w:val="22"/>
        </w:rPr>
        <w:t>Suitable denominations: “A 5409” and “A 5409 RG”</w:t>
      </w:r>
    </w:p>
    <w:p w:rsidR="00122E77" w:rsidRPr="00122E77" w:rsidRDefault="00122E77" w:rsidP="00122E77">
      <w:pPr>
        <w:widowControl w:val="0"/>
        <w:autoSpaceDE w:val="0"/>
        <w:autoSpaceDN w:val="0"/>
        <w:spacing w:before="11"/>
        <w:jc w:val="left"/>
        <w:rPr>
          <w:rFonts w:ascii="Times New Roman" w:hAnsi="Times New Roman"/>
          <w:sz w:val="22"/>
          <w:szCs w:val="22"/>
        </w:rPr>
      </w:pPr>
    </w:p>
    <w:p w:rsidR="00122E77" w:rsidRPr="00122E77" w:rsidRDefault="00122E77" w:rsidP="00122E77">
      <w:pPr>
        <w:widowControl w:val="0"/>
        <w:autoSpaceDE w:val="0"/>
        <w:autoSpaceDN w:val="0"/>
        <w:spacing w:line="276" w:lineRule="auto"/>
        <w:jc w:val="left"/>
        <w:rPr>
          <w:rFonts w:ascii="Times New Roman" w:hAnsi="Times New Roman"/>
          <w:sz w:val="22"/>
          <w:szCs w:val="22"/>
        </w:rPr>
      </w:pPr>
      <w:r w:rsidRPr="00122E77">
        <w:rPr>
          <w:rFonts w:ascii="Times New Roman" w:hAnsi="Times New Roman"/>
          <w:sz w:val="22"/>
          <w:szCs w:val="22"/>
          <w:u w:val="single"/>
        </w:rPr>
        <w:t>Explanation:</w:t>
      </w:r>
      <w:r w:rsidRPr="00122E77">
        <w:rPr>
          <w:rFonts w:ascii="Times New Roman" w:hAnsi="Times New Roman"/>
          <w:sz w:val="22"/>
          <w:szCs w:val="22"/>
        </w:rPr>
        <w:t xml:space="preserve"> They concern denominations of varieties of the Soybean species, where the former corresponds to a variety that is not modified by recombinant DNA and the latter corresponds to the mentioned variety, into which the glyphosate resistance gene was introduced.</w:t>
      </w:r>
    </w:p>
    <w:p w:rsidR="00122E77" w:rsidRPr="00122E77" w:rsidRDefault="00122E77" w:rsidP="00122E77">
      <w:pPr>
        <w:widowControl w:val="0"/>
        <w:autoSpaceDE w:val="0"/>
        <w:autoSpaceDN w:val="0"/>
        <w:spacing w:before="8"/>
        <w:jc w:val="left"/>
        <w:rPr>
          <w:rFonts w:ascii="Times New Roman" w:hAnsi="Times New Roman"/>
          <w:sz w:val="19"/>
          <w:szCs w:val="22"/>
        </w:rPr>
      </w:pPr>
    </w:p>
    <w:p w:rsidR="00122E77" w:rsidRPr="00122E77" w:rsidRDefault="00122E77" w:rsidP="00122E77">
      <w:pPr>
        <w:widowControl w:val="0"/>
        <w:autoSpaceDE w:val="0"/>
        <w:autoSpaceDN w:val="0"/>
        <w:spacing w:before="1" w:line="276" w:lineRule="auto"/>
        <w:ind w:firstLine="2127"/>
        <w:jc w:val="left"/>
        <w:rPr>
          <w:rFonts w:ascii="Times New Roman" w:hAnsi="Times New Roman"/>
          <w:sz w:val="22"/>
          <w:szCs w:val="22"/>
        </w:rPr>
      </w:pPr>
      <w:proofErr w:type="spellStart"/>
      <w:r w:rsidRPr="00122E77">
        <w:rPr>
          <w:rFonts w:ascii="Times New Roman" w:hAnsi="Times New Roman"/>
          <w:i/>
          <w:sz w:val="22"/>
          <w:szCs w:val="22"/>
        </w:rPr>
        <w:t>Denominaciones</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inadecuadas</w:t>
      </w:r>
      <w:proofErr w:type="spellEnd"/>
      <w:r w:rsidRPr="00122E77">
        <w:rPr>
          <w:rFonts w:ascii="Times New Roman" w:hAnsi="Times New Roman"/>
          <w:i/>
          <w:sz w:val="22"/>
          <w:szCs w:val="22"/>
        </w:rPr>
        <w:t xml:space="preserve"> </w:t>
      </w:r>
      <w:r w:rsidRPr="00122E77">
        <w:rPr>
          <w:rFonts w:ascii="Times New Roman" w:hAnsi="Times New Roman"/>
          <w:sz w:val="22"/>
          <w:szCs w:val="22"/>
        </w:rPr>
        <w:t>[Unsuitable denominations]: “DELTA II”, if the Swiss Chard variety “DELTA” has not been used to breed “DELTA II”.</w:t>
      </w:r>
    </w:p>
    <w:p w:rsidR="00122E77" w:rsidRPr="00122E77" w:rsidRDefault="00122E77" w:rsidP="00122E77">
      <w:pPr>
        <w:widowControl w:val="0"/>
        <w:autoSpaceDE w:val="0"/>
        <w:autoSpaceDN w:val="0"/>
        <w:spacing w:before="7"/>
        <w:jc w:val="left"/>
        <w:rPr>
          <w:rFonts w:ascii="Times New Roman" w:hAnsi="Times New Roman"/>
          <w:sz w:val="19"/>
          <w:szCs w:val="22"/>
        </w:rPr>
      </w:pPr>
    </w:p>
    <w:p w:rsidR="00122E77" w:rsidRPr="00122E77" w:rsidRDefault="00122E77" w:rsidP="00122E77">
      <w:pPr>
        <w:rPr>
          <w:rFonts w:ascii="Times New Roman" w:hAnsi="Times New Roman"/>
          <w:b/>
          <w:sz w:val="22"/>
          <w:u w:val="single"/>
        </w:rPr>
      </w:pPr>
      <w:r w:rsidRPr="00122E77">
        <w:rPr>
          <w:rFonts w:ascii="Times New Roman" w:hAnsi="Times New Roman"/>
          <w:b/>
          <w:sz w:val="22"/>
          <w:u w:val="single"/>
        </w:rPr>
        <w:t>Paragraph 2.3.3</w:t>
      </w:r>
    </w:p>
    <w:p w:rsidR="00122E77" w:rsidRPr="00122E77" w:rsidRDefault="00122E77" w:rsidP="00122E77">
      <w:pPr>
        <w:widowControl w:val="0"/>
        <w:autoSpaceDE w:val="0"/>
        <w:autoSpaceDN w:val="0"/>
        <w:spacing w:before="8"/>
        <w:jc w:val="left"/>
        <w:rPr>
          <w:rFonts w:ascii="Times New Roman" w:hAnsi="Times New Roman"/>
          <w:b/>
          <w:sz w:val="14"/>
          <w:szCs w:val="22"/>
        </w:rPr>
      </w:pPr>
    </w:p>
    <w:p w:rsidR="00122E77" w:rsidRPr="00122E77" w:rsidRDefault="00122E77" w:rsidP="00122E77">
      <w:pPr>
        <w:widowControl w:val="0"/>
        <w:autoSpaceDE w:val="0"/>
        <w:autoSpaceDN w:val="0"/>
        <w:spacing w:before="95" w:line="276" w:lineRule="auto"/>
        <w:jc w:val="left"/>
        <w:rPr>
          <w:rFonts w:ascii="Times New Roman" w:hAnsi="Times New Roman"/>
          <w:sz w:val="22"/>
          <w:szCs w:val="22"/>
        </w:rPr>
      </w:pPr>
      <w:r w:rsidRPr="00122E77">
        <w:rPr>
          <w:rFonts w:ascii="Times New Roman" w:hAnsi="Times New Roman"/>
          <w:sz w:val="22"/>
          <w:szCs w:val="22"/>
        </w:rPr>
        <w:t xml:space="preserve">Modify the text by adding </w:t>
      </w:r>
      <w:r w:rsidRPr="00122E77">
        <w:rPr>
          <w:rFonts w:ascii="Times New Roman" w:hAnsi="Times New Roman"/>
          <w:i/>
          <w:sz w:val="22"/>
          <w:szCs w:val="22"/>
        </w:rPr>
        <w:t xml:space="preserve">“que no </w:t>
      </w:r>
      <w:proofErr w:type="spellStart"/>
      <w:r w:rsidRPr="00122E77">
        <w:rPr>
          <w:rFonts w:ascii="Times New Roman" w:hAnsi="Times New Roman"/>
          <w:i/>
          <w:sz w:val="22"/>
          <w:szCs w:val="22"/>
        </w:rPr>
        <w:t>resultan</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taxativos</w:t>
      </w:r>
      <w:proofErr w:type="spellEnd"/>
      <w:r w:rsidRPr="00122E77">
        <w:rPr>
          <w:rFonts w:ascii="Times New Roman" w:hAnsi="Times New Roman"/>
          <w:i/>
          <w:sz w:val="22"/>
          <w:szCs w:val="22"/>
        </w:rPr>
        <w:t>”</w:t>
      </w:r>
      <w:r w:rsidRPr="00122E77">
        <w:rPr>
          <w:rFonts w:ascii="Times New Roman" w:hAnsi="Times New Roman"/>
          <w:sz w:val="22"/>
          <w:szCs w:val="22"/>
        </w:rPr>
        <w:t xml:space="preserve"> [that are not exhaustive], in order to clarify that there may be other cases and to read as follows:</w:t>
      </w:r>
    </w:p>
    <w:p w:rsidR="00122E77" w:rsidRPr="00122E77" w:rsidRDefault="00122E77" w:rsidP="00122E77">
      <w:pPr>
        <w:widowControl w:val="0"/>
        <w:autoSpaceDE w:val="0"/>
        <w:autoSpaceDN w:val="0"/>
        <w:spacing w:before="8"/>
        <w:jc w:val="left"/>
        <w:rPr>
          <w:rFonts w:ascii="Times New Roman" w:hAnsi="Times New Roman"/>
          <w:sz w:val="19"/>
          <w:szCs w:val="22"/>
        </w:rPr>
      </w:pPr>
    </w:p>
    <w:p w:rsidR="00122E77" w:rsidRPr="00122E77" w:rsidRDefault="00122E77" w:rsidP="00122E77">
      <w:pPr>
        <w:widowControl w:val="0"/>
        <w:autoSpaceDE w:val="0"/>
        <w:autoSpaceDN w:val="0"/>
        <w:ind w:left="426"/>
        <w:jc w:val="left"/>
        <w:rPr>
          <w:rFonts w:ascii="Times New Roman" w:hAnsi="Times New Roman"/>
          <w:i/>
          <w:sz w:val="22"/>
          <w:szCs w:val="22"/>
        </w:rPr>
      </w:pPr>
      <w:r w:rsidRPr="00122E77">
        <w:rPr>
          <w:rFonts w:ascii="Times New Roman" w:hAnsi="Times New Roman"/>
          <w:i/>
          <w:sz w:val="22"/>
          <w:szCs w:val="22"/>
        </w:rPr>
        <w:t>“2.3.3</w:t>
      </w:r>
      <w:r w:rsidRPr="00122E77">
        <w:rPr>
          <w:rFonts w:ascii="Times New Roman" w:hAnsi="Times New Roman"/>
          <w:i/>
          <w:sz w:val="22"/>
          <w:szCs w:val="22"/>
        </w:rPr>
        <w:tab/>
      </w:r>
      <w:proofErr w:type="spellStart"/>
      <w:r w:rsidRPr="00122E77">
        <w:rPr>
          <w:rFonts w:ascii="Times New Roman" w:hAnsi="Times New Roman"/>
          <w:i/>
          <w:sz w:val="22"/>
          <w:szCs w:val="22"/>
        </w:rPr>
        <w:t>Identidad</w:t>
      </w:r>
      <w:proofErr w:type="spellEnd"/>
      <w:r w:rsidRPr="00122E77">
        <w:rPr>
          <w:rFonts w:ascii="Times New Roman" w:hAnsi="Times New Roman"/>
          <w:i/>
          <w:sz w:val="22"/>
          <w:szCs w:val="22"/>
        </w:rPr>
        <w:t xml:space="preserve"> de la </w:t>
      </w:r>
      <w:proofErr w:type="spellStart"/>
      <w:r w:rsidRPr="00122E77">
        <w:rPr>
          <w:rFonts w:ascii="Times New Roman" w:hAnsi="Times New Roman"/>
          <w:i/>
          <w:sz w:val="22"/>
          <w:szCs w:val="22"/>
        </w:rPr>
        <w:t>variedad</w:t>
      </w:r>
      <w:proofErr w:type="spellEnd"/>
      <w:r w:rsidRPr="00122E77">
        <w:rPr>
          <w:rFonts w:ascii="Times New Roman" w:hAnsi="Times New Roman"/>
          <w:sz w:val="22"/>
          <w:szCs w:val="22"/>
        </w:rPr>
        <w:t xml:space="preserve"> [Identity of the variety]</w:t>
      </w:r>
    </w:p>
    <w:p w:rsidR="00122E77" w:rsidRPr="00122E77" w:rsidRDefault="00122E77" w:rsidP="00122E77">
      <w:pPr>
        <w:widowControl w:val="0"/>
        <w:autoSpaceDE w:val="0"/>
        <w:autoSpaceDN w:val="0"/>
        <w:spacing w:before="10"/>
        <w:ind w:left="426"/>
        <w:jc w:val="left"/>
        <w:rPr>
          <w:rFonts w:ascii="Times New Roman" w:hAnsi="Times New Roman"/>
          <w:i/>
          <w:sz w:val="22"/>
          <w:szCs w:val="22"/>
        </w:rPr>
      </w:pPr>
    </w:p>
    <w:p w:rsidR="00122E77" w:rsidRPr="00122E77" w:rsidRDefault="00122E77" w:rsidP="00122E77">
      <w:pPr>
        <w:numPr>
          <w:ilvl w:val="2"/>
          <w:numId w:val="24"/>
        </w:numPr>
        <w:contextualSpacing/>
        <w:rPr>
          <w:rFonts w:ascii="Times New Roman" w:hAnsi="Times New Roman"/>
          <w:i/>
          <w:sz w:val="22"/>
          <w:szCs w:val="22"/>
          <w:lang w:val="es-ES"/>
        </w:rPr>
      </w:pPr>
      <w:r w:rsidRPr="00122E77">
        <w:rPr>
          <w:rFonts w:ascii="Times New Roman" w:hAnsi="Times New Roman"/>
          <w:i/>
          <w:sz w:val="22"/>
          <w:szCs w:val="22"/>
          <w:lang w:val="es-ES"/>
        </w:rPr>
        <w:t>Una diferencia de solo una letra o un número podrá considerarse susceptible de inducir en error o prestarse   a confusión en relación con la identidad de la variedad. Sin embargo, los casos [ejemplos] siguientes, que no resultan taxativos, en los que la diferencia es de solo una letra o un número, podrán considerarse no susceptibles de inducir en error o prestarse a confusión: ….”</w:t>
      </w:r>
    </w:p>
    <w:p w:rsidR="00122E77" w:rsidRPr="00122E77" w:rsidRDefault="00122E77" w:rsidP="00122E77">
      <w:pPr>
        <w:widowControl w:val="0"/>
        <w:tabs>
          <w:tab w:val="left" w:pos="851"/>
        </w:tabs>
        <w:autoSpaceDE w:val="0"/>
        <w:autoSpaceDN w:val="0"/>
        <w:spacing w:before="1" w:line="276" w:lineRule="auto"/>
        <w:ind w:left="384" w:right="341"/>
        <w:jc w:val="left"/>
        <w:rPr>
          <w:rFonts w:ascii="Times New Roman" w:hAnsi="Times New Roman"/>
          <w:sz w:val="22"/>
          <w:szCs w:val="22"/>
        </w:rPr>
      </w:pPr>
      <w:r w:rsidRPr="00800945">
        <w:rPr>
          <w:rFonts w:ascii="Times New Roman" w:hAnsi="Times New Roman"/>
          <w:i/>
          <w:sz w:val="22"/>
          <w:szCs w:val="22"/>
        </w:rPr>
        <w:br/>
      </w:r>
      <w:r w:rsidRPr="00122E77">
        <w:rPr>
          <w:rFonts w:ascii="Times New Roman" w:hAnsi="Times New Roman"/>
          <w:sz w:val="22"/>
          <w:szCs w:val="22"/>
        </w:rPr>
        <w:t>[A difference of only one letter or one number may be considered to be liable to mislead or cause confusion concerning the identity of the variety. However, the following cases, that are not exhaustive, are examples of only one letter or one number difference that may be considered not to be liable to mislead or cause confusion: ….]</w:t>
      </w:r>
    </w:p>
    <w:p w:rsidR="00122E77" w:rsidRPr="00122E77" w:rsidRDefault="00122E77" w:rsidP="00122E77">
      <w:pPr>
        <w:widowControl w:val="0"/>
        <w:autoSpaceDE w:val="0"/>
        <w:autoSpaceDN w:val="0"/>
        <w:spacing w:before="9"/>
        <w:jc w:val="left"/>
        <w:rPr>
          <w:rFonts w:ascii="Times New Roman" w:hAnsi="Times New Roman"/>
          <w:i/>
          <w:sz w:val="19"/>
          <w:szCs w:val="22"/>
        </w:rPr>
      </w:pPr>
    </w:p>
    <w:p w:rsidR="00122E77" w:rsidRPr="00122E77" w:rsidRDefault="00122E77" w:rsidP="00122E77">
      <w:pPr>
        <w:rPr>
          <w:rFonts w:ascii="Times New Roman" w:hAnsi="Times New Roman"/>
          <w:b/>
          <w:sz w:val="22"/>
          <w:u w:val="single"/>
        </w:rPr>
      </w:pPr>
      <w:r w:rsidRPr="00122E77">
        <w:rPr>
          <w:rFonts w:ascii="Times New Roman" w:hAnsi="Times New Roman"/>
          <w:b/>
          <w:sz w:val="22"/>
          <w:u w:val="single"/>
        </w:rPr>
        <w:t>Proposals for examples in Spanish:</w:t>
      </w:r>
    </w:p>
    <w:p w:rsidR="00122E77" w:rsidRPr="00122E77" w:rsidRDefault="00122E77" w:rsidP="00122E77">
      <w:pPr>
        <w:widowControl w:val="0"/>
        <w:autoSpaceDE w:val="0"/>
        <w:autoSpaceDN w:val="0"/>
        <w:spacing w:before="7"/>
        <w:jc w:val="left"/>
        <w:rPr>
          <w:rFonts w:ascii="Times New Roman" w:hAnsi="Times New Roman"/>
          <w:b/>
          <w:sz w:val="14"/>
          <w:szCs w:val="22"/>
        </w:rPr>
      </w:pPr>
    </w:p>
    <w:p w:rsidR="00122E77" w:rsidRPr="00122E77" w:rsidRDefault="00122E77" w:rsidP="00122E77">
      <w:pPr>
        <w:widowControl w:val="0"/>
        <w:autoSpaceDE w:val="0"/>
        <w:autoSpaceDN w:val="0"/>
        <w:spacing w:before="95"/>
        <w:jc w:val="left"/>
        <w:rPr>
          <w:rFonts w:ascii="Times New Roman" w:hAnsi="Times New Roman"/>
          <w:sz w:val="22"/>
          <w:szCs w:val="22"/>
        </w:rPr>
      </w:pPr>
      <w:r w:rsidRPr="00122E77">
        <w:rPr>
          <w:rFonts w:ascii="Times New Roman" w:hAnsi="Times New Roman"/>
          <w:sz w:val="22"/>
          <w:szCs w:val="22"/>
        </w:rPr>
        <w:t xml:space="preserve">2.3.3 </w:t>
      </w:r>
      <w:proofErr w:type="spellStart"/>
      <w:r w:rsidRPr="00122E77">
        <w:rPr>
          <w:rFonts w:ascii="Times New Roman" w:hAnsi="Times New Roman"/>
          <w:i/>
          <w:sz w:val="22"/>
          <w:szCs w:val="22"/>
        </w:rPr>
        <w:t>Identidad</w:t>
      </w:r>
      <w:proofErr w:type="spellEnd"/>
      <w:r w:rsidRPr="00122E77">
        <w:rPr>
          <w:rFonts w:ascii="Times New Roman" w:hAnsi="Times New Roman"/>
          <w:i/>
          <w:sz w:val="22"/>
          <w:szCs w:val="22"/>
        </w:rPr>
        <w:t xml:space="preserve"> de la </w:t>
      </w:r>
      <w:proofErr w:type="spellStart"/>
      <w:r w:rsidRPr="00122E77">
        <w:rPr>
          <w:rFonts w:ascii="Times New Roman" w:hAnsi="Times New Roman"/>
          <w:i/>
          <w:sz w:val="22"/>
          <w:szCs w:val="22"/>
        </w:rPr>
        <w:t>variedad</w:t>
      </w:r>
      <w:proofErr w:type="spellEnd"/>
      <w:r w:rsidRPr="00122E77">
        <w:rPr>
          <w:rFonts w:ascii="Times New Roman" w:hAnsi="Times New Roman"/>
          <w:sz w:val="22"/>
          <w:szCs w:val="22"/>
        </w:rPr>
        <w:t xml:space="preserve"> [Identity of the variety]</w:t>
      </w:r>
    </w:p>
    <w:p w:rsidR="00122E77" w:rsidRPr="00122E77" w:rsidRDefault="00122E77" w:rsidP="00122E77">
      <w:pPr>
        <w:widowControl w:val="0"/>
        <w:autoSpaceDE w:val="0"/>
        <w:autoSpaceDN w:val="0"/>
        <w:spacing w:before="11"/>
        <w:jc w:val="left"/>
        <w:rPr>
          <w:rFonts w:ascii="Times New Roman" w:hAnsi="Times New Roman"/>
          <w:sz w:val="22"/>
          <w:szCs w:val="22"/>
        </w:rPr>
      </w:pPr>
    </w:p>
    <w:p w:rsidR="00122E77" w:rsidRPr="00122E77" w:rsidRDefault="00122E77" w:rsidP="00122E77">
      <w:pPr>
        <w:widowControl w:val="0"/>
        <w:numPr>
          <w:ilvl w:val="0"/>
          <w:numId w:val="29"/>
        </w:numPr>
        <w:autoSpaceDE w:val="0"/>
        <w:autoSpaceDN w:val="0"/>
        <w:contextualSpacing/>
        <w:jc w:val="left"/>
        <w:rPr>
          <w:rFonts w:ascii="Times New Roman" w:hAnsi="Times New Roman"/>
          <w:sz w:val="22"/>
          <w:szCs w:val="22"/>
        </w:rPr>
      </w:pPr>
      <w:proofErr w:type="spellStart"/>
      <w:r w:rsidRPr="00122E77">
        <w:rPr>
          <w:rFonts w:ascii="Times New Roman" w:hAnsi="Times New Roman"/>
          <w:i/>
          <w:sz w:val="22"/>
          <w:szCs w:val="22"/>
        </w:rPr>
        <w:t>Ejemplos</w:t>
      </w:r>
      <w:proofErr w:type="spellEnd"/>
      <w:r w:rsidRPr="00122E77">
        <w:rPr>
          <w:rFonts w:ascii="Times New Roman" w:hAnsi="Times New Roman"/>
          <w:sz w:val="22"/>
          <w:szCs w:val="22"/>
        </w:rPr>
        <w:t xml:space="preserve"> [Examples]:</w:t>
      </w:r>
    </w:p>
    <w:p w:rsidR="00122E77" w:rsidRPr="00122E77" w:rsidRDefault="00122E77" w:rsidP="00122E77">
      <w:pPr>
        <w:widowControl w:val="0"/>
        <w:autoSpaceDE w:val="0"/>
        <w:autoSpaceDN w:val="0"/>
        <w:spacing w:before="10"/>
        <w:jc w:val="left"/>
        <w:rPr>
          <w:rFonts w:ascii="Times New Roman" w:hAnsi="Times New Roman"/>
          <w:sz w:val="22"/>
          <w:szCs w:val="22"/>
        </w:rPr>
      </w:pPr>
    </w:p>
    <w:p w:rsidR="00122E77" w:rsidRPr="00122E77" w:rsidRDefault="00122E77" w:rsidP="00122E77">
      <w:pPr>
        <w:widowControl w:val="0"/>
        <w:numPr>
          <w:ilvl w:val="0"/>
          <w:numId w:val="30"/>
        </w:numPr>
        <w:tabs>
          <w:tab w:val="left" w:pos="294"/>
        </w:tabs>
        <w:autoSpaceDE w:val="0"/>
        <w:autoSpaceDN w:val="0"/>
        <w:spacing w:before="1"/>
        <w:rPr>
          <w:rFonts w:ascii="Times New Roman" w:hAnsi="Times New Roman"/>
          <w:sz w:val="22"/>
          <w:szCs w:val="22"/>
          <w:lang w:val="es-ES"/>
        </w:rPr>
      </w:pPr>
      <w:r w:rsidRPr="00122E77">
        <w:rPr>
          <w:rFonts w:ascii="Times New Roman" w:hAnsi="Times New Roman"/>
          <w:i/>
          <w:sz w:val="22"/>
          <w:szCs w:val="22"/>
          <w:lang w:val="es-ES"/>
        </w:rPr>
        <w:t>Denominaciones inadecuadas</w:t>
      </w:r>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Unsuitable</w:t>
      </w:r>
      <w:proofErr w:type="spellEnd"/>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denominations</w:t>
      </w:r>
      <w:proofErr w:type="spellEnd"/>
      <w:r w:rsidRPr="00122E77">
        <w:rPr>
          <w:rFonts w:ascii="Times New Roman" w:hAnsi="Times New Roman"/>
          <w:sz w:val="22"/>
          <w:szCs w:val="22"/>
          <w:lang w:val="es-ES"/>
        </w:rPr>
        <w:t>]: “Tacuara” and “</w:t>
      </w:r>
      <w:proofErr w:type="spellStart"/>
      <w:r w:rsidRPr="00122E77">
        <w:rPr>
          <w:rFonts w:ascii="Times New Roman" w:hAnsi="Times New Roman"/>
          <w:sz w:val="22"/>
          <w:szCs w:val="22"/>
          <w:lang w:val="es-ES"/>
        </w:rPr>
        <w:t>Thacuara</w:t>
      </w:r>
      <w:proofErr w:type="spellEnd"/>
      <w:r w:rsidRPr="00122E77">
        <w:rPr>
          <w:rFonts w:ascii="Times New Roman" w:hAnsi="Times New Roman"/>
          <w:sz w:val="22"/>
          <w:szCs w:val="22"/>
          <w:lang w:val="es-ES"/>
        </w:rPr>
        <w:t>”; “Selva” and</w:t>
      </w:r>
      <w:r w:rsidRPr="00122E77">
        <w:rPr>
          <w:rFonts w:ascii="Times New Roman" w:hAnsi="Times New Roman"/>
          <w:spacing w:val="29"/>
          <w:sz w:val="22"/>
          <w:szCs w:val="22"/>
          <w:lang w:val="es-ES"/>
        </w:rPr>
        <w:t xml:space="preserve"> </w:t>
      </w:r>
      <w:r w:rsidRPr="00122E77">
        <w:rPr>
          <w:rFonts w:ascii="Times New Roman" w:hAnsi="Times New Roman"/>
          <w:sz w:val="22"/>
          <w:szCs w:val="22"/>
          <w:lang w:val="es-ES"/>
        </w:rPr>
        <w:t>“</w:t>
      </w:r>
      <w:proofErr w:type="spellStart"/>
      <w:r w:rsidRPr="00122E77">
        <w:rPr>
          <w:rFonts w:ascii="Times New Roman" w:hAnsi="Times New Roman"/>
          <w:sz w:val="22"/>
          <w:szCs w:val="22"/>
          <w:lang w:val="es-ES"/>
        </w:rPr>
        <w:t>Selba</w:t>
      </w:r>
      <w:proofErr w:type="spellEnd"/>
      <w:r w:rsidRPr="00122E77">
        <w:rPr>
          <w:rFonts w:ascii="Times New Roman" w:hAnsi="Times New Roman"/>
          <w:sz w:val="22"/>
          <w:szCs w:val="22"/>
          <w:lang w:val="es-ES"/>
        </w:rPr>
        <w:t>”.</w:t>
      </w:r>
    </w:p>
    <w:p w:rsidR="00122E77" w:rsidRPr="00122E77" w:rsidRDefault="00122E77" w:rsidP="00122E77">
      <w:pPr>
        <w:widowControl w:val="0"/>
        <w:autoSpaceDE w:val="0"/>
        <w:autoSpaceDN w:val="0"/>
        <w:spacing w:before="10"/>
        <w:jc w:val="left"/>
        <w:rPr>
          <w:rFonts w:ascii="Times New Roman" w:hAnsi="Times New Roman"/>
          <w:sz w:val="22"/>
          <w:szCs w:val="22"/>
          <w:lang w:val="es-ES"/>
        </w:rPr>
      </w:pPr>
    </w:p>
    <w:p w:rsidR="00122E77" w:rsidRPr="00122E77" w:rsidRDefault="00122E77" w:rsidP="00122E77">
      <w:pPr>
        <w:widowControl w:val="0"/>
        <w:autoSpaceDE w:val="0"/>
        <w:autoSpaceDN w:val="0"/>
        <w:ind w:left="2160"/>
        <w:contextualSpacing/>
        <w:jc w:val="left"/>
        <w:rPr>
          <w:rFonts w:ascii="Times New Roman" w:hAnsi="Times New Roman"/>
          <w:sz w:val="22"/>
          <w:szCs w:val="22"/>
          <w:lang w:val="es-ES"/>
        </w:rPr>
      </w:pPr>
      <w:r w:rsidRPr="00122E77">
        <w:rPr>
          <w:rFonts w:ascii="Times New Roman" w:hAnsi="Times New Roman"/>
          <w:i/>
          <w:sz w:val="22"/>
          <w:szCs w:val="22"/>
          <w:lang w:val="es-ES"/>
        </w:rPr>
        <w:t>Denominaciones adecuadas</w:t>
      </w:r>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Suitable</w:t>
      </w:r>
      <w:proofErr w:type="spellEnd"/>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denominations</w:t>
      </w:r>
      <w:proofErr w:type="spellEnd"/>
      <w:r w:rsidRPr="00122E77">
        <w:rPr>
          <w:rFonts w:ascii="Times New Roman" w:hAnsi="Times New Roman"/>
          <w:sz w:val="22"/>
          <w:szCs w:val="22"/>
          <w:lang w:val="es-ES"/>
        </w:rPr>
        <w:t>]: “Marina” and “Martina”.</w:t>
      </w:r>
    </w:p>
    <w:p w:rsidR="00122E77" w:rsidRPr="00122E77" w:rsidRDefault="00122E77" w:rsidP="00122E77">
      <w:pPr>
        <w:widowControl w:val="0"/>
        <w:autoSpaceDE w:val="0"/>
        <w:autoSpaceDN w:val="0"/>
        <w:spacing w:before="11"/>
        <w:jc w:val="left"/>
        <w:rPr>
          <w:rFonts w:ascii="Times New Roman" w:hAnsi="Times New Roman"/>
          <w:sz w:val="22"/>
          <w:szCs w:val="22"/>
          <w:lang w:val="es-ES"/>
        </w:rPr>
      </w:pPr>
    </w:p>
    <w:p w:rsidR="00122E77" w:rsidRPr="00122E77" w:rsidRDefault="00122E77" w:rsidP="00122E77">
      <w:pPr>
        <w:widowControl w:val="0"/>
        <w:numPr>
          <w:ilvl w:val="0"/>
          <w:numId w:val="30"/>
        </w:numPr>
        <w:autoSpaceDE w:val="0"/>
        <w:autoSpaceDN w:val="0"/>
        <w:rPr>
          <w:rFonts w:ascii="Times New Roman" w:hAnsi="Times New Roman"/>
          <w:sz w:val="22"/>
          <w:szCs w:val="22"/>
          <w:lang w:val="es-ES"/>
        </w:rPr>
      </w:pPr>
      <w:r w:rsidRPr="00122E77">
        <w:rPr>
          <w:rFonts w:ascii="Times New Roman" w:hAnsi="Times New Roman"/>
          <w:i/>
          <w:sz w:val="22"/>
          <w:szCs w:val="22"/>
          <w:lang w:val="es-ES"/>
        </w:rPr>
        <w:t>Denominaciones adecuadas</w:t>
      </w:r>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Suitable</w:t>
      </w:r>
      <w:proofErr w:type="spellEnd"/>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denominations</w:t>
      </w:r>
      <w:proofErr w:type="spellEnd"/>
      <w:r w:rsidRPr="00122E77">
        <w:rPr>
          <w:rFonts w:ascii="Times New Roman" w:hAnsi="Times New Roman"/>
          <w:sz w:val="22"/>
          <w:szCs w:val="22"/>
          <w:lang w:val="es-ES"/>
        </w:rPr>
        <w:t>]: “Plato” and</w:t>
      </w:r>
      <w:r w:rsidRPr="00122E77">
        <w:rPr>
          <w:rFonts w:ascii="Times New Roman" w:hAnsi="Times New Roman"/>
          <w:spacing w:val="8"/>
          <w:sz w:val="22"/>
          <w:szCs w:val="22"/>
          <w:lang w:val="es-ES"/>
        </w:rPr>
        <w:t xml:space="preserve"> </w:t>
      </w:r>
      <w:r w:rsidRPr="00122E77">
        <w:rPr>
          <w:rFonts w:ascii="Times New Roman" w:hAnsi="Times New Roman"/>
          <w:sz w:val="22"/>
          <w:szCs w:val="22"/>
          <w:lang w:val="es-ES"/>
        </w:rPr>
        <w:t>“Plata”.</w:t>
      </w:r>
    </w:p>
    <w:p w:rsidR="00122E77" w:rsidRPr="00122E77" w:rsidRDefault="00122E77" w:rsidP="00122E77">
      <w:pPr>
        <w:widowControl w:val="0"/>
        <w:autoSpaceDE w:val="0"/>
        <w:autoSpaceDN w:val="0"/>
        <w:spacing w:before="10"/>
        <w:jc w:val="left"/>
        <w:rPr>
          <w:rFonts w:ascii="Times New Roman" w:hAnsi="Times New Roman"/>
          <w:sz w:val="22"/>
          <w:szCs w:val="22"/>
          <w:lang w:val="es-ES"/>
        </w:rPr>
      </w:pPr>
    </w:p>
    <w:p w:rsidR="00122E77" w:rsidRPr="00122E77" w:rsidRDefault="00122E77" w:rsidP="00122E77">
      <w:pPr>
        <w:widowControl w:val="0"/>
        <w:autoSpaceDE w:val="0"/>
        <w:autoSpaceDN w:val="0"/>
        <w:spacing w:before="1" w:line="276" w:lineRule="auto"/>
        <w:ind w:right="526"/>
        <w:jc w:val="left"/>
        <w:rPr>
          <w:rFonts w:ascii="Times New Roman" w:hAnsi="Times New Roman"/>
          <w:sz w:val="22"/>
          <w:szCs w:val="22"/>
        </w:rPr>
      </w:pPr>
      <w:proofErr w:type="spellStart"/>
      <w:r w:rsidRPr="00122E77">
        <w:rPr>
          <w:rFonts w:ascii="Times New Roman" w:hAnsi="Times New Roman"/>
          <w:sz w:val="22"/>
          <w:szCs w:val="22"/>
          <w:u w:val="single"/>
          <w:lang w:val="es-ES"/>
        </w:rPr>
        <w:t>Comment</w:t>
      </w:r>
      <w:proofErr w:type="spellEnd"/>
      <w:r w:rsidRPr="00122E77">
        <w:rPr>
          <w:rFonts w:ascii="Times New Roman" w:hAnsi="Times New Roman"/>
          <w:sz w:val="22"/>
          <w:szCs w:val="22"/>
          <w:u w:val="single"/>
          <w:lang w:val="es-ES"/>
        </w:rPr>
        <w:t>:</w:t>
      </w:r>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Under</w:t>
      </w:r>
      <w:proofErr w:type="spellEnd"/>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Item</w:t>
      </w:r>
      <w:proofErr w:type="spellEnd"/>
      <w:r w:rsidRPr="00122E77">
        <w:rPr>
          <w:rFonts w:ascii="Times New Roman" w:hAnsi="Times New Roman"/>
          <w:sz w:val="22"/>
          <w:szCs w:val="22"/>
          <w:lang w:val="es-ES"/>
        </w:rPr>
        <w:t xml:space="preserve"> 2.3.3.i, </w:t>
      </w:r>
      <w:proofErr w:type="spellStart"/>
      <w:r w:rsidRPr="00122E77">
        <w:rPr>
          <w:rFonts w:ascii="Times New Roman" w:hAnsi="Times New Roman"/>
          <w:sz w:val="22"/>
          <w:szCs w:val="22"/>
          <w:lang w:val="es-ES"/>
        </w:rPr>
        <w:t>modify</w:t>
      </w:r>
      <w:proofErr w:type="spellEnd"/>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the</w:t>
      </w:r>
      <w:proofErr w:type="spellEnd"/>
      <w:r w:rsidRPr="00122E77">
        <w:rPr>
          <w:rFonts w:ascii="Times New Roman" w:hAnsi="Times New Roman"/>
          <w:sz w:val="22"/>
          <w:szCs w:val="22"/>
          <w:lang w:val="es-ES"/>
        </w:rPr>
        <w:t xml:space="preserve"> </w:t>
      </w:r>
      <w:proofErr w:type="spellStart"/>
      <w:r w:rsidRPr="00122E77">
        <w:rPr>
          <w:rFonts w:ascii="Times New Roman" w:hAnsi="Times New Roman"/>
          <w:sz w:val="22"/>
          <w:szCs w:val="22"/>
          <w:lang w:val="es-ES"/>
        </w:rPr>
        <w:t>text</w:t>
      </w:r>
      <w:proofErr w:type="spellEnd"/>
      <w:r w:rsidRPr="00122E77">
        <w:rPr>
          <w:rFonts w:ascii="Times New Roman" w:hAnsi="Times New Roman"/>
          <w:sz w:val="22"/>
          <w:szCs w:val="22"/>
          <w:lang w:val="es-ES"/>
        </w:rPr>
        <w:t xml:space="preserve"> to be </w:t>
      </w:r>
      <w:proofErr w:type="spellStart"/>
      <w:r w:rsidRPr="00122E77">
        <w:rPr>
          <w:rFonts w:ascii="Times New Roman" w:hAnsi="Times New Roman"/>
          <w:sz w:val="22"/>
          <w:szCs w:val="22"/>
          <w:lang w:val="es-ES"/>
        </w:rPr>
        <w:t>read</w:t>
      </w:r>
      <w:proofErr w:type="spellEnd"/>
      <w:r w:rsidRPr="00122E77">
        <w:rPr>
          <w:rFonts w:ascii="Times New Roman" w:hAnsi="Times New Roman"/>
          <w:sz w:val="22"/>
          <w:szCs w:val="22"/>
          <w:lang w:val="es-ES"/>
        </w:rPr>
        <w:t xml:space="preserve"> as </w:t>
      </w:r>
      <w:proofErr w:type="spellStart"/>
      <w:r w:rsidRPr="00122E77">
        <w:rPr>
          <w:rFonts w:ascii="Times New Roman" w:hAnsi="Times New Roman"/>
          <w:sz w:val="22"/>
          <w:szCs w:val="22"/>
          <w:lang w:val="es-ES"/>
        </w:rPr>
        <w:t>follows</w:t>
      </w:r>
      <w:proofErr w:type="spellEnd"/>
      <w:r w:rsidRPr="00122E77">
        <w:rPr>
          <w:rFonts w:ascii="Times New Roman" w:hAnsi="Times New Roman"/>
          <w:sz w:val="22"/>
          <w:szCs w:val="22"/>
          <w:lang w:val="es-ES"/>
        </w:rPr>
        <w:t>:</w:t>
      </w:r>
      <w:r w:rsidRPr="00122E77">
        <w:rPr>
          <w:rFonts w:ascii="Times New Roman" w:hAnsi="Times New Roman"/>
          <w:i/>
          <w:sz w:val="22"/>
          <w:szCs w:val="22"/>
          <w:lang w:val="es-ES"/>
        </w:rPr>
        <w:t xml:space="preserve">  “ …la diferencia de  una letra indica una diferencia fonética y visual clara..” </w:t>
      </w:r>
      <w:r w:rsidRPr="00122E77">
        <w:rPr>
          <w:rFonts w:ascii="Times New Roman" w:hAnsi="Times New Roman"/>
          <w:sz w:val="22"/>
          <w:szCs w:val="22"/>
        </w:rPr>
        <w:t>[…the difference of one letter provides for a clear phonetic and visual difference…]</w:t>
      </w:r>
      <w:r w:rsidRPr="00122E77">
        <w:rPr>
          <w:rFonts w:ascii="Times New Roman" w:hAnsi="Times New Roman"/>
          <w:i/>
          <w:sz w:val="22"/>
          <w:szCs w:val="22"/>
        </w:rPr>
        <w:t xml:space="preserve"> </w:t>
      </w:r>
      <w:r w:rsidRPr="00122E77">
        <w:rPr>
          <w:rFonts w:ascii="Times New Roman" w:hAnsi="Times New Roman"/>
          <w:sz w:val="22"/>
          <w:szCs w:val="22"/>
        </w:rPr>
        <w:t>since we consider phonetic and visual analysis to be independent from the location of the difference of that one letter in the word.</w:t>
      </w:r>
    </w:p>
    <w:p w:rsidR="00122E77" w:rsidRPr="00122E77" w:rsidRDefault="00122E77" w:rsidP="00122E77">
      <w:pPr>
        <w:widowControl w:val="0"/>
        <w:autoSpaceDE w:val="0"/>
        <w:autoSpaceDN w:val="0"/>
        <w:spacing w:before="8"/>
        <w:jc w:val="left"/>
        <w:rPr>
          <w:rFonts w:ascii="Times New Roman" w:hAnsi="Times New Roman"/>
          <w:sz w:val="19"/>
          <w:szCs w:val="22"/>
        </w:rPr>
      </w:pPr>
    </w:p>
    <w:p w:rsidR="00122E77" w:rsidRPr="00122E77" w:rsidRDefault="00122E77" w:rsidP="00122E77">
      <w:pPr>
        <w:keepNext/>
        <w:keepLines/>
        <w:rPr>
          <w:rFonts w:ascii="Times New Roman" w:hAnsi="Times New Roman"/>
          <w:b/>
          <w:sz w:val="22"/>
          <w:u w:val="single"/>
        </w:rPr>
      </w:pPr>
      <w:r w:rsidRPr="00122E77">
        <w:rPr>
          <w:rFonts w:ascii="Times New Roman" w:hAnsi="Times New Roman"/>
          <w:b/>
          <w:sz w:val="22"/>
          <w:u w:val="single"/>
        </w:rPr>
        <w:t>Paragraph 2.6</w:t>
      </w:r>
    </w:p>
    <w:p w:rsidR="00122E77" w:rsidRPr="00122E77" w:rsidRDefault="00122E77" w:rsidP="00122E77">
      <w:pPr>
        <w:keepNext/>
        <w:keepLines/>
        <w:widowControl w:val="0"/>
        <w:autoSpaceDE w:val="0"/>
        <w:autoSpaceDN w:val="0"/>
        <w:spacing w:before="7"/>
        <w:jc w:val="left"/>
        <w:rPr>
          <w:rFonts w:ascii="Times New Roman" w:hAnsi="Times New Roman"/>
          <w:b/>
          <w:sz w:val="14"/>
          <w:szCs w:val="22"/>
        </w:rPr>
      </w:pPr>
    </w:p>
    <w:p w:rsidR="00122E77" w:rsidRPr="00122E77" w:rsidRDefault="00122E77" w:rsidP="00122E77">
      <w:pPr>
        <w:keepNext/>
        <w:keepLines/>
        <w:widowControl w:val="0"/>
        <w:autoSpaceDE w:val="0"/>
        <w:autoSpaceDN w:val="0"/>
        <w:spacing w:before="96"/>
        <w:jc w:val="left"/>
        <w:rPr>
          <w:u w:val="single"/>
          <w:shd w:val="pct15" w:color="auto" w:fill="FFFFFF"/>
        </w:rPr>
      </w:pPr>
      <w:r w:rsidRPr="00122E77">
        <w:rPr>
          <w:rFonts w:ascii="Times New Roman" w:hAnsi="Times New Roman"/>
          <w:sz w:val="22"/>
          <w:szCs w:val="22"/>
        </w:rPr>
        <w:t xml:space="preserve">The following text in the second sentence might evoke the idea that the use of the UPOV search tool is obligatory, </w:t>
      </w:r>
      <w:r w:rsidRPr="00122E77">
        <w:rPr>
          <w:rFonts w:ascii="Times New Roman" w:hAnsi="Times New Roman"/>
          <w:i/>
          <w:sz w:val="22"/>
          <w:szCs w:val="22"/>
        </w:rPr>
        <w:t xml:space="preserve">“…Se </w:t>
      </w:r>
      <w:proofErr w:type="spellStart"/>
      <w:r w:rsidRPr="00122E77">
        <w:rPr>
          <w:rFonts w:ascii="Times New Roman" w:hAnsi="Times New Roman"/>
          <w:i/>
          <w:sz w:val="22"/>
          <w:szCs w:val="22"/>
        </w:rPr>
        <w:t>hace</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hincapié</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en</w:t>
      </w:r>
      <w:proofErr w:type="spellEnd"/>
      <w:r w:rsidRPr="00122E77">
        <w:rPr>
          <w:rFonts w:ascii="Times New Roman" w:hAnsi="Times New Roman"/>
          <w:i/>
          <w:sz w:val="22"/>
          <w:szCs w:val="22"/>
        </w:rPr>
        <w:t xml:space="preserve"> que la </w:t>
      </w:r>
      <w:proofErr w:type="spellStart"/>
      <w:r w:rsidRPr="00122E77">
        <w:rPr>
          <w:rFonts w:ascii="Times New Roman" w:hAnsi="Times New Roman"/>
          <w:i/>
          <w:sz w:val="22"/>
          <w:szCs w:val="22"/>
        </w:rPr>
        <w:t>utilización</w:t>
      </w:r>
      <w:proofErr w:type="spellEnd"/>
      <w:r w:rsidRPr="00122E77">
        <w:rPr>
          <w:rFonts w:ascii="Times New Roman" w:hAnsi="Times New Roman"/>
          <w:i/>
          <w:sz w:val="22"/>
          <w:szCs w:val="22"/>
        </w:rPr>
        <w:t xml:space="preserve"> del </w:t>
      </w:r>
      <w:proofErr w:type="spellStart"/>
      <w:r w:rsidRPr="00122E77">
        <w:rPr>
          <w:rFonts w:ascii="Times New Roman" w:hAnsi="Times New Roman"/>
          <w:i/>
          <w:sz w:val="22"/>
          <w:szCs w:val="22"/>
        </w:rPr>
        <w:t>instrumento</w:t>
      </w:r>
      <w:proofErr w:type="spellEnd"/>
      <w:r w:rsidRPr="00122E77">
        <w:rPr>
          <w:rFonts w:ascii="Times New Roman" w:hAnsi="Times New Roman"/>
          <w:i/>
          <w:sz w:val="22"/>
          <w:szCs w:val="22"/>
        </w:rPr>
        <w:t xml:space="preserve"> de la UPOV para la </w:t>
      </w:r>
      <w:proofErr w:type="spellStart"/>
      <w:r w:rsidRPr="00122E77">
        <w:rPr>
          <w:rFonts w:ascii="Times New Roman" w:hAnsi="Times New Roman"/>
          <w:i/>
          <w:sz w:val="22"/>
          <w:szCs w:val="22"/>
        </w:rPr>
        <w:t>búsqueda</w:t>
      </w:r>
      <w:proofErr w:type="spellEnd"/>
      <w:r w:rsidRPr="00122E77">
        <w:rPr>
          <w:rFonts w:ascii="Times New Roman" w:hAnsi="Times New Roman"/>
          <w:i/>
          <w:sz w:val="22"/>
          <w:szCs w:val="22"/>
        </w:rPr>
        <w:t xml:space="preserve"> de </w:t>
      </w:r>
      <w:proofErr w:type="spellStart"/>
      <w:r w:rsidRPr="00122E77">
        <w:rPr>
          <w:rFonts w:ascii="Times New Roman" w:hAnsi="Times New Roman"/>
          <w:i/>
          <w:sz w:val="22"/>
          <w:szCs w:val="22"/>
        </w:rPr>
        <w:t>denominaciones</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similares</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constituye</w:t>
      </w:r>
      <w:proofErr w:type="spellEnd"/>
      <w:r w:rsidRPr="00122E77">
        <w:rPr>
          <w:rFonts w:ascii="Times New Roman" w:hAnsi="Times New Roman"/>
          <w:i/>
          <w:sz w:val="22"/>
          <w:szCs w:val="22"/>
        </w:rPr>
        <w:t xml:space="preserve"> un </w:t>
      </w:r>
      <w:proofErr w:type="spellStart"/>
      <w:r w:rsidRPr="00122E77">
        <w:rPr>
          <w:rFonts w:ascii="Times New Roman" w:hAnsi="Times New Roman"/>
          <w:i/>
          <w:sz w:val="22"/>
          <w:szCs w:val="22"/>
        </w:rPr>
        <w:t>paso</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previo</w:t>
      </w:r>
      <w:proofErr w:type="spellEnd"/>
      <w:r w:rsidRPr="00122E77">
        <w:rPr>
          <w:rFonts w:ascii="Times New Roman" w:hAnsi="Times New Roman"/>
          <w:i/>
          <w:sz w:val="22"/>
          <w:szCs w:val="22"/>
        </w:rPr>
        <w:t xml:space="preserve"> </w:t>
      </w:r>
      <w:proofErr w:type="spellStart"/>
      <w:r w:rsidRPr="00122E77">
        <w:rPr>
          <w:rFonts w:ascii="Times New Roman" w:hAnsi="Times New Roman"/>
          <w:i/>
          <w:sz w:val="22"/>
          <w:szCs w:val="22"/>
        </w:rPr>
        <w:t>en</w:t>
      </w:r>
      <w:proofErr w:type="spellEnd"/>
      <w:r w:rsidRPr="00122E77">
        <w:rPr>
          <w:rFonts w:ascii="Times New Roman" w:hAnsi="Times New Roman"/>
          <w:i/>
          <w:sz w:val="22"/>
          <w:szCs w:val="22"/>
        </w:rPr>
        <w:t xml:space="preserve"> el </w:t>
      </w:r>
      <w:proofErr w:type="spellStart"/>
      <w:r w:rsidRPr="00122E77">
        <w:rPr>
          <w:rFonts w:ascii="Times New Roman" w:hAnsi="Times New Roman"/>
          <w:i/>
          <w:sz w:val="22"/>
          <w:szCs w:val="22"/>
        </w:rPr>
        <w:t>proceso</w:t>
      </w:r>
      <w:proofErr w:type="spellEnd"/>
      <w:r w:rsidRPr="00122E77">
        <w:rPr>
          <w:rFonts w:ascii="Times New Roman" w:hAnsi="Times New Roman"/>
          <w:i/>
          <w:sz w:val="22"/>
          <w:szCs w:val="22"/>
        </w:rPr>
        <w:t>...”</w:t>
      </w:r>
      <w:r w:rsidRPr="00122E77">
        <w:rPr>
          <w:rFonts w:ascii="Times New Roman" w:hAnsi="Times New Roman"/>
          <w:sz w:val="22"/>
          <w:szCs w:val="22"/>
        </w:rPr>
        <w:t xml:space="preserve"> [It is emphasized that the use of the UPOV denomination similarity search tool would constitute a preliminary step in the process […]]</w:t>
      </w:r>
    </w:p>
    <w:p w:rsidR="00122E77" w:rsidRPr="00122E77" w:rsidRDefault="00122E77" w:rsidP="00122E77">
      <w:pPr>
        <w:widowControl w:val="0"/>
        <w:autoSpaceDE w:val="0"/>
        <w:autoSpaceDN w:val="0"/>
        <w:spacing w:before="8"/>
        <w:jc w:val="left"/>
        <w:rPr>
          <w:rFonts w:ascii="Times New Roman" w:hAnsi="Times New Roman"/>
          <w:sz w:val="19"/>
          <w:szCs w:val="22"/>
        </w:rPr>
      </w:pPr>
    </w:p>
    <w:p w:rsidR="00122E77" w:rsidRPr="00122E77" w:rsidRDefault="00122E77" w:rsidP="00122E77">
      <w:pPr>
        <w:widowControl w:val="0"/>
        <w:autoSpaceDE w:val="0"/>
        <w:autoSpaceDN w:val="0"/>
        <w:jc w:val="left"/>
        <w:rPr>
          <w:rFonts w:ascii="Times New Roman" w:hAnsi="Times New Roman"/>
          <w:sz w:val="22"/>
          <w:szCs w:val="22"/>
        </w:rPr>
      </w:pPr>
      <w:r w:rsidRPr="00122E77">
        <w:rPr>
          <w:rFonts w:ascii="Times New Roman" w:hAnsi="Times New Roman"/>
          <w:sz w:val="22"/>
          <w:szCs w:val="22"/>
        </w:rPr>
        <w:t>Perhaps you could modify the text by saying, “could constitute” instead of “would constitute”.</w:t>
      </w:r>
    </w:p>
    <w:p w:rsidR="00122E77" w:rsidRPr="00122E77" w:rsidRDefault="00122E77" w:rsidP="00122E77">
      <w:pPr>
        <w:widowControl w:val="0"/>
        <w:autoSpaceDE w:val="0"/>
        <w:autoSpaceDN w:val="0"/>
        <w:spacing w:before="10"/>
        <w:jc w:val="left"/>
        <w:rPr>
          <w:rFonts w:ascii="Times New Roman" w:hAnsi="Times New Roman"/>
          <w:sz w:val="22"/>
          <w:szCs w:val="22"/>
        </w:rPr>
      </w:pPr>
    </w:p>
    <w:p w:rsidR="00122E77" w:rsidRPr="00122E77" w:rsidRDefault="00122E77" w:rsidP="00122E77">
      <w:pPr>
        <w:keepNext/>
        <w:rPr>
          <w:rFonts w:ascii="Times New Roman" w:hAnsi="Times New Roman"/>
          <w:b/>
          <w:sz w:val="22"/>
          <w:u w:val="single"/>
        </w:rPr>
      </w:pPr>
      <w:r w:rsidRPr="00122E77">
        <w:rPr>
          <w:rFonts w:ascii="Times New Roman" w:hAnsi="Times New Roman"/>
          <w:b/>
          <w:sz w:val="22"/>
          <w:u w:val="single"/>
        </w:rPr>
        <w:t>Paragraphs 4 (a) and 6.8</w:t>
      </w:r>
    </w:p>
    <w:p w:rsidR="00122E77" w:rsidRPr="00122E77" w:rsidRDefault="00122E77" w:rsidP="00122E77">
      <w:pPr>
        <w:keepNext/>
        <w:widowControl w:val="0"/>
        <w:autoSpaceDE w:val="0"/>
        <w:autoSpaceDN w:val="0"/>
        <w:spacing w:before="7"/>
        <w:jc w:val="left"/>
        <w:rPr>
          <w:rFonts w:ascii="Times New Roman" w:hAnsi="Times New Roman"/>
          <w:b/>
          <w:sz w:val="14"/>
          <w:szCs w:val="22"/>
        </w:rPr>
      </w:pPr>
    </w:p>
    <w:p w:rsidR="00122E77" w:rsidRPr="00122E77" w:rsidRDefault="00122E77" w:rsidP="00122E77">
      <w:pPr>
        <w:widowControl w:val="0"/>
        <w:autoSpaceDE w:val="0"/>
        <w:autoSpaceDN w:val="0"/>
        <w:spacing w:before="95"/>
        <w:jc w:val="left"/>
        <w:rPr>
          <w:rFonts w:ascii="Times New Roman" w:hAnsi="Times New Roman"/>
          <w:sz w:val="22"/>
          <w:szCs w:val="22"/>
        </w:rPr>
      </w:pPr>
      <w:r w:rsidRPr="00122E77">
        <w:rPr>
          <w:rFonts w:ascii="Times New Roman" w:hAnsi="Times New Roman"/>
          <w:sz w:val="22"/>
          <w:szCs w:val="22"/>
        </w:rPr>
        <w:t>Replace the verb “</w:t>
      </w:r>
      <w:r w:rsidRPr="00122E77">
        <w:rPr>
          <w:rFonts w:ascii="Times New Roman" w:hAnsi="Times New Roman"/>
          <w:i/>
          <w:sz w:val="22"/>
          <w:szCs w:val="22"/>
        </w:rPr>
        <w:t>instar</w:t>
      </w:r>
      <w:r w:rsidRPr="00122E77">
        <w:rPr>
          <w:rFonts w:ascii="Times New Roman" w:hAnsi="Times New Roman"/>
          <w:sz w:val="22"/>
          <w:szCs w:val="22"/>
        </w:rPr>
        <w:t>” [encourage] with “</w:t>
      </w:r>
      <w:proofErr w:type="spellStart"/>
      <w:r w:rsidRPr="00122E77">
        <w:rPr>
          <w:rFonts w:ascii="Times New Roman" w:hAnsi="Times New Roman"/>
          <w:i/>
          <w:sz w:val="22"/>
          <w:szCs w:val="22"/>
        </w:rPr>
        <w:t>invitar</w:t>
      </w:r>
      <w:proofErr w:type="spellEnd"/>
      <w:r w:rsidRPr="00122E77">
        <w:rPr>
          <w:rFonts w:ascii="Times New Roman" w:hAnsi="Times New Roman"/>
          <w:sz w:val="22"/>
          <w:szCs w:val="22"/>
        </w:rPr>
        <w:t>” [ask]. In Spanish, “</w:t>
      </w:r>
      <w:r w:rsidRPr="00122E77">
        <w:rPr>
          <w:rFonts w:ascii="Times New Roman" w:hAnsi="Times New Roman"/>
          <w:i/>
          <w:sz w:val="22"/>
          <w:szCs w:val="22"/>
        </w:rPr>
        <w:t>instar</w:t>
      </w:r>
      <w:r w:rsidRPr="00122E77">
        <w:rPr>
          <w:rFonts w:ascii="Times New Roman" w:hAnsi="Times New Roman"/>
          <w:sz w:val="22"/>
          <w:szCs w:val="22"/>
        </w:rPr>
        <w:t>” is almost an obligation.</w:t>
      </w:r>
    </w:p>
    <w:p w:rsidR="00122E77" w:rsidRPr="00122E77" w:rsidRDefault="00122E77" w:rsidP="00122E77">
      <w:pPr>
        <w:widowControl w:val="0"/>
        <w:autoSpaceDE w:val="0"/>
        <w:autoSpaceDN w:val="0"/>
        <w:spacing w:before="11"/>
        <w:jc w:val="left"/>
        <w:rPr>
          <w:rFonts w:ascii="Times New Roman" w:hAnsi="Times New Roman"/>
          <w:sz w:val="22"/>
          <w:szCs w:val="22"/>
        </w:rPr>
      </w:pPr>
    </w:p>
    <w:p w:rsidR="00122E77" w:rsidRPr="00122E77" w:rsidRDefault="00122E77" w:rsidP="00122E77">
      <w:pPr>
        <w:rPr>
          <w:rFonts w:ascii="Times New Roman" w:hAnsi="Times New Roman"/>
          <w:b/>
          <w:sz w:val="22"/>
          <w:u w:val="single"/>
        </w:rPr>
      </w:pPr>
      <w:r w:rsidRPr="00122E77">
        <w:rPr>
          <w:rFonts w:ascii="Times New Roman" w:hAnsi="Times New Roman"/>
          <w:b/>
          <w:sz w:val="22"/>
          <w:u w:val="single"/>
        </w:rPr>
        <w:t>Proposals of the CPVO of the European Union to amend Section 2.3.3 of document UPOV/EXN/DEN/1 Draft 3</w:t>
      </w:r>
    </w:p>
    <w:p w:rsidR="00122E77" w:rsidRPr="00122E77" w:rsidRDefault="00122E77" w:rsidP="00122E77">
      <w:pPr>
        <w:rPr>
          <w:rFonts w:ascii="Times New Roman" w:hAnsi="Times New Roman"/>
          <w:b/>
          <w:sz w:val="22"/>
          <w:u w:val="single"/>
        </w:rPr>
      </w:pPr>
    </w:p>
    <w:p w:rsidR="00122E77" w:rsidRPr="00122E77" w:rsidRDefault="00122E77" w:rsidP="00122E77">
      <w:pPr>
        <w:widowControl w:val="0"/>
        <w:autoSpaceDE w:val="0"/>
        <w:autoSpaceDN w:val="0"/>
        <w:spacing w:before="96" w:line="276" w:lineRule="auto"/>
        <w:ind w:right="526"/>
        <w:jc w:val="left"/>
        <w:rPr>
          <w:rFonts w:ascii="Times New Roman" w:hAnsi="Times New Roman"/>
          <w:sz w:val="22"/>
          <w:szCs w:val="22"/>
        </w:rPr>
      </w:pPr>
      <w:r w:rsidRPr="00122E77">
        <w:rPr>
          <w:rFonts w:ascii="Times New Roman" w:hAnsi="Times New Roman"/>
          <w:sz w:val="22"/>
          <w:szCs w:val="22"/>
        </w:rPr>
        <w:t>We agree with the proposal for Item 2.3.3 (ii) and propose two alternatives:  the first is to replace the text of the UPOV document with that proposed by CPVO;  and the second alternative is to combine Items (i) and (ii), because we believe that the phonetic and visual differences should be evaluated independently from where the letters make a difference.</w:t>
      </w:r>
    </w:p>
    <w:p w:rsidR="00122E77" w:rsidRPr="00122E77" w:rsidRDefault="00122E77" w:rsidP="00122E77">
      <w:pPr>
        <w:widowControl w:val="0"/>
        <w:autoSpaceDE w:val="0"/>
        <w:autoSpaceDN w:val="0"/>
        <w:spacing w:before="9"/>
        <w:jc w:val="left"/>
        <w:rPr>
          <w:rFonts w:ascii="Times New Roman" w:hAnsi="Times New Roman"/>
          <w:sz w:val="19"/>
          <w:szCs w:val="22"/>
        </w:rPr>
      </w:pPr>
    </w:p>
    <w:p w:rsidR="00122E77" w:rsidRPr="00122E77" w:rsidRDefault="00122E77" w:rsidP="00122E77">
      <w:pPr>
        <w:widowControl w:val="0"/>
        <w:autoSpaceDE w:val="0"/>
        <w:autoSpaceDN w:val="0"/>
        <w:spacing w:line="276" w:lineRule="auto"/>
        <w:ind w:right="526"/>
        <w:jc w:val="left"/>
        <w:rPr>
          <w:rFonts w:ascii="Times New Roman" w:hAnsi="Times New Roman"/>
          <w:sz w:val="22"/>
          <w:szCs w:val="22"/>
        </w:rPr>
      </w:pPr>
      <w:r w:rsidRPr="00122E77">
        <w:rPr>
          <w:rFonts w:ascii="Times New Roman" w:hAnsi="Times New Roman"/>
          <w:sz w:val="22"/>
          <w:szCs w:val="22"/>
        </w:rPr>
        <w:t>As for our response to point (b) of the circular, we approve of “Alternative 2 of Section 2.3.3 (b)”. We agree that if there is no clear phonetic difference, but there is a clearly noticeable difference in meaning, the analyzed denomination should be accepted.</w:t>
      </w:r>
    </w:p>
    <w:p w:rsidR="00122E77" w:rsidRPr="00122E77" w:rsidRDefault="00122E77" w:rsidP="00122E77">
      <w:pPr>
        <w:widowControl w:val="0"/>
        <w:autoSpaceDE w:val="0"/>
        <w:autoSpaceDN w:val="0"/>
        <w:jc w:val="left"/>
        <w:rPr>
          <w:rFonts w:ascii="Times New Roman" w:hAnsi="Times New Roman"/>
          <w:sz w:val="24"/>
          <w:szCs w:val="22"/>
        </w:rPr>
      </w:pPr>
    </w:p>
    <w:p w:rsidR="00122E77" w:rsidRPr="00122E77" w:rsidRDefault="00122E77" w:rsidP="00122E77">
      <w:pPr>
        <w:widowControl w:val="0"/>
        <w:autoSpaceDE w:val="0"/>
        <w:autoSpaceDN w:val="0"/>
        <w:jc w:val="left"/>
        <w:rPr>
          <w:rFonts w:ascii="Times New Roman" w:hAnsi="Times New Roman"/>
          <w:sz w:val="24"/>
          <w:szCs w:val="22"/>
        </w:rPr>
      </w:pPr>
    </w:p>
    <w:p w:rsidR="00122E77" w:rsidRPr="00122E77" w:rsidRDefault="00122E77" w:rsidP="00122E77">
      <w:pPr>
        <w:widowControl w:val="0"/>
        <w:autoSpaceDE w:val="0"/>
        <w:autoSpaceDN w:val="0"/>
        <w:jc w:val="left"/>
        <w:rPr>
          <w:rFonts w:ascii="Times New Roman" w:hAnsi="Times New Roman"/>
          <w:sz w:val="24"/>
          <w:szCs w:val="22"/>
        </w:rPr>
      </w:pPr>
    </w:p>
    <w:p w:rsidR="00122E77" w:rsidRPr="00122E77" w:rsidRDefault="00122E77" w:rsidP="00122E77">
      <w:pPr>
        <w:widowControl w:val="0"/>
        <w:autoSpaceDE w:val="0"/>
        <w:autoSpaceDN w:val="0"/>
        <w:spacing w:before="6"/>
        <w:jc w:val="left"/>
        <w:rPr>
          <w:rFonts w:ascii="Times New Roman" w:hAnsi="Times New Roman"/>
          <w:sz w:val="19"/>
          <w:szCs w:val="22"/>
        </w:rPr>
      </w:pPr>
    </w:p>
    <w:p w:rsidR="00122E77" w:rsidRPr="00122E77" w:rsidRDefault="00122E77" w:rsidP="00122E77">
      <w:pPr>
        <w:widowControl w:val="0"/>
        <w:autoSpaceDE w:val="0"/>
        <w:autoSpaceDN w:val="0"/>
        <w:spacing w:line="223" w:lineRule="auto"/>
        <w:jc w:val="left"/>
        <w:rPr>
          <w:rFonts w:hAnsi="Times New Roman"/>
          <w:w w:val="105"/>
          <w:sz w:val="10"/>
          <w:szCs w:val="22"/>
        </w:rPr>
      </w:pPr>
      <w:r w:rsidRPr="00122E77">
        <w:rPr>
          <w:rFonts w:hAnsi="Times New Roman"/>
          <w:w w:val="105"/>
          <w:sz w:val="10"/>
          <w:szCs w:val="22"/>
        </w:rPr>
        <w:t xml:space="preserve">Digitally signed by GESTION DOCUMENTAL ELECTRONICA - GDE </w:t>
      </w:r>
    </w:p>
    <w:p w:rsidR="00122E77" w:rsidRPr="00122E77" w:rsidRDefault="00122E77" w:rsidP="00122E77">
      <w:pPr>
        <w:widowControl w:val="0"/>
        <w:autoSpaceDE w:val="0"/>
        <w:autoSpaceDN w:val="0"/>
        <w:spacing w:line="223" w:lineRule="auto"/>
        <w:jc w:val="left"/>
        <w:rPr>
          <w:rFonts w:hAnsi="Times New Roman"/>
          <w:sz w:val="10"/>
          <w:szCs w:val="22"/>
        </w:rPr>
      </w:pPr>
      <w:r w:rsidRPr="00122E77">
        <w:rPr>
          <w:rFonts w:hAnsi="Times New Roman"/>
          <w:w w:val="105"/>
          <w:sz w:val="10"/>
          <w:szCs w:val="22"/>
        </w:rPr>
        <w:t>Date: 2020.05.11 19:03:02 -03:00</w:t>
      </w:r>
    </w:p>
    <w:p w:rsidR="00122E77" w:rsidRPr="00122E77" w:rsidRDefault="00122E77" w:rsidP="00122E77">
      <w:pPr>
        <w:widowControl w:val="0"/>
        <w:autoSpaceDE w:val="0"/>
        <w:autoSpaceDN w:val="0"/>
        <w:jc w:val="left"/>
        <w:rPr>
          <w:rFonts w:hAnsi="Times New Roman"/>
          <w:sz w:val="12"/>
          <w:szCs w:val="22"/>
        </w:rPr>
      </w:pPr>
    </w:p>
    <w:p w:rsidR="00122E77" w:rsidRPr="00122E77" w:rsidRDefault="00122E77" w:rsidP="00122E77">
      <w:pPr>
        <w:rPr>
          <w:rFonts w:ascii="Times New Roman" w:hAnsi="Times New Roman"/>
          <w:sz w:val="16"/>
          <w:szCs w:val="22"/>
        </w:rPr>
      </w:pPr>
      <w:r w:rsidRPr="00122E77">
        <w:rPr>
          <w:rFonts w:ascii="Times New Roman" w:hAnsi="Times New Roman"/>
          <w:sz w:val="16"/>
          <w:szCs w:val="22"/>
        </w:rPr>
        <w:t>Mr. Raimundo Lavignolle</w:t>
      </w:r>
    </w:p>
    <w:p w:rsidR="00122E77" w:rsidRPr="00122E77" w:rsidRDefault="00122E77" w:rsidP="00122E77">
      <w:pPr>
        <w:rPr>
          <w:rFonts w:ascii="Times New Roman" w:hAnsi="Times New Roman"/>
          <w:sz w:val="16"/>
          <w:szCs w:val="22"/>
        </w:rPr>
      </w:pPr>
      <w:r w:rsidRPr="00122E77">
        <w:rPr>
          <w:rFonts w:ascii="Times New Roman" w:hAnsi="Times New Roman"/>
          <w:sz w:val="16"/>
          <w:szCs w:val="22"/>
        </w:rPr>
        <w:t>President of the Argentine Seed Institute (</w:t>
      </w:r>
      <w:proofErr w:type="spellStart"/>
      <w:r w:rsidRPr="00122E77">
        <w:rPr>
          <w:rFonts w:ascii="Times New Roman" w:hAnsi="Times New Roman"/>
          <w:sz w:val="16"/>
          <w:szCs w:val="22"/>
        </w:rPr>
        <w:t>Instituto</w:t>
      </w:r>
      <w:proofErr w:type="spellEnd"/>
      <w:r w:rsidRPr="00122E77">
        <w:rPr>
          <w:rFonts w:ascii="Times New Roman" w:hAnsi="Times New Roman"/>
          <w:sz w:val="16"/>
          <w:szCs w:val="22"/>
        </w:rPr>
        <w:t xml:space="preserve"> Nacional de </w:t>
      </w:r>
      <w:proofErr w:type="spellStart"/>
      <w:r w:rsidRPr="00122E77">
        <w:rPr>
          <w:rFonts w:ascii="Times New Roman" w:hAnsi="Times New Roman"/>
          <w:sz w:val="16"/>
          <w:szCs w:val="22"/>
        </w:rPr>
        <w:t>Semillas</w:t>
      </w:r>
      <w:proofErr w:type="spellEnd"/>
      <w:r w:rsidRPr="00122E77">
        <w:rPr>
          <w:rFonts w:ascii="Times New Roman" w:hAnsi="Times New Roman"/>
          <w:sz w:val="16"/>
          <w:szCs w:val="22"/>
        </w:rPr>
        <w:t>)</w:t>
      </w:r>
    </w:p>
    <w:p w:rsidR="00122E77" w:rsidRPr="00122E77" w:rsidRDefault="00122E77" w:rsidP="00122E77">
      <w:pPr>
        <w:widowControl w:val="0"/>
        <w:autoSpaceDE w:val="0"/>
        <w:autoSpaceDN w:val="0"/>
        <w:jc w:val="left"/>
        <w:rPr>
          <w:rFonts w:ascii="Times New Roman" w:hAnsi="Times New Roman"/>
          <w:sz w:val="16"/>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jc w:val="left"/>
        <w:rPr>
          <w:rFonts w:ascii="Times New Roman" w:hAnsi="Times New Roman"/>
          <w:sz w:val="18"/>
          <w:szCs w:val="22"/>
        </w:rPr>
      </w:pPr>
    </w:p>
    <w:p w:rsidR="00122E77" w:rsidRPr="00122E77" w:rsidRDefault="00122E77" w:rsidP="00122E77">
      <w:pPr>
        <w:widowControl w:val="0"/>
        <w:autoSpaceDE w:val="0"/>
        <w:autoSpaceDN w:val="0"/>
        <w:spacing w:before="9"/>
        <w:jc w:val="left"/>
        <w:rPr>
          <w:rFonts w:ascii="Times New Roman" w:hAnsi="Times New Roman"/>
          <w:sz w:val="22"/>
          <w:szCs w:val="22"/>
        </w:rPr>
      </w:pPr>
    </w:p>
    <w:p w:rsidR="00122E77" w:rsidRPr="00122E77" w:rsidRDefault="00122E77" w:rsidP="00122E77">
      <w:pPr>
        <w:widowControl w:val="0"/>
        <w:autoSpaceDE w:val="0"/>
        <w:autoSpaceDN w:val="0"/>
        <w:spacing w:before="1" w:line="218" w:lineRule="auto"/>
        <w:ind w:left="7940" w:right="526"/>
        <w:jc w:val="left"/>
        <w:rPr>
          <w:rFonts w:hAnsi="Times New Roman"/>
          <w:sz w:val="11"/>
          <w:szCs w:val="22"/>
        </w:rPr>
      </w:pPr>
      <w:r w:rsidRPr="00122E77">
        <w:rPr>
          <w:rFonts w:hAnsi="Times New Roman"/>
          <w:w w:val="105"/>
          <w:sz w:val="11"/>
          <w:szCs w:val="22"/>
        </w:rPr>
        <w:t>Digitally signed by GESTION DOCUMENTAL ELECTRONICA - GDE</w:t>
      </w:r>
    </w:p>
    <w:p w:rsidR="00122E77" w:rsidRPr="00122E77" w:rsidRDefault="00122E77" w:rsidP="00122E77">
      <w:pPr>
        <w:widowControl w:val="0"/>
        <w:autoSpaceDE w:val="0"/>
        <w:autoSpaceDN w:val="0"/>
        <w:spacing w:line="117" w:lineRule="exact"/>
        <w:ind w:right="1136"/>
        <w:jc w:val="right"/>
        <w:rPr>
          <w:rFonts w:hAnsi="Times New Roman"/>
          <w:sz w:val="11"/>
          <w:szCs w:val="22"/>
        </w:rPr>
      </w:pPr>
      <w:r w:rsidRPr="00122E77">
        <w:rPr>
          <w:rFonts w:hAnsi="Times New Roman"/>
          <w:w w:val="105"/>
          <w:sz w:val="11"/>
          <w:szCs w:val="22"/>
        </w:rPr>
        <w:t>Date: 2020.05.11 19:03:59 -03:00</w:t>
      </w:r>
    </w:p>
    <w:p w:rsidR="00122E77" w:rsidRPr="00122E77" w:rsidRDefault="00122E77" w:rsidP="00122E77">
      <w:pPr>
        <w:tabs>
          <w:tab w:val="left" w:pos="5387"/>
          <w:tab w:val="left" w:pos="5954"/>
        </w:tabs>
        <w:ind w:left="4820"/>
        <w:jc w:val="right"/>
      </w:pPr>
    </w:p>
    <w:p w:rsidR="00122E77" w:rsidRPr="00122E77" w:rsidRDefault="00122E77" w:rsidP="00122E77">
      <w:pPr>
        <w:tabs>
          <w:tab w:val="left" w:pos="5387"/>
          <w:tab w:val="left" w:pos="5954"/>
        </w:tabs>
        <w:ind w:left="4820"/>
        <w:jc w:val="right"/>
      </w:pPr>
    </w:p>
    <w:p w:rsidR="00122E77" w:rsidRPr="00122E77" w:rsidRDefault="00122E77" w:rsidP="00122E77">
      <w:pPr>
        <w:tabs>
          <w:tab w:val="left" w:pos="5387"/>
          <w:tab w:val="left" w:pos="5954"/>
        </w:tabs>
        <w:ind w:left="4820"/>
        <w:jc w:val="right"/>
      </w:pPr>
    </w:p>
    <w:p w:rsidR="00122E77" w:rsidRPr="00122E77" w:rsidRDefault="00122E77" w:rsidP="00122E77">
      <w:pPr>
        <w:jc w:val="right"/>
      </w:pPr>
      <w:r w:rsidRPr="00122E77">
        <w:t>[Appendix II follows]</w:t>
      </w:r>
    </w:p>
    <w:p w:rsidR="00122E77" w:rsidRPr="00122E77" w:rsidRDefault="00122E77" w:rsidP="00122E77">
      <w:pPr>
        <w:tabs>
          <w:tab w:val="left" w:pos="5387"/>
          <w:tab w:val="left" w:pos="5954"/>
        </w:tabs>
        <w:ind w:left="4820"/>
        <w:jc w:val="right"/>
        <w:sectPr w:rsidR="00122E77" w:rsidRPr="00122E77" w:rsidSect="002C31FA">
          <w:headerReference w:type="even" r:id="rId27"/>
          <w:headerReference w:type="default" r:id="rId28"/>
          <w:footerReference w:type="even" r:id="rId29"/>
          <w:footerReference w:type="default" r:id="rId30"/>
          <w:headerReference w:type="first" r:id="rId31"/>
          <w:footerReference w:type="first" r:id="rId32"/>
          <w:endnotePr>
            <w:numFmt w:val="lowerLetter"/>
          </w:endnotePr>
          <w:pgSz w:w="11907" w:h="16840" w:code="9"/>
          <w:pgMar w:top="510" w:right="1134" w:bottom="851" w:left="1134" w:header="510" w:footer="680" w:gutter="0"/>
          <w:pgNumType w:start="1"/>
          <w:cols w:space="720"/>
          <w:titlePg/>
        </w:sectPr>
      </w:pPr>
    </w:p>
    <w:p w:rsidR="00122E77" w:rsidRPr="00122E77" w:rsidRDefault="00122E77" w:rsidP="00122E77">
      <w:pPr>
        <w:jc w:val="center"/>
      </w:pPr>
      <w:r w:rsidRPr="00122E77">
        <w:lastRenderedPageBreak/>
        <w:t>Reply to Circular E-20/017 from Canada</w:t>
      </w:r>
    </w:p>
    <w:p w:rsidR="00122E77" w:rsidRPr="00122E77" w:rsidRDefault="00122E77" w:rsidP="00122E77">
      <w:pPr>
        <w:jc w:val="center"/>
      </w:pPr>
    </w:p>
    <w:p w:rsidR="00122E77" w:rsidRPr="00122E77" w:rsidRDefault="00122E77" w:rsidP="00122E77">
      <w:pPr>
        <w:jc w:val="center"/>
      </w:pPr>
    </w:p>
    <w:p w:rsidR="00122E77" w:rsidRPr="00122E77" w:rsidRDefault="00122E77" w:rsidP="00122E77">
      <w:pPr>
        <w:tabs>
          <w:tab w:val="left" w:pos="5387"/>
          <w:tab w:val="left" w:pos="5954"/>
        </w:tabs>
      </w:pPr>
    </w:p>
    <w:p w:rsidR="00122E77" w:rsidRPr="00122E77" w:rsidRDefault="00122E77" w:rsidP="00122E77">
      <w:pPr>
        <w:tabs>
          <w:tab w:val="left" w:pos="5387"/>
          <w:tab w:val="left" w:pos="5954"/>
        </w:tabs>
      </w:pPr>
      <w:r w:rsidRPr="00122E77">
        <w:t xml:space="preserve">Canada has several comments related to Draft 3 of the Explanatory Notes on Variety Denominations.  </w:t>
      </w:r>
      <w:r w:rsidRPr="00122E77">
        <w:br/>
        <w:t>They are as follows:</w:t>
      </w:r>
    </w:p>
    <w:p w:rsidR="00122E77" w:rsidRPr="00122E77" w:rsidRDefault="00122E77" w:rsidP="00122E77">
      <w:pPr>
        <w:tabs>
          <w:tab w:val="left" w:pos="5387"/>
          <w:tab w:val="left" w:pos="5954"/>
        </w:tabs>
      </w:pPr>
      <w:r w:rsidRPr="00122E77">
        <w:t xml:space="preserve"> </w:t>
      </w:r>
    </w:p>
    <w:p w:rsidR="00122E77" w:rsidRPr="00122E77" w:rsidRDefault="00122E77" w:rsidP="00122E77">
      <w:pPr>
        <w:tabs>
          <w:tab w:val="left" w:pos="567"/>
          <w:tab w:val="left" w:pos="5387"/>
          <w:tab w:val="left" w:pos="5954"/>
        </w:tabs>
      </w:pPr>
      <w:r w:rsidRPr="00122E77">
        <w:t>1.</w:t>
      </w:r>
      <w:r w:rsidRPr="00122E77">
        <w:tab/>
        <w:t>Under 2.3.3(a) Canada would like to keep the opening comment or statement “As a general recommendation”.  Canada understands the need to provide more prescriptive guidance to ensure greater harmonization, however some degree of national autonomy and discretion should remain with respect to each authorities Variety Naming Guidelines.</w:t>
      </w:r>
    </w:p>
    <w:p w:rsidR="00122E77" w:rsidRPr="00122E77" w:rsidRDefault="00122E77" w:rsidP="00122E77">
      <w:pPr>
        <w:tabs>
          <w:tab w:val="left" w:pos="5387"/>
          <w:tab w:val="left" w:pos="5954"/>
        </w:tabs>
      </w:pPr>
      <w:r w:rsidRPr="00122E77">
        <w:t xml:space="preserve"> </w:t>
      </w:r>
    </w:p>
    <w:p w:rsidR="00122E77" w:rsidRPr="00122E77" w:rsidRDefault="00122E77" w:rsidP="00122E77">
      <w:pPr>
        <w:tabs>
          <w:tab w:val="left" w:pos="567"/>
          <w:tab w:val="left" w:pos="5387"/>
          <w:tab w:val="left" w:pos="5954"/>
        </w:tabs>
      </w:pPr>
      <w:r w:rsidRPr="00122E77">
        <w:t>2.</w:t>
      </w:r>
      <w:r w:rsidRPr="00122E77">
        <w:tab/>
        <w:t>The concept and assessment of phonetic differences can be complicated and imposing phonetic restrictions in 2.3.3(a)(i) across Union members becomes more difficult considering different languages. This is why Canada recommends to keep the wording “As a general recommendation” in 2.3.3(a).</w:t>
      </w:r>
    </w:p>
    <w:p w:rsidR="00122E77" w:rsidRPr="00122E77" w:rsidRDefault="00122E77" w:rsidP="00122E77">
      <w:pPr>
        <w:tabs>
          <w:tab w:val="left" w:pos="5387"/>
          <w:tab w:val="left" w:pos="5954"/>
        </w:tabs>
      </w:pPr>
      <w:r w:rsidRPr="00122E77">
        <w:t xml:space="preserve"> </w:t>
      </w:r>
    </w:p>
    <w:p w:rsidR="00122E77" w:rsidRPr="00122E77" w:rsidRDefault="00122E77" w:rsidP="00122E77">
      <w:pPr>
        <w:tabs>
          <w:tab w:val="left" w:pos="567"/>
          <w:tab w:val="left" w:pos="5387"/>
          <w:tab w:val="left" w:pos="5954"/>
        </w:tabs>
      </w:pPr>
      <w:r w:rsidRPr="00122E77">
        <w:t>3.</w:t>
      </w:r>
      <w:r w:rsidRPr="00122E77">
        <w:tab/>
        <w:t xml:space="preserve">Regarding the CPVO’s proposed additions, Canada has concerns with the insertion of either of the alternative 2.3.3(b) sections.  Again, assessing phonetic differences can be difficult within a language and is further complicated across languages. Alternatively, Canada can agree to the insertion as long as the wording “As a general recommendation” in 2.3.3(a) remains. </w:t>
      </w:r>
    </w:p>
    <w:p w:rsidR="00122E77" w:rsidRPr="00122E77" w:rsidRDefault="00122E77" w:rsidP="00122E77">
      <w:pPr>
        <w:tabs>
          <w:tab w:val="left" w:pos="5387"/>
          <w:tab w:val="left" w:pos="5954"/>
        </w:tabs>
      </w:pPr>
      <w:r w:rsidRPr="00122E77">
        <w:t xml:space="preserve"> </w:t>
      </w:r>
    </w:p>
    <w:p w:rsidR="00122E77" w:rsidRPr="00122E77" w:rsidRDefault="00122E77" w:rsidP="00122E77">
      <w:pPr>
        <w:tabs>
          <w:tab w:val="left" w:pos="567"/>
          <w:tab w:val="left" w:pos="5387"/>
          <w:tab w:val="left" w:pos="5954"/>
        </w:tabs>
      </w:pPr>
      <w:r w:rsidRPr="00122E77">
        <w:t>4.</w:t>
      </w:r>
      <w:r w:rsidRPr="00122E77">
        <w:tab/>
        <w:t xml:space="preserve">Regarding 5.2(b) the insertion of </w:t>
      </w:r>
    </w:p>
    <w:p w:rsidR="00122E77" w:rsidRPr="00122E77" w:rsidRDefault="00122E77" w:rsidP="00122E77">
      <w:pPr>
        <w:tabs>
          <w:tab w:val="left" w:pos="5387"/>
          <w:tab w:val="left" w:pos="5954"/>
        </w:tabs>
        <w:ind w:left="851"/>
        <w:rPr>
          <w:i/>
        </w:rPr>
      </w:pPr>
    </w:p>
    <w:p w:rsidR="00122E77" w:rsidRPr="00122E77" w:rsidRDefault="00122E77" w:rsidP="00122E77">
      <w:pPr>
        <w:tabs>
          <w:tab w:val="left" w:pos="5387"/>
          <w:tab w:val="left" w:pos="5954"/>
        </w:tabs>
        <w:ind w:left="851"/>
        <w:rPr>
          <w:i/>
        </w:rPr>
      </w:pPr>
      <w:r w:rsidRPr="00122E77">
        <w:rPr>
          <w:i/>
        </w:rPr>
        <w:t>“In cases where different denominations have been accepted for the same variety by different members of the Union, authorities should accept the denomination that was submitted and registered with the first application, unless that denomination is unsuitable in their territory”</w:t>
      </w:r>
    </w:p>
    <w:p w:rsidR="00122E77" w:rsidRPr="00122E77" w:rsidRDefault="00122E77" w:rsidP="00122E77">
      <w:pPr>
        <w:tabs>
          <w:tab w:val="left" w:pos="5387"/>
          <w:tab w:val="left" w:pos="5954"/>
        </w:tabs>
      </w:pPr>
      <w:r w:rsidRPr="00122E77">
        <w:t xml:space="preserve"> </w:t>
      </w:r>
    </w:p>
    <w:p w:rsidR="00122E77" w:rsidRPr="00122E77" w:rsidRDefault="00122E77" w:rsidP="00122E77">
      <w:pPr>
        <w:tabs>
          <w:tab w:val="left" w:pos="5387"/>
          <w:tab w:val="left" w:pos="5954"/>
        </w:tabs>
        <w:ind w:left="851"/>
      </w:pPr>
      <w:r w:rsidRPr="00122E77">
        <w:t>Canada can support the insertion with the understanding that “unsuitable” is and can be broadly interpreted.</w:t>
      </w:r>
    </w:p>
    <w:p w:rsidR="00122E77" w:rsidRPr="00122E77" w:rsidRDefault="00122E77" w:rsidP="00122E77">
      <w:pPr>
        <w:tabs>
          <w:tab w:val="left" w:pos="5387"/>
          <w:tab w:val="left" w:pos="5954"/>
        </w:tabs>
      </w:pPr>
    </w:p>
    <w:p w:rsidR="00122E77" w:rsidRPr="00122E77" w:rsidRDefault="00122E77" w:rsidP="00122E77">
      <w:pPr>
        <w:tabs>
          <w:tab w:val="left" w:pos="5387"/>
          <w:tab w:val="left" w:pos="5954"/>
        </w:tabs>
      </w:pPr>
    </w:p>
    <w:p w:rsidR="00122E77" w:rsidRPr="00122E77" w:rsidRDefault="00122E77" w:rsidP="00122E77">
      <w:r w:rsidRPr="00122E77">
        <w:t>Anthony Parker</w:t>
      </w:r>
    </w:p>
    <w:p w:rsidR="00122E77" w:rsidRPr="00122E77" w:rsidRDefault="00122E77" w:rsidP="00122E77"/>
    <w:p w:rsidR="00122E77" w:rsidRPr="00122E77" w:rsidRDefault="00122E77" w:rsidP="00122E77"/>
    <w:p w:rsidR="00122E77" w:rsidRPr="00122E77" w:rsidRDefault="00122E77" w:rsidP="00122E77"/>
    <w:p w:rsidR="00122E77" w:rsidRPr="00122E77" w:rsidRDefault="00122E77" w:rsidP="00122E77">
      <w:pPr>
        <w:jc w:val="right"/>
      </w:pPr>
      <w:r w:rsidRPr="00122E77">
        <w:t>[Appendix III follows]</w:t>
      </w:r>
    </w:p>
    <w:p w:rsidR="00122E77" w:rsidRPr="00122E77" w:rsidRDefault="00122E77" w:rsidP="00122E77"/>
    <w:p w:rsidR="00122E77" w:rsidRPr="00122E77" w:rsidRDefault="00122E77" w:rsidP="00122E77">
      <w:pPr>
        <w:sectPr w:rsidR="00122E77" w:rsidRPr="00122E77" w:rsidSect="002C31FA">
          <w:headerReference w:type="even" r:id="rId33"/>
          <w:headerReference w:type="default" r:id="rId34"/>
          <w:footerReference w:type="even" r:id="rId35"/>
          <w:footerReference w:type="default" r:id="rId36"/>
          <w:headerReference w:type="first" r:id="rId37"/>
          <w:footerReference w:type="first" r:id="rId38"/>
          <w:endnotePr>
            <w:numFmt w:val="lowerLetter"/>
          </w:endnotePr>
          <w:pgSz w:w="11907" w:h="16840" w:code="9"/>
          <w:pgMar w:top="510" w:right="1134" w:bottom="851" w:left="1134" w:header="510" w:footer="680" w:gutter="0"/>
          <w:cols w:space="720"/>
          <w:titlePg/>
        </w:sectPr>
      </w:pPr>
    </w:p>
    <w:p w:rsidR="00122E77" w:rsidRPr="00122E77" w:rsidRDefault="00122E77" w:rsidP="00122E77">
      <w:pPr>
        <w:jc w:val="center"/>
      </w:pPr>
      <w:r w:rsidRPr="00122E77">
        <w:lastRenderedPageBreak/>
        <w:t>Reply to Circular E-20/017 from the European Union</w:t>
      </w:r>
    </w:p>
    <w:p w:rsidR="00122E77" w:rsidRPr="00122E77" w:rsidRDefault="00122E77" w:rsidP="00122E77">
      <w:pPr>
        <w:jc w:val="center"/>
        <w:rPr>
          <w:sz w:val="18"/>
        </w:rPr>
      </w:pPr>
    </w:p>
    <w:p w:rsidR="00122E77" w:rsidRPr="00122E77" w:rsidRDefault="00122E77" w:rsidP="00122E77">
      <w:pPr>
        <w:rPr>
          <w:rFonts w:cs="Arial"/>
          <w:szCs w:val="22"/>
          <w:lang w:val="en-IE"/>
        </w:rPr>
      </w:pPr>
    </w:p>
    <w:p w:rsidR="00122E77" w:rsidRPr="00122E77" w:rsidRDefault="00122E77" w:rsidP="00122E77">
      <w:pPr>
        <w:rPr>
          <w:rFonts w:cs="Arial"/>
          <w:szCs w:val="22"/>
        </w:rPr>
      </w:pPr>
      <w:r w:rsidRPr="00122E77">
        <w:rPr>
          <w:rFonts w:cs="Arial"/>
          <w:szCs w:val="22"/>
        </w:rPr>
        <w:t>Thank you for consulting us on the proposed changes to the Explanatory Note on variety denominations that will be submitted  to the CAJ and Council in October this year for their consideration.</w:t>
      </w:r>
    </w:p>
    <w:p w:rsidR="00122E77" w:rsidRPr="00122E77" w:rsidRDefault="00122E77" w:rsidP="00122E77">
      <w:pPr>
        <w:rPr>
          <w:rFonts w:cs="Arial"/>
          <w:szCs w:val="22"/>
        </w:rPr>
      </w:pPr>
    </w:p>
    <w:p w:rsidR="00122E77" w:rsidRPr="00122E77" w:rsidRDefault="00122E77" w:rsidP="00122E77">
      <w:pPr>
        <w:rPr>
          <w:rFonts w:cs="Arial"/>
          <w:szCs w:val="22"/>
        </w:rPr>
      </w:pPr>
      <w:r w:rsidRPr="00122E77">
        <w:rPr>
          <w:rFonts w:cs="Arial"/>
          <w:szCs w:val="22"/>
        </w:rPr>
        <w:t xml:space="preserve">The UPOV Circular is a follow-up on  the comments of the European Union raised in the CAJ. The UPOV Working Group on the revision of the Explanatory Note ended its mandate and unfortunately there was no agreement on the issue of conceptual similarity. </w:t>
      </w:r>
    </w:p>
    <w:p w:rsidR="00122E77" w:rsidRPr="00122E77" w:rsidRDefault="00122E77" w:rsidP="00122E77">
      <w:pPr>
        <w:rPr>
          <w:rFonts w:cs="Arial"/>
          <w:szCs w:val="22"/>
        </w:rPr>
      </w:pPr>
    </w:p>
    <w:p w:rsidR="00122E77" w:rsidRPr="00122E77" w:rsidRDefault="00122E77" w:rsidP="00122E77">
      <w:pPr>
        <w:rPr>
          <w:rFonts w:cs="Arial"/>
          <w:szCs w:val="22"/>
        </w:rPr>
      </w:pPr>
      <w:r w:rsidRPr="00122E77">
        <w:rPr>
          <w:rFonts w:cs="Arial"/>
          <w:szCs w:val="22"/>
        </w:rPr>
        <w:t xml:space="preserve">CPVO has been in contact with you on possible options to be presented to the CAJ in order to amend paragraph 2.3.3. of the Explanatory Note. </w:t>
      </w:r>
    </w:p>
    <w:p w:rsidR="00122E77" w:rsidRPr="00122E77" w:rsidRDefault="00122E77" w:rsidP="00122E77">
      <w:pPr>
        <w:rPr>
          <w:rFonts w:cs="Arial"/>
          <w:szCs w:val="22"/>
        </w:rPr>
      </w:pPr>
    </w:p>
    <w:p w:rsidR="00122E77" w:rsidRPr="00122E77" w:rsidRDefault="00122E77" w:rsidP="00122E77">
      <w:pPr>
        <w:rPr>
          <w:rFonts w:cs="Arial"/>
          <w:szCs w:val="22"/>
        </w:rPr>
      </w:pPr>
      <w:r w:rsidRPr="00122E77">
        <w:rPr>
          <w:rFonts w:cs="Arial"/>
          <w:szCs w:val="22"/>
        </w:rPr>
        <w:t>In order not to risk to jeopardize the adoption of the Explanatory Note, two alternatives have been proposed.</w:t>
      </w:r>
    </w:p>
    <w:p w:rsidR="00122E77" w:rsidRPr="00122E77" w:rsidRDefault="00122E77" w:rsidP="00122E77">
      <w:pPr>
        <w:rPr>
          <w:rFonts w:cs="Arial"/>
          <w:szCs w:val="22"/>
        </w:rPr>
      </w:pPr>
    </w:p>
    <w:p w:rsidR="00122E77" w:rsidRPr="00122E77" w:rsidRDefault="00122E77" w:rsidP="00122E77">
      <w:pPr>
        <w:rPr>
          <w:rFonts w:cs="Arial"/>
          <w:szCs w:val="22"/>
        </w:rPr>
      </w:pPr>
      <w:r w:rsidRPr="00122E77">
        <w:rPr>
          <w:rFonts w:cs="Arial"/>
          <w:szCs w:val="22"/>
        </w:rPr>
        <w:t xml:space="preserve">The European Union would like to support the adoption of </w:t>
      </w:r>
      <w:r w:rsidRPr="00122E77">
        <w:rPr>
          <w:rFonts w:cs="Arial"/>
          <w:szCs w:val="22"/>
          <w:u w:val="single"/>
        </w:rPr>
        <w:t>alternative no 2</w:t>
      </w:r>
      <w:r w:rsidRPr="00122E77">
        <w:rPr>
          <w:rFonts w:cs="Arial"/>
          <w:szCs w:val="22"/>
        </w:rPr>
        <w:t xml:space="preserve"> in which there is an additional reference to the conceptual criterion referred to as “widely-recognizable difference in meaning”. This element is proposed as alternative to the phonetic criterion alone and takes into consideration the meaning of words that are widely known in several languages.</w:t>
      </w:r>
    </w:p>
    <w:p w:rsidR="00122E77" w:rsidRPr="00122E77" w:rsidRDefault="00122E77" w:rsidP="00122E77">
      <w:pPr>
        <w:rPr>
          <w:rFonts w:cs="Arial"/>
          <w:szCs w:val="22"/>
        </w:rPr>
      </w:pPr>
    </w:p>
    <w:p w:rsidR="00122E77" w:rsidRPr="00122E77" w:rsidRDefault="00122E77" w:rsidP="00122E77">
      <w:pPr>
        <w:rPr>
          <w:rFonts w:cs="Arial"/>
          <w:szCs w:val="22"/>
        </w:rPr>
      </w:pPr>
      <w:r w:rsidRPr="00122E77">
        <w:rPr>
          <w:rFonts w:cs="Arial"/>
          <w:szCs w:val="22"/>
        </w:rPr>
        <w:t>Please find enclosed [below] the draft text of the explanatory note with our more detailed comments.</w:t>
      </w:r>
    </w:p>
    <w:p w:rsidR="00122E77" w:rsidRPr="00122E77" w:rsidRDefault="00122E77" w:rsidP="00122E77">
      <w:pPr>
        <w:rPr>
          <w:rFonts w:cs="Arial"/>
          <w:szCs w:val="22"/>
        </w:rPr>
      </w:pPr>
    </w:p>
    <w:p w:rsidR="00122E77" w:rsidRPr="00122E77" w:rsidRDefault="00122E77" w:rsidP="00122E77">
      <w:pPr>
        <w:rPr>
          <w:rFonts w:cs="Arial"/>
          <w:szCs w:val="22"/>
        </w:rPr>
      </w:pPr>
      <w:proofErr w:type="spellStart"/>
      <w:r w:rsidRPr="00122E77">
        <w:rPr>
          <w:rFonts w:cs="Arial"/>
          <w:szCs w:val="22"/>
        </w:rPr>
        <w:t>Päivi</w:t>
      </w:r>
      <w:proofErr w:type="spellEnd"/>
      <w:r w:rsidRPr="00122E77">
        <w:rPr>
          <w:rFonts w:cs="Arial"/>
          <w:szCs w:val="22"/>
        </w:rPr>
        <w:t xml:space="preserve"> </w:t>
      </w:r>
      <w:proofErr w:type="spellStart"/>
      <w:r w:rsidRPr="00122E77">
        <w:rPr>
          <w:rFonts w:cs="Arial"/>
          <w:szCs w:val="22"/>
        </w:rPr>
        <w:t>Mannerkorpi</w:t>
      </w:r>
      <w:proofErr w:type="spellEnd"/>
    </w:p>
    <w:p w:rsidR="00122E77" w:rsidRPr="00122E77" w:rsidRDefault="00122E77" w:rsidP="00122E77">
      <w:pPr>
        <w:jc w:val="center"/>
        <w:rPr>
          <w:rFonts w:cs="Arial"/>
          <w:szCs w:val="22"/>
        </w:rPr>
      </w:pPr>
    </w:p>
    <w:p w:rsidR="00122E77" w:rsidRPr="00122E77" w:rsidRDefault="00122E77" w:rsidP="00122E77">
      <w:pPr>
        <w:jc w:val="center"/>
        <w:rPr>
          <w:sz w:val="18"/>
        </w:rPr>
      </w:pPr>
      <w:r w:rsidRPr="00122E77">
        <w:t xml:space="preserve">Proposals of the Community Plant Variety Office (CPVO) of the European Union </w:t>
      </w:r>
      <w:r w:rsidRPr="00122E77">
        <w:br/>
        <w:t>to amend section 2.3.3 of document UPOV/EXN/DEN/1 Draft 3</w:t>
      </w:r>
      <w:r w:rsidRPr="00122E77">
        <w:br/>
        <w:t xml:space="preserve">(the proposals by the CPVO appear with </w:t>
      </w:r>
      <w:r w:rsidRPr="00122E77">
        <w:rPr>
          <w:highlight w:val="yellow"/>
        </w:rPr>
        <w:t>yellow highlight</w:t>
      </w:r>
      <w:r w:rsidRPr="00122E77">
        <w:rPr>
          <w:sz w:val="18"/>
        </w:rPr>
        <w:t>)</w:t>
      </w:r>
    </w:p>
    <w:p w:rsidR="00122E77" w:rsidRPr="00122E77" w:rsidRDefault="00122E77" w:rsidP="00122E77">
      <w:pPr>
        <w:jc w:val="center"/>
        <w:rPr>
          <w:sz w:val="18"/>
        </w:rPr>
      </w:pPr>
    </w:p>
    <w:p w:rsidR="00122E77" w:rsidRPr="00122E77" w:rsidRDefault="00122E77" w:rsidP="00122E77">
      <w:pPr>
        <w:jc w:val="center"/>
      </w:pPr>
      <w:r w:rsidRPr="00122E77">
        <w:t>[reproduced from the Annex to Circular E-20/017]</w:t>
      </w:r>
    </w:p>
    <w:p w:rsidR="00122E77" w:rsidRPr="00122E77" w:rsidRDefault="00122E77" w:rsidP="00122E77">
      <w:pPr>
        <w:jc w:val="center"/>
        <w:rPr>
          <w:sz w:val="18"/>
        </w:rPr>
      </w:pPr>
    </w:p>
    <w:p w:rsidR="00122E77" w:rsidRPr="00122E77" w:rsidRDefault="00122E77" w:rsidP="00122E77">
      <w:pPr>
        <w:jc w:val="left"/>
        <w:rPr>
          <w:i/>
          <w:sz w:val="16"/>
        </w:rPr>
      </w:pPr>
      <w:r w:rsidRPr="00122E77">
        <w:rPr>
          <w:i/>
        </w:rPr>
        <w:t xml:space="preserve">Proposals of the European Union to amend section 2.3.3 of document UPOV/EXN/DEN/1 Draft 3 (the proposals appear with </w:t>
      </w:r>
      <w:r w:rsidRPr="00122E77">
        <w:rPr>
          <w:i/>
          <w:highlight w:val="yellow"/>
        </w:rPr>
        <w:t>yellow highlight</w:t>
      </w:r>
      <w:r w:rsidRPr="00122E77">
        <w:rPr>
          <w:i/>
          <w:sz w:val="16"/>
        </w:rPr>
        <w:t>)</w:t>
      </w:r>
    </w:p>
    <w:p w:rsidR="00122E77" w:rsidRPr="00122E77" w:rsidRDefault="00122E77" w:rsidP="00122E77">
      <w:pPr>
        <w:rPr>
          <w:sz w:val="18"/>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122E77" w:rsidRPr="00122E77" w:rsidTr="002C31FA">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2E77" w:rsidRPr="00122E77" w:rsidRDefault="00122E77" w:rsidP="00122E77">
            <w:pPr>
              <w:rPr>
                <w:i/>
                <w:sz w:val="12"/>
                <w:lang w:eastAsia="ja-JP"/>
              </w:rPr>
            </w:pPr>
          </w:p>
          <w:p w:rsidR="00122E77" w:rsidRPr="00122E77" w:rsidRDefault="00122E77" w:rsidP="00122E77">
            <w:pPr>
              <w:rPr>
                <w:i/>
                <w:lang w:eastAsia="ja-JP"/>
              </w:rPr>
            </w:pPr>
            <w:r w:rsidRPr="00122E77">
              <w:rPr>
                <w:i/>
                <w:lang w:eastAsia="ja-JP"/>
              </w:rPr>
              <w:t>2.3.3</w:t>
            </w:r>
            <w:r w:rsidRPr="00122E77">
              <w:rPr>
                <w:i/>
                <w:lang w:eastAsia="ja-JP"/>
              </w:rPr>
              <w:tab/>
              <w:t>Identity of the variety</w:t>
            </w:r>
          </w:p>
          <w:p w:rsidR="00122E77" w:rsidRPr="00122E77" w:rsidRDefault="00122E77" w:rsidP="00122E77">
            <w:pPr>
              <w:rPr>
                <w:sz w:val="18"/>
              </w:rPr>
            </w:pPr>
          </w:p>
          <w:p w:rsidR="00122E77" w:rsidRPr="00122E77" w:rsidRDefault="00122E77" w:rsidP="00122E77">
            <w:pPr>
              <w:ind w:firstLine="567"/>
            </w:pPr>
            <w:r w:rsidRPr="00122E77">
              <w:t>(a)</w:t>
            </w:r>
            <w:r w:rsidRPr="00122E77">
              <w:tab/>
            </w:r>
            <w:r w:rsidRPr="00122E77">
              <w:rPr>
                <w:strike/>
                <w:highlight w:val="lightGray"/>
              </w:rPr>
              <w:t xml:space="preserve">As a general recommendation, a </w:t>
            </w:r>
            <w:proofErr w:type="spellStart"/>
            <w:r w:rsidRPr="00122E77">
              <w:rPr>
                <w:highlight w:val="lightGray"/>
                <w:u w:val="single"/>
              </w:rPr>
              <w:t>A</w:t>
            </w:r>
            <w:proofErr w:type="spellEnd"/>
            <w:r w:rsidRPr="00122E77">
              <w:rPr>
                <w:u w:val="single"/>
              </w:rPr>
              <w:t xml:space="preserve"> </w:t>
            </w:r>
            <w:r w:rsidRPr="00122E77">
              <w:t>difference of only one letter</w:t>
            </w:r>
            <w:r w:rsidRPr="00122E77">
              <w:rPr>
                <w:lang w:eastAsia="ja-JP"/>
              </w:rPr>
              <w:t xml:space="preserve"> or one number</w:t>
            </w:r>
            <w:r w:rsidRPr="00122E77">
              <w:t xml:space="preserve"> may be considered to be liable to mislead or cause confusion concerning the identity of the variety</w:t>
            </w:r>
            <w:r w:rsidRPr="00122E77">
              <w:rPr>
                <w:strike/>
                <w:highlight w:val="lightGray"/>
              </w:rPr>
              <w:t>,</w:t>
            </w:r>
            <w:r w:rsidRPr="00122E77">
              <w:rPr>
                <w:highlight w:val="lightGray"/>
                <w:u w:val="single"/>
              </w:rPr>
              <w:t>.</w:t>
            </w:r>
            <w:r w:rsidRPr="00122E77">
              <w:rPr>
                <w:highlight w:val="lightGray"/>
              </w:rPr>
              <w:t xml:space="preserve">  </w:t>
            </w:r>
            <w:r w:rsidRPr="00122E77">
              <w:rPr>
                <w:strike/>
                <w:highlight w:val="lightGray"/>
              </w:rPr>
              <w:t xml:space="preserve">except where the </w:t>
            </w:r>
            <w:r w:rsidRPr="00122E77">
              <w:rPr>
                <w:highlight w:val="lightGray"/>
                <w:u w:val="single"/>
              </w:rPr>
              <w:t>However, the following cases are examples of only one letter or one number difference that may be considered not to be liable to mislead or cause confusion</w:t>
            </w:r>
            <w:r w:rsidRPr="00122E77">
              <w:t>:</w:t>
            </w:r>
          </w:p>
          <w:p w:rsidR="00122E77" w:rsidRPr="00122E77" w:rsidRDefault="00122E77" w:rsidP="00122E77"/>
          <w:p w:rsidR="00122E77" w:rsidRPr="00122E77" w:rsidRDefault="00122E77" w:rsidP="00122E77">
            <w:pPr>
              <w:tabs>
                <w:tab w:val="right" w:pos="1022"/>
              </w:tabs>
              <w:ind w:left="1163" w:hanging="1163"/>
            </w:pPr>
            <w:r w:rsidRPr="00122E77">
              <w:tab/>
              <w:t>(i)</w:t>
            </w:r>
            <w:r w:rsidRPr="00122E77">
              <w:tab/>
              <w:t xml:space="preserve">difference of one letter provides for a clear visual </w:t>
            </w:r>
            <w:r w:rsidRPr="00122E77">
              <w:rPr>
                <w:strike/>
                <w:highlight w:val="lightGray"/>
              </w:rPr>
              <w:t>or</w:t>
            </w:r>
            <w:r w:rsidRPr="00122E77">
              <w:t xml:space="preserve"> </w:t>
            </w:r>
            <w:r w:rsidRPr="00122E77">
              <w:rPr>
                <w:highlight w:val="lightGray"/>
                <w:u w:val="single"/>
              </w:rPr>
              <w:t>and</w:t>
            </w:r>
            <w:r w:rsidRPr="00122E77">
              <w:t xml:space="preserve"> phonetic difference, e.g. if it concerns a letter at the beginning of a word:</w:t>
            </w:r>
          </w:p>
          <w:p w:rsidR="00122E77" w:rsidRPr="00122E77" w:rsidRDefault="00122E77" w:rsidP="00122E77">
            <w:pPr>
              <w:rPr>
                <w:sz w:val="14"/>
              </w:rPr>
            </w:pPr>
          </w:p>
          <w:p w:rsidR="00122E77" w:rsidRPr="00122E77" w:rsidRDefault="00122E77" w:rsidP="00122E77">
            <w:pPr>
              <w:ind w:left="567"/>
              <w:rPr>
                <w:strike/>
                <w:color w:val="000000"/>
                <w:highlight w:val="lightGray"/>
              </w:rPr>
            </w:pPr>
            <w:r w:rsidRPr="00122E77">
              <w:rPr>
                <w:i/>
                <w:color w:val="000000"/>
              </w:rPr>
              <w:t>Example</w:t>
            </w:r>
            <w:r w:rsidRPr="00122E77">
              <w:rPr>
                <w:i/>
                <w:strike/>
                <w:color w:val="000000"/>
              </w:rPr>
              <w:t xml:space="preserve"> </w:t>
            </w:r>
            <w:r w:rsidRPr="00122E77">
              <w:rPr>
                <w:i/>
                <w:strike/>
                <w:color w:val="000000"/>
                <w:highlight w:val="lightGray"/>
                <w:u w:val="single"/>
              </w:rPr>
              <w:t>1</w:t>
            </w:r>
            <w:r w:rsidRPr="00122E77">
              <w:rPr>
                <w:i/>
                <w:color w:val="000000"/>
                <w:u w:val="single"/>
                <w:shd w:val="pct15" w:color="auto" w:fill="FFFFFF"/>
              </w:rPr>
              <w:t>s</w:t>
            </w:r>
            <w:r w:rsidRPr="00122E77">
              <w:rPr>
                <w:i/>
                <w:color w:val="000000"/>
                <w:u w:val="single"/>
              </w:rPr>
              <w:t xml:space="preserve"> </w:t>
            </w:r>
            <w:r w:rsidRPr="00122E77">
              <w:rPr>
                <w:i/>
                <w:color w:val="000000"/>
                <w:u w:val="single"/>
                <w:shd w:val="pct15" w:color="auto" w:fill="FFFFFF"/>
              </w:rPr>
              <w:t>of suitable denominations</w:t>
            </w:r>
            <w:r w:rsidRPr="00122E77">
              <w:rPr>
                <w:i/>
                <w:color w:val="000000"/>
              </w:rPr>
              <w:t>:</w:t>
            </w:r>
            <w:r w:rsidRPr="00122E77">
              <w:rPr>
                <w:color w:val="000000"/>
              </w:rPr>
              <w:t xml:space="preserve"> </w:t>
            </w:r>
            <w:r w:rsidRPr="00122E77">
              <w:rPr>
                <w:strike/>
                <w:color w:val="000000"/>
                <w:highlight w:val="lightGray"/>
              </w:rPr>
              <w:t>in the English language,</w:t>
            </w:r>
            <w:r w:rsidRPr="00122E77">
              <w:rPr>
                <w:strike/>
                <w:color w:val="000000"/>
              </w:rPr>
              <w:t xml:space="preserve"> </w:t>
            </w:r>
            <w:r w:rsidRPr="00122E77">
              <w:rPr>
                <w:color w:val="000000"/>
              </w:rPr>
              <w:t>‘</w:t>
            </w:r>
            <w:r w:rsidRPr="00122E77">
              <w:rPr>
                <w:color w:val="000000"/>
                <w:u w:val="single"/>
              </w:rPr>
              <w:t>H</w:t>
            </w:r>
            <w:r w:rsidRPr="00122E77">
              <w:rPr>
                <w:color w:val="000000"/>
              </w:rPr>
              <w:t>arry’ and ‘</w:t>
            </w:r>
            <w:r w:rsidRPr="00122E77">
              <w:rPr>
                <w:color w:val="000000"/>
                <w:u w:val="single"/>
              </w:rPr>
              <w:t>L</w:t>
            </w:r>
            <w:r w:rsidRPr="00122E77">
              <w:rPr>
                <w:color w:val="000000"/>
              </w:rPr>
              <w:t>arry’</w:t>
            </w:r>
            <w:r w:rsidRPr="00122E77">
              <w:rPr>
                <w:color w:val="000000"/>
                <w:u w:val="single"/>
                <w:shd w:val="pct15" w:color="auto" w:fill="FFFFFF"/>
              </w:rPr>
              <w:t>; ‘Meagan’ and ‘Reagan’; ‘Kinky’ and ‘Binky’;  and ‘Hagar’ and ‘Magar’</w:t>
            </w:r>
            <w:r w:rsidRPr="00122E77">
              <w:rPr>
                <w:strike/>
                <w:color w:val="000000"/>
                <w:shd w:val="pct15" w:color="auto" w:fill="FFFFFF"/>
              </w:rPr>
              <w:t xml:space="preserve"> </w:t>
            </w:r>
            <w:r w:rsidRPr="00122E77">
              <w:rPr>
                <w:strike/>
                <w:color w:val="000000"/>
                <w:highlight w:val="lightGray"/>
              </w:rPr>
              <w:t>would not cause confusion</w:t>
            </w:r>
            <w:r w:rsidRPr="00122E77">
              <w:rPr>
                <w:color w:val="000000"/>
                <w:highlight w:val="lightGray"/>
              </w:rPr>
              <w:t>;</w:t>
            </w:r>
            <w:r w:rsidRPr="00122E77">
              <w:rPr>
                <w:strike/>
                <w:color w:val="000000"/>
              </w:rPr>
              <w:t xml:space="preserve"> </w:t>
            </w:r>
            <w:r w:rsidRPr="00122E77">
              <w:rPr>
                <w:strike/>
                <w:color w:val="000000"/>
                <w:highlight w:val="lightGray"/>
              </w:rPr>
              <w:t>However, ‘Bough’</w:t>
            </w:r>
          </w:p>
          <w:p w:rsidR="00122E77" w:rsidRPr="00122E77" w:rsidRDefault="00122E77" w:rsidP="00122E77">
            <w:pPr>
              <w:ind w:left="567"/>
            </w:pPr>
            <w:r w:rsidRPr="00122E77">
              <w:rPr>
                <w:strike/>
                <w:color w:val="000000"/>
                <w:highlight w:val="lightGray"/>
              </w:rPr>
              <w:t>and ‘Bow’ might cause confusion (in phonetic terms);</w:t>
            </w:r>
            <w:r w:rsidRPr="00122E77">
              <w:rPr>
                <w:color w:val="000000"/>
              </w:rPr>
              <w:t xml:space="preserve"> </w:t>
            </w:r>
          </w:p>
          <w:p w:rsidR="00122E77" w:rsidRPr="00122E77" w:rsidRDefault="00122E77" w:rsidP="00122E77">
            <w:pPr>
              <w:spacing w:before="120"/>
              <w:ind w:left="567"/>
              <w:rPr>
                <w:u w:val="single"/>
              </w:rPr>
            </w:pPr>
            <w:r w:rsidRPr="00122E77">
              <w:rPr>
                <w:i/>
                <w:shd w:val="pct15" w:color="auto" w:fill="FFFFFF"/>
              </w:rPr>
              <w:t>Example</w:t>
            </w:r>
            <w:r w:rsidRPr="00122E77">
              <w:rPr>
                <w:i/>
                <w:strike/>
                <w:shd w:val="pct15" w:color="auto" w:fill="FFFFFF"/>
              </w:rPr>
              <w:t xml:space="preserve"> 2</w:t>
            </w:r>
            <w:r w:rsidRPr="00122E77">
              <w:rPr>
                <w:i/>
                <w:highlight w:val="lightGray"/>
                <w:u w:val="single"/>
              </w:rPr>
              <w:t>s of unsuitable denominations</w:t>
            </w:r>
            <w:r w:rsidRPr="00122E77">
              <w:rPr>
                <w:i/>
                <w:highlight w:val="lightGray"/>
              </w:rPr>
              <w:t xml:space="preserve">: </w:t>
            </w:r>
            <w:r w:rsidRPr="00122E77">
              <w:rPr>
                <w:highlight w:val="lightGray"/>
              </w:rPr>
              <w:t xml:space="preserve"> </w:t>
            </w:r>
            <w:r w:rsidRPr="00122E77">
              <w:rPr>
                <w:strike/>
                <w:highlight w:val="lightGray"/>
              </w:rPr>
              <w:t>in the Japanese and Korean languages there is no difference between “L” and “R” sounds, thus “Lion” and “</w:t>
            </w:r>
            <w:proofErr w:type="spellStart"/>
            <w:r w:rsidRPr="00122E77">
              <w:rPr>
                <w:strike/>
                <w:highlight w:val="lightGray"/>
              </w:rPr>
              <w:t>Raion</w:t>
            </w:r>
            <w:proofErr w:type="spellEnd"/>
            <w:r w:rsidRPr="00122E77">
              <w:rPr>
                <w:strike/>
                <w:highlight w:val="lightGray"/>
              </w:rPr>
              <w:t xml:space="preserve">” are exactly the same although these are distinguishable for English mother tongue speakers </w:t>
            </w:r>
            <w:r w:rsidRPr="00122E77">
              <w:rPr>
                <w:highlight w:val="lightGray"/>
                <w:u w:val="single"/>
              </w:rPr>
              <w:t>‘Helena’ and ‘Elena’;  ‘</w:t>
            </w:r>
            <w:proofErr w:type="spellStart"/>
            <w:r w:rsidRPr="00122E77">
              <w:rPr>
                <w:highlight w:val="lightGray"/>
                <w:u w:val="single"/>
              </w:rPr>
              <w:t>Paqou</w:t>
            </w:r>
            <w:proofErr w:type="spellEnd"/>
            <w:r w:rsidRPr="00122E77">
              <w:rPr>
                <w:highlight w:val="lightGray"/>
                <w:u w:val="single"/>
              </w:rPr>
              <w:t>’, ‘</w:t>
            </w:r>
            <w:proofErr w:type="spellStart"/>
            <w:r w:rsidRPr="00122E77">
              <w:rPr>
                <w:highlight w:val="lightGray"/>
                <w:u w:val="single"/>
              </w:rPr>
              <w:t>Pacou</w:t>
            </w:r>
            <w:proofErr w:type="spellEnd"/>
            <w:r w:rsidRPr="00122E77">
              <w:rPr>
                <w:highlight w:val="lightGray"/>
                <w:u w:val="single"/>
              </w:rPr>
              <w:t>’ and ‘</w:t>
            </w:r>
            <w:proofErr w:type="spellStart"/>
            <w:r w:rsidRPr="00122E77">
              <w:rPr>
                <w:highlight w:val="lightGray"/>
                <w:u w:val="single"/>
              </w:rPr>
              <w:t>Pakou</w:t>
            </w:r>
            <w:proofErr w:type="spellEnd"/>
            <w:r w:rsidRPr="00122E77">
              <w:rPr>
                <w:highlight w:val="lightGray"/>
                <w:u w:val="single"/>
              </w:rPr>
              <w:t>’; ‘</w:t>
            </w:r>
            <w:proofErr w:type="spellStart"/>
            <w:r w:rsidRPr="00122E77">
              <w:rPr>
                <w:highlight w:val="lightGray"/>
                <w:u w:val="single"/>
              </w:rPr>
              <w:t>Poge</w:t>
            </w:r>
            <w:proofErr w:type="spellEnd"/>
            <w:r w:rsidRPr="00122E77">
              <w:rPr>
                <w:highlight w:val="lightGray"/>
                <w:u w:val="single"/>
              </w:rPr>
              <w:t>’ and ‘</w:t>
            </w:r>
            <w:proofErr w:type="spellStart"/>
            <w:r w:rsidRPr="00122E77">
              <w:rPr>
                <w:highlight w:val="lightGray"/>
                <w:u w:val="single"/>
              </w:rPr>
              <w:t>Poje</w:t>
            </w:r>
            <w:proofErr w:type="spellEnd"/>
            <w:r w:rsidRPr="00122E77">
              <w:rPr>
                <w:highlight w:val="lightGray"/>
                <w:u w:val="single"/>
              </w:rPr>
              <w:t>’, and ‘</w:t>
            </w:r>
            <w:proofErr w:type="spellStart"/>
            <w:r w:rsidRPr="00122E77">
              <w:rPr>
                <w:highlight w:val="lightGray"/>
                <w:u w:val="single"/>
              </w:rPr>
              <w:t>Zophia</w:t>
            </w:r>
            <w:proofErr w:type="spellEnd"/>
            <w:r w:rsidRPr="00122E77">
              <w:rPr>
                <w:highlight w:val="lightGray"/>
                <w:u w:val="single"/>
              </w:rPr>
              <w:t>’ and ‘Sophia’.</w:t>
            </w:r>
            <w:r w:rsidRPr="00122E77">
              <w:rPr>
                <w:strike/>
                <w:highlight w:val="lightGray"/>
              </w:rPr>
              <w:t xml:space="preserve"> could cause confusion phonetically, although not visually;</w:t>
            </w:r>
          </w:p>
          <w:p w:rsidR="00122E77" w:rsidRPr="00122E77" w:rsidRDefault="00122E77" w:rsidP="00122E77">
            <w:pPr>
              <w:rPr>
                <w:lang w:eastAsia="ja-JP"/>
              </w:rPr>
            </w:pPr>
          </w:p>
          <w:p w:rsidR="00122E77" w:rsidRPr="00122E77" w:rsidRDefault="00122E77" w:rsidP="00122E77">
            <w:pPr>
              <w:tabs>
                <w:tab w:val="right" w:pos="1022"/>
              </w:tabs>
              <w:ind w:left="1163" w:hanging="1163"/>
              <w:rPr>
                <w:highlight w:val="yellow"/>
                <w:u w:val="single"/>
              </w:rPr>
            </w:pPr>
            <w:r w:rsidRPr="00122E77">
              <w:tab/>
            </w:r>
            <w:r w:rsidRPr="00122E77">
              <w:rPr>
                <w:highlight w:val="yellow"/>
                <w:u w:val="single"/>
              </w:rPr>
              <w:t>(ii)</w:t>
            </w:r>
            <w:r w:rsidRPr="00122E77">
              <w:rPr>
                <w:highlight w:val="yellow"/>
                <w:u w:val="single"/>
              </w:rPr>
              <w:tab/>
            </w:r>
            <w:r w:rsidRPr="00122E77">
              <w:rPr>
                <w:iCs/>
                <w:highlight w:val="yellow"/>
                <w:u w:val="single"/>
              </w:rPr>
              <w:t>difference of one letter, not at the beginning of a word, provides for a clear visual and phonetic difference:</w:t>
            </w:r>
          </w:p>
          <w:p w:rsidR="00122E77" w:rsidRPr="00122E77" w:rsidRDefault="00122E77" w:rsidP="00122E77">
            <w:pPr>
              <w:tabs>
                <w:tab w:val="right" w:pos="1022"/>
              </w:tabs>
              <w:ind w:left="1163" w:hanging="1163"/>
              <w:rPr>
                <w:sz w:val="14"/>
                <w:highlight w:val="yellow"/>
                <w:u w:val="double"/>
              </w:rPr>
            </w:pPr>
          </w:p>
          <w:p w:rsidR="00122E77" w:rsidRPr="00122E77" w:rsidRDefault="00122E77" w:rsidP="00122E77">
            <w:pPr>
              <w:rPr>
                <w:u w:val="single"/>
                <w:lang w:eastAsia="ja-JP"/>
              </w:rPr>
            </w:pPr>
            <w:r w:rsidRPr="00122E77">
              <w:rPr>
                <w:highlight w:val="yellow"/>
                <w:lang w:eastAsia="ja-JP"/>
              </w:rPr>
              <w:tab/>
            </w:r>
            <w:r w:rsidRPr="00122E77">
              <w:rPr>
                <w:i/>
                <w:highlight w:val="yellow"/>
                <w:u w:val="single"/>
                <w:lang w:eastAsia="ja-JP"/>
              </w:rPr>
              <w:t>Examples of suitable denominations</w:t>
            </w:r>
            <w:r w:rsidRPr="00122E77">
              <w:rPr>
                <w:highlight w:val="yellow"/>
                <w:u w:val="single"/>
                <w:lang w:eastAsia="ja-JP"/>
              </w:rPr>
              <w:t xml:space="preserve">:  </w:t>
            </w:r>
            <w:r w:rsidRPr="00122E77">
              <w:rPr>
                <w:highlight w:val="yellow"/>
                <w:u w:val="single"/>
                <w:shd w:val="pct15" w:color="auto" w:fill="FFFFFF"/>
                <w:lang w:eastAsia="ja-JP"/>
              </w:rPr>
              <w:t>‘Pict’ and ‘</w:t>
            </w:r>
            <w:proofErr w:type="spellStart"/>
            <w:r w:rsidRPr="00122E77">
              <w:rPr>
                <w:highlight w:val="yellow"/>
                <w:u w:val="single"/>
                <w:shd w:val="pct15" w:color="auto" w:fill="FFFFFF"/>
                <w:lang w:eastAsia="ja-JP"/>
              </w:rPr>
              <w:t>Picto</w:t>
            </w:r>
            <w:proofErr w:type="spellEnd"/>
            <w:r w:rsidRPr="00122E77">
              <w:rPr>
                <w:highlight w:val="yellow"/>
                <w:u w:val="single"/>
                <w:shd w:val="pct15" w:color="auto" w:fill="FFFFFF"/>
                <w:lang w:eastAsia="ja-JP"/>
              </w:rPr>
              <w:t>’; ‘</w:t>
            </w:r>
            <w:proofErr w:type="spellStart"/>
            <w:r w:rsidRPr="00122E77">
              <w:rPr>
                <w:highlight w:val="yellow"/>
                <w:u w:val="single"/>
                <w:shd w:val="pct15" w:color="auto" w:fill="FFFFFF"/>
                <w:lang w:eastAsia="ja-JP"/>
              </w:rPr>
              <w:t>Tetral</w:t>
            </w:r>
            <w:proofErr w:type="spellEnd"/>
            <w:r w:rsidRPr="00122E77">
              <w:rPr>
                <w:highlight w:val="yellow"/>
                <w:u w:val="single"/>
                <w:shd w:val="pct15" w:color="auto" w:fill="FFFFFF"/>
                <w:lang w:eastAsia="ja-JP"/>
              </w:rPr>
              <w:t>’ and ‘</w:t>
            </w:r>
            <w:proofErr w:type="spellStart"/>
            <w:r w:rsidRPr="00122E77">
              <w:rPr>
                <w:highlight w:val="yellow"/>
                <w:u w:val="single"/>
                <w:shd w:val="pct15" w:color="auto" w:fill="FFFFFF"/>
                <w:lang w:eastAsia="ja-JP"/>
              </w:rPr>
              <w:t>Tetrax</w:t>
            </w:r>
            <w:proofErr w:type="spellEnd"/>
            <w:r w:rsidRPr="00122E77">
              <w:rPr>
                <w:highlight w:val="yellow"/>
                <w:u w:val="single"/>
                <w:shd w:val="pct15" w:color="auto" w:fill="FFFFFF"/>
                <w:lang w:eastAsia="ja-JP"/>
              </w:rPr>
              <w:t>’; ‘Dora’ and ‘</w:t>
            </w:r>
            <w:proofErr w:type="spellStart"/>
            <w:r w:rsidRPr="00122E77">
              <w:rPr>
                <w:highlight w:val="yellow"/>
                <w:u w:val="single"/>
                <w:shd w:val="pct15" w:color="auto" w:fill="FFFFFF"/>
                <w:lang w:eastAsia="ja-JP"/>
              </w:rPr>
              <w:t>Dorka</w:t>
            </w:r>
            <w:proofErr w:type="spellEnd"/>
            <w:r w:rsidRPr="00122E77">
              <w:rPr>
                <w:highlight w:val="yellow"/>
                <w:u w:val="single"/>
                <w:shd w:val="pct15" w:color="auto" w:fill="FFFFFF"/>
                <w:lang w:eastAsia="ja-JP"/>
              </w:rPr>
              <w:t>’; ‘</w:t>
            </w:r>
            <w:proofErr w:type="spellStart"/>
            <w:r w:rsidRPr="00122E77">
              <w:rPr>
                <w:highlight w:val="yellow"/>
                <w:u w:val="single"/>
                <w:shd w:val="pct15" w:color="auto" w:fill="FFFFFF"/>
                <w:lang w:eastAsia="ja-JP"/>
              </w:rPr>
              <w:t>Agasi</w:t>
            </w:r>
            <w:proofErr w:type="spellEnd"/>
            <w:r w:rsidRPr="00122E77">
              <w:rPr>
                <w:highlight w:val="yellow"/>
                <w:u w:val="single"/>
                <w:shd w:val="pct15" w:color="auto" w:fill="FFFFFF"/>
                <w:lang w:eastAsia="ja-JP"/>
              </w:rPr>
              <w:t>’ and ‘</w:t>
            </w:r>
            <w:proofErr w:type="spellStart"/>
            <w:r w:rsidRPr="00122E77">
              <w:rPr>
                <w:highlight w:val="yellow"/>
                <w:u w:val="single"/>
                <w:shd w:val="pct15" w:color="auto" w:fill="FFFFFF"/>
                <w:lang w:eastAsia="ja-JP"/>
              </w:rPr>
              <w:t>Agapi</w:t>
            </w:r>
            <w:proofErr w:type="spellEnd"/>
            <w:r w:rsidRPr="00122E77">
              <w:rPr>
                <w:highlight w:val="yellow"/>
                <w:u w:val="single"/>
                <w:shd w:val="pct15" w:color="auto" w:fill="FFFFFF"/>
                <w:lang w:eastAsia="ja-JP"/>
              </w:rPr>
              <w:t>’; ‘Alexandra’ and ‘</w:t>
            </w:r>
            <w:proofErr w:type="spellStart"/>
            <w:r w:rsidRPr="00122E77">
              <w:rPr>
                <w:highlight w:val="yellow"/>
                <w:u w:val="single"/>
                <w:shd w:val="pct15" w:color="auto" w:fill="FFFFFF"/>
                <w:lang w:eastAsia="ja-JP"/>
              </w:rPr>
              <w:t>Alexandru</w:t>
            </w:r>
            <w:proofErr w:type="spellEnd"/>
            <w:r w:rsidRPr="00122E77">
              <w:rPr>
                <w:highlight w:val="yellow"/>
                <w:u w:val="single"/>
                <w:shd w:val="pct15" w:color="auto" w:fill="FFFFFF"/>
                <w:lang w:eastAsia="ja-JP"/>
              </w:rPr>
              <w:t>’; ‘Goran’ and ‘Gran’; and ‘Lila’ and ‘Leila’</w:t>
            </w:r>
            <w:r w:rsidRPr="00122E77">
              <w:rPr>
                <w:highlight w:val="yellow"/>
                <w:u w:val="single"/>
                <w:lang w:eastAsia="ja-JP"/>
              </w:rPr>
              <w:t>;</w:t>
            </w:r>
            <w:r w:rsidRPr="00122E77">
              <w:rPr>
                <w:u w:val="single"/>
                <w:lang w:eastAsia="ja-JP"/>
              </w:rPr>
              <w:t xml:space="preserve">   </w:t>
            </w:r>
          </w:p>
          <w:p w:rsidR="00122E77" w:rsidRPr="00122E77" w:rsidRDefault="00122E77" w:rsidP="00122E77">
            <w:pPr>
              <w:rPr>
                <w:lang w:eastAsia="ja-JP"/>
              </w:rPr>
            </w:pPr>
          </w:p>
          <w:p w:rsidR="00122E77" w:rsidRPr="00122E77" w:rsidRDefault="00122E77" w:rsidP="00122E77">
            <w:pPr>
              <w:tabs>
                <w:tab w:val="right" w:pos="1022"/>
              </w:tabs>
              <w:ind w:left="1163" w:hanging="1163"/>
              <w:rPr>
                <w:highlight w:val="yellow"/>
                <w:u w:val="single"/>
              </w:rPr>
            </w:pPr>
            <w:r w:rsidRPr="00122E77">
              <w:tab/>
            </w:r>
            <w:r w:rsidRPr="00122E77">
              <w:rPr>
                <w:highlight w:val="yellow"/>
                <w:u w:val="single"/>
              </w:rPr>
              <w:t>(iii)</w:t>
            </w:r>
            <w:r w:rsidRPr="00122E77">
              <w:rPr>
                <w:highlight w:val="lightGray"/>
                <w:u w:val="single"/>
              </w:rPr>
              <w:tab/>
              <w:t>difference of one letter provides a widely-recognizable difference in meaning</w:t>
            </w:r>
          </w:p>
          <w:p w:rsidR="00122E77" w:rsidRPr="00122E77" w:rsidRDefault="00122E77" w:rsidP="00122E77">
            <w:pPr>
              <w:tabs>
                <w:tab w:val="right" w:pos="1022"/>
              </w:tabs>
              <w:ind w:left="1163" w:hanging="1163"/>
              <w:rPr>
                <w:sz w:val="14"/>
                <w:highlight w:val="yellow"/>
                <w:u w:val="double"/>
              </w:rPr>
            </w:pPr>
          </w:p>
          <w:p w:rsidR="00122E77" w:rsidRPr="00122E77" w:rsidRDefault="00122E77" w:rsidP="00122E77">
            <w:pPr>
              <w:rPr>
                <w:u w:val="single"/>
                <w:lang w:eastAsia="ja-JP"/>
              </w:rPr>
            </w:pPr>
            <w:r w:rsidRPr="00122E77">
              <w:rPr>
                <w:lang w:eastAsia="ja-JP"/>
              </w:rPr>
              <w:tab/>
            </w:r>
            <w:r w:rsidRPr="00122E77">
              <w:rPr>
                <w:i/>
                <w:highlight w:val="lightGray"/>
                <w:u w:val="single"/>
                <w:lang w:eastAsia="ja-JP"/>
              </w:rPr>
              <w:t>Examples of suitable denominations</w:t>
            </w:r>
            <w:r w:rsidRPr="00122E77">
              <w:rPr>
                <w:highlight w:val="lightGray"/>
                <w:u w:val="single"/>
                <w:lang w:eastAsia="ja-JP"/>
              </w:rPr>
              <w:t>:  ‘Power’ and ‘Poker’;  ‘Angle’ and ‘Ankle’;</w:t>
            </w:r>
            <w:r w:rsidRPr="00122E77">
              <w:rPr>
                <w:u w:val="single"/>
                <w:lang w:eastAsia="ja-JP"/>
              </w:rPr>
              <w:t xml:space="preserve">   </w:t>
            </w:r>
          </w:p>
          <w:p w:rsidR="00122E77" w:rsidRPr="00122E77" w:rsidRDefault="00122E77" w:rsidP="00122E77">
            <w:pPr>
              <w:tabs>
                <w:tab w:val="right" w:pos="1022"/>
              </w:tabs>
              <w:ind w:left="1306" w:hanging="1306"/>
            </w:pPr>
          </w:p>
          <w:p w:rsidR="00122E77" w:rsidRPr="00122E77" w:rsidRDefault="00122E77" w:rsidP="00122E77">
            <w:pPr>
              <w:tabs>
                <w:tab w:val="right" w:pos="1022"/>
              </w:tabs>
              <w:ind w:left="1163" w:hanging="1163"/>
              <w:rPr>
                <w:lang w:eastAsia="ja-JP"/>
              </w:rPr>
            </w:pPr>
            <w:r w:rsidRPr="00122E77">
              <w:tab/>
            </w:r>
            <w:r w:rsidRPr="00122E77">
              <w:rPr>
                <w:highlight w:val="yellow"/>
                <w:u w:val="single"/>
              </w:rPr>
              <w:t>(iv)</w:t>
            </w:r>
            <w:r w:rsidRPr="00122E77">
              <w:tab/>
            </w:r>
            <w:r w:rsidRPr="00122E77">
              <w:rPr>
                <w:highlight w:val="lightGray"/>
                <w:u w:val="single"/>
                <w:lang w:eastAsia="ja-JP"/>
              </w:rPr>
              <w:t>denominations consisting solely of letters not in the form of words</w:t>
            </w:r>
          </w:p>
          <w:p w:rsidR="00122E77" w:rsidRPr="00122E77" w:rsidRDefault="00122E77" w:rsidP="00122E77">
            <w:pPr>
              <w:rPr>
                <w:sz w:val="14"/>
                <w:lang w:eastAsia="ja-JP"/>
              </w:rPr>
            </w:pPr>
            <w:r w:rsidRPr="00122E77">
              <w:rPr>
                <w:lang w:eastAsia="ja-JP"/>
              </w:rPr>
              <w:t xml:space="preserve">     </w:t>
            </w:r>
          </w:p>
          <w:p w:rsidR="00122E77" w:rsidRPr="00122E77" w:rsidRDefault="00122E77" w:rsidP="00122E77">
            <w:pPr>
              <w:rPr>
                <w:u w:val="single"/>
                <w:lang w:eastAsia="ja-JP"/>
              </w:rPr>
            </w:pPr>
            <w:r w:rsidRPr="00122E77">
              <w:rPr>
                <w:lang w:eastAsia="ja-JP"/>
              </w:rPr>
              <w:tab/>
            </w:r>
            <w:r w:rsidRPr="00122E77">
              <w:rPr>
                <w:i/>
                <w:highlight w:val="lightGray"/>
                <w:u w:val="single"/>
                <w:lang w:eastAsia="ja-JP"/>
              </w:rPr>
              <w:t>Examples of suitable denominations</w:t>
            </w:r>
            <w:r w:rsidRPr="00122E77">
              <w:rPr>
                <w:highlight w:val="lightGray"/>
                <w:u w:val="single"/>
                <w:lang w:eastAsia="ja-JP"/>
              </w:rPr>
              <w:t>:  ‘ABCD’ and ‘ABCE’;</w:t>
            </w:r>
          </w:p>
          <w:p w:rsidR="00122E77" w:rsidRPr="00122E77" w:rsidRDefault="00122E77" w:rsidP="00122E77">
            <w:pPr>
              <w:rPr>
                <w:lang w:eastAsia="ja-JP"/>
              </w:rPr>
            </w:pPr>
          </w:p>
          <w:p w:rsidR="00122E77" w:rsidRPr="00122E77" w:rsidRDefault="00122E77" w:rsidP="00122E77">
            <w:pPr>
              <w:tabs>
                <w:tab w:val="right" w:pos="1021"/>
              </w:tabs>
              <w:ind w:left="1163" w:hanging="1163"/>
            </w:pPr>
            <w:r w:rsidRPr="00122E77">
              <w:tab/>
            </w:r>
            <w:r w:rsidRPr="00122E77">
              <w:rPr>
                <w:strike/>
                <w:highlight w:val="yellow"/>
              </w:rPr>
              <w:t>(ii)</w:t>
            </w:r>
            <w:r w:rsidRPr="00122E77">
              <w:rPr>
                <w:highlight w:val="yellow"/>
                <w:u w:val="single"/>
              </w:rPr>
              <w:t>(v)</w:t>
            </w:r>
            <w:r w:rsidRPr="00122E77">
              <w:rPr>
                <w:u w:val="single"/>
              </w:rPr>
              <w:tab/>
            </w:r>
            <w:r w:rsidRPr="00122E77">
              <w:rPr>
                <w:lang w:eastAsia="ja-JP"/>
              </w:rPr>
              <w:t>denominations</w:t>
            </w:r>
            <w:r w:rsidRPr="00122E77">
              <w:t xml:space="preserve"> consist</w:t>
            </w:r>
            <w:r w:rsidRPr="00122E77">
              <w:rPr>
                <w:highlight w:val="lightGray"/>
                <w:u w:val="single"/>
              </w:rPr>
              <w:t>ing</w:t>
            </w:r>
            <w:r w:rsidRPr="00122E77">
              <w:t xml:space="preserve"> of a combination of letters and figures</w:t>
            </w:r>
          </w:p>
          <w:p w:rsidR="00122E77" w:rsidRPr="00122E77" w:rsidRDefault="00122E77" w:rsidP="00122E77">
            <w:pPr>
              <w:rPr>
                <w:sz w:val="14"/>
                <w:lang w:eastAsia="ja-JP"/>
              </w:rPr>
            </w:pPr>
            <w:r w:rsidRPr="00122E77">
              <w:rPr>
                <w:lang w:eastAsia="ja-JP"/>
              </w:rPr>
              <w:t xml:space="preserve">     </w:t>
            </w:r>
          </w:p>
          <w:p w:rsidR="00122E77" w:rsidRPr="00122E77" w:rsidRDefault="00122E77" w:rsidP="00122E77">
            <w:pPr>
              <w:rPr>
                <w:highlight w:val="yellow"/>
                <w:shd w:val="pct15" w:color="auto" w:fill="FFFFFF"/>
                <w:vertAlign w:val="superscript"/>
              </w:rPr>
            </w:pPr>
            <w:r w:rsidRPr="00122E77">
              <w:rPr>
                <w:lang w:eastAsia="ja-JP"/>
              </w:rPr>
              <w:tab/>
            </w:r>
            <w:r w:rsidRPr="00122E77">
              <w:rPr>
                <w:i/>
                <w:highlight w:val="lightGray"/>
                <w:u w:val="single"/>
                <w:lang w:eastAsia="ja-JP"/>
              </w:rPr>
              <w:t>Examples of suitable denominations</w:t>
            </w:r>
            <w:r w:rsidRPr="00122E77">
              <w:rPr>
                <w:highlight w:val="lightGray"/>
                <w:u w:val="single"/>
                <w:lang w:eastAsia="ja-JP"/>
              </w:rPr>
              <w:t>:  ‘ABC678’ and ‘ABC688’;  and ‘PremP009’ and ‘PremP109’</w:t>
            </w:r>
            <w:r w:rsidRPr="00122E77">
              <w:rPr>
                <w:u w:val="double"/>
                <w:lang w:eastAsia="ja-JP"/>
              </w:rPr>
              <w:t>;</w:t>
            </w:r>
          </w:p>
          <w:p w:rsidR="00122E77" w:rsidRPr="00122E77" w:rsidRDefault="00122E77" w:rsidP="00122E77">
            <w:pPr>
              <w:tabs>
                <w:tab w:val="right" w:pos="1134"/>
                <w:tab w:val="left" w:pos="1418"/>
              </w:tabs>
            </w:pPr>
          </w:p>
          <w:p w:rsidR="00122E77" w:rsidRPr="00122E77" w:rsidRDefault="00122E77" w:rsidP="00122E77">
            <w:pPr>
              <w:tabs>
                <w:tab w:val="right" w:pos="1021"/>
              </w:tabs>
              <w:ind w:left="1163" w:hanging="1163"/>
              <w:rPr>
                <w:highlight w:val="yellow"/>
              </w:rPr>
            </w:pPr>
            <w:r w:rsidRPr="00122E77">
              <w:tab/>
            </w:r>
            <w:r w:rsidRPr="00122E77">
              <w:rPr>
                <w:strike/>
                <w:highlight w:val="yellow"/>
              </w:rPr>
              <w:t>(iii)</w:t>
            </w:r>
            <w:r w:rsidRPr="00122E77">
              <w:rPr>
                <w:highlight w:val="yellow"/>
                <w:u w:val="single"/>
              </w:rPr>
              <w:t>(vi)</w:t>
            </w:r>
            <w:r w:rsidRPr="00122E77">
              <w:tab/>
              <w:t>denominations consisting “solely of figures”</w:t>
            </w:r>
          </w:p>
          <w:p w:rsidR="00122E77" w:rsidRPr="00122E77" w:rsidRDefault="00122E77" w:rsidP="00122E77">
            <w:pPr>
              <w:rPr>
                <w:sz w:val="14"/>
                <w:lang w:eastAsia="ja-JP"/>
              </w:rPr>
            </w:pPr>
            <w:r w:rsidRPr="00122E77">
              <w:rPr>
                <w:lang w:eastAsia="ja-JP"/>
              </w:rPr>
              <w:t xml:space="preserve">     </w:t>
            </w:r>
          </w:p>
          <w:p w:rsidR="00122E77" w:rsidRPr="00122E77" w:rsidRDefault="00122E77" w:rsidP="00122E77">
            <w:pPr>
              <w:rPr>
                <w:u w:val="single"/>
                <w:lang w:eastAsia="ja-JP"/>
              </w:rPr>
            </w:pPr>
            <w:r w:rsidRPr="00122E77">
              <w:rPr>
                <w:i/>
                <w:lang w:eastAsia="ja-JP"/>
              </w:rPr>
              <w:tab/>
            </w:r>
            <w:r w:rsidRPr="00122E77">
              <w:rPr>
                <w:i/>
                <w:highlight w:val="lightGray"/>
                <w:u w:val="single"/>
                <w:lang w:eastAsia="ja-JP"/>
              </w:rPr>
              <w:t>Examples of suitable denominations</w:t>
            </w:r>
            <w:r w:rsidRPr="00122E77">
              <w:rPr>
                <w:highlight w:val="lightGray"/>
                <w:u w:val="single"/>
                <w:lang w:eastAsia="ja-JP"/>
              </w:rPr>
              <w:t>:  ‘411’ and ‘412’.</w:t>
            </w:r>
          </w:p>
          <w:p w:rsidR="00122E77" w:rsidRPr="00122E77" w:rsidRDefault="00122E77" w:rsidP="00122E77">
            <w:pPr>
              <w:rPr>
                <w:lang w:eastAsia="ja-JP"/>
              </w:rPr>
            </w:pPr>
          </w:p>
          <w:p w:rsidR="00122E77" w:rsidRPr="00122E77" w:rsidRDefault="00122E77" w:rsidP="00122E77">
            <w:pPr>
              <w:rPr>
                <w:lang w:eastAsia="ja-JP"/>
              </w:rPr>
            </w:pPr>
          </w:p>
          <w:p w:rsidR="00122E77" w:rsidRPr="00122E77" w:rsidRDefault="00122E77" w:rsidP="00122E77">
            <w:pPr>
              <w:rPr>
                <w:u w:val="single"/>
              </w:rPr>
            </w:pPr>
            <w:r w:rsidRPr="00122E77">
              <w:rPr>
                <w:b/>
              </w:rPr>
              <w:t xml:space="preserve">[Alternative 1 of Section 2.3.3 (b)] </w:t>
            </w:r>
            <w:r w:rsidRPr="00122E77">
              <w:rPr>
                <w:highlight w:val="yellow"/>
              </w:rPr>
              <w:t xml:space="preserve"> </w:t>
            </w:r>
            <w:r w:rsidRPr="00122E77">
              <w:rPr>
                <w:highlight w:val="yellow"/>
                <w:u w:val="single"/>
              </w:rPr>
              <w:t>(b)</w:t>
            </w:r>
            <w:r w:rsidRPr="00122E77">
              <w:tab/>
            </w:r>
            <w:r w:rsidRPr="00122E77">
              <w:rPr>
                <w:highlight w:val="yellow"/>
                <w:u w:val="single"/>
              </w:rPr>
              <w:t>A difference of two or more than two letters may be considered to be liable to mislead or cause confusion concerning the identity of the variety if the difference does not provide a clear phonetic difference:</w:t>
            </w:r>
          </w:p>
          <w:p w:rsidR="00122E77" w:rsidRPr="00122E77" w:rsidRDefault="00122E77" w:rsidP="00122E77">
            <w:pPr>
              <w:rPr>
                <w:u w:val="single"/>
              </w:rPr>
            </w:pPr>
          </w:p>
          <w:p w:rsidR="00122E77" w:rsidRPr="00122E77" w:rsidRDefault="00122E77" w:rsidP="00122E77">
            <w:pPr>
              <w:rPr>
                <w:u w:val="single"/>
                <w:lang w:eastAsia="ja-JP"/>
              </w:rPr>
            </w:pPr>
            <w:r w:rsidRPr="00122E77">
              <w:rPr>
                <w:i/>
                <w:lang w:eastAsia="ja-JP"/>
              </w:rPr>
              <w:tab/>
            </w:r>
            <w:r w:rsidRPr="00122E77">
              <w:rPr>
                <w:i/>
                <w:highlight w:val="yellow"/>
                <w:u w:val="single"/>
                <w:lang w:eastAsia="ja-JP"/>
              </w:rPr>
              <w:t>Examples of unsuitable denominations</w:t>
            </w:r>
            <w:r w:rsidRPr="00122E77">
              <w:rPr>
                <w:highlight w:val="yellow"/>
                <w:u w:val="single"/>
                <w:lang w:eastAsia="ja-JP"/>
              </w:rPr>
              <w:t>:  ‘Antelope’ and ‘</w:t>
            </w:r>
            <w:proofErr w:type="spellStart"/>
            <w:r w:rsidRPr="00122E77">
              <w:rPr>
                <w:highlight w:val="yellow"/>
                <w:u w:val="single"/>
                <w:lang w:eastAsia="ja-JP"/>
              </w:rPr>
              <w:t>Antilop</w:t>
            </w:r>
            <w:proofErr w:type="spellEnd"/>
            <w:r w:rsidRPr="00122E77">
              <w:rPr>
                <w:highlight w:val="yellow"/>
                <w:u w:val="single"/>
                <w:lang w:eastAsia="ja-JP"/>
              </w:rPr>
              <w:t>’; ‘</w:t>
            </w:r>
            <w:proofErr w:type="spellStart"/>
            <w:r w:rsidRPr="00122E77">
              <w:rPr>
                <w:highlight w:val="yellow"/>
                <w:u w:val="single"/>
                <w:lang w:eastAsia="ja-JP"/>
              </w:rPr>
              <w:t>Sharlene</w:t>
            </w:r>
            <w:proofErr w:type="spellEnd"/>
            <w:r w:rsidRPr="00122E77">
              <w:rPr>
                <w:highlight w:val="yellow"/>
                <w:u w:val="single"/>
                <w:lang w:eastAsia="ja-JP"/>
              </w:rPr>
              <w:t>’ and ‘</w:t>
            </w:r>
            <w:proofErr w:type="spellStart"/>
            <w:r w:rsidRPr="00122E77">
              <w:rPr>
                <w:highlight w:val="yellow"/>
                <w:u w:val="single"/>
                <w:lang w:eastAsia="ja-JP"/>
              </w:rPr>
              <w:t>Charleen</w:t>
            </w:r>
            <w:proofErr w:type="spellEnd"/>
            <w:r w:rsidRPr="00122E77">
              <w:rPr>
                <w:highlight w:val="yellow"/>
                <w:u w:val="single"/>
                <w:lang w:eastAsia="ja-JP"/>
              </w:rPr>
              <w:t>’; ‘</w:t>
            </w:r>
            <w:proofErr w:type="spellStart"/>
            <w:r w:rsidRPr="00122E77">
              <w:rPr>
                <w:highlight w:val="yellow"/>
                <w:u w:val="single"/>
                <w:lang w:eastAsia="ja-JP"/>
              </w:rPr>
              <w:t>Kapricio</w:t>
            </w:r>
            <w:proofErr w:type="spellEnd"/>
            <w:r w:rsidRPr="00122E77">
              <w:rPr>
                <w:highlight w:val="yellow"/>
                <w:u w:val="single"/>
                <w:lang w:eastAsia="ja-JP"/>
              </w:rPr>
              <w:t>’ and ‘</w:t>
            </w:r>
            <w:proofErr w:type="spellStart"/>
            <w:r w:rsidRPr="00122E77">
              <w:rPr>
                <w:highlight w:val="yellow"/>
                <w:u w:val="single"/>
                <w:lang w:eastAsia="ja-JP"/>
              </w:rPr>
              <w:t>Capricho</w:t>
            </w:r>
            <w:proofErr w:type="spellEnd"/>
            <w:r w:rsidRPr="00122E77">
              <w:rPr>
                <w:highlight w:val="yellow"/>
                <w:u w:val="single"/>
                <w:lang w:eastAsia="ja-JP"/>
              </w:rPr>
              <w:t>’; and ‘Sophie’ and ‘</w:t>
            </w:r>
            <w:proofErr w:type="spellStart"/>
            <w:r w:rsidRPr="00122E77">
              <w:rPr>
                <w:highlight w:val="yellow"/>
                <w:u w:val="single"/>
                <w:lang w:eastAsia="ja-JP"/>
              </w:rPr>
              <w:t>Sofie</w:t>
            </w:r>
            <w:proofErr w:type="spellEnd"/>
            <w:r w:rsidRPr="00122E77">
              <w:rPr>
                <w:highlight w:val="yellow"/>
                <w:u w:val="single"/>
                <w:lang w:eastAsia="ja-JP"/>
              </w:rPr>
              <w:t>’.</w:t>
            </w:r>
          </w:p>
          <w:p w:rsidR="00122E77" w:rsidRPr="00122E77" w:rsidRDefault="00122E77" w:rsidP="00122E77">
            <w:pPr>
              <w:rPr>
                <w:u w:val="single"/>
              </w:rPr>
            </w:pPr>
          </w:p>
          <w:p w:rsidR="00122E77" w:rsidRPr="00122E77" w:rsidRDefault="00122E77" w:rsidP="00122E77">
            <w:pPr>
              <w:rPr>
                <w:u w:val="single"/>
              </w:rPr>
            </w:pPr>
          </w:p>
          <w:p w:rsidR="00122E77" w:rsidRPr="00122E77" w:rsidRDefault="00122E77" w:rsidP="00122E77">
            <w:pPr>
              <w:rPr>
                <w:u w:val="single"/>
              </w:rPr>
            </w:pPr>
            <w:r w:rsidRPr="00122E77">
              <w:rPr>
                <w:b/>
              </w:rPr>
              <w:t>[Alternative 2 of Section 2.3.3 (b)]</w:t>
            </w:r>
            <w:r w:rsidRPr="00122E77">
              <w:rPr>
                <w:iCs/>
                <w:highlight w:val="yellow"/>
              </w:rPr>
              <w:t xml:space="preserve"> </w:t>
            </w:r>
            <w:r w:rsidRPr="00122E77">
              <w:rPr>
                <w:iCs/>
                <w:highlight w:val="yellow"/>
                <w:u w:val="single"/>
              </w:rPr>
              <w:t>(b)   A difference of two or more than two letters may be considered to be liable to mislead or cause confusion concerning the identity of the variety if the difference does not provide a clear phonetic difference</w:t>
            </w:r>
            <w:r w:rsidRPr="00122E77">
              <w:rPr>
                <w:highlight w:val="yellow"/>
                <w:u w:val="single"/>
              </w:rPr>
              <w:t xml:space="preserve"> or a widely-recognizable difference in meaning:</w:t>
            </w:r>
          </w:p>
          <w:p w:rsidR="00122E77" w:rsidRPr="00122E77" w:rsidRDefault="00122E77" w:rsidP="00122E77">
            <w:pPr>
              <w:rPr>
                <w:lang w:eastAsia="ja-JP"/>
              </w:rPr>
            </w:pPr>
          </w:p>
          <w:p w:rsidR="00122E77" w:rsidRPr="00122E77" w:rsidRDefault="00122E77" w:rsidP="00122E77">
            <w:pPr>
              <w:rPr>
                <w:u w:val="single"/>
                <w:lang w:eastAsia="ja-JP"/>
              </w:rPr>
            </w:pPr>
            <w:r w:rsidRPr="00122E77">
              <w:rPr>
                <w:i/>
                <w:lang w:eastAsia="ja-JP"/>
              </w:rPr>
              <w:tab/>
            </w:r>
            <w:r w:rsidRPr="00122E77">
              <w:rPr>
                <w:i/>
                <w:highlight w:val="yellow"/>
                <w:u w:val="single"/>
                <w:lang w:eastAsia="ja-JP"/>
              </w:rPr>
              <w:t>Examples of unsuitable denominations</w:t>
            </w:r>
            <w:r w:rsidRPr="00122E77">
              <w:rPr>
                <w:highlight w:val="yellow"/>
                <w:u w:val="single"/>
                <w:lang w:eastAsia="ja-JP"/>
              </w:rPr>
              <w:t>:  ‘Antelope’ and ‘</w:t>
            </w:r>
            <w:proofErr w:type="spellStart"/>
            <w:r w:rsidRPr="00122E77">
              <w:rPr>
                <w:highlight w:val="yellow"/>
                <w:u w:val="single"/>
                <w:lang w:eastAsia="ja-JP"/>
              </w:rPr>
              <w:t>Antilop</w:t>
            </w:r>
            <w:proofErr w:type="spellEnd"/>
            <w:r w:rsidRPr="00122E77">
              <w:rPr>
                <w:highlight w:val="yellow"/>
                <w:u w:val="single"/>
                <w:lang w:eastAsia="ja-JP"/>
              </w:rPr>
              <w:t>’; ‘</w:t>
            </w:r>
            <w:proofErr w:type="spellStart"/>
            <w:r w:rsidRPr="00122E77">
              <w:rPr>
                <w:highlight w:val="yellow"/>
                <w:u w:val="single"/>
                <w:lang w:eastAsia="ja-JP"/>
              </w:rPr>
              <w:t>Sharlene</w:t>
            </w:r>
            <w:proofErr w:type="spellEnd"/>
            <w:r w:rsidRPr="00122E77">
              <w:rPr>
                <w:highlight w:val="yellow"/>
                <w:u w:val="single"/>
                <w:lang w:eastAsia="ja-JP"/>
              </w:rPr>
              <w:t>’ and ‘</w:t>
            </w:r>
            <w:proofErr w:type="spellStart"/>
            <w:r w:rsidRPr="00122E77">
              <w:rPr>
                <w:highlight w:val="yellow"/>
                <w:u w:val="single"/>
                <w:lang w:eastAsia="ja-JP"/>
              </w:rPr>
              <w:t>Charleen</w:t>
            </w:r>
            <w:proofErr w:type="spellEnd"/>
            <w:r w:rsidRPr="00122E77">
              <w:rPr>
                <w:highlight w:val="yellow"/>
                <w:u w:val="single"/>
                <w:lang w:eastAsia="ja-JP"/>
              </w:rPr>
              <w:t>’; ‘</w:t>
            </w:r>
            <w:proofErr w:type="spellStart"/>
            <w:r w:rsidRPr="00122E77">
              <w:rPr>
                <w:highlight w:val="yellow"/>
                <w:u w:val="single"/>
                <w:lang w:eastAsia="ja-JP"/>
              </w:rPr>
              <w:t>Kapricio</w:t>
            </w:r>
            <w:proofErr w:type="spellEnd"/>
            <w:r w:rsidRPr="00122E77">
              <w:rPr>
                <w:highlight w:val="yellow"/>
                <w:u w:val="single"/>
                <w:lang w:eastAsia="ja-JP"/>
              </w:rPr>
              <w:t>’ and ‘</w:t>
            </w:r>
            <w:proofErr w:type="spellStart"/>
            <w:r w:rsidRPr="00122E77">
              <w:rPr>
                <w:highlight w:val="yellow"/>
                <w:u w:val="single"/>
                <w:lang w:eastAsia="ja-JP"/>
              </w:rPr>
              <w:t>Capricho</w:t>
            </w:r>
            <w:proofErr w:type="spellEnd"/>
            <w:r w:rsidRPr="00122E77">
              <w:rPr>
                <w:highlight w:val="yellow"/>
                <w:u w:val="single"/>
                <w:lang w:eastAsia="ja-JP"/>
              </w:rPr>
              <w:t>’; and ‘Sophie’ and ‘</w:t>
            </w:r>
            <w:proofErr w:type="spellStart"/>
            <w:r w:rsidRPr="00122E77">
              <w:rPr>
                <w:highlight w:val="yellow"/>
                <w:u w:val="single"/>
                <w:lang w:eastAsia="ja-JP"/>
              </w:rPr>
              <w:t>Sofie</w:t>
            </w:r>
            <w:proofErr w:type="spellEnd"/>
            <w:r w:rsidRPr="00122E77">
              <w:rPr>
                <w:highlight w:val="yellow"/>
                <w:u w:val="single"/>
                <w:lang w:eastAsia="ja-JP"/>
              </w:rPr>
              <w:t>’.</w:t>
            </w:r>
          </w:p>
          <w:p w:rsidR="00122E77" w:rsidRPr="00122E77" w:rsidRDefault="00122E77" w:rsidP="00122E77">
            <w:pPr>
              <w:rPr>
                <w:lang w:eastAsia="ja-JP"/>
              </w:rPr>
            </w:pPr>
          </w:p>
          <w:p w:rsidR="00122E77" w:rsidRPr="00122E77" w:rsidRDefault="00122E77" w:rsidP="00122E77">
            <w:r w:rsidRPr="00122E77">
              <w:tab/>
            </w:r>
            <w:r w:rsidRPr="00122E77">
              <w:rPr>
                <w:strike/>
                <w:highlight w:val="yellow"/>
              </w:rPr>
              <w:t>(b)</w:t>
            </w:r>
            <w:r w:rsidRPr="00122E77">
              <w:rPr>
                <w:highlight w:val="yellow"/>
                <w:u w:val="single"/>
              </w:rPr>
              <w:t>(c)</w:t>
            </w:r>
            <w:r w:rsidRPr="00122E77">
              <w:tab/>
              <w:t>The use of a denomination which is similar to that used for a variety of another species or genera in the same denomination class (see section 2.5) may cause confusion.</w:t>
            </w:r>
          </w:p>
          <w:p w:rsidR="00122E77" w:rsidRPr="00122E77" w:rsidRDefault="00122E77" w:rsidP="00122E77"/>
          <w:p w:rsidR="00122E77" w:rsidRPr="00122E77" w:rsidRDefault="00122E77" w:rsidP="00122E77">
            <w:pPr>
              <w:spacing w:line="240" w:lineRule="atLeast"/>
              <w:ind w:firstLine="567"/>
              <w:rPr>
                <w:color w:val="000000"/>
                <w:sz w:val="18"/>
                <w:szCs w:val="18"/>
                <w:lang w:eastAsia="ja-JP"/>
              </w:rPr>
            </w:pPr>
            <w:r w:rsidRPr="00122E77">
              <w:rPr>
                <w:strike/>
                <w:highlight w:val="yellow"/>
              </w:rPr>
              <w:t>(c)</w:t>
            </w:r>
            <w:r w:rsidRPr="00122E77">
              <w:rPr>
                <w:highlight w:val="yellow"/>
                <w:u w:val="single"/>
              </w:rPr>
              <w:t>(d)</w:t>
            </w:r>
            <w:r w:rsidRPr="00122E77">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tc>
      </w:tr>
    </w:tbl>
    <w:p w:rsidR="00122E77" w:rsidRPr="00122E77" w:rsidRDefault="00122E77" w:rsidP="00122E77">
      <w:pPr>
        <w:rPr>
          <w:lang w:eastAsia="ja-JP"/>
        </w:rPr>
      </w:pPr>
    </w:p>
    <w:p w:rsidR="00122E77" w:rsidRPr="00122E77" w:rsidRDefault="00122E77" w:rsidP="00122E77"/>
    <w:p w:rsidR="00122E77" w:rsidRPr="00122E77" w:rsidRDefault="00122E77" w:rsidP="00122E77"/>
    <w:p w:rsidR="00122E77" w:rsidRPr="00122E77" w:rsidRDefault="00122E77" w:rsidP="00122E77">
      <w:pPr>
        <w:jc w:val="right"/>
      </w:pPr>
      <w:r w:rsidRPr="00122E77">
        <w:t>[Appendix IV follows]</w:t>
      </w:r>
    </w:p>
    <w:p w:rsidR="00122E77" w:rsidRPr="00122E77" w:rsidRDefault="00122E77" w:rsidP="00122E77"/>
    <w:p w:rsidR="00122E77" w:rsidRPr="00122E77" w:rsidRDefault="00122E77" w:rsidP="00122E77"/>
    <w:p w:rsidR="00122E77" w:rsidRPr="00122E77" w:rsidRDefault="00122E77" w:rsidP="00122E77">
      <w:pPr>
        <w:sectPr w:rsidR="00122E77" w:rsidRPr="00122E77" w:rsidSect="002C31FA">
          <w:headerReference w:type="even" r:id="rId39"/>
          <w:headerReference w:type="default" r:id="rId40"/>
          <w:footerReference w:type="even" r:id="rId41"/>
          <w:footerReference w:type="default" r:id="rId42"/>
          <w:headerReference w:type="first" r:id="rId43"/>
          <w:footerReference w:type="first" r:id="rId44"/>
          <w:endnotePr>
            <w:numFmt w:val="lowerLetter"/>
          </w:endnotePr>
          <w:pgSz w:w="11907" w:h="16840" w:code="9"/>
          <w:pgMar w:top="510" w:right="1134" w:bottom="851" w:left="1134" w:header="510" w:footer="680" w:gutter="0"/>
          <w:pgNumType w:start="1"/>
          <w:cols w:space="720"/>
          <w:titlePg/>
        </w:sectPr>
      </w:pPr>
    </w:p>
    <w:p w:rsidR="00122E77" w:rsidRPr="00122E77" w:rsidRDefault="00122E77" w:rsidP="00122E77">
      <w:pPr>
        <w:jc w:val="center"/>
      </w:pPr>
      <w:r w:rsidRPr="00122E77">
        <w:lastRenderedPageBreak/>
        <w:t xml:space="preserve">Reply to Circular E-20/017 from France </w:t>
      </w:r>
    </w:p>
    <w:p w:rsidR="00122E77" w:rsidRPr="00122E77" w:rsidRDefault="00122E77" w:rsidP="00122E77">
      <w:pPr>
        <w:jc w:val="center"/>
      </w:pPr>
    </w:p>
    <w:p w:rsidR="00122E77" w:rsidRPr="00122E77" w:rsidRDefault="00122E77" w:rsidP="00122E77">
      <w:pPr>
        <w:jc w:val="center"/>
      </w:pPr>
      <w:r w:rsidRPr="00122E77">
        <w:t xml:space="preserve">[Original:  French] </w:t>
      </w:r>
    </w:p>
    <w:p w:rsidR="00122E77" w:rsidRPr="00122E77" w:rsidRDefault="00122E77" w:rsidP="00122E77">
      <w:pPr>
        <w:jc w:val="center"/>
      </w:pPr>
    </w:p>
    <w:p w:rsidR="00122E77" w:rsidRPr="00122E77" w:rsidRDefault="00122E77" w:rsidP="00122E77">
      <w:pPr>
        <w:jc w:val="center"/>
      </w:pPr>
    </w:p>
    <w:p w:rsidR="00122E77" w:rsidRPr="00122E77" w:rsidRDefault="00122E77" w:rsidP="00122E77">
      <w:pPr>
        <w:rPr>
          <w:rFonts w:cs="Arial"/>
          <w:szCs w:val="22"/>
        </w:rPr>
      </w:pPr>
    </w:p>
    <w:p w:rsidR="00122E77" w:rsidRPr="00122E77" w:rsidRDefault="00122E77" w:rsidP="00122E77">
      <w:pPr>
        <w:rPr>
          <w:rFonts w:cs="Arial"/>
          <w:szCs w:val="22"/>
        </w:rPr>
      </w:pPr>
      <w:r w:rsidRPr="00122E77">
        <w:rPr>
          <w:rFonts w:cs="Arial"/>
          <w:szCs w:val="22"/>
        </w:rPr>
        <w:t xml:space="preserve">In response to Circular E-20/017, we prefer </w:t>
      </w:r>
      <w:r w:rsidRPr="00122E77">
        <w:rPr>
          <w:rFonts w:cs="Arial"/>
          <w:b/>
          <w:szCs w:val="22"/>
        </w:rPr>
        <w:t>Alternative 2</w:t>
      </w:r>
      <w:r w:rsidRPr="00122E77">
        <w:rPr>
          <w:rFonts w:cs="Arial"/>
          <w:szCs w:val="22"/>
        </w:rPr>
        <w:t xml:space="preserve"> of</w:t>
      </w:r>
      <w:r w:rsidRPr="00122E77">
        <w:rPr>
          <w:rFonts w:cs="Arial"/>
          <w:b/>
          <w:szCs w:val="22"/>
        </w:rPr>
        <w:t xml:space="preserve"> </w:t>
      </w:r>
      <w:r w:rsidRPr="00122E77">
        <w:rPr>
          <w:rFonts w:cs="Arial"/>
          <w:szCs w:val="22"/>
        </w:rPr>
        <w:t>Section</w:t>
      </w:r>
      <w:r w:rsidRPr="00122E77">
        <w:rPr>
          <w:rFonts w:eastAsia="Calibri" w:cs="Arial"/>
          <w:sz w:val="18"/>
          <w:szCs w:val="18"/>
        </w:rPr>
        <w:t> </w:t>
      </w:r>
      <w:r w:rsidRPr="00122E77">
        <w:rPr>
          <w:rFonts w:cs="Arial"/>
          <w:szCs w:val="22"/>
        </w:rPr>
        <w:t>2.3.3 (b) proposed by the CPVO because it takes into account all three dimensions (i.e., visual, phonetic and conceptual).</w:t>
      </w:r>
    </w:p>
    <w:p w:rsidR="00122E77" w:rsidRPr="00122E77" w:rsidRDefault="00122E77" w:rsidP="00122E77">
      <w:pPr>
        <w:rPr>
          <w:rFonts w:cs="Arial"/>
          <w:szCs w:val="22"/>
        </w:rPr>
      </w:pPr>
    </w:p>
    <w:p w:rsidR="00122E77" w:rsidRPr="00122E77" w:rsidRDefault="00122E77" w:rsidP="00122E77">
      <w:pPr>
        <w:rPr>
          <w:rFonts w:cs="Arial"/>
          <w:szCs w:val="22"/>
        </w:rPr>
      </w:pPr>
      <w:proofErr w:type="spellStart"/>
      <w:r w:rsidRPr="00122E77">
        <w:rPr>
          <w:rFonts w:cs="Arial"/>
          <w:szCs w:val="22"/>
        </w:rPr>
        <w:t>Yvane</w:t>
      </w:r>
      <w:proofErr w:type="spellEnd"/>
      <w:r w:rsidRPr="00122E77">
        <w:rPr>
          <w:rFonts w:cs="Arial"/>
          <w:szCs w:val="22"/>
        </w:rPr>
        <w:t xml:space="preserve"> </w:t>
      </w:r>
      <w:proofErr w:type="spellStart"/>
      <w:r w:rsidRPr="00122E77">
        <w:rPr>
          <w:rFonts w:cs="Arial"/>
          <w:szCs w:val="22"/>
        </w:rPr>
        <w:t>Meresse</w:t>
      </w:r>
      <w:proofErr w:type="spellEnd"/>
    </w:p>
    <w:p w:rsidR="00122E77" w:rsidRPr="00122E77" w:rsidRDefault="00122E77" w:rsidP="00122E77"/>
    <w:p w:rsidR="00122E77" w:rsidRPr="00122E77" w:rsidRDefault="00122E77" w:rsidP="00122E77"/>
    <w:p w:rsidR="00122E77" w:rsidRPr="00122E77" w:rsidRDefault="00122E77" w:rsidP="00122E77"/>
    <w:p w:rsidR="00122E77" w:rsidRPr="00122E77" w:rsidRDefault="00122E77" w:rsidP="00122E77">
      <w:pPr>
        <w:jc w:val="right"/>
      </w:pPr>
      <w:r w:rsidRPr="00122E77">
        <w:t>[Appendix V follows]</w:t>
      </w:r>
    </w:p>
    <w:p w:rsidR="00122E77" w:rsidRPr="00122E77" w:rsidRDefault="00122E77" w:rsidP="00122E77"/>
    <w:p w:rsidR="00122E77" w:rsidRPr="00122E77" w:rsidRDefault="00122E77" w:rsidP="00122E77">
      <w:pPr>
        <w:spacing w:before="60" w:after="60"/>
      </w:pPr>
    </w:p>
    <w:p w:rsidR="00122E77" w:rsidRPr="00122E77" w:rsidRDefault="00122E77" w:rsidP="00122E77">
      <w:pPr>
        <w:spacing w:before="60" w:after="60"/>
        <w:sectPr w:rsidR="00122E77" w:rsidRPr="00122E77" w:rsidSect="002C31FA">
          <w:headerReference w:type="even" r:id="rId45"/>
          <w:headerReference w:type="default" r:id="rId46"/>
          <w:footerReference w:type="even" r:id="rId47"/>
          <w:footerReference w:type="default" r:id="rId48"/>
          <w:headerReference w:type="first" r:id="rId49"/>
          <w:footerReference w:type="first" r:id="rId50"/>
          <w:endnotePr>
            <w:numFmt w:val="lowerLetter"/>
          </w:endnotePr>
          <w:pgSz w:w="11907" w:h="16840" w:code="9"/>
          <w:pgMar w:top="510" w:right="1134" w:bottom="851" w:left="1134" w:header="510" w:footer="680" w:gutter="0"/>
          <w:cols w:space="720"/>
          <w:titlePg/>
        </w:sectPr>
      </w:pPr>
    </w:p>
    <w:p w:rsidR="00122E77" w:rsidRPr="00122E77" w:rsidRDefault="00122E77" w:rsidP="00122E77">
      <w:pPr>
        <w:jc w:val="center"/>
      </w:pPr>
      <w:r w:rsidRPr="00122E77">
        <w:lastRenderedPageBreak/>
        <w:t>Reply to Circular E-20/017 from New Zealand</w:t>
      </w:r>
    </w:p>
    <w:p w:rsidR="00122E77" w:rsidRPr="00122E77" w:rsidRDefault="00122E77" w:rsidP="00122E77">
      <w:pPr>
        <w:jc w:val="center"/>
      </w:pPr>
    </w:p>
    <w:p w:rsidR="00122E77" w:rsidRPr="00122E77" w:rsidRDefault="00122E77" w:rsidP="00122E77">
      <w:pPr>
        <w:jc w:val="center"/>
        <w:rPr>
          <w:rFonts w:cs="Arial"/>
        </w:rPr>
      </w:pPr>
    </w:p>
    <w:p w:rsidR="00122E77" w:rsidRPr="00122E77" w:rsidRDefault="00122E77" w:rsidP="00122E77">
      <w:pPr>
        <w:rPr>
          <w:rFonts w:eastAsiaTheme="minorHAnsi" w:cs="Arial"/>
          <w:b/>
          <w:lang w:val="en-NZ" w:eastAsia="en-NZ"/>
        </w:rPr>
      </w:pPr>
      <w:r w:rsidRPr="00122E77">
        <w:rPr>
          <w:rFonts w:eastAsiaTheme="minorHAnsi" w:cs="Arial"/>
          <w:b/>
          <w:lang w:val="en-NZ" w:eastAsia="en-NZ"/>
        </w:rPr>
        <w:t>UPOV/EXN/DEN/1  Draft 3</w:t>
      </w:r>
    </w:p>
    <w:p w:rsidR="00122E77" w:rsidRPr="00122E77" w:rsidRDefault="00122E77" w:rsidP="00122E77">
      <w:pPr>
        <w:rPr>
          <w:rFonts w:eastAsiaTheme="minorHAnsi" w:cs="Arial"/>
          <w:lang w:val="en-NZ" w:eastAsia="en-NZ"/>
        </w:rPr>
      </w:pPr>
    </w:p>
    <w:p w:rsidR="00122E77" w:rsidRPr="00122E77" w:rsidRDefault="00122E77" w:rsidP="00122E77">
      <w:pPr>
        <w:rPr>
          <w:rFonts w:eastAsiaTheme="minorHAnsi" w:cs="Arial"/>
          <w:u w:val="single"/>
          <w:lang w:val="en-NZ" w:eastAsia="en-NZ"/>
        </w:rPr>
      </w:pPr>
      <w:r w:rsidRPr="00122E77">
        <w:rPr>
          <w:rFonts w:eastAsiaTheme="minorHAnsi" w:cs="Arial"/>
          <w:u w:val="single"/>
          <w:lang w:val="en-NZ" w:eastAsia="en-NZ"/>
        </w:rPr>
        <w:t>The following comments are provided from New Zealand.</w:t>
      </w:r>
    </w:p>
    <w:p w:rsidR="00122E77" w:rsidRPr="00122E77" w:rsidRDefault="00122E77" w:rsidP="00122E77">
      <w:pPr>
        <w:rPr>
          <w:rFonts w:eastAsiaTheme="minorHAnsi" w:cs="Arial"/>
          <w:lang w:val="en-NZ" w:eastAsia="en-NZ"/>
        </w:rPr>
      </w:pPr>
    </w:p>
    <w:p w:rsidR="00122E77" w:rsidRPr="00122E77" w:rsidRDefault="00122E77" w:rsidP="00122E77">
      <w:pPr>
        <w:rPr>
          <w:rFonts w:eastAsiaTheme="minorHAnsi" w:cs="Arial"/>
          <w:lang w:val="en-NZ" w:eastAsia="en-NZ"/>
        </w:rPr>
      </w:pPr>
      <w:r w:rsidRPr="00122E77">
        <w:rPr>
          <w:rFonts w:eastAsiaTheme="minorHAnsi" w:cs="Arial"/>
          <w:b/>
          <w:lang w:val="en-NZ" w:eastAsia="en-NZ"/>
        </w:rPr>
        <w:t xml:space="preserve">Page 6     2.3.2 </w:t>
      </w:r>
      <w:r w:rsidRPr="00122E77">
        <w:rPr>
          <w:rFonts w:eastAsiaTheme="minorHAnsi" w:cs="Arial"/>
          <w:lang w:val="en-NZ" w:eastAsia="en-NZ"/>
        </w:rPr>
        <w:t xml:space="preserve">    “ the denomination should not consist of, or contain, comparative…..”   </w:t>
      </w:r>
    </w:p>
    <w:p w:rsidR="00122E77" w:rsidRPr="00122E77" w:rsidRDefault="00122E77" w:rsidP="00122E77">
      <w:pPr>
        <w:rPr>
          <w:rFonts w:eastAsiaTheme="minorHAnsi" w:cs="Arial"/>
          <w:lang w:val="en-NZ" w:eastAsia="en-NZ"/>
        </w:rPr>
      </w:pPr>
    </w:p>
    <w:p w:rsidR="00122E77" w:rsidRPr="00122E77" w:rsidRDefault="00122E77" w:rsidP="00122E77">
      <w:pPr>
        <w:rPr>
          <w:rFonts w:eastAsiaTheme="minorHAnsi" w:cs="Arial"/>
          <w:lang w:val="en-NZ" w:eastAsia="en-NZ"/>
        </w:rPr>
      </w:pPr>
      <w:r w:rsidRPr="00122E77">
        <w:rPr>
          <w:rFonts w:eastAsiaTheme="minorHAnsi" w:cs="Arial"/>
          <w:lang w:val="en-NZ" w:eastAsia="en-NZ"/>
        </w:rPr>
        <w:t xml:space="preserve">Propose to delete the words </w:t>
      </w:r>
      <w:r w:rsidRPr="00122E77">
        <w:rPr>
          <w:rFonts w:eastAsiaTheme="minorHAnsi" w:cs="Arial"/>
          <w:u w:val="single"/>
          <w:lang w:val="en-NZ" w:eastAsia="en-NZ"/>
        </w:rPr>
        <w:t>or contain</w:t>
      </w:r>
      <w:r w:rsidRPr="00122E77">
        <w:rPr>
          <w:rFonts w:eastAsiaTheme="minorHAnsi" w:cs="Arial"/>
          <w:lang w:val="en-NZ" w:eastAsia="en-NZ"/>
        </w:rPr>
        <w:t xml:space="preserve"> because the mere presence of a word is not necessarily sole justification for rejection.  Interpretation as to the potential for confusion of misleading must be of the denomination as a whole, including word combination and the word position/emphasis in the denomination.  If presence alone was rigidly applied then the examples of acceptable denomination stated may not be acceptable because they do contain superlatives, Superior and Best </w:t>
      </w:r>
    </w:p>
    <w:p w:rsidR="00122E77" w:rsidRPr="00122E77" w:rsidRDefault="00122E77" w:rsidP="00122E77">
      <w:pPr>
        <w:ind w:left="720"/>
        <w:rPr>
          <w:rFonts w:eastAsiaTheme="minorHAnsi" w:cs="Arial"/>
          <w:b/>
          <w:lang w:val="en-NZ" w:eastAsia="en-NZ"/>
        </w:rPr>
      </w:pPr>
    </w:p>
    <w:p w:rsidR="00122E77" w:rsidRPr="00122E77" w:rsidRDefault="00122E77" w:rsidP="00122E77">
      <w:pPr>
        <w:ind w:left="2160" w:hanging="2160"/>
        <w:rPr>
          <w:rFonts w:eastAsiaTheme="minorHAnsi" w:cs="Arial"/>
          <w:lang w:val="en-NZ" w:eastAsia="en-NZ"/>
        </w:rPr>
      </w:pPr>
      <w:r w:rsidRPr="00122E77">
        <w:rPr>
          <w:rFonts w:eastAsiaTheme="minorHAnsi" w:cs="Arial"/>
          <w:b/>
          <w:lang w:val="en-NZ" w:eastAsia="en-NZ"/>
        </w:rPr>
        <w:t>Annex 1, page 3</w:t>
      </w:r>
      <w:r w:rsidRPr="00122E77">
        <w:rPr>
          <w:rFonts w:eastAsiaTheme="minorHAnsi" w:cs="Arial"/>
          <w:lang w:val="en-NZ" w:eastAsia="en-NZ"/>
        </w:rPr>
        <w:tab/>
      </w:r>
      <w:proofErr w:type="spellStart"/>
      <w:r w:rsidRPr="00122E77">
        <w:rPr>
          <w:rFonts w:eastAsiaTheme="minorHAnsi" w:cs="Arial"/>
          <w:i/>
          <w:lang w:val="en-NZ" w:eastAsia="en-NZ"/>
        </w:rPr>
        <w:t>Neotyphodium</w:t>
      </w:r>
      <w:proofErr w:type="spellEnd"/>
      <w:r w:rsidRPr="00122E77">
        <w:rPr>
          <w:rFonts w:eastAsiaTheme="minorHAnsi" w:cs="Arial"/>
          <w:lang w:val="en-NZ" w:eastAsia="en-NZ"/>
        </w:rPr>
        <w:t xml:space="preserve"> is a botanical synonym for </w:t>
      </w:r>
      <w:proofErr w:type="spellStart"/>
      <w:r w:rsidRPr="00122E77">
        <w:rPr>
          <w:rFonts w:eastAsiaTheme="minorHAnsi" w:cs="Arial"/>
          <w:i/>
          <w:lang w:val="en-NZ" w:eastAsia="en-NZ"/>
        </w:rPr>
        <w:t>Epichloe</w:t>
      </w:r>
      <w:proofErr w:type="spellEnd"/>
      <w:r w:rsidRPr="00122E77">
        <w:rPr>
          <w:rFonts w:eastAsiaTheme="minorHAnsi" w:cs="Arial"/>
          <w:lang w:val="en-NZ" w:eastAsia="en-NZ"/>
        </w:rPr>
        <w:t>.  The UPOV code EPICH includes NEOTY.</w:t>
      </w:r>
    </w:p>
    <w:p w:rsidR="00122E77" w:rsidRPr="00122E77" w:rsidRDefault="00122E77" w:rsidP="00122E77">
      <w:pPr>
        <w:ind w:left="1440" w:firstLine="720"/>
        <w:rPr>
          <w:rFonts w:eastAsiaTheme="minorHAnsi" w:cs="Arial"/>
          <w:lang w:val="en-NZ" w:eastAsia="en-NZ"/>
        </w:rPr>
      </w:pPr>
      <w:r w:rsidRPr="00122E77">
        <w:rPr>
          <w:rFonts w:eastAsiaTheme="minorHAnsi" w:cs="Arial"/>
          <w:lang w:val="en-NZ" w:eastAsia="en-NZ"/>
        </w:rPr>
        <w:t xml:space="preserve">Propose to delete </w:t>
      </w:r>
      <w:proofErr w:type="spellStart"/>
      <w:r w:rsidRPr="00122E77">
        <w:rPr>
          <w:rFonts w:eastAsiaTheme="minorHAnsi" w:cs="Arial"/>
          <w:i/>
          <w:lang w:val="en-NZ" w:eastAsia="en-NZ"/>
        </w:rPr>
        <w:t>Neotyphodium</w:t>
      </w:r>
      <w:proofErr w:type="spellEnd"/>
      <w:r w:rsidRPr="00122E77">
        <w:rPr>
          <w:rFonts w:eastAsiaTheme="minorHAnsi" w:cs="Arial"/>
          <w:lang w:val="en-NZ" w:eastAsia="en-NZ"/>
        </w:rPr>
        <w:t xml:space="preserve"> and NEOTY</w:t>
      </w:r>
    </w:p>
    <w:p w:rsidR="00122E77" w:rsidRPr="00122E77" w:rsidRDefault="00122E77" w:rsidP="00122E77">
      <w:pPr>
        <w:ind w:left="1440" w:firstLine="720"/>
        <w:rPr>
          <w:rFonts w:eastAsiaTheme="minorHAnsi" w:cs="Arial"/>
          <w:lang w:val="en-NZ" w:eastAsia="en-NZ"/>
        </w:rPr>
      </w:pPr>
    </w:p>
    <w:p w:rsidR="00122E77" w:rsidRPr="00122E77" w:rsidRDefault="00122E77" w:rsidP="00122E77">
      <w:pPr>
        <w:rPr>
          <w:rFonts w:eastAsiaTheme="minorHAnsi" w:cs="Arial"/>
          <w:b/>
          <w:lang w:val="en-NZ" w:eastAsia="en-NZ"/>
        </w:rPr>
      </w:pPr>
      <w:r w:rsidRPr="00122E77">
        <w:rPr>
          <w:rFonts w:eastAsiaTheme="minorHAnsi" w:cs="Arial"/>
          <w:b/>
          <w:lang w:val="en-NZ" w:eastAsia="en-NZ"/>
        </w:rPr>
        <w:t>b) The CPVO proposal</w:t>
      </w:r>
    </w:p>
    <w:p w:rsidR="00122E77" w:rsidRPr="00122E77" w:rsidRDefault="00122E77" w:rsidP="00122E77">
      <w:pPr>
        <w:rPr>
          <w:rFonts w:eastAsiaTheme="minorHAnsi" w:cs="Arial"/>
          <w:lang w:val="en-NZ" w:eastAsia="en-NZ"/>
        </w:rPr>
      </w:pPr>
    </w:p>
    <w:p w:rsidR="00122E77" w:rsidRPr="00122E77" w:rsidRDefault="00122E77" w:rsidP="00122E77">
      <w:pPr>
        <w:rPr>
          <w:rFonts w:eastAsiaTheme="minorHAnsi" w:cs="Arial"/>
          <w:lang w:val="en-NZ" w:eastAsia="en-NZ"/>
        </w:rPr>
      </w:pPr>
      <w:r w:rsidRPr="00122E77">
        <w:rPr>
          <w:rFonts w:eastAsiaTheme="minorHAnsi" w:cs="Arial"/>
          <w:lang w:val="en-NZ" w:eastAsia="en-NZ"/>
        </w:rPr>
        <w:t xml:space="preserve">There is similarity in the objective of new ii) and existing iii), both provide exemptions to the general principle.  Improvement could be made by combining, covering all words that have difference due to meaning, usage, pronunciation. </w:t>
      </w:r>
    </w:p>
    <w:p w:rsidR="00122E77" w:rsidRPr="00122E77" w:rsidRDefault="00122E77" w:rsidP="00122E77">
      <w:pPr>
        <w:rPr>
          <w:rFonts w:eastAsiaTheme="minorHAnsi" w:cs="Arial"/>
          <w:lang w:val="en-NZ" w:eastAsia="en-NZ"/>
        </w:rPr>
      </w:pPr>
    </w:p>
    <w:p w:rsidR="00122E77" w:rsidRPr="00122E77" w:rsidRDefault="00122E77" w:rsidP="00122E77">
      <w:pPr>
        <w:rPr>
          <w:rFonts w:eastAsiaTheme="minorHAnsi" w:cs="Arial"/>
          <w:lang w:val="en-NZ" w:eastAsia="en-NZ"/>
        </w:rPr>
      </w:pPr>
      <w:r w:rsidRPr="00122E77">
        <w:rPr>
          <w:rFonts w:eastAsiaTheme="minorHAnsi" w:cs="Arial"/>
          <w:lang w:val="en-NZ" w:eastAsia="en-NZ"/>
        </w:rPr>
        <w:t>For iii) suggest “difference of one letter provides a clear visual or phonetic difference or a clearly or widely recognizable difference in meaning”</w:t>
      </w:r>
    </w:p>
    <w:p w:rsidR="00122E77" w:rsidRPr="00122E77" w:rsidRDefault="00122E77" w:rsidP="00122E77">
      <w:pPr>
        <w:rPr>
          <w:rFonts w:eastAsiaTheme="minorHAnsi" w:cs="Arial"/>
          <w:lang w:val="en-NZ" w:eastAsia="en-NZ"/>
        </w:rPr>
      </w:pPr>
    </w:p>
    <w:p w:rsidR="00122E77" w:rsidRPr="00122E77" w:rsidRDefault="00122E77" w:rsidP="00122E77">
      <w:pPr>
        <w:rPr>
          <w:rFonts w:eastAsiaTheme="minorHAnsi" w:cs="Arial"/>
          <w:lang w:val="en-NZ" w:eastAsia="en-NZ"/>
        </w:rPr>
      </w:pPr>
      <w:r w:rsidRPr="00122E77">
        <w:rPr>
          <w:rFonts w:eastAsiaTheme="minorHAnsi" w:cs="Arial"/>
          <w:lang w:val="en-NZ" w:eastAsia="en-NZ"/>
        </w:rPr>
        <w:t xml:space="preserve">There can many permutations of difference including combinations and it is easier to lump all together in a more general sentence rather than attempting to separate them out.  As an example, meaning may well be dependent on pronunciation/phonetics. </w:t>
      </w:r>
    </w:p>
    <w:p w:rsidR="00122E77" w:rsidRPr="00122E77" w:rsidRDefault="00122E77" w:rsidP="00122E77">
      <w:pPr>
        <w:rPr>
          <w:rFonts w:eastAsiaTheme="minorHAnsi" w:cs="Arial"/>
          <w:lang w:val="en-NZ" w:eastAsia="en-NZ"/>
        </w:rPr>
      </w:pPr>
    </w:p>
    <w:p w:rsidR="00122E77" w:rsidRPr="00122E77" w:rsidRDefault="00122E77" w:rsidP="00122E77">
      <w:pPr>
        <w:rPr>
          <w:rFonts w:eastAsiaTheme="minorHAnsi" w:cs="Arial"/>
          <w:lang w:val="en-NZ" w:eastAsia="en-NZ"/>
        </w:rPr>
      </w:pPr>
      <w:r w:rsidRPr="00122E77">
        <w:rPr>
          <w:rFonts w:eastAsiaTheme="minorHAnsi" w:cs="Arial"/>
          <w:b/>
          <w:lang w:val="en-NZ" w:eastAsia="en-NZ"/>
        </w:rPr>
        <w:t>2.3.3 (b)</w:t>
      </w:r>
      <w:r w:rsidRPr="00122E77">
        <w:rPr>
          <w:rFonts w:eastAsiaTheme="minorHAnsi" w:cs="Arial"/>
          <w:lang w:val="en-NZ" w:eastAsia="en-NZ"/>
        </w:rPr>
        <w:t xml:space="preserve">  Support the inclusion of Alternative 2 with the additional proposal to delete `Antelope’ and `</w:t>
      </w:r>
      <w:proofErr w:type="spellStart"/>
      <w:r w:rsidRPr="00122E77">
        <w:rPr>
          <w:rFonts w:eastAsiaTheme="minorHAnsi" w:cs="Arial"/>
          <w:lang w:val="en-NZ" w:eastAsia="en-NZ"/>
        </w:rPr>
        <w:t>Antilop</w:t>
      </w:r>
      <w:proofErr w:type="spellEnd"/>
      <w:r w:rsidRPr="00122E77">
        <w:rPr>
          <w:rFonts w:eastAsiaTheme="minorHAnsi" w:cs="Arial"/>
          <w:lang w:val="en-NZ" w:eastAsia="en-NZ"/>
        </w:rPr>
        <w:t xml:space="preserve">’ as an example.  There is a clear difference in meaning. </w:t>
      </w:r>
    </w:p>
    <w:p w:rsidR="00122E77" w:rsidRPr="00122E77" w:rsidRDefault="00122E77" w:rsidP="00122E77">
      <w:pPr>
        <w:rPr>
          <w:rFonts w:eastAsiaTheme="minorHAnsi" w:cs="Arial"/>
          <w:lang w:val="en-NZ" w:eastAsia="en-NZ"/>
        </w:rPr>
      </w:pPr>
    </w:p>
    <w:p w:rsidR="00122E77" w:rsidRPr="00122E77" w:rsidRDefault="00122E77" w:rsidP="00122E77">
      <w:pPr>
        <w:rPr>
          <w:rFonts w:cs="Arial"/>
        </w:rPr>
      </w:pPr>
    </w:p>
    <w:p w:rsidR="00122E77" w:rsidRPr="00122E77" w:rsidRDefault="00122E77" w:rsidP="00122E77">
      <w:pPr>
        <w:rPr>
          <w:rFonts w:cs="Arial"/>
        </w:rPr>
      </w:pPr>
    </w:p>
    <w:p w:rsidR="00122E77" w:rsidRPr="00122E77" w:rsidRDefault="00122E77" w:rsidP="00122E77">
      <w:pPr>
        <w:jc w:val="right"/>
        <w:rPr>
          <w:rFonts w:cs="Arial"/>
        </w:rPr>
      </w:pPr>
      <w:r w:rsidRPr="00122E77">
        <w:rPr>
          <w:rFonts w:cs="Arial"/>
        </w:rPr>
        <w:t>[Annex II follows]</w:t>
      </w:r>
    </w:p>
    <w:p w:rsidR="00122E77" w:rsidRPr="00122E77" w:rsidRDefault="00122E77" w:rsidP="00122E77"/>
    <w:p w:rsidR="00122E77" w:rsidRPr="00122E77" w:rsidRDefault="00122E77" w:rsidP="00122E77">
      <w:pPr>
        <w:jc w:val="left"/>
      </w:pPr>
    </w:p>
    <w:p w:rsidR="00122E77" w:rsidRPr="00122E77" w:rsidRDefault="00122E77" w:rsidP="00122E77">
      <w:pPr>
        <w:jc w:val="left"/>
        <w:sectPr w:rsidR="00122E77" w:rsidRPr="00122E77" w:rsidSect="002C31FA">
          <w:headerReference w:type="even" r:id="rId51"/>
          <w:headerReference w:type="default" r:id="rId52"/>
          <w:footerReference w:type="even" r:id="rId53"/>
          <w:footerReference w:type="default" r:id="rId54"/>
          <w:headerReference w:type="first" r:id="rId55"/>
          <w:footerReference w:type="first" r:id="rId56"/>
          <w:endnotePr>
            <w:numFmt w:val="lowerLetter"/>
          </w:endnotePr>
          <w:pgSz w:w="11907" w:h="16840" w:code="9"/>
          <w:pgMar w:top="510" w:right="1134" w:bottom="851" w:left="1134" w:header="510" w:footer="680" w:gutter="0"/>
          <w:cols w:space="720"/>
          <w:titlePg/>
        </w:sectPr>
      </w:pPr>
    </w:p>
    <w:p w:rsidR="00122E77" w:rsidRPr="00122E77" w:rsidRDefault="00122E77" w:rsidP="00122E77">
      <w:pPr>
        <w:jc w:val="center"/>
        <w:rPr>
          <w:rFonts w:cs="Arial"/>
          <w:caps/>
          <w:lang w:eastAsia="ja-JP"/>
        </w:rPr>
      </w:pPr>
      <w:r w:rsidRPr="00122E77">
        <w:rPr>
          <w:rFonts w:cs="Arial"/>
          <w:caps/>
          <w:lang w:eastAsia="ja-JP"/>
        </w:rPr>
        <w:lastRenderedPageBreak/>
        <w:t xml:space="preserve">REVISIONS TO Document TGP/5, Section 6 </w:t>
      </w:r>
      <w:r w:rsidRPr="00122E77">
        <w:rPr>
          <w:rFonts w:cs="Arial"/>
          <w:caps/>
          <w:lang w:eastAsia="ja-JP"/>
        </w:rPr>
        <w:br/>
        <w:t>“UPOV Report on Technical Examination and UPOV Variety Description”</w:t>
      </w:r>
    </w:p>
    <w:p w:rsidR="00122E77" w:rsidRPr="00122E77" w:rsidRDefault="00122E77" w:rsidP="00122E77">
      <w:pPr>
        <w:jc w:val="center"/>
        <w:rPr>
          <w:rFonts w:cs="Arial"/>
          <w:caps/>
          <w:lang w:eastAsia="ja-JP"/>
        </w:rPr>
      </w:pPr>
    </w:p>
    <w:p w:rsidR="00122E77" w:rsidRPr="00122E77" w:rsidRDefault="00122E77" w:rsidP="00122E77">
      <w:pPr>
        <w:jc w:val="center"/>
        <w:rPr>
          <w:lang w:eastAsia="ja-JP"/>
        </w:rPr>
      </w:pPr>
    </w:p>
    <w:p w:rsidR="00122E77" w:rsidRPr="00122E77" w:rsidRDefault="00122E77" w:rsidP="00122E77">
      <w:pPr>
        <w:rPr>
          <w:rFonts w:cs="Arial"/>
        </w:rPr>
      </w:pPr>
      <w:r w:rsidRPr="00122E77">
        <w:t xml:space="preserve">The TC, at its fifty-fifth session, considered </w:t>
      </w:r>
      <w:r w:rsidRPr="00122E77">
        <w:rPr>
          <w:rFonts w:cs="Arial"/>
        </w:rPr>
        <w:t xml:space="preserve">document TC/55/11 (see document </w:t>
      </w:r>
      <w:hyperlink r:id="rId57" w:history="1">
        <w:r w:rsidRPr="00122E77">
          <w:rPr>
            <w:spacing w:val="-2"/>
          </w:rPr>
          <w:t>TC/55/25 Corr.</w:t>
        </w:r>
      </w:hyperlink>
      <w:r w:rsidRPr="00122E77">
        <w:rPr>
          <w:spacing w:val="-2"/>
        </w:rPr>
        <w:t xml:space="preserve"> “Report”</w:t>
      </w:r>
      <w:r w:rsidRPr="00122E77">
        <w:rPr>
          <w:rFonts w:cs="Arial"/>
        </w:rPr>
        <w:t>, paragraphs 231 and 232).</w:t>
      </w:r>
    </w:p>
    <w:p w:rsidR="00122E77" w:rsidRPr="00122E77" w:rsidRDefault="00122E77" w:rsidP="00122E77"/>
    <w:p w:rsidR="00122E77" w:rsidRPr="00122E77" w:rsidRDefault="00122E77" w:rsidP="00122E77">
      <w:r w:rsidRPr="00122E77">
        <w:t xml:space="preserve">The following revision of document TGP/5 “Experience and Cooperation in DUS Testing”, Section 6 </w:t>
      </w:r>
      <w:r w:rsidRPr="00122E77">
        <w:br/>
        <w:t>“UPOV Report on Technical Examination and UPOV Variety Description” was agreed by the TC to be proposed for adoption by the Council at its fifty-fourth ordinary session, to be held in Geneva on October 30, 2020, subject to approval by the CAJ, at its seventy-seventh session, to be held in Geneva on October 28, 2020 (</w:t>
      </w:r>
      <w:r w:rsidRPr="00122E77">
        <w:rPr>
          <w:strike/>
          <w:highlight w:val="lightGray"/>
        </w:rPr>
        <w:t>highlighting and strikethrough</w:t>
      </w:r>
      <w:r w:rsidRPr="00122E77">
        <w:t xml:space="preserve"> for deletions and </w:t>
      </w:r>
      <w:r w:rsidRPr="00122E77">
        <w:rPr>
          <w:highlight w:val="lightGray"/>
          <w:u w:val="single"/>
        </w:rPr>
        <w:t>highlighting and underline</w:t>
      </w:r>
      <w:r w:rsidRPr="00122E77">
        <w:t xml:space="preserve"> for addition):</w:t>
      </w:r>
    </w:p>
    <w:p w:rsidR="00122E77" w:rsidRPr="00122E77" w:rsidRDefault="00122E77" w:rsidP="00122E77"/>
    <w:p w:rsidR="00122E77" w:rsidRPr="00122E77" w:rsidRDefault="00122E77" w:rsidP="00122E77">
      <w:pPr>
        <w:rPr>
          <w:rFonts w:cs="Arial"/>
        </w:rPr>
      </w:pPr>
      <w:r w:rsidRPr="00122E77">
        <w:rPr>
          <w:rFonts w:cs="Arial"/>
        </w:rPr>
        <w:t>[…]</w:t>
      </w:r>
    </w:p>
    <w:p w:rsidR="00122E77" w:rsidRPr="00122E77" w:rsidRDefault="00122E77" w:rsidP="00122E77"/>
    <w:p w:rsidR="00122E77" w:rsidRPr="00122E77" w:rsidRDefault="00122E77" w:rsidP="00122E77">
      <w:pPr>
        <w:jc w:val="center"/>
        <w:rPr>
          <w:rFonts w:cs="Arial"/>
          <w:sz w:val="24"/>
          <w:lang w:eastAsia="ja-JP"/>
        </w:rPr>
      </w:pPr>
      <w:r w:rsidRPr="00122E77">
        <w:rPr>
          <w:rFonts w:cs="Arial"/>
          <w:sz w:val="24"/>
          <w:lang w:eastAsia="ja-JP"/>
        </w:rPr>
        <w:t>UPOV VARIETY DESCRIPTION</w:t>
      </w:r>
    </w:p>
    <w:p w:rsidR="00122E77" w:rsidRPr="00122E77" w:rsidRDefault="00122E77" w:rsidP="00122E77">
      <w:pPr>
        <w:jc w:val="left"/>
        <w:rPr>
          <w:rFonts w:cs="Arial"/>
        </w:rPr>
      </w:pPr>
    </w:p>
    <w:p w:rsidR="00122E77" w:rsidRPr="00122E77" w:rsidRDefault="00122E77" w:rsidP="00122E77">
      <w:pPr>
        <w:rPr>
          <w:rFonts w:cs="Arial"/>
        </w:rPr>
      </w:pPr>
      <w:r w:rsidRPr="00122E77">
        <w:rPr>
          <w:rFonts w:cs="Arial"/>
        </w:rPr>
        <w:t>[…]</w:t>
      </w:r>
    </w:p>
    <w:p w:rsidR="00122E77" w:rsidRPr="00122E77" w:rsidRDefault="00122E77" w:rsidP="00122E77"/>
    <w:p w:rsidR="00122E77" w:rsidRPr="00122E77" w:rsidRDefault="00122E77" w:rsidP="00122E77">
      <w:pPr>
        <w:jc w:val="left"/>
        <w:rPr>
          <w:rFonts w:cs="Arial"/>
        </w:rPr>
      </w:pPr>
    </w:p>
    <w:p w:rsidR="00122E77" w:rsidRPr="00122E77" w:rsidRDefault="00122E77" w:rsidP="00122E77">
      <w:pPr>
        <w:jc w:val="left"/>
        <w:rPr>
          <w:rFonts w:cs="Arial"/>
        </w:rPr>
      </w:pPr>
      <w:r w:rsidRPr="00122E77">
        <w:rPr>
          <w:rFonts w:cs="Arial"/>
        </w:rPr>
        <w:t>16.</w:t>
      </w:r>
      <w:r w:rsidRPr="00122E77">
        <w:rPr>
          <w:rFonts w:cs="Arial"/>
        </w:rPr>
        <w:tab/>
      </w:r>
      <w:r w:rsidRPr="00122E77">
        <w:rPr>
          <w:rFonts w:cs="Arial"/>
          <w:u w:val="single"/>
        </w:rPr>
        <w:t>Similar Varieties and Differences from These Varieties</w:t>
      </w:r>
    </w:p>
    <w:p w:rsidR="00122E77" w:rsidRPr="00122E77" w:rsidRDefault="00122E77" w:rsidP="00122E77">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122E77" w:rsidRPr="00122E77" w:rsidTr="002C31FA">
        <w:tc>
          <w:tcPr>
            <w:tcW w:w="2303" w:type="dxa"/>
            <w:vAlign w:val="center"/>
          </w:tcPr>
          <w:p w:rsidR="00122E77" w:rsidRPr="00122E77" w:rsidRDefault="00122E77" w:rsidP="00122E77">
            <w:pPr>
              <w:jc w:val="center"/>
              <w:rPr>
                <w:rFonts w:cs="Arial"/>
              </w:rPr>
            </w:pPr>
            <w:r w:rsidRPr="00122E77">
              <w:rPr>
                <w:rFonts w:cs="Arial"/>
              </w:rPr>
              <w:t>Denomination(s) of variety(</w:t>
            </w:r>
            <w:proofErr w:type="spellStart"/>
            <w:r w:rsidRPr="00122E77">
              <w:rPr>
                <w:rFonts w:cs="Arial"/>
              </w:rPr>
              <w:t>ies</w:t>
            </w:r>
            <w:proofErr w:type="spellEnd"/>
            <w:r w:rsidRPr="00122E77">
              <w:rPr>
                <w:rFonts w:cs="Arial"/>
              </w:rPr>
              <w:t>) similar to the candidate variety</w:t>
            </w:r>
          </w:p>
        </w:tc>
        <w:tc>
          <w:tcPr>
            <w:tcW w:w="2304" w:type="dxa"/>
            <w:vAlign w:val="center"/>
          </w:tcPr>
          <w:p w:rsidR="00122E77" w:rsidRPr="00122E77" w:rsidRDefault="00122E77" w:rsidP="00122E77">
            <w:pPr>
              <w:jc w:val="center"/>
              <w:rPr>
                <w:rFonts w:cs="Arial"/>
              </w:rPr>
            </w:pPr>
            <w:r w:rsidRPr="00122E77">
              <w:rPr>
                <w:rFonts w:cs="Arial"/>
              </w:rPr>
              <w:t>Characteristic(s) in which the candidate variety differs from the similar variety(</w:t>
            </w:r>
            <w:proofErr w:type="spellStart"/>
            <w:r w:rsidRPr="00122E77">
              <w:rPr>
                <w:rFonts w:cs="Arial"/>
              </w:rPr>
              <w:t>ies</w:t>
            </w:r>
            <w:proofErr w:type="spellEnd"/>
            <w:r w:rsidRPr="00122E77">
              <w:rPr>
                <w:rFonts w:cs="Arial"/>
              </w:rPr>
              <w:t>)</w:t>
            </w:r>
            <w:r w:rsidRPr="00122E77">
              <w:rPr>
                <w:rFonts w:cs="Arial"/>
                <w:highlight w:val="lightGray"/>
                <w:vertAlign w:val="superscript"/>
              </w:rPr>
              <w:t>1</w:t>
            </w:r>
            <w:r w:rsidRPr="00122E77">
              <w:rPr>
                <w:rFonts w:cs="Arial"/>
                <w:vertAlign w:val="superscript"/>
              </w:rPr>
              <w:t>)</w:t>
            </w:r>
          </w:p>
        </w:tc>
        <w:tc>
          <w:tcPr>
            <w:tcW w:w="2303" w:type="dxa"/>
            <w:vAlign w:val="center"/>
          </w:tcPr>
          <w:p w:rsidR="00122E77" w:rsidRPr="00122E77" w:rsidRDefault="00122E77" w:rsidP="00122E77">
            <w:pPr>
              <w:jc w:val="center"/>
              <w:rPr>
                <w:rFonts w:cs="Arial"/>
              </w:rPr>
            </w:pPr>
            <w:r w:rsidRPr="00122E77">
              <w:rPr>
                <w:rFonts w:cs="Arial"/>
              </w:rPr>
              <w:t>State of expression of the characteristic(s) for the similar variety(</w:t>
            </w:r>
            <w:proofErr w:type="spellStart"/>
            <w:r w:rsidRPr="00122E77">
              <w:rPr>
                <w:rFonts w:cs="Arial"/>
              </w:rPr>
              <w:t>ies</w:t>
            </w:r>
            <w:proofErr w:type="spellEnd"/>
            <w:r w:rsidRPr="00122E77">
              <w:rPr>
                <w:rFonts w:cs="Arial"/>
              </w:rPr>
              <w:t>)</w:t>
            </w:r>
            <w:r w:rsidRPr="00122E77">
              <w:rPr>
                <w:rFonts w:cs="Arial"/>
                <w:vertAlign w:val="superscript"/>
              </w:rPr>
              <w:t xml:space="preserve"> </w:t>
            </w:r>
            <w:r w:rsidRPr="00122E77">
              <w:rPr>
                <w:rFonts w:cs="Arial"/>
                <w:highlight w:val="lightGray"/>
                <w:u w:val="single"/>
                <w:vertAlign w:val="superscript"/>
              </w:rPr>
              <w:t>2)</w:t>
            </w:r>
          </w:p>
        </w:tc>
        <w:tc>
          <w:tcPr>
            <w:tcW w:w="2304" w:type="dxa"/>
            <w:vAlign w:val="center"/>
          </w:tcPr>
          <w:p w:rsidR="00122E77" w:rsidRPr="00122E77" w:rsidRDefault="00122E77" w:rsidP="00122E77">
            <w:pPr>
              <w:jc w:val="center"/>
              <w:rPr>
                <w:rFonts w:cs="Arial"/>
              </w:rPr>
            </w:pPr>
            <w:r w:rsidRPr="00122E77">
              <w:rPr>
                <w:rFonts w:cs="Arial"/>
              </w:rPr>
              <w:t>State of expression of the characteristic(s) for the candidate variety</w:t>
            </w:r>
            <w:r w:rsidRPr="00122E77">
              <w:rPr>
                <w:rFonts w:cs="Arial"/>
                <w:highlight w:val="lightGray"/>
                <w:u w:val="single"/>
                <w:vertAlign w:val="superscript"/>
              </w:rPr>
              <w:t>2)</w:t>
            </w:r>
          </w:p>
        </w:tc>
      </w:tr>
    </w:tbl>
    <w:p w:rsidR="00122E77" w:rsidRPr="00122E77" w:rsidRDefault="00122E77" w:rsidP="00122E77">
      <w:pPr>
        <w:jc w:val="left"/>
        <w:rPr>
          <w:rFonts w:cs="Arial"/>
        </w:rPr>
      </w:pPr>
    </w:p>
    <w:p w:rsidR="00122E77" w:rsidRPr="00122E77" w:rsidRDefault="00122E77" w:rsidP="00122E77">
      <w:pPr>
        <w:jc w:val="left"/>
        <w:rPr>
          <w:rFonts w:cs="Arial"/>
        </w:rPr>
      </w:pPr>
    </w:p>
    <w:p w:rsidR="00122E77" w:rsidRPr="00122E77" w:rsidRDefault="00122E77" w:rsidP="00122E77">
      <w:pPr>
        <w:jc w:val="left"/>
        <w:rPr>
          <w:rFonts w:cs="Arial"/>
        </w:rPr>
      </w:pPr>
    </w:p>
    <w:p w:rsidR="00122E77" w:rsidRPr="00122E77" w:rsidRDefault="00122E77" w:rsidP="00122E77">
      <w:pPr>
        <w:jc w:val="left"/>
        <w:rPr>
          <w:rFonts w:cs="Arial"/>
        </w:rPr>
      </w:pPr>
    </w:p>
    <w:p w:rsidR="00122E77" w:rsidRPr="00122E77" w:rsidRDefault="00122E77" w:rsidP="00122E77">
      <w:pPr>
        <w:jc w:val="left"/>
        <w:rPr>
          <w:rFonts w:cs="Arial"/>
        </w:rPr>
      </w:pPr>
    </w:p>
    <w:p w:rsidR="00122E77" w:rsidRPr="00122E77" w:rsidRDefault="00122E77" w:rsidP="00122E77">
      <w:pPr>
        <w:rPr>
          <w:rFonts w:cs="Arial"/>
        </w:rPr>
      </w:pPr>
      <w:r w:rsidRPr="00122E77">
        <w:rPr>
          <w:rFonts w:cs="Arial"/>
          <w:highlight w:val="lightGray"/>
        </w:rPr>
        <w:t>1</w:t>
      </w:r>
      <w:r w:rsidRPr="00122E77">
        <w:rPr>
          <w:rFonts w:cs="Arial"/>
        </w:rPr>
        <w:t>)</w:t>
      </w:r>
      <w:r w:rsidRPr="00122E77">
        <w:rPr>
          <w:rFonts w:cs="Arial"/>
        </w:rPr>
        <w:tab/>
        <w:t>In the case of identical states of expression of both varieties, please indicate the size of the difference.</w:t>
      </w:r>
    </w:p>
    <w:p w:rsidR="00122E77" w:rsidRPr="00122E77" w:rsidRDefault="00122E77" w:rsidP="00122E77">
      <w:pPr>
        <w:jc w:val="left"/>
        <w:rPr>
          <w:rFonts w:cs="Arial"/>
        </w:rPr>
      </w:pPr>
    </w:p>
    <w:p w:rsidR="00122E77" w:rsidRPr="00122E77" w:rsidRDefault="00122E77" w:rsidP="00122E77">
      <w:pPr>
        <w:ind w:left="567" w:hanging="567"/>
        <w:rPr>
          <w:u w:val="single"/>
          <w:lang w:val="en-GB"/>
        </w:rPr>
      </w:pPr>
      <w:r w:rsidRPr="00122E77">
        <w:rPr>
          <w:highlight w:val="lightGray"/>
          <w:u w:val="single"/>
          <w:lang w:val="en-GB"/>
        </w:rPr>
        <w:t>2)</w:t>
      </w:r>
      <w:r w:rsidRPr="00122E77">
        <w:rPr>
          <w:highlight w:val="lightGray"/>
          <w:u w:val="single"/>
          <w:lang w:val="en-GB"/>
        </w:rPr>
        <w:tab/>
        <w:t>The state of expression of the candidate variety and similar variety(</w:t>
      </w:r>
      <w:proofErr w:type="spellStart"/>
      <w:r w:rsidRPr="00122E77">
        <w:rPr>
          <w:highlight w:val="lightGray"/>
          <w:u w:val="single"/>
          <w:lang w:val="en-GB"/>
        </w:rPr>
        <w:t>ies</w:t>
      </w:r>
      <w:proofErr w:type="spellEnd"/>
      <w:r w:rsidRPr="00122E77">
        <w:rPr>
          <w:highlight w:val="lightGray"/>
          <w:u w:val="single"/>
          <w:lang w:val="en-GB"/>
        </w:rPr>
        <w:t xml:space="preserve">) relate to the DUS examination conducted at the testing station, place and period of testing indicated in 11 and 12. </w:t>
      </w:r>
    </w:p>
    <w:p w:rsidR="00122E77" w:rsidRPr="00122E77" w:rsidRDefault="00122E77" w:rsidP="00122E77">
      <w:pPr>
        <w:rPr>
          <w:rFonts w:cs="Arial"/>
          <w:lang w:val="en-GB"/>
        </w:rPr>
      </w:pPr>
    </w:p>
    <w:p w:rsidR="00122E77" w:rsidRPr="00122E77" w:rsidRDefault="00122E77" w:rsidP="00122E77">
      <w:pPr>
        <w:tabs>
          <w:tab w:val="left" w:leader="underscore" w:pos="9752"/>
        </w:tabs>
        <w:ind w:left="-113" w:right="-113"/>
        <w:jc w:val="left"/>
        <w:rPr>
          <w:rFonts w:cs="Arial"/>
        </w:rPr>
      </w:pPr>
      <w:r w:rsidRPr="00122E77">
        <w:rPr>
          <w:rFonts w:cs="Arial"/>
        </w:rPr>
        <w:tab/>
      </w:r>
    </w:p>
    <w:p w:rsidR="00122E77" w:rsidRPr="00122E77" w:rsidRDefault="00122E77" w:rsidP="00122E77">
      <w:pPr>
        <w:jc w:val="left"/>
        <w:rPr>
          <w:rFonts w:cs="Arial"/>
        </w:rPr>
      </w:pPr>
    </w:p>
    <w:p w:rsidR="00122E77" w:rsidRPr="00122E77" w:rsidRDefault="00122E77" w:rsidP="00122E77">
      <w:pPr>
        <w:jc w:val="left"/>
        <w:rPr>
          <w:rFonts w:cs="Arial"/>
        </w:rPr>
      </w:pPr>
    </w:p>
    <w:p w:rsidR="00122E77" w:rsidRPr="00122E77" w:rsidRDefault="00122E77" w:rsidP="00122E77">
      <w:pPr>
        <w:jc w:val="left"/>
        <w:rPr>
          <w:rFonts w:cs="Arial"/>
        </w:rPr>
      </w:pPr>
      <w:r w:rsidRPr="00122E77">
        <w:rPr>
          <w:rFonts w:cs="Arial"/>
        </w:rPr>
        <w:t>17.</w:t>
      </w:r>
      <w:r w:rsidRPr="00122E77">
        <w:rPr>
          <w:rFonts w:cs="Arial"/>
        </w:rPr>
        <w:tab/>
      </w:r>
      <w:r w:rsidRPr="00122E77">
        <w:rPr>
          <w:rFonts w:cs="Arial"/>
          <w:u w:val="single"/>
        </w:rPr>
        <w:t>Additional Information</w:t>
      </w:r>
    </w:p>
    <w:p w:rsidR="00122E77" w:rsidRPr="00122E77" w:rsidRDefault="00122E77" w:rsidP="00122E77">
      <w:pPr>
        <w:jc w:val="left"/>
        <w:rPr>
          <w:rFonts w:cs="Arial"/>
        </w:rPr>
      </w:pPr>
    </w:p>
    <w:p w:rsidR="00122E77" w:rsidRPr="00122E77" w:rsidRDefault="00122E77" w:rsidP="00122E77">
      <w:pPr>
        <w:jc w:val="left"/>
        <w:rPr>
          <w:rFonts w:cs="Arial"/>
        </w:rPr>
      </w:pPr>
      <w:r w:rsidRPr="00122E77">
        <w:rPr>
          <w:rFonts w:cs="Arial"/>
        </w:rPr>
        <w:tab/>
        <w:t>(a)</w:t>
      </w:r>
      <w:r w:rsidRPr="00122E77">
        <w:rPr>
          <w:rFonts w:cs="Arial"/>
        </w:rPr>
        <w:tab/>
        <w:t>Additional Data</w:t>
      </w:r>
    </w:p>
    <w:p w:rsidR="00122E77" w:rsidRPr="00122E77" w:rsidRDefault="00122E77" w:rsidP="00122E77">
      <w:pPr>
        <w:jc w:val="left"/>
        <w:rPr>
          <w:rFonts w:cs="Arial"/>
        </w:rPr>
      </w:pPr>
    </w:p>
    <w:p w:rsidR="00122E77" w:rsidRPr="00122E77" w:rsidRDefault="00122E77" w:rsidP="00122E77">
      <w:pPr>
        <w:jc w:val="left"/>
        <w:rPr>
          <w:rFonts w:cs="Arial"/>
          <w:color w:val="000000"/>
        </w:rPr>
      </w:pPr>
      <w:r w:rsidRPr="00122E77">
        <w:rPr>
          <w:rFonts w:cs="Arial"/>
        </w:rPr>
        <w:tab/>
      </w:r>
      <w:r w:rsidRPr="00122E77">
        <w:rPr>
          <w:rFonts w:cs="Arial"/>
          <w:color w:val="000000"/>
        </w:rPr>
        <w:t>(b)</w:t>
      </w:r>
      <w:r w:rsidRPr="00122E77">
        <w:rPr>
          <w:rFonts w:cs="Arial"/>
          <w:color w:val="000000"/>
        </w:rPr>
        <w:tab/>
        <w:t>Photograph (if appropriate)</w:t>
      </w:r>
    </w:p>
    <w:p w:rsidR="00122E77" w:rsidRPr="00122E77" w:rsidRDefault="00122E77" w:rsidP="00122E77">
      <w:pPr>
        <w:jc w:val="left"/>
        <w:rPr>
          <w:rFonts w:cs="Arial"/>
        </w:rPr>
      </w:pPr>
    </w:p>
    <w:p w:rsidR="00122E77" w:rsidRPr="00122E77" w:rsidRDefault="00122E77" w:rsidP="00122E77">
      <w:pPr>
        <w:jc w:val="left"/>
        <w:rPr>
          <w:rFonts w:cs="Arial"/>
          <w:color w:val="000000"/>
        </w:rPr>
      </w:pPr>
      <w:r w:rsidRPr="00122E77">
        <w:rPr>
          <w:rFonts w:cs="Arial"/>
        </w:rPr>
        <w:tab/>
      </w:r>
      <w:r w:rsidRPr="00122E77">
        <w:rPr>
          <w:rFonts w:cs="Arial"/>
          <w:color w:val="000000"/>
        </w:rPr>
        <w:t>(c)</w:t>
      </w:r>
      <w:r w:rsidRPr="00122E77">
        <w:rPr>
          <w:rFonts w:cs="Arial"/>
          <w:color w:val="000000"/>
        </w:rPr>
        <w:tab/>
        <w:t xml:space="preserve">RHS </w:t>
      </w:r>
      <w:proofErr w:type="spellStart"/>
      <w:r w:rsidRPr="00122E77">
        <w:rPr>
          <w:rFonts w:cs="Arial"/>
          <w:color w:val="000000"/>
        </w:rPr>
        <w:t>Colour</w:t>
      </w:r>
      <w:proofErr w:type="spellEnd"/>
      <w:r w:rsidRPr="00122E77">
        <w:rPr>
          <w:rFonts w:cs="Arial"/>
          <w:color w:val="000000"/>
        </w:rPr>
        <w:t xml:space="preserve"> Chart version used (if appropriate)</w:t>
      </w:r>
    </w:p>
    <w:p w:rsidR="00122E77" w:rsidRPr="00122E77" w:rsidRDefault="00122E77" w:rsidP="00122E77">
      <w:pPr>
        <w:jc w:val="left"/>
        <w:rPr>
          <w:rFonts w:cs="Arial"/>
        </w:rPr>
      </w:pPr>
    </w:p>
    <w:p w:rsidR="00122E77" w:rsidRPr="00122E77" w:rsidRDefault="00122E77" w:rsidP="00122E77">
      <w:pPr>
        <w:tabs>
          <w:tab w:val="left" w:pos="284"/>
        </w:tabs>
        <w:jc w:val="left"/>
        <w:rPr>
          <w:rFonts w:cs="Arial"/>
        </w:rPr>
      </w:pPr>
      <w:r w:rsidRPr="00122E77">
        <w:rPr>
          <w:rFonts w:cs="Arial"/>
        </w:rPr>
        <w:tab/>
      </w:r>
      <w:r w:rsidRPr="00122E77">
        <w:rPr>
          <w:rFonts w:cs="Arial"/>
        </w:rPr>
        <w:tab/>
        <w:t>(d)</w:t>
      </w:r>
      <w:r w:rsidRPr="00122E77">
        <w:rPr>
          <w:rFonts w:cs="Arial"/>
        </w:rPr>
        <w:tab/>
        <w:t>Remarks</w:t>
      </w:r>
    </w:p>
    <w:p w:rsidR="00122E77" w:rsidRPr="00122E77" w:rsidRDefault="00122E77" w:rsidP="00122E77">
      <w:pPr>
        <w:jc w:val="left"/>
        <w:rPr>
          <w:rFonts w:cs="Arial"/>
        </w:rPr>
      </w:pPr>
    </w:p>
    <w:p w:rsidR="00122E77" w:rsidRPr="00122E77" w:rsidRDefault="00122E77" w:rsidP="00122E77">
      <w:pPr>
        <w:tabs>
          <w:tab w:val="left" w:leader="underscore" w:pos="9752"/>
        </w:tabs>
        <w:ind w:left="-113" w:right="-113"/>
        <w:jc w:val="left"/>
        <w:rPr>
          <w:rFonts w:cs="Arial"/>
        </w:rPr>
      </w:pPr>
      <w:r w:rsidRPr="00122E77">
        <w:rPr>
          <w:rFonts w:cs="Arial"/>
        </w:rPr>
        <w:tab/>
      </w:r>
    </w:p>
    <w:p w:rsidR="00122E77" w:rsidRPr="00122E77" w:rsidRDefault="00122E77" w:rsidP="00122E77">
      <w:pPr>
        <w:jc w:val="center"/>
        <w:rPr>
          <w:rFonts w:cs="Arial"/>
        </w:rPr>
      </w:pPr>
      <w:r w:rsidRPr="00122E77">
        <w:rPr>
          <w:rFonts w:ascii="Times New Roman" w:hAnsi="Times New Roman"/>
          <w:strike/>
          <w:sz w:val="22"/>
        </w:rPr>
        <w:br w:type="page"/>
      </w:r>
    </w:p>
    <w:p w:rsidR="00122E77" w:rsidRPr="00122E77" w:rsidRDefault="00122E77" w:rsidP="00122E77">
      <w:pPr>
        <w:rPr>
          <w:rFonts w:cs="Arial"/>
        </w:rPr>
      </w:pPr>
      <w:r w:rsidRPr="00122E77">
        <w:rPr>
          <w:rFonts w:cs="Arial"/>
        </w:rPr>
        <w:lastRenderedPageBreak/>
        <w:t>18.</w:t>
      </w:r>
      <w:r w:rsidRPr="00122E77">
        <w:rPr>
          <w:rFonts w:cs="Arial"/>
        </w:rPr>
        <w:tab/>
      </w:r>
      <w:r w:rsidRPr="00122E77">
        <w:rPr>
          <w:rFonts w:cs="Arial"/>
          <w:u w:val="single"/>
        </w:rPr>
        <w:t>Explanatory Notes to the Annex: UPOV VARIETY DESCRIPTION</w:t>
      </w:r>
    </w:p>
    <w:p w:rsidR="00122E77" w:rsidRPr="00122E77" w:rsidRDefault="00122E77" w:rsidP="00122E77">
      <w:pPr>
        <w:rPr>
          <w:rFonts w:cs="Arial"/>
        </w:rPr>
      </w:pPr>
    </w:p>
    <w:p w:rsidR="00122E77" w:rsidRPr="00122E77" w:rsidRDefault="00122E77" w:rsidP="00122E77">
      <w:pPr>
        <w:rPr>
          <w:rFonts w:cs="Arial"/>
        </w:rPr>
      </w:pPr>
      <w:r w:rsidRPr="00122E77">
        <w:rPr>
          <w:rFonts w:cs="Arial"/>
        </w:rPr>
        <w:t>(a)</w:t>
      </w:r>
      <w:r w:rsidRPr="00122E77">
        <w:rPr>
          <w:rFonts w:cs="Arial"/>
        </w:rPr>
        <w:tab/>
      </w:r>
      <w:r w:rsidRPr="00122E77">
        <w:rPr>
          <w:rFonts w:cs="Arial"/>
          <w:u w:val="single"/>
        </w:rPr>
        <w:t>General (Annex: UPOV Variety Description)</w:t>
      </w:r>
    </w:p>
    <w:p w:rsidR="00122E77" w:rsidRPr="00122E77" w:rsidRDefault="00122E77" w:rsidP="00122E77">
      <w:pPr>
        <w:jc w:val="left"/>
        <w:rPr>
          <w:rFonts w:cs="Arial"/>
        </w:rPr>
      </w:pPr>
    </w:p>
    <w:p w:rsidR="00122E77" w:rsidRPr="00122E77" w:rsidRDefault="00122E77" w:rsidP="00122E77">
      <w:pPr>
        <w:rPr>
          <w:i/>
          <w:highlight w:val="lightGray"/>
        </w:rPr>
      </w:pPr>
      <w:r w:rsidRPr="00122E77">
        <w:rPr>
          <w:i/>
          <w:highlight w:val="lightGray"/>
        </w:rPr>
        <w:t>(i)</w:t>
      </w:r>
      <w:r w:rsidRPr="00122E77">
        <w:rPr>
          <w:i/>
          <w:highlight w:val="lightGray"/>
        </w:rPr>
        <w:tab/>
        <w:t xml:space="preserve">Purpose of the original variety description </w:t>
      </w:r>
    </w:p>
    <w:p w:rsidR="00122E77" w:rsidRPr="00122E77" w:rsidRDefault="00122E77" w:rsidP="00122E77">
      <w:pPr>
        <w:rPr>
          <w:highlight w:val="lightGray"/>
          <w:u w:val="single"/>
        </w:rPr>
      </w:pPr>
    </w:p>
    <w:p w:rsidR="00122E77" w:rsidRPr="00122E77" w:rsidRDefault="00122E77" w:rsidP="00122E77">
      <w:pPr>
        <w:rPr>
          <w:highlight w:val="lightGray"/>
          <w:u w:val="single"/>
        </w:rPr>
      </w:pPr>
      <w:r w:rsidRPr="00122E77">
        <w:rPr>
          <w:highlight w:val="lightGray"/>
          <w:u w:val="single"/>
        </w:rPr>
        <w:t>The purpose of the variety description developed at the time of the grant of the breeder’s right (original variety description) can be summarized as follows:</w:t>
      </w:r>
    </w:p>
    <w:p w:rsidR="00122E77" w:rsidRPr="00122E77" w:rsidRDefault="00122E77" w:rsidP="00122E77">
      <w:pPr>
        <w:ind w:left="567" w:right="567"/>
        <w:rPr>
          <w:highlight w:val="lightGray"/>
          <w:u w:val="single"/>
        </w:rPr>
      </w:pPr>
    </w:p>
    <w:p w:rsidR="00122E77" w:rsidRPr="00122E77" w:rsidRDefault="00122E77" w:rsidP="00122E77">
      <w:pPr>
        <w:keepNext/>
        <w:ind w:left="1134" w:right="567"/>
        <w:rPr>
          <w:highlight w:val="lightGray"/>
          <w:u w:val="single"/>
        </w:rPr>
      </w:pPr>
      <w:r w:rsidRPr="00122E77">
        <w:rPr>
          <w:highlight w:val="lightGray"/>
          <w:u w:val="single"/>
        </w:rPr>
        <w:t>(a)</w:t>
      </w:r>
      <w:r w:rsidRPr="00122E77">
        <w:rPr>
          <w:highlight w:val="lightGray"/>
          <w:u w:val="single"/>
        </w:rPr>
        <w:tab/>
        <w:t>to describe the characteristics of the variety; and</w:t>
      </w:r>
    </w:p>
    <w:p w:rsidR="00122E77" w:rsidRPr="00122E77" w:rsidRDefault="00122E77" w:rsidP="00122E77">
      <w:pPr>
        <w:ind w:left="1134" w:right="567"/>
        <w:rPr>
          <w:highlight w:val="lightGray"/>
          <w:u w:val="single"/>
        </w:rPr>
      </w:pPr>
      <w:r w:rsidRPr="00122E77">
        <w:rPr>
          <w:highlight w:val="lightGray"/>
          <w:u w:val="single"/>
        </w:rPr>
        <w:t>(b)</w:t>
      </w:r>
      <w:r w:rsidRPr="00122E77">
        <w:rPr>
          <w:highlight w:val="lightGray"/>
          <w:u w:val="single"/>
        </w:rPr>
        <w:tab/>
        <w:t xml:space="preserve">to identify and list similar varieties and differences from these varieties; </w:t>
      </w:r>
    </w:p>
    <w:p w:rsidR="00122E77" w:rsidRPr="00122E77" w:rsidRDefault="00122E77" w:rsidP="00122E77">
      <w:pPr>
        <w:ind w:left="2835" w:right="567" w:hanging="1134"/>
        <w:rPr>
          <w:highlight w:val="lightGray"/>
          <w:u w:val="single"/>
        </w:rPr>
      </w:pPr>
      <w:r w:rsidRPr="00122E77">
        <w:rPr>
          <w:highlight w:val="lightGray"/>
          <w:u w:val="single"/>
        </w:rPr>
        <w:t>combined with the information on the basis for (a) and (b), namely:</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Date and document number of UPOV Test Guidelines;</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Date and/or document number of Reporting Authority’s test guidelines;</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Reporting Authority;</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Testing station(s) and place(s);</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Period of testing;</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Date and place of issue of document;</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Group: (Table: Characteristics; States of Expression; Note; Remarks);</w:t>
      </w:r>
    </w:p>
    <w:p w:rsidR="00122E77" w:rsidRPr="00122E77" w:rsidRDefault="00122E77" w:rsidP="00122E77">
      <w:pPr>
        <w:ind w:left="1701" w:right="567"/>
        <w:rPr>
          <w:highlight w:val="lightGray"/>
          <w:u w:val="single"/>
        </w:rPr>
      </w:pPr>
      <w:r w:rsidRPr="00122E77">
        <w:rPr>
          <w:rFonts w:cs="Arial"/>
          <w:highlight w:val="lightGray"/>
          <w:u w:val="single"/>
        </w:rPr>
        <w:t>▪</w:t>
      </w:r>
      <w:r w:rsidRPr="00122E77">
        <w:rPr>
          <w:highlight w:val="lightGray"/>
          <w:u w:val="single"/>
        </w:rPr>
        <w:tab/>
        <w:t>Additional Information:</w:t>
      </w:r>
    </w:p>
    <w:p w:rsidR="00122E77" w:rsidRPr="00122E77" w:rsidRDefault="00122E77" w:rsidP="00122E77">
      <w:pPr>
        <w:tabs>
          <w:tab w:val="left" w:pos="2268"/>
          <w:tab w:val="left" w:pos="2835"/>
        </w:tabs>
        <w:ind w:left="1701" w:right="567"/>
        <w:rPr>
          <w:highlight w:val="lightGray"/>
          <w:u w:val="single"/>
        </w:rPr>
      </w:pPr>
      <w:r w:rsidRPr="00122E77">
        <w:rPr>
          <w:highlight w:val="lightGray"/>
          <w:u w:val="single"/>
        </w:rPr>
        <w:tab/>
        <w:t>(a)</w:t>
      </w:r>
      <w:r w:rsidRPr="00122E77">
        <w:rPr>
          <w:highlight w:val="lightGray"/>
          <w:u w:val="single"/>
        </w:rPr>
        <w:tab/>
        <w:t>Additional Data</w:t>
      </w:r>
    </w:p>
    <w:p w:rsidR="00122E77" w:rsidRPr="00122E77" w:rsidRDefault="00122E77" w:rsidP="00122E77">
      <w:pPr>
        <w:tabs>
          <w:tab w:val="left" w:pos="2268"/>
          <w:tab w:val="left" w:pos="2835"/>
        </w:tabs>
        <w:ind w:left="1701" w:right="567"/>
        <w:rPr>
          <w:highlight w:val="lightGray"/>
          <w:u w:val="single"/>
        </w:rPr>
      </w:pPr>
      <w:r w:rsidRPr="00122E77">
        <w:rPr>
          <w:highlight w:val="lightGray"/>
          <w:u w:val="single"/>
        </w:rPr>
        <w:tab/>
        <w:t>(b)</w:t>
      </w:r>
      <w:r w:rsidRPr="00122E77">
        <w:rPr>
          <w:highlight w:val="lightGray"/>
          <w:u w:val="single"/>
        </w:rPr>
        <w:tab/>
        <w:t>Photograph (if appropriate)</w:t>
      </w:r>
    </w:p>
    <w:p w:rsidR="00122E77" w:rsidRPr="00122E77" w:rsidRDefault="00122E77" w:rsidP="00122E77">
      <w:pPr>
        <w:tabs>
          <w:tab w:val="left" w:pos="2268"/>
          <w:tab w:val="left" w:pos="2835"/>
        </w:tabs>
        <w:ind w:left="1701" w:right="567"/>
        <w:rPr>
          <w:highlight w:val="lightGray"/>
          <w:u w:val="single"/>
        </w:rPr>
      </w:pPr>
      <w:r w:rsidRPr="00122E77">
        <w:rPr>
          <w:highlight w:val="lightGray"/>
          <w:u w:val="single"/>
        </w:rPr>
        <w:tab/>
        <w:t>(c)</w:t>
      </w:r>
      <w:r w:rsidRPr="00122E77">
        <w:rPr>
          <w:highlight w:val="lightGray"/>
          <w:u w:val="single"/>
        </w:rPr>
        <w:tab/>
        <w:t xml:space="preserve">RHS </w:t>
      </w:r>
      <w:proofErr w:type="spellStart"/>
      <w:r w:rsidRPr="00122E77">
        <w:rPr>
          <w:highlight w:val="lightGray"/>
          <w:u w:val="single"/>
        </w:rPr>
        <w:t>Colour</w:t>
      </w:r>
      <w:proofErr w:type="spellEnd"/>
      <w:r w:rsidRPr="00122E77">
        <w:rPr>
          <w:highlight w:val="lightGray"/>
          <w:u w:val="single"/>
        </w:rPr>
        <w:t xml:space="preserve"> Chart version used (if appropriate)</w:t>
      </w:r>
    </w:p>
    <w:p w:rsidR="00122E77" w:rsidRPr="00122E77" w:rsidRDefault="00122E77" w:rsidP="00122E77">
      <w:pPr>
        <w:tabs>
          <w:tab w:val="left" w:pos="2268"/>
          <w:tab w:val="left" w:pos="2835"/>
        </w:tabs>
        <w:ind w:left="1701" w:right="567"/>
        <w:rPr>
          <w:highlight w:val="lightGray"/>
          <w:u w:val="single"/>
        </w:rPr>
      </w:pPr>
      <w:r w:rsidRPr="00122E77">
        <w:rPr>
          <w:highlight w:val="lightGray"/>
          <w:u w:val="single"/>
        </w:rPr>
        <w:tab/>
        <w:t>(d)</w:t>
      </w:r>
      <w:r w:rsidRPr="00122E77">
        <w:rPr>
          <w:highlight w:val="lightGray"/>
          <w:u w:val="single"/>
        </w:rPr>
        <w:tab/>
        <w:t>Remarks.”</w:t>
      </w:r>
    </w:p>
    <w:p w:rsidR="00122E77" w:rsidRPr="00122E77" w:rsidRDefault="00122E77" w:rsidP="00122E77">
      <w:pPr>
        <w:tabs>
          <w:tab w:val="left" w:pos="2268"/>
          <w:tab w:val="left" w:pos="2835"/>
        </w:tabs>
        <w:ind w:left="1701" w:right="567"/>
        <w:rPr>
          <w:highlight w:val="lightGray"/>
          <w:u w:val="single"/>
        </w:rPr>
      </w:pPr>
    </w:p>
    <w:p w:rsidR="00122E77" w:rsidRPr="00122E77" w:rsidRDefault="00122E77" w:rsidP="00122E77">
      <w:pPr>
        <w:rPr>
          <w:i/>
          <w:highlight w:val="lightGray"/>
        </w:rPr>
      </w:pPr>
      <w:r w:rsidRPr="00122E77">
        <w:rPr>
          <w:i/>
          <w:highlight w:val="lightGray"/>
        </w:rPr>
        <w:t>(ii)</w:t>
      </w:r>
      <w:r w:rsidRPr="00122E77">
        <w:rPr>
          <w:i/>
          <w:highlight w:val="lightGray"/>
        </w:rPr>
        <w:tab/>
        <w:t>Status of the original variety description in relation to the enforcement of the breeder’s rights</w:t>
      </w:r>
    </w:p>
    <w:p w:rsidR="00122E77" w:rsidRPr="00122E77" w:rsidRDefault="00122E77" w:rsidP="00122E77">
      <w:pPr>
        <w:rPr>
          <w:highlight w:val="lightGray"/>
          <w:u w:val="single"/>
        </w:rPr>
      </w:pPr>
    </w:p>
    <w:p w:rsidR="00122E77" w:rsidRPr="00122E77" w:rsidRDefault="00122E77" w:rsidP="00122E77">
      <w:pPr>
        <w:rPr>
          <w:snapToGrid w:val="0"/>
          <w:spacing w:val="-2"/>
          <w:szCs w:val="18"/>
          <w:highlight w:val="lightGray"/>
          <w:u w:val="single"/>
        </w:rPr>
      </w:pPr>
      <w:r w:rsidRPr="00122E77">
        <w:rPr>
          <w:snapToGrid w:val="0"/>
          <w:spacing w:val="-2"/>
          <w:szCs w:val="18"/>
          <w:highlight w:val="lightGray"/>
          <w:u w:val="single"/>
        </w:rPr>
        <w:t xml:space="preserve">Document UPOV/EXN/ENF/1 “Explanatory notes on the enforcement of breeders’ rights under the UPOV Convention” explains as follows: </w:t>
      </w:r>
    </w:p>
    <w:p w:rsidR="00122E77" w:rsidRPr="00122E77" w:rsidRDefault="00122E77" w:rsidP="00122E77">
      <w:pPr>
        <w:contextualSpacing/>
        <w:rPr>
          <w:snapToGrid w:val="0"/>
          <w:szCs w:val="18"/>
          <w:highlight w:val="lightGray"/>
          <w:u w:val="single"/>
        </w:rPr>
      </w:pPr>
    </w:p>
    <w:p w:rsidR="00122E77" w:rsidRPr="00122E77" w:rsidRDefault="00122E77" w:rsidP="00122E77">
      <w:pPr>
        <w:ind w:left="567" w:right="567"/>
        <w:contextualSpacing/>
        <w:rPr>
          <w:rFonts w:cs="Arial"/>
          <w:snapToGrid w:val="0"/>
          <w:szCs w:val="18"/>
          <w:highlight w:val="lightGray"/>
          <w:u w:val="single"/>
        </w:rPr>
      </w:pPr>
      <w:r w:rsidRPr="00122E77">
        <w:rPr>
          <w:rFonts w:cs="Arial"/>
          <w:snapToGrid w:val="0"/>
          <w:szCs w:val="18"/>
          <w:highlight w:val="lightGray"/>
          <w:u w:val="single"/>
        </w:rPr>
        <w:t xml:space="preserve">“SECTION II: Some possible measures for the enforcement of breeders’ rights </w:t>
      </w:r>
    </w:p>
    <w:p w:rsidR="00122E77" w:rsidRPr="00122E77" w:rsidRDefault="00122E77" w:rsidP="00122E77">
      <w:pPr>
        <w:ind w:left="567" w:right="567"/>
        <w:contextualSpacing/>
        <w:rPr>
          <w:rFonts w:cs="Arial"/>
          <w:snapToGrid w:val="0"/>
          <w:szCs w:val="18"/>
          <w:highlight w:val="lightGray"/>
          <w:u w:val="single"/>
        </w:rPr>
      </w:pPr>
    </w:p>
    <w:p w:rsidR="00122E77" w:rsidRPr="00122E77" w:rsidRDefault="00122E77" w:rsidP="00122E77">
      <w:pPr>
        <w:ind w:left="567" w:right="567"/>
        <w:contextualSpacing/>
        <w:rPr>
          <w:rFonts w:cs="Arial"/>
          <w:snapToGrid w:val="0"/>
          <w:szCs w:val="18"/>
          <w:highlight w:val="lightGray"/>
          <w:u w:val="single"/>
        </w:rPr>
      </w:pPr>
      <w:r w:rsidRPr="00122E77">
        <w:rPr>
          <w:rFonts w:cs="Arial"/>
          <w:snapToGrid w:val="0"/>
          <w:szCs w:val="18"/>
          <w:highlight w:val="lightGray"/>
          <w:u w:val="single"/>
        </w:rPr>
        <w:t>“While the UPOV Convention requires members of the Union to provide for appropriate legal remedies for the effective enforcement of breeders’ rights, it is a matter for breeders to enforce their rights.”</w:t>
      </w:r>
    </w:p>
    <w:p w:rsidR="00122E77" w:rsidRPr="00122E77" w:rsidRDefault="00122E77" w:rsidP="00122E77">
      <w:pPr>
        <w:contextualSpacing/>
        <w:rPr>
          <w:rFonts w:cs="Arial"/>
          <w:snapToGrid w:val="0"/>
          <w:szCs w:val="18"/>
          <w:highlight w:val="lightGray"/>
          <w:u w:val="single"/>
        </w:rPr>
      </w:pPr>
    </w:p>
    <w:p w:rsidR="00122E77" w:rsidRPr="00122E77" w:rsidRDefault="00122E77" w:rsidP="00122E77">
      <w:pPr>
        <w:rPr>
          <w:rFonts w:cs="Arial"/>
          <w:snapToGrid w:val="0"/>
          <w:szCs w:val="18"/>
          <w:highlight w:val="lightGray"/>
          <w:u w:val="single"/>
        </w:rPr>
      </w:pPr>
      <w:r w:rsidRPr="00122E77">
        <w:rPr>
          <w:rFonts w:cs="Arial"/>
          <w:snapToGrid w:val="0"/>
          <w:szCs w:val="18"/>
          <w:highlight w:val="lightGray"/>
          <w:u w:val="single"/>
        </w:rPr>
        <w:t xml:space="preserve">In relation to the </w:t>
      </w:r>
      <w:r w:rsidRPr="00122E77">
        <w:rPr>
          <w:highlight w:val="lightGray"/>
          <w:u w:val="single"/>
        </w:rPr>
        <w:t>verification of plant material of a protected variety for the purposes of enforcement of the breeder’s right</w:t>
      </w:r>
      <w:r w:rsidRPr="00122E77">
        <w:rPr>
          <w:rFonts w:cs="Arial"/>
          <w:snapToGrid w:val="0"/>
          <w:szCs w:val="18"/>
          <w:highlight w:val="lightGray"/>
          <w:u w:val="single"/>
        </w:rPr>
        <w:t>, it should be recalled that the description of the variety characteristics in the original variety description and the basis for distinctness from the most similar variety are linked to the circumstances of the DUS examination, namely:</w:t>
      </w:r>
    </w:p>
    <w:p w:rsidR="00122E77" w:rsidRPr="00122E77" w:rsidRDefault="00122E77" w:rsidP="00122E77">
      <w:pPr>
        <w:ind w:left="567" w:right="567"/>
        <w:rPr>
          <w:rFonts w:cs="Arial"/>
          <w:snapToGrid w:val="0"/>
          <w:szCs w:val="18"/>
          <w:highlight w:val="lightGray"/>
          <w:u w:val="single"/>
        </w:rPr>
      </w:pPr>
    </w:p>
    <w:p w:rsidR="00122E77" w:rsidRPr="00122E77" w:rsidRDefault="00122E77" w:rsidP="00122E77">
      <w:pPr>
        <w:keepNext/>
        <w:numPr>
          <w:ilvl w:val="2"/>
          <w:numId w:val="7"/>
        </w:numPr>
        <w:tabs>
          <w:tab w:val="left" w:pos="1134"/>
          <w:tab w:val="left" w:pos="1701"/>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Date and document number of UPOV Test Guidelines</w:t>
      </w:r>
      <w:r w:rsidRPr="00122E77">
        <w:rPr>
          <w:rFonts w:cs="Arial"/>
          <w:snapToGrid w:val="0"/>
          <w:szCs w:val="18"/>
          <w:highlight w:val="lightGray"/>
          <w:u w:val="single"/>
        </w:rPr>
        <w:t>;</w:t>
      </w:r>
    </w:p>
    <w:p w:rsidR="00122E77" w:rsidRPr="00122E77" w:rsidRDefault="00122E77" w:rsidP="00122E77">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Date and/or document number of Reporting Authority’s test guidelines</w:t>
      </w:r>
      <w:r w:rsidRPr="00122E77">
        <w:rPr>
          <w:rFonts w:cs="Arial"/>
          <w:snapToGrid w:val="0"/>
          <w:szCs w:val="18"/>
          <w:highlight w:val="lightGray"/>
          <w:u w:val="single"/>
        </w:rPr>
        <w:t>;</w:t>
      </w:r>
    </w:p>
    <w:p w:rsidR="00122E77" w:rsidRPr="00122E77" w:rsidRDefault="00122E77" w:rsidP="00122E77">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Reporting Authority</w:t>
      </w:r>
      <w:r w:rsidRPr="00122E77">
        <w:rPr>
          <w:rFonts w:cs="Arial"/>
          <w:snapToGrid w:val="0"/>
          <w:szCs w:val="18"/>
          <w:highlight w:val="lightGray"/>
          <w:u w:val="single"/>
        </w:rPr>
        <w:t>;</w:t>
      </w:r>
    </w:p>
    <w:p w:rsidR="00122E77" w:rsidRPr="00122E77" w:rsidRDefault="00122E77" w:rsidP="00122E77">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Testing station(s) and place(s)</w:t>
      </w:r>
      <w:r w:rsidRPr="00122E77">
        <w:rPr>
          <w:rFonts w:cs="Arial"/>
          <w:snapToGrid w:val="0"/>
          <w:szCs w:val="18"/>
          <w:highlight w:val="lightGray"/>
          <w:u w:val="single"/>
        </w:rPr>
        <w:t>;</w:t>
      </w:r>
    </w:p>
    <w:p w:rsidR="00122E77" w:rsidRPr="00122E77" w:rsidRDefault="00122E77" w:rsidP="00122E77">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Period of testing</w:t>
      </w:r>
      <w:r w:rsidRPr="00122E77">
        <w:rPr>
          <w:rFonts w:cs="Arial"/>
          <w:snapToGrid w:val="0"/>
          <w:szCs w:val="18"/>
          <w:highlight w:val="lightGray"/>
          <w:u w:val="single"/>
        </w:rPr>
        <w:t>;</w:t>
      </w:r>
    </w:p>
    <w:p w:rsidR="00122E77" w:rsidRPr="00122E77" w:rsidRDefault="00122E77" w:rsidP="00122E77">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Date and place of issue of document</w:t>
      </w:r>
      <w:r w:rsidRPr="00122E77">
        <w:rPr>
          <w:rFonts w:cs="Arial"/>
          <w:snapToGrid w:val="0"/>
          <w:szCs w:val="18"/>
          <w:highlight w:val="lightGray"/>
          <w:u w:val="single"/>
        </w:rPr>
        <w:t>;</w:t>
      </w:r>
    </w:p>
    <w:p w:rsidR="00122E77" w:rsidRPr="00122E77" w:rsidRDefault="00122E77" w:rsidP="00122E77">
      <w:pPr>
        <w:numPr>
          <w:ilvl w:val="2"/>
          <w:numId w:val="7"/>
        </w:numPr>
        <w:tabs>
          <w:tab w:val="left" w:pos="1134"/>
          <w:tab w:val="left" w:pos="1701"/>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Group: (Table: Characteristics; States of Expression; Note; Remarks)</w:t>
      </w:r>
      <w:r w:rsidRPr="00122E77">
        <w:rPr>
          <w:rFonts w:cs="Arial"/>
          <w:snapToGrid w:val="0"/>
          <w:szCs w:val="18"/>
          <w:highlight w:val="lightGray"/>
          <w:u w:val="single"/>
        </w:rPr>
        <w:t>.</w:t>
      </w:r>
    </w:p>
    <w:p w:rsidR="00122E77" w:rsidRPr="00122E77" w:rsidRDefault="00122E77" w:rsidP="00122E77">
      <w:pPr>
        <w:keepNext/>
        <w:numPr>
          <w:ilvl w:val="2"/>
          <w:numId w:val="7"/>
        </w:numPr>
        <w:tabs>
          <w:tab w:val="left" w:pos="1134"/>
          <w:tab w:val="left" w:pos="1701"/>
        </w:tabs>
        <w:spacing w:line="276" w:lineRule="auto"/>
        <w:ind w:left="1134" w:right="567"/>
        <w:contextualSpacing/>
        <w:jc w:val="left"/>
        <w:rPr>
          <w:rFonts w:cs="Arial"/>
          <w:szCs w:val="18"/>
          <w:highlight w:val="lightGray"/>
          <w:u w:val="single"/>
        </w:rPr>
      </w:pPr>
      <w:r w:rsidRPr="00122E77">
        <w:rPr>
          <w:rFonts w:cs="Arial"/>
          <w:szCs w:val="18"/>
          <w:highlight w:val="lightGray"/>
          <w:u w:val="single"/>
        </w:rPr>
        <w:t>Additional Information:</w:t>
      </w:r>
    </w:p>
    <w:p w:rsidR="00122E77" w:rsidRPr="00122E77" w:rsidRDefault="00122E77" w:rsidP="00122E77">
      <w:pPr>
        <w:keepNext/>
        <w:tabs>
          <w:tab w:val="left" w:pos="1134"/>
          <w:tab w:val="left" w:pos="1701"/>
          <w:tab w:val="left" w:pos="2268"/>
          <w:tab w:val="left" w:pos="2835"/>
        </w:tabs>
        <w:spacing w:line="276" w:lineRule="auto"/>
        <w:ind w:left="1134" w:right="567"/>
        <w:rPr>
          <w:rFonts w:cs="Arial"/>
          <w:szCs w:val="18"/>
          <w:highlight w:val="lightGray"/>
          <w:u w:val="single"/>
        </w:rPr>
      </w:pPr>
      <w:r w:rsidRPr="00122E77">
        <w:rPr>
          <w:rFonts w:cs="Arial"/>
          <w:szCs w:val="18"/>
          <w:highlight w:val="lightGray"/>
          <w:u w:val="single"/>
        </w:rPr>
        <w:t>(a)</w:t>
      </w:r>
      <w:r w:rsidRPr="00122E77">
        <w:rPr>
          <w:rFonts w:cs="Arial"/>
          <w:szCs w:val="18"/>
          <w:highlight w:val="lightGray"/>
          <w:u w:val="single"/>
        </w:rPr>
        <w:tab/>
        <w:t>Additional Data</w:t>
      </w:r>
    </w:p>
    <w:p w:rsidR="00122E77" w:rsidRPr="00122E77" w:rsidRDefault="00122E77" w:rsidP="00122E77">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122E77">
        <w:rPr>
          <w:rFonts w:cs="Arial"/>
          <w:color w:val="000000"/>
          <w:szCs w:val="18"/>
          <w:highlight w:val="lightGray"/>
          <w:u w:val="single"/>
        </w:rPr>
        <w:t>(b)</w:t>
      </w:r>
      <w:r w:rsidRPr="00122E77">
        <w:rPr>
          <w:rFonts w:cs="Arial"/>
          <w:color w:val="000000"/>
          <w:szCs w:val="18"/>
          <w:highlight w:val="lightGray"/>
          <w:u w:val="single"/>
        </w:rPr>
        <w:tab/>
        <w:t>Photograph (if appropriate)</w:t>
      </w:r>
    </w:p>
    <w:p w:rsidR="00122E77" w:rsidRPr="00122E77" w:rsidRDefault="00122E77" w:rsidP="00122E77">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122E77">
        <w:rPr>
          <w:rFonts w:cs="Arial"/>
          <w:color w:val="000000"/>
          <w:szCs w:val="18"/>
          <w:highlight w:val="lightGray"/>
          <w:u w:val="single"/>
        </w:rPr>
        <w:t>(c)</w:t>
      </w:r>
      <w:r w:rsidRPr="00122E77">
        <w:rPr>
          <w:rFonts w:cs="Arial"/>
          <w:color w:val="000000"/>
          <w:szCs w:val="18"/>
          <w:highlight w:val="lightGray"/>
          <w:u w:val="single"/>
        </w:rPr>
        <w:tab/>
        <w:t xml:space="preserve">RHS </w:t>
      </w:r>
      <w:proofErr w:type="spellStart"/>
      <w:r w:rsidRPr="00122E77">
        <w:rPr>
          <w:rFonts w:cs="Arial"/>
          <w:color w:val="000000"/>
          <w:szCs w:val="18"/>
          <w:highlight w:val="lightGray"/>
          <w:u w:val="single"/>
        </w:rPr>
        <w:t>Colour</w:t>
      </w:r>
      <w:proofErr w:type="spellEnd"/>
      <w:r w:rsidRPr="00122E77">
        <w:rPr>
          <w:rFonts w:cs="Arial"/>
          <w:color w:val="000000"/>
          <w:szCs w:val="18"/>
          <w:highlight w:val="lightGray"/>
          <w:u w:val="single"/>
        </w:rPr>
        <w:t xml:space="preserve"> Chart version used (if appropriate)</w:t>
      </w:r>
    </w:p>
    <w:p w:rsidR="00122E77" w:rsidRPr="00122E77" w:rsidRDefault="00122E77" w:rsidP="00122E77">
      <w:pPr>
        <w:keepNext/>
        <w:tabs>
          <w:tab w:val="left" w:pos="284"/>
          <w:tab w:val="left" w:pos="1134"/>
          <w:tab w:val="left" w:pos="1701"/>
          <w:tab w:val="left" w:pos="2268"/>
          <w:tab w:val="left" w:pos="2835"/>
        </w:tabs>
        <w:spacing w:line="276" w:lineRule="auto"/>
        <w:ind w:left="1134" w:right="567"/>
        <w:rPr>
          <w:rFonts w:cs="Arial"/>
          <w:szCs w:val="18"/>
          <w:highlight w:val="lightGray"/>
          <w:u w:val="single"/>
        </w:rPr>
      </w:pPr>
      <w:r w:rsidRPr="00122E77">
        <w:rPr>
          <w:rFonts w:cs="Arial"/>
          <w:szCs w:val="18"/>
          <w:highlight w:val="lightGray"/>
          <w:u w:val="single"/>
        </w:rPr>
        <w:t>(d)</w:t>
      </w:r>
      <w:r w:rsidRPr="00122E77">
        <w:rPr>
          <w:rFonts w:cs="Arial"/>
          <w:szCs w:val="18"/>
          <w:highlight w:val="lightGray"/>
          <w:u w:val="single"/>
        </w:rPr>
        <w:tab/>
        <w:t>Remarks</w:t>
      </w:r>
    </w:p>
    <w:p w:rsidR="00122E77" w:rsidRPr="00122E77" w:rsidRDefault="00122E77" w:rsidP="00122E77">
      <w:pPr>
        <w:jc w:val="right"/>
        <w:rPr>
          <w:highlight w:val="lightGray"/>
          <w:u w:val="single"/>
        </w:rPr>
      </w:pPr>
    </w:p>
    <w:p w:rsidR="00122E77" w:rsidRPr="00122E77" w:rsidRDefault="00122E77" w:rsidP="00122E77">
      <w:pPr>
        <w:rPr>
          <w:rFonts w:cs="Tahoma"/>
          <w:szCs w:val="18"/>
          <w:highlight w:val="lightGray"/>
          <w:u w:val="single"/>
          <w:lang w:val="en-GB" w:eastAsia="fr-FR"/>
        </w:rPr>
      </w:pPr>
    </w:p>
    <w:p w:rsidR="00122E77" w:rsidRPr="00122E77" w:rsidRDefault="00122E77" w:rsidP="00122E77">
      <w:pPr>
        <w:jc w:val="left"/>
        <w:rPr>
          <w:rFonts w:cs="Tahoma"/>
          <w:szCs w:val="18"/>
          <w:highlight w:val="lightGray"/>
          <w:u w:val="single"/>
          <w:lang w:val="en-GB" w:eastAsia="fr-FR"/>
        </w:rPr>
      </w:pPr>
      <w:r w:rsidRPr="00122E77">
        <w:rPr>
          <w:rFonts w:cs="Tahoma"/>
          <w:szCs w:val="18"/>
          <w:highlight w:val="lightGray"/>
          <w:u w:val="single"/>
          <w:lang w:val="en-GB" w:eastAsia="fr-FR"/>
        </w:rPr>
        <w:br w:type="page"/>
      </w:r>
    </w:p>
    <w:p w:rsidR="00122E77" w:rsidRPr="00122E77" w:rsidRDefault="00122E77" w:rsidP="00122E77">
      <w:pPr>
        <w:rPr>
          <w:rFonts w:cs="Tahoma"/>
          <w:i/>
          <w:szCs w:val="18"/>
          <w:highlight w:val="lightGray"/>
          <w:lang w:val="en-GB" w:eastAsia="fr-FR"/>
        </w:rPr>
      </w:pPr>
      <w:r w:rsidRPr="00122E77">
        <w:rPr>
          <w:rFonts w:cs="Tahoma"/>
          <w:i/>
          <w:szCs w:val="18"/>
          <w:highlight w:val="lightGray"/>
          <w:lang w:val="en-GB" w:eastAsia="fr-FR"/>
        </w:rPr>
        <w:lastRenderedPageBreak/>
        <w:t>(iii)</w:t>
      </w:r>
      <w:r w:rsidRPr="00122E77">
        <w:rPr>
          <w:rFonts w:cs="Tahoma"/>
          <w:i/>
          <w:szCs w:val="18"/>
          <w:highlight w:val="lightGray"/>
          <w:lang w:val="en-GB" w:eastAsia="fr-FR"/>
        </w:rPr>
        <w:tab/>
        <w:t>Amendment to the original variety description</w:t>
      </w:r>
    </w:p>
    <w:p w:rsidR="00122E77" w:rsidRPr="00122E77" w:rsidRDefault="00122E77" w:rsidP="00122E77">
      <w:pPr>
        <w:rPr>
          <w:rFonts w:cs="Tahoma"/>
          <w:szCs w:val="18"/>
          <w:highlight w:val="lightGray"/>
          <w:u w:val="single"/>
          <w:lang w:val="en-GB" w:eastAsia="fr-FR"/>
        </w:rPr>
      </w:pPr>
    </w:p>
    <w:p w:rsidR="00122E77" w:rsidRPr="00122E77" w:rsidRDefault="00122E77" w:rsidP="00122E77">
      <w:pPr>
        <w:rPr>
          <w:rFonts w:cs="Tahoma"/>
          <w:szCs w:val="18"/>
          <w:highlight w:val="lightGray"/>
          <w:u w:val="single"/>
          <w:lang w:val="en-GB" w:eastAsia="fr-FR"/>
        </w:rPr>
      </w:pPr>
      <w:r w:rsidRPr="00122E77">
        <w:rPr>
          <w:rFonts w:cs="Tahoma"/>
          <w:szCs w:val="18"/>
          <w:highlight w:val="lightGray"/>
          <w:u w:val="single"/>
          <w:lang w:val="en-GB" w:eastAsia="fr-FR"/>
        </w:rPr>
        <w:t xml:space="preserve">Document TGP/4 “Constitution and Maintenance of Variety Collections” explains in section 3.1.1: </w:t>
      </w:r>
    </w:p>
    <w:p w:rsidR="00122E77" w:rsidRPr="00122E77" w:rsidRDefault="00122E77" w:rsidP="00122E77">
      <w:pPr>
        <w:rPr>
          <w:rFonts w:cs="Tahoma"/>
          <w:szCs w:val="18"/>
          <w:highlight w:val="lightGray"/>
          <w:u w:val="single"/>
          <w:lang w:val="en-GB" w:eastAsia="fr-FR"/>
        </w:rPr>
      </w:pPr>
    </w:p>
    <w:p w:rsidR="00122E77" w:rsidRPr="00122E77" w:rsidRDefault="00122E77" w:rsidP="00122E77">
      <w:pPr>
        <w:ind w:left="567" w:right="567"/>
        <w:rPr>
          <w:rFonts w:cs="Tahoma"/>
          <w:sz w:val="18"/>
          <w:szCs w:val="18"/>
          <w:highlight w:val="lightGray"/>
          <w:u w:val="single"/>
          <w:lang w:val="en-GB" w:eastAsia="fr-FR"/>
        </w:rPr>
      </w:pPr>
      <w:r w:rsidRPr="00122E77">
        <w:rPr>
          <w:rFonts w:cs="Tahoma"/>
          <w:sz w:val="18"/>
          <w:szCs w:val="18"/>
          <w:highlight w:val="lightGray"/>
          <w:u w:val="single"/>
          <w:lang w:val="en-GB" w:eastAsia="fr-FR"/>
        </w:rPr>
        <w:t xml:space="preserve">“With regard to descriptions based on the relevant UPOV Test Guidelines, it is important to note that UPOV 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  </w:t>
      </w:r>
    </w:p>
    <w:p w:rsidR="00122E77" w:rsidRPr="00122E77" w:rsidRDefault="00122E77" w:rsidP="00122E77">
      <w:pPr>
        <w:rPr>
          <w:rFonts w:cs="Tahoma"/>
          <w:szCs w:val="18"/>
          <w:highlight w:val="lightGray"/>
          <w:u w:val="single"/>
          <w:lang w:val="en-GB" w:eastAsia="fr-FR"/>
        </w:rPr>
      </w:pPr>
    </w:p>
    <w:p w:rsidR="00122E77" w:rsidRPr="00122E77" w:rsidRDefault="00122E77" w:rsidP="00122E77">
      <w:pPr>
        <w:rPr>
          <w:rFonts w:cs="Tahoma"/>
          <w:szCs w:val="18"/>
          <w:highlight w:val="lightGray"/>
          <w:u w:val="single"/>
          <w:lang w:val="en-GB" w:eastAsia="fr-FR"/>
        </w:rPr>
      </w:pPr>
      <w:r w:rsidRPr="00122E77">
        <w:rPr>
          <w:rFonts w:cs="Tahoma"/>
          <w:szCs w:val="18"/>
          <w:highlight w:val="lightGray"/>
          <w:u w:val="single"/>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rsidR="00122E77" w:rsidRPr="00122E77" w:rsidRDefault="00122E77" w:rsidP="00122E77">
      <w:pPr>
        <w:rPr>
          <w:rFonts w:cs="Tahoma"/>
          <w:szCs w:val="18"/>
          <w:highlight w:val="lightGray"/>
          <w:u w:val="single"/>
          <w:lang w:val="en-GB" w:eastAsia="fr-FR"/>
        </w:rPr>
      </w:pPr>
    </w:p>
    <w:p w:rsidR="00122E77" w:rsidRPr="00122E77" w:rsidRDefault="00122E77" w:rsidP="00122E77">
      <w:pPr>
        <w:rPr>
          <w:rFonts w:cs="Tahoma"/>
          <w:szCs w:val="18"/>
          <w:highlight w:val="lightGray"/>
          <w:u w:val="single"/>
          <w:lang w:val="en-GB" w:eastAsia="fr-FR"/>
        </w:rPr>
      </w:pPr>
      <w:r w:rsidRPr="00122E77">
        <w:rPr>
          <w:rFonts w:cs="Tahoma"/>
          <w:szCs w:val="18"/>
          <w:highlight w:val="lightGray"/>
          <w:u w:val="single"/>
          <w:lang w:val="en-GB" w:eastAsia="fr-FR"/>
        </w:rPr>
        <w:t xml:space="preserve">Examination offices may update their variety data to reflect the evolution of Test Guidelines. Such updates are made for working purposes and do not affect the original variety description.  </w:t>
      </w:r>
    </w:p>
    <w:p w:rsidR="00122E77" w:rsidRPr="00122E77" w:rsidRDefault="00122E77" w:rsidP="00122E77">
      <w:pPr>
        <w:rPr>
          <w:rFonts w:cs="Arial"/>
        </w:rPr>
      </w:pPr>
    </w:p>
    <w:p w:rsidR="00122E77" w:rsidRPr="00122E77" w:rsidRDefault="00122E77" w:rsidP="00122E77">
      <w:pPr>
        <w:rPr>
          <w:rFonts w:cs="Arial"/>
          <w:i/>
        </w:rPr>
      </w:pPr>
      <w:r w:rsidRPr="00122E77">
        <w:rPr>
          <w:rFonts w:cs="Arial"/>
          <w:i/>
          <w:highlight w:val="lightGray"/>
        </w:rPr>
        <w:t>(iv)</w:t>
      </w:r>
      <w:r w:rsidRPr="00122E77">
        <w:rPr>
          <w:rFonts w:cs="Arial"/>
          <w:i/>
          <w:highlight w:val="lightGray"/>
        </w:rPr>
        <w:tab/>
        <w:t>Reference Number of the Reporting Authority</w:t>
      </w:r>
    </w:p>
    <w:p w:rsidR="00122E77" w:rsidRPr="00122E77" w:rsidRDefault="00122E77" w:rsidP="00122E77">
      <w:pPr>
        <w:rPr>
          <w:rFonts w:cs="Arial"/>
        </w:rPr>
      </w:pPr>
    </w:p>
    <w:p w:rsidR="00122E77" w:rsidRPr="00122E77" w:rsidRDefault="00122E77" w:rsidP="00122E77">
      <w:pPr>
        <w:ind w:left="567" w:hanging="567"/>
        <w:rPr>
          <w:rFonts w:cs="Arial"/>
        </w:rPr>
      </w:pPr>
      <w:r w:rsidRPr="00122E77">
        <w:rPr>
          <w:rFonts w:cs="Arial"/>
        </w:rPr>
        <w:t>The reference number of the Reporting Authority should be repeated on each page of the report.</w:t>
      </w:r>
    </w:p>
    <w:p w:rsidR="00122E77" w:rsidRPr="00122E77" w:rsidRDefault="00122E77" w:rsidP="00122E77">
      <w:pPr>
        <w:rPr>
          <w:rFonts w:cs="Arial"/>
        </w:rPr>
      </w:pPr>
    </w:p>
    <w:p w:rsidR="00122E77" w:rsidRPr="00122E77" w:rsidRDefault="00122E77" w:rsidP="00122E77">
      <w:pPr>
        <w:rPr>
          <w:rFonts w:cs="Arial"/>
        </w:rPr>
      </w:pPr>
      <w:r w:rsidRPr="00122E77">
        <w:rPr>
          <w:rFonts w:cs="Arial"/>
        </w:rPr>
        <w:t>(b)</w:t>
      </w:r>
      <w:r w:rsidRPr="00122E77">
        <w:rPr>
          <w:rFonts w:cs="Arial"/>
        </w:rPr>
        <w:tab/>
      </w:r>
      <w:r w:rsidRPr="00122E77">
        <w:rPr>
          <w:rFonts w:cs="Arial"/>
          <w:u w:val="single"/>
        </w:rPr>
        <w:t>Ad Number 14 (Annex: UPOV Variety Description)</w:t>
      </w:r>
    </w:p>
    <w:p w:rsidR="00122E77" w:rsidRPr="00122E77" w:rsidRDefault="00122E77" w:rsidP="00122E77">
      <w:pPr>
        <w:rPr>
          <w:rFonts w:cs="Arial"/>
        </w:rPr>
      </w:pPr>
    </w:p>
    <w:p w:rsidR="00122E77" w:rsidRPr="00122E77" w:rsidRDefault="00122E77" w:rsidP="00122E77">
      <w:pPr>
        <w:rPr>
          <w:rFonts w:cs="Arial"/>
        </w:rPr>
      </w:pPr>
      <w:r w:rsidRPr="00122E77">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122E77" w:rsidRPr="00122E77" w:rsidRDefault="00122E77" w:rsidP="00122E77">
      <w:pPr>
        <w:rPr>
          <w:rFonts w:cs="Arial"/>
        </w:rPr>
      </w:pPr>
    </w:p>
    <w:p w:rsidR="00122E77" w:rsidRPr="00122E77" w:rsidRDefault="00122E77" w:rsidP="00122E77">
      <w:pPr>
        <w:rPr>
          <w:rFonts w:cs="Arial"/>
        </w:rPr>
      </w:pPr>
      <w:r w:rsidRPr="00122E77">
        <w:rPr>
          <w:rFonts w:cs="Arial"/>
        </w:rPr>
        <w:t>(c)</w:t>
      </w:r>
      <w:r w:rsidRPr="00122E77">
        <w:rPr>
          <w:rFonts w:cs="Arial"/>
        </w:rPr>
        <w:tab/>
      </w:r>
      <w:r w:rsidRPr="00122E77">
        <w:rPr>
          <w:rFonts w:cs="Arial"/>
          <w:u w:val="single"/>
        </w:rPr>
        <w:t>Ad Number 15 (Annex: UPOV Variety Description)</w:t>
      </w:r>
    </w:p>
    <w:p w:rsidR="00122E77" w:rsidRPr="00122E77" w:rsidRDefault="00122E77" w:rsidP="00122E77">
      <w:pPr>
        <w:rPr>
          <w:rFonts w:cs="Arial"/>
        </w:rPr>
      </w:pPr>
    </w:p>
    <w:p w:rsidR="00122E77" w:rsidRPr="00122E77" w:rsidRDefault="00122E77" w:rsidP="00122E77">
      <w:pPr>
        <w:ind w:firstLine="567"/>
      </w:pPr>
      <w:r w:rsidRPr="00122E77">
        <w:t>(i)</w:t>
      </w:r>
      <w:r w:rsidRPr="00122E77">
        <w:tab/>
        <w:t>All characteristics of the UPOV Test Guidelines should be reproduced, including those which are not applicable and those which have not been recorded.  Those not applicable should be marked “not applicable,” those not recorded, “not recorded.”</w:t>
      </w:r>
    </w:p>
    <w:p w:rsidR="00122E77" w:rsidRPr="00122E77" w:rsidRDefault="00122E77" w:rsidP="00122E77">
      <w:pPr>
        <w:ind w:firstLine="567"/>
      </w:pPr>
    </w:p>
    <w:p w:rsidR="00122E77" w:rsidRPr="00122E77" w:rsidRDefault="00122E77" w:rsidP="00122E77">
      <w:pPr>
        <w:ind w:firstLine="567"/>
      </w:pPr>
      <w:r w:rsidRPr="00122E77">
        <w:t>(ii)</w:t>
      </w:r>
      <w:r w:rsidRPr="00122E77">
        <w:tab/>
        <w:t>The asterisks from the UPOV Test Guidelines should be repeated on the form.</w:t>
      </w:r>
    </w:p>
    <w:p w:rsidR="00122E77" w:rsidRPr="00122E77" w:rsidRDefault="00122E77" w:rsidP="00122E77">
      <w:pPr>
        <w:ind w:firstLine="567"/>
      </w:pPr>
    </w:p>
    <w:p w:rsidR="00122E77" w:rsidRPr="00122E77" w:rsidRDefault="00122E77" w:rsidP="00122E77">
      <w:pPr>
        <w:ind w:firstLine="567"/>
      </w:pPr>
      <w:r w:rsidRPr="00122E77">
        <w:t>(iii)</w:t>
      </w:r>
      <w:r w:rsidRPr="00122E77">
        <w:tab/>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122E77" w:rsidRPr="00122E77" w:rsidRDefault="00122E77" w:rsidP="00122E77">
      <w:pPr>
        <w:ind w:firstLine="567"/>
      </w:pPr>
    </w:p>
    <w:p w:rsidR="00122E77" w:rsidRPr="00122E77" w:rsidRDefault="00122E77" w:rsidP="00122E77">
      <w:pPr>
        <w:ind w:firstLine="567"/>
      </w:pPr>
      <w:r w:rsidRPr="00122E77">
        <w:t>(iv)</w:t>
      </w:r>
      <w:r w:rsidRPr="00122E77">
        <w:tab/>
        <w:t>The list contains only a small column for brief remarks or for a reference to lengthier remarks which should be reproduced in a footnote.</w:t>
      </w:r>
    </w:p>
    <w:p w:rsidR="00122E77" w:rsidRPr="00122E77" w:rsidRDefault="00122E77" w:rsidP="00122E77">
      <w:pPr>
        <w:rPr>
          <w:rFonts w:cs="Arial"/>
        </w:rPr>
      </w:pPr>
    </w:p>
    <w:p w:rsidR="00122E77" w:rsidRPr="00122E77" w:rsidRDefault="00122E77" w:rsidP="00122E77">
      <w:pPr>
        <w:rPr>
          <w:rFonts w:cs="Arial"/>
        </w:rPr>
      </w:pPr>
      <w:r w:rsidRPr="00122E77">
        <w:rPr>
          <w:rFonts w:cs="Arial"/>
        </w:rPr>
        <w:t>(d)</w:t>
      </w:r>
      <w:r w:rsidRPr="00122E77">
        <w:rPr>
          <w:rFonts w:cs="Arial"/>
        </w:rPr>
        <w:tab/>
      </w:r>
      <w:r w:rsidRPr="00122E77">
        <w:rPr>
          <w:rFonts w:cs="Arial"/>
          <w:u w:val="single"/>
        </w:rPr>
        <w:t>Ad Number 16 (Annex: UPOV Variety Description)</w:t>
      </w:r>
    </w:p>
    <w:p w:rsidR="00122E77" w:rsidRPr="00122E77" w:rsidRDefault="00122E77" w:rsidP="00122E77">
      <w:pPr>
        <w:rPr>
          <w:rFonts w:cs="Arial"/>
        </w:rPr>
      </w:pPr>
    </w:p>
    <w:p w:rsidR="00122E77" w:rsidRPr="00122E77" w:rsidRDefault="00122E77" w:rsidP="00122E77">
      <w:r w:rsidRPr="00122E77">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122E77" w:rsidRPr="00122E77" w:rsidRDefault="00122E77" w:rsidP="00122E77">
      <w:pPr>
        <w:jc w:val="right"/>
        <w:rPr>
          <w:lang w:val="en-GB"/>
        </w:rPr>
      </w:pPr>
    </w:p>
    <w:p w:rsidR="00122E77" w:rsidRPr="00122E77" w:rsidRDefault="00122E77" w:rsidP="00122E77">
      <w:pPr>
        <w:jc w:val="right"/>
        <w:rPr>
          <w:lang w:val="en-GB"/>
        </w:rPr>
      </w:pPr>
    </w:p>
    <w:p w:rsidR="00122E77" w:rsidRPr="00122E77" w:rsidRDefault="00122E77" w:rsidP="00122E77">
      <w:pPr>
        <w:jc w:val="right"/>
        <w:rPr>
          <w:rFonts w:cs="Arial"/>
        </w:rPr>
      </w:pPr>
    </w:p>
    <w:p w:rsidR="00122E77" w:rsidRPr="00122E77" w:rsidRDefault="00122E77" w:rsidP="00122E77">
      <w:pPr>
        <w:jc w:val="right"/>
      </w:pPr>
      <w:r w:rsidRPr="00122E77">
        <w:t>[Annex III follows]</w:t>
      </w:r>
    </w:p>
    <w:p w:rsidR="00122E77" w:rsidRPr="00122E77" w:rsidRDefault="00122E77" w:rsidP="00122E77">
      <w:pPr>
        <w:sectPr w:rsidR="00122E77" w:rsidRPr="00122E77" w:rsidSect="002C31FA">
          <w:headerReference w:type="even" r:id="rId58"/>
          <w:headerReference w:type="default" r:id="rId59"/>
          <w:footerReference w:type="even" r:id="rId60"/>
          <w:footerReference w:type="default" r:id="rId61"/>
          <w:headerReference w:type="first" r:id="rId62"/>
          <w:footerReference w:type="first" r:id="rId63"/>
          <w:endnotePr>
            <w:numFmt w:val="lowerLetter"/>
          </w:endnotePr>
          <w:pgSz w:w="11907" w:h="16840" w:code="9"/>
          <w:pgMar w:top="510" w:right="1134" w:bottom="851" w:left="1134" w:header="510" w:footer="680" w:gutter="0"/>
          <w:pgNumType w:start="1"/>
          <w:cols w:space="720"/>
          <w:titlePg/>
        </w:sectPr>
      </w:pPr>
    </w:p>
    <w:p w:rsidR="00122E77" w:rsidRPr="00122E77" w:rsidRDefault="00122E77" w:rsidP="00122E77">
      <w:pPr>
        <w:jc w:val="center"/>
        <w:rPr>
          <w:rFonts w:cs="Arial"/>
          <w:caps/>
          <w:lang w:eastAsia="ja-JP"/>
        </w:rPr>
      </w:pPr>
      <w:r w:rsidRPr="00122E77">
        <w:rPr>
          <w:rFonts w:cs="Arial"/>
          <w:caps/>
          <w:lang w:eastAsia="ja-JP"/>
        </w:rPr>
        <w:lastRenderedPageBreak/>
        <w:t>REVISIONS TO Document TGP/7</w:t>
      </w:r>
      <w:r w:rsidRPr="00122E77">
        <w:rPr>
          <w:rFonts w:cs="Arial"/>
          <w:caps/>
          <w:lang w:eastAsia="ja-JP"/>
        </w:rPr>
        <w:br/>
      </w:r>
      <w:r w:rsidRPr="00122E77">
        <w:rPr>
          <w:caps/>
        </w:rPr>
        <w:t>“Development of Test Guidelines”</w:t>
      </w:r>
    </w:p>
    <w:p w:rsidR="00122E77" w:rsidRPr="00122E77" w:rsidRDefault="00122E77" w:rsidP="00122E77">
      <w:pPr>
        <w:jc w:val="center"/>
        <w:rPr>
          <w:rFonts w:cs="Arial"/>
          <w:caps/>
          <w:lang w:eastAsia="ja-JP"/>
        </w:rPr>
      </w:pPr>
    </w:p>
    <w:p w:rsidR="00122E77" w:rsidRPr="00122E77" w:rsidRDefault="00122E77" w:rsidP="00122E77">
      <w:pPr>
        <w:jc w:val="center"/>
        <w:rPr>
          <w:lang w:eastAsia="ja-JP"/>
        </w:rPr>
      </w:pPr>
    </w:p>
    <w:p w:rsidR="00122E77" w:rsidRPr="00122E77" w:rsidRDefault="00122E77" w:rsidP="00122E77">
      <w:r w:rsidRPr="00122E77">
        <w:t>The following revisions of document TGP/7 “Development of Test Guidelines” were agreed by the TC to be proposed for adoption by the Council at its fifty-fourth ordinary session, to be held in Geneva on October 30, 2020, subject to approval by the CAJ, at its seventy-seventh session, to be held in Geneva on October 28, 2020 (</w:t>
      </w:r>
      <w:r w:rsidRPr="00122E77">
        <w:rPr>
          <w:strike/>
          <w:highlight w:val="lightGray"/>
        </w:rPr>
        <w:t>highlighting and strikethrough</w:t>
      </w:r>
      <w:r w:rsidRPr="00122E77">
        <w:t xml:space="preserve"> for deletions and </w:t>
      </w:r>
      <w:r w:rsidRPr="00122E77">
        <w:rPr>
          <w:highlight w:val="lightGray"/>
          <w:u w:val="single"/>
        </w:rPr>
        <w:t>highlighting and underline</w:t>
      </w:r>
      <w:r w:rsidRPr="00122E77">
        <w:t xml:space="preserve"> for addition):</w:t>
      </w:r>
    </w:p>
    <w:p w:rsidR="00122E77" w:rsidRPr="00122E77" w:rsidRDefault="00122E77" w:rsidP="00122E77"/>
    <w:p w:rsidR="00122E77" w:rsidRPr="00122E77" w:rsidRDefault="00122E77" w:rsidP="00122E77">
      <w:pPr>
        <w:rPr>
          <w:u w:val="single"/>
        </w:rPr>
      </w:pPr>
      <w:r w:rsidRPr="00122E77">
        <w:rPr>
          <w:u w:val="single"/>
        </w:rPr>
        <w:t>Characteristics which only apply to certain varieties</w:t>
      </w:r>
    </w:p>
    <w:p w:rsidR="00122E77" w:rsidRPr="00122E77" w:rsidRDefault="00122E77" w:rsidP="00122E77">
      <w:pPr>
        <w:keepNext/>
      </w:pPr>
    </w:p>
    <w:p w:rsidR="00122E77" w:rsidRPr="00122E77" w:rsidRDefault="00122E77" w:rsidP="00122E77">
      <w:pPr>
        <w:keepLines/>
      </w:pPr>
      <w:r w:rsidRPr="00122E77">
        <w:t>The TC agreed to amend the guidance in document TGP/7, Guidance Note 18 (GN 18) to read as follows:</w:t>
      </w:r>
    </w:p>
    <w:p w:rsidR="00122E77" w:rsidRPr="00122E77" w:rsidRDefault="00122E77" w:rsidP="00122E77"/>
    <w:p w:rsidR="00122E77" w:rsidRPr="00122E77" w:rsidRDefault="00122E77" w:rsidP="00122E77">
      <w:pPr>
        <w:ind w:left="567"/>
        <w:rPr>
          <w:rFonts w:cs="Arial"/>
          <w:bCs/>
          <w:i/>
          <w:snapToGrid w:val="0"/>
        </w:rPr>
      </w:pPr>
      <w:r w:rsidRPr="00122E77">
        <w:rPr>
          <w:rFonts w:cs="Arial"/>
          <w:bCs/>
          <w:i/>
          <w:snapToGrid w:val="0"/>
        </w:rPr>
        <w:t>3.</w:t>
      </w:r>
      <w:r w:rsidRPr="00122E77">
        <w:rPr>
          <w:rFonts w:cs="Arial"/>
          <w:bCs/>
          <w:i/>
          <w:snapToGrid w:val="0"/>
        </w:rPr>
        <w:tab/>
        <w:t>Characteristics which only apply to certain varieties</w:t>
      </w:r>
    </w:p>
    <w:p w:rsidR="00122E77" w:rsidRPr="00122E77" w:rsidRDefault="00122E77" w:rsidP="00122E77">
      <w:pPr>
        <w:ind w:left="567"/>
        <w:rPr>
          <w:rFonts w:cs="Arial"/>
          <w:bCs/>
          <w:snapToGrid w:val="0"/>
        </w:rPr>
      </w:pPr>
    </w:p>
    <w:p w:rsidR="00122E77" w:rsidRPr="00122E77" w:rsidRDefault="00122E77" w:rsidP="00122E77">
      <w:pPr>
        <w:ind w:left="567"/>
        <w:rPr>
          <w:rFonts w:cs="Arial"/>
          <w:bCs/>
          <w:snapToGrid w:val="0"/>
        </w:rPr>
      </w:pPr>
      <w:r w:rsidRPr="00122E77">
        <w:rPr>
          <w:rFonts w:cs="Arial"/>
          <w:bCs/>
          <w:snapToGrid w:val="0"/>
        </w:rPr>
        <w:t xml:space="preserve">In some cases, the state of expression of a preceding </w:t>
      </w:r>
      <w:r w:rsidRPr="00122E77">
        <w:rPr>
          <w:rFonts w:cs="Arial"/>
          <w:bCs/>
          <w:strike/>
          <w:snapToGrid w:val="0"/>
          <w:highlight w:val="lightGray"/>
        </w:rPr>
        <w:t>qualitative</w:t>
      </w:r>
      <w:r w:rsidRPr="00122E77">
        <w:rPr>
          <w:rFonts w:cs="Arial"/>
          <w:bCs/>
          <w:snapToGrid w:val="0"/>
        </w:rPr>
        <w:t xml:space="preserve"> characteristic determines that a subsequent characteristic is not applicable e.g. it would not be possible to describe the shape of leaf lobes for a variety which did not have leaf lobes. </w:t>
      </w:r>
    </w:p>
    <w:p w:rsidR="00122E77" w:rsidRPr="00122E77" w:rsidRDefault="00122E77" w:rsidP="00122E77">
      <w:pPr>
        <w:ind w:left="567"/>
        <w:rPr>
          <w:rFonts w:cs="Arial"/>
          <w:bCs/>
          <w:snapToGrid w:val="0"/>
          <w:szCs w:val="18"/>
          <w:highlight w:val="lightGray"/>
          <w:u w:val="single"/>
        </w:rPr>
      </w:pPr>
    </w:p>
    <w:p w:rsidR="00122E77" w:rsidRPr="00122E77" w:rsidRDefault="00122E77" w:rsidP="00122E77">
      <w:pPr>
        <w:ind w:left="567"/>
        <w:rPr>
          <w:rFonts w:cs="Arial"/>
          <w:bCs/>
          <w:snapToGrid w:val="0"/>
        </w:rPr>
      </w:pPr>
      <w:r w:rsidRPr="00122E77">
        <w:rPr>
          <w:rFonts w:cs="Arial"/>
          <w:bCs/>
          <w:snapToGrid w:val="0"/>
        </w:rPr>
        <w:t>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w:t>
      </w:r>
    </w:p>
    <w:p w:rsidR="00122E77" w:rsidRPr="00122E77" w:rsidRDefault="00122E77" w:rsidP="00122E77">
      <w:pPr>
        <w:ind w:left="567"/>
        <w:rPr>
          <w:rFonts w:cs="Arial"/>
          <w:bCs/>
          <w:snapToGrid w:val="0"/>
        </w:rPr>
      </w:pPr>
    </w:p>
    <w:p w:rsidR="00122E77" w:rsidRPr="00122E77" w:rsidRDefault="00122E77" w:rsidP="00122E77">
      <w:pPr>
        <w:ind w:left="567"/>
        <w:rPr>
          <w:rFonts w:cs="Arial"/>
          <w:bCs/>
          <w:snapToGrid w:val="0"/>
          <w:szCs w:val="18"/>
          <w:highlight w:val="lightGray"/>
          <w:u w:val="single"/>
        </w:rPr>
      </w:pPr>
      <w:r w:rsidRPr="00122E77">
        <w:rPr>
          <w:szCs w:val="18"/>
          <w:highlight w:val="lightGray"/>
          <w:u w:val="single"/>
        </w:rPr>
        <w:t>The following examples demonstrate how the proposed approach might be used for qualitative (QL), pseudo-qualitative (PQ) and quantitative (QN) characteristics:</w:t>
      </w:r>
    </w:p>
    <w:p w:rsidR="00122E77" w:rsidRPr="00122E77" w:rsidRDefault="00122E77" w:rsidP="00122E77">
      <w:pPr>
        <w:ind w:left="567"/>
        <w:rPr>
          <w:rFonts w:cs="Arial"/>
          <w:bCs/>
          <w:snapToGrid w:val="0"/>
        </w:rPr>
      </w:pPr>
    </w:p>
    <w:p w:rsidR="00122E77" w:rsidRPr="00122E77" w:rsidRDefault="00122E77" w:rsidP="00122E77">
      <w:pPr>
        <w:ind w:left="1701" w:hanging="567"/>
        <w:rPr>
          <w:rFonts w:cs="Arial"/>
          <w:bCs/>
          <w:snapToGrid w:val="0"/>
        </w:rPr>
      </w:pPr>
      <w:r w:rsidRPr="00122E77">
        <w:rPr>
          <w:rFonts w:cs="Arial"/>
          <w:bCs/>
          <w:snapToGrid w:val="0"/>
          <w:highlight w:val="lightGray"/>
        </w:rPr>
        <w:t>(QL)</w:t>
      </w:r>
      <w:r w:rsidRPr="00122E77">
        <w:rPr>
          <w:rFonts w:cs="Arial"/>
          <w:bCs/>
          <w:snapToGrid w:val="0"/>
          <w:highlight w:val="lightGray"/>
        </w:rPr>
        <w:tab/>
        <w:t xml:space="preserve">Flower: type: </w:t>
      </w:r>
      <w:r w:rsidRPr="00122E77">
        <w:rPr>
          <w:snapToGrid w:val="0"/>
          <w:highlight w:val="lightGray"/>
        </w:rPr>
        <w:t>single (1); double (2)</w:t>
      </w:r>
    </w:p>
    <w:p w:rsidR="00122E77" w:rsidRPr="00122E77" w:rsidRDefault="00122E77" w:rsidP="00122E77">
      <w:pPr>
        <w:ind w:left="1701" w:hanging="567"/>
        <w:rPr>
          <w:rFonts w:cs="Arial"/>
          <w:bCs/>
          <w:snapToGrid w:val="0"/>
        </w:rPr>
      </w:pPr>
      <w:r w:rsidRPr="00122E77">
        <w:rPr>
          <w:rFonts w:cs="Arial"/>
          <w:bCs/>
          <w:snapToGrid w:val="0"/>
          <w:highlight w:val="lightGray"/>
        </w:rPr>
        <w:t>(PQ)</w:t>
      </w:r>
      <w:r w:rsidRPr="00122E77">
        <w:rPr>
          <w:rFonts w:cs="Arial"/>
          <w:bCs/>
          <w:snapToGrid w:val="0"/>
        </w:rPr>
        <w:tab/>
      </w:r>
      <w:r w:rsidRPr="00122E77">
        <w:rPr>
          <w:rFonts w:cs="Arial"/>
          <w:bCs/>
          <w:snapToGrid w:val="0"/>
          <w:u w:val="single"/>
        </w:rPr>
        <w:t>Only varieties with: Flower: type: single</w:t>
      </w:r>
      <w:r w:rsidRPr="00122E77">
        <w:rPr>
          <w:rFonts w:cs="Arial"/>
          <w:bCs/>
          <w:snapToGrid w:val="0"/>
        </w:rPr>
        <w:t>: Flower: shape</w:t>
      </w:r>
    </w:p>
    <w:p w:rsidR="00122E77" w:rsidRPr="00122E77" w:rsidRDefault="00122E77" w:rsidP="00122E77">
      <w:pPr>
        <w:ind w:left="567"/>
        <w:rPr>
          <w:rFonts w:cs="Arial"/>
          <w:bCs/>
          <w:snapToGrid w:val="0"/>
          <w:szCs w:val="18"/>
        </w:rPr>
      </w:pPr>
    </w:p>
    <w:p w:rsidR="00122E77" w:rsidRPr="00122E77" w:rsidRDefault="00122E77" w:rsidP="00122E77">
      <w:pPr>
        <w:keepNext/>
        <w:keepLines/>
        <w:ind w:left="1701" w:hanging="567"/>
        <w:rPr>
          <w:snapToGrid w:val="0"/>
          <w:highlight w:val="lightGray"/>
        </w:rPr>
      </w:pPr>
      <w:r w:rsidRPr="00122E77">
        <w:rPr>
          <w:snapToGrid w:val="0"/>
          <w:highlight w:val="lightGray"/>
        </w:rPr>
        <w:t>(PQ)</w:t>
      </w:r>
      <w:r w:rsidRPr="00122E77">
        <w:rPr>
          <w:snapToGrid w:val="0"/>
          <w:highlight w:val="lightGray"/>
        </w:rPr>
        <w:tab/>
        <w:t>Flower head: type: single (1); semi-double (2); daisy-eyed double (3); double (4)</w:t>
      </w:r>
    </w:p>
    <w:p w:rsidR="00122E77" w:rsidRPr="00122E77" w:rsidRDefault="00122E77" w:rsidP="00122E77">
      <w:pPr>
        <w:keepNext/>
        <w:keepLines/>
        <w:ind w:left="1701" w:hanging="567"/>
        <w:rPr>
          <w:snapToGrid w:val="0"/>
          <w:highlight w:val="lightGray"/>
        </w:rPr>
      </w:pPr>
      <w:r w:rsidRPr="00122E77">
        <w:rPr>
          <w:snapToGrid w:val="0"/>
          <w:highlight w:val="lightGray"/>
        </w:rPr>
        <w:t>(QN)</w:t>
      </w:r>
      <w:r w:rsidRPr="00122E77">
        <w:rPr>
          <w:snapToGrid w:val="0"/>
          <w:highlight w:val="lightGray"/>
        </w:rPr>
        <w:tab/>
      </w:r>
      <w:r w:rsidRPr="00122E77">
        <w:rPr>
          <w:highlight w:val="lightGray"/>
          <w:u w:val="single"/>
        </w:rPr>
        <w:t>Only varieties with: Flower head: type: daisy-eyed double or double</w:t>
      </w:r>
      <w:r w:rsidRPr="00122E77">
        <w:rPr>
          <w:highlight w:val="lightGray"/>
        </w:rPr>
        <w:t>: Flower head: height: short (3); medium (5); tall (7)</w:t>
      </w:r>
    </w:p>
    <w:p w:rsidR="00122E77" w:rsidRPr="00122E77" w:rsidRDefault="00122E77" w:rsidP="00122E77">
      <w:pPr>
        <w:ind w:left="1560" w:hanging="426"/>
        <w:rPr>
          <w:highlight w:val="lightGray"/>
        </w:rPr>
      </w:pPr>
    </w:p>
    <w:p w:rsidR="00122E77" w:rsidRPr="00122E77" w:rsidRDefault="00122E77" w:rsidP="00122E77">
      <w:pPr>
        <w:keepNext/>
        <w:ind w:left="1701" w:hanging="567"/>
        <w:rPr>
          <w:highlight w:val="lightGray"/>
        </w:rPr>
      </w:pPr>
      <w:r w:rsidRPr="00122E77">
        <w:rPr>
          <w:highlight w:val="lightGray"/>
        </w:rPr>
        <w:t>(PQ)</w:t>
      </w:r>
      <w:r w:rsidRPr="00122E77">
        <w:rPr>
          <w:highlight w:val="lightGray"/>
        </w:rPr>
        <w:tab/>
        <w:t>Plant: head formation: absent (1); open (2); closed (3)</w:t>
      </w:r>
    </w:p>
    <w:p w:rsidR="00122E77" w:rsidRPr="00122E77" w:rsidRDefault="00122E77" w:rsidP="00122E77">
      <w:pPr>
        <w:keepNext/>
        <w:tabs>
          <w:tab w:val="left" w:pos="1560"/>
        </w:tabs>
        <w:ind w:left="1701" w:hanging="567"/>
        <w:jc w:val="left"/>
        <w:rPr>
          <w:highlight w:val="lightGray"/>
        </w:rPr>
      </w:pPr>
      <w:r w:rsidRPr="00122E77">
        <w:rPr>
          <w:highlight w:val="lightGray"/>
        </w:rPr>
        <w:t>(QN)</w:t>
      </w:r>
      <w:r w:rsidRPr="00122E77">
        <w:rPr>
          <w:highlight w:val="lightGray"/>
        </w:rPr>
        <w:tab/>
      </w:r>
      <w:r w:rsidRPr="00122E77">
        <w:rPr>
          <w:highlight w:val="lightGray"/>
          <w:u w:val="single"/>
        </w:rPr>
        <w:t>Only varieties with: Plant: head formation: open or closed</w:t>
      </w:r>
      <w:r w:rsidRPr="00122E77">
        <w:rPr>
          <w:highlight w:val="lightGray"/>
        </w:rPr>
        <w:t>: Time of head formation: very early (1); early (3); medium (5); late (7); very late (9)</w:t>
      </w:r>
    </w:p>
    <w:p w:rsidR="00122E77" w:rsidRPr="00122E77" w:rsidRDefault="00122E77" w:rsidP="00122E77">
      <w:pPr>
        <w:ind w:left="1560" w:hanging="426"/>
        <w:rPr>
          <w:i/>
          <w:highlight w:val="lightGray"/>
        </w:rPr>
      </w:pPr>
    </w:p>
    <w:p w:rsidR="00122E77" w:rsidRPr="00122E77" w:rsidRDefault="00122E77" w:rsidP="00122E77">
      <w:pPr>
        <w:ind w:left="1701" w:hanging="567"/>
        <w:rPr>
          <w:snapToGrid w:val="0"/>
          <w:highlight w:val="lightGray"/>
        </w:rPr>
      </w:pPr>
      <w:r w:rsidRPr="00122E77">
        <w:rPr>
          <w:snapToGrid w:val="0"/>
          <w:highlight w:val="lightGray"/>
        </w:rPr>
        <w:t>(QN)</w:t>
      </w:r>
      <w:r w:rsidRPr="00122E77">
        <w:rPr>
          <w:snapToGrid w:val="0"/>
          <w:highlight w:val="lightGray"/>
        </w:rPr>
        <w:tab/>
        <w:t>Presence of hairs: absent or very weak (1).</w:t>
      </w:r>
    </w:p>
    <w:p w:rsidR="00122E77" w:rsidRPr="00122E77" w:rsidRDefault="00122E77" w:rsidP="00122E77">
      <w:pPr>
        <w:ind w:left="1701" w:hanging="567"/>
        <w:rPr>
          <w:snapToGrid w:val="0"/>
        </w:rPr>
      </w:pPr>
      <w:r w:rsidRPr="00122E77">
        <w:rPr>
          <w:snapToGrid w:val="0"/>
          <w:highlight w:val="lightGray"/>
        </w:rPr>
        <w:t>(PQ)</w:t>
      </w:r>
      <w:r w:rsidRPr="00122E77">
        <w:rPr>
          <w:snapToGrid w:val="0"/>
          <w:highlight w:val="lightGray"/>
        </w:rPr>
        <w:tab/>
      </w:r>
      <w:r w:rsidRPr="00122E77">
        <w:rPr>
          <w:rFonts w:cs="Arial"/>
          <w:bCs/>
          <w:snapToGrid w:val="0"/>
          <w:highlight w:val="lightGray"/>
          <w:u w:val="single"/>
        </w:rPr>
        <w:t>Only varieties with: Presence of hairs: Other than “absent or very weak” (1)</w:t>
      </w:r>
      <w:r w:rsidRPr="00122E77">
        <w:rPr>
          <w:rFonts w:cs="Arial"/>
          <w:bCs/>
          <w:snapToGrid w:val="0"/>
          <w:highlight w:val="lightGray"/>
        </w:rPr>
        <w:t>: Hair: color</w:t>
      </w:r>
    </w:p>
    <w:p w:rsidR="00122E77" w:rsidRPr="00122E77" w:rsidRDefault="00122E77" w:rsidP="00122E77">
      <w:pPr>
        <w:ind w:left="567"/>
        <w:rPr>
          <w:rFonts w:cs="Arial"/>
          <w:bCs/>
          <w:snapToGrid w:val="0"/>
          <w:szCs w:val="18"/>
          <w:highlight w:val="lightGray"/>
          <w:u w:val="single"/>
        </w:rPr>
      </w:pPr>
    </w:p>
    <w:p w:rsidR="00122E77" w:rsidRPr="00122E77" w:rsidRDefault="00122E77" w:rsidP="00122E77">
      <w:pPr>
        <w:ind w:left="567"/>
        <w:rPr>
          <w:rFonts w:cs="Arial"/>
          <w:bCs/>
          <w:snapToGrid w:val="0"/>
          <w:u w:val="single"/>
        </w:rPr>
      </w:pPr>
      <w:r w:rsidRPr="00122E77">
        <w:rPr>
          <w:highlight w:val="lightGray"/>
          <w:u w:val="single"/>
        </w:rPr>
        <w:t xml:space="preserve">The exclusion of characteristics from observation on the basis of a preceding </w:t>
      </w:r>
      <w:r w:rsidRPr="00122E77">
        <w:rPr>
          <w:rFonts w:cs="Arial"/>
          <w:bCs/>
          <w:snapToGrid w:val="0"/>
          <w:highlight w:val="lightGray"/>
          <w:u w:val="single"/>
        </w:rPr>
        <w:t>pseudo-qualitative (PQ) or quantitative (QN) characteristic</w:t>
      </w:r>
      <w:r w:rsidRPr="00122E77">
        <w:rPr>
          <w:highlight w:val="lightGray"/>
          <w:u w:val="single"/>
        </w:rPr>
        <w:t xml:space="preserve"> should be used with caution, taking into account the consequences for the examination of distinctness</w:t>
      </w:r>
      <w:r w:rsidRPr="00122E77">
        <w:rPr>
          <w:rFonts w:cs="Arial"/>
          <w:bCs/>
          <w:snapToGrid w:val="0"/>
          <w:highlight w:val="lightGray"/>
          <w:u w:val="single"/>
        </w:rPr>
        <w:t>.</w:t>
      </w:r>
    </w:p>
    <w:p w:rsidR="00122E77" w:rsidRPr="00122E77" w:rsidRDefault="00122E77" w:rsidP="00122E77">
      <w:pPr>
        <w:jc w:val="left"/>
      </w:pPr>
    </w:p>
    <w:p w:rsidR="00122E77" w:rsidRPr="00122E77" w:rsidRDefault="00122E77" w:rsidP="00122E77"/>
    <w:p w:rsidR="00122E77" w:rsidRPr="00122E77" w:rsidRDefault="00122E77" w:rsidP="00122E77">
      <w:pPr>
        <w:rPr>
          <w:u w:val="single"/>
        </w:rPr>
      </w:pPr>
      <w:bookmarkStart w:id="58" w:name="_Toc21683368"/>
      <w:r w:rsidRPr="00122E77">
        <w:rPr>
          <w:u w:val="single"/>
        </w:rPr>
        <w:t>Presentation of full scale of notes for quantitative characteristics in Test Guidelines</w:t>
      </w:r>
      <w:bookmarkEnd w:id="58"/>
    </w:p>
    <w:p w:rsidR="00122E77" w:rsidRPr="00122E77" w:rsidRDefault="00122E77" w:rsidP="00122E77">
      <w:pPr>
        <w:keepNext/>
      </w:pPr>
    </w:p>
    <w:p w:rsidR="00122E77" w:rsidRPr="00122E77" w:rsidRDefault="00122E77" w:rsidP="00122E77">
      <w:r w:rsidRPr="00122E77">
        <w:t xml:space="preserve">The TC, at its fifty-fifth session, considered </w:t>
      </w:r>
      <w:r w:rsidRPr="00122E77">
        <w:rPr>
          <w:rFonts w:cs="Arial"/>
        </w:rPr>
        <w:t xml:space="preserve">documents TC/55/4 and TC/55/4 Add. and </w:t>
      </w:r>
      <w:r w:rsidRPr="00122E77">
        <w:t xml:space="preserve">agreed to revise document TGP/7 to present all states of expression for quantitative characteristics in Test Guidelines </w:t>
      </w:r>
      <w:r w:rsidRPr="00122E77">
        <w:rPr>
          <w:rFonts w:cs="Arial"/>
        </w:rPr>
        <w:t xml:space="preserve">(see document </w:t>
      </w:r>
      <w:hyperlink r:id="rId64" w:history="1">
        <w:r w:rsidRPr="00122E77">
          <w:rPr>
            <w:spacing w:val="-2"/>
          </w:rPr>
          <w:t>TC/55/25 Corr.</w:t>
        </w:r>
      </w:hyperlink>
      <w:r w:rsidRPr="00122E77">
        <w:rPr>
          <w:spacing w:val="-2"/>
        </w:rPr>
        <w:t xml:space="preserve"> “Report”</w:t>
      </w:r>
      <w:r w:rsidRPr="00122E77">
        <w:rPr>
          <w:rFonts w:cs="Arial"/>
        </w:rPr>
        <w:t>, paragraph 172)</w:t>
      </w:r>
      <w:r w:rsidRPr="00122E77">
        <w:t xml:space="preserve">.  </w:t>
      </w:r>
    </w:p>
    <w:p w:rsidR="00122E77" w:rsidRPr="00122E77" w:rsidRDefault="00122E77" w:rsidP="00122E77"/>
    <w:p w:rsidR="00122E77" w:rsidRPr="00122E77" w:rsidRDefault="00122E77" w:rsidP="00122E77">
      <w:pPr>
        <w:ind w:left="567"/>
        <w:rPr>
          <w:u w:val="single"/>
        </w:rPr>
      </w:pPr>
      <w:r w:rsidRPr="00122E77">
        <w:rPr>
          <w:u w:val="single"/>
        </w:rPr>
        <w:t>Extract of ANNEX 1:  TG STRUCTURE AND UNIVERSAL STANDARD WORDING</w:t>
      </w:r>
    </w:p>
    <w:p w:rsidR="00122E77" w:rsidRPr="00122E77" w:rsidRDefault="00122E77" w:rsidP="00122E77">
      <w:pPr>
        <w:ind w:left="567"/>
      </w:pPr>
    </w:p>
    <w:p w:rsidR="00122E77" w:rsidRPr="00122E77" w:rsidRDefault="00122E77" w:rsidP="00122E77">
      <w:pPr>
        <w:ind w:left="567"/>
        <w:rPr>
          <w:i/>
        </w:rPr>
      </w:pPr>
      <w:r w:rsidRPr="00122E77">
        <w:rPr>
          <w:i/>
        </w:rPr>
        <w:t>6.2</w:t>
      </w:r>
      <w:r w:rsidRPr="00122E77">
        <w:rPr>
          <w:i/>
        </w:rPr>
        <w:tab/>
        <w:t>States of Expression and Corresponding Notes</w:t>
      </w:r>
    </w:p>
    <w:p w:rsidR="00122E77" w:rsidRPr="00122E77" w:rsidRDefault="00122E77" w:rsidP="00122E77">
      <w:pPr>
        <w:ind w:left="567"/>
      </w:pPr>
    </w:p>
    <w:p w:rsidR="00122E77" w:rsidRPr="00122E77" w:rsidRDefault="00122E77" w:rsidP="00122E77">
      <w:pPr>
        <w:ind w:left="567"/>
      </w:pPr>
      <w:r w:rsidRPr="00122E77">
        <w:t>6.2.1</w:t>
      </w:r>
      <w:r w:rsidRPr="00122E77">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122E77" w:rsidRPr="00122E77" w:rsidRDefault="00122E77" w:rsidP="00122E77">
      <w:pPr>
        <w:ind w:left="567"/>
      </w:pPr>
    </w:p>
    <w:p w:rsidR="00122E77" w:rsidRPr="00122E77" w:rsidRDefault="00122E77" w:rsidP="00122E77">
      <w:pPr>
        <w:ind w:left="567"/>
      </w:pPr>
      <w:r w:rsidRPr="00122E77">
        <w:t>6.2.2</w:t>
      </w:r>
      <w:r w:rsidRPr="00122E77">
        <w:tab/>
      </w:r>
      <w:r w:rsidRPr="00122E77">
        <w:rPr>
          <w:strike/>
          <w:highlight w:val="lightGray"/>
        </w:rPr>
        <w:t>In the case of qualitative and pseudo qualitative characteristics (see Chapter 6.3), all</w:t>
      </w:r>
      <w:r w:rsidRPr="00122E77">
        <w:t xml:space="preserve"> </w:t>
      </w:r>
      <w:proofErr w:type="spellStart"/>
      <w:r w:rsidRPr="00122E77">
        <w:rPr>
          <w:highlight w:val="lightGray"/>
          <w:u w:val="single"/>
        </w:rPr>
        <w:t>All</w:t>
      </w:r>
      <w:proofErr w:type="spellEnd"/>
      <w:r w:rsidRPr="00122E77">
        <w:t xml:space="preserve"> relevant states of expression are presented in the characteristic.  </w:t>
      </w:r>
      <w:r w:rsidRPr="00122E77">
        <w:rPr>
          <w:strike/>
          <w:highlight w:val="lightGray"/>
        </w:rPr>
        <w:t xml:space="preserve">However, in the case of quantitative </w:t>
      </w:r>
      <w:r w:rsidRPr="00122E77">
        <w:rPr>
          <w:strike/>
          <w:highlight w:val="lightGray"/>
        </w:rPr>
        <w:lastRenderedPageBreak/>
        <w:t>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122E77" w:rsidRPr="00122E77" w:rsidRDefault="00122E77" w:rsidP="00122E77">
      <w:pPr>
        <w:tabs>
          <w:tab w:val="left" w:pos="709"/>
          <w:tab w:val="left" w:pos="1418"/>
        </w:tabs>
        <w:ind w:left="567"/>
        <w:rPr>
          <w:strik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122E77" w:rsidRPr="00122E77" w:rsidTr="002C31FA">
        <w:trPr>
          <w:jc w:val="center"/>
        </w:trPr>
        <w:tc>
          <w:tcPr>
            <w:tcW w:w="2971"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State</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Note</w:t>
            </w:r>
          </w:p>
        </w:tc>
      </w:tr>
      <w:tr w:rsidR="00122E77" w:rsidRPr="00122E77" w:rsidTr="002C31FA">
        <w:trPr>
          <w:jc w:val="center"/>
        </w:trPr>
        <w:tc>
          <w:tcPr>
            <w:tcW w:w="2971" w:type="dxa"/>
          </w:tcPr>
          <w:p w:rsidR="00122E77" w:rsidRPr="00122E77" w:rsidRDefault="00122E77" w:rsidP="00122E77">
            <w:pPr>
              <w:tabs>
                <w:tab w:val="left" w:pos="709"/>
                <w:tab w:val="left" w:pos="1418"/>
              </w:tabs>
              <w:ind w:right="567"/>
              <w:rPr>
                <w:strike/>
                <w:highlight w:val="lightGray"/>
                <w:lang w:val="fr-FR"/>
              </w:rPr>
            </w:pPr>
            <w:proofErr w:type="spellStart"/>
            <w:r w:rsidRPr="00122E77">
              <w:rPr>
                <w:strike/>
                <w:highlight w:val="lightGray"/>
                <w:lang w:val="fr-FR"/>
              </w:rPr>
              <w:t>small</w:t>
            </w:r>
            <w:proofErr w:type="spellEnd"/>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3</w:t>
            </w:r>
          </w:p>
        </w:tc>
      </w:tr>
      <w:tr w:rsidR="00122E77" w:rsidRPr="00122E77" w:rsidTr="002C31FA">
        <w:trPr>
          <w:jc w:val="center"/>
        </w:trPr>
        <w:tc>
          <w:tcPr>
            <w:tcW w:w="2971"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medium</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5</w:t>
            </w:r>
          </w:p>
        </w:tc>
      </w:tr>
      <w:tr w:rsidR="00122E77" w:rsidRPr="00122E77" w:rsidTr="002C31FA">
        <w:trPr>
          <w:jc w:val="center"/>
        </w:trPr>
        <w:tc>
          <w:tcPr>
            <w:tcW w:w="2971"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large</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7</w:t>
            </w:r>
          </w:p>
        </w:tc>
      </w:tr>
    </w:tbl>
    <w:p w:rsidR="00122E77" w:rsidRPr="00122E77" w:rsidRDefault="00122E77" w:rsidP="00122E77">
      <w:pPr>
        <w:tabs>
          <w:tab w:val="left" w:pos="709"/>
          <w:tab w:val="left" w:pos="1418"/>
        </w:tabs>
        <w:ind w:left="567"/>
        <w:rPr>
          <w:strike/>
          <w:highlight w:val="lightGray"/>
        </w:rPr>
      </w:pPr>
    </w:p>
    <w:p w:rsidR="00122E77" w:rsidRPr="00122E77" w:rsidRDefault="00122E77" w:rsidP="00122E77">
      <w:pPr>
        <w:ind w:left="567"/>
        <w:rPr>
          <w:strike/>
          <w:highlight w:val="lightGray"/>
        </w:rPr>
      </w:pPr>
      <w:r w:rsidRPr="00122E77">
        <w:rPr>
          <w:strike/>
          <w:highlight w:val="lightGray"/>
        </w:rPr>
        <w:t>However, it should be noted that all of the following 9 states of expression exist to describe varieties and should be used as appropriate:</w:t>
      </w:r>
    </w:p>
    <w:p w:rsidR="00122E77" w:rsidRPr="00122E77" w:rsidRDefault="00122E77" w:rsidP="00122E77">
      <w:pPr>
        <w:tabs>
          <w:tab w:val="left" w:pos="709"/>
          <w:tab w:val="left" w:pos="1418"/>
        </w:tabs>
        <w:ind w:left="567"/>
        <w:rPr>
          <w:strike/>
          <w:highlight w:val="lightGray"/>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State</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Note</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proofErr w:type="spellStart"/>
            <w:r w:rsidRPr="00122E77">
              <w:rPr>
                <w:strike/>
                <w:highlight w:val="lightGray"/>
                <w:lang w:val="fr-FR"/>
              </w:rPr>
              <w:t>very</w:t>
            </w:r>
            <w:proofErr w:type="spellEnd"/>
            <w:r w:rsidRPr="00122E77">
              <w:rPr>
                <w:strike/>
                <w:highlight w:val="lightGray"/>
                <w:lang w:val="fr-FR"/>
              </w:rPr>
              <w:t xml:space="preserve"> </w:t>
            </w:r>
            <w:proofErr w:type="spellStart"/>
            <w:r w:rsidRPr="00122E77">
              <w:rPr>
                <w:strike/>
                <w:highlight w:val="lightGray"/>
                <w:lang w:val="fr-FR"/>
              </w:rPr>
              <w:t>small</w:t>
            </w:r>
            <w:proofErr w:type="spellEnd"/>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1</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proofErr w:type="spellStart"/>
            <w:r w:rsidRPr="00122E77">
              <w:rPr>
                <w:strike/>
                <w:highlight w:val="lightGray"/>
                <w:lang w:val="fr-FR"/>
              </w:rPr>
              <w:t>very</w:t>
            </w:r>
            <w:proofErr w:type="spellEnd"/>
            <w:r w:rsidRPr="00122E77">
              <w:rPr>
                <w:strike/>
                <w:highlight w:val="lightGray"/>
                <w:lang w:val="fr-FR"/>
              </w:rPr>
              <w:t xml:space="preserve"> </w:t>
            </w:r>
            <w:proofErr w:type="spellStart"/>
            <w:r w:rsidRPr="00122E77">
              <w:rPr>
                <w:strike/>
                <w:highlight w:val="lightGray"/>
                <w:lang w:val="fr-FR"/>
              </w:rPr>
              <w:t>small</w:t>
            </w:r>
            <w:proofErr w:type="spellEnd"/>
            <w:r w:rsidRPr="00122E77">
              <w:rPr>
                <w:strike/>
                <w:highlight w:val="lightGray"/>
                <w:lang w:val="fr-FR"/>
              </w:rPr>
              <w:t xml:space="preserve"> to </w:t>
            </w:r>
            <w:proofErr w:type="spellStart"/>
            <w:r w:rsidRPr="00122E77">
              <w:rPr>
                <w:strike/>
                <w:highlight w:val="lightGray"/>
                <w:lang w:val="fr-FR"/>
              </w:rPr>
              <w:t>small</w:t>
            </w:r>
            <w:proofErr w:type="spellEnd"/>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2</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proofErr w:type="spellStart"/>
            <w:r w:rsidRPr="00122E77">
              <w:rPr>
                <w:strike/>
                <w:highlight w:val="lightGray"/>
                <w:lang w:val="fr-FR"/>
              </w:rPr>
              <w:t>small</w:t>
            </w:r>
            <w:proofErr w:type="spellEnd"/>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3</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proofErr w:type="spellStart"/>
            <w:r w:rsidRPr="00122E77">
              <w:rPr>
                <w:strike/>
                <w:highlight w:val="lightGray"/>
                <w:lang w:val="fr-FR"/>
              </w:rPr>
              <w:t>small</w:t>
            </w:r>
            <w:proofErr w:type="spellEnd"/>
            <w:r w:rsidRPr="00122E77">
              <w:rPr>
                <w:strike/>
                <w:highlight w:val="lightGray"/>
                <w:lang w:val="fr-FR"/>
              </w:rPr>
              <w:t xml:space="preserve"> to medium</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4</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medium</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5</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medium to large</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6</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large</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7</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 xml:space="preserve">large to </w:t>
            </w:r>
            <w:proofErr w:type="spellStart"/>
            <w:r w:rsidRPr="00122E77">
              <w:rPr>
                <w:strike/>
                <w:highlight w:val="lightGray"/>
                <w:lang w:val="fr-FR"/>
              </w:rPr>
              <w:t>very</w:t>
            </w:r>
            <w:proofErr w:type="spellEnd"/>
            <w:r w:rsidRPr="00122E77">
              <w:rPr>
                <w:strike/>
                <w:highlight w:val="lightGray"/>
                <w:lang w:val="fr-FR"/>
              </w:rPr>
              <w:t xml:space="preserve"> large</w:t>
            </w:r>
          </w:p>
        </w:tc>
        <w:tc>
          <w:tcPr>
            <w:tcW w:w="1276" w:type="dxa"/>
          </w:tcPr>
          <w:p w:rsidR="00122E77" w:rsidRPr="00122E77" w:rsidRDefault="00122E77" w:rsidP="00122E77">
            <w:pPr>
              <w:tabs>
                <w:tab w:val="left" w:pos="709"/>
                <w:tab w:val="left" w:pos="1418"/>
              </w:tabs>
              <w:ind w:right="567"/>
              <w:rPr>
                <w:strike/>
                <w:highlight w:val="lightGray"/>
                <w:lang w:val="fr-FR"/>
              </w:rPr>
            </w:pPr>
            <w:r w:rsidRPr="00122E77">
              <w:rPr>
                <w:strike/>
                <w:highlight w:val="lightGray"/>
                <w:lang w:val="fr-FR"/>
              </w:rPr>
              <w:t>8</w:t>
            </w:r>
          </w:p>
        </w:tc>
      </w:tr>
      <w:tr w:rsidR="00122E77" w:rsidRPr="00122E77" w:rsidTr="002C31FA">
        <w:trPr>
          <w:jc w:val="center"/>
        </w:trPr>
        <w:tc>
          <w:tcPr>
            <w:tcW w:w="3049" w:type="dxa"/>
          </w:tcPr>
          <w:p w:rsidR="00122E77" w:rsidRPr="00122E77" w:rsidRDefault="00122E77" w:rsidP="00122E77">
            <w:pPr>
              <w:tabs>
                <w:tab w:val="left" w:pos="709"/>
                <w:tab w:val="left" w:pos="1418"/>
              </w:tabs>
              <w:ind w:right="567"/>
              <w:rPr>
                <w:strike/>
                <w:highlight w:val="lightGray"/>
                <w:lang w:val="fr-FR"/>
              </w:rPr>
            </w:pPr>
            <w:proofErr w:type="spellStart"/>
            <w:r w:rsidRPr="00122E77">
              <w:rPr>
                <w:strike/>
                <w:highlight w:val="lightGray"/>
                <w:lang w:val="fr-FR"/>
              </w:rPr>
              <w:t>very</w:t>
            </w:r>
            <w:proofErr w:type="spellEnd"/>
            <w:r w:rsidRPr="00122E77">
              <w:rPr>
                <w:strike/>
                <w:highlight w:val="lightGray"/>
                <w:lang w:val="fr-FR"/>
              </w:rPr>
              <w:t xml:space="preserve"> large</w:t>
            </w:r>
          </w:p>
        </w:tc>
        <w:tc>
          <w:tcPr>
            <w:tcW w:w="1276" w:type="dxa"/>
          </w:tcPr>
          <w:p w:rsidR="00122E77" w:rsidRPr="00122E77" w:rsidRDefault="00122E77" w:rsidP="00122E77">
            <w:pPr>
              <w:tabs>
                <w:tab w:val="left" w:pos="709"/>
                <w:tab w:val="left" w:pos="1418"/>
              </w:tabs>
              <w:ind w:right="567"/>
              <w:rPr>
                <w:strike/>
                <w:lang w:val="fr-FR"/>
              </w:rPr>
            </w:pPr>
            <w:r w:rsidRPr="00122E77">
              <w:rPr>
                <w:strike/>
                <w:highlight w:val="lightGray"/>
                <w:lang w:val="fr-FR"/>
              </w:rPr>
              <w:t>9</w:t>
            </w:r>
          </w:p>
        </w:tc>
      </w:tr>
    </w:tbl>
    <w:p w:rsidR="00122E77" w:rsidRPr="00122E77" w:rsidRDefault="00122E77" w:rsidP="00122E77">
      <w:pPr>
        <w:tabs>
          <w:tab w:val="left" w:pos="709"/>
          <w:tab w:val="left" w:pos="1418"/>
        </w:tabs>
        <w:ind w:left="567"/>
      </w:pPr>
    </w:p>
    <w:p w:rsidR="00122E77" w:rsidRPr="00122E77" w:rsidRDefault="00122E77" w:rsidP="00122E77">
      <w:pPr>
        <w:ind w:left="567"/>
      </w:pPr>
      <w:r w:rsidRPr="00122E77">
        <w:t>6.2.3</w:t>
      </w:r>
      <w:r w:rsidRPr="00122E77">
        <w:tab/>
        <w:t>Further explanation of the presentation of states of expression and notes is provided in document TGP/7 “Development of Test Guidelines”.</w:t>
      </w:r>
    </w:p>
    <w:p w:rsidR="00122E77" w:rsidRPr="00122E77" w:rsidRDefault="00122E77" w:rsidP="00122E77">
      <w:pPr>
        <w:ind w:left="567"/>
      </w:pPr>
    </w:p>
    <w:p w:rsidR="00122E77" w:rsidRPr="00122E77" w:rsidRDefault="00122E77" w:rsidP="00122E77">
      <w:pPr>
        <w:ind w:left="567"/>
      </w:pPr>
    </w:p>
    <w:p w:rsidR="00122E77" w:rsidRPr="00122E77" w:rsidRDefault="00122E77" w:rsidP="00122E77">
      <w:pPr>
        <w:ind w:left="567"/>
        <w:rPr>
          <w:u w:val="single"/>
        </w:rPr>
      </w:pPr>
      <w:r w:rsidRPr="00122E77">
        <w:rPr>
          <w:u w:val="single"/>
        </w:rPr>
        <w:t>Extract of ANNEX 3:  GUIDANCE NOTES (GN)</w:t>
      </w:r>
    </w:p>
    <w:p w:rsidR="00122E77" w:rsidRPr="00122E77" w:rsidRDefault="00122E77" w:rsidP="00122E77">
      <w:pPr>
        <w:ind w:left="567"/>
      </w:pPr>
    </w:p>
    <w:p w:rsidR="00122E77" w:rsidRPr="00122E77" w:rsidRDefault="00122E77" w:rsidP="00122E77">
      <w:pPr>
        <w:tabs>
          <w:tab w:val="left" w:pos="1276"/>
        </w:tabs>
        <w:ind w:left="567"/>
        <w:rPr>
          <w:u w:val="single"/>
        </w:rPr>
      </w:pPr>
      <w:r w:rsidRPr="00122E77">
        <w:rPr>
          <w:u w:val="single"/>
        </w:rPr>
        <w:t>GN 20</w:t>
      </w:r>
      <w:r w:rsidRPr="00122E77">
        <w:rPr>
          <w:u w:val="single"/>
        </w:rPr>
        <w:tab/>
        <w:t>(Chapter 7) – Presentation of characteristics:  States of expression according to type of expression of a characteristic</w:t>
      </w:r>
    </w:p>
    <w:p w:rsidR="00122E77" w:rsidRPr="00122E77" w:rsidRDefault="00122E77" w:rsidP="00122E77">
      <w:pPr>
        <w:ind w:left="567"/>
      </w:pPr>
    </w:p>
    <w:p w:rsidR="00122E77" w:rsidRPr="00122E77" w:rsidRDefault="00122E77" w:rsidP="00122E77">
      <w:pPr>
        <w:ind w:left="567"/>
      </w:pPr>
      <w:r w:rsidRPr="00122E77">
        <w:t>[…]</w:t>
      </w:r>
    </w:p>
    <w:p w:rsidR="00122E77" w:rsidRPr="00122E77" w:rsidRDefault="00122E77" w:rsidP="00122E77">
      <w:pPr>
        <w:ind w:left="567"/>
      </w:pPr>
    </w:p>
    <w:p w:rsidR="00122E77" w:rsidRPr="00122E77" w:rsidRDefault="00122E77" w:rsidP="00122E77">
      <w:pPr>
        <w:ind w:left="567"/>
        <w:rPr>
          <w:i/>
        </w:rPr>
      </w:pPr>
      <w:bookmarkStart w:id="59" w:name="_Toc24250515"/>
      <w:bookmarkStart w:id="60" w:name="_Toc27819250"/>
      <w:bookmarkStart w:id="61" w:name="_Toc27819431"/>
      <w:bookmarkStart w:id="62" w:name="_Toc27819612"/>
      <w:bookmarkStart w:id="63" w:name="_Toc40697296"/>
      <w:r w:rsidRPr="00122E77">
        <w:rPr>
          <w:i/>
        </w:rPr>
        <w:t>3.3</w:t>
      </w:r>
      <w:r w:rsidRPr="00122E77">
        <w:rPr>
          <w:i/>
        </w:rPr>
        <w:tab/>
        <w:t>The “1-9” scale</w:t>
      </w:r>
      <w:bookmarkEnd w:id="59"/>
      <w:bookmarkEnd w:id="60"/>
      <w:bookmarkEnd w:id="61"/>
      <w:bookmarkEnd w:id="62"/>
      <w:bookmarkEnd w:id="63"/>
    </w:p>
    <w:p w:rsidR="00122E77" w:rsidRPr="00122E77" w:rsidRDefault="00122E77" w:rsidP="00122E77">
      <w:pPr>
        <w:ind w:left="567"/>
      </w:pPr>
    </w:p>
    <w:p w:rsidR="00122E77" w:rsidRPr="00122E77" w:rsidRDefault="00122E77" w:rsidP="00122E77">
      <w:pPr>
        <w:ind w:left="1134"/>
        <w:rPr>
          <w:u w:val="single"/>
        </w:rPr>
      </w:pPr>
      <w:bookmarkStart w:id="64" w:name="_Toc24250516"/>
      <w:bookmarkStart w:id="65" w:name="_Toc27819251"/>
      <w:bookmarkStart w:id="66" w:name="_Toc27819432"/>
      <w:bookmarkStart w:id="67" w:name="_Toc27819613"/>
      <w:r w:rsidRPr="00122E77">
        <w:rPr>
          <w:u w:val="single"/>
        </w:rPr>
        <w:t>3.3.1</w:t>
      </w:r>
      <w:r w:rsidRPr="00122E77">
        <w:rPr>
          <w:u w:val="single"/>
        </w:rPr>
        <w:tab/>
        <w:t>Introduction</w:t>
      </w:r>
      <w:bookmarkEnd w:id="64"/>
      <w:bookmarkEnd w:id="65"/>
      <w:bookmarkEnd w:id="66"/>
      <w:bookmarkEnd w:id="67"/>
    </w:p>
    <w:p w:rsidR="00122E77" w:rsidRPr="00122E77" w:rsidRDefault="00122E77" w:rsidP="00122E77">
      <w:pPr>
        <w:ind w:left="567"/>
      </w:pPr>
    </w:p>
    <w:p w:rsidR="00122E77" w:rsidRPr="00122E77" w:rsidRDefault="00122E77" w:rsidP="00122E77">
      <w:pPr>
        <w:ind w:left="567"/>
      </w:pPr>
      <w:r w:rsidRPr="00122E77">
        <w:t>[…]</w:t>
      </w:r>
    </w:p>
    <w:p w:rsidR="00122E77" w:rsidRPr="00122E77" w:rsidRDefault="00122E77" w:rsidP="00122E77">
      <w:pPr>
        <w:ind w:left="567"/>
      </w:pPr>
    </w:p>
    <w:p w:rsidR="00122E77" w:rsidRPr="00122E77" w:rsidRDefault="00122E77" w:rsidP="00122E77">
      <w:pPr>
        <w:ind w:left="567"/>
        <w:rPr>
          <w:strike/>
          <w:highlight w:val="lightGray"/>
        </w:rPr>
      </w:pPr>
      <w:r w:rsidRPr="00122E77">
        <w:rPr>
          <w:strike/>
          <w:highlight w:val="lightGray"/>
        </w:rPr>
        <w:t>3.3.1.3</w:t>
      </w:r>
      <w:r w:rsidRPr="00122E77">
        <w:rPr>
          <w:strike/>
          <w:highlight w:val="lightGray"/>
        </w:rPr>
        <w:tab/>
        <w:t>However, it is not necessary to present all the 9 states in the Table of Characteristics and the following abbreviated versions are, in general, more appropriate:</w:t>
      </w:r>
    </w:p>
    <w:p w:rsidR="00122E77" w:rsidRPr="00122E77" w:rsidRDefault="00122E77" w:rsidP="00122E77">
      <w:pPr>
        <w:ind w:left="567"/>
        <w:rPr>
          <w:strike/>
          <w:highlight w:val="lightGray"/>
        </w:rPr>
      </w:pPr>
    </w:p>
    <w:tbl>
      <w:tblPr>
        <w:tblW w:w="932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810"/>
      </w:tblGrid>
      <w:tr w:rsidR="00122E77" w:rsidRPr="00122E77" w:rsidTr="002C31FA">
        <w:trPr>
          <w:cantSplit/>
        </w:trPr>
        <w:tc>
          <w:tcPr>
            <w:tcW w:w="2552" w:type="dxa"/>
          </w:tcPr>
          <w:p w:rsidR="00122E77" w:rsidRPr="00122E77" w:rsidRDefault="00122E77" w:rsidP="00122E77">
            <w:pPr>
              <w:keepNext/>
              <w:ind w:left="426" w:hanging="426"/>
              <w:rPr>
                <w:b/>
                <w:strike/>
                <w:highlight w:val="lightGray"/>
              </w:rPr>
            </w:pPr>
            <w:r w:rsidRPr="00122E77">
              <w:rPr>
                <w:b/>
                <w:strike/>
                <w:highlight w:val="lightGray"/>
              </w:rPr>
              <w:t>Standard Range</w:t>
            </w:r>
          </w:p>
          <w:p w:rsidR="00122E77" w:rsidRPr="00122E77" w:rsidRDefault="00122E77" w:rsidP="00122E77">
            <w:pPr>
              <w:keepNext/>
              <w:rPr>
                <w:b/>
                <w:strike/>
                <w:highlight w:val="lightGray"/>
              </w:rPr>
            </w:pPr>
            <w:r w:rsidRPr="00122E77">
              <w:rPr>
                <w:b/>
                <w:strike/>
                <w:highlight w:val="lightGray"/>
              </w:rPr>
              <w:t>Version 1</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2552" w:type="dxa"/>
          </w:tcPr>
          <w:p w:rsidR="00122E77" w:rsidRPr="00122E77" w:rsidRDefault="00122E77" w:rsidP="00122E77">
            <w:pPr>
              <w:keepNext/>
              <w:ind w:left="426" w:hanging="426"/>
              <w:rPr>
                <w:b/>
                <w:strike/>
                <w:highlight w:val="lightGray"/>
              </w:rPr>
            </w:pPr>
            <w:r w:rsidRPr="00122E77">
              <w:rPr>
                <w:b/>
                <w:strike/>
                <w:highlight w:val="lightGray"/>
              </w:rPr>
              <w:t>Standard Range</w:t>
            </w:r>
          </w:p>
          <w:p w:rsidR="00122E77" w:rsidRPr="00122E77" w:rsidRDefault="00122E77" w:rsidP="00122E77">
            <w:pPr>
              <w:keepNext/>
              <w:ind w:left="426" w:hanging="426"/>
              <w:rPr>
                <w:strike/>
                <w:highlight w:val="lightGray"/>
              </w:rPr>
            </w:pPr>
            <w:r w:rsidRPr="00122E77">
              <w:rPr>
                <w:b/>
                <w:strike/>
                <w:highlight w:val="lightGray"/>
              </w:rPr>
              <w:t>Version 2</w:t>
            </w:r>
          </w:p>
        </w:tc>
        <w:tc>
          <w:tcPr>
            <w:tcW w:w="141" w:type="dxa"/>
            <w:tcBorders>
              <w:top w:val="nil"/>
              <w:bottom w:val="nil"/>
            </w:tcBorders>
          </w:tcPr>
          <w:p w:rsidR="00122E77" w:rsidRPr="00122E77" w:rsidRDefault="00122E77" w:rsidP="00122E77">
            <w:pPr>
              <w:keepNext/>
              <w:rPr>
                <w:strike/>
                <w:highlight w:val="lightGray"/>
              </w:rPr>
            </w:pPr>
          </w:p>
        </w:tc>
        <w:tc>
          <w:tcPr>
            <w:tcW w:w="1984" w:type="dxa"/>
          </w:tcPr>
          <w:p w:rsidR="00122E77" w:rsidRPr="00122E77" w:rsidRDefault="00122E77" w:rsidP="00122E77">
            <w:pPr>
              <w:keepNext/>
              <w:rPr>
                <w:b/>
                <w:strike/>
                <w:highlight w:val="lightGray"/>
              </w:rPr>
            </w:pPr>
            <w:r w:rsidRPr="00122E77">
              <w:rPr>
                <w:b/>
                <w:strike/>
                <w:highlight w:val="lightGray"/>
              </w:rPr>
              <w:t>Standard Range</w:t>
            </w:r>
          </w:p>
          <w:p w:rsidR="00122E77" w:rsidRPr="00122E77" w:rsidRDefault="00122E77" w:rsidP="00122E77">
            <w:pPr>
              <w:keepNext/>
              <w:rPr>
                <w:strike/>
                <w:highlight w:val="lightGray"/>
              </w:rPr>
            </w:pPr>
            <w:r w:rsidRPr="00122E77">
              <w:rPr>
                <w:b/>
                <w:strike/>
                <w:highlight w:val="lightGray"/>
              </w:rPr>
              <w:t>Version 3</w:t>
            </w:r>
          </w:p>
        </w:tc>
        <w:tc>
          <w:tcPr>
            <w:tcW w:w="142" w:type="dxa"/>
            <w:tcBorders>
              <w:top w:val="nil"/>
              <w:bottom w:val="nil"/>
            </w:tcBorders>
          </w:tcPr>
          <w:p w:rsidR="00122E77" w:rsidRPr="00122E77" w:rsidRDefault="00122E77" w:rsidP="00122E77">
            <w:pPr>
              <w:keepNext/>
              <w:rPr>
                <w:b/>
                <w:strike/>
                <w:highlight w:val="lightGray"/>
              </w:rPr>
            </w:pPr>
          </w:p>
        </w:tc>
        <w:tc>
          <w:tcPr>
            <w:tcW w:w="1810" w:type="dxa"/>
          </w:tcPr>
          <w:p w:rsidR="00122E77" w:rsidRPr="00122E77" w:rsidRDefault="00122E77" w:rsidP="00122E77">
            <w:pPr>
              <w:keepNext/>
              <w:rPr>
                <w:b/>
                <w:strike/>
                <w:highlight w:val="lightGray"/>
              </w:rPr>
            </w:pPr>
            <w:r w:rsidRPr="00122E77">
              <w:rPr>
                <w:b/>
                <w:strike/>
                <w:highlight w:val="lightGray"/>
              </w:rPr>
              <w:t>Standard Range</w:t>
            </w:r>
          </w:p>
          <w:p w:rsidR="00122E77" w:rsidRPr="00122E77" w:rsidRDefault="00122E77" w:rsidP="00122E77">
            <w:pPr>
              <w:keepNext/>
              <w:rPr>
                <w:strike/>
                <w:highlight w:val="lightGray"/>
              </w:rPr>
            </w:pPr>
            <w:r w:rsidRPr="00122E77">
              <w:rPr>
                <w:b/>
                <w:strike/>
                <w:highlight w:val="lightGray"/>
              </w:rPr>
              <w:t>Version 4</w:t>
            </w:r>
          </w:p>
        </w:tc>
      </w:tr>
      <w:tr w:rsidR="00122E77" w:rsidRPr="00122E77" w:rsidTr="002C31FA">
        <w:trPr>
          <w:cantSplit/>
        </w:trPr>
        <w:tc>
          <w:tcPr>
            <w:tcW w:w="2552" w:type="dxa"/>
          </w:tcPr>
          <w:p w:rsidR="00122E77" w:rsidRPr="00122E77" w:rsidRDefault="00122E77" w:rsidP="00122E77">
            <w:pPr>
              <w:keepNext/>
              <w:ind w:left="459" w:hanging="459"/>
              <w:rPr>
                <w:strike/>
                <w:highlight w:val="lightGray"/>
              </w:rPr>
            </w:pPr>
            <w:r w:rsidRPr="00122E77">
              <w:rPr>
                <w:strike/>
                <w:highlight w:val="lightGray"/>
              </w:rPr>
              <w:t>1</w:t>
            </w:r>
            <w:r w:rsidRPr="00122E77">
              <w:rPr>
                <w:strike/>
                <w:highlight w:val="lightGray"/>
              </w:rPr>
              <w:tab/>
              <w:t>very weak</w:t>
            </w:r>
          </w:p>
          <w:p w:rsidR="00122E77" w:rsidRPr="00122E77" w:rsidRDefault="00122E77" w:rsidP="00122E77">
            <w:pPr>
              <w:keepNext/>
              <w:ind w:left="459" w:hanging="459"/>
              <w:rPr>
                <w:strike/>
                <w:highlight w:val="lightGray"/>
              </w:rPr>
            </w:pPr>
            <w:r w:rsidRPr="00122E77">
              <w:rPr>
                <w:strike/>
                <w:highlight w:val="lightGray"/>
              </w:rPr>
              <w:t xml:space="preserve"> (or:</w:t>
            </w:r>
            <w:r w:rsidRPr="00122E77">
              <w:rPr>
                <w:strike/>
                <w:highlight w:val="lightGray"/>
              </w:rPr>
              <w:tab/>
              <w:t>absent or very weak)</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2552" w:type="dxa"/>
          </w:tcPr>
          <w:p w:rsidR="00122E77" w:rsidRPr="00122E77" w:rsidRDefault="00122E77" w:rsidP="00122E77">
            <w:pPr>
              <w:keepNext/>
              <w:ind w:left="459" w:hanging="459"/>
              <w:rPr>
                <w:strike/>
                <w:highlight w:val="lightGray"/>
              </w:rPr>
            </w:pPr>
            <w:r w:rsidRPr="00122E77">
              <w:rPr>
                <w:strike/>
                <w:highlight w:val="lightGray"/>
              </w:rPr>
              <w:t>1</w:t>
            </w:r>
            <w:r w:rsidRPr="00122E77">
              <w:rPr>
                <w:strike/>
                <w:highlight w:val="lightGray"/>
              </w:rPr>
              <w:tab/>
              <w:t>very weak</w:t>
            </w:r>
          </w:p>
          <w:p w:rsidR="00122E77" w:rsidRPr="00122E77" w:rsidRDefault="00122E77" w:rsidP="00122E77">
            <w:pPr>
              <w:keepNext/>
              <w:ind w:left="459" w:hanging="459"/>
              <w:rPr>
                <w:strike/>
                <w:highlight w:val="lightGray"/>
              </w:rPr>
            </w:pPr>
            <w:r w:rsidRPr="00122E77">
              <w:rPr>
                <w:strike/>
                <w:highlight w:val="lightGray"/>
              </w:rPr>
              <w:t xml:space="preserve"> (or:</w:t>
            </w:r>
            <w:r w:rsidRPr="00122E77">
              <w:rPr>
                <w:strike/>
                <w:highlight w:val="lightGray"/>
              </w:rPr>
              <w:tab/>
              <w:t>absent or very weak)</w:t>
            </w:r>
          </w:p>
        </w:tc>
        <w:tc>
          <w:tcPr>
            <w:tcW w:w="141" w:type="dxa"/>
            <w:tcBorders>
              <w:top w:val="nil"/>
              <w:bottom w:val="nil"/>
            </w:tcBorders>
          </w:tcPr>
          <w:p w:rsidR="00122E77" w:rsidRPr="00122E77" w:rsidRDefault="00122E77" w:rsidP="00122E77">
            <w:pPr>
              <w:keepNext/>
              <w:rPr>
                <w:strike/>
                <w:highlight w:val="lightGray"/>
              </w:rPr>
            </w:pPr>
          </w:p>
        </w:tc>
        <w:tc>
          <w:tcPr>
            <w:tcW w:w="1984" w:type="dxa"/>
          </w:tcPr>
          <w:p w:rsidR="00122E77" w:rsidRPr="00122E77" w:rsidRDefault="00122E77" w:rsidP="00122E77">
            <w:pPr>
              <w:keepNext/>
              <w:rPr>
                <w:strike/>
                <w:highlight w:val="lightGray"/>
              </w:rPr>
            </w:pPr>
            <w:r w:rsidRPr="00122E77">
              <w:rPr>
                <w:strike/>
                <w:highlight w:val="lightGray"/>
              </w:rPr>
              <w:t>-</w:t>
            </w:r>
          </w:p>
        </w:tc>
        <w:tc>
          <w:tcPr>
            <w:tcW w:w="142" w:type="dxa"/>
            <w:tcBorders>
              <w:top w:val="nil"/>
              <w:bottom w:val="nil"/>
            </w:tcBorders>
          </w:tcPr>
          <w:p w:rsidR="00122E77" w:rsidRPr="00122E77" w:rsidRDefault="00122E77" w:rsidP="00122E77">
            <w:pPr>
              <w:keepNext/>
              <w:rPr>
                <w:strike/>
                <w:highlight w:val="lightGray"/>
              </w:rPr>
            </w:pPr>
          </w:p>
        </w:tc>
        <w:tc>
          <w:tcPr>
            <w:tcW w:w="1810" w:type="dxa"/>
          </w:tcPr>
          <w:p w:rsidR="00122E77" w:rsidRPr="00122E77" w:rsidRDefault="00122E77" w:rsidP="00122E77">
            <w:pPr>
              <w:keepNext/>
              <w:rPr>
                <w:strike/>
                <w:highlight w:val="lightGray"/>
              </w:rPr>
            </w:pPr>
            <w:r w:rsidRPr="00122E77">
              <w:rPr>
                <w:strike/>
                <w:highlight w:val="lightGray"/>
              </w:rPr>
              <w:t>-</w:t>
            </w:r>
          </w:p>
        </w:tc>
      </w:tr>
      <w:tr w:rsidR="00122E77" w:rsidRPr="00122E77" w:rsidTr="002C31FA">
        <w:trPr>
          <w:cantSplit/>
        </w:trPr>
        <w:tc>
          <w:tcPr>
            <w:tcW w:w="2552" w:type="dxa"/>
          </w:tcPr>
          <w:p w:rsidR="00122E77" w:rsidRPr="00122E77" w:rsidRDefault="00122E77" w:rsidP="00122E77">
            <w:pPr>
              <w:keepNext/>
              <w:ind w:left="459" w:hanging="459"/>
              <w:rPr>
                <w:strike/>
                <w:highlight w:val="lightGray"/>
              </w:rPr>
            </w:pPr>
            <w:r w:rsidRPr="00122E77">
              <w:rPr>
                <w:strike/>
                <w:highlight w:val="lightGray"/>
              </w:rPr>
              <w:t>3</w:t>
            </w:r>
            <w:r w:rsidRPr="00122E77">
              <w:rPr>
                <w:strike/>
                <w:highlight w:val="lightGray"/>
              </w:rPr>
              <w:tab/>
              <w:t>weak</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2552" w:type="dxa"/>
          </w:tcPr>
          <w:p w:rsidR="00122E77" w:rsidRPr="00122E77" w:rsidRDefault="00122E77" w:rsidP="00122E77">
            <w:pPr>
              <w:keepNext/>
              <w:ind w:left="459" w:hanging="459"/>
              <w:rPr>
                <w:strike/>
                <w:highlight w:val="lightGray"/>
              </w:rPr>
            </w:pPr>
            <w:r w:rsidRPr="00122E77">
              <w:rPr>
                <w:strike/>
                <w:highlight w:val="lightGray"/>
              </w:rPr>
              <w:t>3</w:t>
            </w:r>
            <w:r w:rsidRPr="00122E77">
              <w:rPr>
                <w:strike/>
                <w:highlight w:val="lightGray"/>
              </w:rPr>
              <w:tab/>
              <w:t>weak</w:t>
            </w:r>
          </w:p>
        </w:tc>
        <w:tc>
          <w:tcPr>
            <w:tcW w:w="141" w:type="dxa"/>
            <w:tcBorders>
              <w:top w:val="nil"/>
              <w:bottom w:val="nil"/>
            </w:tcBorders>
          </w:tcPr>
          <w:p w:rsidR="00122E77" w:rsidRPr="00122E77" w:rsidRDefault="00122E77" w:rsidP="00122E77">
            <w:pPr>
              <w:keepNext/>
              <w:ind w:left="426" w:hanging="426"/>
              <w:rPr>
                <w:strike/>
                <w:highlight w:val="lightGray"/>
              </w:rPr>
            </w:pPr>
          </w:p>
        </w:tc>
        <w:tc>
          <w:tcPr>
            <w:tcW w:w="1984" w:type="dxa"/>
          </w:tcPr>
          <w:p w:rsidR="00122E77" w:rsidRPr="00122E77" w:rsidRDefault="00122E77" w:rsidP="00122E77">
            <w:pPr>
              <w:keepNext/>
              <w:ind w:left="459" w:hanging="459"/>
              <w:rPr>
                <w:strike/>
                <w:highlight w:val="lightGray"/>
              </w:rPr>
            </w:pPr>
            <w:r w:rsidRPr="00122E77">
              <w:rPr>
                <w:strike/>
                <w:highlight w:val="lightGray"/>
              </w:rPr>
              <w:t>3</w:t>
            </w:r>
            <w:r w:rsidRPr="00122E77">
              <w:rPr>
                <w:strike/>
                <w:highlight w:val="lightGray"/>
              </w:rPr>
              <w:tab/>
              <w:t>weak</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1810" w:type="dxa"/>
          </w:tcPr>
          <w:p w:rsidR="00122E77" w:rsidRPr="00122E77" w:rsidRDefault="00122E77" w:rsidP="00122E77">
            <w:pPr>
              <w:keepNext/>
              <w:ind w:left="459" w:hanging="459"/>
              <w:rPr>
                <w:strike/>
                <w:highlight w:val="lightGray"/>
              </w:rPr>
            </w:pPr>
            <w:r w:rsidRPr="00122E77">
              <w:rPr>
                <w:strike/>
                <w:highlight w:val="lightGray"/>
              </w:rPr>
              <w:t>3</w:t>
            </w:r>
            <w:r w:rsidRPr="00122E77">
              <w:rPr>
                <w:strike/>
                <w:highlight w:val="lightGray"/>
              </w:rPr>
              <w:tab/>
              <w:t>weak</w:t>
            </w:r>
          </w:p>
        </w:tc>
      </w:tr>
      <w:tr w:rsidR="00122E77" w:rsidRPr="00122E77" w:rsidTr="002C31FA">
        <w:trPr>
          <w:cantSplit/>
        </w:trPr>
        <w:tc>
          <w:tcPr>
            <w:tcW w:w="2552" w:type="dxa"/>
          </w:tcPr>
          <w:p w:rsidR="00122E77" w:rsidRPr="00122E77" w:rsidRDefault="00122E77" w:rsidP="00122E77">
            <w:pPr>
              <w:keepNext/>
              <w:ind w:left="459" w:hanging="459"/>
              <w:rPr>
                <w:strike/>
                <w:highlight w:val="lightGray"/>
              </w:rPr>
            </w:pPr>
            <w:r w:rsidRPr="00122E77">
              <w:rPr>
                <w:strike/>
                <w:highlight w:val="lightGray"/>
              </w:rPr>
              <w:t>5</w:t>
            </w:r>
            <w:r w:rsidRPr="00122E77">
              <w:rPr>
                <w:strike/>
                <w:highlight w:val="lightGray"/>
              </w:rPr>
              <w:tab/>
              <w:t>medium</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2552" w:type="dxa"/>
          </w:tcPr>
          <w:p w:rsidR="00122E77" w:rsidRPr="00122E77" w:rsidRDefault="00122E77" w:rsidP="00122E77">
            <w:pPr>
              <w:keepNext/>
              <w:ind w:left="459" w:hanging="459"/>
              <w:rPr>
                <w:strike/>
                <w:highlight w:val="lightGray"/>
              </w:rPr>
            </w:pPr>
            <w:r w:rsidRPr="00122E77">
              <w:rPr>
                <w:strike/>
                <w:highlight w:val="lightGray"/>
              </w:rPr>
              <w:t>5</w:t>
            </w:r>
            <w:r w:rsidRPr="00122E77">
              <w:rPr>
                <w:strike/>
                <w:highlight w:val="lightGray"/>
              </w:rPr>
              <w:tab/>
              <w:t>medium</w:t>
            </w:r>
          </w:p>
        </w:tc>
        <w:tc>
          <w:tcPr>
            <w:tcW w:w="141" w:type="dxa"/>
            <w:tcBorders>
              <w:top w:val="nil"/>
              <w:bottom w:val="nil"/>
            </w:tcBorders>
          </w:tcPr>
          <w:p w:rsidR="00122E77" w:rsidRPr="00122E77" w:rsidRDefault="00122E77" w:rsidP="00122E77">
            <w:pPr>
              <w:keepNext/>
              <w:ind w:left="426" w:hanging="426"/>
              <w:rPr>
                <w:strike/>
                <w:highlight w:val="lightGray"/>
              </w:rPr>
            </w:pPr>
          </w:p>
        </w:tc>
        <w:tc>
          <w:tcPr>
            <w:tcW w:w="1984" w:type="dxa"/>
          </w:tcPr>
          <w:p w:rsidR="00122E77" w:rsidRPr="00122E77" w:rsidRDefault="00122E77" w:rsidP="00122E77">
            <w:pPr>
              <w:keepNext/>
              <w:ind w:left="459" w:hanging="459"/>
              <w:rPr>
                <w:strike/>
                <w:highlight w:val="lightGray"/>
              </w:rPr>
            </w:pPr>
            <w:r w:rsidRPr="00122E77">
              <w:rPr>
                <w:strike/>
                <w:highlight w:val="lightGray"/>
              </w:rPr>
              <w:t>5</w:t>
            </w:r>
            <w:r w:rsidRPr="00122E77">
              <w:rPr>
                <w:strike/>
                <w:highlight w:val="lightGray"/>
              </w:rPr>
              <w:tab/>
              <w:t>medium</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1810" w:type="dxa"/>
          </w:tcPr>
          <w:p w:rsidR="00122E77" w:rsidRPr="00122E77" w:rsidRDefault="00122E77" w:rsidP="00122E77">
            <w:pPr>
              <w:keepNext/>
              <w:ind w:left="459" w:hanging="459"/>
              <w:rPr>
                <w:strike/>
                <w:highlight w:val="lightGray"/>
              </w:rPr>
            </w:pPr>
            <w:r w:rsidRPr="00122E77">
              <w:rPr>
                <w:strike/>
                <w:highlight w:val="lightGray"/>
              </w:rPr>
              <w:t>5</w:t>
            </w:r>
            <w:r w:rsidRPr="00122E77">
              <w:rPr>
                <w:strike/>
                <w:highlight w:val="lightGray"/>
              </w:rPr>
              <w:tab/>
              <w:t>medium</w:t>
            </w:r>
          </w:p>
        </w:tc>
      </w:tr>
      <w:tr w:rsidR="00122E77" w:rsidRPr="00122E77" w:rsidTr="002C31FA">
        <w:trPr>
          <w:cantSplit/>
        </w:trPr>
        <w:tc>
          <w:tcPr>
            <w:tcW w:w="2552" w:type="dxa"/>
          </w:tcPr>
          <w:p w:rsidR="00122E77" w:rsidRPr="00122E77" w:rsidRDefault="00122E77" w:rsidP="00122E77">
            <w:pPr>
              <w:keepNext/>
              <w:ind w:left="459" w:hanging="459"/>
              <w:rPr>
                <w:strike/>
                <w:highlight w:val="lightGray"/>
              </w:rPr>
            </w:pPr>
            <w:r w:rsidRPr="00122E77">
              <w:rPr>
                <w:strike/>
                <w:highlight w:val="lightGray"/>
              </w:rPr>
              <w:t>7</w:t>
            </w:r>
            <w:r w:rsidRPr="00122E77">
              <w:rPr>
                <w:strike/>
                <w:highlight w:val="lightGray"/>
              </w:rPr>
              <w:tab/>
              <w:t>strong</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2552" w:type="dxa"/>
          </w:tcPr>
          <w:p w:rsidR="00122E77" w:rsidRPr="00122E77" w:rsidRDefault="00122E77" w:rsidP="00122E77">
            <w:pPr>
              <w:keepNext/>
              <w:ind w:left="459" w:hanging="459"/>
              <w:rPr>
                <w:strike/>
                <w:highlight w:val="lightGray"/>
              </w:rPr>
            </w:pPr>
            <w:r w:rsidRPr="00122E77">
              <w:rPr>
                <w:strike/>
                <w:highlight w:val="lightGray"/>
              </w:rPr>
              <w:t>7</w:t>
            </w:r>
            <w:r w:rsidRPr="00122E77">
              <w:rPr>
                <w:strike/>
                <w:highlight w:val="lightGray"/>
              </w:rPr>
              <w:tab/>
              <w:t>strong</w:t>
            </w:r>
          </w:p>
        </w:tc>
        <w:tc>
          <w:tcPr>
            <w:tcW w:w="141" w:type="dxa"/>
            <w:tcBorders>
              <w:top w:val="nil"/>
              <w:bottom w:val="nil"/>
            </w:tcBorders>
          </w:tcPr>
          <w:p w:rsidR="00122E77" w:rsidRPr="00122E77" w:rsidRDefault="00122E77" w:rsidP="00122E77">
            <w:pPr>
              <w:keepNext/>
              <w:ind w:left="426" w:hanging="426"/>
              <w:rPr>
                <w:strike/>
                <w:highlight w:val="lightGray"/>
              </w:rPr>
            </w:pPr>
          </w:p>
        </w:tc>
        <w:tc>
          <w:tcPr>
            <w:tcW w:w="1984" w:type="dxa"/>
          </w:tcPr>
          <w:p w:rsidR="00122E77" w:rsidRPr="00122E77" w:rsidRDefault="00122E77" w:rsidP="00122E77">
            <w:pPr>
              <w:keepNext/>
              <w:ind w:left="459" w:hanging="459"/>
              <w:rPr>
                <w:strike/>
                <w:highlight w:val="lightGray"/>
              </w:rPr>
            </w:pPr>
            <w:r w:rsidRPr="00122E77">
              <w:rPr>
                <w:strike/>
                <w:highlight w:val="lightGray"/>
              </w:rPr>
              <w:t>7</w:t>
            </w:r>
            <w:r w:rsidRPr="00122E77">
              <w:rPr>
                <w:strike/>
                <w:highlight w:val="lightGray"/>
              </w:rPr>
              <w:tab/>
              <w:t>strong</w:t>
            </w:r>
          </w:p>
        </w:tc>
        <w:tc>
          <w:tcPr>
            <w:tcW w:w="142" w:type="dxa"/>
            <w:tcBorders>
              <w:top w:val="nil"/>
              <w:bottom w:val="nil"/>
            </w:tcBorders>
          </w:tcPr>
          <w:p w:rsidR="00122E77" w:rsidRPr="00122E77" w:rsidRDefault="00122E77" w:rsidP="00122E77">
            <w:pPr>
              <w:keepNext/>
              <w:ind w:left="426" w:hanging="426"/>
              <w:rPr>
                <w:strike/>
                <w:highlight w:val="lightGray"/>
              </w:rPr>
            </w:pPr>
          </w:p>
        </w:tc>
        <w:tc>
          <w:tcPr>
            <w:tcW w:w="1810" w:type="dxa"/>
          </w:tcPr>
          <w:p w:rsidR="00122E77" w:rsidRPr="00122E77" w:rsidRDefault="00122E77" w:rsidP="00122E77">
            <w:pPr>
              <w:keepNext/>
              <w:ind w:left="459" w:hanging="459"/>
              <w:rPr>
                <w:strike/>
                <w:highlight w:val="lightGray"/>
              </w:rPr>
            </w:pPr>
            <w:r w:rsidRPr="00122E77">
              <w:rPr>
                <w:strike/>
                <w:highlight w:val="lightGray"/>
              </w:rPr>
              <w:t>7</w:t>
            </w:r>
            <w:r w:rsidRPr="00122E77">
              <w:rPr>
                <w:strike/>
                <w:highlight w:val="lightGray"/>
              </w:rPr>
              <w:tab/>
              <w:t>strong</w:t>
            </w:r>
          </w:p>
        </w:tc>
      </w:tr>
      <w:tr w:rsidR="00122E77" w:rsidRPr="00122E77" w:rsidTr="002C31FA">
        <w:trPr>
          <w:cantSplit/>
        </w:trPr>
        <w:tc>
          <w:tcPr>
            <w:tcW w:w="2552" w:type="dxa"/>
          </w:tcPr>
          <w:p w:rsidR="00122E77" w:rsidRPr="00122E77" w:rsidRDefault="00122E77" w:rsidP="00122E77">
            <w:pPr>
              <w:ind w:left="459" w:hanging="459"/>
              <w:rPr>
                <w:strike/>
                <w:highlight w:val="lightGray"/>
              </w:rPr>
            </w:pPr>
            <w:r w:rsidRPr="00122E77">
              <w:rPr>
                <w:strike/>
                <w:highlight w:val="lightGray"/>
              </w:rPr>
              <w:t>9</w:t>
            </w:r>
            <w:r w:rsidRPr="00122E77">
              <w:rPr>
                <w:strike/>
                <w:highlight w:val="lightGray"/>
              </w:rPr>
              <w:tab/>
              <w:t>very strong</w:t>
            </w:r>
          </w:p>
        </w:tc>
        <w:tc>
          <w:tcPr>
            <w:tcW w:w="142" w:type="dxa"/>
            <w:tcBorders>
              <w:top w:val="nil"/>
              <w:bottom w:val="nil"/>
            </w:tcBorders>
          </w:tcPr>
          <w:p w:rsidR="00122E77" w:rsidRPr="00122E77" w:rsidRDefault="00122E77" w:rsidP="00122E77">
            <w:pPr>
              <w:rPr>
                <w:strike/>
                <w:highlight w:val="lightGray"/>
              </w:rPr>
            </w:pPr>
          </w:p>
        </w:tc>
        <w:tc>
          <w:tcPr>
            <w:tcW w:w="2552" w:type="dxa"/>
          </w:tcPr>
          <w:p w:rsidR="00122E77" w:rsidRPr="00122E77" w:rsidRDefault="00122E77" w:rsidP="00122E77">
            <w:pPr>
              <w:ind w:left="459" w:hanging="459"/>
              <w:rPr>
                <w:strike/>
                <w:highlight w:val="lightGray"/>
              </w:rPr>
            </w:pPr>
            <w:r w:rsidRPr="00122E77">
              <w:rPr>
                <w:strike/>
                <w:highlight w:val="lightGray"/>
              </w:rPr>
              <w:t>-</w:t>
            </w:r>
          </w:p>
        </w:tc>
        <w:tc>
          <w:tcPr>
            <w:tcW w:w="141" w:type="dxa"/>
            <w:tcBorders>
              <w:top w:val="nil"/>
              <w:bottom w:val="nil"/>
            </w:tcBorders>
          </w:tcPr>
          <w:p w:rsidR="00122E77" w:rsidRPr="00122E77" w:rsidRDefault="00122E77" w:rsidP="00122E77">
            <w:pPr>
              <w:ind w:left="426" w:hanging="426"/>
              <w:rPr>
                <w:strike/>
                <w:highlight w:val="lightGray"/>
              </w:rPr>
            </w:pPr>
          </w:p>
        </w:tc>
        <w:tc>
          <w:tcPr>
            <w:tcW w:w="1984" w:type="dxa"/>
          </w:tcPr>
          <w:p w:rsidR="00122E77" w:rsidRPr="00122E77" w:rsidRDefault="00122E77" w:rsidP="00122E77">
            <w:pPr>
              <w:ind w:left="459" w:hanging="459"/>
              <w:rPr>
                <w:strike/>
                <w:highlight w:val="lightGray"/>
              </w:rPr>
            </w:pPr>
            <w:r w:rsidRPr="00122E77">
              <w:rPr>
                <w:strike/>
                <w:highlight w:val="lightGray"/>
              </w:rPr>
              <w:t>9</w:t>
            </w:r>
            <w:r w:rsidRPr="00122E77">
              <w:rPr>
                <w:strike/>
                <w:highlight w:val="lightGray"/>
              </w:rPr>
              <w:tab/>
              <w:t>very strong</w:t>
            </w:r>
          </w:p>
        </w:tc>
        <w:tc>
          <w:tcPr>
            <w:tcW w:w="142" w:type="dxa"/>
            <w:tcBorders>
              <w:top w:val="nil"/>
              <w:bottom w:val="nil"/>
            </w:tcBorders>
          </w:tcPr>
          <w:p w:rsidR="00122E77" w:rsidRPr="00122E77" w:rsidRDefault="00122E77" w:rsidP="00122E77">
            <w:pPr>
              <w:rPr>
                <w:strike/>
                <w:highlight w:val="lightGray"/>
              </w:rPr>
            </w:pPr>
          </w:p>
        </w:tc>
        <w:tc>
          <w:tcPr>
            <w:tcW w:w="1810" w:type="dxa"/>
          </w:tcPr>
          <w:p w:rsidR="00122E77" w:rsidRPr="00122E77" w:rsidRDefault="00122E77" w:rsidP="00122E77">
            <w:pPr>
              <w:ind w:left="459" w:hanging="459"/>
              <w:rPr>
                <w:strike/>
              </w:rPr>
            </w:pPr>
            <w:r w:rsidRPr="00122E77">
              <w:rPr>
                <w:strike/>
                <w:highlight w:val="lightGray"/>
              </w:rPr>
              <w:t>-</w:t>
            </w:r>
          </w:p>
        </w:tc>
      </w:tr>
    </w:tbl>
    <w:p w:rsidR="00122E77" w:rsidRPr="00122E77" w:rsidRDefault="00122E77" w:rsidP="00122E77">
      <w:pPr>
        <w:ind w:left="567"/>
      </w:pPr>
    </w:p>
    <w:p w:rsidR="00122E77" w:rsidRPr="00122E77" w:rsidRDefault="00122E77" w:rsidP="00122E77">
      <w:pPr>
        <w:ind w:left="567"/>
      </w:pPr>
      <w:r w:rsidRPr="00122E77">
        <w:rPr>
          <w:strike/>
          <w:highlight w:val="lightGray"/>
        </w:rPr>
        <w:t>3.3.1.4</w:t>
      </w:r>
      <w:r w:rsidRPr="00122E77">
        <w:t xml:space="preserve"> </w:t>
      </w:r>
      <w:r w:rsidRPr="00122E77">
        <w:rPr>
          <w:highlight w:val="lightGray"/>
          <w:u w:val="single"/>
        </w:rPr>
        <w:t>3.3.1.3</w:t>
      </w:r>
      <w:r w:rsidRPr="00122E77">
        <w:tab/>
        <w:t>[xxx]</w:t>
      </w:r>
    </w:p>
    <w:p w:rsidR="00122E77" w:rsidRPr="00122E77" w:rsidRDefault="00122E77" w:rsidP="00122E77">
      <w:pPr>
        <w:ind w:left="567"/>
      </w:pPr>
    </w:p>
    <w:p w:rsidR="00122E77" w:rsidRPr="00122E77" w:rsidRDefault="00122E77" w:rsidP="00122E77">
      <w:pPr>
        <w:ind w:left="567"/>
      </w:pPr>
    </w:p>
    <w:p w:rsidR="00122E77" w:rsidRPr="00122E77" w:rsidRDefault="00122E77" w:rsidP="00122E77">
      <w:pPr>
        <w:jc w:val="left"/>
        <w:rPr>
          <w:u w:val="single"/>
        </w:rPr>
      </w:pPr>
      <w:bookmarkStart w:id="68" w:name="_Toc24250517"/>
      <w:bookmarkStart w:id="69" w:name="_Toc27819252"/>
      <w:bookmarkStart w:id="70" w:name="_Toc27819433"/>
      <w:bookmarkStart w:id="71" w:name="_Toc27819614"/>
      <w:r w:rsidRPr="00122E77">
        <w:rPr>
          <w:u w:val="single"/>
        </w:rPr>
        <w:br w:type="page"/>
      </w:r>
    </w:p>
    <w:p w:rsidR="00122E77" w:rsidRPr="00122E77" w:rsidRDefault="00122E77" w:rsidP="00122E77">
      <w:pPr>
        <w:keepNext/>
        <w:ind w:left="1134"/>
        <w:rPr>
          <w:u w:val="single"/>
        </w:rPr>
      </w:pPr>
      <w:r w:rsidRPr="00122E77">
        <w:rPr>
          <w:u w:val="single"/>
        </w:rPr>
        <w:lastRenderedPageBreak/>
        <w:t>3.3.2</w:t>
      </w:r>
      <w:r w:rsidRPr="00122E77">
        <w:rPr>
          <w:u w:val="single"/>
        </w:rPr>
        <w:tab/>
        <w:t>Wording of States</w:t>
      </w:r>
      <w:bookmarkEnd w:id="68"/>
      <w:bookmarkEnd w:id="69"/>
      <w:bookmarkEnd w:id="70"/>
      <w:bookmarkEnd w:id="71"/>
    </w:p>
    <w:p w:rsidR="00122E77" w:rsidRPr="00122E77" w:rsidRDefault="00122E77" w:rsidP="00122E77">
      <w:pPr>
        <w:keepNext/>
        <w:ind w:left="567"/>
      </w:pPr>
    </w:p>
    <w:p w:rsidR="00122E77" w:rsidRPr="00122E77" w:rsidRDefault="00122E77" w:rsidP="00122E77">
      <w:pPr>
        <w:keepNext/>
        <w:ind w:left="567"/>
      </w:pPr>
      <w:r w:rsidRPr="00122E77">
        <w:t>[…]</w:t>
      </w:r>
    </w:p>
    <w:p w:rsidR="00122E77" w:rsidRPr="00122E77" w:rsidRDefault="00122E77" w:rsidP="00122E77">
      <w:pPr>
        <w:keepNext/>
        <w:ind w:left="567"/>
      </w:pPr>
    </w:p>
    <w:p w:rsidR="00122E77" w:rsidRPr="00122E77" w:rsidRDefault="00122E77" w:rsidP="00122E77">
      <w:pPr>
        <w:keepNext/>
        <w:ind w:left="567"/>
      </w:pPr>
      <w:r w:rsidRPr="00122E77">
        <w:t>3.3.2.2.1</w:t>
      </w:r>
      <w:r w:rsidRPr="00122E77">
        <w:tab/>
        <w:t>[xxx]</w:t>
      </w:r>
    </w:p>
    <w:p w:rsidR="00122E77" w:rsidRPr="00122E77" w:rsidRDefault="00122E77" w:rsidP="00122E77">
      <w:pPr>
        <w:keepNext/>
        <w:ind w:left="567"/>
      </w:pPr>
    </w:p>
    <w:tbl>
      <w:tblPr>
        <w:tblW w:w="964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122E77" w:rsidRPr="00122E77" w:rsidTr="002C31FA">
        <w:tc>
          <w:tcPr>
            <w:tcW w:w="567" w:type="dxa"/>
          </w:tcPr>
          <w:p w:rsidR="00122E77" w:rsidRPr="00122E77" w:rsidRDefault="00122E77" w:rsidP="00122E77">
            <w:pPr>
              <w:spacing w:before="40" w:after="40"/>
              <w:rPr>
                <w:rFonts w:cs="Arial"/>
                <w:sz w:val="16"/>
                <w:szCs w:val="16"/>
              </w:rPr>
            </w:pPr>
            <w:r w:rsidRPr="00122E77">
              <w:rPr>
                <w:rFonts w:cs="Arial"/>
                <w:sz w:val="16"/>
                <w:szCs w:val="16"/>
              </w:rPr>
              <w:t>State</w:t>
            </w:r>
          </w:p>
        </w:tc>
        <w:tc>
          <w:tcPr>
            <w:tcW w:w="1791" w:type="dxa"/>
          </w:tcPr>
          <w:p w:rsidR="00122E77" w:rsidRPr="00122E77" w:rsidRDefault="00122E77" w:rsidP="00122E77">
            <w:pPr>
              <w:spacing w:before="40" w:after="40"/>
              <w:rPr>
                <w:rFonts w:cs="Arial"/>
                <w:sz w:val="16"/>
                <w:szCs w:val="16"/>
              </w:rPr>
            </w:pPr>
            <w:r w:rsidRPr="00122E77">
              <w:rPr>
                <w:rFonts w:cs="Arial"/>
                <w:sz w:val="16"/>
                <w:szCs w:val="16"/>
              </w:rPr>
              <w:t>Example 1</w:t>
            </w:r>
          </w:p>
          <w:p w:rsidR="00122E77" w:rsidRPr="00122E77" w:rsidRDefault="00122E77" w:rsidP="00122E77">
            <w:pPr>
              <w:spacing w:before="40" w:after="40"/>
              <w:rPr>
                <w:rFonts w:cs="Arial"/>
                <w:b/>
                <w:sz w:val="16"/>
                <w:szCs w:val="16"/>
              </w:rPr>
            </w:pPr>
            <w:r w:rsidRPr="00122E77">
              <w:rPr>
                <w:rFonts w:cs="Arial"/>
                <w:b/>
                <w:sz w:val="16"/>
                <w:szCs w:val="16"/>
              </w:rPr>
              <w:t>Size relative to:</w:t>
            </w:r>
          </w:p>
        </w:tc>
        <w:tc>
          <w:tcPr>
            <w:tcW w:w="1518" w:type="dxa"/>
          </w:tcPr>
          <w:p w:rsidR="00122E77" w:rsidRPr="00122E77" w:rsidRDefault="00122E77" w:rsidP="00122E77">
            <w:pPr>
              <w:spacing w:before="40" w:after="40"/>
              <w:rPr>
                <w:rFonts w:cs="Arial"/>
                <w:sz w:val="16"/>
                <w:szCs w:val="16"/>
              </w:rPr>
            </w:pPr>
            <w:r w:rsidRPr="00122E77">
              <w:rPr>
                <w:rFonts w:cs="Arial"/>
                <w:sz w:val="16"/>
                <w:szCs w:val="16"/>
              </w:rPr>
              <w:t>Example 2</w:t>
            </w:r>
          </w:p>
          <w:p w:rsidR="00122E77" w:rsidRPr="00122E77" w:rsidRDefault="00122E77" w:rsidP="00122E77">
            <w:pPr>
              <w:spacing w:before="40" w:after="40"/>
              <w:rPr>
                <w:rFonts w:cs="Arial"/>
                <w:b/>
                <w:sz w:val="16"/>
                <w:szCs w:val="16"/>
              </w:rPr>
            </w:pPr>
            <w:r w:rsidRPr="00122E77">
              <w:rPr>
                <w:rFonts w:cs="Arial"/>
                <w:b/>
                <w:sz w:val="16"/>
                <w:szCs w:val="16"/>
              </w:rPr>
              <w:t>Angle:</w:t>
            </w:r>
          </w:p>
        </w:tc>
        <w:tc>
          <w:tcPr>
            <w:tcW w:w="1984" w:type="dxa"/>
          </w:tcPr>
          <w:p w:rsidR="00122E77" w:rsidRPr="00122E77" w:rsidRDefault="00122E77" w:rsidP="00122E77">
            <w:pPr>
              <w:spacing w:before="40" w:after="40"/>
              <w:rPr>
                <w:rFonts w:cs="Arial"/>
                <w:sz w:val="16"/>
                <w:szCs w:val="16"/>
              </w:rPr>
            </w:pPr>
            <w:r w:rsidRPr="00122E77">
              <w:rPr>
                <w:rFonts w:cs="Arial"/>
                <w:sz w:val="16"/>
                <w:szCs w:val="16"/>
              </w:rPr>
              <w:t>Example 3</w:t>
            </w:r>
          </w:p>
          <w:p w:rsidR="00122E77" w:rsidRPr="00122E77" w:rsidRDefault="00122E77" w:rsidP="00122E77">
            <w:pPr>
              <w:spacing w:before="40" w:after="40"/>
              <w:rPr>
                <w:rFonts w:cs="Arial"/>
                <w:b/>
                <w:sz w:val="16"/>
                <w:szCs w:val="16"/>
              </w:rPr>
            </w:pPr>
            <w:r w:rsidRPr="00122E77">
              <w:rPr>
                <w:rFonts w:cs="Arial"/>
                <w:b/>
                <w:sz w:val="16"/>
                <w:szCs w:val="16"/>
              </w:rPr>
              <w:t>Position:</w:t>
            </w:r>
          </w:p>
        </w:tc>
        <w:tc>
          <w:tcPr>
            <w:tcW w:w="1979" w:type="dxa"/>
          </w:tcPr>
          <w:p w:rsidR="00122E77" w:rsidRPr="00122E77" w:rsidRDefault="00122E77" w:rsidP="00122E77">
            <w:pPr>
              <w:spacing w:before="40" w:after="40"/>
              <w:rPr>
                <w:rFonts w:cs="Arial"/>
                <w:sz w:val="16"/>
                <w:szCs w:val="16"/>
              </w:rPr>
            </w:pPr>
            <w:r w:rsidRPr="00122E77">
              <w:rPr>
                <w:rFonts w:cs="Arial"/>
                <w:sz w:val="16"/>
                <w:szCs w:val="16"/>
              </w:rPr>
              <w:t>Example 4</w:t>
            </w:r>
          </w:p>
          <w:p w:rsidR="00122E77" w:rsidRPr="00122E77" w:rsidRDefault="00122E77" w:rsidP="00122E77">
            <w:pPr>
              <w:spacing w:before="40" w:after="40"/>
              <w:rPr>
                <w:rFonts w:cs="Arial"/>
                <w:b/>
                <w:sz w:val="16"/>
                <w:szCs w:val="16"/>
              </w:rPr>
            </w:pPr>
            <w:r w:rsidRPr="00122E77">
              <w:rPr>
                <w:rFonts w:cs="Arial"/>
                <w:b/>
                <w:sz w:val="16"/>
                <w:szCs w:val="16"/>
              </w:rPr>
              <w:t>Length in relation to:</w:t>
            </w:r>
          </w:p>
        </w:tc>
        <w:tc>
          <w:tcPr>
            <w:tcW w:w="1801" w:type="dxa"/>
          </w:tcPr>
          <w:p w:rsidR="00122E77" w:rsidRPr="00122E77" w:rsidRDefault="00122E77" w:rsidP="00122E77">
            <w:pPr>
              <w:spacing w:before="40" w:after="40"/>
              <w:rPr>
                <w:rFonts w:cs="Arial"/>
                <w:sz w:val="16"/>
                <w:szCs w:val="16"/>
              </w:rPr>
            </w:pPr>
            <w:r w:rsidRPr="00122E77">
              <w:rPr>
                <w:rFonts w:cs="Arial"/>
                <w:sz w:val="16"/>
                <w:szCs w:val="16"/>
              </w:rPr>
              <w:t>Example 5</w:t>
            </w:r>
          </w:p>
          <w:p w:rsidR="00122E77" w:rsidRPr="00122E77" w:rsidRDefault="00122E77" w:rsidP="00122E77">
            <w:pPr>
              <w:spacing w:before="40" w:after="40"/>
              <w:rPr>
                <w:rFonts w:cs="Arial"/>
                <w:b/>
                <w:sz w:val="16"/>
                <w:szCs w:val="16"/>
              </w:rPr>
            </w:pPr>
            <w:r w:rsidRPr="00122E77">
              <w:rPr>
                <w:rFonts w:cs="Arial"/>
                <w:b/>
                <w:sz w:val="16"/>
                <w:szCs w:val="16"/>
              </w:rPr>
              <w:t>Profile:</w:t>
            </w:r>
          </w:p>
        </w:tc>
      </w:tr>
      <w:tr w:rsidR="00122E77" w:rsidRPr="00122E77" w:rsidTr="002C31FA">
        <w:tc>
          <w:tcPr>
            <w:tcW w:w="567" w:type="dxa"/>
          </w:tcPr>
          <w:p w:rsidR="00122E77" w:rsidRPr="00122E77" w:rsidRDefault="00122E77" w:rsidP="00122E77">
            <w:pPr>
              <w:spacing w:before="40" w:after="40"/>
              <w:rPr>
                <w:rFonts w:cs="Arial"/>
                <w:sz w:val="16"/>
                <w:szCs w:val="16"/>
              </w:rPr>
            </w:pPr>
            <w:r w:rsidRPr="00122E77">
              <w:rPr>
                <w:rFonts w:cs="Arial"/>
                <w:sz w:val="16"/>
                <w:szCs w:val="16"/>
              </w:rPr>
              <w:t>1</w:t>
            </w:r>
          </w:p>
        </w:tc>
        <w:tc>
          <w:tcPr>
            <w:tcW w:w="1791" w:type="dxa"/>
          </w:tcPr>
          <w:p w:rsidR="00122E77" w:rsidRPr="00122E77" w:rsidRDefault="00122E77" w:rsidP="00122E77">
            <w:pPr>
              <w:spacing w:before="40" w:after="40"/>
              <w:jc w:val="left"/>
              <w:rPr>
                <w:rFonts w:cs="Arial"/>
                <w:sz w:val="16"/>
                <w:szCs w:val="16"/>
              </w:rPr>
            </w:pPr>
            <w:r w:rsidRPr="00122E77">
              <w:rPr>
                <w:rFonts w:cs="Arial"/>
                <w:sz w:val="16"/>
                <w:szCs w:val="16"/>
              </w:rPr>
              <w:t>much smaller</w:t>
            </w:r>
          </w:p>
        </w:tc>
        <w:tc>
          <w:tcPr>
            <w:tcW w:w="1518" w:type="dxa"/>
          </w:tcPr>
          <w:p w:rsidR="00122E77" w:rsidRPr="00122E77" w:rsidRDefault="00122E77" w:rsidP="00122E77">
            <w:pPr>
              <w:spacing w:before="40" w:after="40"/>
              <w:jc w:val="left"/>
              <w:rPr>
                <w:rFonts w:cs="Arial"/>
                <w:sz w:val="16"/>
                <w:szCs w:val="16"/>
              </w:rPr>
            </w:pPr>
            <w:r w:rsidRPr="00122E77">
              <w:rPr>
                <w:rFonts w:cs="Arial"/>
                <w:sz w:val="16"/>
                <w:szCs w:val="16"/>
              </w:rPr>
              <w:t>very acute</w:t>
            </w:r>
          </w:p>
        </w:tc>
        <w:tc>
          <w:tcPr>
            <w:tcW w:w="1984" w:type="dxa"/>
          </w:tcPr>
          <w:p w:rsidR="00122E77" w:rsidRPr="00122E77" w:rsidRDefault="00122E77" w:rsidP="00122E77">
            <w:pPr>
              <w:spacing w:before="40" w:after="40"/>
              <w:jc w:val="left"/>
              <w:rPr>
                <w:rFonts w:cs="Arial"/>
                <w:sz w:val="16"/>
                <w:szCs w:val="16"/>
              </w:rPr>
            </w:pPr>
            <w:r w:rsidRPr="00122E77">
              <w:rPr>
                <w:rFonts w:cs="Arial"/>
                <w:sz w:val="16"/>
                <w:szCs w:val="16"/>
              </w:rPr>
              <w:t>at base</w:t>
            </w:r>
          </w:p>
        </w:tc>
        <w:tc>
          <w:tcPr>
            <w:tcW w:w="1979" w:type="dxa"/>
          </w:tcPr>
          <w:p w:rsidR="00122E77" w:rsidRPr="00122E77" w:rsidRDefault="00122E77" w:rsidP="00122E77">
            <w:pPr>
              <w:spacing w:before="40" w:after="40"/>
              <w:jc w:val="left"/>
              <w:rPr>
                <w:rFonts w:cs="Arial"/>
                <w:sz w:val="16"/>
                <w:szCs w:val="16"/>
              </w:rPr>
            </w:pPr>
            <w:r w:rsidRPr="00122E77">
              <w:rPr>
                <w:rFonts w:cs="Arial"/>
                <w:sz w:val="16"/>
                <w:szCs w:val="16"/>
              </w:rPr>
              <w:t>equal</w:t>
            </w:r>
          </w:p>
        </w:tc>
        <w:tc>
          <w:tcPr>
            <w:tcW w:w="1801" w:type="dxa"/>
          </w:tcPr>
          <w:p w:rsidR="00122E77" w:rsidRPr="00122E77" w:rsidRDefault="00122E77" w:rsidP="00122E77">
            <w:pPr>
              <w:spacing w:before="40" w:after="40"/>
              <w:jc w:val="left"/>
              <w:rPr>
                <w:rFonts w:cs="Arial"/>
                <w:sz w:val="16"/>
                <w:szCs w:val="16"/>
              </w:rPr>
            </w:pPr>
            <w:r w:rsidRPr="00122E77">
              <w:rPr>
                <w:rFonts w:cs="Arial"/>
                <w:sz w:val="16"/>
                <w:szCs w:val="16"/>
              </w:rPr>
              <w:t>strongly concave</w:t>
            </w:r>
          </w:p>
        </w:tc>
      </w:tr>
      <w:tr w:rsidR="00122E77" w:rsidRPr="00122E77" w:rsidTr="002C31FA">
        <w:tc>
          <w:tcPr>
            <w:tcW w:w="567" w:type="dxa"/>
          </w:tcPr>
          <w:p w:rsidR="00122E77" w:rsidRPr="00122E77" w:rsidRDefault="00122E77" w:rsidP="00122E77">
            <w:pPr>
              <w:spacing w:before="40" w:after="40"/>
              <w:rPr>
                <w:rFonts w:cs="Arial"/>
                <w:sz w:val="16"/>
                <w:szCs w:val="16"/>
                <w:highlight w:val="lightGray"/>
                <w:u w:val="single"/>
              </w:rPr>
            </w:pPr>
            <w:r w:rsidRPr="00122E77">
              <w:rPr>
                <w:rFonts w:cs="Arial"/>
                <w:sz w:val="16"/>
                <w:szCs w:val="16"/>
                <w:highlight w:val="lightGray"/>
                <w:u w:val="single"/>
              </w:rPr>
              <w:t>2</w:t>
            </w:r>
          </w:p>
        </w:tc>
        <w:tc>
          <w:tcPr>
            <w:tcW w:w="1791"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much smaller to moderately smaller</w:t>
            </w:r>
          </w:p>
        </w:tc>
        <w:tc>
          <w:tcPr>
            <w:tcW w:w="1518"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very acute to moderately acute</w:t>
            </w:r>
          </w:p>
        </w:tc>
        <w:tc>
          <w:tcPr>
            <w:tcW w:w="1984"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at base to one quarter from base</w:t>
            </w:r>
          </w:p>
        </w:tc>
        <w:tc>
          <w:tcPr>
            <w:tcW w:w="1979"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equal to slightly shorter</w:t>
            </w:r>
          </w:p>
        </w:tc>
        <w:tc>
          <w:tcPr>
            <w:tcW w:w="1801" w:type="dxa"/>
          </w:tcPr>
          <w:p w:rsidR="00122E77" w:rsidRPr="00122E77" w:rsidRDefault="00122E77" w:rsidP="00122E77">
            <w:pPr>
              <w:spacing w:before="40" w:after="40"/>
              <w:jc w:val="left"/>
              <w:rPr>
                <w:rFonts w:cs="Arial"/>
                <w:sz w:val="16"/>
                <w:szCs w:val="16"/>
                <w:u w:val="single"/>
              </w:rPr>
            </w:pPr>
            <w:r w:rsidRPr="00122E77">
              <w:rPr>
                <w:rFonts w:cs="Arial"/>
                <w:sz w:val="16"/>
                <w:szCs w:val="16"/>
                <w:highlight w:val="lightGray"/>
                <w:u w:val="single"/>
              </w:rPr>
              <w:t>strongly concave to moderately concave</w:t>
            </w:r>
          </w:p>
        </w:tc>
      </w:tr>
      <w:tr w:rsidR="00122E77" w:rsidRPr="00122E77" w:rsidTr="002C31FA">
        <w:tc>
          <w:tcPr>
            <w:tcW w:w="567" w:type="dxa"/>
          </w:tcPr>
          <w:p w:rsidR="00122E77" w:rsidRPr="00122E77" w:rsidRDefault="00122E77" w:rsidP="00122E77">
            <w:pPr>
              <w:spacing w:before="40" w:after="40"/>
              <w:rPr>
                <w:rFonts w:cs="Arial"/>
                <w:sz w:val="16"/>
                <w:szCs w:val="16"/>
              </w:rPr>
            </w:pPr>
            <w:r w:rsidRPr="00122E77">
              <w:rPr>
                <w:rFonts w:cs="Arial"/>
                <w:sz w:val="16"/>
                <w:szCs w:val="16"/>
              </w:rPr>
              <w:t>3</w:t>
            </w:r>
          </w:p>
        </w:tc>
        <w:tc>
          <w:tcPr>
            <w:tcW w:w="1791" w:type="dxa"/>
          </w:tcPr>
          <w:p w:rsidR="00122E77" w:rsidRPr="00122E77" w:rsidRDefault="00122E77" w:rsidP="00122E77">
            <w:pPr>
              <w:spacing w:before="40" w:after="40"/>
              <w:jc w:val="left"/>
              <w:rPr>
                <w:rFonts w:cs="Arial"/>
                <w:sz w:val="16"/>
                <w:szCs w:val="16"/>
              </w:rPr>
            </w:pPr>
            <w:r w:rsidRPr="00122E77">
              <w:rPr>
                <w:rFonts w:cs="Arial"/>
                <w:sz w:val="16"/>
                <w:szCs w:val="16"/>
              </w:rPr>
              <w:t>moderately smaller</w:t>
            </w:r>
          </w:p>
        </w:tc>
        <w:tc>
          <w:tcPr>
            <w:tcW w:w="1518" w:type="dxa"/>
          </w:tcPr>
          <w:p w:rsidR="00122E77" w:rsidRPr="00122E77" w:rsidRDefault="00122E77" w:rsidP="00122E77">
            <w:pPr>
              <w:spacing w:before="40" w:after="40"/>
              <w:jc w:val="left"/>
              <w:rPr>
                <w:rFonts w:cs="Arial"/>
                <w:sz w:val="16"/>
                <w:szCs w:val="16"/>
              </w:rPr>
            </w:pPr>
            <w:r w:rsidRPr="00122E77">
              <w:rPr>
                <w:rFonts w:cs="Arial"/>
                <w:sz w:val="16"/>
                <w:szCs w:val="16"/>
              </w:rPr>
              <w:t>moderately acute</w:t>
            </w:r>
          </w:p>
        </w:tc>
        <w:tc>
          <w:tcPr>
            <w:tcW w:w="1984" w:type="dxa"/>
          </w:tcPr>
          <w:p w:rsidR="00122E77" w:rsidRPr="00122E77" w:rsidRDefault="00122E77" w:rsidP="00122E77">
            <w:pPr>
              <w:spacing w:before="40" w:after="40"/>
              <w:jc w:val="left"/>
              <w:rPr>
                <w:rFonts w:cs="Arial"/>
                <w:sz w:val="16"/>
                <w:szCs w:val="16"/>
              </w:rPr>
            </w:pPr>
            <w:r w:rsidRPr="00122E77">
              <w:rPr>
                <w:rFonts w:cs="Arial"/>
                <w:sz w:val="16"/>
                <w:szCs w:val="16"/>
              </w:rPr>
              <w:t>one quarter from base</w:t>
            </w:r>
          </w:p>
        </w:tc>
        <w:tc>
          <w:tcPr>
            <w:tcW w:w="1979" w:type="dxa"/>
          </w:tcPr>
          <w:p w:rsidR="00122E77" w:rsidRPr="00122E77" w:rsidRDefault="00122E77" w:rsidP="00122E77">
            <w:pPr>
              <w:spacing w:before="40" w:after="40"/>
              <w:jc w:val="left"/>
              <w:rPr>
                <w:rFonts w:cs="Arial"/>
                <w:sz w:val="16"/>
                <w:szCs w:val="16"/>
              </w:rPr>
            </w:pPr>
            <w:r w:rsidRPr="00122E77">
              <w:rPr>
                <w:rFonts w:cs="Arial"/>
                <w:sz w:val="16"/>
                <w:szCs w:val="16"/>
              </w:rPr>
              <w:t>slightly shorter</w:t>
            </w:r>
          </w:p>
        </w:tc>
        <w:tc>
          <w:tcPr>
            <w:tcW w:w="1801" w:type="dxa"/>
          </w:tcPr>
          <w:p w:rsidR="00122E77" w:rsidRPr="00122E77" w:rsidRDefault="00122E77" w:rsidP="00122E77">
            <w:pPr>
              <w:spacing w:before="40" w:after="40"/>
              <w:jc w:val="left"/>
              <w:rPr>
                <w:rFonts w:cs="Arial"/>
                <w:sz w:val="16"/>
                <w:szCs w:val="16"/>
              </w:rPr>
            </w:pPr>
            <w:r w:rsidRPr="00122E77">
              <w:rPr>
                <w:rFonts w:cs="Arial"/>
                <w:sz w:val="16"/>
                <w:szCs w:val="16"/>
              </w:rPr>
              <w:t>moderately concave</w:t>
            </w:r>
          </w:p>
        </w:tc>
      </w:tr>
      <w:tr w:rsidR="00122E77" w:rsidRPr="00122E77" w:rsidTr="002C31FA">
        <w:tc>
          <w:tcPr>
            <w:tcW w:w="567" w:type="dxa"/>
          </w:tcPr>
          <w:p w:rsidR="00122E77" w:rsidRPr="00122E77" w:rsidRDefault="00122E77" w:rsidP="00122E77">
            <w:pPr>
              <w:spacing w:before="40" w:after="40"/>
              <w:rPr>
                <w:rFonts w:cs="Arial"/>
                <w:sz w:val="16"/>
                <w:szCs w:val="16"/>
                <w:highlight w:val="lightGray"/>
                <w:u w:val="single"/>
              </w:rPr>
            </w:pPr>
            <w:r w:rsidRPr="00122E77">
              <w:rPr>
                <w:rFonts w:cs="Arial"/>
                <w:sz w:val="16"/>
                <w:szCs w:val="16"/>
                <w:highlight w:val="lightGray"/>
                <w:u w:val="single"/>
              </w:rPr>
              <w:t>4</w:t>
            </w:r>
          </w:p>
        </w:tc>
        <w:tc>
          <w:tcPr>
            <w:tcW w:w="1791"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moderately smaller to same size</w:t>
            </w:r>
          </w:p>
        </w:tc>
        <w:tc>
          <w:tcPr>
            <w:tcW w:w="1518"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moderately acute to right angle</w:t>
            </w:r>
          </w:p>
        </w:tc>
        <w:tc>
          <w:tcPr>
            <w:tcW w:w="1984"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one quarter from base to in middle</w:t>
            </w:r>
          </w:p>
        </w:tc>
        <w:tc>
          <w:tcPr>
            <w:tcW w:w="1979"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slightly shorter to moderately shorter</w:t>
            </w:r>
          </w:p>
        </w:tc>
        <w:tc>
          <w:tcPr>
            <w:tcW w:w="1801" w:type="dxa"/>
          </w:tcPr>
          <w:p w:rsidR="00122E77" w:rsidRPr="00122E77" w:rsidRDefault="00122E77" w:rsidP="00122E77">
            <w:pPr>
              <w:spacing w:before="40" w:after="40"/>
              <w:jc w:val="left"/>
              <w:rPr>
                <w:rFonts w:cs="Arial"/>
                <w:sz w:val="16"/>
                <w:szCs w:val="16"/>
                <w:u w:val="single"/>
              </w:rPr>
            </w:pPr>
            <w:r w:rsidRPr="00122E77">
              <w:rPr>
                <w:rFonts w:cs="Arial"/>
                <w:sz w:val="16"/>
                <w:szCs w:val="16"/>
                <w:highlight w:val="lightGray"/>
                <w:u w:val="single"/>
              </w:rPr>
              <w:t>moderately concave to flat</w:t>
            </w:r>
          </w:p>
        </w:tc>
      </w:tr>
      <w:tr w:rsidR="00122E77" w:rsidRPr="00122E77" w:rsidTr="002C31FA">
        <w:tc>
          <w:tcPr>
            <w:tcW w:w="567" w:type="dxa"/>
          </w:tcPr>
          <w:p w:rsidR="00122E77" w:rsidRPr="00122E77" w:rsidRDefault="00122E77" w:rsidP="00122E77">
            <w:pPr>
              <w:spacing w:before="40" w:after="40"/>
              <w:rPr>
                <w:rFonts w:cs="Arial"/>
                <w:sz w:val="16"/>
                <w:szCs w:val="16"/>
              </w:rPr>
            </w:pPr>
            <w:r w:rsidRPr="00122E77">
              <w:rPr>
                <w:rFonts w:cs="Arial"/>
                <w:sz w:val="16"/>
                <w:szCs w:val="16"/>
              </w:rPr>
              <w:t>5</w:t>
            </w:r>
          </w:p>
        </w:tc>
        <w:tc>
          <w:tcPr>
            <w:tcW w:w="1791" w:type="dxa"/>
          </w:tcPr>
          <w:p w:rsidR="00122E77" w:rsidRPr="00122E77" w:rsidRDefault="00122E77" w:rsidP="00122E77">
            <w:pPr>
              <w:spacing w:before="40" w:after="40"/>
              <w:jc w:val="left"/>
              <w:rPr>
                <w:rFonts w:cs="Arial"/>
                <w:sz w:val="16"/>
                <w:szCs w:val="16"/>
              </w:rPr>
            </w:pPr>
            <w:r w:rsidRPr="00122E77">
              <w:rPr>
                <w:rFonts w:cs="Arial"/>
                <w:sz w:val="16"/>
                <w:szCs w:val="16"/>
              </w:rPr>
              <w:t>same size</w:t>
            </w:r>
          </w:p>
        </w:tc>
        <w:tc>
          <w:tcPr>
            <w:tcW w:w="1518" w:type="dxa"/>
          </w:tcPr>
          <w:p w:rsidR="00122E77" w:rsidRPr="00122E77" w:rsidRDefault="00122E77" w:rsidP="00122E77">
            <w:pPr>
              <w:spacing w:before="40" w:after="40"/>
              <w:jc w:val="left"/>
              <w:rPr>
                <w:rFonts w:cs="Arial"/>
                <w:sz w:val="16"/>
                <w:szCs w:val="16"/>
              </w:rPr>
            </w:pPr>
            <w:r w:rsidRPr="00122E77">
              <w:rPr>
                <w:rFonts w:cs="Arial"/>
                <w:sz w:val="16"/>
                <w:szCs w:val="16"/>
              </w:rPr>
              <w:t>right angle</w:t>
            </w:r>
          </w:p>
        </w:tc>
        <w:tc>
          <w:tcPr>
            <w:tcW w:w="1984" w:type="dxa"/>
          </w:tcPr>
          <w:p w:rsidR="00122E77" w:rsidRPr="00122E77" w:rsidRDefault="00122E77" w:rsidP="00122E77">
            <w:pPr>
              <w:spacing w:before="40" w:after="40"/>
              <w:jc w:val="left"/>
              <w:rPr>
                <w:rFonts w:cs="Arial"/>
                <w:sz w:val="16"/>
                <w:szCs w:val="16"/>
              </w:rPr>
            </w:pPr>
            <w:r w:rsidRPr="00122E77">
              <w:rPr>
                <w:rFonts w:cs="Arial"/>
                <w:sz w:val="16"/>
                <w:szCs w:val="16"/>
              </w:rPr>
              <w:t>in middle</w:t>
            </w:r>
          </w:p>
        </w:tc>
        <w:tc>
          <w:tcPr>
            <w:tcW w:w="1979" w:type="dxa"/>
          </w:tcPr>
          <w:p w:rsidR="00122E77" w:rsidRPr="00122E77" w:rsidRDefault="00122E77" w:rsidP="00122E77">
            <w:pPr>
              <w:spacing w:before="40" w:after="40"/>
              <w:jc w:val="left"/>
              <w:rPr>
                <w:rFonts w:cs="Arial"/>
                <w:sz w:val="16"/>
                <w:szCs w:val="16"/>
              </w:rPr>
            </w:pPr>
            <w:r w:rsidRPr="00122E77">
              <w:rPr>
                <w:rFonts w:cs="Arial"/>
                <w:sz w:val="16"/>
                <w:szCs w:val="16"/>
              </w:rPr>
              <w:t>moderately shorter</w:t>
            </w:r>
          </w:p>
        </w:tc>
        <w:tc>
          <w:tcPr>
            <w:tcW w:w="1801" w:type="dxa"/>
          </w:tcPr>
          <w:p w:rsidR="00122E77" w:rsidRPr="00122E77" w:rsidRDefault="00122E77" w:rsidP="00122E77">
            <w:pPr>
              <w:spacing w:before="40" w:after="40"/>
              <w:jc w:val="left"/>
              <w:rPr>
                <w:rFonts w:cs="Arial"/>
                <w:sz w:val="16"/>
                <w:szCs w:val="16"/>
              </w:rPr>
            </w:pPr>
            <w:r w:rsidRPr="00122E77">
              <w:rPr>
                <w:rFonts w:cs="Arial"/>
                <w:sz w:val="16"/>
                <w:szCs w:val="16"/>
              </w:rPr>
              <w:t>flat</w:t>
            </w:r>
          </w:p>
        </w:tc>
      </w:tr>
      <w:tr w:rsidR="00122E77" w:rsidRPr="00122E77" w:rsidTr="002C31FA">
        <w:tc>
          <w:tcPr>
            <w:tcW w:w="567" w:type="dxa"/>
          </w:tcPr>
          <w:p w:rsidR="00122E77" w:rsidRPr="00122E77" w:rsidRDefault="00122E77" w:rsidP="00122E77">
            <w:pPr>
              <w:spacing w:before="40" w:after="40"/>
              <w:rPr>
                <w:rFonts w:cs="Arial"/>
                <w:sz w:val="16"/>
                <w:szCs w:val="16"/>
                <w:highlight w:val="lightGray"/>
                <w:u w:val="single"/>
              </w:rPr>
            </w:pPr>
            <w:r w:rsidRPr="00122E77">
              <w:rPr>
                <w:rFonts w:cs="Arial"/>
                <w:sz w:val="16"/>
                <w:szCs w:val="16"/>
                <w:highlight w:val="lightGray"/>
                <w:u w:val="single"/>
              </w:rPr>
              <w:t>6</w:t>
            </w:r>
          </w:p>
        </w:tc>
        <w:tc>
          <w:tcPr>
            <w:tcW w:w="1791"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same size to moderately larger</w:t>
            </w:r>
          </w:p>
        </w:tc>
        <w:tc>
          <w:tcPr>
            <w:tcW w:w="1518"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right angle to moderately obtuse</w:t>
            </w:r>
          </w:p>
        </w:tc>
        <w:tc>
          <w:tcPr>
            <w:tcW w:w="1984"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in middle to one quarter from apex end</w:t>
            </w:r>
          </w:p>
        </w:tc>
        <w:tc>
          <w:tcPr>
            <w:tcW w:w="1979"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moderately shorter to much shorter</w:t>
            </w:r>
          </w:p>
        </w:tc>
        <w:tc>
          <w:tcPr>
            <w:tcW w:w="1801" w:type="dxa"/>
          </w:tcPr>
          <w:p w:rsidR="00122E77" w:rsidRPr="00122E77" w:rsidRDefault="00122E77" w:rsidP="00122E77">
            <w:pPr>
              <w:spacing w:before="40" w:after="40"/>
              <w:jc w:val="left"/>
              <w:rPr>
                <w:rFonts w:cs="Arial"/>
                <w:noProof/>
                <w:sz w:val="16"/>
                <w:szCs w:val="16"/>
                <w:u w:val="single"/>
                <w:lang w:bidi="th-TH"/>
              </w:rPr>
            </w:pPr>
            <w:r w:rsidRPr="00122E77">
              <w:rPr>
                <w:rFonts w:cs="Arial"/>
                <w:noProof/>
                <w:sz w:val="16"/>
                <w:szCs w:val="16"/>
                <w:highlight w:val="lightGray"/>
                <w:u w:val="single"/>
                <w:lang w:bidi="th-TH"/>
              </w:rPr>
              <w:t>flat to moderately convex</w:t>
            </w:r>
          </w:p>
        </w:tc>
      </w:tr>
      <w:tr w:rsidR="00122E77" w:rsidRPr="00122E77" w:rsidTr="002C31FA">
        <w:tc>
          <w:tcPr>
            <w:tcW w:w="567" w:type="dxa"/>
          </w:tcPr>
          <w:p w:rsidR="00122E77" w:rsidRPr="00122E77" w:rsidRDefault="00122E77" w:rsidP="00122E77">
            <w:pPr>
              <w:spacing w:before="40" w:after="40"/>
              <w:rPr>
                <w:rFonts w:cs="Arial"/>
                <w:sz w:val="16"/>
                <w:szCs w:val="16"/>
              </w:rPr>
            </w:pPr>
            <w:r w:rsidRPr="00122E77">
              <w:rPr>
                <w:rFonts w:cs="Arial"/>
                <w:sz w:val="16"/>
                <w:szCs w:val="16"/>
              </w:rPr>
              <w:t>7</w:t>
            </w:r>
          </w:p>
        </w:tc>
        <w:tc>
          <w:tcPr>
            <w:tcW w:w="1791" w:type="dxa"/>
          </w:tcPr>
          <w:p w:rsidR="00122E77" w:rsidRPr="00122E77" w:rsidRDefault="00122E77" w:rsidP="00122E77">
            <w:pPr>
              <w:spacing w:before="40" w:after="40"/>
              <w:jc w:val="left"/>
              <w:rPr>
                <w:rFonts w:cs="Arial"/>
                <w:sz w:val="16"/>
                <w:szCs w:val="16"/>
              </w:rPr>
            </w:pPr>
            <w:r w:rsidRPr="00122E77">
              <w:rPr>
                <w:rFonts w:cs="Arial"/>
                <w:sz w:val="16"/>
                <w:szCs w:val="16"/>
              </w:rPr>
              <w:t>moderately larger</w:t>
            </w:r>
          </w:p>
        </w:tc>
        <w:tc>
          <w:tcPr>
            <w:tcW w:w="1518" w:type="dxa"/>
          </w:tcPr>
          <w:p w:rsidR="00122E77" w:rsidRPr="00122E77" w:rsidRDefault="00122E77" w:rsidP="00122E77">
            <w:pPr>
              <w:spacing w:before="40" w:after="40"/>
              <w:jc w:val="left"/>
              <w:rPr>
                <w:rFonts w:cs="Arial"/>
                <w:sz w:val="16"/>
                <w:szCs w:val="16"/>
              </w:rPr>
            </w:pPr>
            <w:r w:rsidRPr="00122E77">
              <w:rPr>
                <w:rFonts w:cs="Arial"/>
                <w:sz w:val="16"/>
                <w:szCs w:val="16"/>
              </w:rPr>
              <w:t>moderately obtuse</w:t>
            </w:r>
          </w:p>
        </w:tc>
        <w:tc>
          <w:tcPr>
            <w:tcW w:w="1984" w:type="dxa"/>
          </w:tcPr>
          <w:p w:rsidR="00122E77" w:rsidRPr="00122E77" w:rsidRDefault="00122E77" w:rsidP="00122E77">
            <w:pPr>
              <w:spacing w:before="40" w:after="40"/>
              <w:jc w:val="left"/>
              <w:rPr>
                <w:rFonts w:cs="Arial"/>
                <w:sz w:val="16"/>
                <w:szCs w:val="16"/>
              </w:rPr>
            </w:pPr>
            <w:r w:rsidRPr="00122E77">
              <w:rPr>
                <w:rFonts w:cs="Arial"/>
                <w:sz w:val="16"/>
                <w:szCs w:val="16"/>
              </w:rPr>
              <w:t>one quarter from apex end</w:t>
            </w:r>
          </w:p>
        </w:tc>
        <w:tc>
          <w:tcPr>
            <w:tcW w:w="1979" w:type="dxa"/>
          </w:tcPr>
          <w:p w:rsidR="00122E77" w:rsidRPr="00122E77" w:rsidRDefault="00122E77" w:rsidP="00122E77">
            <w:pPr>
              <w:spacing w:before="40" w:after="40"/>
              <w:jc w:val="left"/>
              <w:rPr>
                <w:rFonts w:cs="Arial"/>
                <w:sz w:val="16"/>
                <w:szCs w:val="16"/>
              </w:rPr>
            </w:pPr>
            <w:r w:rsidRPr="00122E77">
              <w:rPr>
                <w:rFonts w:cs="Arial"/>
                <w:sz w:val="16"/>
                <w:szCs w:val="16"/>
              </w:rPr>
              <w:t>much shorter</w:t>
            </w:r>
          </w:p>
        </w:tc>
        <w:tc>
          <w:tcPr>
            <w:tcW w:w="1801" w:type="dxa"/>
          </w:tcPr>
          <w:p w:rsidR="00122E77" w:rsidRPr="00122E77" w:rsidRDefault="00122E77" w:rsidP="00122E77">
            <w:pPr>
              <w:spacing w:before="40" w:after="40"/>
              <w:jc w:val="left"/>
              <w:rPr>
                <w:rFonts w:cs="Arial"/>
                <w:noProof/>
                <w:sz w:val="16"/>
                <w:szCs w:val="16"/>
                <w:lang w:bidi="th-TH"/>
              </w:rPr>
            </w:pPr>
            <w:r w:rsidRPr="00122E77">
              <w:rPr>
                <w:rFonts w:cs="Arial"/>
                <w:noProof/>
                <w:sz w:val="16"/>
                <w:szCs w:val="16"/>
                <w:lang w:bidi="th-TH"/>
              </w:rPr>
              <w:t>moderately convex</w:t>
            </w:r>
          </w:p>
        </w:tc>
      </w:tr>
      <w:tr w:rsidR="00122E77" w:rsidRPr="00122E77" w:rsidTr="002C31FA">
        <w:tc>
          <w:tcPr>
            <w:tcW w:w="567" w:type="dxa"/>
          </w:tcPr>
          <w:p w:rsidR="00122E77" w:rsidRPr="00122E77" w:rsidRDefault="00122E77" w:rsidP="00122E77">
            <w:pPr>
              <w:spacing w:before="40" w:after="40"/>
              <w:rPr>
                <w:rFonts w:cs="Arial"/>
                <w:sz w:val="16"/>
                <w:szCs w:val="16"/>
                <w:highlight w:val="lightGray"/>
                <w:u w:val="single"/>
              </w:rPr>
            </w:pPr>
            <w:r w:rsidRPr="00122E77">
              <w:rPr>
                <w:rFonts w:cs="Arial"/>
                <w:sz w:val="16"/>
                <w:szCs w:val="16"/>
                <w:highlight w:val="lightGray"/>
                <w:u w:val="single"/>
              </w:rPr>
              <w:t>8</w:t>
            </w:r>
          </w:p>
        </w:tc>
        <w:tc>
          <w:tcPr>
            <w:tcW w:w="1791"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moderately larger to much larger</w:t>
            </w:r>
          </w:p>
        </w:tc>
        <w:tc>
          <w:tcPr>
            <w:tcW w:w="1518"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moderately obtuse to very obtuse</w:t>
            </w:r>
          </w:p>
        </w:tc>
        <w:tc>
          <w:tcPr>
            <w:tcW w:w="1984"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one quarter from apex end to at apex</w:t>
            </w:r>
          </w:p>
        </w:tc>
        <w:tc>
          <w:tcPr>
            <w:tcW w:w="1979" w:type="dxa"/>
          </w:tcPr>
          <w:p w:rsidR="00122E77" w:rsidRPr="00122E77" w:rsidRDefault="00122E77" w:rsidP="00122E77">
            <w:pPr>
              <w:spacing w:before="40" w:after="40"/>
              <w:jc w:val="left"/>
              <w:rPr>
                <w:rFonts w:cs="Arial"/>
                <w:sz w:val="16"/>
                <w:szCs w:val="16"/>
                <w:highlight w:val="lightGray"/>
                <w:u w:val="single"/>
              </w:rPr>
            </w:pPr>
            <w:r w:rsidRPr="00122E77">
              <w:rPr>
                <w:rFonts w:cs="Arial"/>
                <w:sz w:val="16"/>
                <w:szCs w:val="16"/>
                <w:highlight w:val="lightGray"/>
                <w:u w:val="single"/>
              </w:rPr>
              <w:t>much shorter to very much shorter</w:t>
            </w:r>
          </w:p>
        </w:tc>
        <w:tc>
          <w:tcPr>
            <w:tcW w:w="1801" w:type="dxa"/>
          </w:tcPr>
          <w:p w:rsidR="00122E77" w:rsidRPr="00122E77" w:rsidRDefault="00122E77" w:rsidP="00122E77">
            <w:pPr>
              <w:spacing w:before="40" w:after="40"/>
              <w:jc w:val="left"/>
              <w:rPr>
                <w:rFonts w:cs="Arial"/>
                <w:noProof/>
                <w:sz w:val="16"/>
                <w:szCs w:val="16"/>
                <w:u w:val="single"/>
                <w:lang w:bidi="th-TH"/>
              </w:rPr>
            </w:pPr>
            <w:r w:rsidRPr="00122E77">
              <w:rPr>
                <w:rFonts w:cs="Arial"/>
                <w:noProof/>
                <w:sz w:val="16"/>
                <w:szCs w:val="16"/>
                <w:highlight w:val="lightGray"/>
                <w:u w:val="single"/>
                <w:lang w:bidi="th-TH"/>
              </w:rPr>
              <w:t>moderately convex to strongly convex</w:t>
            </w:r>
          </w:p>
        </w:tc>
      </w:tr>
      <w:tr w:rsidR="00122E77" w:rsidRPr="00122E77" w:rsidTr="002C31FA">
        <w:tc>
          <w:tcPr>
            <w:tcW w:w="567" w:type="dxa"/>
          </w:tcPr>
          <w:p w:rsidR="00122E77" w:rsidRPr="00122E77" w:rsidRDefault="00122E77" w:rsidP="00122E77">
            <w:pPr>
              <w:spacing w:before="40" w:after="40"/>
              <w:rPr>
                <w:rFonts w:cs="Arial"/>
                <w:sz w:val="16"/>
                <w:szCs w:val="16"/>
              </w:rPr>
            </w:pPr>
            <w:r w:rsidRPr="00122E77">
              <w:rPr>
                <w:rFonts w:cs="Arial"/>
                <w:sz w:val="16"/>
                <w:szCs w:val="16"/>
              </w:rPr>
              <w:t>9</w:t>
            </w:r>
          </w:p>
        </w:tc>
        <w:tc>
          <w:tcPr>
            <w:tcW w:w="1791" w:type="dxa"/>
          </w:tcPr>
          <w:p w:rsidR="00122E77" w:rsidRPr="00122E77" w:rsidRDefault="00122E77" w:rsidP="00122E77">
            <w:pPr>
              <w:spacing w:before="40" w:after="40"/>
              <w:jc w:val="left"/>
              <w:rPr>
                <w:rFonts w:cs="Arial"/>
                <w:sz w:val="16"/>
                <w:szCs w:val="16"/>
              </w:rPr>
            </w:pPr>
            <w:r w:rsidRPr="00122E77">
              <w:rPr>
                <w:rFonts w:cs="Arial"/>
                <w:sz w:val="16"/>
                <w:szCs w:val="16"/>
              </w:rPr>
              <w:t>much larger</w:t>
            </w:r>
          </w:p>
        </w:tc>
        <w:tc>
          <w:tcPr>
            <w:tcW w:w="1518" w:type="dxa"/>
          </w:tcPr>
          <w:p w:rsidR="00122E77" w:rsidRPr="00122E77" w:rsidRDefault="00122E77" w:rsidP="00122E77">
            <w:pPr>
              <w:spacing w:before="40" w:after="40"/>
              <w:jc w:val="left"/>
              <w:rPr>
                <w:rFonts w:cs="Arial"/>
                <w:sz w:val="16"/>
                <w:szCs w:val="16"/>
              </w:rPr>
            </w:pPr>
            <w:r w:rsidRPr="00122E77">
              <w:rPr>
                <w:rFonts w:cs="Arial"/>
                <w:sz w:val="16"/>
                <w:szCs w:val="16"/>
              </w:rPr>
              <w:t>very obtuse</w:t>
            </w:r>
          </w:p>
        </w:tc>
        <w:tc>
          <w:tcPr>
            <w:tcW w:w="1984" w:type="dxa"/>
          </w:tcPr>
          <w:p w:rsidR="00122E77" w:rsidRPr="00122E77" w:rsidRDefault="00122E77" w:rsidP="00122E77">
            <w:pPr>
              <w:spacing w:before="40" w:after="40"/>
              <w:jc w:val="left"/>
              <w:rPr>
                <w:rFonts w:cs="Arial"/>
                <w:sz w:val="16"/>
                <w:szCs w:val="16"/>
              </w:rPr>
            </w:pPr>
            <w:r w:rsidRPr="00122E77">
              <w:rPr>
                <w:rFonts w:cs="Arial"/>
                <w:sz w:val="16"/>
                <w:szCs w:val="16"/>
              </w:rPr>
              <w:t>at apex</w:t>
            </w:r>
          </w:p>
        </w:tc>
        <w:tc>
          <w:tcPr>
            <w:tcW w:w="1979" w:type="dxa"/>
          </w:tcPr>
          <w:p w:rsidR="00122E77" w:rsidRPr="00122E77" w:rsidRDefault="00122E77" w:rsidP="00122E77">
            <w:pPr>
              <w:spacing w:before="40" w:after="40"/>
              <w:jc w:val="left"/>
              <w:rPr>
                <w:rFonts w:cs="Arial"/>
                <w:sz w:val="16"/>
                <w:szCs w:val="16"/>
              </w:rPr>
            </w:pPr>
            <w:r w:rsidRPr="00122E77">
              <w:rPr>
                <w:rFonts w:cs="Arial"/>
                <w:sz w:val="16"/>
                <w:szCs w:val="16"/>
              </w:rPr>
              <w:t>very much shorter</w:t>
            </w:r>
          </w:p>
        </w:tc>
        <w:tc>
          <w:tcPr>
            <w:tcW w:w="1801" w:type="dxa"/>
          </w:tcPr>
          <w:p w:rsidR="00122E77" w:rsidRPr="00122E77" w:rsidRDefault="00122E77" w:rsidP="00122E77">
            <w:pPr>
              <w:spacing w:before="40" w:after="40"/>
              <w:jc w:val="left"/>
              <w:rPr>
                <w:rFonts w:cs="Arial"/>
                <w:sz w:val="16"/>
                <w:szCs w:val="16"/>
              </w:rPr>
            </w:pPr>
            <w:r w:rsidRPr="00122E77">
              <w:rPr>
                <w:rFonts w:cs="Arial"/>
                <w:sz w:val="16"/>
                <w:szCs w:val="16"/>
              </w:rPr>
              <w:t>strongly convex</w:t>
            </w:r>
          </w:p>
        </w:tc>
      </w:tr>
    </w:tbl>
    <w:p w:rsidR="00122E77" w:rsidRPr="00122E77" w:rsidRDefault="00122E77" w:rsidP="00122E77">
      <w:pPr>
        <w:ind w:left="567"/>
      </w:pPr>
    </w:p>
    <w:p w:rsidR="00122E77" w:rsidRPr="00122E77" w:rsidRDefault="00122E77" w:rsidP="00122E77">
      <w:pPr>
        <w:ind w:left="567"/>
      </w:pPr>
    </w:p>
    <w:p w:rsidR="00122E77" w:rsidRPr="00122E77" w:rsidRDefault="00122E77" w:rsidP="00122E77">
      <w:pPr>
        <w:ind w:left="567"/>
        <w:rPr>
          <w:i/>
        </w:rPr>
      </w:pPr>
      <w:bookmarkStart w:id="72" w:name="_Toc226858801"/>
      <w:bookmarkStart w:id="73" w:name="_Toc40697297"/>
      <w:r w:rsidRPr="00122E77">
        <w:rPr>
          <w:i/>
        </w:rPr>
        <w:t>3.4</w:t>
      </w:r>
      <w:r w:rsidRPr="00122E77">
        <w:rPr>
          <w:i/>
        </w:rPr>
        <w:tab/>
        <w:t>“Limited” range 1-5 scale</w:t>
      </w:r>
      <w:bookmarkEnd w:id="72"/>
      <w:bookmarkEnd w:id="73"/>
    </w:p>
    <w:p w:rsidR="00122E77" w:rsidRPr="00122E77" w:rsidRDefault="00122E77" w:rsidP="00122E77">
      <w:pPr>
        <w:ind w:left="567"/>
      </w:pPr>
    </w:p>
    <w:p w:rsidR="00122E77" w:rsidRPr="00122E77" w:rsidRDefault="00122E77" w:rsidP="00122E77">
      <w:pPr>
        <w:ind w:left="567"/>
      </w:pPr>
      <w:r w:rsidRPr="00122E77">
        <w:t>The 1-5 scale is often used where the range of expression of a characteristic is physically limited at both ends and it is not appropriate to divide the expression into more than three intermediate states.  For example:</w:t>
      </w:r>
    </w:p>
    <w:p w:rsidR="00122E77" w:rsidRPr="00122E77" w:rsidRDefault="00122E77" w:rsidP="00122E77">
      <w:pPr>
        <w:ind w:left="567"/>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122E77" w:rsidRPr="00122E77" w:rsidTr="002C31FA">
        <w:trPr>
          <w:jc w:val="center"/>
        </w:trPr>
        <w:tc>
          <w:tcPr>
            <w:tcW w:w="851" w:type="dxa"/>
          </w:tcPr>
          <w:p w:rsidR="00122E77" w:rsidRPr="00122E77" w:rsidRDefault="00122E77" w:rsidP="00122E77">
            <w:pPr>
              <w:spacing w:before="40" w:after="40"/>
              <w:jc w:val="left"/>
              <w:rPr>
                <w:sz w:val="18"/>
              </w:rPr>
            </w:pPr>
            <w:r w:rsidRPr="00122E77">
              <w:rPr>
                <w:sz w:val="18"/>
              </w:rPr>
              <w:t>State</w:t>
            </w:r>
          </w:p>
        </w:tc>
        <w:tc>
          <w:tcPr>
            <w:tcW w:w="2552" w:type="dxa"/>
            <w:tcBorders>
              <w:right w:val="single" w:sz="4" w:space="0" w:color="auto"/>
            </w:tcBorders>
          </w:tcPr>
          <w:p w:rsidR="00122E77" w:rsidRPr="00122E77" w:rsidRDefault="00122E77" w:rsidP="00122E77">
            <w:pPr>
              <w:spacing w:before="40" w:after="40"/>
              <w:jc w:val="left"/>
              <w:rPr>
                <w:sz w:val="18"/>
              </w:rPr>
            </w:pPr>
            <w:r w:rsidRPr="00122E77">
              <w:rPr>
                <w:sz w:val="18"/>
              </w:rPr>
              <w:t>Example 1</w:t>
            </w:r>
          </w:p>
          <w:p w:rsidR="00122E77" w:rsidRPr="00122E77" w:rsidRDefault="00122E77" w:rsidP="00122E77">
            <w:pPr>
              <w:spacing w:before="40" w:after="40"/>
              <w:jc w:val="left"/>
              <w:rPr>
                <w:b/>
                <w:sz w:val="18"/>
              </w:rPr>
            </w:pPr>
            <w:r w:rsidRPr="00122E77">
              <w:rPr>
                <w:b/>
                <w:sz w:val="18"/>
              </w:rPr>
              <w:t>Stem:  attitude</w:t>
            </w:r>
          </w:p>
        </w:tc>
      </w:tr>
      <w:tr w:rsidR="00122E77" w:rsidRPr="00122E77" w:rsidTr="002C31FA">
        <w:trPr>
          <w:jc w:val="center"/>
        </w:trPr>
        <w:tc>
          <w:tcPr>
            <w:tcW w:w="851" w:type="dxa"/>
          </w:tcPr>
          <w:p w:rsidR="00122E77" w:rsidRPr="00122E77" w:rsidRDefault="00122E77" w:rsidP="00122E77">
            <w:pPr>
              <w:spacing w:before="40" w:after="40"/>
              <w:jc w:val="left"/>
              <w:rPr>
                <w:sz w:val="18"/>
              </w:rPr>
            </w:pPr>
            <w:r w:rsidRPr="00122E77">
              <w:rPr>
                <w:sz w:val="18"/>
              </w:rPr>
              <w:t>1</w:t>
            </w:r>
          </w:p>
        </w:tc>
        <w:tc>
          <w:tcPr>
            <w:tcW w:w="2552" w:type="dxa"/>
            <w:tcBorders>
              <w:right w:val="single" w:sz="4" w:space="0" w:color="auto"/>
            </w:tcBorders>
          </w:tcPr>
          <w:p w:rsidR="00122E77" w:rsidRPr="00122E77" w:rsidRDefault="00122E77" w:rsidP="00122E77">
            <w:pPr>
              <w:spacing w:before="40" w:after="40"/>
              <w:ind w:left="113"/>
              <w:jc w:val="left"/>
              <w:rPr>
                <w:sz w:val="18"/>
              </w:rPr>
            </w:pPr>
            <w:r w:rsidRPr="00122E77">
              <w:rPr>
                <w:sz w:val="18"/>
              </w:rPr>
              <w:t>erect</w:t>
            </w:r>
          </w:p>
        </w:tc>
      </w:tr>
      <w:tr w:rsidR="00122E77" w:rsidRPr="00122E77" w:rsidTr="002C31FA">
        <w:trPr>
          <w:jc w:val="center"/>
        </w:trPr>
        <w:tc>
          <w:tcPr>
            <w:tcW w:w="851" w:type="dxa"/>
          </w:tcPr>
          <w:p w:rsidR="00122E77" w:rsidRPr="00122E77" w:rsidRDefault="00122E77" w:rsidP="00122E77">
            <w:pPr>
              <w:spacing w:before="40" w:after="40"/>
              <w:jc w:val="left"/>
              <w:rPr>
                <w:sz w:val="18"/>
                <w:highlight w:val="lightGray"/>
                <w:u w:val="single"/>
              </w:rPr>
            </w:pPr>
            <w:r w:rsidRPr="00122E77">
              <w:rPr>
                <w:sz w:val="18"/>
                <w:highlight w:val="lightGray"/>
                <w:u w:val="single"/>
              </w:rPr>
              <w:t>2</w:t>
            </w:r>
          </w:p>
        </w:tc>
        <w:tc>
          <w:tcPr>
            <w:tcW w:w="2552" w:type="dxa"/>
            <w:tcBorders>
              <w:right w:val="single" w:sz="4" w:space="0" w:color="auto"/>
            </w:tcBorders>
          </w:tcPr>
          <w:p w:rsidR="00122E77" w:rsidRPr="00122E77" w:rsidRDefault="00122E77" w:rsidP="00122E77">
            <w:pPr>
              <w:spacing w:before="40" w:after="40"/>
              <w:ind w:left="113"/>
              <w:jc w:val="left"/>
              <w:rPr>
                <w:sz w:val="18"/>
                <w:u w:val="single"/>
              </w:rPr>
            </w:pPr>
            <w:r w:rsidRPr="00122E77">
              <w:rPr>
                <w:sz w:val="18"/>
                <w:highlight w:val="lightGray"/>
                <w:u w:val="single"/>
              </w:rPr>
              <w:t>erect to semi-erect</w:t>
            </w:r>
          </w:p>
        </w:tc>
      </w:tr>
      <w:tr w:rsidR="00122E77" w:rsidRPr="00122E77" w:rsidTr="002C31FA">
        <w:trPr>
          <w:jc w:val="center"/>
        </w:trPr>
        <w:tc>
          <w:tcPr>
            <w:tcW w:w="851" w:type="dxa"/>
          </w:tcPr>
          <w:p w:rsidR="00122E77" w:rsidRPr="00122E77" w:rsidRDefault="00122E77" w:rsidP="00122E77">
            <w:pPr>
              <w:spacing w:before="40" w:after="40"/>
              <w:jc w:val="left"/>
              <w:rPr>
                <w:sz w:val="18"/>
              </w:rPr>
            </w:pPr>
            <w:r w:rsidRPr="00122E77">
              <w:rPr>
                <w:sz w:val="18"/>
              </w:rPr>
              <w:t>3</w:t>
            </w:r>
          </w:p>
        </w:tc>
        <w:tc>
          <w:tcPr>
            <w:tcW w:w="2552" w:type="dxa"/>
            <w:tcBorders>
              <w:right w:val="single" w:sz="4" w:space="0" w:color="auto"/>
            </w:tcBorders>
          </w:tcPr>
          <w:p w:rsidR="00122E77" w:rsidRPr="00122E77" w:rsidRDefault="00122E77" w:rsidP="00122E77">
            <w:pPr>
              <w:spacing w:before="40" w:after="40"/>
              <w:ind w:left="113"/>
              <w:jc w:val="left"/>
              <w:rPr>
                <w:sz w:val="18"/>
              </w:rPr>
            </w:pPr>
            <w:r w:rsidRPr="00122E77">
              <w:rPr>
                <w:sz w:val="18"/>
              </w:rPr>
              <w:t xml:space="preserve">semi-erect </w:t>
            </w:r>
          </w:p>
        </w:tc>
      </w:tr>
      <w:tr w:rsidR="00122E77" w:rsidRPr="00122E77" w:rsidTr="002C31FA">
        <w:trPr>
          <w:jc w:val="center"/>
        </w:trPr>
        <w:tc>
          <w:tcPr>
            <w:tcW w:w="851" w:type="dxa"/>
          </w:tcPr>
          <w:p w:rsidR="00122E77" w:rsidRPr="00122E77" w:rsidRDefault="00122E77" w:rsidP="00122E77">
            <w:pPr>
              <w:spacing w:before="40" w:after="40"/>
              <w:jc w:val="left"/>
              <w:rPr>
                <w:sz w:val="18"/>
                <w:highlight w:val="lightGray"/>
                <w:u w:val="single"/>
              </w:rPr>
            </w:pPr>
            <w:r w:rsidRPr="00122E77">
              <w:rPr>
                <w:sz w:val="18"/>
                <w:highlight w:val="lightGray"/>
                <w:u w:val="single"/>
              </w:rPr>
              <w:t>4</w:t>
            </w:r>
          </w:p>
        </w:tc>
        <w:tc>
          <w:tcPr>
            <w:tcW w:w="2552" w:type="dxa"/>
            <w:tcBorders>
              <w:right w:val="single" w:sz="4" w:space="0" w:color="auto"/>
            </w:tcBorders>
          </w:tcPr>
          <w:p w:rsidR="00122E77" w:rsidRPr="00122E77" w:rsidRDefault="00122E77" w:rsidP="00122E77">
            <w:pPr>
              <w:spacing w:before="40" w:after="40"/>
              <w:ind w:left="113"/>
              <w:jc w:val="left"/>
              <w:rPr>
                <w:sz w:val="18"/>
                <w:u w:val="single"/>
              </w:rPr>
            </w:pPr>
            <w:r w:rsidRPr="00122E77">
              <w:rPr>
                <w:sz w:val="18"/>
                <w:highlight w:val="lightGray"/>
                <w:u w:val="single"/>
              </w:rPr>
              <w:t>semi-erect to prostrate</w:t>
            </w:r>
          </w:p>
        </w:tc>
      </w:tr>
      <w:tr w:rsidR="00122E77" w:rsidRPr="00122E77" w:rsidTr="002C31FA">
        <w:trPr>
          <w:jc w:val="center"/>
        </w:trPr>
        <w:tc>
          <w:tcPr>
            <w:tcW w:w="851" w:type="dxa"/>
          </w:tcPr>
          <w:p w:rsidR="00122E77" w:rsidRPr="00122E77" w:rsidRDefault="00122E77" w:rsidP="00122E77">
            <w:pPr>
              <w:spacing w:before="40" w:after="40"/>
              <w:jc w:val="left"/>
              <w:rPr>
                <w:sz w:val="18"/>
              </w:rPr>
            </w:pPr>
            <w:r w:rsidRPr="00122E77">
              <w:rPr>
                <w:sz w:val="18"/>
              </w:rPr>
              <w:t>5</w:t>
            </w:r>
          </w:p>
        </w:tc>
        <w:tc>
          <w:tcPr>
            <w:tcW w:w="2552" w:type="dxa"/>
            <w:tcBorders>
              <w:right w:val="single" w:sz="4" w:space="0" w:color="auto"/>
            </w:tcBorders>
          </w:tcPr>
          <w:p w:rsidR="00122E77" w:rsidRPr="00122E77" w:rsidRDefault="00122E77" w:rsidP="00122E77">
            <w:pPr>
              <w:spacing w:before="40" w:after="40"/>
              <w:ind w:left="113"/>
              <w:jc w:val="left"/>
              <w:rPr>
                <w:sz w:val="18"/>
              </w:rPr>
            </w:pPr>
            <w:r w:rsidRPr="00122E77">
              <w:rPr>
                <w:sz w:val="18"/>
              </w:rPr>
              <w:t>prostrate</w:t>
            </w:r>
          </w:p>
        </w:tc>
      </w:tr>
    </w:tbl>
    <w:p w:rsidR="00122E77" w:rsidRPr="00122E77" w:rsidRDefault="00122E77" w:rsidP="00122E77">
      <w:pPr>
        <w:ind w:left="567"/>
        <w:jc w:val="left"/>
      </w:pPr>
    </w:p>
    <w:p w:rsidR="00122E77" w:rsidRPr="00122E77" w:rsidRDefault="00122E77" w:rsidP="00122E77">
      <w:pPr>
        <w:ind w:left="567"/>
      </w:pPr>
      <w:r w:rsidRPr="00122E77">
        <w:t>The wording for states 2 and 4 is formulated in the same way as for the even states in the 1</w:t>
      </w:r>
      <w:r w:rsidRPr="00122E77">
        <w:noBreakHyphen/>
        <w:t>9 scale (see Section 3.3.2.1.2).</w:t>
      </w:r>
    </w:p>
    <w:p w:rsidR="00122E77" w:rsidRPr="00122E77" w:rsidRDefault="00122E77" w:rsidP="00122E77">
      <w:pPr>
        <w:ind w:left="567"/>
      </w:pPr>
    </w:p>
    <w:p w:rsidR="00122E77" w:rsidRPr="00122E77" w:rsidRDefault="00122E77" w:rsidP="00122E77">
      <w:pPr>
        <w:ind w:left="567"/>
      </w:pPr>
    </w:p>
    <w:p w:rsidR="00122E77" w:rsidRPr="00122E77" w:rsidRDefault="00122E77" w:rsidP="00122E77">
      <w:pPr>
        <w:ind w:left="567"/>
        <w:rPr>
          <w:u w:val="single"/>
        </w:rPr>
      </w:pPr>
      <w:r w:rsidRPr="00122E77">
        <w:rPr>
          <w:u w:val="single"/>
        </w:rPr>
        <w:t>GN 25</w:t>
      </w:r>
      <w:r w:rsidRPr="00122E77">
        <w:rPr>
          <w:u w:val="single"/>
        </w:rPr>
        <w:tab/>
        <w:t>(Chapter 7) – Recommendations for conducting the examination</w:t>
      </w:r>
    </w:p>
    <w:p w:rsidR="00122E77" w:rsidRPr="00122E77" w:rsidRDefault="00122E77" w:rsidP="00122E77">
      <w:pPr>
        <w:ind w:left="567"/>
      </w:pPr>
    </w:p>
    <w:p w:rsidR="00122E77" w:rsidRPr="00122E77" w:rsidRDefault="00122E77" w:rsidP="00122E77">
      <w:pPr>
        <w:ind w:left="567"/>
      </w:pPr>
      <w:r w:rsidRPr="00122E77">
        <w:t>[…]</w:t>
      </w:r>
    </w:p>
    <w:p w:rsidR="00122E77" w:rsidRPr="00122E77" w:rsidRDefault="00122E77" w:rsidP="00122E77">
      <w:pPr>
        <w:ind w:left="567"/>
      </w:pPr>
    </w:p>
    <w:p w:rsidR="00122E77" w:rsidRPr="00122E77" w:rsidRDefault="00122E77" w:rsidP="00122E77">
      <w:pPr>
        <w:ind w:left="567"/>
      </w:pPr>
      <w:r w:rsidRPr="00122E77">
        <w:t>2.</w:t>
      </w:r>
      <w:r w:rsidRPr="00122E77">
        <w:tab/>
        <w:t xml:space="preserve">The following examples are intended to illustrate the ways of considering the method of observation for characteristics such as time of flowering and counts.  </w:t>
      </w:r>
    </w:p>
    <w:p w:rsidR="00122E77" w:rsidRPr="00122E77" w:rsidRDefault="00122E77" w:rsidP="00122E77">
      <w:pPr>
        <w:ind w:left="567"/>
      </w:pPr>
    </w:p>
    <w:p w:rsidR="00122E77" w:rsidRPr="00122E77" w:rsidRDefault="00122E77" w:rsidP="00122E77">
      <w:pPr>
        <w:keepNext/>
        <w:ind w:left="567"/>
      </w:pPr>
      <w:r w:rsidRPr="00122E77">
        <w:lastRenderedPageBreak/>
        <w:t>(a)</w:t>
      </w:r>
      <w:r w:rsidRPr="00122E77">
        <w:tab/>
        <w:t>Time of Flowering</w:t>
      </w:r>
    </w:p>
    <w:p w:rsidR="00122E77" w:rsidRPr="00122E77" w:rsidRDefault="00122E77" w:rsidP="00122E77">
      <w:pPr>
        <w:keepNext/>
        <w:ind w:left="567"/>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122E77" w:rsidRPr="00122E77" w:rsidTr="002C31FA">
        <w:trPr>
          <w:cantSplit/>
          <w:jc w:val="center"/>
        </w:trPr>
        <w:tc>
          <w:tcPr>
            <w:tcW w:w="578" w:type="dxa"/>
          </w:tcPr>
          <w:p w:rsidR="00122E77" w:rsidRPr="00122E77" w:rsidRDefault="00122E77" w:rsidP="00122E77">
            <w:pPr>
              <w:keepNext/>
              <w:spacing w:before="40" w:after="40"/>
              <w:ind w:right="567"/>
              <w:jc w:val="left"/>
              <w:rPr>
                <w:rFonts w:cs="Arial"/>
                <w:bCs/>
                <w:noProof/>
                <w:sz w:val="18"/>
                <w:szCs w:val="16"/>
                <w:lang w:bidi="th-TH"/>
              </w:rPr>
            </w:pPr>
          </w:p>
        </w:tc>
        <w:tc>
          <w:tcPr>
            <w:tcW w:w="412" w:type="dxa"/>
          </w:tcPr>
          <w:p w:rsidR="00122E77" w:rsidRPr="00122E77" w:rsidRDefault="00122E77" w:rsidP="00122E77">
            <w:pPr>
              <w:keepNext/>
              <w:spacing w:before="40" w:after="40"/>
              <w:ind w:right="567"/>
              <w:jc w:val="center"/>
              <w:rPr>
                <w:rFonts w:cs="Arial"/>
                <w:bCs/>
                <w:noProof/>
                <w:sz w:val="18"/>
                <w:szCs w:val="16"/>
                <w:lang w:bidi="th-TH"/>
              </w:rPr>
            </w:pPr>
          </w:p>
        </w:tc>
        <w:tc>
          <w:tcPr>
            <w:tcW w:w="2400" w:type="dxa"/>
          </w:tcPr>
          <w:p w:rsidR="00122E77" w:rsidRPr="00122E77" w:rsidRDefault="00122E77" w:rsidP="00122E77">
            <w:pPr>
              <w:keepNext/>
              <w:spacing w:before="40" w:after="40"/>
              <w:ind w:right="567"/>
              <w:jc w:val="left"/>
              <w:rPr>
                <w:rFonts w:cs="Arial"/>
                <w:b/>
                <w:bCs/>
                <w:noProof/>
                <w:sz w:val="18"/>
                <w:szCs w:val="16"/>
                <w:lang w:bidi="th-TH"/>
              </w:rPr>
            </w:pPr>
            <w:r w:rsidRPr="00122E77">
              <w:rPr>
                <w:rFonts w:cs="Arial"/>
                <w:b/>
                <w:bCs/>
                <w:noProof/>
                <w:sz w:val="18"/>
                <w:szCs w:val="16"/>
                <w:lang w:bidi="th-TH"/>
              </w:rPr>
              <w:t>Time of flowering</w:t>
            </w:r>
          </w:p>
        </w:tc>
        <w:tc>
          <w:tcPr>
            <w:tcW w:w="567" w:type="dxa"/>
          </w:tcPr>
          <w:p w:rsidR="00122E77" w:rsidRPr="00122E77" w:rsidRDefault="00122E77" w:rsidP="00122E77">
            <w:pPr>
              <w:keepNext/>
              <w:spacing w:before="40" w:after="40"/>
              <w:ind w:right="567"/>
              <w:jc w:val="center"/>
              <w:rPr>
                <w:rFonts w:cs="Arial"/>
                <w:b/>
                <w:bCs/>
                <w:noProof/>
                <w:sz w:val="18"/>
                <w:szCs w:val="16"/>
                <w:lang w:bidi="th-TH"/>
              </w:rPr>
            </w:pPr>
          </w:p>
        </w:tc>
      </w:tr>
      <w:tr w:rsidR="00122E77" w:rsidRPr="00122E77" w:rsidTr="002C31FA">
        <w:trPr>
          <w:cantSplit/>
          <w:jc w:val="center"/>
        </w:trPr>
        <w:tc>
          <w:tcPr>
            <w:tcW w:w="578" w:type="dxa"/>
          </w:tcPr>
          <w:p w:rsidR="00122E77" w:rsidRPr="00122E77" w:rsidRDefault="00122E77" w:rsidP="00122E77">
            <w:pPr>
              <w:keepNext/>
              <w:spacing w:before="40" w:after="40"/>
              <w:ind w:right="567"/>
              <w:jc w:val="left"/>
              <w:rPr>
                <w:rFonts w:cs="Arial"/>
                <w:bCs/>
                <w:noProof/>
                <w:sz w:val="18"/>
                <w:szCs w:val="16"/>
                <w:lang w:bidi="th-TH"/>
              </w:rPr>
            </w:pPr>
          </w:p>
        </w:tc>
        <w:tc>
          <w:tcPr>
            <w:tcW w:w="412" w:type="dxa"/>
          </w:tcPr>
          <w:p w:rsidR="00122E77" w:rsidRPr="00122E77" w:rsidRDefault="00122E77" w:rsidP="00122E77">
            <w:pPr>
              <w:keepNext/>
              <w:spacing w:before="40" w:after="40"/>
              <w:ind w:right="567"/>
              <w:jc w:val="center"/>
              <w:rPr>
                <w:rFonts w:cs="Arial"/>
                <w:bCs/>
                <w:noProof/>
                <w:sz w:val="18"/>
                <w:szCs w:val="16"/>
                <w:lang w:bidi="th-TH"/>
              </w:rPr>
            </w:pPr>
          </w:p>
        </w:tc>
        <w:tc>
          <w:tcPr>
            <w:tcW w:w="2400" w:type="dxa"/>
          </w:tcPr>
          <w:p w:rsidR="00122E77" w:rsidRPr="00122E77" w:rsidRDefault="00122E77" w:rsidP="00122E77">
            <w:pPr>
              <w:keepNext/>
              <w:spacing w:before="40" w:after="40"/>
              <w:ind w:right="567"/>
              <w:jc w:val="left"/>
              <w:rPr>
                <w:rFonts w:cs="Arial"/>
                <w:bCs/>
                <w:noProof/>
                <w:sz w:val="18"/>
                <w:szCs w:val="16"/>
                <w:highlight w:val="lightGray"/>
                <w:u w:val="single"/>
                <w:lang w:bidi="th-TH"/>
              </w:rPr>
            </w:pPr>
            <w:r w:rsidRPr="00122E77">
              <w:rPr>
                <w:rFonts w:cs="Arial"/>
                <w:bCs/>
                <w:noProof/>
                <w:sz w:val="18"/>
                <w:szCs w:val="16"/>
                <w:highlight w:val="lightGray"/>
                <w:u w:val="single"/>
                <w:lang w:bidi="th-TH"/>
              </w:rPr>
              <w:t xml:space="preserve">very early </w:t>
            </w:r>
          </w:p>
        </w:tc>
        <w:tc>
          <w:tcPr>
            <w:tcW w:w="567" w:type="dxa"/>
          </w:tcPr>
          <w:p w:rsidR="00122E77" w:rsidRPr="00122E77" w:rsidRDefault="00122E77" w:rsidP="00122E77">
            <w:pPr>
              <w:keepNext/>
              <w:spacing w:before="40" w:after="40"/>
              <w:ind w:right="567"/>
              <w:jc w:val="center"/>
              <w:rPr>
                <w:rFonts w:cs="Arial"/>
                <w:bCs/>
                <w:noProof/>
                <w:sz w:val="18"/>
                <w:szCs w:val="16"/>
                <w:highlight w:val="lightGray"/>
                <w:u w:val="single"/>
                <w:lang w:bidi="th-TH"/>
              </w:rPr>
            </w:pPr>
            <w:r w:rsidRPr="00122E77">
              <w:rPr>
                <w:rFonts w:cs="Arial"/>
                <w:bCs/>
                <w:noProof/>
                <w:sz w:val="18"/>
                <w:szCs w:val="16"/>
                <w:highlight w:val="lightGray"/>
                <w:u w:val="single"/>
                <w:lang w:bidi="th-TH"/>
              </w:rPr>
              <w:t>1</w:t>
            </w:r>
          </w:p>
        </w:tc>
      </w:tr>
      <w:tr w:rsidR="00122E77" w:rsidRPr="00122E77" w:rsidTr="002C31FA">
        <w:trPr>
          <w:cantSplit/>
          <w:jc w:val="center"/>
        </w:trPr>
        <w:tc>
          <w:tcPr>
            <w:tcW w:w="578" w:type="dxa"/>
          </w:tcPr>
          <w:p w:rsidR="00122E77" w:rsidRPr="00122E77" w:rsidRDefault="00122E77" w:rsidP="00122E77">
            <w:pPr>
              <w:keepNext/>
              <w:spacing w:before="40" w:after="40"/>
              <w:ind w:right="567"/>
              <w:jc w:val="left"/>
              <w:rPr>
                <w:rFonts w:cs="Arial"/>
                <w:bCs/>
                <w:noProof/>
                <w:sz w:val="18"/>
                <w:szCs w:val="16"/>
                <w:lang w:bidi="th-TH"/>
              </w:rPr>
            </w:pPr>
          </w:p>
        </w:tc>
        <w:tc>
          <w:tcPr>
            <w:tcW w:w="412" w:type="dxa"/>
          </w:tcPr>
          <w:p w:rsidR="00122E77" w:rsidRPr="00122E77" w:rsidRDefault="00122E77" w:rsidP="00122E77">
            <w:pPr>
              <w:keepNext/>
              <w:spacing w:before="40" w:after="40"/>
              <w:ind w:right="567"/>
              <w:jc w:val="center"/>
              <w:rPr>
                <w:rFonts w:cs="Arial"/>
                <w:bCs/>
                <w:noProof/>
                <w:sz w:val="18"/>
                <w:szCs w:val="16"/>
                <w:lang w:bidi="th-TH"/>
              </w:rPr>
            </w:pPr>
          </w:p>
        </w:tc>
        <w:tc>
          <w:tcPr>
            <w:tcW w:w="2400" w:type="dxa"/>
          </w:tcPr>
          <w:p w:rsidR="00122E77" w:rsidRPr="00122E77" w:rsidRDefault="00122E77" w:rsidP="00122E77">
            <w:pPr>
              <w:keepNext/>
              <w:spacing w:before="40" w:after="40"/>
              <w:ind w:right="567"/>
              <w:jc w:val="left"/>
              <w:rPr>
                <w:rFonts w:cs="Arial"/>
                <w:bCs/>
                <w:noProof/>
                <w:sz w:val="18"/>
                <w:szCs w:val="16"/>
                <w:highlight w:val="lightGray"/>
                <w:u w:val="single"/>
                <w:lang w:bidi="th-TH"/>
              </w:rPr>
            </w:pPr>
            <w:r w:rsidRPr="00122E77">
              <w:rPr>
                <w:rFonts w:cs="Arial"/>
                <w:bCs/>
                <w:noProof/>
                <w:sz w:val="18"/>
                <w:szCs w:val="16"/>
                <w:highlight w:val="lightGray"/>
                <w:u w:val="single"/>
                <w:lang w:bidi="th-TH"/>
              </w:rPr>
              <w:t>very early to early</w:t>
            </w:r>
          </w:p>
        </w:tc>
        <w:tc>
          <w:tcPr>
            <w:tcW w:w="567" w:type="dxa"/>
          </w:tcPr>
          <w:p w:rsidR="00122E77" w:rsidRPr="00122E77" w:rsidRDefault="00122E77" w:rsidP="00122E77">
            <w:pPr>
              <w:keepNext/>
              <w:spacing w:before="40" w:after="40"/>
              <w:ind w:right="567"/>
              <w:jc w:val="center"/>
              <w:rPr>
                <w:rFonts w:cs="Arial"/>
                <w:bCs/>
                <w:noProof/>
                <w:sz w:val="18"/>
                <w:szCs w:val="16"/>
                <w:highlight w:val="lightGray"/>
                <w:u w:val="single"/>
                <w:lang w:bidi="th-TH"/>
              </w:rPr>
            </w:pPr>
            <w:r w:rsidRPr="00122E77">
              <w:rPr>
                <w:rFonts w:cs="Arial"/>
                <w:bCs/>
                <w:noProof/>
                <w:sz w:val="18"/>
                <w:szCs w:val="16"/>
                <w:highlight w:val="lightGray"/>
                <w:u w:val="single"/>
                <w:lang w:bidi="th-TH"/>
              </w:rPr>
              <w:t>2</w:t>
            </w:r>
          </w:p>
        </w:tc>
      </w:tr>
      <w:tr w:rsidR="00122E77" w:rsidRPr="00122E77" w:rsidTr="002C31FA">
        <w:trPr>
          <w:cantSplit/>
          <w:jc w:val="center"/>
        </w:trPr>
        <w:tc>
          <w:tcPr>
            <w:tcW w:w="578" w:type="dxa"/>
          </w:tcPr>
          <w:p w:rsidR="00122E77" w:rsidRPr="00122E77" w:rsidRDefault="00122E77" w:rsidP="00122E77">
            <w:pPr>
              <w:keepNext/>
              <w:spacing w:before="40" w:after="40"/>
              <w:jc w:val="center"/>
              <w:rPr>
                <w:rFonts w:cs="Arial"/>
                <w:b/>
                <w:noProof/>
                <w:sz w:val="18"/>
                <w:szCs w:val="16"/>
                <w:lang w:bidi="th-TH"/>
              </w:rPr>
            </w:pPr>
            <w:r w:rsidRPr="00122E77">
              <w:rPr>
                <w:rFonts w:cs="Arial"/>
                <w:b/>
                <w:noProof/>
                <w:sz w:val="18"/>
                <w:szCs w:val="16"/>
                <w:lang w:bidi="th-TH"/>
              </w:rPr>
              <w:t>QN</w:t>
            </w:r>
          </w:p>
        </w:tc>
        <w:tc>
          <w:tcPr>
            <w:tcW w:w="412" w:type="dxa"/>
          </w:tcPr>
          <w:p w:rsidR="00122E77" w:rsidRPr="00122E77" w:rsidRDefault="00122E77" w:rsidP="00122E77">
            <w:pPr>
              <w:keepNext/>
              <w:spacing w:before="40" w:after="40"/>
              <w:ind w:right="567"/>
              <w:jc w:val="center"/>
              <w:rPr>
                <w:rFonts w:cs="Arial"/>
                <w:noProof/>
                <w:sz w:val="18"/>
                <w:szCs w:val="16"/>
                <w:lang w:bidi="th-TH"/>
              </w:rPr>
            </w:pPr>
          </w:p>
        </w:tc>
        <w:tc>
          <w:tcPr>
            <w:tcW w:w="2400" w:type="dxa"/>
          </w:tcPr>
          <w:p w:rsidR="00122E77" w:rsidRPr="00122E77" w:rsidRDefault="00122E77" w:rsidP="00122E77">
            <w:pPr>
              <w:keepNext/>
              <w:spacing w:before="40" w:after="40"/>
              <w:ind w:right="567"/>
              <w:jc w:val="left"/>
              <w:rPr>
                <w:rFonts w:cs="Arial"/>
                <w:noProof/>
                <w:sz w:val="18"/>
                <w:szCs w:val="16"/>
                <w:lang w:bidi="th-TH"/>
              </w:rPr>
            </w:pPr>
            <w:r w:rsidRPr="00122E77">
              <w:rPr>
                <w:rFonts w:cs="Arial"/>
                <w:noProof/>
                <w:sz w:val="18"/>
                <w:szCs w:val="16"/>
                <w:lang w:bidi="th-TH"/>
              </w:rPr>
              <w:t>early</w:t>
            </w:r>
          </w:p>
        </w:tc>
        <w:tc>
          <w:tcPr>
            <w:tcW w:w="567" w:type="dxa"/>
          </w:tcPr>
          <w:p w:rsidR="00122E77" w:rsidRPr="00122E77" w:rsidRDefault="00122E77" w:rsidP="00122E77">
            <w:pPr>
              <w:keepNext/>
              <w:spacing w:before="40" w:after="40"/>
              <w:ind w:right="567"/>
              <w:jc w:val="center"/>
              <w:rPr>
                <w:rFonts w:cs="Arial"/>
                <w:noProof/>
                <w:sz w:val="18"/>
                <w:szCs w:val="16"/>
                <w:lang w:bidi="th-TH"/>
              </w:rPr>
            </w:pPr>
            <w:r w:rsidRPr="00122E77">
              <w:rPr>
                <w:rFonts w:cs="Arial"/>
                <w:noProof/>
                <w:sz w:val="18"/>
                <w:szCs w:val="16"/>
                <w:lang w:bidi="th-TH"/>
              </w:rPr>
              <w:t>3</w:t>
            </w:r>
          </w:p>
        </w:tc>
      </w:tr>
      <w:tr w:rsidR="00122E77" w:rsidRPr="00122E77" w:rsidTr="002C31FA">
        <w:trPr>
          <w:cantSplit/>
          <w:jc w:val="center"/>
        </w:trPr>
        <w:tc>
          <w:tcPr>
            <w:tcW w:w="578" w:type="dxa"/>
          </w:tcPr>
          <w:p w:rsidR="00122E77" w:rsidRPr="00122E77" w:rsidRDefault="00122E77" w:rsidP="00122E77">
            <w:pPr>
              <w:keepNext/>
              <w:spacing w:before="40" w:after="40"/>
              <w:ind w:right="567"/>
              <w:jc w:val="center"/>
              <w:rPr>
                <w:rFonts w:cs="Arial"/>
                <w:b/>
                <w:noProof/>
                <w:sz w:val="18"/>
                <w:szCs w:val="16"/>
                <w:lang w:bidi="th-TH"/>
              </w:rPr>
            </w:pPr>
          </w:p>
        </w:tc>
        <w:tc>
          <w:tcPr>
            <w:tcW w:w="412" w:type="dxa"/>
          </w:tcPr>
          <w:p w:rsidR="00122E77" w:rsidRPr="00122E77" w:rsidRDefault="00122E77" w:rsidP="00122E77">
            <w:pPr>
              <w:keepNext/>
              <w:spacing w:before="40" w:after="40"/>
              <w:ind w:right="567"/>
              <w:jc w:val="center"/>
              <w:rPr>
                <w:rFonts w:cs="Arial"/>
                <w:noProof/>
                <w:sz w:val="18"/>
                <w:szCs w:val="16"/>
                <w:lang w:bidi="th-TH"/>
              </w:rPr>
            </w:pPr>
          </w:p>
        </w:tc>
        <w:tc>
          <w:tcPr>
            <w:tcW w:w="2400" w:type="dxa"/>
          </w:tcPr>
          <w:p w:rsidR="00122E77" w:rsidRPr="00122E77" w:rsidRDefault="00122E77" w:rsidP="00122E77">
            <w:pPr>
              <w:keepNext/>
              <w:spacing w:before="40" w:after="40"/>
              <w:ind w:right="567"/>
              <w:jc w:val="left"/>
              <w:rPr>
                <w:rFonts w:cs="Arial"/>
                <w:noProof/>
                <w:sz w:val="18"/>
                <w:szCs w:val="16"/>
                <w:highlight w:val="lightGray"/>
                <w:u w:val="single"/>
                <w:lang w:bidi="th-TH"/>
              </w:rPr>
            </w:pPr>
            <w:r w:rsidRPr="00122E77">
              <w:rPr>
                <w:rFonts w:cs="Arial"/>
                <w:noProof/>
                <w:sz w:val="18"/>
                <w:szCs w:val="16"/>
                <w:highlight w:val="lightGray"/>
                <w:u w:val="single"/>
                <w:lang w:bidi="th-TH"/>
              </w:rPr>
              <w:t>early to medium</w:t>
            </w:r>
          </w:p>
        </w:tc>
        <w:tc>
          <w:tcPr>
            <w:tcW w:w="567" w:type="dxa"/>
          </w:tcPr>
          <w:p w:rsidR="00122E77" w:rsidRPr="00122E77" w:rsidRDefault="00122E77" w:rsidP="00122E77">
            <w:pPr>
              <w:keepNext/>
              <w:spacing w:before="40" w:after="40"/>
              <w:ind w:right="567"/>
              <w:jc w:val="center"/>
              <w:rPr>
                <w:rFonts w:cs="Arial"/>
                <w:noProof/>
                <w:sz w:val="18"/>
                <w:szCs w:val="16"/>
                <w:highlight w:val="lightGray"/>
                <w:u w:val="single"/>
                <w:lang w:bidi="th-TH"/>
              </w:rPr>
            </w:pPr>
            <w:r w:rsidRPr="00122E77">
              <w:rPr>
                <w:rFonts w:cs="Arial"/>
                <w:noProof/>
                <w:sz w:val="18"/>
                <w:szCs w:val="16"/>
                <w:highlight w:val="lightGray"/>
                <w:u w:val="single"/>
                <w:lang w:bidi="th-TH"/>
              </w:rPr>
              <w:t>4</w:t>
            </w:r>
          </w:p>
        </w:tc>
      </w:tr>
      <w:tr w:rsidR="00122E77" w:rsidRPr="00122E77" w:rsidTr="002C31FA">
        <w:trPr>
          <w:cantSplit/>
          <w:jc w:val="center"/>
        </w:trPr>
        <w:tc>
          <w:tcPr>
            <w:tcW w:w="578" w:type="dxa"/>
          </w:tcPr>
          <w:p w:rsidR="00122E77" w:rsidRPr="00122E77" w:rsidRDefault="00122E77" w:rsidP="00122E77">
            <w:pPr>
              <w:keepNext/>
              <w:spacing w:before="40" w:after="40"/>
              <w:ind w:right="567"/>
              <w:jc w:val="center"/>
              <w:rPr>
                <w:rFonts w:cs="Arial"/>
                <w:b/>
                <w:noProof/>
                <w:sz w:val="18"/>
                <w:szCs w:val="16"/>
                <w:lang w:bidi="th-TH"/>
              </w:rPr>
            </w:pPr>
          </w:p>
        </w:tc>
        <w:tc>
          <w:tcPr>
            <w:tcW w:w="412" w:type="dxa"/>
          </w:tcPr>
          <w:p w:rsidR="00122E77" w:rsidRPr="00122E77" w:rsidRDefault="00122E77" w:rsidP="00122E77">
            <w:pPr>
              <w:keepNext/>
              <w:spacing w:before="40" w:after="40"/>
              <w:ind w:right="567"/>
              <w:jc w:val="center"/>
              <w:rPr>
                <w:rFonts w:cs="Arial"/>
                <w:noProof/>
                <w:sz w:val="18"/>
                <w:szCs w:val="16"/>
                <w:lang w:bidi="th-TH"/>
              </w:rPr>
            </w:pPr>
          </w:p>
        </w:tc>
        <w:tc>
          <w:tcPr>
            <w:tcW w:w="2400" w:type="dxa"/>
          </w:tcPr>
          <w:p w:rsidR="00122E77" w:rsidRPr="00122E77" w:rsidRDefault="00122E77" w:rsidP="00122E77">
            <w:pPr>
              <w:keepNext/>
              <w:spacing w:before="40" w:after="40"/>
              <w:ind w:right="567"/>
              <w:jc w:val="left"/>
              <w:rPr>
                <w:rFonts w:cs="Arial"/>
                <w:noProof/>
                <w:sz w:val="18"/>
                <w:szCs w:val="16"/>
                <w:lang w:bidi="th-TH"/>
              </w:rPr>
            </w:pPr>
            <w:r w:rsidRPr="00122E77">
              <w:rPr>
                <w:rFonts w:cs="Arial"/>
                <w:noProof/>
                <w:sz w:val="18"/>
                <w:szCs w:val="16"/>
                <w:lang w:bidi="th-TH"/>
              </w:rPr>
              <w:t>medium</w:t>
            </w:r>
          </w:p>
        </w:tc>
        <w:tc>
          <w:tcPr>
            <w:tcW w:w="567" w:type="dxa"/>
          </w:tcPr>
          <w:p w:rsidR="00122E77" w:rsidRPr="00122E77" w:rsidRDefault="00122E77" w:rsidP="00122E77">
            <w:pPr>
              <w:keepNext/>
              <w:spacing w:before="40" w:after="40"/>
              <w:ind w:right="567"/>
              <w:jc w:val="center"/>
              <w:rPr>
                <w:rFonts w:cs="Arial"/>
                <w:noProof/>
                <w:sz w:val="18"/>
                <w:szCs w:val="16"/>
                <w:lang w:bidi="th-TH"/>
              </w:rPr>
            </w:pPr>
            <w:r w:rsidRPr="00122E77">
              <w:rPr>
                <w:rFonts w:cs="Arial"/>
                <w:noProof/>
                <w:sz w:val="18"/>
                <w:szCs w:val="16"/>
                <w:lang w:bidi="th-TH"/>
              </w:rPr>
              <w:t>5</w:t>
            </w:r>
          </w:p>
        </w:tc>
      </w:tr>
      <w:tr w:rsidR="00122E77" w:rsidRPr="00122E77" w:rsidTr="002C31FA">
        <w:trPr>
          <w:cantSplit/>
          <w:jc w:val="center"/>
        </w:trPr>
        <w:tc>
          <w:tcPr>
            <w:tcW w:w="578" w:type="dxa"/>
          </w:tcPr>
          <w:p w:rsidR="00122E77" w:rsidRPr="00122E77" w:rsidRDefault="00122E77" w:rsidP="00122E77">
            <w:pPr>
              <w:keepNext/>
              <w:spacing w:before="40" w:after="40"/>
              <w:ind w:right="567"/>
              <w:jc w:val="center"/>
              <w:rPr>
                <w:rFonts w:cs="Arial"/>
                <w:b/>
                <w:noProof/>
                <w:sz w:val="18"/>
                <w:szCs w:val="16"/>
                <w:lang w:bidi="th-TH"/>
              </w:rPr>
            </w:pPr>
          </w:p>
        </w:tc>
        <w:tc>
          <w:tcPr>
            <w:tcW w:w="412" w:type="dxa"/>
          </w:tcPr>
          <w:p w:rsidR="00122E77" w:rsidRPr="00122E77" w:rsidRDefault="00122E77" w:rsidP="00122E77">
            <w:pPr>
              <w:keepNext/>
              <w:spacing w:before="40" w:after="40"/>
              <w:ind w:right="567"/>
              <w:jc w:val="center"/>
              <w:rPr>
                <w:rFonts w:cs="Arial"/>
                <w:noProof/>
                <w:sz w:val="18"/>
                <w:szCs w:val="16"/>
                <w:lang w:bidi="th-TH"/>
              </w:rPr>
            </w:pPr>
          </w:p>
        </w:tc>
        <w:tc>
          <w:tcPr>
            <w:tcW w:w="2400" w:type="dxa"/>
          </w:tcPr>
          <w:p w:rsidR="00122E77" w:rsidRPr="00122E77" w:rsidRDefault="00122E77" w:rsidP="00122E77">
            <w:pPr>
              <w:keepNext/>
              <w:spacing w:before="40" w:after="40"/>
              <w:ind w:right="567"/>
              <w:jc w:val="left"/>
              <w:rPr>
                <w:rFonts w:cs="Arial"/>
                <w:noProof/>
                <w:sz w:val="18"/>
                <w:szCs w:val="16"/>
                <w:highlight w:val="lightGray"/>
                <w:u w:val="single"/>
                <w:lang w:bidi="th-TH"/>
              </w:rPr>
            </w:pPr>
            <w:r w:rsidRPr="00122E77">
              <w:rPr>
                <w:rFonts w:cs="Arial"/>
                <w:noProof/>
                <w:sz w:val="18"/>
                <w:szCs w:val="16"/>
                <w:highlight w:val="lightGray"/>
                <w:u w:val="single"/>
                <w:lang w:bidi="th-TH"/>
              </w:rPr>
              <w:t>medium to late</w:t>
            </w:r>
          </w:p>
        </w:tc>
        <w:tc>
          <w:tcPr>
            <w:tcW w:w="567" w:type="dxa"/>
          </w:tcPr>
          <w:p w:rsidR="00122E77" w:rsidRPr="00122E77" w:rsidRDefault="00122E77" w:rsidP="00122E77">
            <w:pPr>
              <w:keepNext/>
              <w:spacing w:before="40" w:after="40"/>
              <w:ind w:right="567"/>
              <w:jc w:val="center"/>
              <w:rPr>
                <w:rFonts w:cs="Arial"/>
                <w:noProof/>
                <w:sz w:val="18"/>
                <w:szCs w:val="16"/>
                <w:highlight w:val="lightGray"/>
                <w:u w:val="single"/>
                <w:lang w:bidi="th-TH"/>
              </w:rPr>
            </w:pPr>
            <w:r w:rsidRPr="00122E77">
              <w:rPr>
                <w:rFonts w:cs="Arial"/>
                <w:noProof/>
                <w:sz w:val="18"/>
                <w:szCs w:val="16"/>
                <w:highlight w:val="lightGray"/>
                <w:u w:val="single"/>
                <w:lang w:bidi="th-TH"/>
              </w:rPr>
              <w:t>6</w:t>
            </w:r>
          </w:p>
        </w:tc>
      </w:tr>
      <w:tr w:rsidR="00122E77" w:rsidRPr="00122E77" w:rsidTr="002C31FA">
        <w:trPr>
          <w:cantSplit/>
          <w:jc w:val="center"/>
        </w:trPr>
        <w:tc>
          <w:tcPr>
            <w:tcW w:w="578" w:type="dxa"/>
          </w:tcPr>
          <w:p w:rsidR="00122E77" w:rsidRPr="00122E77" w:rsidRDefault="00122E77" w:rsidP="00122E77">
            <w:pPr>
              <w:keepNext/>
              <w:spacing w:before="40" w:after="40"/>
              <w:ind w:right="567"/>
              <w:jc w:val="center"/>
              <w:rPr>
                <w:rFonts w:cs="Arial"/>
                <w:b/>
                <w:noProof/>
                <w:sz w:val="18"/>
                <w:szCs w:val="16"/>
                <w:lang w:bidi="th-TH"/>
              </w:rPr>
            </w:pPr>
          </w:p>
        </w:tc>
        <w:tc>
          <w:tcPr>
            <w:tcW w:w="412" w:type="dxa"/>
          </w:tcPr>
          <w:p w:rsidR="00122E77" w:rsidRPr="00122E77" w:rsidRDefault="00122E77" w:rsidP="00122E77">
            <w:pPr>
              <w:keepNext/>
              <w:spacing w:before="40" w:after="40"/>
              <w:ind w:right="567"/>
              <w:jc w:val="center"/>
              <w:rPr>
                <w:rFonts w:cs="Arial"/>
                <w:noProof/>
                <w:sz w:val="18"/>
                <w:szCs w:val="16"/>
                <w:lang w:bidi="th-TH"/>
              </w:rPr>
            </w:pPr>
          </w:p>
        </w:tc>
        <w:tc>
          <w:tcPr>
            <w:tcW w:w="2400" w:type="dxa"/>
          </w:tcPr>
          <w:p w:rsidR="00122E77" w:rsidRPr="00122E77" w:rsidRDefault="00122E77" w:rsidP="00122E77">
            <w:pPr>
              <w:keepNext/>
              <w:spacing w:before="40" w:after="40"/>
              <w:ind w:right="567"/>
              <w:jc w:val="left"/>
              <w:rPr>
                <w:rFonts w:cs="Arial"/>
                <w:noProof/>
                <w:sz w:val="18"/>
                <w:szCs w:val="16"/>
                <w:lang w:bidi="th-TH"/>
              </w:rPr>
            </w:pPr>
            <w:r w:rsidRPr="00122E77">
              <w:rPr>
                <w:rFonts w:cs="Arial"/>
                <w:noProof/>
                <w:sz w:val="18"/>
                <w:szCs w:val="16"/>
                <w:lang w:bidi="th-TH"/>
              </w:rPr>
              <w:t>late</w:t>
            </w:r>
          </w:p>
        </w:tc>
        <w:tc>
          <w:tcPr>
            <w:tcW w:w="567" w:type="dxa"/>
          </w:tcPr>
          <w:p w:rsidR="00122E77" w:rsidRPr="00122E77" w:rsidRDefault="00122E77" w:rsidP="00122E77">
            <w:pPr>
              <w:keepNext/>
              <w:spacing w:before="40" w:after="40"/>
              <w:ind w:right="567"/>
              <w:jc w:val="center"/>
              <w:rPr>
                <w:rFonts w:cs="Arial"/>
                <w:noProof/>
                <w:sz w:val="18"/>
                <w:szCs w:val="16"/>
                <w:lang w:bidi="th-TH"/>
              </w:rPr>
            </w:pPr>
            <w:r w:rsidRPr="00122E77">
              <w:rPr>
                <w:rFonts w:cs="Arial"/>
                <w:noProof/>
                <w:sz w:val="18"/>
                <w:szCs w:val="16"/>
                <w:lang w:bidi="th-TH"/>
              </w:rPr>
              <w:t>7</w:t>
            </w:r>
          </w:p>
        </w:tc>
      </w:tr>
      <w:tr w:rsidR="00122E77" w:rsidRPr="00122E77" w:rsidTr="002C31FA">
        <w:trPr>
          <w:cantSplit/>
          <w:jc w:val="center"/>
        </w:trPr>
        <w:tc>
          <w:tcPr>
            <w:tcW w:w="578" w:type="dxa"/>
          </w:tcPr>
          <w:p w:rsidR="00122E77" w:rsidRPr="00122E77" w:rsidRDefault="00122E77" w:rsidP="00122E77">
            <w:pPr>
              <w:keepNext/>
              <w:spacing w:before="40" w:after="40"/>
              <w:ind w:right="567"/>
              <w:jc w:val="center"/>
              <w:rPr>
                <w:rFonts w:cs="Arial"/>
                <w:b/>
                <w:noProof/>
                <w:sz w:val="18"/>
                <w:szCs w:val="16"/>
                <w:lang w:bidi="th-TH"/>
              </w:rPr>
            </w:pPr>
          </w:p>
        </w:tc>
        <w:tc>
          <w:tcPr>
            <w:tcW w:w="412" w:type="dxa"/>
          </w:tcPr>
          <w:p w:rsidR="00122E77" w:rsidRPr="00122E77" w:rsidRDefault="00122E77" w:rsidP="00122E77">
            <w:pPr>
              <w:keepNext/>
              <w:spacing w:before="40" w:after="40"/>
              <w:ind w:right="567"/>
              <w:jc w:val="center"/>
              <w:rPr>
                <w:rFonts w:cs="Arial"/>
                <w:noProof/>
                <w:sz w:val="18"/>
                <w:szCs w:val="16"/>
                <w:lang w:bidi="th-TH"/>
              </w:rPr>
            </w:pPr>
          </w:p>
        </w:tc>
        <w:tc>
          <w:tcPr>
            <w:tcW w:w="2400" w:type="dxa"/>
          </w:tcPr>
          <w:p w:rsidR="00122E77" w:rsidRPr="00122E77" w:rsidRDefault="00122E77" w:rsidP="00122E77">
            <w:pPr>
              <w:keepNext/>
              <w:spacing w:before="40" w:after="40"/>
              <w:ind w:right="567"/>
              <w:jc w:val="left"/>
              <w:rPr>
                <w:rFonts w:cs="Arial"/>
                <w:noProof/>
                <w:sz w:val="18"/>
                <w:szCs w:val="16"/>
                <w:highlight w:val="lightGray"/>
                <w:u w:val="single"/>
                <w:lang w:bidi="th-TH"/>
              </w:rPr>
            </w:pPr>
            <w:r w:rsidRPr="00122E77">
              <w:rPr>
                <w:rFonts w:cs="Arial"/>
                <w:noProof/>
                <w:sz w:val="18"/>
                <w:szCs w:val="16"/>
                <w:highlight w:val="lightGray"/>
                <w:u w:val="single"/>
                <w:lang w:bidi="th-TH"/>
              </w:rPr>
              <w:t>late to very late</w:t>
            </w:r>
          </w:p>
        </w:tc>
        <w:tc>
          <w:tcPr>
            <w:tcW w:w="567" w:type="dxa"/>
          </w:tcPr>
          <w:p w:rsidR="00122E77" w:rsidRPr="00122E77" w:rsidRDefault="00122E77" w:rsidP="00122E77">
            <w:pPr>
              <w:keepNext/>
              <w:spacing w:before="40" w:after="40"/>
              <w:ind w:right="567"/>
              <w:jc w:val="center"/>
              <w:rPr>
                <w:rFonts w:cs="Arial"/>
                <w:noProof/>
                <w:sz w:val="18"/>
                <w:szCs w:val="16"/>
                <w:highlight w:val="lightGray"/>
                <w:u w:val="single"/>
                <w:lang w:bidi="th-TH"/>
              </w:rPr>
            </w:pPr>
            <w:r w:rsidRPr="00122E77">
              <w:rPr>
                <w:rFonts w:cs="Arial"/>
                <w:noProof/>
                <w:sz w:val="18"/>
                <w:szCs w:val="16"/>
                <w:highlight w:val="lightGray"/>
                <w:u w:val="single"/>
                <w:lang w:bidi="th-TH"/>
              </w:rPr>
              <w:t>8</w:t>
            </w:r>
          </w:p>
        </w:tc>
      </w:tr>
      <w:tr w:rsidR="00122E77" w:rsidRPr="00122E77" w:rsidTr="002C31FA">
        <w:trPr>
          <w:cantSplit/>
          <w:jc w:val="center"/>
        </w:trPr>
        <w:tc>
          <w:tcPr>
            <w:tcW w:w="578" w:type="dxa"/>
          </w:tcPr>
          <w:p w:rsidR="00122E77" w:rsidRPr="00122E77" w:rsidRDefault="00122E77" w:rsidP="00122E77">
            <w:pPr>
              <w:keepNext/>
              <w:spacing w:before="40" w:after="40"/>
              <w:ind w:right="567"/>
              <w:jc w:val="center"/>
              <w:rPr>
                <w:rFonts w:cs="Arial"/>
                <w:b/>
                <w:noProof/>
                <w:sz w:val="18"/>
                <w:szCs w:val="16"/>
                <w:lang w:bidi="th-TH"/>
              </w:rPr>
            </w:pPr>
          </w:p>
        </w:tc>
        <w:tc>
          <w:tcPr>
            <w:tcW w:w="412" w:type="dxa"/>
          </w:tcPr>
          <w:p w:rsidR="00122E77" w:rsidRPr="00122E77" w:rsidRDefault="00122E77" w:rsidP="00122E77">
            <w:pPr>
              <w:keepNext/>
              <w:spacing w:before="40" w:after="40"/>
              <w:ind w:right="567"/>
              <w:jc w:val="center"/>
              <w:rPr>
                <w:rFonts w:cs="Arial"/>
                <w:noProof/>
                <w:sz w:val="18"/>
                <w:szCs w:val="16"/>
                <w:lang w:bidi="th-TH"/>
              </w:rPr>
            </w:pPr>
          </w:p>
        </w:tc>
        <w:tc>
          <w:tcPr>
            <w:tcW w:w="2400" w:type="dxa"/>
          </w:tcPr>
          <w:p w:rsidR="00122E77" w:rsidRPr="00122E77" w:rsidRDefault="00122E77" w:rsidP="00122E77">
            <w:pPr>
              <w:keepNext/>
              <w:spacing w:before="40" w:after="40"/>
              <w:ind w:right="567"/>
              <w:jc w:val="left"/>
              <w:rPr>
                <w:rFonts w:cs="Arial"/>
                <w:noProof/>
                <w:sz w:val="18"/>
                <w:szCs w:val="16"/>
                <w:highlight w:val="lightGray"/>
                <w:u w:val="single"/>
                <w:lang w:bidi="th-TH"/>
              </w:rPr>
            </w:pPr>
            <w:r w:rsidRPr="00122E77">
              <w:rPr>
                <w:rFonts w:cs="Arial"/>
                <w:noProof/>
                <w:sz w:val="18"/>
                <w:szCs w:val="16"/>
                <w:highlight w:val="lightGray"/>
                <w:u w:val="single"/>
                <w:lang w:bidi="th-TH"/>
              </w:rPr>
              <w:t>very late</w:t>
            </w:r>
          </w:p>
        </w:tc>
        <w:tc>
          <w:tcPr>
            <w:tcW w:w="567" w:type="dxa"/>
          </w:tcPr>
          <w:p w:rsidR="00122E77" w:rsidRPr="00122E77" w:rsidRDefault="00122E77" w:rsidP="00122E77">
            <w:pPr>
              <w:keepNext/>
              <w:spacing w:before="40" w:after="40"/>
              <w:ind w:right="567"/>
              <w:jc w:val="center"/>
              <w:rPr>
                <w:rFonts w:cs="Arial"/>
                <w:noProof/>
                <w:sz w:val="18"/>
                <w:szCs w:val="16"/>
                <w:highlight w:val="lightGray"/>
                <w:u w:val="single"/>
                <w:lang w:bidi="th-TH"/>
              </w:rPr>
            </w:pPr>
            <w:r w:rsidRPr="00122E77">
              <w:rPr>
                <w:rFonts w:cs="Arial"/>
                <w:noProof/>
                <w:sz w:val="18"/>
                <w:szCs w:val="16"/>
                <w:highlight w:val="lightGray"/>
                <w:u w:val="single"/>
                <w:lang w:bidi="th-TH"/>
              </w:rPr>
              <w:t>9</w:t>
            </w:r>
          </w:p>
        </w:tc>
      </w:tr>
    </w:tbl>
    <w:p w:rsidR="00122E77" w:rsidRPr="00122E77" w:rsidRDefault="00122E77" w:rsidP="00122E77">
      <w:pPr>
        <w:rPr>
          <w:rFonts w:cs="Arial"/>
          <w:i/>
          <w:sz w:val="22"/>
        </w:rPr>
      </w:pPr>
    </w:p>
    <w:p w:rsidR="00122E77" w:rsidRPr="00122E77" w:rsidRDefault="00122E77" w:rsidP="00122E77"/>
    <w:p w:rsidR="00122E77" w:rsidRPr="00122E77" w:rsidRDefault="00122E77" w:rsidP="00122E77"/>
    <w:p w:rsidR="00122E77" w:rsidRPr="00122E77" w:rsidRDefault="00122E77" w:rsidP="00122E77">
      <w:pPr>
        <w:jc w:val="right"/>
      </w:pPr>
      <w:r w:rsidRPr="00122E77">
        <w:t>[Annex IV follows]</w:t>
      </w:r>
    </w:p>
    <w:p w:rsidR="00122E77" w:rsidRPr="00122E77" w:rsidRDefault="00122E77" w:rsidP="00122E77"/>
    <w:p w:rsidR="00122E77" w:rsidRPr="00122E77" w:rsidRDefault="00122E77" w:rsidP="00122E77">
      <w:pPr>
        <w:sectPr w:rsidR="00122E77" w:rsidRPr="00122E77" w:rsidSect="002C31FA">
          <w:headerReference w:type="even" r:id="rId65"/>
          <w:headerReference w:type="default" r:id="rId66"/>
          <w:footerReference w:type="even" r:id="rId67"/>
          <w:footerReference w:type="default" r:id="rId68"/>
          <w:headerReference w:type="first" r:id="rId69"/>
          <w:footerReference w:type="first" r:id="rId70"/>
          <w:endnotePr>
            <w:numFmt w:val="lowerLetter"/>
          </w:endnotePr>
          <w:pgSz w:w="11907" w:h="16840" w:code="9"/>
          <w:pgMar w:top="510" w:right="1134" w:bottom="993" w:left="1134" w:header="510" w:footer="680" w:gutter="0"/>
          <w:pgNumType w:start="1"/>
          <w:cols w:space="720"/>
          <w:titlePg/>
        </w:sectPr>
      </w:pPr>
    </w:p>
    <w:p w:rsidR="00122E77" w:rsidRPr="00122E77" w:rsidRDefault="00122E77" w:rsidP="00122E77">
      <w:pPr>
        <w:jc w:val="center"/>
        <w:rPr>
          <w:rFonts w:cs="Arial"/>
          <w:caps/>
          <w:lang w:eastAsia="ja-JP"/>
        </w:rPr>
      </w:pPr>
      <w:r w:rsidRPr="00122E77">
        <w:rPr>
          <w:rFonts w:cs="Arial"/>
          <w:caps/>
          <w:lang w:eastAsia="ja-JP"/>
        </w:rPr>
        <w:lastRenderedPageBreak/>
        <w:t xml:space="preserve">REVISIONS TO Document TGP/14 </w:t>
      </w:r>
      <w:r w:rsidRPr="00122E77">
        <w:rPr>
          <w:rFonts w:cs="Arial"/>
          <w:caps/>
          <w:lang w:eastAsia="ja-JP"/>
        </w:rPr>
        <w:br/>
        <w:t>“Glossary of Terms Used in UPOV Documents”</w:t>
      </w:r>
    </w:p>
    <w:p w:rsidR="00122E77" w:rsidRPr="00122E77" w:rsidRDefault="00122E77" w:rsidP="00122E77">
      <w:pPr>
        <w:jc w:val="center"/>
        <w:rPr>
          <w:rFonts w:cs="Arial"/>
          <w:caps/>
          <w:lang w:eastAsia="ja-JP"/>
        </w:rPr>
      </w:pPr>
    </w:p>
    <w:p w:rsidR="00122E77" w:rsidRPr="00122E77" w:rsidRDefault="00122E77" w:rsidP="00122E77">
      <w:pPr>
        <w:jc w:val="center"/>
        <w:rPr>
          <w:lang w:eastAsia="ja-JP"/>
        </w:rPr>
      </w:pPr>
    </w:p>
    <w:p w:rsidR="00122E77" w:rsidRPr="00122E77" w:rsidRDefault="00122E77" w:rsidP="00122E77">
      <w:r w:rsidRPr="00122E77">
        <w:t>The following revisions of document TGP/14 “Glossary of terms used in UPOV documents” were agreed by the TC to be proposed for adoption by the Council at its fifty-fourth ordinary session, to be held in Geneva on October 30, 2020, subject to approval by the CAJ, at its seventy-seventh session, to be held in Geneva on October 28, 2020 (</w:t>
      </w:r>
      <w:r w:rsidRPr="00122E77">
        <w:rPr>
          <w:strike/>
          <w:highlight w:val="lightGray"/>
        </w:rPr>
        <w:t>highlighting and strikethrough</w:t>
      </w:r>
      <w:r w:rsidRPr="00122E77">
        <w:t xml:space="preserve"> for deletions and </w:t>
      </w:r>
      <w:r w:rsidRPr="00122E77">
        <w:rPr>
          <w:highlight w:val="lightGray"/>
          <w:u w:val="single"/>
        </w:rPr>
        <w:t>highlighting and underline</w:t>
      </w:r>
      <w:r w:rsidRPr="00122E77">
        <w:t xml:space="preserve"> for addition):</w:t>
      </w:r>
    </w:p>
    <w:p w:rsidR="00122E77" w:rsidRPr="00122E77" w:rsidRDefault="00122E77" w:rsidP="00122E77"/>
    <w:p w:rsidR="00122E77" w:rsidRPr="00122E77" w:rsidRDefault="00122E77" w:rsidP="00122E77"/>
    <w:p w:rsidR="00122E77" w:rsidRPr="00122E77" w:rsidRDefault="00122E77" w:rsidP="00122E77">
      <w:pPr>
        <w:jc w:val="left"/>
        <w:rPr>
          <w:u w:val="single"/>
        </w:rPr>
      </w:pPr>
      <w:r w:rsidRPr="00122E77">
        <w:rPr>
          <w:u w:val="single"/>
        </w:rPr>
        <w:t>Extract from document TGP/14, Section 2, Subsection 3: Color:  2.  Color</w:t>
      </w:r>
    </w:p>
    <w:p w:rsidR="00122E77" w:rsidRPr="00122E77" w:rsidRDefault="00122E77" w:rsidP="00122E77"/>
    <w:p w:rsidR="00122E77" w:rsidRPr="00122E77" w:rsidRDefault="00122E77" w:rsidP="00122E77">
      <w:pPr>
        <w:ind w:right="-1"/>
      </w:pPr>
      <w:r w:rsidRPr="00122E77">
        <w:t>2.2.4</w:t>
      </w:r>
      <w:r w:rsidRPr="00122E77">
        <w:tab/>
        <w:t>Color Chart</w:t>
      </w:r>
    </w:p>
    <w:p w:rsidR="00122E77" w:rsidRPr="00122E77" w:rsidRDefault="00122E77" w:rsidP="00122E77">
      <w:pPr>
        <w:ind w:right="-1"/>
      </w:pPr>
    </w:p>
    <w:p w:rsidR="00122E77" w:rsidRPr="00122E77" w:rsidRDefault="00122E77" w:rsidP="00122E77">
      <w:pPr>
        <w:ind w:right="-1"/>
      </w:pPr>
      <w:r w:rsidRPr="00122E77">
        <w:t xml:space="preserve">If it is necessary to describe a color with a color chart, UPOV uses the color chart from the Royal Horticultural Society (RHS), the “RHS </w:t>
      </w:r>
      <w:proofErr w:type="spellStart"/>
      <w:r w:rsidRPr="00122E77">
        <w:t>Colour</w:t>
      </w:r>
      <w:proofErr w:type="spellEnd"/>
      <w:r w:rsidRPr="00122E77">
        <w:t xml:space="preserve"> Chart” because of its worldwide availability.  There are </w:t>
      </w:r>
      <w:r w:rsidRPr="00122E77">
        <w:rPr>
          <w:strike/>
          <w:highlight w:val="lightGray"/>
        </w:rPr>
        <w:t>5</w:t>
      </w:r>
      <w:r w:rsidRPr="00122E77">
        <w:t xml:space="preserve"> </w:t>
      </w:r>
      <w:r w:rsidRPr="00122E77">
        <w:rPr>
          <w:highlight w:val="lightGray"/>
          <w:u w:val="single"/>
        </w:rPr>
        <w:t>6</w:t>
      </w:r>
      <w:r w:rsidRPr="00122E77">
        <w:t xml:space="preserve"> editions of this color chart, dating from 1966, 1986, 1995, 2001</w:t>
      </w:r>
      <w:r w:rsidRPr="00122E77">
        <w:rPr>
          <w:highlight w:val="lightGray"/>
          <w:u w:val="single"/>
        </w:rPr>
        <w:t>,</w:t>
      </w:r>
      <w:r w:rsidRPr="00122E77">
        <w:t xml:space="preserve"> </w:t>
      </w:r>
      <w:r w:rsidRPr="00122E77">
        <w:rPr>
          <w:strike/>
          <w:highlight w:val="lightGray"/>
        </w:rPr>
        <w:t>and</w:t>
      </w:r>
      <w:r w:rsidRPr="00122E77">
        <w:t xml:space="preserve"> 2007 </w:t>
      </w:r>
      <w:r w:rsidRPr="00122E77">
        <w:rPr>
          <w:highlight w:val="lightGray"/>
          <w:u w:val="single"/>
        </w:rPr>
        <w:t>and 2015</w:t>
      </w:r>
      <w:r w:rsidRPr="00122E77">
        <w:t xml:space="preserve">.  Since 2005, the “RHS Mini </w:t>
      </w:r>
      <w:proofErr w:type="spellStart"/>
      <w:r w:rsidRPr="00122E77">
        <w:t>Colour</w:t>
      </w:r>
      <w:proofErr w:type="spellEnd"/>
      <w:r w:rsidRPr="00122E77">
        <w:t xml:space="preserve"> Chart” has been published by the Flower Council Holland and is also frequently used by breeders.  Other color charts might also be appropriate.</w:t>
      </w:r>
    </w:p>
    <w:p w:rsidR="00122E77" w:rsidRPr="00122E77" w:rsidRDefault="00122E77" w:rsidP="00122E77">
      <w:pPr>
        <w:ind w:right="-1"/>
      </w:pPr>
    </w:p>
    <w:p w:rsidR="00122E77" w:rsidRPr="00122E77" w:rsidRDefault="00122E77" w:rsidP="00122E77">
      <w:pPr>
        <w:ind w:right="-1"/>
      </w:pPr>
      <w:r w:rsidRPr="00122E77">
        <w:t>[…]</w:t>
      </w:r>
    </w:p>
    <w:p w:rsidR="00122E77" w:rsidRPr="00122E77" w:rsidRDefault="00122E77" w:rsidP="00122E77">
      <w:pPr>
        <w:ind w:right="-1"/>
      </w:pPr>
    </w:p>
    <w:p w:rsidR="00122E77" w:rsidRPr="00122E77" w:rsidRDefault="00122E77" w:rsidP="00122E77">
      <w:pPr>
        <w:ind w:right="-1"/>
      </w:pPr>
      <w:r w:rsidRPr="00122E77">
        <w:t xml:space="preserve">When using the RHS </w:t>
      </w:r>
      <w:proofErr w:type="spellStart"/>
      <w:r w:rsidRPr="00122E77">
        <w:t>Colour</w:t>
      </w:r>
      <w:proofErr w:type="spellEnd"/>
      <w:r w:rsidRPr="00122E77">
        <w:t xml:space="preserve"> Chart, the reference number of the RHS color, the </w:t>
      </w:r>
      <w:r w:rsidRPr="00122E77">
        <w:rPr>
          <w:highlight w:val="lightGray"/>
          <w:u w:val="single"/>
        </w:rPr>
        <w:t>UPOV</w:t>
      </w:r>
      <w:r w:rsidRPr="00122E77">
        <w:t xml:space="preserve"> color name and the edition of the chart should be mentioned in the variety description.  </w:t>
      </w:r>
      <w:r w:rsidRPr="00122E77">
        <w:rPr>
          <w:strike/>
          <w:highlight w:val="lightGray"/>
        </w:rPr>
        <w:t>A proposal for naming the colors has been made</w:t>
      </w:r>
      <w:r w:rsidRPr="00122E77">
        <w:t xml:space="preserve"> </w:t>
      </w:r>
      <w:r w:rsidRPr="00122E77">
        <w:rPr>
          <w:highlight w:val="lightGray"/>
          <w:u w:val="single"/>
        </w:rPr>
        <w:t>Information on UPOV color names can be found</w:t>
      </w:r>
      <w:r w:rsidRPr="00122E77">
        <w:t xml:space="preserve"> in </w:t>
      </w:r>
      <w:r w:rsidRPr="00122E77">
        <w:rPr>
          <w:strike/>
          <w:highlight w:val="lightGray"/>
        </w:rPr>
        <w:t>the ANNEX</w:t>
      </w:r>
      <w:r w:rsidRPr="00122E77">
        <w:t xml:space="preserve"> </w:t>
      </w:r>
      <w:r w:rsidRPr="00122E77">
        <w:rPr>
          <w:highlight w:val="lightGray"/>
          <w:u w:val="single"/>
        </w:rPr>
        <w:t>Annexes I and II to Subsection 3 of</w:t>
      </w:r>
      <w:r w:rsidRPr="00122E77">
        <w:t xml:space="preserve"> this document.” </w:t>
      </w:r>
    </w:p>
    <w:p w:rsidR="00122E77" w:rsidRPr="00122E77" w:rsidRDefault="00122E77" w:rsidP="00122E77">
      <w:pPr>
        <w:ind w:right="-1"/>
      </w:pPr>
    </w:p>
    <w:p w:rsidR="00122E77" w:rsidRPr="00122E77" w:rsidRDefault="00122E77" w:rsidP="00122E77">
      <w:pPr>
        <w:ind w:right="-1"/>
      </w:pPr>
    </w:p>
    <w:p w:rsidR="00122E77" w:rsidRPr="00122E77" w:rsidRDefault="00122E77" w:rsidP="00122E77">
      <w:pPr>
        <w:ind w:right="-1"/>
      </w:pPr>
    </w:p>
    <w:p w:rsidR="00122E77" w:rsidRPr="00122E77" w:rsidRDefault="00122E77" w:rsidP="00122E77">
      <w:pPr>
        <w:jc w:val="left"/>
        <w:rPr>
          <w:u w:val="single"/>
        </w:rPr>
      </w:pPr>
      <w:r w:rsidRPr="00122E77">
        <w:rPr>
          <w:u w:val="single"/>
        </w:rPr>
        <w:t>Extract from document TGP/14, Section 2, Subsection 3: Color:  5.  Literature</w:t>
      </w:r>
    </w:p>
    <w:p w:rsidR="00122E77" w:rsidRPr="00122E77" w:rsidRDefault="00122E77" w:rsidP="00122E77"/>
    <w:p w:rsidR="00122E77" w:rsidRPr="00122E77" w:rsidRDefault="00122E77" w:rsidP="00122E77">
      <w:pPr>
        <w:rPr>
          <w:color w:val="000000"/>
          <w:szCs w:val="24"/>
        </w:rPr>
      </w:pPr>
      <w:bookmarkStart w:id="74" w:name="_Toc41303186"/>
      <w:r w:rsidRPr="00122E77">
        <w:t>5.</w:t>
      </w:r>
      <w:r w:rsidRPr="00122E77">
        <w:tab/>
        <w:t>LITERATURE</w:t>
      </w:r>
      <w:bookmarkEnd w:id="74"/>
    </w:p>
    <w:p w:rsidR="00122E77" w:rsidRPr="00122E77" w:rsidRDefault="00122E77" w:rsidP="00122E77">
      <w:pPr>
        <w:rPr>
          <w:szCs w:val="24"/>
        </w:rPr>
      </w:pPr>
    </w:p>
    <w:p w:rsidR="00122E77" w:rsidRPr="00122E77" w:rsidRDefault="00122E77" w:rsidP="00122E77">
      <w:bookmarkStart w:id="75" w:name="_Toc311045808"/>
      <w:r w:rsidRPr="00122E77">
        <w:t xml:space="preserve">RHS </w:t>
      </w:r>
      <w:proofErr w:type="spellStart"/>
      <w:r w:rsidRPr="00122E77">
        <w:t>Colour</w:t>
      </w:r>
      <w:proofErr w:type="spellEnd"/>
      <w:r w:rsidRPr="00122E77">
        <w:t xml:space="preserve"> Chart, </w:t>
      </w:r>
      <w:r w:rsidRPr="00122E77">
        <w:rPr>
          <w:strike/>
          <w:highlight w:val="lightGray"/>
        </w:rPr>
        <w:t>2007</w:t>
      </w:r>
      <w:r w:rsidRPr="00122E77">
        <w:t xml:space="preserve"> </w:t>
      </w:r>
      <w:r w:rsidRPr="00122E77">
        <w:rPr>
          <w:highlight w:val="lightGray"/>
          <w:u w:val="single"/>
        </w:rPr>
        <w:t>2015</w:t>
      </w:r>
      <w:r w:rsidRPr="00122E77">
        <w:t>, Royal Horticultural Society, London, UK</w:t>
      </w:r>
      <w:bookmarkEnd w:id="75"/>
      <w:r w:rsidRPr="00122E77">
        <w:t xml:space="preserve"> (</w:t>
      </w:r>
      <w:hyperlink r:id="rId71" w:history="1">
        <w:r w:rsidRPr="00122E77">
          <w:rPr>
            <w:color w:val="0000FF"/>
            <w:szCs w:val="24"/>
            <w:u w:val="single"/>
          </w:rPr>
          <w:t>www.rhs.org.uk</w:t>
        </w:r>
      </w:hyperlink>
      <w:r w:rsidRPr="00122E77">
        <w:t>)</w:t>
      </w:r>
    </w:p>
    <w:p w:rsidR="00122E77" w:rsidRPr="00122E77" w:rsidRDefault="00122E77" w:rsidP="00122E77">
      <w:pPr>
        <w:outlineLvl w:val="0"/>
        <w:rPr>
          <w:szCs w:val="24"/>
        </w:rPr>
      </w:pPr>
    </w:p>
    <w:p w:rsidR="00122E77" w:rsidRPr="00122E77" w:rsidRDefault="00122E77" w:rsidP="00122E77"/>
    <w:p w:rsidR="00122E77" w:rsidRPr="00122E77" w:rsidRDefault="00122E77" w:rsidP="00122E77"/>
    <w:p w:rsidR="00122E77" w:rsidRPr="00122E77" w:rsidRDefault="00122E77" w:rsidP="00122E77">
      <w:pPr>
        <w:jc w:val="left"/>
        <w:rPr>
          <w:u w:val="single"/>
        </w:rPr>
      </w:pPr>
      <w:r w:rsidRPr="00122E77">
        <w:rPr>
          <w:u w:val="single"/>
        </w:rPr>
        <w:t>Extract from document TGP/14, Section 2, Subsection 3: Color:  ANNEXES I AND II</w:t>
      </w:r>
    </w:p>
    <w:p w:rsidR="00122E77" w:rsidRPr="00122E77" w:rsidRDefault="00122E77" w:rsidP="00122E77"/>
    <w:p w:rsidR="00122E77" w:rsidRPr="00122E77" w:rsidRDefault="00122E77" w:rsidP="00122E77">
      <w:pPr>
        <w:jc w:val="center"/>
      </w:pPr>
      <w:bookmarkStart w:id="76" w:name="_Toc41303187"/>
      <w:r w:rsidRPr="00122E77">
        <w:t xml:space="preserve">ANNEX </w:t>
      </w:r>
      <w:r w:rsidRPr="00122E77">
        <w:rPr>
          <w:highlight w:val="lightGray"/>
          <w:u w:val="single"/>
        </w:rPr>
        <w:t>I</w:t>
      </w:r>
      <w:r w:rsidRPr="00122E77">
        <w:br/>
      </w:r>
      <w:r w:rsidRPr="00122E77">
        <w:br/>
        <w:t xml:space="preserve">COLOR NAMES FOR THE </w:t>
      </w:r>
      <w:r w:rsidRPr="00122E77">
        <w:rPr>
          <w:highlight w:val="lightGray"/>
          <w:u w:val="single"/>
        </w:rPr>
        <w:t>SIXTH EDITION (2015) OF THE</w:t>
      </w:r>
      <w:r w:rsidRPr="00122E77">
        <w:t xml:space="preserve"> RHS COLOUR CHART</w:t>
      </w:r>
      <w:bookmarkEnd w:id="76"/>
    </w:p>
    <w:p w:rsidR="00122E77" w:rsidRPr="00122E77" w:rsidRDefault="00122E77" w:rsidP="00122E77">
      <w:pPr>
        <w:jc w:val="center"/>
      </w:pPr>
      <w:bookmarkStart w:id="77" w:name="_Toc153367638"/>
    </w:p>
    <w:p w:rsidR="00122E77" w:rsidRPr="00122E77" w:rsidRDefault="00122E77" w:rsidP="00122E77">
      <w:pPr>
        <w:jc w:val="center"/>
      </w:pPr>
    </w:p>
    <w:p w:rsidR="00122E77" w:rsidRPr="00122E77" w:rsidRDefault="00122E77" w:rsidP="00122E77">
      <w:bookmarkStart w:id="78" w:name="_Toc237835588"/>
      <w:bookmarkStart w:id="79" w:name="_Toc260229575"/>
      <w:bookmarkStart w:id="80" w:name="_Toc285808907"/>
      <w:bookmarkStart w:id="81" w:name="_Toc288580710"/>
      <w:bookmarkStart w:id="82" w:name="_Toc311045812"/>
      <w:r w:rsidRPr="00122E77">
        <w:t>1.</w:t>
      </w:r>
      <w:r w:rsidRPr="00122E77">
        <w:tab/>
        <w:t>Introduction</w:t>
      </w:r>
      <w:bookmarkEnd w:id="77"/>
      <w:bookmarkEnd w:id="78"/>
      <w:bookmarkEnd w:id="79"/>
      <w:bookmarkEnd w:id="80"/>
      <w:bookmarkEnd w:id="81"/>
      <w:bookmarkEnd w:id="82"/>
    </w:p>
    <w:p w:rsidR="00122E77" w:rsidRPr="00122E77" w:rsidRDefault="00122E77" w:rsidP="00122E77"/>
    <w:p w:rsidR="00122E77" w:rsidRPr="00122E77" w:rsidRDefault="00122E77" w:rsidP="00122E77">
      <w:pPr>
        <w:tabs>
          <w:tab w:val="left" w:pos="567"/>
          <w:tab w:val="left" w:pos="1134"/>
        </w:tabs>
      </w:pPr>
      <w:r w:rsidRPr="00122E77">
        <w:t>1.1</w:t>
      </w:r>
      <w:r w:rsidRPr="00122E77">
        <w:tab/>
        <w:t xml:space="preserve">When using the RHS </w:t>
      </w:r>
      <w:proofErr w:type="spellStart"/>
      <w:r w:rsidRPr="00122E77">
        <w:t>Colour</w:t>
      </w:r>
      <w:proofErr w:type="spellEnd"/>
      <w:r w:rsidRPr="00122E77">
        <w:t xml:space="preserve"> Chart, the variety description should contain both the RHS </w:t>
      </w:r>
      <w:proofErr w:type="spellStart"/>
      <w:r w:rsidRPr="00122E77">
        <w:t>Colour</w:t>
      </w:r>
      <w:proofErr w:type="spellEnd"/>
      <w:r w:rsidRPr="00122E77">
        <w:t xml:space="preserve"> Chart reference number and a name for the color.  The purpose of this document is to harmonize color names for variety descriptions.</w:t>
      </w:r>
    </w:p>
    <w:p w:rsidR="00122E77" w:rsidRPr="00122E77" w:rsidRDefault="00122E77" w:rsidP="00122E77">
      <w:pPr>
        <w:jc w:val="left"/>
      </w:pPr>
      <w:r w:rsidRPr="00122E77">
        <w:br w:type="page"/>
      </w:r>
    </w:p>
    <w:p w:rsidR="00122E77" w:rsidRPr="00122E77" w:rsidRDefault="00122E77" w:rsidP="00122E77">
      <w:pPr>
        <w:tabs>
          <w:tab w:val="left" w:pos="567"/>
          <w:tab w:val="left" w:pos="1134"/>
        </w:tabs>
        <w:rPr>
          <w:highlight w:val="lightGray"/>
          <w:u w:val="single"/>
        </w:rPr>
      </w:pPr>
      <w:r w:rsidRPr="00122E77">
        <w:rPr>
          <w:highlight w:val="lightGray"/>
          <w:u w:val="single"/>
        </w:rPr>
        <w:lastRenderedPageBreak/>
        <w:t>1.2</w:t>
      </w:r>
      <w:r w:rsidRPr="00122E77">
        <w:rPr>
          <w:highlight w:val="lightGray"/>
          <w:u w:val="single"/>
        </w:rPr>
        <w:tab/>
        <w:t xml:space="preserve">The following table gives an overview of the existing “groups” for the sixth edition of the RHS </w:t>
      </w:r>
      <w:proofErr w:type="spellStart"/>
      <w:r w:rsidRPr="00122E77">
        <w:rPr>
          <w:highlight w:val="lightGray"/>
          <w:u w:val="single"/>
        </w:rPr>
        <w:t>Colour</w:t>
      </w:r>
      <w:proofErr w:type="spellEnd"/>
      <w:r w:rsidRPr="00122E77">
        <w:rPr>
          <w:highlight w:val="lightGray"/>
          <w:u w:val="single"/>
        </w:rPr>
        <w:t xml:space="preserve"> Chart:</w:t>
      </w:r>
    </w:p>
    <w:p w:rsidR="00122E77" w:rsidRPr="00122E77" w:rsidRDefault="00122E77" w:rsidP="00122E77">
      <w:pPr>
        <w:tabs>
          <w:tab w:val="left" w:pos="567"/>
          <w:tab w:val="left" w:pos="1134"/>
        </w:tabs>
        <w:rPr>
          <w:highlight w:val="lightGray"/>
        </w:rPr>
      </w:pPr>
    </w:p>
    <w:tbl>
      <w:tblPr>
        <w:tblW w:w="0" w:type="auto"/>
        <w:tblInd w:w="567" w:type="dxa"/>
        <w:tblLayout w:type="fixed"/>
        <w:tblLook w:val="04A0" w:firstRow="1" w:lastRow="0" w:firstColumn="1" w:lastColumn="0" w:noHBand="0" w:noVBand="1"/>
      </w:tblPr>
      <w:tblGrid>
        <w:gridCol w:w="709"/>
        <w:gridCol w:w="2410"/>
        <w:gridCol w:w="1134"/>
        <w:gridCol w:w="1417"/>
        <w:gridCol w:w="2943"/>
      </w:tblGrid>
      <w:tr w:rsidR="00122E77" w:rsidRPr="00122E77" w:rsidTr="002C31FA">
        <w:tc>
          <w:tcPr>
            <w:tcW w:w="709" w:type="dxa"/>
            <w:tcBorders>
              <w:bottom w:val="single" w:sz="4" w:space="0" w:color="auto"/>
            </w:tcBorders>
            <w:shd w:val="clear" w:color="auto" w:fill="auto"/>
            <w:textDirection w:val="btLr"/>
          </w:tcPr>
          <w:p w:rsidR="00122E77" w:rsidRPr="00122E77" w:rsidRDefault="00122E77" w:rsidP="00122E77">
            <w:pPr>
              <w:ind w:left="113" w:right="113"/>
              <w:jc w:val="left"/>
              <w:rPr>
                <w:sz w:val="18"/>
                <w:highlight w:val="lightGray"/>
                <w:u w:val="single"/>
              </w:rPr>
            </w:pPr>
          </w:p>
          <w:p w:rsidR="00122E77" w:rsidRPr="00122E77" w:rsidRDefault="00122E77" w:rsidP="00122E77">
            <w:pPr>
              <w:ind w:left="113" w:right="113"/>
              <w:jc w:val="left"/>
              <w:rPr>
                <w:sz w:val="18"/>
                <w:highlight w:val="lightGray"/>
                <w:u w:val="single"/>
              </w:rPr>
            </w:pPr>
          </w:p>
          <w:p w:rsidR="00122E77" w:rsidRPr="00122E77" w:rsidRDefault="00122E77" w:rsidP="00122E77">
            <w:pPr>
              <w:ind w:left="113" w:right="113"/>
              <w:jc w:val="left"/>
              <w:rPr>
                <w:sz w:val="18"/>
                <w:highlight w:val="lightGray"/>
                <w:u w:val="single"/>
              </w:rPr>
            </w:pPr>
          </w:p>
          <w:p w:rsidR="00122E77" w:rsidRPr="00122E77" w:rsidRDefault="00122E77" w:rsidP="00122E77">
            <w:pPr>
              <w:ind w:left="113" w:right="113"/>
              <w:jc w:val="center"/>
              <w:rPr>
                <w:sz w:val="18"/>
                <w:highlight w:val="lightGray"/>
                <w:u w:val="single"/>
              </w:rPr>
            </w:pPr>
          </w:p>
          <w:p w:rsidR="00122E77" w:rsidRPr="00122E77" w:rsidRDefault="00122E77" w:rsidP="00122E77">
            <w:pPr>
              <w:ind w:left="113" w:right="113"/>
              <w:jc w:val="center"/>
              <w:rPr>
                <w:sz w:val="18"/>
                <w:highlight w:val="lightGray"/>
                <w:u w:val="single"/>
              </w:rPr>
            </w:pPr>
          </w:p>
          <w:p w:rsidR="00122E77" w:rsidRPr="00122E77" w:rsidRDefault="00122E77" w:rsidP="00122E77">
            <w:pPr>
              <w:ind w:left="113" w:right="113"/>
              <w:jc w:val="center"/>
              <w:rPr>
                <w:sz w:val="18"/>
                <w:highlight w:val="lightGray"/>
                <w:u w:val="single"/>
              </w:rPr>
            </w:pPr>
          </w:p>
          <w:p w:rsidR="00122E77" w:rsidRPr="00122E77" w:rsidRDefault="00122E77" w:rsidP="00122E77">
            <w:pPr>
              <w:ind w:left="113" w:right="113"/>
              <w:jc w:val="center"/>
              <w:rPr>
                <w:sz w:val="18"/>
                <w:highlight w:val="lightGray"/>
                <w:u w:val="single"/>
              </w:rPr>
            </w:pPr>
          </w:p>
        </w:tc>
        <w:tc>
          <w:tcPr>
            <w:tcW w:w="2410" w:type="dxa"/>
            <w:tcBorders>
              <w:bottom w:val="single" w:sz="4" w:space="0" w:color="auto"/>
            </w:tcBorders>
            <w:shd w:val="clear" w:color="auto" w:fill="auto"/>
          </w:tcPr>
          <w:p w:rsidR="00122E77" w:rsidRPr="00122E77" w:rsidRDefault="00122E77" w:rsidP="00122E77">
            <w:pPr>
              <w:jc w:val="left"/>
              <w:rPr>
                <w:sz w:val="18"/>
                <w:highlight w:val="lightGray"/>
                <w:u w:val="single"/>
              </w:rPr>
            </w:pPr>
          </w:p>
        </w:tc>
        <w:tc>
          <w:tcPr>
            <w:tcW w:w="1134" w:type="dxa"/>
            <w:tcBorders>
              <w:bottom w:val="single" w:sz="4" w:space="0" w:color="auto"/>
            </w:tcBorders>
            <w:shd w:val="clear" w:color="auto" w:fill="auto"/>
            <w:vAlign w:val="center"/>
          </w:tcPr>
          <w:p w:rsidR="00122E77" w:rsidRPr="00122E77" w:rsidRDefault="00122E77" w:rsidP="00122E77">
            <w:pPr>
              <w:jc w:val="center"/>
              <w:rPr>
                <w:sz w:val="18"/>
                <w:highlight w:val="lightGray"/>
                <w:u w:val="single"/>
              </w:rPr>
            </w:pPr>
            <w:r w:rsidRPr="00122E77">
              <w:rPr>
                <w:sz w:val="18"/>
                <w:highlight w:val="lightGray"/>
                <w:u w:val="single"/>
              </w:rPr>
              <w:t>Number of entries or groups</w:t>
            </w:r>
          </w:p>
        </w:tc>
        <w:tc>
          <w:tcPr>
            <w:tcW w:w="1417" w:type="dxa"/>
            <w:tcBorders>
              <w:bottom w:val="single" w:sz="4" w:space="0" w:color="auto"/>
            </w:tcBorders>
            <w:shd w:val="clear" w:color="auto" w:fill="auto"/>
            <w:vAlign w:val="center"/>
          </w:tcPr>
          <w:p w:rsidR="00122E77" w:rsidRPr="00122E77" w:rsidRDefault="00122E77" w:rsidP="00122E77">
            <w:pPr>
              <w:jc w:val="center"/>
              <w:rPr>
                <w:sz w:val="18"/>
                <w:highlight w:val="lightGray"/>
                <w:u w:val="single"/>
              </w:rPr>
            </w:pPr>
            <w:r w:rsidRPr="00122E77">
              <w:rPr>
                <w:sz w:val="18"/>
                <w:highlight w:val="lightGray"/>
                <w:u w:val="single"/>
              </w:rPr>
              <w:t>Example</w:t>
            </w:r>
          </w:p>
        </w:tc>
        <w:tc>
          <w:tcPr>
            <w:tcW w:w="2943" w:type="dxa"/>
            <w:tcBorders>
              <w:bottom w:val="single" w:sz="4" w:space="0" w:color="auto"/>
            </w:tcBorders>
            <w:shd w:val="clear" w:color="auto" w:fill="auto"/>
          </w:tcPr>
          <w:p w:rsidR="00122E77" w:rsidRPr="00122E77" w:rsidRDefault="00122E77" w:rsidP="00122E77">
            <w:pPr>
              <w:jc w:val="center"/>
              <w:rPr>
                <w:sz w:val="18"/>
                <w:highlight w:val="lightGray"/>
                <w:u w:val="single"/>
              </w:rPr>
            </w:pPr>
            <w:r w:rsidRPr="00122E77">
              <w:rPr>
                <w:sz w:val="18"/>
                <w:highlight w:val="lightGray"/>
                <w:u w:val="single"/>
              </w:rPr>
              <w:t>Use</w:t>
            </w:r>
          </w:p>
        </w:tc>
      </w:tr>
      <w:tr w:rsidR="00122E77" w:rsidRPr="00122E77" w:rsidTr="002C31FA">
        <w:tc>
          <w:tcPr>
            <w:tcW w:w="709" w:type="dxa"/>
            <w:vMerge w:val="restart"/>
            <w:tcBorders>
              <w:top w:val="single" w:sz="4" w:space="0" w:color="auto"/>
            </w:tcBorders>
            <w:shd w:val="clear" w:color="auto" w:fill="auto"/>
            <w:textDirection w:val="btLr"/>
          </w:tcPr>
          <w:p w:rsidR="00122E77" w:rsidRPr="00122E77" w:rsidRDefault="00122E77" w:rsidP="00122E77">
            <w:pPr>
              <w:ind w:left="113" w:right="113"/>
              <w:jc w:val="center"/>
              <w:rPr>
                <w:sz w:val="18"/>
                <w:highlight w:val="lightGray"/>
                <w:u w:val="single"/>
              </w:rPr>
            </w:pPr>
            <w:r w:rsidRPr="00122E77">
              <w:rPr>
                <w:sz w:val="18"/>
                <w:highlight w:val="lightGray"/>
                <w:u w:val="single"/>
              </w:rPr>
              <w:t>level of precision</w:t>
            </w:r>
          </w:p>
          <w:p w:rsidR="00122E77" w:rsidRPr="00122E77" w:rsidRDefault="00122E77" w:rsidP="00122E77">
            <w:pPr>
              <w:ind w:left="113" w:right="113"/>
              <w:jc w:val="center"/>
              <w:rPr>
                <w:sz w:val="18"/>
                <w:highlight w:val="lightGray"/>
                <w:u w:val="single"/>
              </w:rPr>
            </w:pPr>
            <w:r w:rsidRPr="00122E77">
              <w:rPr>
                <w:sz w:val="18"/>
                <w:highlight w:val="lightGray"/>
                <w:u w:val="single"/>
              </w:rPr>
              <w:t>low                         high</w:t>
            </w:r>
          </w:p>
        </w:tc>
        <w:tc>
          <w:tcPr>
            <w:tcW w:w="2410" w:type="dxa"/>
            <w:tcBorders>
              <w:top w:val="single" w:sz="4" w:space="0" w:color="auto"/>
            </w:tcBorders>
            <w:shd w:val="clear" w:color="auto" w:fill="auto"/>
            <w:vAlign w:val="center"/>
          </w:tcPr>
          <w:p w:rsidR="00122E77" w:rsidRPr="00122E77" w:rsidRDefault="00122E77" w:rsidP="00122E77">
            <w:pPr>
              <w:spacing w:before="120"/>
              <w:jc w:val="left"/>
              <w:rPr>
                <w:sz w:val="18"/>
                <w:highlight w:val="lightGray"/>
                <w:u w:val="single"/>
              </w:rPr>
            </w:pPr>
            <w:r w:rsidRPr="00122E77">
              <w:rPr>
                <w:sz w:val="18"/>
                <w:highlight w:val="lightGray"/>
                <w:u w:val="single"/>
              </w:rPr>
              <w:t xml:space="preserve">RHS </w:t>
            </w:r>
            <w:proofErr w:type="spellStart"/>
            <w:r w:rsidRPr="00122E77">
              <w:rPr>
                <w:sz w:val="18"/>
                <w:highlight w:val="lightGray"/>
                <w:u w:val="single"/>
              </w:rPr>
              <w:t>Colour</w:t>
            </w:r>
            <w:proofErr w:type="spellEnd"/>
            <w:r w:rsidRPr="00122E77">
              <w:rPr>
                <w:sz w:val="18"/>
                <w:highlight w:val="lightGray"/>
                <w:u w:val="single"/>
              </w:rPr>
              <w:t xml:space="preserve"> Chart Number</w:t>
            </w:r>
          </w:p>
        </w:tc>
        <w:tc>
          <w:tcPr>
            <w:tcW w:w="1134" w:type="dxa"/>
            <w:tcBorders>
              <w:top w:val="single" w:sz="4" w:space="0" w:color="auto"/>
            </w:tcBorders>
            <w:shd w:val="clear" w:color="auto" w:fill="auto"/>
            <w:vAlign w:val="center"/>
          </w:tcPr>
          <w:p w:rsidR="00122E77" w:rsidRPr="00122E77" w:rsidRDefault="00122E77" w:rsidP="00122E77">
            <w:pPr>
              <w:spacing w:before="120"/>
              <w:jc w:val="center"/>
              <w:rPr>
                <w:sz w:val="18"/>
                <w:highlight w:val="lightGray"/>
                <w:u w:val="single"/>
              </w:rPr>
            </w:pPr>
            <w:r w:rsidRPr="00122E77">
              <w:rPr>
                <w:sz w:val="18"/>
                <w:highlight w:val="lightGray"/>
                <w:u w:val="single"/>
              </w:rPr>
              <w:t>920</w:t>
            </w:r>
          </w:p>
        </w:tc>
        <w:tc>
          <w:tcPr>
            <w:tcW w:w="1417" w:type="dxa"/>
            <w:tcBorders>
              <w:top w:val="single" w:sz="4" w:space="0" w:color="auto"/>
            </w:tcBorders>
            <w:shd w:val="clear" w:color="auto" w:fill="auto"/>
            <w:vAlign w:val="center"/>
          </w:tcPr>
          <w:p w:rsidR="00122E77" w:rsidRPr="00122E77" w:rsidRDefault="00122E77" w:rsidP="00122E77">
            <w:pPr>
              <w:spacing w:before="120"/>
              <w:jc w:val="center"/>
              <w:rPr>
                <w:sz w:val="18"/>
                <w:highlight w:val="lightGray"/>
                <w:u w:val="single"/>
              </w:rPr>
            </w:pPr>
            <w:r w:rsidRPr="00122E77">
              <w:rPr>
                <w:sz w:val="18"/>
                <w:highlight w:val="lightGray"/>
                <w:u w:val="single"/>
              </w:rPr>
              <w:t>49A</w:t>
            </w:r>
          </w:p>
        </w:tc>
        <w:tc>
          <w:tcPr>
            <w:tcW w:w="2943" w:type="dxa"/>
            <w:tcBorders>
              <w:top w:val="single" w:sz="4" w:space="0" w:color="auto"/>
            </w:tcBorders>
            <w:shd w:val="clear" w:color="auto" w:fill="auto"/>
            <w:vAlign w:val="center"/>
          </w:tcPr>
          <w:p w:rsidR="00122E77" w:rsidRPr="00122E77" w:rsidRDefault="00122E77" w:rsidP="00122E77">
            <w:pPr>
              <w:spacing w:before="120"/>
              <w:jc w:val="left"/>
              <w:rPr>
                <w:sz w:val="18"/>
                <w:highlight w:val="lightGray"/>
                <w:u w:val="single"/>
              </w:rPr>
            </w:pPr>
            <w:r w:rsidRPr="00122E77">
              <w:rPr>
                <w:sz w:val="18"/>
                <w:highlight w:val="lightGray"/>
                <w:u w:val="single"/>
              </w:rPr>
              <w:t>Used for precise description of colors of plant parts.</w:t>
            </w:r>
          </w:p>
        </w:tc>
      </w:tr>
      <w:tr w:rsidR="00122E77" w:rsidRPr="00122E77" w:rsidTr="002C31FA">
        <w:trPr>
          <w:trHeight w:val="350"/>
        </w:trPr>
        <w:tc>
          <w:tcPr>
            <w:tcW w:w="709" w:type="dxa"/>
            <w:vMerge/>
            <w:shd w:val="clear" w:color="auto" w:fill="auto"/>
            <w:vAlign w:val="center"/>
          </w:tcPr>
          <w:p w:rsidR="00122E77" w:rsidRPr="00122E77" w:rsidRDefault="00122E77" w:rsidP="00122E77">
            <w:pPr>
              <w:jc w:val="center"/>
              <w:rPr>
                <w:sz w:val="18"/>
                <w:highlight w:val="lightGray"/>
                <w:u w:val="single"/>
              </w:rPr>
            </w:pPr>
          </w:p>
        </w:tc>
        <w:tc>
          <w:tcPr>
            <w:tcW w:w="2410" w:type="dxa"/>
            <w:shd w:val="clear" w:color="auto" w:fill="auto"/>
            <w:vAlign w:val="center"/>
          </w:tcPr>
          <w:p w:rsidR="00122E77" w:rsidRPr="00122E77" w:rsidRDefault="00122E77" w:rsidP="00122E77">
            <w:pPr>
              <w:spacing w:before="120"/>
              <w:jc w:val="left"/>
              <w:rPr>
                <w:sz w:val="18"/>
                <w:highlight w:val="lightGray"/>
                <w:u w:val="single"/>
              </w:rPr>
            </w:pPr>
            <w:r w:rsidRPr="00122E77">
              <w:rPr>
                <w:sz w:val="18"/>
                <w:highlight w:val="lightGray"/>
                <w:u w:val="single"/>
              </w:rPr>
              <w:t xml:space="preserve">RHS </w:t>
            </w:r>
            <w:proofErr w:type="spellStart"/>
            <w:r w:rsidRPr="00122E77">
              <w:rPr>
                <w:sz w:val="18"/>
                <w:highlight w:val="lightGray"/>
                <w:u w:val="single"/>
              </w:rPr>
              <w:t>Colour</w:t>
            </w:r>
            <w:proofErr w:type="spellEnd"/>
            <w:r w:rsidRPr="00122E77">
              <w:rPr>
                <w:sz w:val="18"/>
                <w:highlight w:val="lightGray"/>
                <w:u w:val="single"/>
              </w:rPr>
              <w:t xml:space="preserve"> Name</w:t>
            </w:r>
          </w:p>
        </w:tc>
        <w:tc>
          <w:tcPr>
            <w:tcW w:w="1134" w:type="dxa"/>
            <w:shd w:val="clear" w:color="auto" w:fill="auto"/>
            <w:vAlign w:val="center"/>
          </w:tcPr>
          <w:p w:rsidR="00122E77" w:rsidRPr="00122E77" w:rsidRDefault="00122E77" w:rsidP="00122E77">
            <w:pPr>
              <w:spacing w:before="120"/>
              <w:jc w:val="center"/>
              <w:rPr>
                <w:sz w:val="18"/>
                <w:highlight w:val="lightGray"/>
                <w:u w:val="single"/>
              </w:rPr>
            </w:pPr>
            <w:r w:rsidRPr="00122E77">
              <w:rPr>
                <w:sz w:val="18"/>
                <w:highlight w:val="lightGray"/>
                <w:u w:val="single"/>
              </w:rPr>
              <w:t>190</w:t>
            </w:r>
          </w:p>
        </w:tc>
        <w:tc>
          <w:tcPr>
            <w:tcW w:w="1417" w:type="dxa"/>
            <w:shd w:val="clear" w:color="auto" w:fill="auto"/>
            <w:vAlign w:val="center"/>
          </w:tcPr>
          <w:p w:rsidR="00122E77" w:rsidRPr="00122E77" w:rsidRDefault="00122E77" w:rsidP="00122E77">
            <w:pPr>
              <w:spacing w:before="120"/>
              <w:jc w:val="center"/>
              <w:rPr>
                <w:sz w:val="18"/>
                <w:highlight w:val="lightGray"/>
                <w:u w:val="single"/>
              </w:rPr>
            </w:pPr>
            <w:r w:rsidRPr="00122E77">
              <w:rPr>
                <w:sz w:val="18"/>
                <w:highlight w:val="lightGray"/>
                <w:u w:val="single"/>
              </w:rPr>
              <w:t>Strong Pink</w:t>
            </w:r>
          </w:p>
        </w:tc>
        <w:tc>
          <w:tcPr>
            <w:tcW w:w="2943" w:type="dxa"/>
            <w:shd w:val="clear" w:color="auto" w:fill="auto"/>
            <w:vAlign w:val="center"/>
          </w:tcPr>
          <w:p w:rsidR="00122E77" w:rsidRPr="00122E77" w:rsidRDefault="00122E77" w:rsidP="00122E77">
            <w:pPr>
              <w:spacing w:before="120"/>
              <w:jc w:val="left"/>
              <w:rPr>
                <w:sz w:val="18"/>
                <w:highlight w:val="lightGray"/>
                <w:u w:val="single"/>
              </w:rPr>
            </w:pPr>
            <w:r w:rsidRPr="00122E77">
              <w:rPr>
                <w:sz w:val="18"/>
                <w:highlight w:val="lightGray"/>
                <w:u w:val="single"/>
              </w:rPr>
              <w:t>not used for UPOV purposes</w:t>
            </w:r>
          </w:p>
        </w:tc>
      </w:tr>
      <w:tr w:rsidR="00122E77" w:rsidRPr="00122E77" w:rsidTr="002C31FA">
        <w:tc>
          <w:tcPr>
            <w:tcW w:w="709" w:type="dxa"/>
            <w:vMerge/>
            <w:shd w:val="clear" w:color="auto" w:fill="auto"/>
            <w:vAlign w:val="center"/>
          </w:tcPr>
          <w:p w:rsidR="00122E77" w:rsidRPr="00122E77" w:rsidRDefault="00122E77" w:rsidP="00122E77">
            <w:pPr>
              <w:jc w:val="center"/>
              <w:rPr>
                <w:sz w:val="18"/>
                <w:highlight w:val="lightGray"/>
                <w:u w:val="single"/>
              </w:rPr>
            </w:pPr>
          </w:p>
        </w:tc>
        <w:tc>
          <w:tcPr>
            <w:tcW w:w="2410" w:type="dxa"/>
            <w:shd w:val="clear" w:color="auto" w:fill="auto"/>
            <w:vAlign w:val="center"/>
          </w:tcPr>
          <w:p w:rsidR="00122E77" w:rsidRPr="00122E77" w:rsidRDefault="00122E77" w:rsidP="00122E77">
            <w:pPr>
              <w:jc w:val="left"/>
              <w:rPr>
                <w:sz w:val="18"/>
                <w:highlight w:val="lightGray"/>
                <w:u w:val="single"/>
              </w:rPr>
            </w:pPr>
            <w:r w:rsidRPr="00122E77">
              <w:rPr>
                <w:sz w:val="18"/>
                <w:highlight w:val="lightGray"/>
                <w:u w:val="single"/>
              </w:rPr>
              <w:t>UPOV Color Name</w:t>
            </w:r>
          </w:p>
        </w:tc>
        <w:tc>
          <w:tcPr>
            <w:tcW w:w="1134" w:type="dxa"/>
            <w:shd w:val="clear" w:color="auto" w:fill="auto"/>
            <w:vAlign w:val="center"/>
          </w:tcPr>
          <w:p w:rsidR="00122E77" w:rsidRPr="00122E77" w:rsidRDefault="00122E77" w:rsidP="00122E77">
            <w:pPr>
              <w:jc w:val="center"/>
              <w:rPr>
                <w:sz w:val="18"/>
                <w:highlight w:val="lightGray"/>
                <w:u w:val="single"/>
              </w:rPr>
            </w:pPr>
            <w:r w:rsidRPr="00122E77">
              <w:rPr>
                <w:sz w:val="18"/>
                <w:highlight w:val="lightGray"/>
                <w:u w:val="single"/>
              </w:rPr>
              <w:t>73</w:t>
            </w:r>
          </w:p>
        </w:tc>
        <w:tc>
          <w:tcPr>
            <w:tcW w:w="1417" w:type="dxa"/>
            <w:shd w:val="clear" w:color="auto" w:fill="auto"/>
            <w:vAlign w:val="center"/>
          </w:tcPr>
          <w:p w:rsidR="00122E77" w:rsidRPr="00122E77" w:rsidRDefault="00122E77" w:rsidP="00122E77">
            <w:pPr>
              <w:jc w:val="center"/>
              <w:rPr>
                <w:sz w:val="18"/>
                <w:highlight w:val="lightGray"/>
                <w:u w:val="single"/>
              </w:rPr>
            </w:pPr>
            <w:r w:rsidRPr="00122E77">
              <w:rPr>
                <w:sz w:val="18"/>
                <w:highlight w:val="lightGray"/>
                <w:u w:val="single"/>
              </w:rPr>
              <w:t>Pink</w:t>
            </w:r>
            <w:r w:rsidRPr="00122E77">
              <w:rPr>
                <w:sz w:val="18"/>
                <w:highlight w:val="lightGray"/>
                <w:u w:val="single"/>
              </w:rPr>
              <w:br/>
            </w:r>
            <w:r w:rsidRPr="00122E77">
              <w:rPr>
                <w:sz w:val="18"/>
                <w:szCs w:val="16"/>
                <w:highlight w:val="lightGray"/>
                <w:u w:val="single"/>
              </w:rPr>
              <w:t>(group 29)</w:t>
            </w:r>
          </w:p>
        </w:tc>
        <w:tc>
          <w:tcPr>
            <w:tcW w:w="2943" w:type="dxa"/>
            <w:shd w:val="clear" w:color="auto" w:fill="auto"/>
            <w:vAlign w:val="center"/>
          </w:tcPr>
          <w:p w:rsidR="00122E77" w:rsidRPr="00122E77" w:rsidRDefault="00122E77" w:rsidP="00122E77">
            <w:pPr>
              <w:jc w:val="left"/>
              <w:rPr>
                <w:sz w:val="18"/>
                <w:highlight w:val="lightGray"/>
                <w:u w:val="single"/>
              </w:rPr>
            </w:pPr>
          </w:p>
          <w:p w:rsidR="00122E77" w:rsidRPr="00122E77" w:rsidRDefault="00122E77" w:rsidP="00122E77">
            <w:pPr>
              <w:jc w:val="left"/>
              <w:rPr>
                <w:sz w:val="18"/>
                <w:highlight w:val="lightGray"/>
                <w:u w:val="single"/>
              </w:rPr>
            </w:pPr>
            <w:r w:rsidRPr="00122E77">
              <w:rPr>
                <w:sz w:val="18"/>
                <w:highlight w:val="lightGray"/>
                <w:u w:val="single"/>
              </w:rPr>
              <w:t xml:space="preserve">Used in the variety description to translate the RHS </w:t>
            </w:r>
            <w:proofErr w:type="spellStart"/>
            <w:r w:rsidRPr="00122E77">
              <w:rPr>
                <w:sz w:val="18"/>
                <w:highlight w:val="lightGray"/>
                <w:u w:val="single"/>
              </w:rPr>
              <w:t>Colour</w:t>
            </w:r>
            <w:proofErr w:type="spellEnd"/>
            <w:r w:rsidRPr="00122E77">
              <w:rPr>
                <w:sz w:val="18"/>
                <w:highlight w:val="lightGray"/>
                <w:u w:val="single"/>
              </w:rPr>
              <w:t xml:space="preserve"> Chart number into a color name. </w:t>
            </w:r>
          </w:p>
        </w:tc>
      </w:tr>
      <w:tr w:rsidR="00122E77" w:rsidRPr="00122E77" w:rsidTr="002C31FA">
        <w:tc>
          <w:tcPr>
            <w:tcW w:w="709" w:type="dxa"/>
            <w:vMerge/>
            <w:shd w:val="clear" w:color="auto" w:fill="auto"/>
            <w:vAlign w:val="center"/>
          </w:tcPr>
          <w:p w:rsidR="00122E77" w:rsidRPr="00122E77" w:rsidRDefault="00122E77" w:rsidP="00122E77">
            <w:pPr>
              <w:jc w:val="center"/>
              <w:rPr>
                <w:sz w:val="18"/>
                <w:highlight w:val="lightGray"/>
                <w:u w:val="single"/>
              </w:rPr>
            </w:pPr>
          </w:p>
        </w:tc>
        <w:tc>
          <w:tcPr>
            <w:tcW w:w="2410" w:type="dxa"/>
            <w:shd w:val="clear" w:color="auto" w:fill="auto"/>
            <w:vAlign w:val="center"/>
          </w:tcPr>
          <w:p w:rsidR="00122E77" w:rsidRPr="00122E77" w:rsidRDefault="00122E77" w:rsidP="00122E77">
            <w:pPr>
              <w:spacing w:before="120"/>
              <w:jc w:val="left"/>
              <w:rPr>
                <w:sz w:val="18"/>
                <w:highlight w:val="lightGray"/>
                <w:u w:val="single"/>
              </w:rPr>
            </w:pPr>
            <w:r w:rsidRPr="00122E77">
              <w:rPr>
                <w:sz w:val="18"/>
                <w:highlight w:val="lightGray"/>
                <w:u w:val="single"/>
              </w:rPr>
              <w:t>RHS Color Group</w:t>
            </w:r>
            <w:r w:rsidRPr="00122E77">
              <w:rPr>
                <w:sz w:val="18"/>
                <w:highlight w:val="lightGray"/>
                <w:u w:val="single"/>
              </w:rPr>
              <w:br/>
              <w:t>(heading on each sheet)</w:t>
            </w:r>
          </w:p>
        </w:tc>
        <w:tc>
          <w:tcPr>
            <w:tcW w:w="1134" w:type="dxa"/>
            <w:shd w:val="clear" w:color="auto" w:fill="auto"/>
            <w:vAlign w:val="center"/>
          </w:tcPr>
          <w:p w:rsidR="00122E77" w:rsidRPr="00122E77" w:rsidRDefault="00122E77" w:rsidP="00122E77">
            <w:pPr>
              <w:spacing w:before="120"/>
              <w:jc w:val="center"/>
              <w:rPr>
                <w:sz w:val="18"/>
                <w:highlight w:val="lightGray"/>
                <w:u w:val="single"/>
              </w:rPr>
            </w:pPr>
            <w:r w:rsidRPr="00122E77">
              <w:rPr>
                <w:sz w:val="18"/>
                <w:highlight w:val="lightGray"/>
                <w:u w:val="single"/>
              </w:rPr>
              <w:t>29</w:t>
            </w:r>
          </w:p>
        </w:tc>
        <w:tc>
          <w:tcPr>
            <w:tcW w:w="1417" w:type="dxa"/>
            <w:shd w:val="clear" w:color="auto" w:fill="auto"/>
            <w:vAlign w:val="center"/>
          </w:tcPr>
          <w:p w:rsidR="00122E77" w:rsidRPr="00122E77" w:rsidRDefault="00122E77" w:rsidP="00122E77">
            <w:pPr>
              <w:spacing w:before="120"/>
              <w:jc w:val="center"/>
              <w:rPr>
                <w:sz w:val="18"/>
                <w:highlight w:val="lightGray"/>
                <w:u w:val="single"/>
              </w:rPr>
            </w:pPr>
            <w:r w:rsidRPr="00122E77">
              <w:rPr>
                <w:sz w:val="18"/>
                <w:highlight w:val="lightGray"/>
                <w:u w:val="single"/>
              </w:rPr>
              <w:t>Red Group</w:t>
            </w:r>
          </w:p>
        </w:tc>
        <w:tc>
          <w:tcPr>
            <w:tcW w:w="2943" w:type="dxa"/>
            <w:shd w:val="clear" w:color="auto" w:fill="auto"/>
            <w:vAlign w:val="center"/>
          </w:tcPr>
          <w:p w:rsidR="00122E77" w:rsidRPr="00122E77" w:rsidRDefault="00122E77" w:rsidP="00122E77">
            <w:pPr>
              <w:spacing w:before="120"/>
              <w:jc w:val="left"/>
              <w:rPr>
                <w:sz w:val="18"/>
                <w:u w:val="single"/>
              </w:rPr>
            </w:pPr>
            <w:r w:rsidRPr="00122E77">
              <w:rPr>
                <w:sz w:val="18"/>
                <w:highlight w:val="lightGray"/>
                <w:u w:val="single"/>
              </w:rPr>
              <w:t>not used for UPOV purposes</w:t>
            </w:r>
          </w:p>
        </w:tc>
      </w:tr>
    </w:tbl>
    <w:p w:rsidR="00122E77" w:rsidRPr="00122E77" w:rsidRDefault="00122E77" w:rsidP="00122E77">
      <w:pPr>
        <w:tabs>
          <w:tab w:val="left" w:pos="567"/>
          <w:tab w:val="left" w:pos="1134"/>
        </w:tabs>
        <w:ind w:right="567"/>
        <w:rPr>
          <w:u w:val="single"/>
        </w:rPr>
      </w:pPr>
    </w:p>
    <w:p w:rsidR="00122E77" w:rsidRPr="00122E77" w:rsidRDefault="00122E77" w:rsidP="00122E77">
      <w:pPr>
        <w:tabs>
          <w:tab w:val="left" w:pos="567"/>
          <w:tab w:val="left" w:pos="1134"/>
        </w:tabs>
      </w:pPr>
    </w:p>
    <w:p w:rsidR="00122E77" w:rsidRPr="00122E77" w:rsidRDefault="00122E77" w:rsidP="00122E77">
      <w:pPr>
        <w:tabs>
          <w:tab w:val="left" w:pos="567"/>
          <w:tab w:val="left" w:pos="1134"/>
        </w:tabs>
      </w:pPr>
      <w:r w:rsidRPr="00122E77">
        <w:rPr>
          <w:highlight w:val="lightGray"/>
          <w:u w:val="single"/>
        </w:rPr>
        <w:t>1.</w:t>
      </w:r>
      <w:r w:rsidRPr="00122E77">
        <w:rPr>
          <w:strike/>
          <w:highlight w:val="lightGray"/>
        </w:rPr>
        <w:t>2</w:t>
      </w:r>
      <w:r w:rsidRPr="00122E77">
        <w:rPr>
          <w:highlight w:val="lightGray"/>
          <w:u w:val="single"/>
        </w:rPr>
        <w:t xml:space="preserve"> 3</w:t>
      </w:r>
      <w:r w:rsidRPr="00122E77">
        <w:tab/>
      </w:r>
      <w:r w:rsidRPr="00122E77">
        <w:rPr>
          <w:highlight w:val="lightGray"/>
          <w:u w:val="single"/>
        </w:rPr>
        <w:t>In the editions one to five (1966 until 2007)</w:t>
      </w:r>
      <w:r w:rsidRPr="00122E77">
        <w:rPr>
          <w:u w:val="single"/>
        </w:rPr>
        <w:t xml:space="preserve"> </w:t>
      </w:r>
      <w:proofErr w:type="spellStart"/>
      <w:r w:rsidRPr="00122E77">
        <w:rPr>
          <w:strike/>
          <w:highlight w:val="lightGray"/>
        </w:rPr>
        <w:t>T</w:t>
      </w:r>
      <w:r w:rsidRPr="00122E77">
        <w:rPr>
          <w:highlight w:val="lightGray"/>
          <w:u w:val="single"/>
        </w:rPr>
        <w:t>t</w:t>
      </w:r>
      <w:r w:rsidRPr="00122E77">
        <w:t>he</w:t>
      </w:r>
      <w:proofErr w:type="spellEnd"/>
      <w:r w:rsidRPr="00122E77">
        <w:t xml:space="preserve"> RHS </w:t>
      </w:r>
      <w:proofErr w:type="spellStart"/>
      <w:r w:rsidRPr="00122E77">
        <w:t>Colour</w:t>
      </w:r>
      <w:proofErr w:type="spellEnd"/>
      <w:r w:rsidRPr="00122E77">
        <w:t xml:space="preserve"> Chart </w:t>
      </w:r>
      <w:proofErr w:type="spellStart"/>
      <w:r w:rsidRPr="00122E77">
        <w:t>contain</w:t>
      </w:r>
      <w:r w:rsidRPr="00122E77">
        <w:rPr>
          <w:highlight w:val="lightGray"/>
          <w:u w:val="single"/>
        </w:rPr>
        <w:t>ed</w:t>
      </w:r>
      <w:r w:rsidRPr="00122E77">
        <w:rPr>
          <w:strike/>
          <w:highlight w:val="lightGray"/>
        </w:rPr>
        <w:t>s</w:t>
      </w:r>
      <w:proofErr w:type="spellEnd"/>
      <w:r w:rsidRPr="00122E77">
        <w:t xml:space="preserve"> up to 896 colors, which </w:t>
      </w:r>
      <w:r w:rsidRPr="00122E77">
        <w:rPr>
          <w:strike/>
          <w:highlight w:val="lightGray"/>
        </w:rPr>
        <w:t>are</w:t>
      </w:r>
      <w:r w:rsidRPr="00122E77">
        <w:t xml:space="preserve"> </w:t>
      </w:r>
      <w:r w:rsidRPr="00122E77">
        <w:rPr>
          <w:highlight w:val="lightGray"/>
          <w:u w:val="single"/>
        </w:rPr>
        <w:t>were</w:t>
      </w:r>
      <w:r w:rsidRPr="00122E77">
        <w:t xml:space="preserve"> divided into 23 “groups” to name the colors.  However, for UPOV purposes, this initial grouping seemed unable to name the colors in variety descriptions in a sufficiently precise way.  Therefore, UPOV has identified </w:t>
      </w:r>
      <w:r w:rsidRPr="00122E77">
        <w:rPr>
          <w:strike/>
          <w:highlight w:val="lightGray"/>
        </w:rPr>
        <w:t>50</w:t>
      </w:r>
      <w:r w:rsidRPr="00122E77">
        <w:t xml:space="preserve"> </w:t>
      </w:r>
      <w:r w:rsidRPr="00122E77">
        <w:rPr>
          <w:highlight w:val="lightGray"/>
          <w:u w:val="single"/>
        </w:rPr>
        <w:t>its own</w:t>
      </w:r>
      <w:r w:rsidRPr="00122E77">
        <w:t xml:space="preserve"> color </w:t>
      </w:r>
      <w:r w:rsidRPr="00122E77">
        <w:rPr>
          <w:highlight w:val="lightGray"/>
          <w:u w:val="single"/>
        </w:rPr>
        <w:t>name</w:t>
      </w:r>
      <w:r w:rsidRPr="00122E77">
        <w:t xml:space="preserve"> “groups” </w:t>
      </w:r>
      <w:r w:rsidRPr="00122E77">
        <w:rPr>
          <w:strike/>
          <w:highlight w:val="lightGray"/>
        </w:rPr>
        <w:t>which are presented in this document.</w:t>
      </w:r>
    </w:p>
    <w:p w:rsidR="00122E77" w:rsidRPr="00122E77" w:rsidRDefault="00122E77" w:rsidP="00122E77">
      <w:pPr>
        <w:ind w:right="567"/>
      </w:pPr>
    </w:p>
    <w:p w:rsidR="00122E77" w:rsidRPr="00122E77" w:rsidRDefault="00122E77" w:rsidP="00122E77">
      <w:pPr>
        <w:tabs>
          <w:tab w:val="left" w:pos="567"/>
          <w:tab w:val="left" w:pos="1134"/>
        </w:tabs>
        <w:rPr>
          <w:highlight w:val="lightGray"/>
          <w:u w:val="single"/>
        </w:rPr>
      </w:pPr>
      <w:r w:rsidRPr="00122E77">
        <w:rPr>
          <w:highlight w:val="lightGray"/>
          <w:u w:val="single"/>
        </w:rPr>
        <w:t>1.4</w:t>
      </w:r>
      <w:r w:rsidRPr="00122E77">
        <w:rPr>
          <w:highlight w:val="lightGray"/>
          <w:u w:val="single"/>
        </w:rPr>
        <w:tab/>
        <w:t xml:space="preserve">In the sixth edition (2015) of the RHS </w:t>
      </w:r>
      <w:proofErr w:type="spellStart"/>
      <w:r w:rsidRPr="00122E77">
        <w:rPr>
          <w:highlight w:val="lightGray"/>
          <w:u w:val="single"/>
        </w:rPr>
        <w:t>Colour</w:t>
      </w:r>
      <w:proofErr w:type="spellEnd"/>
      <w:r w:rsidRPr="00122E77">
        <w:rPr>
          <w:highlight w:val="lightGray"/>
          <w:u w:val="single"/>
        </w:rPr>
        <w:t xml:space="preserve"> Chart for the first time each patch has a color name. However, these color names do not always reflect the color similarity of the patches and therefore it seemed not appropriate to use these names for UPOV purposes.</w:t>
      </w:r>
    </w:p>
    <w:p w:rsidR="00122E77" w:rsidRPr="00122E77" w:rsidRDefault="00122E77" w:rsidP="00122E77">
      <w:pPr>
        <w:ind w:right="567"/>
        <w:rPr>
          <w:highlight w:val="lightGray"/>
          <w:u w:val="single"/>
        </w:rPr>
      </w:pPr>
    </w:p>
    <w:p w:rsidR="00122E77" w:rsidRPr="00122E77" w:rsidRDefault="00122E77" w:rsidP="00122E77">
      <w:pPr>
        <w:tabs>
          <w:tab w:val="left" w:pos="567"/>
          <w:tab w:val="left" w:pos="1134"/>
        </w:tabs>
      </w:pPr>
      <w:r w:rsidRPr="00122E77">
        <w:rPr>
          <w:highlight w:val="lightGray"/>
          <w:u w:val="single"/>
        </w:rPr>
        <w:t>1.5</w:t>
      </w:r>
      <w:r w:rsidRPr="00122E77">
        <w:rPr>
          <w:highlight w:val="lightGray"/>
          <w:u w:val="single"/>
        </w:rPr>
        <w:tab/>
        <w:t xml:space="preserve">On the basis of the sixth edition of the RHS </w:t>
      </w:r>
      <w:proofErr w:type="spellStart"/>
      <w:r w:rsidRPr="00122E77">
        <w:rPr>
          <w:highlight w:val="lightGray"/>
          <w:u w:val="single"/>
        </w:rPr>
        <w:t>Colour</w:t>
      </w:r>
      <w:proofErr w:type="spellEnd"/>
      <w:r w:rsidRPr="00122E77">
        <w:rPr>
          <w:highlight w:val="lightGray"/>
          <w:u w:val="single"/>
        </w:rPr>
        <w:t xml:space="preserve"> Chart UPOV has identified 73 color “groups” which are presented in this document.  For naming of the RHS </w:t>
      </w:r>
      <w:proofErr w:type="spellStart"/>
      <w:r w:rsidRPr="00122E77">
        <w:rPr>
          <w:highlight w:val="lightGray"/>
          <w:u w:val="single"/>
        </w:rPr>
        <w:t>Colour</w:t>
      </w:r>
      <w:proofErr w:type="spellEnd"/>
      <w:r w:rsidRPr="00122E77">
        <w:rPr>
          <w:highlight w:val="lightGray"/>
          <w:u w:val="single"/>
        </w:rPr>
        <w:t xml:space="preserve"> Charts in the editions one to five (1966 to 2007), see Annex II to Subsection 3 to this document.</w:t>
      </w:r>
      <w:r w:rsidRPr="00122E77">
        <w:t xml:space="preserve">  It is important to note that these color “groups” were not created for the purpose of grouping varieties for DUS trials and should not be used for that purpose. Information on the grouping of varieties for DUS trials can be found in document </w:t>
      </w:r>
      <w:hyperlink r:id="rId72" w:history="1">
        <w:r w:rsidRPr="00122E77">
          <w:rPr>
            <w:color w:val="0000FF"/>
            <w:highlight w:val="lightGray"/>
            <w:u w:val="single"/>
          </w:rPr>
          <w:t>TGP/9</w:t>
        </w:r>
      </w:hyperlink>
      <w:r w:rsidRPr="00122E77">
        <w:rPr>
          <w:strike/>
          <w:highlight w:val="lightGray"/>
        </w:rPr>
        <w:t>/1</w:t>
      </w:r>
      <w:r w:rsidRPr="00122E77">
        <w:t xml:space="preserve"> "Examining Distinctness".</w:t>
      </w:r>
    </w:p>
    <w:p w:rsidR="00122E77" w:rsidRPr="00122E77" w:rsidRDefault="00122E77" w:rsidP="00122E77">
      <w:pPr>
        <w:tabs>
          <w:tab w:val="left" w:pos="567"/>
          <w:tab w:val="left" w:pos="1134"/>
        </w:tabs>
      </w:pPr>
    </w:p>
    <w:p w:rsidR="00122E77" w:rsidRPr="00122E77" w:rsidRDefault="00122E77" w:rsidP="00122E77">
      <w:pPr>
        <w:tabs>
          <w:tab w:val="left" w:pos="567"/>
          <w:tab w:val="left" w:pos="1134"/>
          <w:tab w:val="left" w:pos="8707"/>
          <w:tab w:val="right" w:pos="8931"/>
        </w:tabs>
      </w:pPr>
      <w:r w:rsidRPr="00122E77">
        <w:rPr>
          <w:highlight w:val="lightGray"/>
          <w:u w:val="single"/>
        </w:rPr>
        <w:t>1.</w:t>
      </w:r>
      <w:r w:rsidRPr="00122E77">
        <w:rPr>
          <w:strike/>
          <w:highlight w:val="lightGray"/>
        </w:rPr>
        <w:t xml:space="preserve">3 </w:t>
      </w:r>
      <w:r w:rsidRPr="00122E77">
        <w:rPr>
          <w:highlight w:val="lightGray"/>
          <w:u w:val="single"/>
        </w:rPr>
        <w:t>6</w:t>
      </w:r>
      <w:r w:rsidRPr="00122E77">
        <w:tab/>
        <w:t xml:space="preserve">The names used for the </w:t>
      </w:r>
      <w:r w:rsidRPr="00122E77">
        <w:rPr>
          <w:strike/>
          <w:highlight w:val="lightGray"/>
        </w:rPr>
        <w:t>50</w:t>
      </w:r>
      <w:r w:rsidRPr="00122E77">
        <w:t xml:space="preserve"> </w:t>
      </w:r>
      <w:r w:rsidRPr="00122E77">
        <w:rPr>
          <w:highlight w:val="lightGray"/>
          <w:u w:val="single"/>
        </w:rPr>
        <w:t>73</w:t>
      </w:r>
      <w:r w:rsidRPr="00122E77">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rsidR="00122E77" w:rsidRPr="00122E77" w:rsidRDefault="00122E77" w:rsidP="00122E77">
      <w:pPr>
        <w:tabs>
          <w:tab w:val="left" w:pos="567"/>
          <w:tab w:val="left" w:pos="1134"/>
          <w:tab w:val="left" w:pos="8707"/>
          <w:tab w:val="right" w:pos="8931"/>
        </w:tabs>
      </w:pPr>
    </w:p>
    <w:p w:rsidR="00122E77" w:rsidRPr="00122E77" w:rsidRDefault="00122E77" w:rsidP="00122E77">
      <w:pPr>
        <w:ind w:right="-1"/>
        <w:rPr>
          <w:strike/>
        </w:rPr>
      </w:pPr>
      <w:r w:rsidRPr="00122E77">
        <w:rPr>
          <w:strike/>
          <w:highlight w:val="lightGray"/>
        </w:rPr>
        <w:t>1.4</w:t>
      </w:r>
      <w:r w:rsidRPr="00122E77">
        <w:rPr>
          <w:strike/>
          <w:highlight w:val="lightGray"/>
        </w:rPr>
        <w:tab/>
        <w:t xml:space="preserve">The color names in this document can be used with different editions of the RHS </w:t>
      </w:r>
      <w:proofErr w:type="spellStart"/>
      <w:r w:rsidRPr="00122E77">
        <w:rPr>
          <w:strike/>
          <w:highlight w:val="lightGray"/>
        </w:rPr>
        <w:t>Colour</w:t>
      </w:r>
      <w:proofErr w:type="spellEnd"/>
      <w:r w:rsidRPr="00122E77">
        <w:rPr>
          <w:strike/>
          <w:highlight w:val="lightGray"/>
        </w:rPr>
        <w:t xml:space="preserve"> Chart. The 1986 version of the RHS </w:t>
      </w:r>
      <w:proofErr w:type="spellStart"/>
      <w:r w:rsidRPr="00122E77">
        <w:rPr>
          <w:strike/>
          <w:highlight w:val="lightGray"/>
        </w:rPr>
        <w:t>Colour</w:t>
      </w:r>
      <w:proofErr w:type="spellEnd"/>
      <w:r w:rsidRPr="00122E77">
        <w:rPr>
          <w:strike/>
          <w:highlight w:val="lightGray"/>
        </w:rPr>
        <w:t xml:space="preserve"> Chart was used for the initial grouping and naming. In the 1995 edition no new charts were added.  The additional charts in the 2001 edition (marked with "N") and in the 2007 edition (marked with "NN") have been integrated into the existing groups.</w:t>
      </w:r>
    </w:p>
    <w:p w:rsidR="00122E77" w:rsidRPr="00122E77" w:rsidRDefault="00122E77" w:rsidP="00122E77">
      <w:pPr>
        <w:tabs>
          <w:tab w:val="left" w:pos="567"/>
          <w:tab w:val="left" w:pos="1134"/>
          <w:tab w:val="left" w:pos="8707"/>
          <w:tab w:val="right" w:pos="8931"/>
        </w:tabs>
      </w:pPr>
    </w:p>
    <w:p w:rsidR="00122E77" w:rsidRPr="00122E77" w:rsidRDefault="00122E77" w:rsidP="00122E77">
      <w:pPr>
        <w:tabs>
          <w:tab w:val="left" w:pos="567"/>
          <w:tab w:val="left" w:pos="1134"/>
          <w:tab w:val="left" w:pos="8707"/>
          <w:tab w:val="right" w:pos="8931"/>
        </w:tabs>
      </w:pPr>
    </w:p>
    <w:p w:rsidR="00122E77" w:rsidRPr="00122E77" w:rsidRDefault="00122E77" w:rsidP="00122E77">
      <w:bookmarkStart w:id="83" w:name="_Toc237835589"/>
      <w:bookmarkStart w:id="84" w:name="_Toc260229576"/>
      <w:bookmarkStart w:id="85" w:name="_Toc285808908"/>
      <w:bookmarkStart w:id="86" w:name="_Toc288580711"/>
      <w:bookmarkStart w:id="87" w:name="_Toc311045813"/>
      <w:r w:rsidRPr="00122E77">
        <w:t>2.</w:t>
      </w:r>
      <w:r w:rsidRPr="00122E77">
        <w:tab/>
        <w:t>Example for the use of the UPOV Color Names in a variety description</w:t>
      </w:r>
      <w:bookmarkEnd w:id="83"/>
      <w:bookmarkEnd w:id="84"/>
      <w:bookmarkEnd w:id="85"/>
      <w:bookmarkEnd w:id="86"/>
      <w:bookmarkEnd w:id="87"/>
    </w:p>
    <w:p w:rsidR="00122E77" w:rsidRPr="00122E77" w:rsidRDefault="00122E77" w:rsidP="00122E77"/>
    <w:p w:rsidR="00122E77" w:rsidRPr="00122E77" w:rsidRDefault="00122E77" w:rsidP="00122E77">
      <w:pPr>
        <w:numPr>
          <w:ilvl w:val="1"/>
          <w:numId w:val="20"/>
        </w:numPr>
      </w:pPr>
      <w:r w:rsidRPr="00122E77">
        <w:t xml:space="preserve">If in Test Guidelines a characteristic is described by using the RHS </w:t>
      </w:r>
      <w:proofErr w:type="spellStart"/>
      <w:r w:rsidRPr="00122E77">
        <w:t>colour</w:t>
      </w:r>
      <w:proofErr w:type="spellEnd"/>
      <w:r w:rsidRPr="00122E77">
        <w:t xml:space="preserve"> chart, it is not obvious which color the plant part has, because it is only asked to indicate the RHS </w:t>
      </w:r>
      <w:proofErr w:type="spellStart"/>
      <w:r w:rsidRPr="00122E77">
        <w:t>colour</w:t>
      </w:r>
      <w:proofErr w:type="spellEnd"/>
      <w:r w:rsidRPr="00122E77">
        <w:t xml:space="preserve"> chart reference number, e.g. </w:t>
      </w:r>
    </w:p>
    <w:p w:rsidR="00122E77" w:rsidRPr="00122E77" w:rsidRDefault="00122E77" w:rsidP="00122E77"/>
    <w:p w:rsidR="00122E77" w:rsidRPr="00122E77" w:rsidRDefault="00122E77" w:rsidP="00122E77">
      <w:pPr>
        <w:ind w:left="709"/>
        <w:jc w:val="left"/>
      </w:pPr>
      <w:r w:rsidRPr="00122E77">
        <w:rPr>
          <w:i/>
        </w:rPr>
        <w:t>Flower: main color of upper side</w:t>
      </w:r>
      <w:r w:rsidRPr="00122E77">
        <w:rPr>
          <w:i/>
        </w:rPr>
        <w:br/>
        <w:t xml:space="preserve">RHS </w:t>
      </w:r>
      <w:proofErr w:type="spellStart"/>
      <w:r w:rsidRPr="00122E77">
        <w:rPr>
          <w:i/>
        </w:rPr>
        <w:t>colour</w:t>
      </w:r>
      <w:proofErr w:type="spellEnd"/>
      <w:r w:rsidRPr="00122E77">
        <w:rPr>
          <w:i/>
        </w:rPr>
        <w:t xml:space="preserve"> chart (indicate reference number)</w:t>
      </w:r>
    </w:p>
    <w:p w:rsidR="00122E77" w:rsidRPr="00122E77" w:rsidRDefault="00122E77" w:rsidP="00122E77"/>
    <w:p w:rsidR="00122E77" w:rsidRPr="00122E77" w:rsidRDefault="00122E77" w:rsidP="00122E77">
      <w:r w:rsidRPr="00122E77">
        <w:t>2.2</w:t>
      </w:r>
      <w:r w:rsidRPr="00122E77">
        <w:tab/>
        <w:t xml:space="preserve">For the variety description, it is useful to translate the RHS </w:t>
      </w:r>
      <w:proofErr w:type="spellStart"/>
      <w:r w:rsidRPr="00122E77">
        <w:t>colour</w:t>
      </w:r>
      <w:proofErr w:type="spellEnd"/>
      <w:r w:rsidRPr="00122E77">
        <w:t xml:space="preserve"> chart number into a color name and to fill this name into the column “state of expression”. The color name can be found in </w:t>
      </w:r>
      <w:r w:rsidRPr="00122E77">
        <w:rPr>
          <w:strike/>
        </w:rPr>
        <w:t>the appendix to this document</w:t>
      </w:r>
      <w:r w:rsidRPr="00122E77">
        <w:t xml:space="preserve"> </w:t>
      </w:r>
      <w:r w:rsidRPr="00122E77">
        <w:rPr>
          <w:highlight w:val="lightGray"/>
          <w:u w:val="single"/>
        </w:rPr>
        <w:t>appendix I to Annex I</w:t>
      </w:r>
      <w:r w:rsidRPr="00122E77">
        <w:t xml:space="preserve">, in which the RHS Colors are listed according to the UPOV Color Group to which they belong:  e.g. RHS 46C belongs to group </w:t>
      </w:r>
      <w:r w:rsidRPr="00122E77">
        <w:rPr>
          <w:strike/>
          <w:highlight w:val="lightGray"/>
        </w:rPr>
        <w:t>21</w:t>
      </w:r>
      <w:r w:rsidRPr="00122E77">
        <w:t xml:space="preserve"> </w:t>
      </w:r>
      <w:r w:rsidRPr="00122E77">
        <w:rPr>
          <w:highlight w:val="lightGray"/>
          <w:u w:val="single"/>
        </w:rPr>
        <w:t>35</w:t>
      </w:r>
      <w:r w:rsidRPr="00122E77">
        <w:t xml:space="preserve"> “</w:t>
      </w:r>
      <w:r w:rsidRPr="00122E77">
        <w:rPr>
          <w:highlight w:val="lightGray"/>
          <w:u w:val="single"/>
        </w:rPr>
        <w:t>medium</w:t>
      </w:r>
      <w:r w:rsidRPr="00122E77">
        <w:t xml:space="preserve"> red”, RHS N 74B belongs to group </w:t>
      </w:r>
      <w:r w:rsidRPr="00122E77">
        <w:rPr>
          <w:strike/>
          <w:highlight w:val="lightGray"/>
        </w:rPr>
        <w:t>27</w:t>
      </w:r>
      <w:r w:rsidRPr="00122E77">
        <w:t xml:space="preserve"> </w:t>
      </w:r>
      <w:r w:rsidRPr="00122E77">
        <w:rPr>
          <w:highlight w:val="lightGray"/>
          <w:u w:val="single"/>
        </w:rPr>
        <w:t>42</w:t>
      </w:r>
      <w:r w:rsidRPr="00122E77">
        <w:t xml:space="preserve"> “</w:t>
      </w:r>
      <w:r w:rsidRPr="00122E77">
        <w:rPr>
          <w:highlight w:val="lightGray"/>
          <w:u w:val="single"/>
        </w:rPr>
        <w:t>medium</w:t>
      </w:r>
      <w:r w:rsidRPr="00122E77">
        <w:t xml:space="preserve"> purple” and RHS N 57A belongs to group </w:t>
      </w:r>
      <w:r w:rsidRPr="00122E77">
        <w:rPr>
          <w:strike/>
          <w:highlight w:val="lightGray"/>
        </w:rPr>
        <w:t>23</w:t>
      </w:r>
      <w:r w:rsidRPr="00122E77">
        <w:t xml:space="preserve"> </w:t>
      </w:r>
      <w:r w:rsidRPr="00122E77">
        <w:rPr>
          <w:highlight w:val="lightGray"/>
          <w:u w:val="single"/>
        </w:rPr>
        <w:t>37</w:t>
      </w:r>
      <w:r w:rsidRPr="00122E77">
        <w:t xml:space="preserve"> “</w:t>
      </w:r>
      <w:r w:rsidRPr="00122E77">
        <w:rPr>
          <w:highlight w:val="lightGray"/>
          <w:u w:val="single"/>
        </w:rPr>
        <w:t>medium</w:t>
      </w:r>
      <w:r w:rsidRPr="00122E77">
        <w:t xml:space="preserve"> purple red” </w:t>
      </w:r>
      <w:r w:rsidRPr="00122E77">
        <w:rPr>
          <w:highlight w:val="lightGray"/>
          <w:u w:val="single"/>
        </w:rPr>
        <w:t xml:space="preserve">(Sixth edition (2015) of the RHS </w:t>
      </w:r>
      <w:proofErr w:type="spellStart"/>
      <w:r w:rsidRPr="00122E77">
        <w:rPr>
          <w:highlight w:val="lightGray"/>
          <w:u w:val="single"/>
        </w:rPr>
        <w:t>Colour</w:t>
      </w:r>
      <w:proofErr w:type="spellEnd"/>
      <w:r w:rsidRPr="00122E77">
        <w:rPr>
          <w:highlight w:val="lightGray"/>
          <w:u w:val="single"/>
        </w:rPr>
        <w:t xml:space="preserve"> Chart)</w:t>
      </w:r>
      <w:r w:rsidRPr="00122E77">
        <w:t>.</w:t>
      </w:r>
    </w:p>
    <w:p w:rsidR="00122E77" w:rsidRPr="00122E77" w:rsidRDefault="00122E77" w:rsidP="00122E77">
      <w:pPr>
        <w:keepNext/>
        <w:spacing w:before="180" w:after="180"/>
        <w:rPr>
          <w:i/>
        </w:rPr>
      </w:pPr>
      <w:r w:rsidRPr="00122E77">
        <w:rPr>
          <w:i/>
        </w:rPr>
        <w:lastRenderedPageBreak/>
        <w:t>Example:</w:t>
      </w:r>
    </w:p>
    <w:p w:rsidR="00122E77" w:rsidRPr="00122E77" w:rsidRDefault="00122E77" w:rsidP="00122E77">
      <w:pPr>
        <w:keepNext/>
      </w:pPr>
      <w:r w:rsidRPr="00122E77">
        <w:t>2.3</w:t>
      </w:r>
      <w:r w:rsidRPr="00122E77">
        <w:tab/>
        <w:t>Part of a variety description for New Guinea Impatiens (TG/196/2 Rev.)</w:t>
      </w:r>
    </w:p>
    <w:p w:rsidR="00122E77" w:rsidRPr="00122E77" w:rsidRDefault="00122E77" w:rsidP="00122E77">
      <w:pPr>
        <w:keepNext/>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839"/>
        <w:gridCol w:w="1134"/>
        <w:gridCol w:w="992"/>
      </w:tblGrid>
      <w:tr w:rsidR="00122E77" w:rsidRPr="00122E77" w:rsidTr="002C31FA">
        <w:trPr>
          <w:cantSplit/>
        </w:trPr>
        <w:tc>
          <w:tcPr>
            <w:tcW w:w="517" w:type="dxa"/>
          </w:tcPr>
          <w:p w:rsidR="00122E77" w:rsidRPr="00122E77" w:rsidRDefault="00122E77" w:rsidP="00122E77">
            <w:pPr>
              <w:keepNext/>
              <w:spacing w:before="20" w:after="20"/>
              <w:jc w:val="left"/>
              <w:rPr>
                <w:rFonts w:cs="Arial"/>
                <w:b/>
                <w:sz w:val="18"/>
                <w:szCs w:val="18"/>
                <w:lang w:bidi="th-TH"/>
              </w:rPr>
            </w:pPr>
            <w:r w:rsidRPr="00122E77">
              <w:rPr>
                <w:rFonts w:cs="Arial"/>
                <w:b/>
                <w:sz w:val="18"/>
                <w:szCs w:val="18"/>
                <w:lang w:bidi="th-TH"/>
              </w:rPr>
              <w:t>No.</w:t>
            </w:r>
          </w:p>
        </w:tc>
        <w:tc>
          <w:tcPr>
            <w:tcW w:w="4940" w:type="dxa"/>
          </w:tcPr>
          <w:p w:rsidR="00122E77" w:rsidRPr="00122E77" w:rsidRDefault="00122E77" w:rsidP="00122E77">
            <w:pPr>
              <w:keepNext/>
              <w:spacing w:before="20" w:after="20"/>
              <w:jc w:val="left"/>
              <w:rPr>
                <w:rFonts w:cs="Arial"/>
                <w:b/>
                <w:bCs/>
                <w:sz w:val="18"/>
                <w:szCs w:val="18"/>
                <w:lang w:bidi="th-TH"/>
              </w:rPr>
            </w:pPr>
            <w:r w:rsidRPr="00122E77">
              <w:rPr>
                <w:rFonts w:cs="Arial"/>
                <w:b/>
                <w:bCs/>
                <w:sz w:val="18"/>
                <w:szCs w:val="18"/>
                <w:lang w:bidi="th-TH"/>
              </w:rPr>
              <w:t>Characteristic</w:t>
            </w:r>
          </w:p>
        </w:tc>
        <w:tc>
          <w:tcPr>
            <w:tcW w:w="2973" w:type="dxa"/>
            <w:gridSpan w:val="2"/>
          </w:tcPr>
          <w:p w:rsidR="00122E77" w:rsidRPr="00122E77" w:rsidRDefault="00122E77" w:rsidP="00122E77">
            <w:pPr>
              <w:keepNext/>
              <w:spacing w:before="20" w:after="20"/>
              <w:rPr>
                <w:rFonts w:cs="Arial"/>
              </w:rPr>
            </w:pPr>
            <w:r w:rsidRPr="00122E77">
              <w:rPr>
                <w:rFonts w:cs="Arial"/>
              </w:rPr>
              <w:t>State of expression</w:t>
            </w:r>
          </w:p>
        </w:tc>
        <w:tc>
          <w:tcPr>
            <w:tcW w:w="992" w:type="dxa"/>
          </w:tcPr>
          <w:p w:rsidR="00122E77" w:rsidRPr="00122E77" w:rsidRDefault="00122E77" w:rsidP="00122E77">
            <w:pPr>
              <w:keepNext/>
              <w:spacing w:before="20" w:after="20"/>
              <w:jc w:val="center"/>
              <w:rPr>
                <w:rFonts w:cs="Arial"/>
                <w:b/>
                <w:sz w:val="18"/>
                <w:szCs w:val="18"/>
                <w:lang w:bidi="th-TH"/>
              </w:rPr>
            </w:pPr>
            <w:r w:rsidRPr="00122E77">
              <w:rPr>
                <w:rFonts w:cs="Arial"/>
                <w:b/>
                <w:sz w:val="18"/>
                <w:szCs w:val="18"/>
                <w:lang w:bidi="th-TH"/>
              </w:rPr>
              <w:t>Note</w:t>
            </w:r>
          </w:p>
        </w:tc>
      </w:tr>
      <w:tr w:rsidR="00122E77" w:rsidRPr="00122E77" w:rsidTr="002C31FA">
        <w:trPr>
          <w:cantSplit/>
        </w:trPr>
        <w:tc>
          <w:tcPr>
            <w:tcW w:w="517"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20</w:t>
            </w:r>
          </w:p>
        </w:tc>
        <w:tc>
          <w:tcPr>
            <w:tcW w:w="4940"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Flower: main color of upper side</w:t>
            </w:r>
          </w:p>
        </w:tc>
        <w:tc>
          <w:tcPr>
            <w:tcW w:w="1839" w:type="dxa"/>
          </w:tcPr>
          <w:p w:rsidR="00122E77" w:rsidRPr="00122E77" w:rsidRDefault="00122E77" w:rsidP="00122E77">
            <w:pPr>
              <w:keepNext/>
              <w:spacing w:before="20" w:after="20"/>
              <w:rPr>
                <w:rFonts w:cs="Arial"/>
                <w:sz w:val="18"/>
                <w:szCs w:val="18"/>
              </w:rPr>
            </w:pPr>
            <w:r w:rsidRPr="00122E77">
              <w:rPr>
                <w:rFonts w:cs="Arial"/>
                <w:sz w:val="18"/>
                <w:szCs w:val="18"/>
                <w:highlight w:val="lightGray"/>
                <w:u w:val="single"/>
              </w:rPr>
              <w:t>medium</w:t>
            </w:r>
            <w:r w:rsidRPr="00122E77">
              <w:rPr>
                <w:rFonts w:cs="Arial"/>
                <w:sz w:val="18"/>
                <w:szCs w:val="18"/>
              </w:rPr>
              <w:t xml:space="preserve"> red</w:t>
            </w:r>
          </w:p>
        </w:tc>
        <w:tc>
          <w:tcPr>
            <w:tcW w:w="1134" w:type="dxa"/>
          </w:tcPr>
          <w:p w:rsidR="00122E77" w:rsidRPr="00122E77" w:rsidRDefault="00122E77" w:rsidP="00122E77">
            <w:pPr>
              <w:keepNext/>
              <w:spacing w:before="20" w:after="20"/>
              <w:rPr>
                <w:rFonts w:cs="Arial"/>
                <w:b/>
                <w:sz w:val="18"/>
                <w:szCs w:val="18"/>
              </w:rPr>
            </w:pPr>
            <w:r w:rsidRPr="00122E77">
              <w:rPr>
                <w:rFonts w:cs="Arial"/>
                <w:sz w:val="18"/>
                <w:szCs w:val="18"/>
              </w:rPr>
              <w:t>RHS 46C</w:t>
            </w:r>
          </w:p>
        </w:tc>
        <w:tc>
          <w:tcPr>
            <w:tcW w:w="992" w:type="dxa"/>
          </w:tcPr>
          <w:p w:rsidR="00122E77" w:rsidRPr="00122E77" w:rsidRDefault="00122E77" w:rsidP="00122E77">
            <w:pPr>
              <w:keepNext/>
              <w:spacing w:before="20" w:after="20"/>
              <w:jc w:val="left"/>
              <w:rPr>
                <w:rFonts w:cs="Arial"/>
                <w:sz w:val="18"/>
                <w:szCs w:val="18"/>
                <w:lang w:bidi="th-TH"/>
              </w:rPr>
            </w:pPr>
          </w:p>
        </w:tc>
      </w:tr>
      <w:tr w:rsidR="00122E77" w:rsidRPr="00122E77" w:rsidTr="002C31FA">
        <w:trPr>
          <w:cantSplit/>
        </w:trPr>
        <w:tc>
          <w:tcPr>
            <w:tcW w:w="517"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21</w:t>
            </w:r>
          </w:p>
        </w:tc>
        <w:tc>
          <w:tcPr>
            <w:tcW w:w="4940"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u w:val="single"/>
                <w:lang w:bidi="th-TH"/>
              </w:rPr>
              <w:t>Varieties with bi- or multicolored flowers only:</w:t>
            </w:r>
            <w:r w:rsidRPr="00122E77">
              <w:rPr>
                <w:rFonts w:cs="Arial"/>
                <w:sz w:val="18"/>
                <w:szCs w:val="18"/>
                <w:lang w:bidi="th-TH"/>
              </w:rPr>
              <w:t xml:space="preserve"> </w:t>
            </w:r>
            <w:r w:rsidRPr="00122E77">
              <w:rPr>
                <w:rFonts w:cs="Arial"/>
                <w:sz w:val="18"/>
                <w:szCs w:val="18"/>
                <w:lang w:bidi="th-TH"/>
              </w:rPr>
              <w:br/>
              <w:t>Flower: secondary color of upper side</w:t>
            </w:r>
          </w:p>
        </w:tc>
        <w:tc>
          <w:tcPr>
            <w:tcW w:w="1839" w:type="dxa"/>
          </w:tcPr>
          <w:p w:rsidR="00122E77" w:rsidRPr="00122E77" w:rsidRDefault="00122E77" w:rsidP="00122E77">
            <w:pPr>
              <w:keepNext/>
              <w:spacing w:before="20" w:after="20"/>
              <w:rPr>
                <w:rFonts w:cs="Arial"/>
                <w:sz w:val="18"/>
                <w:szCs w:val="18"/>
              </w:rPr>
            </w:pPr>
            <w:r w:rsidRPr="00122E77">
              <w:rPr>
                <w:rFonts w:cs="Arial"/>
                <w:sz w:val="18"/>
                <w:szCs w:val="18"/>
              </w:rPr>
              <w:br/>
            </w:r>
            <w:r w:rsidRPr="00122E77">
              <w:rPr>
                <w:rFonts w:cs="Arial"/>
                <w:sz w:val="18"/>
                <w:szCs w:val="18"/>
                <w:highlight w:val="lightGray"/>
                <w:u w:val="single"/>
              </w:rPr>
              <w:t>medium</w:t>
            </w:r>
            <w:r w:rsidRPr="00122E77">
              <w:rPr>
                <w:rFonts w:cs="Arial"/>
                <w:sz w:val="18"/>
                <w:szCs w:val="18"/>
              </w:rPr>
              <w:t xml:space="preserve"> purple</w:t>
            </w:r>
          </w:p>
        </w:tc>
        <w:tc>
          <w:tcPr>
            <w:tcW w:w="1134" w:type="dxa"/>
          </w:tcPr>
          <w:p w:rsidR="00122E77" w:rsidRPr="00122E77" w:rsidRDefault="00122E77" w:rsidP="00122E77">
            <w:pPr>
              <w:keepNext/>
              <w:spacing w:before="20" w:after="20"/>
              <w:rPr>
                <w:rFonts w:cs="Arial"/>
                <w:b/>
                <w:snapToGrid w:val="0"/>
                <w:sz w:val="18"/>
                <w:szCs w:val="18"/>
              </w:rPr>
            </w:pPr>
          </w:p>
          <w:p w:rsidR="00122E77" w:rsidRPr="00122E77" w:rsidRDefault="00122E77" w:rsidP="00122E77">
            <w:pPr>
              <w:keepNext/>
              <w:spacing w:before="20" w:after="20"/>
              <w:rPr>
                <w:rFonts w:cs="Arial"/>
                <w:b/>
                <w:sz w:val="18"/>
                <w:szCs w:val="18"/>
              </w:rPr>
            </w:pPr>
            <w:r w:rsidRPr="00122E77">
              <w:rPr>
                <w:rFonts w:cs="Arial"/>
                <w:sz w:val="18"/>
                <w:szCs w:val="18"/>
              </w:rPr>
              <w:t>RHS N 74B</w:t>
            </w:r>
          </w:p>
        </w:tc>
        <w:tc>
          <w:tcPr>
            <w:tcW w:w="992" w:type="dxa"/>
          </w:tcPr>
          <w:p w:rsidR="00122E77" w:rsidRPr="00122E77" w:rsidRDefault="00122E77" w:rsidP="00122E77">
            <w:pPr>
              <w:keepNext/>
              <w:spacing w:before="20" w:after="20"/>
              <w:jc w:val="left"/>
              <w:rPr>
                <w:rFonts w:cs="Arial"/>
                <w:sz w:val="18"/>
                <w:szCs w:val="18"/>
                <w:lang w:bidi="th-TH"/>
              </w:rPr>
            </w:pPr>
          </w:p>
        </w:tc>
      </w:tr>
      <w:tr w:rsidR="00122E77" w:rsidRPr="00122E77" w:rsidTr="002C31FA">
        <w:trPr>
          <w:cantSplit/>
        </w:trPr>
        <w:tc>
          <w:tcPr>
            <w:tcW w:w="517"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22</w:t>
            </w:r>
          </w:p>
        </w:tc>
        <w:tc>
          <w:tcPr>
            <w:tcW w:w="4940"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u w:val="single"/>
                <w:lang w:bidi="th-TH"/>
              </w:rPr>
              <w:t>Varieties with bi- or multicolored flowers only:</w:t>
            </w:r>
            <w:r w:rsidRPr="00122E77">
              <w:rPr>
                <w:rFonts w:cs="Arial"/>
                <w:sz w:val="18"/>
                <w:szCs w:val="18"/>
                <w:lang w:bidi="th-TH"/>
              </w:rPr>
              <w:br/>
              <w:t>Flower: distribution of secondary color</w:t>
            </w:r>
          </w:p>
        </w:tc>
        <w:tc>
          <w:tcPr>
            <w:tcW w:w="2973" w:type="dxa"/>
            <w:gridSpan w:val="2"/>
          </w:tcPr>
          <w:p w:rsidR="00122E77" w:rsidRPr="00122E77" w:rsidRDefault="00122E77" w:rsidP="00122E77">
            <w:pPr>
              <w:keepNext/>
              <w:spacing w:before="20" w:after="20"/>
              <w:rPr>
                <w:rFonts w:cs="Arial"/>
                <w:sz w:val="18"/>
                <w:szCs w:val="18"/>
              </w:rPr>
            </w:pPr>
            <w:r w:rsidRPr="00122E77">
              <w:rPr>
                <w:rFonts w:cs="Arial"/>
                <w:sz w:val="18"/>
                <w:szCs w:val="18"/>
              </w:rPr>
              <w:br/>
              <w:t>mainly on upper petal</w:t>
            </w:r>
          </w:p>
        </w:tc>
        <w:tc>
          <w:tcPr>
            <w:tcW w:w="992" w:type="dxa"/>
          </w:tcPr>
          <w:p w:rsidR="00122E77" w:rsidRPr="00122E77" w:rsidRDefault="00122E77" w:rsidP="00122E77">
            <w:pPr>
              <w:keepNext/>
              <w:spacing w:before="20" w:after="20"/>
              <w:jc w:val="center"/>
              <w:rPr>
                <w:rFonts w:cs="Arial"/>
                <w:sz w:val="18"/>
                <w:szCs w:val="18"/>
                <w:lang w:bidi="th-TH"/>
              </w:rPr>
            </w:pPr>
            <w:r w:rsidRPr="00122E77">
              <w:rPr>
                <w:rFonts w:cs="Arial"/>
                <w:sz w:val="18"/>
                <w:szCs w:val="18"/>
                <w:lang w:bidi="th-TH"/>
              </w:rPr>
              <w:br/>
              <w:t>1</w:t>
            </w:r>
          </w:p>
        </w:tc>
      </w:tr>
      <w:tr w:rsidR="00122E77" w:rsidRPr="00122E77" w:rsidTr="002C31FA">
        <w:trPr>
          <w:cantSplit/>
        </w:trPr>
        <w:tc>
          <w:tcPr>
            <w:tcW w:w="517"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23</w:t>
            </w:r>
          </w:p>
        </w:tc>
        <w:tc>
          <w:tcPr>
            <w:tcW w:w="4940"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Flower: eye zone</w:t>
            </w:r>
          </w:p>
        </w:tc>
        <w:tc>
          <w:tcPr>
            <w:tcW w:w="2973" w:type="dxa"/>
            <w:gridSpan w:val="2"/>
          </w:tcPr>
          <w:p w:rsidR="00122E77" w:rsidRPr="00122E77" w:rsidRDefault="00122E77" w:rsidP="00122E77">
            <w:pPr>
              <w:keepNext/>
              <w:spacing w:before="20" w:after="20"/>
              <w:rPr>
                <w:rFonts w:cs="Arial"/>
                <w:sz w:val="18"/>
                <w:szCs w:val="18"/>
              </w:rPr>
            </w:pPr>
            <w:r w:rsidRPr="00122E77">
              <w:rPr>
                <w:rFonts w:cs="Arial"/>
                <w:sz w:val="18"/>
                <w:szCs w:val="18"/>
              </w:rPr>
              <w:t>present</w:t>
            </w:r>
          </w:p>
        </w:tc>
        <w:tc>
          <w:tcPr>
            <w:tcW w:w="992" w:type="dxa"/>
          </w:tcPr>
          <w:p w:rsidR="00122E77" w:rsidRPr="00122E77" w:rsidRDefault="00122E77" w:rsidP="00122E77">
            <w:pPr>
              <w:keepNext/>
              <w:spacing w:before="20" w:after="20"/>
              <w:jc w:val="center"/>
              <w:rPr>
                <w:rFonts w:cs="Arial"/>
                <w:sz w:val="18"/>
                <w:szCs w:val="18"/>
                <w:lang w:bidi="th-TH"/>
              </w:rPr>
            </w:pPr>
            <w:r w:rsidRPr="00122E77">
              <w:rPr>
                <w:rFonts w:cs="Arial"/>
                <w:sz w:val="18"/>
                <w:szCs w:val="18"/>
                <w:lang w:bidi="th-TH"/>
              </w:rPr>
              <w:t>9</w:t>
            </w:r>
          </w:p>
        </w:tc>
      </w:tr>
      <w:tr w:rsidR="00122E77" w:rsidRPr="00122E77" w:rsidTr="002C31FA">
        <w:trPr>
          <w:cantSplit/>
        </w:trPr>
        <w:tc>
          <w:tcPr>
            <w:tcW w:w="517"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24</w:t>
            </w:r>
          </w:p>
        </w:tc>
        <w:tc>
          <w:tcPr>
            <w:tcW w:w="4940"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Flower: size of eye zone</w:t>
            </w:r>
          </w:p>
        </w:tc>
        <w:tc>
          <w:tcPr>
            <w:tcW w:w="2973" w:type="dxa"/>
            <w:gridSpan w:val="2"/>
          </w:tcPr>
          <w:p w:rsidR="00122E77" w:rsidRPr="00122E77" w:rsidRDefault="00122E77" w:rsidP="00122E77">
            <w:pPr>
              <w:keepNext/>
              <w:spacing w:before="20" w:after="20"/>
              <w:rPr>
                <w:rFonts w:cs="Arial"/>
                <w:sz w:val="18"/>
                <w:szCs w:val="18"/>
              </w:rPr>
            </w:pPr>
            <w:r w:rsidRPr="00122E77">
              <w:rPr>
                <w:rFonts w:cs="Arial"/>
                <w:sz w:val="18"/>
                <w:szCs w:val="18"/>
              </w:rPr>
              <w:t>large</w:t>
            </w:r>
          </w:p>
        </w:tc>
        <w:tc>
          <w:tcPr>
            <w:tcW w:w="992" w:type="dxa"/>
          </w:tcPr>
          <w:p w:rsidR="00122E77" w:rsidRPr="00122E77" w:rsidRDefault="00122E77" w:rsidP="00122E77">
            <w:pPr>
              <w:keepNext/>
              <w:spacing w:before="20" w:after="20"/>
              <w:jc w:val="center"/>
              <w:rPr>
                <w:rFonts w:cs="Arial"/>
                <w:sz w:val="18"/>
                <w:szCs w:val="18"/>
                <w:lang w:bidi="th-TH"/>
              </w:rPr>
            </w:pPr>
            <w:r w:rsidRPr="00122E77">
              <w:rPr>
                <w:rFonts w:cs="Arial"/>
                <w:sz w:val="18"/>
                <w:szCs w:val="18"/>
                <w:lang w:bidi="th-TH"/>
              </w:rPr>
              <w:t>7</w:t>
            </w:r>
          </w:p>
        </w:tc>
      </w:tr>
      <w:tr w:rsidR="00122E77" w:rsidRPr="00122E77" w:rsidTr="002C31FA">
        <w:trPr>
          <w:cantSplit/>
        </w:trPr>
        <w:tc>
          <w:tcPr>
            <w:tcW w:w="517"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25</w:t>
            </w:r>
          </w:p>
        </w:tc>
        <w:tc>
          <w:tcPr>
            <w:tcW w:w="4940"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Flower: main color of eye zone</w:t>
            </w:r>
          </w:p>
        </w:tc>
        <w:tc>
          <w:tcPr>
            <w:tcW w:w="1839" w:type="dxa"/>
          </w:tcPr>
          <w:p w:rsidR="00122E77" w:rsidRPr="00122E77" w:rsidRDefault="00122E77" w:rsidP="00122E77">
            <w:pPr>
              <w:keepNext/>
              <w:spacing w:before="20" w:after="20"/>
              <w:rPr>
                <w:rFonts w:cs="Arial"/>
                <w:sz w:val="18"/>
                <w:szCs w:val="18"/>
              </w:rPr>
            </w:pPr>
            <w:r w:rsidRPr="00122E77">
              <w:rPr>
                <w:rFonts w:cs="Arial"/>
                <w:sz w:val="18"/>
                <w:szCs w:val="18"/>
                <w:highlight w:val="lightGray"/>
                <w:u w:val="single"/>
              </w:rPr>
              <w:t>medium</w:t>
            </w:r>
            <w:r w:rsidRPr="00122E77">
              <w:rPr>
                <w:rFonts w:cs="Arial"/>
                <w:sz w:val="18"/>
                <w:szCs w:val="18"/>
              </w:rPr>
              <w:t xml:space="preserve"> purple red</w:t>
            </w:r>
          </w:p>
        </w:tc>
        <w:tc>
          <w:tcPr>
            <w:tcW w:w="1134" w:type="dxa"/>
          </w:tcPr>
          <w:p w:rsidR="00122E77" w:rsidRPr="00122E77" w:rsidRDefault="00122E77" w:rsidP="00122E77">
            <w:pPr>
              <w:keepNext/>
              <w:spacing w:before="20" w:after="20"/>
              <w:jc w:val="left"/>
              <w:rPr>
                <w:rFonts w:cs="Arial"/>
                <w:sz w:val="18"/>
                <w:szCs w:val="18"/>
                <w:lang w:bidi="th-TH"/>
              </w:rPr>
            </w:pPr>
            <w:r w:rsidRPr="00122E77">
              <w:rPr>
                <w:rFonts w:cs="Arial"/>
                <w:sz w:val="18"/>
                <w:szCs w:val="18"/>
                <w:lang w:bidi="th-TH"/>
              </w:rPr>
              <w:t>RHS N 57A</w:t>
            </w:r>
          </w:p>
        </w:tc>
        <w:tc>
          <w:tcPr>
            <w:tcW w:w="992" w:type="dxa"/>
          </w:tcPr>
          <w:p w:rsidR="00122E77" w:rsidRPr="00122E77" w:rsidRDefault="00122E77" w:rsidP="00122E77">
            <w:pPr>
              <w:keepNext/>
              <w:spacing w:before="20" w:after="20"/>
              <w:jc w:val="left"/>
              <w:rPr>
                <w:rFonts w:cs="Arial"/>
                <w:sz w:val="18"/>
                <w:szCs w:val="18"/>
                <w:lang w:bidi="th-TH"/>
              </w:rPr>
            </w:pPr>
          </w:p>
        </w:tc>
      </w:tr>
    </w:tbl>
    <w:p w:rsidR="00122E77" w:rsidRPr="00122E77" w:rsidRDefault="00122E77" w:rsidP="00122E77">
      <w:pPr>
        <w:tabs>
          <w:tab w:val="left" w:pos="567"/>
          <w:tab w:val="left" w:pos="1134"/>
          <w:tab w:val="left" w:pos="8707"/>
          <w:tab w:val="right" w:pos="8931"/>
        </w:tabs>
      </w:pPr>
    </w:p>
    <w:p w:rsidR="00122E77" w:rsidRPr="00122E77" w:rsidRDefault="00122E77" w:rsidP="00122E77">
      <w:pPr>
        <w:tabs>
          <w:tab w:val="left" w:pos="567"/>
          <w:tab w:val="left" w:pos="1134"/>
          <w:tab w:val="left" w:pos="8707"/>
          <w:tab w:val="right" w:pos="8931"/>
        </w:tabs>
      </w:pPr>
    </w:p>
    <w:p w:rsidR="00122E77" w:rsidRPr="00122E77" w:rsidRDefault="00122E77" w:rsidP="00122E77">
      <w:pPr>
        <w:keepNext/>
      </w:pPr>
      <w:bookmarkStart w:id="88" w:name="_Toc237835590"/>
      <w:bookmarkStart w:id="89" w:name="_Toc260229577"/>
      <w:bookmarkStart w:id="90" w:name="_Toc285808909"/>
      <w:bookmarkStart w:id="91" w:name="_Toc288580712"/>
      <w:bookmarkStart w:id="92" w:name="_Toc311045814"/>
      <w:r w:rsidRPr="00122E77">
        <w:t>3.</w:t>
      </w:r>
      <w:r w:rsidRPr="00122E77">
        <w:tab/>
        <w:t>UPOV Color Groups</w:t>
      </w:r>
      <w:bookmarkEnd w:id="88"/>
      <w:bookmarkEnd w:id="89"/>
      <w:bookmarkEnd w:id="90"/>
      <w:bookmarkEnd w:id="91"/>
      <w:bookmarkEnd w:id="92"/>
      <w:r w:rsidRPr="00122E77">
        <w:rPr>
          <w:u w:val="single"/>
        </w:rPr>
        <w:t xml:space="preserve"> </w:t>
      </w:r>
      <w:r w:rsidRPr="00122E77">
        <w:rPr>
          <w:highlight w:val="lightGray"/>
          <w:u w:val="single"/>
        </w:rPr>
        <w:t xml:space="preserve">(Sixth edition (2015) of the RHS </w:t>
      </w:r>
      <w:proofErr w:type="spellStart"/>
      <w:r w:rsidRPr="00122E77">
        <w:rPr>
          <w:highlight w:val="lightGray"/>
          <w:u w:val="single"/>
        </w:rPr>
        <w:t>Colour</w:t>
      </w:r>
      <w:proofErr w:type="spellEnd"/>
      <w:r w:rsidRPr="00122E77">
        <w:rPr>
          <w:highlight w:val="lightGray"/>
          <w:u w:val="single"/>
        </w:rPr>
        <w:t xml:space="preserve"> Chart)</w:t>
      </w:r>
    </w:p>
    <w:p w:rsidR="00122E77" w:rsidRPr="00122E77" w:rsidRDefault="00122E77" w:rsidP="00122E77">
      <w:pPr>
        <w:keepNext/>
      </w:pPr>
    </w:p>
    <w:p w:rsidR="00122E77" w:rsidRPr="00122E77" w:rsidRDefault="00122E77" w:rsidP="00122E77">
      <w:pPr>
        <w:keepNext/>
        <w:tabs>
          <w:tab w:val="left" w:pos="567"/>
          <w:tab w:val="left" w:pos="1134"/>
          <w:tab w:val="left" w:pos="8707"/>
          <w:tab w:val="right" w:pos="8931"/>
        </w:tabs>
      </w:pPr>
      <w:r w:rsidRPr="00122E77">
        <w:t>3.1</w:t>
      </w:r>
      <w:r w:rsidRPr="00122E77">
        <w:tab/>
        <w:t xml:space="preserve">The </w:t>
      </w:r>
      <w:r w:rsidRPr="00122E77">
        <w:rPr>
          <w:strike/>
          <w:highlight w:val="lightGray"/>
        </w:rPr>
        <w:t>50</w:t>
      </w:r>
      <w:r w:rsidRPr="00122E77">
        <w:t xml:space="preserve"> </w:t>
      </w:r>
      <w:r w:rsidRPr="00122E77">
        <w:rPr>
          <w:highlight w:val="lightGray"/>
          <w:u w:val="single"/>
        </w:rPr>
        <w:t>73</w:t>
      </w:r>
      <w:r w:rsidRPr="00122E77">
        <w:t xml:space="preserve"> UPOV Color Groups are as follows:</w:t>
      </w:r>
    </w:p>
    <w:p w:rsidR="00122E77" w:rsidRPr="00122E77" w:rsidRDefault="00122E77" w:rsidP="00122E77">
      <w:pPr>
        <w:keepNext/>
        <w:tabs>
          <w:tab w:val="left" w:pos="567"/>
          <w:tab w:val="left" w:pos="1134"/>
          <w:tab w:val="left" w:pos="8707"/>
          <w:tab w:val="right" w:pos="8931"/>
        </w:tabs>
      </w:pPr>
    </w:p>
    <w:p w:rsidR="00122E77" w:rsidRPr="00122E77" w:rsidRDefault="00122E77" w:rsidP="00122E77">
      <w:pPr>
        <w:keepNext/>
        <w:tabs>
          <w:tab w:val="left" w:pos="567"/>
          <w:tab w:val="left" w:pos="1134"/>
          <w:tab w:val="left" w:pos="8707"/>
          <w:tab w:val="right" w:pos="8931"/>
        </w:tabs>
      </w:pPr>
    </w:p>
    <w:tbl>
      <w:tblPr>
        <w:tblW w:w="9920" w:type="dxa"/>
        <w:tblInd w:w="-112" w:type="dxa"/>
        <w:tblLayout w:type="fixed"/>
        <w:tblCellMar>
          <w:left w:w="28" w:type="dxa"/>
          <w:right w:w="28" w:type="dxa"/>
        </w:tblCellMar>
        <w:tblLook w:val="04A0" w:firstRow="1" w:lastRow="0" w:firstColumn="1" w:lastColumn="0" w:noHBand="0" w:noVBand="1"/>
      </w:tblPr>
      <w:tblGrid>
        <w:gridCol w:w="1105"/>
        <w:gridCol w:w="2126"/>
        <w:gridCol w:w="1984"/>
        <w:gridCol w:w="2268"/>
        <w:gridCol w:w="2437"/>
      </w:tblGrid>
      <w:tr w:rsidR="00122E77" w:rsidRPr="00122E77" w:rsidTr="002C31FA">
        <w:trPr>
          <w:tblHeader/>
        </w:trPr>
        <w:tc>
          <w:tcPr>
            <w:tcW w:w="1105" w:type="dxa"/>
            <w:tcBorders>
              <w:top w:val="single" w:sz="4" w:space="0" w:color="auto"/>
              <w:bottom w:val="single" w:sz="4" w:space="0" w:color="auto"/>
            </w:tcBorders>
          </w:tcPr>
          <w:p w:rsidR="00122E77" w:rsidRPr="00122E77" w:rsidRDefault="00122E77" w:rsidP="00122E77">
            <w:pPr>
              <w:spacing w:before="60" w:after="60"/>
              <w:jc w:val="center"/>
              <w:rPr>
                <w:rFonts w:cs="Arial"/>
                <w:snapToGrid w:val="0"/>
                <w:sz w:val="18"/>
                <w:szCs w:val="18"/>
                <w:highlight w:val="lightGray"/>
              </w:rPr>
            </w:pPr>
            <w:r w:rsidRPr="00122E77">
              <w:rPr>
                <w:rFonts w:cs="Arial"/>
                <w:snapToGrid w:val="0"/>
                <w:sz w:val="18"/>
                <w:szCs w:val="18"/>
                <w:highlight w:val="lightGray"/>
              </w:rPr>
              <w:t xml:space="preserve">UPOV </w:t>
            </w:r>
            <w:r w:rsidRPr="00122E77">
              <w:rPr>
                <w:rFonts w:cs="Arial"/>
                <w:snapToGrid w:val="0"/>
                <w:sz w:val="18"/>
                <w:szCs w:val="18"/>
                <w:highlight w:val="lightGray"/>
              </w:rPr>
              <w:br/>
              <w:t>Group No.</w:t>
            </w:r>
          </w:p>
        </w:tc>
        <w:tc>
          <w:tcPr>
            <w:tcW w:w="2126" w:type="dxa"/>
            <w:tcBorders>
              <w:top w:val="single" w:sz="4" w:space="0" w:color="auto"/>
              <w:bottom w:val="single" w:sz="4" w:space="0" w:color="auto"/>
            </w:tcBorders>
            <w:vAlign w:val="center"/>
          </w:tcPr>
          <w:p w:rsidR="00122E77" w:rsidRPr="00122E77" w:rsidRDefault="00122E77" w:rsidP="00122E77">
            <w:pPr>
              <w:spacing w:before="60" w:after="60"/>
              <w:jc w:val="left"/>
              <w:rPr>
                <w:rFonts w:cs="Arial"/>
                <w:snapToGrid w:val="0"/>
                <w:sz w:val="18"/>
                <w:szCs w:val="18"/>
                <w:highlight w:val="lightGray"/>
              </w:rPr>
            </w:pPr>
            <w:r w:rsidRPr="00122E77">
              <w:rPr>
                <w:rFonts w:cs="Arial"/>
                <w:sz w:val="18"/>
                <w:szCs w:val="18"/>
                <w:highlight w:val="lightGray"/>
              </w:rPr>
              <w:t>English</w:t>
            </w:r>
          </w:p>
        </w:tc>
        <w:tc>
          <w:tcPr>
            <w:tcW w:w="1984" w:type="dxa"/>
            <w:tcBorders>
              <w:top w:val="single" w:sz="4" w:space="0" w:color="auto"/>
              <w:bottom w:val="single" w:sz="4" w:space="0" w:color="auto"/>
            </w:tcBorders>
            <w:vAlign w:val="center"/>
          </w:tcPr>
          <w:p w:rsidR="00122E77" w:rsidRPr="00122E77" w:rsidRDefault="00122E77" w:rsidP="00122E77">
            <w:pPr>
              <w:spacing w:before="60" w:after="60"/>
              <w:jc w:val="left"/>
              <w:rPr>
                <w:rFonts w:cs="Arial"/>
                <w:sz w:val="18"/>
                <w:szCs w:val="18"/>
                <w:highlight w:val="lightGray"/>
                <w:lang w:val="fr-FR"/>
              </w:rPr>
            </w:pPr>
            <w:r w:rsidRPr="00122E77">
              <w:rPr>
                <w:rFonts w:cs="Arial"/>
                <w:sz w:val="18"/>
                <w:szCs w:val="18"/>
                <w:highlight w:val="lightGray"/>
                <w:lang w:val="fr-FR"/>
              </w:rPr>
              <w:t>français</w:t>
            </w:r>
          </w:p>
        </w:tc>
        <w:tc>
          <w:tcPr>
            <w:tcW w:w="2268" w:type="dxa"/>
            <w:tcBorders>
              <w:top w:val="single" w:sz="4" w:space="0" w:color="auto"/>
              <w:bottom w:val="single" w:sz="4" w:space="0" w:color="auto"/>
            </w:tcBorders>
            <w:vAlign w:val="center"/>
          </w:tcPr>
          <w:p w:rsidR="00122E77" w:rsidRPr="00122E77" w:rsidRDefault="00122E77" w:rsidP="00122E77">
            <w:pPr>
              <w:spacing w:before="60" w:after="60"/>
              <w:jc w:val="left"/>
              <w:rPr>
                <w:rFonts w:cs="Arial"/>
                <w:snapToGrid w:val="0"/>
                <w:sz w:val="18"/>
                <w:szCs w:val="18"/>
                <w:highlight w:val="lightGray"/>
                <w:lang w:val="de-DE"/>
              </w:rPr>
            </w:pPr>
            <w:r w:rsidRPr="00122E77">
              <w:rPr>
                <w:rFonts w:cs="Arial"/>
                <w:snapToGrid w:val="0"/>
                <w:sz w:val="18"/>
                <w:szCs w:val="18"/>
                <w:highlight w:val="lightGray"/>
                <w:lang w:val="de-DE"/>
              </w:rPr>
              <w:t>deutsch</w:t>
            </w:r>
          </w:p>
        </w:tc>
        <w:tc>
          <w:tcPr>
            <w:tcW w:w="2437" w:type="dxa"/>
            <w:tcBorders>
              <w:top w:val="single" w:sz="4" w:space="0" w:color="auto"/>
              <w:bottom w:val="single" w:sz="4" w:space="0" w:color="auto"/>
            </w:tcBorders>
            <w:vAlign w:val="center"/>
          </w:tcPr>
          <w:p w:rsidR="00122E77" w:rsidRPr="00122E77" w:rsidRDefault="00122E77" w:rsidP="00122E77">
            <w:pPr>
              <w:spacing w:before="60" w:after="60"/>
              <w:jc w:val="left"/>
              <w:rPr>
                <w:rFonts w:cs="Arial"/>
                <w:sz w:val="18"/>
                <w:szCs w:val="18"/>
                <w:highlight w:val="lightGray"/>
                <w:lang w:val="es-ES_tradnl"/>
              </w:rPr>
            </w:pPr>
            <w:r w:rsidRPr="00122E77">
              <w:rPr>
                <w:rFonts w:cs="Arial"/>
                <w:sz w:val="18"/>
                <w:szCs w:val="18"/>
                <w:highlight w:val="lightGray"/>
                <w:lang w:val="es-ES_tradnl"/>
              </w:rPr>
              <w:t>español</w:t>
            </w:r>
          </w:p>
        </w:tc>
      </w:tr>
      <w:tr w:rsidR="00122E77" w:rsidRPr="00122E77" w:rsidTr="002C31FA">
        <w:tc>
          <w:tcPr>
            <w:tcW w:w="1105" w:type="dxa"/>
            <w:tcBorders>
              <w:top w:val="single" w:sz="4" w:space="0" w:color="auto"/>
            </w:tcBorders>
          </w:tcPr>
          <w:p w:rsidR="00122E77" w:rsidRPr="00122E77" w:rsidRDefault="00122E77" w:rsidP="00122E77">
            <w:pPr>
              <w:jc w:val="center"/>
              <w:rPr>
                <w:rFonts w:cs="Arial"/>
                <w:sz w:val="18"/>
                <w:szCs w:val="18"/>
                <w:highlight w:val="lightGray"/>
              </w:rPr>
            </w:pPr>
            <w:r w:rsidRPr="00122E77">
              <w:rPr>
                <w:rFonts w:cs="Arial"/>
                <w:sz w:val="18"/>
                <w:szCs w:val="18"/>
                <w:highlight w:val="lightGray"/>
              </w:rPr>
              <w:t>1</w:t>
            </w:r>
          </w:p>
        </w:tc>
        <w:tc>
          <w:tcPr>
            <w:tcW w:w="2126" w:type="dxa"/>
            <w:tcBorders>
              <w:top w:val="single" w:sz="4" w:space="0" w:color="auto"/>
            </w:tcBorders>
          </w:tcPr>
          <w:p w:rsidR="00122E77" w:rsidRPr="00122E77" w:rsidRDefault="00122E77" w:rsidP="00122E77">
            <w:pPr>
              <w:jc w:val="left"/>
              <w:rPr>
                <w:rFonts w:cs="Arial"/>
                <w:sz w:val="18"/>
                <w:szCs w:val="18"/>
                <w:highlight w:val="lightGray"/>
              </w:rPr>
            </w:pPr>
            <w:r w:rsidRPr="00122E77">
              <w:rPr>
                <w:rFonts w:cs="Arial"/>
                <w:sz w:val="18"/>
                <w:szCs w:val="18"/>
                <w:highlight w:val="lightGray"/>
              </w:rPr>
              <w:t>white</w:t>
            </w:r>
          </w:p>
        </w:tc>
        <w:tc>
          <w:tcPr>
            <w:tcW w:w="1984" w:type="dxa"/>
            <w:tcBorders>
              <w:top w:val="single" w:sz="4" w:space="0" w:color="auto"/>
            </w:tcBorders>
          </w:tcPr>
          <w:p w:rsidR="00122E77" w:rsidRPr="00122E77" w:rsidRDefault="00122E77" w:rsidP="00122E77">
            <w:pPr>
              <w:rPr>
                <w:sz w:val="18"/>
                <w:szCs w:val="18"/>
                <w:highlight w:val="lightGray"/>
                <w:lang w:val="fr-FR"/>
              </w:rPr>
            </w:pPr>
            <w:r w:rsidRPr="00122E77">
              <w:rPr>
                <w:sz w:val="18"/>
                <w:szCs w:val="18"/>
                <w:highlight w:val="lightGray"/>
                <w:lang w:val="fr-FR"/>
              </w:rPr>
              <w:t>blanc</w:t>
            </w:r>
          </w:p>
        </w:tc>
        <w:tc>
          <w:tcPr>
            <w:tcW w:w="2268" w:type="dxa"/>
            <w:tcBorders>
              <w:top w:val="single" w:sz="4" w:space="0" w:color="auto"/>
            </w:tcBorders>
          </w:tcPr>
          <w:p w:rsidR="00122E77" w:rsidRPr="00122E77" w:rsidRDefault="00122E77" w:rsidP="00122E77">
            <w:pPr>
              <w:rPr>
                <w:sz w:val="18"/>
                <w:szCs w:val="18"/>
                <w:highlight w:val="lightGray"/>
                <w:lang w:val="de-DE"/>
              </w:rPr>
            </w:pPr>
            <w:r w:rsidRPr="00122E77">
              <w:rPr>
                <w:sz w:val="18"/>
                <w:szCs w:val="18"/>
                <w:highlight w:val="lightGray"/>
                <w:lang w:val="de-DE"/>
              </w:rPr>
              <w:t>weiß</w:t>
            </w:r>
          </w:p>
        </w:tc>
        <w:tc>
          <w:tcPr>
            <w:tcW w:w="2437" w:type="dxa"/>
            <w:tcBorders>
              <w:top w:val="single" w:sz="4" w:space="0" w:color="auto"/>
            </w:tcBorders>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blanco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yellow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vert-jaune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hellgelbgrün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amarillento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yellow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vert-jaune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mittelgelbgrün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amarillento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7</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grey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vert-gris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hellgraugrün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grisáceo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8</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grey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vert-gris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mittelgraugrün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grisáceo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9</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grey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vert-gris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dunkelgraugrün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grisáceo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10</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blue green</w:t>
            </w:r>
          </w:p>
        </w:tc>
        <w:tc>
          <w:tcPr>
            <w:tcW w:w="1984" w:type="dxa"/>
          </w:tcPr>
          <w:p w:rsidR="00122E77" w:rsidRPr="00122E77" w:rsidRDefault="00122E77" w:rsidP="00122E77">
            <w:pPr>
              <w:rPr>
                <w:sz w:val="18"/>
                <w:szCs w:val="18"/>
                <w:highlight w:val="lightGray"/>
                <w:lang w:val="fr-FR"/>
              </w:rPr>
            </w:pPr>
            <w:proofErr w:type="spellStart"/>
            <w:r w:rsidRPr="00122E77">
              <w:rPr>
                <w:sz w:val="18"/>
                <w:szCs w:val="18"/>
                <w:highlight w:val="lightGray"/>
                <w:lang w:val="fr-FR"/>
              </w:rPr>
              <w:t>vert-bleu</w:t>
            </w:r>
            <w:proofErr w:type="spellEnd"/>
            <w:r w:rsidRPr="00122E77">
              <w:rPr>
                <w:sz w:val="18"/>
                <w:szCs w:val="18"/>
                <w:highlight w:val="lightGray"/>
                <w:lang w:val="fr-FR"/>
              </w:rPr>
              <w:t xml:space="preserv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hellblaugrün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azulado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11</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blue green</w:t>
            </w:r>
          </w:p>
        </w:tc>
        <w:tc>
          <w:tcPr>
            <w:tcW w:w="1984" w:type="dxa"/>
          </w:tcPr>
          <w:p w:rsidR="00122E77" w:rsidRPr="00122E77" w:rsidRDefault="00122E77" w:rsidP="00122E77">
            <w:pPr>
              <w:rPr>
                <w:sz w:val="18"/>
                <w:szCs w:val="18"/>
                <w:highlight w:val="lightGray"/>
                <w:lang w:val="fr-FR"/>
              </w:rPr>
            </w:pPr>
            <w:proofErr w:type="spellStart"/>
            <w:r w:rsidRPr="00122E77">
              <w:rPr>
                <w:sz w:val="18"/>
                <w:szCs w:val="18"/>
                <w:highlight w:val="lightGray"/>
                <w:lang w:val="fr-FR"/>
              </w:rPr>
              <w:t>vert-bleu</w:t>
            </w:r>
            <w:proofErr w:type="spellEnd"/>
            <w:r w:rsidRPr="00122E77">
              <w:rPr>
                <w:sz w:val="18"/>
                <w:szCs w:val="18"/>
                <w:highlight w:val="lightGray"/>
                <w:lang w:val="fr-FR"/>
              </w:rPr>
              <w:t xml:space="preserv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mittelblaugrün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azulado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blue green</w:t>
            </w:r>
          </w:p>
        </w:tc>
        <w:tc>
          <w:tcPr>
            <w:tcW w:w="1984" w:type="dxa"/>
          </w:tcPr>
          <w:p w:rsidR="00122E77" w:rsidRPr="00122E77" w:rsidRDefault="00122E77" w:rsidP="00122E77">
            <w:pPr>
              <w:rPr>
                <w:sz w:val="18"/>
                <w:szCs w:val="18"/>
                <w:highlight w:val="lightGray"/>
                <w:lang w:val="fr-FR"/>
              </w:rPr>
            </w:pPr>
            <w:proofErr w:type="spellStart"/>
            <w:r w:rsidRPr="00122E77">
              <w:rPr>
                <w:sz w:val="18"/>
                <w:szCs w:val="18"/>
                <w:highlight w:val="lightGray"/>
                <w:lang w:val="fr-FR"/>
              </w:rPr>
              <w:t>vert-bleu</w:t>
            </w:r>
            <w:proofErr w:type="spellEnd"/>
            <w:r w:rsidRPr="00122E77">
              <w:rPr>
                <w:sz w:val="18"/>
                <w:szCs w:val="18"/>
                <w:highlight w:val="lightGray"/>
                <w:lang w:val="fr-FR"/>
              </w:rPr>
              <w:t xml:space="preserve">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dunkelblaugrün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azulado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13</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brown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vert-brun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hellbraungrün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amarronado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14</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brown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vert-brun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mittelbraungrün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amarronado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15</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brown green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vert-brun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dunkelbraungrün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verde amarronado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16</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yellow</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jaune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hellgelb</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amarillo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17</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yellow</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jaune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mittelgelb</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amarillo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18</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yellow</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jaune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dunkelgelb</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amarillo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19</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yellow orange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orange-jaune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hellgelborange</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naranja amarillento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20</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yellow orange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orange-jaune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mittelgelborange</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naranja amarillento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21</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yellow orange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orange-jaune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dunkelgelborange</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naranja amarillento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orange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orange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hellorange</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naranja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23</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orange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orange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mittelorange</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naranja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24</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orange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orange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dunkelorange</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naranja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25</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orange 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 orangé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hellorangerosa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 anaranjado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26</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orange 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 orangé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mittelorangerosa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 anaranjado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27</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red 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rose-rouge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hellrotrosa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 rojizo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28</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red 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rose-rouge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mittelrotrosa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 rojizo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29</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30</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blue 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rose-bleu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hellblaurosa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 azulado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31</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blue 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rose-bleu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mittelblaurosa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 azulado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blue pink</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rose-bleu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dunkelblaurosa</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rosa azulado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33</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orange red</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rouge orangé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orangerot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rojo anaranjado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34</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red</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rouge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hellrot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rojo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35</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red</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rouge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mittelrot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rojo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36</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red</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rouge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dunkelrot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rojo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37</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purple red</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rouge-pourpre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mittelpurpurrot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rojo púrpura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38</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purple red</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rouge-pourpre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dunkelpurpurrot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rojo púrpura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39</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brown red</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rouge-brun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braunrot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rojo amarronado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40</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brown purple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pourpre-brun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mittelbraunpurpurn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púrpura amarronado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41</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brown purple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pourpre-brun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dunkelbraunpurpurn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púrpura amarronado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purple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pourpre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mittelpurpurn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púrpura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43</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purple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pourpre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dunkelpurpurn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púrpura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44</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violet</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violet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hellviolett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violeta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lastRenderedPageBreak/>
              <w:t>45</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violet</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violet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mittelviolett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violeta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46</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violet</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violet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dunkelviolett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violeta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47</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blue violet</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violet-bleu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hellblauviolett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violeta azulado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48</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blue violet</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violet-bleu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mittelblauviolett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violeta azulado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49</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blue violet</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violet-bleu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dunkelblauviolett</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violeta azulado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50</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violet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bleu-violet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hellviolettblau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violáceo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51</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violet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bleu-violet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mittelviolettblau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violáceo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violet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bleu-violet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dunkelviolettblau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violáceo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53</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54</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55</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56</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green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bleu-vert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hellgrünblau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verdoso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57</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green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bleu-vert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mittelgrünblau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verdoso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58</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green blue</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bleu-vert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dunkelgrünblau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azul verdoso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59</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 xml:space="preserve">light brown  </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 xml:space="preserve">brun clair  </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 xml:space="preserve">marrón claro  </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60</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61</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yellow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brun-jaune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hellgelbbraun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amarillento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63</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yellow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brun-jaune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mittelgelbbraun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amarillento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64</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orange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 orangé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orangebraun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anaranjado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65</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grey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brun-gris</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graubraun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grisáceo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66</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light green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brun-vert clair</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hellgrünbraun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verdoso claro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67</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medium green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brun-vert moyen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mittelgrünbraun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verdoso medio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68</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dark green brown</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brun-vert foncé</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dunkelgrünbraun</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marrón verdoso oscuro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69</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yellow grey</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gris-jaune</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gelbgrau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gris amarillento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70</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brown grey</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gris-brun</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braungrau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gris amarronado</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71</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purple grey</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gris-pourpre</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purpurgrau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gris púrpura</w:t>
            </w:r>
          </w:p>
        </w:tc>
      </w:tr>
      <w:tr w:rsidR="00122E77" w:rsidRPr="00122E77" w:rsidTr="002C31FA">
        <w:tc>
          <w:tcPr>
            <w:tcW w:w="1105" w:type="dxa"/>
          </w:tcPr>
          <w:p w:rsidR="00122E77" w:rsidRPr="00122E77" w:rsidRDefault="00122E77" w:rsidP="00122E77">
            <w:pPr>
              <w:jc w:val="center"/>
              <w:rPr>
                <w:rFonts w:cs="Arial"/>
                <w:sz w:val="18"/>
                <w:szCs w:val="18"/>
                <w:highlight w:val="lightGray"/>
              </w:rPr>
            </w:pPr>
            <w:r w:rsidRPr="00122E77">
              <w:rPr>
                <w:rFonts w:cs="Arial"/>
                <w:sz w:val="18"/>
                <w:szCs w:val="18"/>
                <w:highlight w:val="lightGray"/>
              </w:rPr>
              <w:t>72</w:t>
            </w:r>
          </w:p>
        </w:tc>
        <w:tc>
          <w:tcPr>
            <w:tcW w:w="2126" w:type="dxa"/>
          </w:tcPr>
          <w:p w:rsidR="00122E77" w:rsidRPr="00122E77" w:rsidRDefault="00122E77" w:rsidP="00122E77">
            <w:pPr>
              <w:jc w:val="left"/>
              <w:rPr>
                <w:rFonts w:cs="Arial"/>
                <w:sz w:val="18"/>
                <w:szCs w:val="18"/>
                <w:highlight w:val="lightGray"/>
              </w:rPr>
            </w:pPr>
            <w:r w:rsidRPr="00122E77">
              <w:rPr>
                <w:rFonts w:cs="Arial"/>
                <w:sz w:val="18"/>
                <w:szCs w:val="18"/>
                <w:highlight w:val="lightGray"/>
              </w:rPr>
              <w:t>grey</w:t>
            </w:r>
          </w:p>
        </w:tc>
        <w:tc>
          <w:tcPr>
            <w:tcW w:w="1984" w:type="dxa"/>
          </w:tcPr>
          <w:p w:rsidR="00122E77" w:rsidRPr="00122E77" w:rsidRDefault="00122E77" w:rsidP="00122E77">
            <w:pPr>
              <w:rPr>
                <w:sz w:val="18"/>
                <w:szCs w:val="18"/>
                <w:highlight w:val="lightGray"/>
                <w:lang w:val="fr-FR"/>
              </w:rPr>
            </w:pPr>
            <w:r w:rsidRPr="00122E77">
              <w:rPr>
                <w:sz w:val="18"/>
                <w:szCs w:val="18"/>
                <w:highlight w:val="lightGray"/>
                <w:lang w:val="fr-FR"/>
              </w:rPr>
              <w:t>gris</w:t>
            </w:r>
          </w:p>
        </w:tc>
        <w:tc>
          <w:tcPr>
            <w:tcW w:w="2268" w:type="dxa"/>
          </w:tcPr>
          <w:p w:rsidR="00122E77" w:rsidRPr="00122E77" w:rsidRDefault="00122E77" w:rsidP="00122E77">
            <w:pPr>
              <w:rPr>
                <w:sz w:val="18"/>
                <w:szCs w:val="18"/>
                <w:highlight w:val="lightGray"/>
                <w:lang w:val="de-DE"/>
              </w:rPr>
            </w:pPr>
            <w:r w:rsidRPr="00122E77">
              <w:rPr>
                <w:sz w:val="18"/>
                <w:szCs w:val="18"/>
                <w:highlight w:val="lightGray"/>
                <w:lang w:val="de-DE"/>
              </w:rPr>
              <w:t>grau</w:t>
            </w:r>
          </w:p>
        </w:tc>
        <w:tc>
          <w:tcPr>
            <w:tcW w:w="2437" w:type="dxa"/>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gris</w:t>
            </w:r>
          </w:p>
        </w:tc>
      </w:tr>
      <w:tr w:rsidR="00122E77" w:rsidRPr="00122E77" w:rsidTr="002C31FA">
        <w:tc>
          <w:tcPr>
            <w:tcW w:w="1105" w:type="dxa"/>
            <w:tcBorders>
              <w:bottom w:val="single" w:sz="4" w:space="0" w:color="auto"/>
            </w:tcBorders>
          </w:tcPr>
          <w:p w:rsidR="00122E77" w:rsidRPr="00122E77" w:rsidRDefault="00122E77" w:rsidP="00122E77">
            <w:pPr>
              <w:jc w:val="center"/>
              <w:rPr>
                <w:rFonts w:cs="Arial"/>
                <w:sz w:val="18"/>
                <w:szCs w:val="18"/>
                <w:highlight w:val="lightGray"/>
              </w:rPr>
            </w:pPr>
            <w:r w:rsidRPr="00122E77">
              <w:rPr>
                <w:rFonts w:cs="Arial"/>
                <w:sz w:val="18"/>
                <w:szCs w:val="18"/>
                <w:highlight w:val="lightGray"/>
              </w:rPr>
              <w:t>73</w:t>
            </w:r>
          </w:p>
        </w:tc>
        <w:tc>
          <w:tcPr>
            <w:tcW w:w="2126" w:type="dxa"/>
            <w:tcBorders>
              <w:bottom w:val="single" w:sz="4" w:space="0" w:color="auto"/>
            </w:tcBorders>
          </w:tcPr>
          <w:p w:rsidR="00122E77" w:rsidRPr="00122E77" w:rsidRDefault="00122E77" w:rsidP="00122E77">
            <w:pPr>
              <w:jc w:val="left"/>
              <w:rPr>
                <w:rFonts w:cs="Arial"/>
                <w:sz w:val="18"/>
                <w:szCs w:val="18"/>
                <w:highlight w:val="lightGray"/>
              </w:rPr>
            </w:pPr>
            <w:r w:rsidRPr="00122E77">
              <w:rPr>
                <w:rFonts w:cs="Arial"/>
                <w:sz w:val="18"/>
                <w:szCs w:val="18"/>
                <w:highlight w:val="lightGray"/>
              </w:rPr>
              <w:t>black</w:t>
            </w:r>
          </w:p>
        </w:tc>
        <w:tc>
          <w:tcPr>
            <w:tcW w:w="1984" w:type="dxa"/>
            <w:tcBorders>
              <w:bottom w:val="single" w:sz="4" w:space="0" w:color="auto"/>
            </w:tcBorders>
          </w:tcPr>
          <w:p w:rsidR="00122E77" w:rsidRPr="00122E77" w:rsidRDefault="00122E77" w:rsidP="00122E77">
            <w:pPr>
              <w:rPr>
                <w:sz w:val="18"/>
                <w:szCs w:val="18"/>
                <w:highlight w:val="lightGray"/>
                <w:lang w:val="fr-FR"/>
              </w:rPr>
            </w:pPr>
            <w:r w:rsidRPr="00122E77">
              <w:rPr>
                <w:sz w:val="18"/>
                <w:szCs w:val="18"/>
                <w:highlight w:val="lightGray"/>
                <w:lang w:val="fr-FR"/>
              </w:rPr>
              <w:t>noir</w:t>
            </w:r>
          </w:p>
        </w:tc>
        <w:tc>
          <w:tcPr>
            <w:tcW w:w="2268" w:type="dxa"/>
            <w:tcBorders>
              <w:bottom w:val="single" w:sz="4" w:space="0" w:color="auto"/>
            </w:tcBorders>
          </w:tcPr>
          <w:p w:rsidR="00122E77" w:rsidRPr="00122E77" w:rsidRDefault="00122E77" w:rsidP="00122E77">
            <w:pPr>
              <w:rPr>
                <w:sz w:val="18"/>
                <w:szCs w:val="18"/>
                <w:highlight w:val="lightGray"/>
                <w:lang w:val="de-DE"/>
              </w:rPr>
            </w:pPr>
            <w:r w:rsidRPr="00122E77">
              <w:rPr>
                <w:sz w:val="18"/>
                <w:szCs w:val="18"/>
                <w:highlight w:val="lightGray"/>
                <w:lang w:val="de-DE"/>
              </w:rPr>
              <w:t>schwarz</w:t>
            </w:r>
          </w:p>
        </w:tc>
        <w:tc>
          <w:tcPr>
            <w:tcW w:w="2437" w:type="dxa"/>
            <w:tcBorders>
              <w:bottom w:val="single" w:sz="4" w:space="0" w:color="auto"/>
            </w:tcBorders>
          </w:tcPr>
          <w:p w:rsidR="00122E77" w:rsidRPr="00122E77" w:rsidRDefault="00122E77" w:rsidP="00122E77">
            <w:pPr>
              <w:jc w:val="left"/>
              <w:rPr>
                <w:rFonts w:cs="Arial"/>
                <w:sz w:val="18"/>
                <w:szCs w:val="18"/>
                <w:highlight w:val="lightGray"/>
                <w:lang w:val="es-ES_tradnl"/>
              </w:rPr>
            </w:pPr>
            <w:r w:rsidRPr="00122E77">
              <w:rPr>
                <w:rFonts w:cs="Arial"/>
                <w:sz w:val="18"/>
                <w:szCs w:val="18"/>
                <w:highlight w:val="lightGray"/>
                <w:lang w:val="es-ES_tradnl"/>
              </w:rPr>
              <w:t>negro</w:t>
            </w:r>
          </w:p>
        </w:tc>
      </w:tr>
    </w:tbl>
    <w:p w:rsidR="00122E77" w:rsidRPr="00122E77" w:rsidRDefault="00122E77" w:rsidP="00122E77"/>
    <w:p w:rsidR="00122E77" w:rsidRPr="00122E77" w:rsidRDefault="00122E77" w:rsidP="00122E77"/>
    <w:p w:rsidR="00122E77" w:rsidRPr="00122E77" w:rsidRDefault="00122E77" w:rsidP="00122E77">
      <w:r w:rsidRPr="00122E77">
        <w:t>3.2</w:t>
      </w:r>
      <w:r w:rsidRPr="00122E77">
        <w:tab/>
        <w:t xml:space="preserve">The appendices to </w:t>
      </w:r>
      <w:r w:rsidRPr="00122E77">
        <w:rPr>
          <w:strike/>
          <w:highlight w:val="lightGray"/>
        </w:rPr>
        <w:t>this document</w:t>
      </w:r>
      <w:r w:rsidRPr="00122E77">
        <w:t xml:space="preserve"> </w:t>
      </w:r>
      <w:r w:rsidRPr="00122E77">
        <w:rPr>
          <w:highlight w:val="lightGray"/>
          <w:u w:val="single"/>
        </w:rPr>
        <w:t>Annex I</w:t>
      </w:r>
      <w:r w:rsidRPr="00122E77">
        <w:rPr>
          <w:u w:val="single"/>
        </w:rPr>
        <w:t xml:space="preserve"> </w:t>
      </w:r>
      <w:r w:rsidRPr="00122E77">
        <w:t xml:space="preserve">allocate the colors in the </w:t>
      </w:r>
      <w:r w:rsidRPr="00122E77">
        <w:rPr>
          <w:highlight w:val="lightGray"/>
          <w:u w:val="single"/>
        </w:rPr>
        <w:t>sixth edition (2015) of the</w:t>
      </w:r>
      <w:r w:rsidRPr="00122E77">
        <w:t xml:space="preserve"> RHS </w:t>
      </w:r>
      <w:proofErr w:type="spellStart"/>
      <w:r w:rsidRPr="00122E77">
        <w:t>Colour</w:t>
      </w:r>
      <w:proofErr w:type="spellEnd"/>
      <w:r w:rsidRPr="00122E77">
        <w:t xml:space="preserve"> Chart to the appropriate UPOV Color Groups as follows:</w:t>
      </w:r>
    </w:p>
    <w:p w:rsidR="00122E77" w:rsidRPr="00122E77" w:rsidRDefault="00122E77" w:rsidP="00122E77"/>
    <w:p w:rsidR="00122E77" w:rsidRPr="00122E77" w:rsidRDefault="00122E77" w:rsidP="00122E77">
      <w:pPr>
        <w:ind w:left="1985" w:hanging="1276"/>
      </w:pPr>
      <w:r w:rsidRPr="00122E77">
        <w:t>Appendix I:</w:t>
      </w:r>
      <w:r w:rsidRPr="00122E77">
        <w:tab/>
      </w:r>
      <w:r w:rsidRPr="00122E77">
        <w:rPr>
          <w:strike/>
          <w:highlight w:val="lightGray"/>
        </w:rPr>
        <w:t>Allocation of UPOV Color Groups for each RHS Color in RHS Reference order</w:t>
      </w:r>
      <w:r w:rsidRPr="00122E77">
        <w:t xml:space="preserve"> </w:t>
      </w:r>
      <w:r w:rsidRPr="00122E77">
        <w:rPr>
          <w:highlight w:val="lightGray"/>
          <w:u w:val="single"/>
        </w:rPr>
        <w:t xml:space="preserve">UPOV Color Groups According to RHS </w:t>
      </w:r>
      <w:proofErr w:type="spellStart"/>
      <w:r w:rsidRPr="00122E77">
        <w:rPr>
          <w:highlight w:val="lightGray"/>
          <w:u w:val="single"/>
        </w:rPr>
        <w:t>Colour</w:t>
      </w:r>
      <w:proofErr w:type="spellEnd"/>
      <w:r w:rsidRPr="00122E77">
        <w:rPr>
          <w:highlight w:val="lightGray"/>
          <w:u w:val="single"/>
        </w:rPr>
        <w:t xml:space="preserve"> Chart Reference (2015 Edition)</w:t>
      </w:r>
    </w:p>
    <w:p w:rsidR="00122E77" w:rsidRPr="00122E77" w:rsidRDefault="00122E77" w:rsidP="00122E77">
      <w:pPr>
        <w:ind w:left="1985" w:hanging="1276"/>
        <w:rPr>
          <w:highlight w:val="yellow"/>
        </w:rPr>
      </w:pPr>
    </w:p>
    <w:p w:rsidR="00122E77" w:rsidRPr="00122E77" w:rsidRDefault="00122E77" w:rsidP="00122E77">
      <w:pPr>
        <w:ind w:left="1985" w:hanging="1276"/>
      </w:pPr>
      <w:r w:rsidRPr="00122E77">
        <w:t>Appendix  II:</w:t>
      </w:r>
      <w:r w:rsidRPr="00122E77">
        <w:tab/>
        <w:t xml:space="preserve">RHS Colors Contained in each UPOV Color Group </w:t>
      </w:r>
      <w:r w:rsidRPr="00122E77">
        <w:rPr>
          <w:highlight w:val="lightGray"/>
          <w:u w:val="single"/>
        </w:rPr>
        <w:t>(Sixth Edition (2015) of the RHS </w:t>
      </w:r>
      <w:proofErr w:type="spellStart"/>
      <w:r w:rsidRPr="00122E77">
        <w:rPr>
          <w:highlight w:val="lightGray"/>
          <w:u w:val="single"/>
        </w:rPr>
        <w:t>Colour</w:t>
      </w:r>
      <w:proofErr w:type="spellEnd"/>
      <w:r w:rsidRPr="00122E77">
        <w:rPr>
          <w:highlight w:val="lightGray"/>
          <w:u w:val="single"/>
        </w:rPr>
        <w:t xml:space="preserve"> Chart)</w:t>
      </w:r>
    </w:p>
    <w:p w:rsidR="00122E77" w:rsidRPr="00122E77" w:rsidRDefault="00122E77" w:rsidP="00122E77">
      <w:pPr>
        <w:ind w:left="1985" w:hanging="1276"/>
      </w:pPr>
    </w:p>
    <w:p w:rsidR="00122E77" w:rsidRPr="00122E77" w:rsidRDefault="00122E77" w:rsidP="00122E77">
      <w:pPr>
        <w:ind w:left="1985" w:hanging="1276"/>
      </w:pPr>
    </w:p>
    <w:p w:rsidR="00122E77" w:rsidRPr="00122E77" w:rsidRDefault="00122E77" w:rsidP="00122E77">
      <w:pPr>
        <w:rPr>
          <w:highlight w:val="lightGray"/>
          <w:u w:val="single"/>
        </w:rPr>
      </w:pPr>
      <w:r w:rsidRPr="00122E77">
        <w:rPr>
          <w:highlight w:val="lightGray"/>
          <w:u w:val="single"/>
        </w:rPr>
        <w:t>3.3</w:t>
      </w:r>
      <w:r w:rsidRPr="00122E77">
        <w:rPr>
          <w:highlight w:val="lightGray"/>
          <w:u w:val="single"/>
        </w:rPr>
        <w:tab/>
        <w:t xml:space="preserve">Annex II presents the UPOV Color Groups allocated to the previous editions of the RHS </w:t>
      </w:r>
      <w:proofErr w:type="spellStart"/>
      <w:r w:rsidRPr="00122E77">
        <w:rPr>
          <w:highlight w:val="lightGray"/>
          <w:u w:val="single"/>
        </w:rPr>
        <w:t>Colour</w:t>
      </w:r>
      <w:proofErr w:type="spellEnd"/>
      <w:r w:rsidRPr="00122E77">
        <w:rPr>
          <w:highlight w:val="lightGray"/>
          <w:u w:val="single"/>
        </w:rPr>
        <w:t xml:space="preserve"> Chart (1986, 1995, 2001 and 2007).  The appendices to Annex II allocate the colors in the previous editions of the RHS </w:t>
      </w:r>
      <w:proofErr w:type="spellStart"/>
      <w:r w:rsidRPr="00122E77">
        <w:rPr>
          <w:highlight w:val="lightGray"/>
          <w:u w:val="single"/>
        </w:rPr>
        <w:t>Colour</w:t>
      </w:r>
      <w:proofErr w:type="spellEnd"/>
      <w:r w:rsidRPr="00122E77">
        <w:rPr>
          <w:highlight w:val="lightGray"/>
          <w:u w:val="single"/>
        </w:rPr>
        <w:t xml:space="preserve"> Chart to the appropriate UPOV Color Groups as follows:</w:t>
      </w:r>
    </w:p>
    <w:p w:rsidR="00122E77" w:rsidRPr="00122E77" w:rsidRDefault="00122E77" w:rsidP="00122E77">
      <w:pPr>
        <w:rPr>
          <w:highlight w:val="lightGray"/>
          <w:u w:val="single"/>
        </w:rPr>
      </w:pPr>
    </w:p>
    <w:p w:rsidR="00122E77" w:rsidRPr="00122E77" w:rsidRDefault="00122E77" w:rsidP="00122E77">
      <w:pPr>
        <w:ind w:left="1985" w:hanging="1276"/>
        <w:rPr>
          <w:highlight w:val="lightGray"/>
          <w:u w:val="single"/>
        </w:rPr>
      </w:pPr>
      <w:r w:rsidRPr="00122E77">
        <w:rPr>
          <w:highlight w:val="lightGray"/>
          <w:u w:val="single"/>
        </w:rPr>
        <w:t>Appendix I:</w:t>
      </w:r>
      <w:r w:rsidRPr="00122E77">
        <w:rPr>
          <w:highlight w:val="lightGray"/>
          <w:u w:val="single"/>
        </w:rPr>
        <w:tab/>
        <w:t xml:space="preserve">UPOV Color Groups According to Previous Editions of the RHS </w:t>
      </w:r>
      <w:proofErr w:type="spellStart"/>
      <w:r w:rsidRPr="00122E77">
        <w:rPr>
          <w:highlight w:val="lightGray"/>
          <w:u w:val="single"/>
        </w:rPr>
        <w:t>Colour</w:t>
      </w:r>
      <w:proofErr w:type="spellEnd"/>
      <w:r w:rsidRPr="00122E77">
        <w:rPr>
          <w:highlight w:val="lightGray"/>
          <w:u w:val="single"/>
        </w:rPr>
        <w:t xml:space="preserve"> Chart Reference (1986, 1995, 2001 and 2007 Editions)</w:t>
      </w:r>
    </w:p>
    <w:p w:rsidR="00122E77" w:rsidRPr="00122E77" w:rsidRDefault="00122E77" w:rsidP="00122E77">
      <w:pPr>
        <w:ind w:left="1985" w:hanging="1276"/>
        <w:rPr>
          <w:highlight w:val="lightGray"/>
          <w:u w:val="single"/>
        </w:rPr>
      </w:pPr>
    </w:p>
    <w:p w:rsidR="00122E77" w:rsidRPr="00122E77" w:rsidRDefault="00122E77" w:rsidP="00122E77">
      <w:pPr>
        <w:ind w:left="1985" w:hanging="1276"/>
        <w:rPr>
          <w:u w:val="single"/>
        </w:rPr>
      </w:pPr>
      <w:r w:rsidRPr="00122E77">
        <w:rPr>
          <w:highlight w:val="lightGray"/>
          <w:u w:val="single"/>
        </w:rPr>
        <w:t>Appendix  II:</w:t>
      </w:r>
      <w:r w:rsidRPr="00122E77">
        <w:rPr>
          <w:highlight w:val="lightGray"/>
          <w:u w:val="single"/>
        </w:rPr>
        <w:tab/>
        <w:t xml:space="preserve">RHS Colors Contained in each UPOV Color Group (1986, 1995, 2001 and 2007 Editions of the RHS </w:t>
      </w:r>
      <w:proofErr w:type="spellStart"/>
      <w:r w:rsidRPr="00122E77">
        <w:rPr>
          <w:highlight w:val="lightGray"/>
          <w:u w:val="single"/>
        </w:rPr>
        <w:t>Colour</w:t>
      </w:r>
      <w:proofErr w:type="spellEnd"/>
      <w:r w:rsidRPr="00122E77">
        <w:rPr>
          <w:highlight w:val="lightGray"/>
          <w:u w:val="single"/>
        </w:rPr>
        <w:t xml:space="preserve"> Chart)</w:t>
      </w:r>
    </w:p>
    <w:p w:rsidR="00122E77" w:rsidRPr="00122E77" w:rsidRDefault="00122E77" w:rsidP="00122E77">
      <w:pPr>
        <w:jc w:val="right"/>
      </w:pPr>
    </w:p>
    <w:p w:rsidR="00122E77" w:rsidRPr="00122E77" w:rsidRDefault="00122E77" w:rsidP="00122E77">
      <w:pPr>
        <w:jc w:val="right"/>
      </w:pPr>
    </w:p>
    <w:p w:rsidR="00122E77" w:rsidRPr="00122E77" w:rsidRDefault="00122E77" w:rsidP="00122E77">
      <w:pPr>
        <w:jc w:val="right"/>
      </w:pPr>
    </w:p>
    <w:p w:rsidR="00122E77" w:rsidRPr="00122E77" w:rsidRDefault="00122E77" w:rsidP="00122E77">
      <w:pPr>
        <w:jc w:val="right"/>
      </w:pPr>
    </w:p>
    <w:p w:rsidR="00122E77" w:rsidRPr="00122E77" w:rsidRDefault="00122E77" w:rsidP="00122E77">
      <w:pPr>
        <w:jc w:val="right"/>
      </w:pPr>
      <w:r w:rsidRPr="00122E77">
        <w:t>[Annex IV follows]</w:t>
      </w:r>
    </w:p>
    <w:p w:rsidR="00122E77" w:rsidRPr="00122E77" w:rsidRDefault="00122E77" w:rsidP="00122E77">
      <w:pPr>
        <w:spacing w:before="120"/>
      </w:pPr>
    </w:p>
    <w:p w:rsidR="00122E77" w:rsidRPr="00122E77" w:rsidRDefault="00122E77" w:rsidP="00122E77">
      <w:pPr>
        <w:sectPr w:rsidR="00122E77" w:rsidRPr="00122E77" w:rsidSect="002C31FA">
          <w:headerReference w:type="even" r:id="rId73"/>
          <w:headerReference w:type="default" r:id="rId74"/>
          <w:footerReference w:type="even" r:id="rId75"/>
          <w:footerReference w:type="default" r:id="rId76"/>
          <w:headerReference w:type="first" r:id="rId77"/>
          <w:footerReference w:type="first" r:id="rId78"/>
          <w:endnotePr>
            <w:numFmt w:val="lowerLetter"/>
          </w:endnotePr>
          <w:pgSz w:w="11906" w:h="16838" w:code="9"/>
          <w:pgMar w:top="510" w:right="1134" w:bottom="1134" w:left="1134" w:header="510" w:footer="624" w:gutter="0"/>
          <w:pgNumType w:start="1"/>
          <w:cols w:space="720"/>
          <w:titlePg/>
        </w:sectPr>
      </w:pPr>
    </w:p>
    <w:p w:rsidR="00122E77" w:rsidRPr="00122E77" w:rsidRDefault="00122E77" w:rsidP="00122E77">
      <w:pPr>
        <w:jc w:val="center"/>
        <w:rPr>
          <w:rFonts w:cs="Arial"/>
          <w:caps/>
          <w:lang w:eastAsia="ja-JP"/>
        </w:rPr>
      </w:pPr>
      <w:r w:rsidRPr="00122E77">
        <w:rPr>
          <w:rFonts w:cs="Arial"/>
          <w:caps/>
          <w:lang w:eastAsia="ja-JP"/>
        </w:rPr>
        <w:lastRenderedPageBreak/>
        <w:t>REVISIONS TO Document TGP/15 “Guidance on the Use of Biochemical and Molecular Markers in the Examination of Distinctness, Uniformity and Stability (DUS)”</w:t>
      </w:r>
    </w:p>
    <w:p w:rsidR="00122E77" w:rsidRPr="00122E77" w:rsidRDefault="00122E77" w:rsidP="00122E77">
      <w:pPr>
        <w:rPr>
          <w:sz w:val="18"/>
        </w:rPr>
      </w:pPr>
    </w:p>
    <w:p w:rsidR="00122E77" w:rsidRPr="00122E77" w:rsidRDefault="00122E77" w:rsidP="00122E77">
      <w:pPr>
        <w:rPr>
          <w:sz w:val="18"/>
        </w:rPr>
      </w:pPr>
    </w:p>
    <w:p w:rsidR="00122E77" w:rsidRPr="00122E77" w:rsidRDefault="00122E77" w:rsidP="00122E77">
      <w:pPr>
        <w:rPr>
          <w:rFonts w:cs="Arial"/>
        </w:rPr>
      </w:pPr>
      <w:r w:rsidRPr="00122E77">
        <w:t>The TC, at its fifty-fifth session, agreed that a new example “Characteristic-specific marker with incomplete information on state of expression” should be included in document TGP/15, as amended by the TC-EDC, and noted that the new example would become a second example of model “Characteristic-specific molecular markers” in document TGP/15.</w:t>
      </w:r>
      <w:r w:rsidRPr="00122E77">
        <w:rPr>
          <w:rFonts w:cs="Arial"/>
        </w:rPr>
        <w:t xml:space="preserve"> </w:t>
      </w:r>
    </w:p>
    <w:p w:rsidR="00122E77" w:rsidRPr="00122E77" w:rsidRDefault="00122E77" w:rsidP="00122E77">
      <w:pPr>
        <w:rPr>
          <w:rFonts w:cs="Arial"/>
        </w:rPr>
      </w:pPr>
    </w:p>
    <w:p w:rsidR="00122E77" w:rsidRPr="00122E77" w:rsidRDefault="00122E77" w:rsidP="00122E77">
      <w:pPr>
        <w:rPr>
          <w:rFonts w:cs="Arial"/>
        </w:rPr>
      </w:pPr>
      <w:r w:rsidRPr="00122E77">
        <w:t xml:space="preserve">The TC agreed that model “Genetic selection of similar varieties for the first growing cycle” should be presented in document TGP/15 as a second example of model “Combining phenotypic and molecular distances in the management of variety collections”.  The TC agreed that the terminology on different “Models” should be reviewed in the document </w:t>
      </w:r>
      <w:r w:rsidRPr="00122E77">
        <w:rPr>
          <w:rFonts w:cs="Arial"/>
        </w:rPr>
        <w:t xml:space="preserve">(see document </w:t>
      </w:r>
      <w:hyperlink r:id="rId79" w:history="1">
        <w:r w:rsidRPr="00122E77">
          <w:rPr>
            <w:spacing w:val="-2"/>
          </w:rPr>
          <w:t>TC/55/25 Corr.</w:t>
        </w:r>
      </w:hyperlink>
      <w:r w:rsidRPr="00122E77">
        <w:rPr>
          <w:spacing w:val="-2"/>
        </w:rPr>
        <w:t xml:space="preserve"> “Report”</w:t>
      </w:r>
      <w:r w:rsidRPr="00122E77">
        <w:rPr>
          <w:rFonts w:cs="Arial"/>
        </w:rPr>
        <w:t>, paragraphs 163 to 165).</w:t>
      </w:r>
    </w:p>
    <w:p w:rsidR="00122E77" w:rsidRPr="00122E77" w:rsidRDefault="00122E77" w:rsidP="00122E77">
      <w:pPr>
        <w:rPr>
          <w:rFonts w:cs="Arial"/>
        </w:rPr>
      </w:pPr>
    </w:p>
    <w:p w:rsidR="00122E77" w:rsidRPr="00122E77" w:rsidRDefault="00122E77" w:rsidP="00122E77">
      <w:r w:rsidRPr="00122E77">
        <w:t>On the above basis, the following revision of document TGP/15 “</w:t>
      </w:r>
      <w:r w:rsidRPr="00122E77">
        <w:rPr>
          <w:rFonts w:cs="Arial"/>
          <w:lang w:eastAsia="ja-JP"/>
        </w:rPr>
        <w:t xml:space="preserve">Guidance on the use of biochemical and molecular markers in the examination of distinctness, uniformity and stability </w:t>
      </w:r>
      <w:r w:rsidRPr="00122E77">
        <w:rPr>
          <w:rFonts w:cs="Arial"/>
          <w:caps/>
          <w:lang w:eastAsia="ja-JP"/>
        </w:rPr>
        <w:t>(DUS)</w:t>
      </w:r>
      <w:r w:rsidRPr="00122E77">
        <w:t>” is proposed for adoption by the Council at its fifty-fourth ordinary session, to be held in Geneva on October 30, 2020, subject to approval by the CAJ, at its seventy-seventh session, to be held in Geneva on October 28, 2020 (</w:t>
      </w:r>
      <w:r w:rsidRPr="00122E77">
        <w:rPr>
          <w:strike/>
          <w:highlight w:val="lightGray"/>
        </w:rPr>
        <w:t>highlighting and strikethrough</w:t>
      </w:r>
      <w:r w:rsidRPr="00122E77">
        <w:t xml:space="preserve"> for deletions and </w:t>
      </w:r>
      <w:r w:rsidRPr="00122E77">
        <w:rPr>
          <w:highlight w:val="lightGray"/>
          <w:u w:val="single"/>
        </w:rPr>
        <w:t>highlighting and underline</w:t>
      </w:r>
      <w:r w:rsidRPr="00122E77">
        <w:t xml:space="preserve"> for addition):</w:t>
      </w:r>
    </w:p>
    <w:p w:rsidR="00122E77" w:rsidRPr="00122E77" w:rsidRDefault="00122E77" w:rsidP="00122E77">
      <w:pPr>
        <w:rPr>
          <w:sz w:val="18"/>
        </w:rPr>
      </w:pPr>
    </w:p>
    <w:p w:rsidR="00122E77" w:rsidRPr="00122E77" w:rsidRDefault="00122E77" w:rsidP="00122E77">
      <w:pPr>
        <w:rPr>
          <w:sz w:val="18"/>
        </w:rPr>
      </w:pPr>
    </w:p>
    <w:p w:rsidR="00122E77" w:rsidRPr="00122E77" w:rsidRDefault="00122E77" w:rsidP="00122E77">
      <w:pPr>
        <w:rPr>
          <w:u w:val="single"/>
        </w:rPr>
      </w:pPr>
      <w:r w:rsidRPr="00122E77">
        <w:rPr>
          <w:u w:val="single"/>
        </w:rPr>
        <w:t>Extract of:  TABLE OF CONTENTS</w:t>
      </w:r>
    </w:p>
    <w:p w:rsidR="00122E77" w:rsidRPr="00122E77" w:rsidRDefault="00122E77" w:rsidP="00122E77"/>
    <w:p w:rsidR="00122E77" w:rsidRPr="00122E77" w:rsidRDefault="00122E77" w:rsidP="00122E77">
      <w:pPr>
        <w:tabs>
          <w:tab w:val="left" w:pos="567"/>
          <w:tab w:val="right" w:leader="dot" w:pos="9639"/>
        </w:tabs>
        <w:spacing w:after="120"/>
        <w:ind w:right="397"/>
      </w:pPr>
      <w:r w:rsidRPr="00122E77">
        <w:t>1.</w:t>
      </w:r>
      <w:r w:rsidRPr="00122E77">
        <w:tab/>
        <w:t>INTRODUCTION</w:t>
      </w:r>
      <w:r w:rsidRPr="00122E77">
        <w:tab/>
        <w:t>3</w:t>
      </w:r>
    </w:p>
    <w:p w:rsidR="00122E77" w:rsidRPr="00122E77" w:rsidRDefault="00122E77" w:rsidP="00122E77">
      <w:pPr>
        <w:tabs>
          <w:tab w:val="left" w:pos="567"/>
          <w:tab w:val="right" w:leader="dot" w:pos="9639"/>
        </w:tabs>
        <w:spacing w:after="120"/>
        <w:ind w:right="397"/>
      </w:pPr>
      <w:r w:rsidRPr="00122E77">
        <w:t>2.</w:t>
      </w:r>
      <w:r w:rsidRPr="00122E77">
        <w:tab/>
        <w:t>APPLICATION MODELS</w:t>
      </w:r>
      <w:r w:rsidRPr="00122E77">
        <w:tab/>
        <w:t>3</w:t>
      </w:r>
    </w:p>
    <w:p w:rsidR="00122E77" w:rsidRPr="00122E77" w:rsidRDefault="00122E77" w:rsidP="00122E77">
      <w:pPr>
        <w:tabs>
          <w:tab w:val="left" w:pos="1134"/>
          <w:tab w:val="right" w:leader="dot" w:pos="9639"/>
        </w:tabs>
        <w:spacing w:after="120"/>
        <w:ind w:left="1134" w:right="397" w:hanging="567"/>
      </w:pPr>
      <w:r w:rsidRPr="00122E77">
        <w:t>2.1</w:t>
      </w:r>
      <w:r w:rsidRPr="00122E77">
        <w:tab/>
        <w:t>Characteristic-Specific Molecular Markers (see Annex I)</w:t>
      </w:r>
      <w:r w:rsidRPr="00122E77">
        <w:tab/>
        <w:t>3</w:t>
      </w:r>
    </w:p>
    <w:p w:rsidR="00122E77" w:rsidRPr="00122E77" w:rsidRDefault="00122E77" w:rsidP="00122E77">
      <w:pPr>
        <w:tabs>
          <w:tab w:val="left" w:pos="1134"/>
          <w:tab w:val="right" w:leader="dot" w:pos="9639"/>
        </w:tabs>
        <w:spacing w:after="120"/>
        <w:ind w:left="1134" w:right="397" w:hanging="567"/>
      </w:pPr>
      <w:r w:rsidRPr="00122E77">
        <w:t>2.2</w:t>
      </w:r>
      <w:r w:rsidRPr="00122E77">
        <w:tab/>
        <w:t>Combining Phenotypic and Molecular Distances in the Management of Variety Collections (see Annex II)</w:t>
      </w:r>
      <w:r w:rsidRPr="00122E77">
        <w:tab/>
        <w:t>4</w:t>
      </w:r>
    </w:p>
    <w:p w:rsidR="00122E77" w:rsidRPr="00122E77" w:rsidRDefault="00122E77" w:rsidP="00122E77">
      <w:pPr>
        <w:tabs>
          <w:tab w:val="left" w:pos="567"/>
          <w:tab w:val="right" w:leader="dot" w:pos="9639"/>
        </w:tabs>
        <w:spacing w:after="120"/>
        <w:ind w:left="1418" w:right="397"/>
        <w:rPr>
          <w:i/>
          <w:sz w:val="18"/>
        </w:rPr>
      </w:pPr>
      <w:r w:rsidRPr="00122E77">
        <w:rPr>
          <w:i/>
          <w:sz w:val="18"/>
          <w:highlight w:val="lightGray"/>
          <w:u w:val="single"/>
        </w:rPr>
        <w:t>Example 1:  Parent lines in Maize (see Annex II, example 1)</w:t>
      </w:r>
      <w:r w:rsidRPr="00122E77">
        <w:rPr>
          <w:i/>
          <w:sz w:val="18"/>
        </w:rPr>
        <w:tab/>
        <w:t>4</w:t>
      </w:r>
    </w:p>
    <w:p w:rsidR="00122E77" w:rsidRPr="00122E77" w:rsidRDefault="00122E77" w:rsidP="00122E77">
      <w:pPr>
        <w:tabs>
          <w:tab w:val="left" w:pos="567"/>
          <w:tab w:val="right" w:leader="dot" w:pos="9639"/>
        </w:tabs>
        <w:spacing w:after="120"/>
        <w:ind w:left="1418" w:right="397"/>
        <w:rPr>
          <w:i/>
          <w:sz w:val="18"/>
        </w:rPr>
      </w:pPr>
      <w:r w:rsidRPr="00122E77">
        <w:rPr>
          <w:i/>
          <w:strike/>
          <w:sz w:val="18"/>
          <w:highlight w:val="lightGray"/>
        </w:rPr>
        <w:t>2.3</w:t>
      </w:r>
      <w:r w:rsidRPr="00122E77">
        <w:rPr>
          <w:i/>
          <w:sz w:val="18"/>
          <w:highlight w:val="lightGray"/>
        </w:rPr>
        <w:t xml:space="preserve">  </w:t>
      </w:r>
      <w:r w:rsidRPr="00122E77">
        <w:rPr>
          <w:i/>
          <w:sz w:val="18"/>
          <w:highlight w:val="lightGray"/>
          <w:u w:val="single"/>
        </w:rPr>
        <w:t>Example 2:</w:t>
      </w:r>
      <w:r w:rsidRPr="00122E77">
        <w:rPr>
          <w:i/>
          <w:sz w:val="18"/>
          <w:highlight w:val="lightGray"/>
        </w:rPr>
        <w:t xml:space="preserve"> </w:t>
      </w:r>
      <w:r w:rsidRPr="00122E77">
        <w:rPr>
          <w:i/>
          <w:sz w:val="18"/>
        </w:rPr>
        <w:t xml:space="preserve">Genetic Selection of Similar Varieties for the First Growing Cycle (see </w:t>
      </w:r>
      <w:r w:rsidRPr="00122E77">
        <w:rPr>
          <w:i/>
          <w:strike/>
          <w:sz w:val="18"/>
          <w:highlight w:val="lightGray"/>
        </w:rPr>
        <w:t>Annex III</w:t>
      </w:r>
      <w:r w:rsidRPr="00122E77">
        <w:rPr>
          <w:i/>
          <w:sz w:val="18"/>
          <w:highlight w:val="lightGray"/>
          <w:u w:val="single"/>
        </w:rPr>
        <w:t xml:space="preserve"> Annex II, example 2)</w:t>
      </w:r>
      <w:r w:rsidRPr="00122E77">
        <w:rPr>
          <w:i/>
          <w:sz w:val="18"/>
        </w:rPr>
        <w:tab/>
        <w:t>4</w:t>
      </w:r>
    </w:p>
    <w:p w:rsidR="00122E77" w:rsidRPr="00122E77" w:rsidRDefault="00122E77" w:rsidP="00122E77">
      <w:pPr>
        <w:tabs>
          <w:tab w:val="left" w:pos="1980"/>
        </w:tabs>
        <w:rPr>
          <w:rFonts w:cs="Arial"/>
          <w:snapToGrid w:val="0"/>
        </w:rPr>
      </w:pPr>
    </w:p>
    <w:p w:rsidR="00122E77" w:rsidRPr="00122E77" w:rsidRDefault="00122E77" w:rsidP="00122E77">
      <w:pPr>
        <w:tabs>
          <w:tab w:val="left" w:pos="1134"/>
          <w:tab w:val="left" w:pos="1985"/>
        </w:tabs>
        <w:spacing w:after="120"/>
        <w:ind w:left="1134" w:hanging="1134"/>
        <w:rPr>
          <w:rFonts w:cs="Arial"/>
          <w:snapToGrid w:val="0"/>
        </w:rPr>
      </w:pPr>
      <w:r w:rsidRPr="00122E77">
        <w:rPr>
          <w:rFonts w:cs="Arial"/>
          <w:snapToGrid w:val="0"/>
        </w:rPr>
        <w:t>ANNEX I</w:t>
      </w:r>
      <w:r w:rsidRPr="00122E77">
        <w:rPr>
          <w:rFonts w:cs="Arial"/>
          <w:snapToGrid w:val="0"/>
        </w:rPr>
        <w:tab/>
        <w:t>MODEL:</w:t>
      </w:r>
      <w:r w:rsidRPr="00122E77">
        <w:rPr>
          <w:rFonts w:cs="Arial"/>
          <w:snapToGrid w:val="0"/>
        </w:rPr>
        <w:tab/>
        <w:t>CHARACTERISTIC-SPECIFIC MOLECULAR MARKERS</w:t>
      </w:r>
    </w:p>
    <w:p w:rsidR="00122E77" w:rsidRPr="00122E77" w:rsidRDefault="00122E77" w:rsidP="00122E77">
      <w:pPr>
        <w:spacing w:after="120"/>
        <w:ind w:left="2410" w:hanging="1276"/>
        <w:jc w:val="left"/>
        <w:rPr>
          <w:rFonts w:cs="Arial"/>
          <w:snapToGrid w:val="0"/>
          <w:sz w:val="18"/>
          <w:szCs w:val="18"/>
        </w:rPr>
      </w:pPr>
      <w:r w:rsidRPr="00122E77">
        <w:rPr>
          <w:rFonts w:cs="Arial"/>
          <w:snapToGrid w:val="0"/>
          <w:sz w:val="18"/>
          <w:szCs w:val="18"/>
        </w:rPr>
        <w:t xml:space="preserve">EXAMPLE </w:t>
      </w:r>
      <w:r w:rsidRPr="00122E77">
        <w:rPr>
          <w:rFonts w:cs="Arial"/>
          <w:snapToGrid w:val="0"/>
          <w:sz w:val="18"/>
          <w:szCs w:val="18"/>
          <w:highlight w:val="lightGray"/>
          <w:u w:val="single"/>
        </w:rPr>
        <w:t>1</w:t>
      </w:r>
      <w:r w:rsidRPr="00122E77">
        <w:rPr>
          <w:rFonts w:cs="Arial"/>
          <w:snapToGrid w:val="0"/>
          <w:sz w:val="18"/>
          <w:szCs w:val="18"/>
        </w:rPr>
        <w:t>:</w:t>
      </w:r>
      <w:r w:rsidRPr="00122E77">
        <w:rPr>
          <w:rFonts w:cs="Arial"/>
          <w:snapToGrid w:val="0"/>
          <w:sz w:val="18"/>
          <w:szCs w:val="18"/>
        </w:rPr>
        <w:tab/>
        <w:t>GENE SPECIFIC MARKER FOR HERBICIDE TOLERANCE</w:t>
      </w:r>
    </w:p>
    <w:p w:rsidR="00122E77" w:rsidRPr="00122E77" w:rsidRDefault="00122E77" w:rsidP="00122E77">
      <w:pPr>
        <w:spacing w:after="120"/>
        <w:ind w:left="2410" w:hanging="1276"/>
        <w:jc w:val="left"/>
        <w:rPr>
          <w:rFonts w:cs="Arial"/>
          <w:snapToGrid w:val="0"/>
          <w:sz w:val="18"/>
          <w:szCs w:val="18"/>
          <w:u w:val="single"/>
        </w:rPr>
      </w:pPr>
      <w:r w:rsidRPr="00122E77">
        <w:rPr>
          <w:rFonts w:cs="Arial"/>
          <w:snapToGrid w:val="0"/>
          <w:sz w:val="18"/>
          <w:szCs w:val="18"/>
          <w:highlight w:val="lightGray"/>
          <w:u w:val="single"/>
        </w:rPr>
        <w:t>EXAMPLE 2:</w:t>
      </w:r>
      <w:r w:rsidRPr="00122E77">
        <w:rPr>
          <w:rFonts w:cs="Arial"/>
          <w:snapToGrid w:val="0"/>
          <w:sz w:val="18"/>
          <w:szCs w:val="18"/>
          <w:highlight w:val="lightGray"/>
          <w:u w:val="single"/>
        </w:rPr>
        <w:tab/>
        <w:t>GENE SPECIFIC MARKER WITH INCOMPLETE INFORMATION ON STATE OF EXPRESSION FOR DISEASE RESISTANCE IN TOMATO</w:t>
      </w:r>
    </w:p>
    <w:p w:rsidR="00122E77" w:rsidRPr="00122E77" w:rsidRDefault="00122E77" w:rsidP="00122E77">
      <w:pPr>
        <w:tabs>
          <w:tab w:val="left" w:pos="1980"/>
        </w:tabs>
        <w:jc w:val="left"/>
        <w:rPr>
          <w:rFonts w:cs="Arial"/>
          <w:snapToGrid w:val="0"/>
        </w:rPr>
      </w:pPr>
    </w:p>
    <w:p w:rsidR="00122E77" w:rsidRPr="00122E77" w:rsidRDefault="00122E77" w:rsidP="00122E77">
      <w:pPr>
        <w:tabs>
          <w:tab w:val="left" w:pos="1134"/>
          <w:tab w:val="left" w:pos="1985"/>
        </w:tabs>
        <w:spacing w:after="120"/>
        <w:ind w:left="1985" w:hanging="1985"/>
        <w:rPr>
          <w:rFonts w:cs="Arial"/>
          <w:snapToGrid w:val="0"/>
        </w:rPr>
      </w:pPr>
      <w:r w:rsidRPr="00122E77">
        <w:rPr>
          <w:rFonts w:cs="Arial"/>
          <w:snapToGrid w:val="0"/>
        </w:rPr>
        <w:t>ANNEX II</w:t>
      </w:r>
      <w:r w:rsidRPr="00122E77">
        <w:rPr>
          <w:rFonts w:cs="Arial"/>
          <w:snapToGrid w:val="0"/>
        </w:rPr>
        <w:tab/>
        <w:t>MODEL:</w:t>
      </w:r>
      <w:r w:rsidRPr="00122E77">
        <w:rPr>
          <w:rFonts w:cs="Arial"/>
          <w:snapToGrid w:val="0"/>
        </w:rPr>
        <w:tab/>
        <w:t>COMBINING PHENOTYPIC AND MOLECULAR DISTANCES IN THE MANAGEMENT OF VARIETY COLLECTIONS</w:t>
      </w:r>
    </w:p>
    <w:p w:rsidR="00122E77" w:rsidRPr="00122E77" w:rsidRDefault="00122E77" w:rsidP="00122E77">
      <w:pPr>
        <w:spacing w:after="120"/>
        <w:ind w:left="2410" w:hanging="1276"/>
        <w:jc w:val="left"/>
        <w:rPr>
          <w:rFonts w:cs="Arial"/>
          <w:snapToGrid w:val="0"/>
          <w:sz w:val="18"/>
          <w:szCs w:val="18"/>
        </w:rPr>
      </w:pPr>
      <w:r w:rsidRPr="00122E77">
        <w:rPr>
          <w:rFonts w:cs="Arial"/>
          <w:snapToGrid w:val="0"/>
          <w:sz w:val="18"/>
          <w:szCs w:val="18"/>
        </w:rPr>
        <w:t xml:space="preserve">EXAMPLE </w:t>
      </w:r>
      <w:r w:rsidRPr="00122E77">
        <w:rPr>
          <w:rFonts w:cs="Arial"/>
          <w:snapToGrid w:val="0"/>
          <w:sz w:val="18"/>
          <w:szCs w:val="18"/>
          <w:highlight w:val="lightGray"/>
          <w:u w:val="single"/>
        </w:rPr>
        <w:t>1</w:t>
      </w:r>
      <w:r w:rsidRPr="00122E77">
        <w:rPr>
          <w:rFonts w:cs="Arial"/>
          <w:snapToGrid w:val="0"/>
          <w:sz w:val="18"/>
          <w:szCs w:val="18"/>
        </w:rPr>
        <w:t>:</w:t>
      </w:r>
      <w:r w:rsidRPr="00122E77">
        <w:rPr>
          <w:rFonts w:cs="Arial"/>
          <w:snapToGrid w:val="0"/>
          <w:sz w:val="18"/>
          <w:szCs w:val="18"/>
        </w:rPr>
        <w:tab/>
        <w:t>PARENT LINES IN MAIZE</w:t>
      </w:r>
    </w:p>
    <w:p w:rsidR="00122E77" w:rsidRPr="00122E77" w:rsidRDefault="00122E77" w:rsidP="00122E77">
      <w:pPr>
        <w:spacing w:after="120"/>
        <w:ind w:left="2410" w:hanging="1276"/>
        <w:jc w:val="left"/>
        <w:rPr>
          <w:rFonts w:cs="Arial"/>
          <w:snapToGrid w:val="0"/>
          <w:sz w:val="18"/>
          <w:szCs w:val="18"/>
          <w:u w:val="single"/>
        </w:rPr>
      </w:pPr>
      <w:r w:rsidRPr="00122E77">
        <w:rPr>
          <w:rFonts w:cs="Arial"/>
          <w:snapToGrid w:val="0"/>
          <w:sz w:val="18"/>
          <w:szCs w:val="18"/>
          <w:highlight w:val="lightGray"/>
          <w:u w:val="single"/>
        </w:rPr>
        <w:t>EXAMPLE 2:</w:t>
      </w:r>
      <w:r w:rsidRPr="00122E77">
        <w:rPr>
          <w:rFonts w:cs="Arial"/>
          <w:snapToGrid w:val="0"/>
          <w:sz w:val="18"/>
          <w:szCs w:val="18"/>
          <w:highlight w:val="lightGray"/>
          <w:u w:val="single"/>
        </w:rPr>
        <w:tab/>
        <w:t>GENETIC SELECTION OF SIMILAR VARIETIES FOR THE FIRST GROWING CYCLE: FRENCH BEAN</w:t>
      </w:r>
    </w:p>
    <w:p w:rsidR="00122E77" w:rsidRPr="00122E77" w:rsidRDefault="00122E77" w:rsidP="00122E77">
      <w:pPr>
        <w:tabs>
          <w:tab w:val="left" w:pos="1980"/>
        </w:tabs>
        <w:jc w:val="left"/>
        <w:rPr>
          <w:rFonts w:cs="Arial"/>
          <w:snapToGrid w:val="0"/>
        </w:rPr>
      </w:pPr>
    </w:p>
    <w:p w:rsidR="00122E77" w:rsidRPr="00122E77" w:rsidRDefault="00122E77" w:rsidP="00122E77">
      <w:pPr>
        <w:tabs>
          <w:tab w:val="left" w:pos="1134"/>
          <w:tab w:val="left" w:pos="1980"/>
        </w:tabs>
        <w:spacing w:after="120"/>
        <w:ind w:left="1985" w:hanging="1985"/>
        <w:rPr>
          <w:rFonts w:cs="Arial"/>
          <w:strike/>
          <w:snapToGrid w:val="0"/>
          <w:highlight w:val="lightGray"/>
        </w:rPr>
      </w:pPr>
      <w:r w:rsidRPr="00122E77">
        <w:rPr>
          <w:rFonts w:cs="Arial"/>
          <w:strike/>
          <w:snapToGrid w:val="0"/>
          <w:highlight w:val="lightGray"/>
        </w:rPr>
        <w:t>ANNEX III</w:t>
      </w:r>
      <w:r w:rsidRPr="00122E77">
        <w:rPr>
          <w:rFonts w:cs="Arial"/>
          <w:strike/>
          <w:snapToGrid w:val="0"/>
          <w:highlight w:val="lightGray"/>
        </w:rPr>
        <w:tab/>
        <w:t>MODEL:</w:t>
      </w:r>
      <w:r w:rsidRPr="00122E77">
        <w:rPr>
          <w:rFonts w:cs="Arial"/>
          <w:strike/>
          <w:snapToGrid w:val="0"/>
          <w:highlight w:val="lightGray"/>
        </w:rPr>
        <w:tab/>
        <w:t>GENETIC SELECTION OF SIMILAR VARIETIES FOR THE FIRST GROWING CYCLE</w:t>
      </w:r>
    </w:p>
    <w:p w:rsidR="00122E77" w:rsidRPr="00122E77" w:rsidRDefault="00122E77" w:rsidP="00122E77">
      <w:pPr>
        <w:tabs>
          <w:tab w:val="left" w:pos="2127"/>
        </w:tabs>
        <w:spacing w:after="120"/>
        <w:ind w:left="2127" w:hanging="993"/>
        <w:jc w:val="left"/>
        <w:rPr>
          <w:rFonts w:cs="Arial"/>
          <w:strike/>
          <w:snapToGrid w:val="0"/>
          <w:sz w:val="18"/>
          <w:szCs w:val="18"/>
        </w:rPr>
      </w:pPr>
      <w:r w:rsidRPr="00122E77">
        <w:rPr>
          <w:rFonts w:cs="Arial"/>
          <w:strike/>
          <w:snapToGrid w:val="0"/>
          <w:sz w:val="18"/>
          <w:szCs w:val="18"/>
          <w:highlight w:val="lightGray"/>
        </w:rPr>
        <w:t>EXAMPLE:</w:t>
      </w:r>
      <w:r w:rsidRPr="00122E77">
        <w:rPr>
          <w:rFonts w:cs="Arial"/>
          <w:strike/>
          <w:snapToGrid w:val="0"/>
          <w:sz w:val="18"/>
          <w:szCs w:val="18"/>
          <w:highlight w:val="lightGray"/>
        </w:rPr>
        <w:tab/>
        <w:t>FRENCH BEAN</w:t>
      </w:r>
    </w:p>
    <w:p w:rsidR="00122E77" w:rsidRPr="00122E77" w:rsidRDefault="00122E77" w:rsidP="00122E77"/>
    <w:p w:rsidR="00122E77" w:rsidRPr="00122E77" w:rsidRDefault="00122E77" w:rsidP="00122E77"/>
    <w:p w:rsidR="00122E77" w:rsidRPr="00122E77" w:rsidRDefault="00122E77" w:rsidP="00122E77">
      <w:pPr>
        <w:jc w:val="left"/>
        <w:rPr>
          <w:u w:val="single"/>
        </w:rPr>
      </w:pPr>
      <w:r w:rsidRPr="00122E77">
        <w:rPr>
          <w:u w:val="single"/>
        </w:rPr>
        <w:br w:type="page"/>
      </w:r>
    </w:p>
    <w:p w:rsidR="00122E77" w:rsidRPr="00122E77" w:rsidRDefault="00122E77" w:rsidP="00122E77">
      <w:pPr>
        <w:rPr>
          <w:u w:val="single"/>
        </w:rPr>
      </w:pPr>
      <w:r w:rsidRPr="00122E77">
        <w:rPr>
          <w:u w:val="single"/>
        </w:rPr>
        <w:lastRenderedPageBreak/>
        <w:t>Extract of:  2.  APPLICATION MODELS</w:t>
      </w:r>
    </w:p>
    <w:p w:rsidR="00122E77" w:rsidRPr="00122E77" w:rsidRDefault="00122E77" w:rsidP="00122E77"/>
    <w:p w:rsidR="00122E77" w:rsidRPr="00122E77" w:rsidRDefault="00122E77" w:rsidP="00122E77">
      <w:r w:rsidRPr="00122E77">
        <w:t>2.1.1</w:t>
      </w:r>
      <w:r w:rsidRPr="00122E77">
        <w:tab/>
        <w:t>[…]</w:t>
      </w:r>
    </w:p>
    <w:p w:rsidR="00122E77" w:rsidRPr="00122E77" w:rsidRDefault="00122E77" w:rsidP="00122E77"/>
    <w:p w:rsidR="00122E77" w:rsidRPr="00122E77" w:rsidRDefault="00122E77" w:rsidP="00122E77">
      <w:pPr>
        <w:ind w:firstLine="567"/>
        <w:rPr>
          <w:rFonts w:cs="Arial"/>
        </w:rPr>
      </w:pPr>
      <w:r w:rsidRPr="00122E77">
        <w:rPr>
          <w:rFonts w:cs="Arial"/>
        </w:rPr>
        <w:t>(e)</w:t>
      </w:r>
      <w:r w:rsidRPr="00122E77">
        <w:rPr>
          <w:rFonts w:cs="Arial"/>
        </w:rPr>
        <w:tab/>
        <w:t xml:space="preserve">markers linked to different regulatory elements for the same gene conferring expression of the same </w:t>
      </w:r>
      <w:r w:rsidRPr="00122E77">
        <w:rPr>
          <w:rFonts w:cs="Arial"/>
          <w:snapToGrid w:val="0"/>
        </w:rPr>
        <w:t>characteristic</w:t>
      </w:r>
      <w:r w:rsidRPr="00122E77">
        <w:rPr>
          <w:rFonts w:cs="Arial"/>
        </w:rPr>
        <w:t xml:space="preserve"> are different methods for examining the same characteristic</w:t>
      </w:r>
      <w:r w:rsidRPr="00122E77">
        <w:rPr>
          <w:rFonts w:cs="Arial"/>
          <w:strike/>
          <w:highlight w:val="lightGray"/>
        </w:rPr>
        <w:t>:  </w:t>
      </w:r>
      <w:r w:rsidRPr="00122E77">
        <w:rPr>
          <w:rFonts w:cs="Arial"/>
          <w:strike/>
        </w:rPr>
        <w:t xml:space="preserve"> </w:t>
      </w:r>
      <w:r w:rsidRPr="00122E77">
        <w:rPr>
          <w:rFonts w:cs="Arial"/>
          <w:highlight w:val="lightGray"/>
          <w:u w:val="single"/>
        </w:rPr>
        <w:t>.</w:t>
      </w:r>
    </w:p>
    <w:p w:rsidR="00122E77" w:rsidRPr="00122E77" w:rsidRDefault="00122E77" w:rsidP="00122E77">
      <w:pPr>
        <w:ind w:firstLine="567"/>
        <w:rPr>
          <w:rFonts w:cs="Arial"/>
          <w:u w:val="single"/>
        </w:rPr>
      </w:pPr>
    </w:p>
    <w:p w:rsidR="00122E77" w:rsidRPr="00122E77" w:rsidRDefault="00122E77" w:rsidP="00122E77">
      <w:r w:rsidRPr="00122E77">
        <w:rPr>
          <w:rFonts w:cs="Arial"/>
          <w:highlight w:val="lightGray"/>
          <w:u w:val="single"/>
        </w:rPr>
        <w:t>2.1.2</w:t>
      </w:r>
      <w:r w:rsidRPr="00122E77">
        <w:rPr>
          <w:rFonts w:cs="Arial"/>
        </w:rPr>
        <w:tab/>
        <w:t xml:space="preserve">Annex I to this document </w:t>
      </w:r>
      <w:r w:rsidRPr="00122E77">
        <w:rPr>
          <w:rFonts w:cs="Arial"/>
          <w:strike/>
          <w:highlight w:val="lightGray"/>
        </w:rPr>
        <w:t>“Gene Specific Marker for Herbicide Tolerance”</w:t>
      </w:r>
      <w:r w:rsidRPr="00122E77">
        <w:rPr>
          <w:rFonts w:cs="Arial"/>
          <w:highlight w:val="lightGray"/>
        </w:rPr>
        <w:t xml:space="preserve"> </w:t>
      </w:r>
      <w:r w:rsidRPr="00122E77">
        <w:rPr>
          <w:rFonts w:cs="Arial"/>
        </w:rPr>
        <w:t xml:space="preserve">provides </w:t>
      </w:r>
      <w:r w:rsidRPr="00122E77">
        <w:rPr>
          <w:rFonts w:cs="Arial"/>
          <w:strike/>
          <w:highlight w:val="lightGray"/>
        </w:rPr>
        <w:t>an</w:t>
      </w:r>
      <w:r w:rsidRPr="00122E77">
        <w:rPr>
          <w:rFonts w:cs="Arial"/>
        </w:rPr>
        <w:t xml:space="preserve"> example</w:t>
      </w:r>
      <w:r w:rsidRPr="00122E77">
        <w:rPr>
          <w:rFonts w:cs="Arial"/>
          <w:highlight w:val="lightGray"/>
          <w:u w:val="single"/>
        </w:rPr>
        <w:t>s</w:t>
      </w:r>
      <w:r w:rsidRPr="00122E77">
        <w:rPr>
          <w:rFonts w:cs="Arial"/>
        </w:rPr>
        <w:t xml:space="preserve"> of the use of </w:t>
      </w:r>
      <w:r w:rsidRPr="00122E77">
        <w:t>characteristic-specific molecular markers.</w:t>
      </w:r>
    </w:p>
    <w:p w:rsidR="00122E77" w:rsidRPr="00122E77" w:rsidRDefault="00122E77" w:rsidP="00122E77">
      <w:pPr>
        <w:ind w:firstLine="567"/>
      </w:pPr>
    </w:p>
    <w:p w:rsidR="00122E77" w:rsidRPr="00122E77" w:rsidRDefault="00122E77" w:rsidP="00122E77">
      <w:pPr>
        <w:rPr>
          <w:rFonts w:cs="Arial"/>
        </w:rPr>
      </w:pPr>
      <w:r w:rsidRPr="00122E77">
        <w:rPr>
          <w:rFonts w:cs="Arial"/>
        </w:rPr>
        <w:t>2.1.</w:t>
      </w:r>
      <w:r w:rsidRPr="00122E77">
        <w:rPr>
          <w:rFonts w:cs="Arial"/>
          <w:highlight w:val="lightGray"/>
          <w:u w:val="single"/>
        </w:rPr>
        <w:t>3</w:t>
      </w:r>
      <w:r w:rsidRPr="00122E77">
        <w:rPr>
          <w:rFonts w:cs="Arial"/>
        </w:rPr>
        <w:tab/>
        <w:t>It is a matter for the relevant authority to consider if the assumptions are met when applying the model and example</w:t>
      </w:r>
      <w:r w:rsidRPr="00122E77">
        <w:rPr>
          <w:rFonts w:cs="Arial"/>
          <w:highlight w:val="lightGray"/>
          <w:u w:val="single"/>
        </w:rPr>
        <w:t>s</w:t>
      </w:r>
      <w:r w:rsidRPr="00122E77">
        <w:rPr>
          <w:rFonts w:cs="Arial"/>
        </w:rPr>
        <w:t>, as presented in Annex I of this document.</w:t>
      </w:r>
    </w:p>
    <w:p w:rsidR="00122E77" w:rsidRPr="00122E77" w:rsidRDefault="00122E77" w:rsidP="00122E77">
      <w:pPr>
        <w:rPr>
          <w:rFonts w:cs="Arial"/>
        </w:rPr>
      </w:pPr>
    </w:p>
    <w:p w:rsidR="00122E77" w:rsidRPr="00122E77" w:rsidRDefault="00122E77" w:rsidP="00122E77">
      <w:pPr>
        <w:rPr>
          <w:rFonts w:cs="Arial"/>
        </w:rPr>
      </w:pPr>
      <w:r w:rsidRPr="00122E77">
        <w:rPr>
          <w:rFonts w:cs="Arial"/>
        </w:rPr>
        <w:t>2.1.</w:t>
      </w:r>
      <w:r w:rsidRPr="00122E77">
        <w:rPr>
          <w:rFonts w:cs="Arial"/>
          <w:highlight w:val="lightGray"/>
          <w:u w:val="single"/>
        </w:rPr>
        <w:t>4</w:t>
      </w:r>
      <w:r w:rsidRPr="00122E77">
        <w:rPr>
          <w:rFonts w:cs="Arial"/>
        </w:rPr>
        <w:t>.</w:t>
      </w:r>
      <w:r w:rsidRPr="00122E77">
        <w:rPr>
          <w:rFonts w:cs="Arial"/>
        </w:rPr>
        <w:tab/>
      </w:r>
      <w:r w:rsidRPr="00122E77">
        <w:t>In order to include a method based on the model in Annex I of this document in Test Guidelines the relevant Technical Working Party and the TC would need to agree that the requirement for reliability of the link between the gene and the expression of the characteristic was satisfied</w:t>
      </w:r>
      <w:r w:rsidRPr="00122E77">
        <w:rPr>
          <w:rFonts w:cs="Arial"/>
        </w:rPr>
        <w:t>.</w:t>
      </w:r>
    </w:p>
    <w:p w:rsidR="00122E77" w:rsidRPr="00122E77" w:rsidRDefault="00122E77" w:rsidP="00122E77"/>
    <w:p w:rsidR="00122E77" w:rsidRPr="00122E77" w:rsidRDefault="00122E77" w:rsidP="00122E77">
      <w:pPr>
        <w:ind w:left="567" w:hanging="567"/>
        <w:rPr>
          <w:b/>
        </w:rPr>
      </w:pPr>
      <w:bookmarkStart w:id="93" w:name="_Toc311473362"/>
      <w:bookmarkStart w:id="94" w:name="_Toc41498953"/>
      <w:r w:rsidRPr="00122E77">
        <w:rPr>
          <w:b/>
        </w:rPr>
        <w:t>2.2</w:t>
      </w:r>
      <w:r w:rsidRPr="00122E77">
        <w:rPr>
          <w:b/>
        </w:rPr>
        <w:tab/>
        <w:t>Combining Phenotypic and Molecular Distances in the Management of Variety Collections (see Annex</w:t>
      </w:r>
      <w:r w:rsidRPr="00122E77">
        <w:rPr>
          <w:b/>
          <w:bCs/>
          <w:lang w:val="en-GB"/>
        </w:rPr>
        <w:t> II</w:t>
      </w:r>
      <w:r w:rsidRPr="00122E77">
        <w:rPr>
          <w:b/>
        </w:rPr>
        <w:t>)</w:t>
      </w:r>
      <w:bookmarkEnd w:id="93"/>
      <w:bookmarkEnd w:id="94"/>
    </w:p>
    <w:p w:rsidR="00122E77" w:rsidRPr="00122E77" w:rsidRDefault="00122E77" w:rsidP="00122E77">
      <w:pPr>
        <w:ind w:left="567" w:hanging="567"/>
        <w:rPr>
          <w:b/>
        </w:rPr>
      </w:pPr>
    </w:p>
    <w:p w:rsidR="00122E77" w:rsidRPr="00122E77" w:rsidRDefault="00122E77" w:rsidP="00122E77">
      <w:pPr>
        <w:rPr>
          <w:u w:val="single"/>
        </w:rPr>
      </w:pPr>
      <w:bookmarkStart w:id="95" w:name="_Toc41498954"/>
      <w:r w:rsidRPr="00122E77">
        <w:rPr>
          <w:highlight w:val="lightGray"/>
          <w:u w:val="single"/>
        </w:rPr>
        <w:t>Example 1:  Parent lines in Maize (see Annex II, example 1)</w:t>
      </w:r>
      <w:bookmarkEnd w:id="95"/>
    </w:p>
    <w:p w:rsidR="00122E77" w:rsidRPr="00122E77" w:rsidRDefault="00122E77" w:rsidP="00122E77"/>
    <w:p w:rsidR="00122E77" w:rsidRPr="00122E77" w:rsidRDefault="00122E77" w:rsidP="00122E77">
      <w:r w:rsidRPr="00122E77">
        <w:t>2.2.1</w:t>
      </w:r>
      <w:r w:rsidRPr="00122E77">
        <w:tab/>
        <w:t>[xxx]</w:t>
      </w:r>
    </w:p>
    <w:p w:rsidR="00122E77" w:rsidRPr="00122E77" w:rsidRDefault="00122E77" w:rsidP="00122E77"/>
    <w:p w:rsidR="00122E77" w:rsidRPr="00122E77" w:rsidRDefault="00122E77" w:rsidP="00122E77"/>
    <w:p w:rsidR="00122E77" w:rsidRPr="00122E77" w:rsidRDefault="00122E77" w:rsidP="00122E77">
      <w:pPr>
        <w:rPr>
          <w:highlight w:val="lightGray"/>
        </w:rPr>
      </w:pPr>
      <w:bookmarkStart w:id="96" w:name="_Toc41498955"/>
      <w:r w:rsidRPr="00122E77">
        <w:rPr>
          <w:strike/>
          <w:highlight w:val="lightGray"/>
        </w:rPr>
        <w:t xml:space="preserve">2.3  </w:t>
      </w:r>
      <w:r w:rsidRPr="00122E77">
        <w:rPr>
          <w:highlight w:val="lightGray"/>
          <w:u w:val="single"/>
        </w:rPr>
        <w:t>Example 2:</w:t>
      </w:r>
      <w:r w:rsidRPr="00122E77">
        <w:t xml:space="preserve"> Genetic Selection of Similar Varieties for the First Growing Cycle (see </w:t>
      </w:r>
      <w:r w:rsidRPr="00122E77">
        <w:rPr>
          <w:strike/>
          <w:highlight w:val="lightGray"/>
        </w:rPr>
        <w:t xml:space="preserve">Annex III </w:t>
      </w:r>
      <w:r w:rsidRPr="00122E77">
        <w:rPr>
          <w:highlight w:val="lightGray"/>
          <w:u w:val="single"/>
        </w:rPr>
        <w:t>Annex II, example 2</w:t>
      </w:r>
      <w:r w:rsidRPr="00122E77">
        <w:rPr>
          <w:highlight w:val="lightGray"/>
        </w:rPr>
        <w:t>)</w:t>
      </w:r>
      <w:bookmarkEnd w:id="96"/>
    </w:p>
    <w:p w:rsidR="00122E77" w:rsidRPr="00122E77" w:rsidRDefault="00122E77" w:rsidP="00122E77">
      <w:pPr>
        <w:rPr>
          <w:highlight w:val="lightGray"/>
        </w:rPr>
      </w:pPr>
    </w:p>
    <w:p w:rsidR="00122E77" w:rsidRPr="00122E77" w:rsidRDefault="00122E77" w:rsidP="00122E77">
      <w:r w:rsidRPr="00122E77">
        <w:rPr>
          <w:strike/>
          <w:highlight w:val="lightGray"/>
        </w:rPr>
        <w:t>2.3.1</w:t>
      </w:r>
      <w:r w:rsidRPr="00122E77">
        <w:t xml:space="preserve"> </w:t>
      </w:r>
      <w:r w:rsidRPr="00122E77">
        <w:rPr>
          <w:highlight w:val="lightGray"/>
          <w:u w:val="single"/>
        </w:rPr>
        <w:t>2.2.4</w:t>
      </w:r>
      <w:r w:rsidRPr="00122E77">
        <w:t xml:space="preserve"> </w:t>
      </w:r>
      <w:r w:rsidRPr="00122E77">
        <w:tab/>
        <w:t>This approach involves a step to check for genetic similarity before the first growing cycle.</w:t>
      </w:r>
    </w:p>
    <w:p w:rsidR="00122E77" w:rsidRPr="00122E77" w:rsidRDefault="00122E77" w:rsidP="00122E77"/>
    <w:p w:rsidR="00122E77" w:rsidRPr="00122E77" w:rsidRDefault="00122E77" w:rsidP="00122E77">
      <w:r w:rsidRPr="00122E77">
        <w:rPr>
          <w:strike/>
          <w:highlight w:val="lightGray"/>
        </w:rPr>
        <w:t>2.3.2</w:t>
      </w:r>
      <w:r w:rsidRPr="00122E77">
        <w:t xml:space="preserve"> </w:t>
      </w:r>
      <w:r w:rsidRPr="00122E77">
        <w:rPr>
          <w:highlight w:val="lightGray"/>
          <w:u w:val="single"/>
        </w:rPr>
        <w:t>2.2.5</w:t>
      </w:r>
      <w:r w:rsidRPr="00122E77">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w:t>
      </w:r>
    </w:p>
    <w:p w:rsidR="00122E77" w:rsidRPr="00122E77" w:rsidRDefault="00122E77" w:rsidP="00122E77"/>
    <w:p w:rsidR="00122E77" w:rsidRPr="00122E77" w:rsidRDefault="00122E77" w:rsidP="00122E77">
      <w:r w:rsidRPr="00122E77">
        <w:rPr>
          <w:strike/>
          <w:highlight w:val="lightGray"/>
        </w:rPr>
        <w:t>2.3.3</w:t>
      </w:r>
      <w:r w:rsidRPr="00122E77">
        <w:t xml:space="preserve"> </w:t>
      </w:r>
      <w:r w:rsidRPr="00122E77">
        <w:rPr>
          <w:highlight w:val="lightGray"/>
          <w:u w:val="single"/>
        </w:rPr>
        <w:t>2.2.6</w:t>
      </w:r>
      <w:r w:rsidRPr="00122E77">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122E77" w:rsidRPr="00122E77" w:rsidRDefault="00122E77" w:rsidP="00122E77"/>
    <w:p w:rsidR="00122E77" w:rsidRPr="00122E77" w:rsidRDefault="00122E77" w:rsidP="00122E77">
      <w:r w:rsidRPr="00122E77">
        <w:rPr>
          <w:strike/>
          <w:highlight w:val="lightGray"/>
        </w:rPr>
        <w:t>2.3.4</w:t>
      </w:r>
      <w:r w:rsidRPr="00122E77">
        <w:t xml:space="preserve"> </w:t>
      </w:r>
      <w:r w:rsidRPr="00122E77">
        <w:rPr>
          <w:highlight w:val="lightGray"/>
          <w:u w:val="single"/>
        </w:rPr>
        <w:t>2.2.7</w:t>
      </w:r>
      <w:r w:rsidRPr="00122E77">
        <w:tab/>
      </w:r>
      <w:r w:rsidRPr="00122E77">
        <w:rPr>
          <w:strike/>
          <w:highlight w:val="lightGray"/>
        </w:rPr>
        <w:t>Annex III</w:t>
      </w:r>
      <w:r w:rsidRPr="00122E77">
        <w:t xml:space="preserve"> </w:t>
      </w:r>
      <w:r w:rsidRPr="00122E77">
        <w:rPr>
          <w:highlight w:val="lightGray"/>
          <w:u w:val="single"/>
        </w:rPr>
        <w:t>Example 2 in Annex II</w:t>
      </w:r>
      <w:r w:rsidRPr="00122E77">
        <w:t xml:space="preserve"> to this document </w:t>
      </w:r>
      <w:r w:rsidRPr="00122E77">
        <w:rPr>
          <w:strike/>
          <w:highlight w:val="lightGray"/>
        </w:rPr>
        <w:t>“Genetic Selection of Similar Varieties for the First Growing Cycle”</w:t>
      </w:r>
      <w:r w:rsidRPr="00122E77">
        <w:t xml:space="preserve"> provides an example of the genetic selection of similar varieties for the first growing cycle.</w:t>
      </w:r>
    </w:p>
    <w:p w:rsidR="00122E77" w:rsidRPr="00122E77" w:rsidRDefault="00122E77" w:rsidP="00122E77"/>
    <w:p w:rsidR="00122E77" w:rsidRPr="00122E77" w:rsidRDefault="00122E77" w:rsidP="00122E77"/>
    <w:p w:rsidR="00122E77" w:rsidRPr="00122E77" w:rsidRDefault="00122E77" w:rsidP="00122E77">
      <w:pPr>
        <w:jc w:val="left"/>
        <w:rPr>
          <w:snapToGrid w:val="0"/>
          <w:highlight w:val="lightGray"/>
        </w:rPr>
      </w:pPr>
      <w:r w:rsidRPr="00122E77">
        <w:rPr>
          <w:snapToGrid w:val="0"/>
          <w:highlight w:val="lightGray"/>
        </w:rPr>
        <w:br w:type="page"/>
      </w:r>
    </w:p>
    <w:p w:rsidR="00122E77" w:rsidRPr="00122E77" w:rsidRDefault="00122E77" w:rsidP="00122E77">
      <w:pPr>
        <w:pBdr>
          <w:top w:val="single" w:sz="4" w:space="1" w:color="auto"/>
          <w:left w:val="single" w:sz="4" w:space="4" w:color="auto"/>
          <w:bottom w:val="single" w:sz="4" w:space="1" w:color="auto"/>
          <w:right w:val="single" w:sz="4" w:space="4" w:color="auto"/>
        </w:pBdr>
        <w:jc w:val="center"/>
        <w:rPr>
          <w:snapToGrid w:val="0"/>
          <w:color w:val="000000"/>
          <w:highlight w:val="lightGray"/>
        </w:rPr>
      </w:pPr>
      <w:r w:rsidRPr="00122E77">
        <w:rPr>
          <w:snapToGrid w:val="0"/>
          <w:highlight w:val="lightGray"/>
        </w:rPr>
        <w:lastRenderedPageBreak/>
        <w:t xml:space="preserve">MODEL:  </w:t>
      </w:r>
      <w:r w:rsidRPr="00122E77">
        <w:rPr>
          <w:snapToGrid w:val="0"/>
          <w:color w:val="000000"/>
          <w:highlight w:val="lightGray"/>
        </w:rPr>
        <w:t>CHARACTERISTIC-SPECIFIC MOLECULAR MARKERS</w:t>
      </w:r>
    </w:p>
    <w:p w:rsidR="00122E77" w:rsidRPr="00122E77" w:rsidRDefault="00122E77" w:rsidP="00122E77">
      <w:pPr>
        <w:jc w:val="center"/>
        <w:rPr>
          <w:highlight w:val="lightGray"/>
        </w:rPr>
      </w:pPr>
    </w:p>
    <w:p w:rsidR="00122E77" w:rsidRPr="00122E77" w:rsidRDefault="00122E77" w:rsidP="00122E77">
      <w:pPr>
        <w:jc w:val="center"/>
        <w:rPr>
          <w:highlight w:val="lightGray"/>
        </w:rPr>
      </w:pPr>
    </w:p>
    <w:p w:rsidR="00122E77" w:rsidRPr="00122E77" w:rsidRDefault="00122E77" w:rsidP="00122E77">
      <w:pPr>
        <w:spacing w:after="160" w:line="259" w:lineRule="auto"/>
        <w:jc w:val="center"/>
        <w:rPr>
          <w:rFonts w:eastAsia="Calibri" w:cs="Arial"/>
          <w:highlight w:val="lightGray"/>
          <w:u w:val="single"/>
          <w:lang w:val="en-GB"/>
        </w:rPr>
      </w:pPr>
      <w:r w:rsidRPr="00122E77">
        <w:rPr>
          <w:rFonts w:eastAsia="Calibri" w:cs="Arial"/>
          <w:highlight w:val="lightGray"/>
          <w:u w:val="single"/>
          <w:lang w:val="en-GB"/>
        </w:rPr>
        <w:t>EXAMPLE 2:  GENE SPECIFIC MARKER WITH INCOMPLETE INFORMATION ON STATE OF EXPRESSION FOR DISEASE RESISTANCE IN TOMATO</w:t>
      </w:r>
    </w:p>
    <w:p w:rsidR="00122E77" w:rsidRPr="00122E77" w:rsidRDefault="00122E77" w:rsidP="00122E77">
      <w:pPr>
        <w:spacing w:after="160" w:line="259" w:lineRule="auto"/>
        <w:jc w:val="center"/>
        <w:rPr>
          <w:rFonts w:eastAsia="Calibri" w:cs="Arial"/>
          <w:i/>
          <w:iCs/>
          <w:highlight w:val="lightGray"/>
          <w:u w:val="single"/>
          <w:lang w:val="en-GB"/>
        </w:rPr>
      </w:pPr>
      <w:r w:rsidRPr="00122E77">
        <w:rPr>
          <w:rFonts w:eastAsia="Calibri" w:cs="Arial"/>
          <w:i/>
          <w:iCs/>
          <w:highlight w:val="lightGray"/>
          <w:u w:val="single"/>
          <w:lang w:val="en-GB"/>
        </w:rPr>
        <w:t>prepared by experts from The Netherlands</w:t>
      </w:r>
    </w:p>
    <w:p w:rsidR="00122E77" w:rsidRPr="00122E77" w:rsidRDefault="00122E77" w:rsidP="00122E77">
      <w:pPr>
        <w:autoSpaceDE w:val="0"/>
        <w:autoSpaceDN w:val="0"/>
        <w:adjustRightInd w:val="0"/>
        <w:rPr>
          <w:rFonts w:eastAsia="Calibri" w:cs="Arial"/>
          <w:highlight w:val="lightGray"/>
          <w:u w:val="single"/>
          <w:lang w:val="en-GB"/>
        </w:rPr>
      </w:pPr>
    </w:p>
    <w:p w:rsidR="00122E77" w:rsidRPr="00122E77" w:rsidRDefault="00122E77" w:rsidP="00122E77">
      <w:pPr>
        <w:autoSpaceDE w:val="0"/>
        <w:autoSpaceDN w:val="0"/>
        <w:adjustRightInd w:val="0"/>
        <w:rPr>
          <w:rFonts w:eastAsia="Calibri" w:cs="Arial"/>
          <w:highlight w:val="lightGray"/>
          <w:u w:val="single"/>
          <w:lang w:val="en-GB"/>
        </w:rPr>
      </w:pPr>
      <w:r w:rsidRPr="00122E77">
        <w:rPr>
          <w:rFonts w:eastAsia="Calibri" w:cs="Arial"/>
          <w:highlight w:val="lightGray"/>
          <w:u w:val="single"/>
          <w:lang w:val="en-GB"/>
        </w:rPr>
        <w:t>Example</w:t>
      </w:r>
    </w:p>
    <w:p w:rsidR="00122E77" w:rsidRPr="00122E77" w:rsidRDefault="00122E77" w:rsidP="00122E77">
      <w:pPr>
        <w:autoSpaceDE w:val="0"/>
        <w:autoSpaceDN w:val="0"/>
        <w:adjustRightInd w:val="0"/>
        <w:rPr>
          <w:rFonts w:eastAsia="Calibri" w:cs="Arial"/>
          <w:highlight w:val="lightGray"/>
          <w:u w:val="single"/>
          <w:lang w:val="en-GB"/>
        </w:rPr>
      </w:pPr>
    </w:p>
    <w:p w:rsidR="00122E77" w:rsidRPr="00122E77" w:rsidRDefault="00122E77" w:rsidP="00122E77">
      <w:pPr>
        <w:autoSpaceDE w:val="0"/>
        <w:autoSpaceDN w:val="0"/>
        <w:adjustRightInd w:val="0"/>
        <w:rPr>
          <w:rFonts w:eastAsia="Calibri" w:cs="Arial"/>
          <w:szCs w:val="18"/>
          <w:highlight w:val="lightGray"/>
          <w:u w:val="single"/>
          <w:lang w:val="en-GB"/>
        </w:rPr>
      </w:pPr>
      <w:r w:rsidRPr="00122E77">
        <w:rPr>
          <w:rFonts w:eastAsia="Calibri" w:cs="Arial"/>
          <w:highlight w:val="lightGray"/>
          <w:u w:val="single"/>
          <w:lang w:val="en-GB"/>
        </w:rPr>
        <w:t>1.</w:t>
      </w:r>
      <w:r w:rsidRPr="00122E77">
        <w:rPr>
          <w:rFonts w:eastAsia="Calibri" w:cs="Arial"/>
          <w:highlight w:val="lightGray"/>
          <w:u w:val="single"/>
          <w:lang w:val="en-GB"/>
        </w:rPr>
        <w:tab/>
        <w:t>Resistance to Tomato mosaic virus (</w:t>
      </w:r>
      <w:proofErr w:type="spellStart"/>
      <w:r w:rsidRPr="00122E77">
        <w:rPr>
          <w:rFonts w:eastAsia="Calibri" w:cs="Arial"/>
          <w:highlight w:val="lightGray"/>
          <w:u w:val="single"/>
          <w:lang w:val="en-GB"/>
        </w:rPr>
        <w:t>ToMV</w:t>
      </w:r>
      <w:proofErr w:type="spellEnd"/>
      <w:r w:rsidRPr="00122E77">
        <w:rPr>
          <w:rFonts w:eastAsia="Calibri" w:cs="Arial"/>
          <w:highlight w:val="lightGray"/>
          <w:u w:val="single"/>
          <w:lang w:val="en-GB"/>
        </w:rPr>
        <w:t xml:space="preserve">) Strain 0 in Tomato is conferred by </w:t>
      </w:r>
      <w:r w:rsidRPr="00122E77">
        <w:rPr>
          <w:rFonts w:eastAsia="Calibri" w:cs="Arial"/>
          <w:szCs w:val="18"/>
          <w:highlight w:val="lightGray"/>
          <w:u w:val="single"/>
          <w:lang w:val="en-GB"/>
        </w:rPr>
        <w:t xml:space="preserve">the presence of allele </w:t>
      </w:r>
      <w:r w:rsidRPr="00122E77">
        <w:rPr>
          <w:rFonts w:eastAsia="Calibri" w:cs="Arial"/>
          <w:i/>
          <w:szCs w:val="18"/>
          <w:highlight w:val="lightGray"/>
          <w:u w:val="single"/>
          <w:lang w:val="en-GB"/>
        </w:rPr>
        <w:t xml:space="preserve">Tm1 </w:t>
      </w:r>
      <w:r w:rsidRPr="00122E77">
        <w:rPr>
          <w:rFonts w:eastAsia="Calibri" w:cs="Arial"/>
          <w:szCs w:val="18"/>
          <w:highlight w:val="lightGray"/>
          <w:u w:val="single"/>
          <w:lang w:val="en-GB"/>
        </w:rPr>
        <w:t>from gene Tm1</w:t>
      </w:r>
      <w:r w:rsidRPr="00122E77">
        <w:rPr>
          <w:rFonts w:eastAsia="Calibri" w:cs="Arial"/>
          <w:i/>
          <w:szCs w:val="18"/>
          <w:highlight w:val="lightGray"/>
          <w:u w:val="single"/>
          <w:lang w:val="en-GB"/>
        </w:rPr>
        <w:t xml:space="preserve"> </w:t>
      </w:r>
      <w:r w:rsidRPr="00122E77">
        <w:rPr>
          <w:rFonts w:eastAsia="Calibri" w:cs="Arial"/>
          <w:szCs w:val="18"/>
          <w:highlight w:val="lightGray"/>
          <w:u w:val="single"/>
          <w:lang w:val="en-GB"/>
        </w:rPr>
        <w:t xml:space="preserve">or alleles </w:t>
      </w:r>
      <w:r w:rsidRPr="00122E77">
        <w:rPr>
          <w:rFonts w:eastAsia="Calibri" w:cs="Arial"/>
          <w:i/>
          <w:szCs w:val="18"/>
          <w:highlight w:val="lightGray"/>
          <w:u w:val="single"/>
          <w:lang w:val="en-GB"/>
        </w:rPr>
        <w:t xml:space="preserve">Tm2 </w:t>
      </w:r>
      <w:r w:rsidRPr="00122E77">
        <w:rPr>
          <w:rFonts w:eastAsia="Calibri" w:cs="Arial"/>
          <w:szCs w:val="18"/>
          <w:highlight w:val="lightGray"/>
          <w:u w:val="single"/>
          <w:lang w:val="en-GB"/>
        </w:rPr>
        <w:t xml:space="preserve">or </w:t>
      </w:r>
      <w:r w:rsidRPr="00122E77">
        <w:rPr>
          <w:rFonts w:eastAsia="Calibri" w:cs="Arial"/>
          <w:i/>
          <w:szCs w:val="18"/>
          <w:highlight w:val="lightGray"/>
          <w:u w:val="single"/>
          <w:lang w:val="en-GB"/>
        </w:rPr>
        <w:t>Tm2</w:t>
      </w:r>
      <w:r w:rsidRPr="00122E77">
        <w:rPr>
          <w:rFonts w:eastAsia="Calibri" w:cs="Arial"/>
          <w:i/>
          <w:szCs w:val="18"/>
          <w:highlight w:val="lightGray"/>
          <w:u w:val="single"/>
          <w:vertAlign w:val="superscript"/>
          <w:lang w:val="en-GB"/>
        </w:rPr>
        <w:t xml:space="preserve">2  </w:t>
      </w:r>
      <w:r w:rsidRPr="00122E77">
        <w:rPr>
          <w:rFonts w:eastAsia="Calibri" w:cs="Arial"/>
          <w:szCs w:val="18"/>
          <w:highlight w:val="lightGray"/>
          <w:u w:val="single"/>
          <w:lang w:val="en-GB"/>
        </w:rPr>
        <w:t>from gene Tm2.</w:t>
      </w:r>
    </w:p>
    <w:p w:rsidR="00122E77" w:rsidRPr="00122E77" w:rsidRDefault="00122E77" w:rsidP="00122E77">
      <w:pPr>
        <w:autoSpaceDE w:val="0"/>
        <w:autoSpaceDN w:val="0"/>
        <w:adjustRightInd w:val="0"/>
        <w:rPr>
          <w:rFonts w:eastAsia="Calibri" w:cs="Arial"/>
          <w:szCs w:val="18"/>
          <w:highlight w:val="lightGray"/>
          <w:u w:val="single"/>
          <w:lang w:val="en-GB"/>
        </w:rPr>
      </w:pPr>
    </w:p>
    <w:p w:rsidR="00122E77" w:rsidRPr="00122E77" w:rsidRDefault="00122E77" w:rsidP="00122E77">
      <w:pPr>
        <w:autoSpaceDE w:val="0"/>
        <w:autoSpaceDN w:val="0"/>
        <w:adjustRightInd w:val="0"/>
        <w:rPr>
          <w:rFonts w:eastAsia="Calibri" w:cs="Arial"/>
          <w:highlight w:val="lightGray"/>
          <w:u w:val="single"/>
          <w:lang w:val="en-GB"/>
        </w:rPr>
      </w:pPr>
      <w:r w:rsidRPr="00122E77">
        <w:rPr>
          <w:rFonts w:eastAsia="Calibri" w:cs="Arial"/>
          <w:highlight w:val="lightGray"/>
          <w:u w:val="single"/>
          <w:lang w:val="en-GB"/>
        </w:rPr>
        <w:t>2.</w:t>
      </w:r>
      <w:r w:rsidRPr="00122E77">
        <w:rPr>
          <w:rFonts w:eastAsia="Calibri" w:cs="Arial"/>
          <w:highlight w:val="lightGray"/>
          <w:u w:val="single"/>
          <w:lang w:val="en-GB"/>
        </w:rPr>
        <w:tab/>
        <w:t xml:space="preserve">A single marker identifies the presence of resistance alleles </w:t>
      </w:r>
      <w:r w:rsidRPr="00122E77">
        <w:rPr>
          <w:rFonts w:eastAsia="Calibri" w:cs="Arial"/>
          <w:i/>
          <w:highlight w:val="lightGray"/>
          <w:u w:val="single"/>
          <w:lang w:val="en-GB"/>
        </w:rPr>
        <w:t>Tm2</w:t>
      </w:r>
      <w:r w:rsidRPr="00122E77">
        <w:rPr>
          <w:rFonts w:eastAsia="Calibri" w:cs="Arial"/>
          <w:highlight w:val="lightGray"/>
          <w:u w:val="single"/>
          <w:lang w:val="en-GB"/>
        </w:rPr>
        <w:t xml:space="preserve"> and </w:t>
      </w:r>
      <w:r w:rsidRPr="00122E77">
        <w:rPr>
          <w:rFonts w:eastAsia="Calibri" w:cs="Arial"/>
          <w:i/>
          <w:highlight w:val="lightGray"/>
          <w:u w:val="single"/>
          <w:lang w:val="en-GB"/>
        </w:rPr>
        <w:t>Tm2</w:t>
      </w:r>
      <w:r w:rsidRPr="00122E77">
        <w:rPr>
          <w:rFonts w:eastAsia="Calibri" w:cs="Arial"/>
          <w:i/>
          <w:highlight w:val="lightGray"/>
          <w:u w:val="single"/>
          <w:vertAlign w:val="superscript"/>
          <w:lang w:val="en-GB"/>
        </w:rPr>
        <w:t>2</w:t>
      </w:r>
      <w:r w:rsidRPr="00122E77">
        <w:rPr>
          <w:rFonts w:eastAsia="Calibri" w:cs="Arial"/>
          <w:highlight w:val="lightGray"/>
          <w:u w:val="single"/>
          <w:lang w:val="en-GB"/>
        </w:rPr>
        <w:t xml:space="preserve"> and the susceptible allele </w:t>
      </w:r>
      <w:r w:rsidRPr="00122E77">
        <w:rPr>
          <w:rFonts w:eastAsia="Calibri" w:cs="Arial"/>
          <w:i/>
          <w:highlight w:val="lightGray"/>
          <w:u w:val="single"/>
          <w:lang w:val="en-GB"/>
        </w:rPr>
        <w:t>tm2</w:t>
      </w:r>
      <w:r w:rsidRPr="00122E77">
        <w:rPr>
          <w:rFonts w:eastAsia="Calibri" w:cs="Arial"/>
          <w:highlight w:val="lightGray"/>
          <w:u w:val="single"/>
          <w:lang w:val="en-GB"/>
        </w:rPr>
        <w:t xml:space="preserve">.  Marker </w:t>
      </w:r>
      <w:r w:rsidRPr="00122E77">
        <w:rPr>
          <w:rFonts w:eastAsia="Calibri" w:cs="Arial"/>
          <w:i/>
          <w:highlight w:val="lightGray"/>
          <w:u w:val="single"/>
          <w:lang w:val="en-GB"/>
        </w:rPr>
        <w:t>Tm2/2</w:t>
      </w:r>
      <w:r w:rsidRPr="00122E77">
        <w:rPr>
          <w:rFonts w:eastAsia="Calibri" w:cs="Arial"/>
          <w:i/>
          <w:highlight w:val="lightGray"/>
          <w:u w:val="single"/>
          <w:vertAlign w:val="superscript"/>
          <w:lang w:val="en-GB"/>
        </w:rPr>
        <w:t>2</w:t>
      </w:r>
      <w:r w:rsidRPr="00122E77">
        <w:rPr>
          <w:rFonts w:eastAsia="Calibri" w:cs="Arial"/>
          <w:highlight w:val="lightGray"/>
          <w:u w:val="single"/>
          <w:lang w:val="en-GB"/>
        </w:rPr>
        <w:t xml:space="preserve"> is positioned in the protein coding sequence.</w:t>
      </w:r>
    </w:p>
    <w:p w:rsidR="00122E77" w:rsidRPr="00122E77" w:rsidRDefault="00122E77" w:rsidP="00122E77">
      <w:pPr>
        <w:autoSpaceDE w:val="0"/>
        <w:autoSpaceDN w:val="0"/>
        <w:adjustRightInd w:val="0"/>
        <w:rPr>
          <w:rFonts w:eastAsia="Calibri" w:cs="Arial"/>
          <w:highlight w:val="lightGray"/>
          <w:u w:val="single"/>
          <w:lang w:val="en-GB"/>
        </w:rPr>
      </w:pPr>
    </w:p>
    <w:p w:rsidR="00122E77" w:rsidRPr="00122E77" w:rsidRDefault="00122E77" w:rsidP="00122E77">
      <w:pPr>
        <w:autoSpaceDE w:val="0"/>
        <w:autoSpaceDN w:val="0"/>
        <w:adjustRightInd w:val="0"/>
        <w:rPr>
          <w:rFonts w:eastAsia="Calibri" w:cs="Arial"/>
          <w:highlight w:val="lightGray"/>
          <w:u w:val="single"/>
          <w:lang w:val="en-GB"/>
        </w:rPr>
      </w:pPr>
      <w:r w:rsidRPr="00122E77">
        <w:rPr>
          <w:rFonts w:eastAsia="Calibri" w:cs="Arial"/>
          <w:highlight w:val="lightGray"/>
          <w:u w:val="single"/>
          <w:lang w:val="en-GB"/>
        </w:rPr>
        <w:t>3.</w:t>
      </w:r>
      <w:r w:rsidRPr="00122E77">
        <w:rPr>
          <w:rFonts w:eastAsia="Calibri" w:cs="Arial"/>
          <w:highlight w:val="lightGray"/>
          <w:u w:val="single"/>
          <w:lang w:val="en-GB"/>
        </w:rPr>
        <w:tab/>
        <w:t xml:space="preserve">A variety will be resistant to </w:t>
      </w:r>
      <w:proofErr w:type="spellStart"/>
      <w:r w:rsidRPr="00122E77">
        <w:rPr>
          <w:rFonts w:eastAsia="Calibri" w:cs="Arial"/>
          <w:highlight w:val="lightGray"/>
          <w:u w:val="single"/>
          <w:lang w:val="en-GB"/>
        </w:rPr>
        <w:t>ToMV</w:t>
      </w:r>
      <w:proofErr w:type="spellEnd"/>
      <w:r w:rsidRPr="00122E77">
        <w:rPr>
          <w:rFonts w:eastAsia="Calibri" w:cs="Arial"/>
          <w:highlight w:val="lightGray"/>
          <w:u w:val="single"/>
          <w:lang w:val="en-GB"/>
        </w:rPr>
        <w:t xml:space="preserve"> Strain 0 if resistance allele </w:t>
      </w:r>
      <w:r w:rsidRPr="00122E77">
        <w:rPr>
          <w:rFonts w:eastAsia="Calibri" w:cs="Arial"/>
          <w:i/>
          <w:highlight w:val="lightGray"/>
          <w:u w:val="single"/>
          <w:lang w:val="en-GB"/>
        </w:rPr>
        <w:t xml:space="preserve">Tm2 </w:t>
      </w:r>
      <w:r w:rsidRPr="00122E77">
        <w:rPr>
          <w:rFonts w:eastAsia="Calibri" w:cs="Arial"/>
          <w:highlight w:val="lightGray"/>
          <w:u w:val="single"/>
          <w:lang w:val="en-GB"/>
        </w:rPr>
        <w:t xml:space="preserve">or resistance allele </w:t>
      </w:r>
      <w:r w:rsidRPr="00122E77">
        <w:rPr>
          <w:rFonts w:eastAsia="Calibri" w:cs="Arial"/>
          <w:i/>
          <w:highlight w:val="lightGray"/>
          <w:u w:val="single"/>
          <w:lang w:val="en-GB"/>
        </w:rPr>
        <w:t>Tm2</w:t>
      </w:r>
      <w:r w:rsidRPr="00122E77">
        <w:rPr>
          <w:rFonts w:eastAsia="Calibri" w:cs="Arial"/>
          <w:i/>
          <w:highlight w:val="lightGray"/>
          <w:u w:val="single"/>
          <w:vertAlign w:val="superscript"/>
          <w:lang w:val="en-GB"/>
        </w:rPr>
        <w:t>2</w:t>
      </w:r>
      <w:r w:rsidRPr="00122E77">
        <w:rPr>
          <w:rFonts w:eastAsia="Calibri" w:cs="Arial"/>
          <w:highlight w:val="lightGray"/>
          <w:u w:val="single"/>
          <w:lang w:val="en-GB"/>
        </w:rPr>
        <w:t xml:space="preserve"> is present.  </w:t>
      </w:r>
    </w:p>
    <w:p w:rsidR="00122E77" w:rsidRPr="00122E77" w:rsidRDefault="00122E77" w:rsidP="00122E77">
      <w:pPr>
        <w:autoSpaceDE w:val="0"/>
        <w:autoSpaceDN w:val="0"/>
        <w:adjustRightInd w:val="0"/>
        <w:rPr>
          <w:rFonts w:eastAsia="Calibri" w:cs="Arial"/>
          <w:highlight w:val="lightGray"/>
          <w:u w:val="single"/>
          <w:lang w:val="en-GB"/>
        </w:rPr>
      </w:pPr>
    </w:p>
    <w:p w:rsidR="00122E77" w:rsidRPr="00122E77" w:rsidRDefault="00122E77" w:rsidP="00122E77">
      <w:pPr>
        <w:autoSpaceDE w:val="0"/>
        <w:autoSpaceDN w:val="0"/>
        <w:adjustRightInd w:val="0"/>
        <w:rPr>
          <w:rFonts w:eastAsia="Calibri" w:cs="Arial"/>
          <w:highlight w:val="lightGray"/>
          <w:u w:val="single"/>
          <w:lang w:val="en-GB"/>
        </w:rPr>
      </w:pPr>
      <w:r w:rsidRPr="00122E77">
        <w:rPr>
          <w:rFonts w:eastAsia="Calibri" w:cs="Arial"/>
          <w:highlight w:val="lightGray"/>
          <w:u w:val="single"/>
          <w:lang w:val="en-GB"/>
        </w:rPr>
        <w:t>4.</w:t>
      </w:r>
      <w:r w:rsidRPr="00122E77">
        <w:rPr>
          <w:rFonts w:eastAsia="Calibri" w:cs="Arial"/>
          <w:highlight w:val="lightGray"/>
          <w:u w:val="single"/>
          <w:lang w:val="en-GB"/>
        </w:rPr>
        <w:tab/>
        <w:t xml:space="preserve">A variety with homozygous allele </w:t>
      </w:r>
      <w:r w:rsidRPr="00122E77">
        <w:rPr>
          <w:rFonts w:eastAsia="Calibri" w:cs="Arial"/>
          <w:i/>
          <w:highlight w:val="lightGray"/>
          <w:u w:val="single"/>
          <w:lang w:val="en-GB"/>
        </w:rPr>
        <w:t>tm2</w:t>
      </w:r>
      <w:r w:rsidRPr="00122E77">
        <w:rPr>
          <w:rFonts w:eastAsia="Calibri" w:cs="Arial"/>
          <w:highlight w:val="lightGray"/>
          <w:u w:val="single"/>
          <w:lang w:val="en-GB"/>
        </w:rPr>
        <w:t xml:space="preserve"> will be susceptible to </w:t>
      </w:r>
      <w:proofErr w:type="spellStart"/>
      <w:r w:rsidRPr="00122E77">
        <w:rPr>
          <w:rFonts w:eastAsia="Calibri" w:cs="Arial"/>
          <w:highlight w:val="lightGray"/>
          <w:u w:val="single"/>
          <w:lang w:val="en-GB"/>
        </w:rPr>
        <w:t>ToMV</w:t>
      </w:r>
      <w:proofErr w:type="spellEnd"/>
      <w:r w:rsidRPr="00122E77">
        <w:rPr>
          <w:rFonts w:eastAsia="Calibri" w:cs="Arial"/>
          <w:highlight w:val="lightGray"/>
          <w:u w:val="single"/>
          <w:lang w:val="en-GB"/>
        </w:rPr>
        <w:t xml:space="preserve"> Strain 0 unless resistance is coded by resistance allele </w:t>
      </w:r>
      <w:r w:rsidRPr="00122E77">
        <w:rPr>
          <w:rFonts w:eastAsia="Calibri" w:cs="Arial"/>
          <w:i/>
          <w:highlight w:val="lightGray"/>
          <w:u w:val="single"/>
          <w:lang w:val="en-GB"/>
        </w:rPr>
        <w:t>Tm1</w:t>
      </w:r>
      <w:r w:rsidRPr="00122E77">
        <w:rPr>
          <w:rFonts w:eastAsia="Calibri" w:cs="Arial"/>
          <w:highlight w:val="lightGray"/>
          <w:u w:val="single"/>
          <w:lang w:val="en-GB"/>
        </w:rPr>
        <w:t xml:space="preserve">.  In this case, resistance to </w:t>
      </w:r>
      <w:proofErr w:type="spellStart"/>
      <w:r w:rsidRPr="00122E77">
        <w:rPr>
          <w:rFonts w:eastAsia="Calibri" w:cs="Arial"/>
          <w:highlight w:val="lightGray"/>
          <w:u w:val="single"/>
          <w:lang w:val="en-GB"/>
        </w:rPr>
        <w:t>ToMV</w:t>
      </w:r>
      <w:proofErr w:type="spellEnd"/>
      <w:r w:rsidRPr="00122E77">
        <w:rPr>
          <w:rFonts w:eastAsia="Calibri" w:cs="Arial"/>
          <w:highlight w:val="lightGray"/>
          <w:u w:val="single"/>
          <w:lang w:val="en-GB"/>
        </w:rPr>
        <w:t xml:space="preserve"> Strain 0 cannot be assessed by a DNA marker test because there is no reliable marker for gene Tm1.  </w:t>
      </w:r>
    </w:p>
    <w:p w:rsidR="00122E77" w:rsidRPr="00122E77" w:rsidRDefault="00122E77" w:rsidP="00122E77">
      <w:pPr>
        <w:autoSpaceDE w:val="0"/>
        <w:autoSpaceDN w:val="0"/>
        <w:adjustRightInd w:val="0"/>
        <w:rPr>
          <w:rFonts w:eastAsia="Calibri" w:cs="Arial"/>
          <w:highlight w:val="lightGray"/>
          <w:u w:val="single"/>
        </w:rPr>
      </w:pPr>
    </w:p>
    <w:p w:rsidR="00122E77" w:rsidRPr="00122E77" w:rsidRDefault="00122E77" w:rsidP="00122E77">
      <w:pPr>
        <w:keepNext/>
        <w:autoSpaceDE w:val="0"/>
        <w:autoSpaceDN w:val="0"/>
        <w:adjustRightInd w:val="0"/>
        <w:jc w:val="center"/>
        <w:rPr>
          <w:rFonts w:eastAsia="Calibri" w:cs="Arial"/>
          <w:highlight w:val="lightGray"/>
          <w:u w:val="single"/>
          <w:lang w:val="en-GB"/>
        </w:rPr>
      </w:pPr>
      <w:r w:rsidRPr="00122E77">
        <w:rPr>
          <w:rFonts w:eastAsia="Calibri" w:cs="Arial"/>
          <w:highlight w:val="lightGray"/>
          <w:u w:val="single"/>
          <w:lang w:val="en-GB"/>
        </w:rPr>
        <w:t>Table 1:  Schematic overview of resistance to Tomato mosaic virus and resistance alleles:</w:t>
      </w:r>
    </w:p>
    <w:p w:rsidR="00122E77" w:rsidRPr="00122E77" w:rsidRDefault="00122E77" w:rsidP="00122E77">
      <w:pPr>
        <w:keepNext/>
        <w:autoSpaceDE w:val="0"/>
        <w:autoSpaceDN w:val="0"/>
        <w:adjustRightInd w:val="0"/>
        <w:rPr>
          <w:rFonts w:eastAsia="Calibri" w:cs="Arial"/>
          <w:szCs w:val="19"/>
          <w:highlight w:val="lightGray"/>
          <w:u w:val="single"/>
          <w:lang w:val="en-GB"/>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122E77" w:rsidRPr="00122E77" w:rsidTr="002C31FA">
        <w:tc>
          <w:tcPr>
            <w:tcW w:w="1701" w:type="dxa"/>
            <w:vAlign w:val="center"/>
          </w:tcPr>
          <w:p w:rsidR="00122E77" w:rsidRPr="00122E77" w:rsidRDefault="00122E77" w:rsidP="00122E77">
            <w:pPr>
              <w:keepNext/>
              <w:autoSpaceDE w:val="0"/>
              <w:autoSpaceDN w:val="0"/>
              <w:adjustRightInd w:val="0"/>
              <w:jc w:val="left"/>
              <w:rPr>
                <w:rFonts w:cs="Arial"/>
                <w:szCs w:val="19"/>
                <w:highlight w:val="lightGray"/>
                <w:u w:val="single"/>
              </w:rPr>
            </w:pPr>
            <w:r w:rsidRPr="00122E77">
              <w:rPr>
                <w:rFonts w:cs="Arial"/>
                <w:szCs w:val="19"/>
                <w:highlight w:val="lightGray"/>
                <w:u w:val="single"/>
              </w:rPr>
              <w:t>Genetic background</w:t>
            </w:r>
          </w:p>
        </w:tc>
        <w:tc>
          <w:tcPr>
            <w:tcW w:w="1985" w:type="dxa"/>
            <w:vAlign w:val="center"/>
          </w:tcPr>
          <w:p w:rsidR="00122E77" w:rsidRPr="00122E77" w:rsidRDefault="00122E77" w:rsidP="00122E77">
            <w:pPr>
              <w:keepNext/>
              <w:autoSpaceDE w:val="0"/>
              <w:autoSpaceDN w:val="0"/>
              <w:adjustRightInd w:val="0"/>
              <w:jc w:val="left"/>
              <w:rPr>
                <w:rFonts w:cs="Arial"/>
                <w:i/>
                <w:szCs w:val="19"/>
                <w:highlight w:val="lightGray"/>
                <w:u w:val="single"/>
              </w:rPr>
            </w:pPr>
            <w:r w:rsidRPr="00122E77">
              <w:rPr>
                <w:rFonts w:cs="Arial"/>
                <w:i/>
                <w:szCs w:val="19"/>
                <w:highlight w:val="lightGray"/>
                <w:u w:val="single"/>
              </w:rPr>
              <w:t xml:space="preserve">tm2/tm2 </w:t>
            </w:r>
          </w:p>
          <w:p w:rsidR="00122E77" w:rsidRPr="00122E77" w:rsidRDefault="00122E77" w:rsidP="00122E77">
            <w:pPr>
              <w:keepNext/>
              <w:autoSpaceDE w:val="0"/>
              <w:autoSpaceDN w:val="0"/>
              <w:adjustRightInd w:val="0"/>
              <w:jc w:val="left"/>
              <w:rPr>
                <w:rFonts w:cs="Arial"/>
                <w:szCs w:val="19"/>
                <w:highlight w:val="lightGray"/>
                <w:u w:val="single"/>
              </w:rPr>
            </w:pPr>
          </w:p>
          <w:p w:rsidR="00122E77" w:rsidRPr="00122E77" w:rsidRDefault="00122E77" w:rsidP="00122E77">
            <w:pPr>
              <w:keepNext/>
              <w:autoSpaceDE w:val="0"/>
              <w:autoSpaceDN w:val="0"/>
              <w:adjustRightInd w:val="0"/>
              <w:jc w:val="left"/>
              <w:rPr>
                <w:rFonts w:cs="Arial"/>
                <w:szCs w:val="19"/>
                <w:highlight w:val="lightGray"/>
                <w:u w:val="single"/>
              </w:rPr>
            </w:pPr>
            <w:r w:rsidRPr="00122E77">
              <w:rPr>
                <w:rFonts w:cs="Arial"/>
                <w:szCs w:val="19"/>
                <w:highlight w:val="lightGray"/>
                <w:u w:val="single"/>
              </w:rPr>
              <w:t xml:space="preserve">and </w:t>
            </w:r>
          </w:p>
          <w:p w:rsidR="00122E77" w:rsidRPr="00122E77" w:rsidRDefault="00122E77" w:rsidP="00122E77">
            <w:pPr>
              <w:keepNext/>
              <w:autoSpaceDE w:val="0"/>
              <w:autoSpaceDN w:val="0"/>
              <w:adjustRightInd w:val="0"/>
              <w:jc w:val="left"/>
              <w:rPr>
                <w:rFonts w:cs="Arial"/>
                <w:szCs w:val="19"/>
                <w:highlight w:val="lightGray"/>
                <w:u w:val="single"/>
              </w:rPr>
            </w:pPr>
          </w:p>
          <w:p w:rsidR="00122E77" w:rsidRPr="00122E77" w:rsidRDefault="00122E77" w:rsidP="00122E77">
            <w:pPr>
              <w:keepNext/>
              <w:autoSpaceDE w:val="0"/>
              <w:autoSpaceDN w:val="0"/>
              <w:adjustRightInd w:val="0"/>
              <w:jc w:val="left"/>
              <w:rPr>
                <w:rFonts w:cs="Arial"/>
                <w:i/>
                <w:szCs w:val="19"/>
                <w:highlight w:val="lightGray"/>
                <w:u w:val="single"/>
              </w:rPr>
            </w:pPr>
            <w:r w:rsidRPr="00122E77">
              <w:rPr>
                <w:rFonts w:cs="Arial"/>
                <w:i/>
                <w:szCs w:val="19"/>
                <w:highlight w:val="lightGray"/>
                <w:u w:val="single"/>
              </w:rPr>
              <w:t>tm1/tm1</w:t>
            </w:r>
          </w:p>
          <w:p w:rsidR="00122E77" w:rsidRPr="00122E77" w:rsidRDefault="00122E77" w:rsidP="00122E77">
            <w:pPr>
              <w:keepNext/>
              <w:autoSpaceDE w:val="0"/>
              <w:autoSpaceDN w:val="0"/>
              <w:adjustRightInd w:val="0"/>
              <w:jc w:val="left"/>
              <w:rPr>
                <w:rFonts w:cs="Arial"/>
                <w:szCs w:val="19"/>
                <w:highlight w:val="lightGray"/>
                <w:u w:val="single"/>
              </w:rPr>
            </w:pPr>
          </w:p>
        </w:tc>
        <w:tc>
          <w:tcPr>
            <w:tcW w:w="2977" w:type="dxa"/>
            <w:vAlign w:val="center"/>
          </w:tcPr>
          <w:p w:rsidR="00122E77" w:rsidRPr="00122E77" w:rsidRDefault="00122E77" w:rsidP="00122E77">
            <w:pPr>
              <w:keepNext/>
              <w:autoSpaceDE w:val="0"/>
              <w:autoSpaceDN w:val="0"/>
              <w:adjustRightInd w:val="0"/>
              <w:jc w:val="left"/>
              <w:rPr>
                <w:rFonts w:cs="Arial"/>
                <w:szCs w:val="19"/>
                <w:highlight w:val="lightGray"/>
                <w:u w:val="single"/>
              </w:rPr>
            </w:pPr>
            <w:r w:rsidRPr="00122E77">
              <w:rPr>
                <w:rFonts w:cs="Arial"/>
                <w:i/>
                <w:szCs w:val="19"/>
                <w:highlight w:val="lightGray"/>
                <w:u w:val="single"/>
              </w:rPr>
              <w:t>Tm2/Tm2 or Tm2</w:t>
            </w:r>
            <w:r w:rsidRPr="00122E77">
              <w:rPr>
                <w:rFonts w:cs="Arial"/>
                <w:i/>
                <w:szCs w:val="19"/>
                <w:highlight w:val="lightGray"/>
                <w:u w:val="single"/>
                <w:vertAlign w:val="superscript"/>
              </w:rPr>
              <w:t>2</w:t>
            </w:r>
            <w:r w:rsidRPr="00122E77">
              <w:rPr>
                <w:rFonts w:cs="Arial"/>
                <w:i/>
                <w:szCs w:val="19"/>
                <w:highlight w:val="lightGray"/>
                <w:u w:val="single"/>
              </w:rPr>
              <w:t>/Tm2</w:t>
            </w:r>
            <w:r w:rsidRPr="00122E77">
              <w:rPr>
                <w:rFonts w:cs="Arial"/>
                <w:i/>
                <w:szCs w:val="19"/>
                <w:highlight w:val="lightGray"/>
                <w:u w:val="single"/>
                <w:vertAlign w:val="superscript"/>
              </w:rPr>
              <w:t>2</w:t>
            </w:r>
            <w:r w:rsidRPr="00122E77">
              <w:rPr>
                <w:rFonts w:cs="Arial"/>
                <w:szCs w:val="19"/>
                <w:highlight w:val="lightGray"/>
                <w:u w:val="single"/>
              </w:rPr>
              <w:t xml:space="preserve"> or </w:t>
            </w:r>
            <w:r w:rsidRPr="00122E77">
              <w:rPr>
                <w:rFonts w:cs="Arial"/>
                <w:i/>
                <w:szCs w:val="19"/>
                <w:highlight w:val="lightGray"/>
                <w:u w:val="single"/>
              </w:rPr>
              <w:t>Tm2</w:t>
            </w:r>
            <w:r w:rsidRPr="00122E77">
              <w:rPr>
                <w:rFonts w:cs="Arial"/>
                <w:i/>
                <w:szCs w:val="19"/>
                <w:highlight w:val="lightGray"/>
                <w:u w:val="single"/>
                <w:vertAlign w:val="superscript"/>
              </w:rPr>
              <w:t>2</w:t>
            </w:r>
            <w:r w:rsidRPr="00122E77">
              <w:rPr>
                <w:rFonts w:cs="Arial"/>
                <w:i/>
                <w:szCs w:val="19"/>
                <w:highlight w:val="lightGray"/>
                <w:u w:val="single"/>
              </w:rPr>
              <w:t>/Tm2</w:t>
            </w:r>
            <w:r w:rsidRPr="00122E77">
              <w:rPr>
                <w:rFonts w:cs="Arial"/>
                <w:szCs w:val="19"/>
                <w:highlight w:val="lightGray"/>
                <w:u w:val="single"/>
              </w:rPr>
              <w:t xml:space="preserve"> or </w:t>
            </w:r>
          </w:p>
          <w:p w:rsidR="00122E77" w:rsidRPr="00122E77" w:rsidRDefault="00122E77" w:rsidP="00122E77">
            <w:pPr>
              <w:keepNext/>
              <w:autoSpaceDE w:val="0"/>
              <w:autoSpaceDN w:val="0"/>
              <w:adjustRightInd w:val="0"/>
              <w:jc w:val="left"/>
              <w:rPr>
                <w:rFonts w:cs="Arial"/>
                <w:i/>
                <w:szCs w:val="19"/>
                <w:highlight w:val="lightGray"/>
                <w:u w:val="single"/>
              </w:rPr>
            </w:pPr>
            <w:r w:rsidRPr="00122E77">
              <w:rPr>
                <w:rFonts w:cs="Arial"/>
                <w:i/>
                <w:szCs w:val="19"/>
                <w:highlight w:val="lightGray"/>
                <w:u w:val="single"/>
              </w:rPr>
              <w:t>Tm2/tm2 or Tm2</w:t>
            </w:r>
            <w:r w:rsidRPr="00122E77">
              <w:rPr>
                <w:rFonts w:cs="Arial"/>
                <w:i/>
                <w:szCs w:val="19"/>
                <w:highlight w:val="lightGray"/>
                <w:u w:val="single"/>
                <w:vertAlign w:val="superscript"/>
              </w:rPr>
              <w:t>2</w:t>
            </w:r>
            <w:r w:rsidRPr="00122E77">
              <w:rPr>
                <w:rFonts w:cs="Arial"/>
                <w:i/>
                <w:szCs w:val="19"/>
                <w:highlight w:val="lightGray"/>
                <w:u w:val="single"/>
              </w:rPr>
              <w:t>/tm2</w:t>
            </w:r>
          </w:p>
          <w:p w:rsidR="00122E77" w:rsidRPr="00122E77" w:rsidRDefault="00122E77" w:rsidP="00122E77">
            <w:pPr>
              <w:keepNext/>
              <w:autoSpaceDE w:val="0"/>
              <w:autoSpaceDN w:val="0"/>
              <w:adjustRightInd w:val="0"/>
              <w:jc w:val="left"/>
              <w:rPr>
                <w:rFonts w:cs="Arial"/>
                <w:szCs w:val="19"/>
                <w:highlight w:val="lightGray"/>
                <w:u w:val="single"/>
              </w:rPr>
            </w:pPr>
          </w:p>
          <w:p w:rsidR="00122E77" w:rsidRPr="00122E77" w:rsidRDefault="00122E77" w:rsidP="00122E77">
            <w:pPr>
              <w:keepNext/>
              <w:autoSpaceDE w:val="0"/>
              <w:autoSpaceDN w:val="0"/>
              <w:adjustRightInd w:val="0"/>
              <w:jc w:val="left"/>
              <w:rPr>
                <w:rFonts w:cs="Arial"/>
                <w:szCs w:val="19"/>
                <w:highlight w:val="lightGray"/>
                <w:u w:val="single"/>
              </w:rPr>
            </w:pPr>
            <w:r w:rsidRPr="00122E77">
              <w:rPr>
                <w:rFonts w:cs="Arial"/>
                <w:szCs w:val="19"/>
                <w:highlight w:val="lightGray"/>
                <w:u w:val="single"/>
              </w:rPr>
              <w:t xml:space="preserve">and </w:t>
            </w:r>
          </w:p>
          <w:p w:rsidR="00122E77" w:rsidRPr="00122E77" w:rsidRDefault="00122E77" w:rsidP="00122E77">
            <w:pPr>
              <w:keepNext/>
              <w:autoSpaceDE w:val="0"/>
              <w:autoSpaceDN w:val="0"/>
              <w:adjustRightInd w:val="0"/>
              <w:jc w:val="left"/>
              <w:rPr>
                <w:rFonts w:cs="Arial"/>
                <w:szCs w:val="19"/>
                <w:highlight w:val="lightGray"/>
                <w:u w:val="single"/>
              </w:rPr>
            </w:pPr>
          </w:p>
          <w:p w:rsidR="00122E77" w:rsidRPr="00122E77" w:rsidRDefault="00122E77" w:rsidP="00122E77">
            <w:pPr>
              <w:keepNext/>
              <w:autoSpaceDE w:val="0"/>
              <w:autoSpaceDN w:val="0"/>
              <w:adjustRightInd w:val="0"/>
              <w:spacing w:before="60"/>
              <w:jc w:val="left"/>
              <w:rPr>
                <w:rFonts w:cs="Arial"/>
                <w:szCs w:val="19"/>
                <w:highlight w:val="lightGray"/>
                <w:u w:val="single"/>
              </w:rPr>
            </w:pPr>
            <w:r w:rsidRPr="00122E77">
              <w:rPr>
                <w:rFonts w:cs="Arial"/>
                <w:i/>
                <w:szCs w:val="19"/>
                <w:highlight w:val="lightGray"/>
                <w:u w:val="single"/>
              </w:rPr>
              <w:t>Tm1/Tm1</w:t>
            </w:r>
            <w:r w:rsidRPr="00122E77">
              <w:rPr>
                <w:rFonts w:cs="Arial"/>
                <w:szCs w:val="19"/>
                <w:highlight w:val="lightGray"/>
                <w:u w:val="single"/>
              </w:rPr>
              <w:t xml:space="preserve"> or </w:t>
            </w:r>
            <w:r w:rsidRPr="00122E77">
              <w:rPr>
                <w:rFonts w:cs="Arial"/>
                <w:i/>
                <w:szCs w:val="19"/>
                <w:highlight w:val="lightGray"/>
                <w:u w:val="single"/>
              </w:rPr>
              <w:t>Tm1/tm1</w:t>
            </w:r>
            <w:r w:rsidRPr="00122E77">
              <w:rPr>
                <w:rFonts w:cs="Arial"/>
                <w:szCs w:val="19"/>
                <w:highlight w:val="lightGray"/>
                <w:u w:val="single"/>
              </w:rPr>
              <w:t xml:space="preserve"> or </w:t>
            </w:r>
            <w:r w:rsidRPr="00122E77">
              <w:rPr>
                <w:rFonts w:cs="Arial"/>
                <w:i/>
                <w:szCs w:val="19"/>
                <w:highlight w:val="lightGray"/>
                <w:u w:val="single"/>
              </w:rPr>
              <w:t>tm1/tm1</w:t>
            </w:r>
          </w:p>
        </w:tc>
        <w:tc>
          <w:tcPr>
            <w:tcW w:w="1842" w:type="dxa"/>
            <w:vAlign w:val="center"/>
          </w:tcPr>
          <w:p w:rsidR="00122E77" w:rsidRPr="00122E77" w:rsidRDefault="00122E77" w:rsidP="00122E77">
            <w:pPr>
              <w:keepNext/>
              <w:autoSpaceDE w:val="0"/>
              <w:autoSpaceDN w:val="0"/>
              <w:adjustRightInd w:val="0"/>
              <w:jc w:val="left"/>
              <w:rPr>
                <w:rFonts w:cs="Arial"/>
                <w:i/>
                <w:szCs w:val="19"/>
                <w:highlight w:val="lightGray"/>
                <w:u w:val="single"/>
              </w:rPr>
            </w:pPr>
            <w:r w:rsidRPr="00122E77">
              <w:rPr>
                <w:rFonts w:cs="Arial"/>
                <w:i/>
                <w:szCs w:val="19"/>
                <w:highlight w:val="lightGray"/>
                <w:u w:val="single"/>
              </w:rPr>
              <w:t xml:space="preserve">tm2/tm2 </w:t>
            </w:r>
          </w:p>
          <w:p w:rsidR="00122E77" w:rsidRPr="00122E77" w:rsidRDefault="00122E77" w:rsidP="00122E77">
            <w:pPr>
              <w:keepNext/>
              <w:autoSpaceDE w:val="0"/>
              <w:autoSpaceDN w:val="0"/>
              <w:adjustRightInd w:val="0"/>
              <w:jc w:val="left"/>
              <w:rPr>
                <w:rFonts w:cs="Arial"/>
                <w:szCs w:val="19"/>
                <w:highlight w:val="lightGray"/>
                <w:u w:val="single"/>
              </w:rPr>
            </w:pPr>
          </w:p>
          <w:p w:rsidR="00122E77" w:rsidRPr="00122E77" w:rsidRDefault="00122E77" w:rsidP="00122E77">
            <w:pPr>
              <w:keepNext/>
              <w:autoSpaceDE w:val="0"/>
              <w:autoSpaceDN w:val="0"/>
              <w:adjustRightInd w:val="0"/>
              <w:jc w:val="left"/>
              <w:rPr>
                <w:rFonts w:cs="Arial"/>
                <w:szCs w:val="19"/>
                <w:highlight w:val="lightGray"/>
                <w:u w:val="single"/>
              </w:rPr>
            </w:pPr>
            <w:r w:rsidRPr="00122E77">
              <w:rPr>
                <w:rFonts w:cs="Arial"/>
                <w:szCs w:val="19"/>
                <w:highlight w:val="lightGray"/>
                <w:u w:val="single"/>
              </w:rPr>
              <w:t>and</w:t>
            </w:r>
          </w:p>
          <w:p w:rsidR="00122E77" w:rsidRPr="00122E77" w:rsidRDefault="00122E77" w:rsidP="00122E77">
            <w:pPr>
              <w:keepNext/>
              <w:autoSpaceDE w:val="0"/>
              <w:autoSpaceDN w:val="0"/>
              <w:adjustRightInd w:val="0"/>
              <w:jc w:val="left"/>
              <w:rPr>
                <w:rFonts w:cs="Arial"/>
                <w:szCs w:val="19"/>
                <w:highlight w:val="lightGray"/>
                <w:u w:val="single"/>
              </w:rPr>
            </w:pPr>
          </w:p>
          <w:p w:rsidR="00122E77" w:rsidRPr="00122E77" w:rsidRDefault="00122E77" w:rsidP="00122E77">
            <w:pPr>
              <w:keepNext/>
              <w:autoSpaceDE w:val="0"/>
              <w:autoSpaceDN w:val="0"/>
              <w:adjustRightInd w:val="0"/>
              <w:jc w:val="left"/>
              <w:rPr>
                <w:rFonts w:cs="Arial"/>
                <w:i/>
                <w:szCs w:val="19"/>
                <w:highlight w:val="lightGray"/>
                <w:u w:val="single"/>
              </w:rPr>
            </w:pPr>
            <w:r w:rsidRPr="00122E77">
              <w:rPr>
                <w:rFonts w:cs="Arial"/>
                <w:i/>
                <w:szCs w:val="19"/>
                <w:highlight w:val="lightGray"/>
                <w:u w:val="single"/>
              </w:rPr>
              <w:t>Tm1/Tm1</w:t>
            </w:r>
            <w:r w:rsidRPr="00122E77">
              <w:rPr>
                <w:rFonts w:cs="Arial"/>
                <w:szCs w:val="19"/>
                <w:highlight w:val="lightGray"/>
                <w:u w:val="single"/>
              </w:rPr>
              <w:t xml:space="preserve"> or </w:t>
            </w:r>
            <w:r w:rsidRPr="00122E77">
              <w:rPr>
                <w:rFonts w:cs="Arial"/>
                <w:i/>
                <w:szCs w:val="19"/>
                <w:highlight w:val="lightGray"/>
                <w:u w:val="single"/>
              </w:rPr>
              <w:t xml:space="preserve">Tm1/tm1 </w:t>
            </w:r>
          </w:p>
        </w:tc>
      </w:tr>
      <w:tr w:rsidR="00122E77" w:rsidRPr="00122E77" w:rsidTr="002C31FA">
        <w:trPr>
          <w:trHeight w:val="606"/>
        </w:trPr>
        <w:tc>
          <w:tcPr>
            <w:tcW w:w="1701" w:type="dxa"/>
            <w:vAlign w:val="center"/>
          </w:tcPr>
          <w:p w:rsidR="00122E77" w:rsidRPr="00122E77" w:rsidRDefault="00122E77" w:rsidP="00122E77">
            <w:pPr>
              <w:autoSpaceDE w:val="0"/>
              <w:autoSpaceDN w:val="0"/>
              <w:adjustRightInd w:val="0"/>
              <w:jc w:val="left"/>
              <w:rPr>
                <w:rFonts w:cs="Arial"/>
                <w:szCs w:val="19"/>
                <w:highlight w:val="lightGray"/>
                <w:u w:val="single"/>
              </w:rPr>
            </w:pPr>
            <w:r w:rsidRPr="00122E77">
              <w:rPr>
                <w:rFonts w:cs="Arial"/>
                <w:szCs w:val="19"/>
                <w:highlight w:val="lightGray"/>
                <w:u w:val="single"/>
              </w:rPr>
              <w:t xml:space="preserve">Marker </w:t>
            </w:r>
            <w:r w:rsidRPr="00122E77">
              <w:rPr>
                <w:rFonts w:cs="Arial"/>
                <w:i/>
                <w:szCs w:val="19"/>
                <w:highlight w:val="lightGray"/>
                <w:u w:val="single"/>
              </w:rPr>
              <w:t>Tm2/2</w:t>
            </w:r>
            <w:r w:rsidRPr="00122E77">
              <w:rPr>
                <w:rFonts w:cs="Arial"/>
                <w:i/>
                <w:szCs w:val="19"/>
                <w:highlight w:val="lightGray"/>
                <w:u w:val="single"/>
                <w:vertAlign w:val="superscript"/>
              </w:rPr>
              <w:t>2</w:t>
            </w:r>
          </w:p>
        </w:tc>
        <w:tc>
          <w:tcPr>
            <w:tcW w:w="1985" w:type="dxa"/>
            <w:vAlign w:val="center"/>
          </w:tcPr>
          <w:p w:rsidR="00122E77" w:rsidRPr="00122E77" w:rsidRDefault="00122E77" w:rsidP="00122E77">
            <w:pPr>
              <w:autoSpaceDE w:val="0"/>
              <w:autoSpaceDN w:val="0"/>
              <w:adjustRightInd w:val="0"/>
              <w:jc w:val="left"/>
              <w:rPr>
                <w:rFonts w:cs="Arial"/>
                <w:szCs w:val="19"/>
                <w:highlight w:val="lightGray"/>
                <w:u w:val="single"/>
              </w:rPr>
            </w:pPr>
            <w:r w:rsidRPr="00122E77">
              <w:rPr>
                <w:rFonts w:cs="Arial"/>
                <w:szCs w:val="19"/>
                <w:highlight w:val="lightGray"/>
                <w:u w:val="single"/>
              </w:rPr>
              <w:t>susceptible allele</w:t>
            </w:r>
          </w:p>
        </w:tc>
        <w:tc>
          <w:tcPr>
            <w:tcW w:w="2977" w:type="dxa"/>
            <w:vAlign w:val="center"/>
          </w:tcPr>
          <w:p w:rsidR="00122E77" w:rsidRPr="00122E77" w:rsidRDefault="00122E77" w:rsidP="00122E77">
            <w:pPr>
              <w:autoSpaceDE w:val="0"/>
              <w:autoSpaceDN w:val="0"/>
              <w:adjustRightInd w:val="0"/>
              <w:jc w:val="left"/>
              <w:rPr>
                <w:rFonts w:cs="Arial"/>
                <w:szCs w:val="19"/>
                <w:highlight w:val="lightGray"/>
                <w:u w:val="single"/>
              </w:rPr>
            </w:pPr>
            <w:r w:rsidRPr="00122E77">
              <w:rPr>
                <w:rFonts w:cs="Arial"/>
                <w:szCs w:val="19"/>
                <w:highlight w:val="lightGray"/>
                <w:u w:val="single"/>
              </w:rPr>
              <w:t>resistant allele</w:t>
            </w:r>
          </w:p>
        </w:tc>
        <w:tc>
          <w:tcPr>
            <w:tcW w:w="1842" w:type="dxa"/>
            <w:vAlign w:val="center"/>
          </w:tcPr>
          <w:p w:rsidR="00122E77" w:rsidRPr="00122E77" w:rsidRDefault="00122E77" w:rsidP="00122E77">
            <w:pPr>
              <w:autoSpaceDE w:val="0"/>
              <w:autoSpaceDN w:val="0"/>
              <w:adjustRightInd w:val="0"/>
              <w:jc w:val="left"/>
              <w:rPr>
                <w:rFonts w:cs="Arial"/>
                <w:szCs w:val="19"/>
                <w:highlight w:val="lightGray"/>
                <w:u w:val="single"/>
              </w:rPr>
            </w:pPr>
            <w:r w:rsidRPr="00122E77">
              <w:rPr>
                <w:rFonts w:cs="Arial"/>
                <w:szCs w:val="19"/>
                <w:highlight w:val="lightGray"/>
                <w:u w:val="single"/>
              </w:rPr>
              <w:t>susceptible allele</w:t>
            </w:r>
          </w:p>
        </w:tc>
      </w:tr>
      <w:tr w:rsidR="00122E77" w:rsidRPr="00122E77" w:rsidTr="002C31FA">
        <w:trPr>
          <w:trHeight w:val="558"/>
        </w:trPr>
        <w:tc>
          <w:tcPr>
            <w:tcW w:w="1701" w:type="dxa"/>
            <w:vAlign w:val="center"/>
          </w:tcPr>
          <w:p w:rsidR="00122E77" w:rsidRPr="00122E77" w:rsidRDefault="00122E77" w:rsidP="00122E77">
            <w:pPr>
              <w:autoSpaceDE w:val="0"/>
              <w:autoSpaceDN w:val="0"/>
              <w:adjustRightInd w:val="0"/>
              <w:spacing w:before="120" w:after="120"/>
              <w:jc w:val="left"/>
              <w:rPr>
                <w:rFonts w:cs="Arial"/>
                <w:szCs w:val="19"/>
                <w:highlight w:val="lightGray"/>
                <w:u w:val="single"/>
              </w:rPr>
            </w:pPr>
            <w:r w:rsidRPr="00122E77">
              <w:rPr>
                <w:rFonts w:cs="Arial"/>
                <w:szCs w:val="19"/>
                <w:highlight w:val="lightGray"/>
                <w:u w:val="single"/>
              </w:rPr>
              <w:t xml:space="preserve">Resistance to </w:t>
            </w:r>
            <w:proofErr w:type="spellStart"/>
            <w:r w:rsidRPr="00122E77">
              <w:rPr>
                <w:rFonts w:cs="Arial"/>
                <w:szCs w:val="19"/>
                <w:highlight w:val="lightGray"/>
                <w:u w:val="single"/>
              </w:rPr>
              <w:t>ToMV</w:t>
            </w:r>
            <w:proofErr w:type="spellEnd"/>
            <w:r w:rsidRPr="00122E77">
              <w:rPr>
                <w:rFonts w:cs="Arial"/>
                <w:szCs w:val="19"/>
                <w:highlight w:val="lightGray"/>
                <w:u w:val="single"/>
              </w:rPr>
              <w:t xml:space="preserve"> - Strain 0</w:t>
            </w:r>
          </w:p>
        </w:tc>
        <w:tc>
          <w:tcPr>
            <w:tcW w:w="1985" w:type="dxa"/>
            <w:vAlign w:val="center"/>
          </w:tcPr>
          <w:p w:rsidR="00122E77" w:rsidRPr="00122E77" w:rsidRDefault="00122E77" w:rsidP="00122E77">
            <w:pPr>
              <w:autoSpaceDE w:val="0"/>
              <w:autoSpaceDN w:val="0"/>
              <w:adjustRightInd w:val="0"/>
              <w:jc w:val="left"/>
              <w:rPr>
                <w:rFonts w:cs="Arial"/>
                <w:szCs w:val="19"/>
                <w:highlight w:val="lightGray"/>
                <w:u w:val="single"/>
              </w:rPr>
            </w:pPr>
            <w:r w:rsidRPr="00122E77">
              <w:rPr>
                <w:rFonts w:cs="Arial"/>
                <w:szCs w:val="19"/>
                <w:highlight w:val="lightGray"/>
                <w:u w:val="single"/>
              </w:rPr>
              <w:t>absent</w:t>
            </w:r>
          </w:p>
        </w:tc>
        <w:tc>
          <w:tcPr>
            <w:tcW w:w="2977" w:type="dxa"/>
            <w:vAlign w:val="center"/>
          </w:tcPr>
          <w:p w:rsidR="00122E77" w:rsidRPr="00122E77" w:rsidRDefault="00122E77" w:rsidP="00122E77">
            <w:pPr>
              <w:autoSpaceDE w:val="0"/>
              <w:autoSpaceDN w:val="0"/>
              <w:adjustRightInd w:val="0"/>
              <w:jc w:val="left"/>
              <w:rPr>
                <w:rFonts w:cs="Arial"/>
                <w:szCs w:val="19"/>
                <w:highlight w:val="lightGray"/>
                <w:u w:val="single"/>
              </w:rPr>
            </w:pPr>
            <w:r w:rsidRPr="00122E77">
              <w:rPr>
                <w:rFonts w:cs="Arial"/>
                <w:szCs w:val="19"/>
                <w:highlight w:val="lightGray"/>
                <w:u w:val="single"/>
              </w:rPr>
              <w:t>present</w:t>
            </w:r>
          </w:p>
        </w:tc>
        <w:tc>
          <w:tcPr>
            <w:tcW w:w="1842" w:type="dxa"/>
            <w:vAlign w:val="center"/>
          </w:tcPr>
          <w:p w:rsidR="00122E77" w:rsidRPr="00122E77" w:rsidRDefault="00122E77" w:rsidP="00122E77">
            <w:pPr>
              <w:autoSpaceDE w:val="0"/>
              <w:autoSpaceDN w:val="0"/>
              <w:adjustRightInd w:val="0"/>
              <w:jc w:val="left"/>
              <w:rPr>
                <w:rFonts w:cs="Arial"/>
                <w:szCs w:val="19"/>
                <w:highlight w:val="lightGray"/>
                <w:u w:val="single"/>
              </w:rPr>
            </w:pPr>
            <w:r w:rsidRPr="00122E77">
              <w:rPr>
                <w:rFonts w:cs="Arial"/>
                <w:szCs w:val="19"/>
                <w:highlight w:val="lightGray"/>
                <w:u w:val="single"/>
              </w:rPr>
              <w:t>present</w:t>
            </w:r>
          </w:p>
        </w:tc>
      </w:tr>
    </w:tbl>
    <w:p w:rsidR="00122E77" w:rsidRPr="00122E77" w:rsidRDefault="00122E77" w:rsidP="00122E77">
      <w:pPr>
        <w:autoSpaceDE w:val="0"/>
        <w:autoSpaceDN w:val="0"/>
        <w:adjustRightInd w:val="0"/>
        <w:rPr>
          <w:rFonts w:eastAsia="Calibri" w:cs="Arial"/>
          <w:highlight w:val="lightGray"/>
          <w:u w:val="single"/>
          <w:lang w:val="en-GB"/>
        </w:rPr>
      </w:pPr>
    </w:p>
    <w:p w:rsidR="00122E77" w:rsidRPr="00122E77" w:rsidRDefault="00122E77" w:rsidP="00122E77">
      <w:pPr>
        <w:autoSpaceDE w:val="0"/>
        <w:autoSpaceDN w:val="0"/>
        <w:adjustRightInd w:val="0"/>
        <w:rPr>
          <w:rFonts w:eastAsia="Calibri" w:cs="Arial"/>
          <w:highlight w:val="lightGray"/>
          <w:u w:val="single"/>
          <w:lang w:val="en-GB"/>
        </w:rPr>
      </w:pPr>
      <w:r w:rsidRPr="00122E77">
        <w:rPr>
          <w:rFonts w:eastAsia="Calibri" w:cs="Arial"/>
          <w:highlight w:val="lightGray"/>
          <w:u w:val="single"/>
          <w:lang w:val="en-GB"/>
        </w:rPr>
        <w:t>5.</w:t>
      </w:r>
      <w:r w:rsidRPr="00122E77">
        <w:rPr>
          <w:rFonts w:eastAsia="Calibri" w:cs="Arial"/>
          <w:highlight w:val="lightGray"/>
          <w:u w:val="single"/>
          <w:lang w:val="en-GB"/>
        </w:rPr>
        <w:tab/>
        <w:t xml:space="preserve">If a variety is claimed to be resistant to </w:t>
      </w:r>
      <w:proofErr w:type="spellStart"/>
      <w:r w:rsidRPr="00122E77">
        <w:rPr>
          <w:rFonts w:eastAsia="Calibri" w:cs="Arial"/>
          <w:highlight w:val="lightGray"/>
          <w:u w:val="single"/>
          <w:lang w:val="en-GB"/>
        </w:rPr>
        <w:t>ToMV</w:t>
      </w:r>
      <w:proofErr w:type="spellEnd"/>
      <w:r w:rsidRPr="00122E77">
        <w:rPr>
          <w:rFonts w:eastAsia="Calibri" w:cs="Arial"/>
          <w:highlight w:val="lightGray"/>
          <w:u w:val="single"/>
          <w:lang w:val="en-GB"/>
        </w:rPr>
        <w:t xml:space="preserve"> Strain 0, the DNA marker test may be performed.  In cases where the resistance is based on the presence of the allele </w:t>
      </w:r>
      <w:r w:rsidRPr="00122E77">
        <w:rPr>
          <w:rFonts w:eastAsia="Calibri" w:cs="Arial"/>
          <w:i/>
          <w:highlight w:val="lightGray"/>
          <w:u w:val="single"/>
          <w:lang w:val="en-GB"/>
        </w:rPr>
        <w:t xml:space="preserve">Tm2 </w:t>
      </w:r>
      <w:r w:rsidRPr="00122E77">
        <w:rPr>
          <w:rFonts w:eastAsia="Calibri" w:cs="Arial"/>
          <w:highlight w:val="lightGray"/>
          <w:u w:val="single"/>
          <w:lang w:val="en-GB"/>
        </w:rPr>
        <w:t xml:space="preserve">or </w:t>
      </w:r>
      <w:r w:rsidRPr="00122E77">
        <w:rPr>
          <w:rFonts w:eastAsia="Calibri" w:cs="Arial"/>
          <w:i/>
          <w:highlight w:val="lightGray"/>
          <w:u w:val="single"/>
          <w:lang w:val="en-GB"/>
        </w:rPr>
        <w:t>Tm2</w:t>
      </w:r>
      <w:r w:rsidRPr="00122E77">
        <w:rPr>
          <w:rFonts w:eastAsia="Calibri" w:cs="Arial"/>
          <w:i/>
          <w:highlight w:val="lightGray"/>
          <w:u w:val="single"/>
          <w:vertAlign w:val="superscript"/>
          <w:lang w:val="en-GB"/>
        </w:rPr>
        <w:t>2</w:t>
      </w:r>
      <w:r w:rsidRPr="00122E77">
        <w:rPr>
          <w:rFonts w:eastAsia="Calibri" w:cs="Arial"/>
          <w:i/>
          <w:highlight w:val="lightGray"/>
          <w:u w:val="single"/>
          <w:lang w:val="en-GB"/>
        </w:rPr>
        <w:t xml:space="preserve">, </w:t>
      </w:r>
      <w:r w:rsidRPr="00122E77">
        <w:rPr>
          <w:rFonts w:eastAsia="Calibri" w:cs="Arial"/>
          <w:highlight w:val="lightGray"/>
          <w:u w:val="single"/>
          <w:lang w:val="en-GB"/>
        </w:rPr>
        <w:t>the</w:t>
      </w:r>
      <w:r w:rsidRPr="00122E77">
        <w:rPr>
          <w:rFonts w:eastAsia="Calibri" w:cs="Arial"/>
          <w:i/>
          <w:highlight w:val="lightGray"/>
          <w:u w:val="single"/>
          <w:lang w:val="en-GB"/>
        </w:rPr>
        <w:t xml:space="preserve"> </w:t>
      </w:r>
      <w:r w:rsidRPr="00122E77">
        <w:rPr>
          <w:rFonts w:eastAsia="Calibri" w:cs="Arial"/>
          <w:highlight w:val="lightGray"/>
          <w:u w:val="single"/>
          <w:lang w:val="en-GB"/>
        </w:rPr>
        <w:t>DNA marker test could replace the traditional bioassay.</w:t>
      </w:r>
    </w:p>
    <w:p w:rsidR="00122E77" w:rsidRPr="00122E77" w:rsidRDefault="00122E77" w:rsidP="00122E77">
      <w:pPr>
        <w:autoSpaceDE w:val="0"/>
        <w:autoSpaceDN w:val="0"/>
        <w:adjustRightInd w:val="0"/>
        <w:rPr>
          <w:rFonts w:eastAsia="Calibri" w:cs="Arial"/>
          <w:highlight w:val="lightGray"/>
          <w:u w:val="single"/>
          <w:lang w:val="en-GB"/>
        </w:rPr>
      </w:pPr>
    </w:p>
    <w:p w:rsidR="00122E77" w:rsidRPr="00122E77" w:rsidRDefault="00122E77" w:rsidP="00122E77">
      <w:pPr>
        <w:autoSpaceDE w:val="0"/>
        <w:autoSpaceDN w:val="0"/>
        <w:adjustRightInd w:val="0"/>
        <w:rPr>
          <w:rFonts w:eastAsia="Calibri" w:cs="Arial"/>
          <w:u w:val="single"/>
          <w:lang w:val="en-GB"/>
        </w:rPr>
      </w:pPr>
      <w:r w:rsidRPr="00122E77">
        <w:rPr>
          <w:rFonts w:eastAsia="Calibri" w:cs="Arial"/>
          <w:highlight w:val="lightGray"/>
          <w:u w:val="single"/>
          <w:lang w:val="en-GB"/>
        </w:rPr>
        <w:t>6.</w:t>
      </w:r>
      <w:r w:rsidRPr="00122E77">
        <w:rPr>
          <w:rFonts w:eastAsia="Calibri" w:cs="Arial"/>
          <w:highlight w:val="lightGray"/>
          <w:u w:val="single"/>
          <w:lang w:val="en-GB"/>
        </w:rPr>
        <w:tab/>
        <w:t>If the DNA marker test does not confirm the resistance claim or if the variety is claimed to be susceptible, a bioassay must be performed.</w:t>
      </w:r>
    </w:p>
    <w:p w:rsidR="00122E77" w:rsidRPr="00122E77" w:rsidRDefault="00122E77" w:rsidP="00122E77"/>
    <w:p w:rsidR="00122E77" w:rsidRPr="00122E77" w:rsidRDefault="00122E77" w:rsidP="00122E77"/>
    <w:p w:rsidR="00122E77" w:rsidRPr="00122E77" w:rsidRDefault="00122E77" w:rsidP="00122E77">
      <w:pPr>
        <w:jc w:val="left"/>
      </w:pPr>
    </w:p>
    <w:p w:rsidR="00122E77" w:rsidRPr="00122E77" w:rsidRDefault="00122E77" w:rsidP="00122E77">
      <w:pPr>
        <w:jc w:val="right"/>
      </w:pPr>
      <w:r w:rsidRPr="00122E77">
        <w:t>[Annex V follows]</w:t>
      </w:r>
    </w:p>
    <w:p w:rsidR="00122E77" w:rsidRPr="00122E77" w:rsidRDefault="00122E77" w:rsidP="00122E77">
      <w:pPr>
        <w:jc w:val="left"/>
      </w:pPr>
    </w:p>
    <w:p w:rsidR="00122E77" w:rsidRPr="00122E77" w:rsidRDefault="00122E77" w:rsidP="00122E77">
      <w:pPr>
        <w:jc w:val="left"/>
      </w:pPr>
    </w:p>
    <w:p w:rsidR="00122E77" w:rsidRPr="00122E77" w:rsidRDefault="00122E77" w:rsidP="00122E77">
      <w:pPr>
        <w:jc w:val="left"/>
        <w:sectPr w:rsidR="00122E77" w:rsidRPr="00122E77" w:rsidSect="002C31FA">
          <w:headerReference w:type="even" r:id="rId80"/>
          <w:headerReference w:type="default" r:id="rId81"/>
          <w:footerReference w:type="even" r:id="rId82"/>
          <w:footerReference w:type="default" r:id="rId83"/>
          <w:headerReference w:type="first" r:id="rId84"/>
          <w:footerReference w:type="first" r:id="rId85"/>
          <w:endnotePr>
            <w:numFmt w:val="lowerLetter"/>
          </w:endnotePr>
          <w:pgSz w:w="11907" w:h="16840" w:code="9"/>
          <w:pgMar w:top="510" w:right="1134" w:bottom="1134" w:left="1134" w:header="510" w:footer="680" w:gutter="0"/>
          <w:pgNumType w:start="1"/>
          <w:cols w:space="720"/>
          <w:titlePg/>
          <w:docGrid w:linePitch="272"/>
        </w:sectPr>
      </w:pPr>
    </w:p>
    <w:p w:rsidR="00122E77" w:rsidRPr="00122E77" w:rsidRDefault="00122E77" w:rsidP="00122E77">
      <w:pPr>
        <w:jc w:val="left"/>
      </w:pPr>
      <w:r w:rsidRPr="00122E77">
        <w:lastRenderedPageBreak/>
        <w:t>EXPLANATORY NOTES</w:t>
      </w:r>
    </w:p>
    <w:p w:rsidR="00122E77" w:rsidRPr="00122E77" w:rsidRDefault="00122E77" w:rsidP="00122E77"/>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122E77" w:rsidRPr="00122E77" w:rsidTr="002C31FA">
        <w:trPr>
          <w:cantSplit/>
          <w:jc w:val="center"/>
        </w:trPr>
        <w:tc>
          <w:tcPr>
            <w:tcW w:w="1741" w:type="dxa"/>
            <w:shd w:val="clear" w:color="auto" w:fill="D9D9D9"/>
          </w:tcPr>
          <w:p w:rsidR="00122E77" w:rsidRPr="00122E77" w:rsidRDefault="00122E77" w:rsidP="00122E77">
            <w:pPr>
              <w:jc w:val="left"/>
              <w:rPr>
                <w:sz w:val="18"/>
                <w:szCs w:val="18"/>
              </w:rPr>
            </w:pPr>
            <w:r w:rsidRPr="00122E77">
              <w:rPr>
                <w:sz w:val="18"/>
                <w:szCs w:val="18"/>
              </w:rPr>
              <w:t>Reference</w:t>
            </w:r>
          </w:p>
        </w:tc>
        <w:tc>
          <w:tcPr>
            <w:tcW w:w="4717" w:type="dxa"/>
            <w:shd w:val="clear" w:color="auto" w:fill="D9D9D9"/>
          </w:tcPr>
          <w:p w:rsidR="00122E77" w:rsidRPr="00122E77" w:rsidRDefault="00122E77" w:rsidP="00122E77">
            <w:pPr>
              <w:jc w:val="left"/>
              <w:rPr>
                <w:sz w:val="18"/>
                <w:szCs w:val="18"/>
              </w:rPr>
            </w:pPr>
            <w:r w:rsidRPr="00122E77">
              <w:rPr>
                <w:sz w:val="18"/>
                <w:szCs w:val="18"/>
              </w:rPr>
              <w:t>Explanatory Notes on:</w:t>
            </w:r>
          </w:p>
        </w:tc>
        <w:tc>
          <w:tcPr>
            <w:tcW w:w="3912" w:type="dxa"/>
            <w:shd w:val="clear" w:color="auto" w:fill="D9D9D9"/>
          </w:tcPr>
          <w:p w:rsidR="00122E77" w:rsidRPr="00122E77" w:rsidRDefault="00122E77" w:rsidP="00122E77">
            <w:pPr>
              <w:jc w:val="left"/>
              <w:rPr>
                <w:sz w:val="18"/>
                <w:szCs w:val="18"/>
              </w:rPr>
            </w:pPr>
            <w:r w:rsidRPr="00122E77">
              <w:rPr>
                <w:sz w:val="18"/>
                <w:szCs w:val="18"/>
              </w:rPr>
              <w:t>Status</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UPOV/EXN/BRD</w:t>
            </w:r>
          </w:p>
        </w:tc>
        <w:tc>
          <w:tcPr>
            <w:tcW w:w="4717" w:type="dxa"/>
          </w:tcPr>
          <w:p w:rsidR="00122E77" w:rsidRPr="00122E77" w:rsidRDefault="00122E77" w:rsidP="00122E77">
            <w:pPr>
              <w:jc w:val="left"/>
              <w:rPr>
                <w:sz w:val="18"/>
                <w:szCs w:val="18"/>
              </w:rPr>
            </w:pPr>
            <w:r w:rsidRPr="00122E77">
              <w:rPr>
                <w:sz w:val="18"/>
                <w:szCs w:val="18"/>
              </w:rPr>
              <w:t>Definition of Breeder under the 1991 Act of the UPOV Convention</w:t>
            </w:r>
          </w:p>
        </w:tc>
        <w:tc>
          <w:tcPr>
            <w:tcW w:w="3912" w:type="dxa"/>
          </w:tcPr>
          <w:p w:rsidR="00122E77" w:rsidRPr="00122E77" w:rsidRDefault="00122E77" w:rsidP="00122E77">
            <w:pPr>
              <w:jc w:val="left"/>
              <w:rPr>
                <w:strike/>
                <w:sz w:val="18"/>
                <w:szCs w:val="18"/>
              </w:rPr>
            </w:pPr>
            <w:r w:rsidRPr="00122E77">
              <w:rPr>
                <w:iCs/>
                <w:sz w:val="18"/>
                <w:szCs w:val="18"/>
              </w:rPr>
              <w:t>UPOV/EXN/BRD/1 adopted in October 2013</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UPOV/EXN/CAL</w:t>
            </w:r>
          </w:p>
        </w:tc>
        <w:tc>
          <w:tcPr>
            <w:tcW w:w="4717" w:type="dxa"/>
          </w:tcPr>
          <w:p w:rsidR="00122E77" w:rsidRPr="00122E77" w:rsidRDefault="00122E77" w:rsidP="00122E77">
            <w:pPr>
              <w:jc w:val="left"/>
              <w:rPr>
                <w:sz w:val="18"/>
                <w:szCs w:val="18"/>
              </w:rPr>
            </w:pPr>
            <w:r w:rsidRPr="00122E77">
              <w:rPr>
                <w:sz w:val="18"/>
                <w:szCs w:val="18"/>
              </w:rPr>
              <w:t>Conditions and Limitations Concerning the Breeder’s Authorization in Respect of Propagating Material under the UPOV Convention</w:t>
            </w:r>
          </w:p>
        </w:tc>
        <w:tc>
          <w:tcPr>
            <w:tcW w:w="3912" w:type="dxa"/>
          </w:tcPr>
          <w:p w:rsidR="00122E77" w:rsidRPr="00122E77" w:rsidRDefault="00122E77" w:rsidP="00122E77">
            <w:pPr>
              <w:jc w:val="left"/>
              <w:rPr>
                <w:iCs/>
                <w:sz w:val="18"/>
                <w:szCs w:val="18"/>
              </w:rPr>
            </w:pPr>
            <w:r w:rsidRPr="00122E77">
              <w:rPr>
                <w:sz w:val="18"/>
                <w:szCs w:val="18"/>
              </w:rPr>
              <w:t>UPOV/EXN/CAL/1 adopted in October</w:t>
            </w:r>
            <w:r w:rsidRPr="00122E77">
              <w:rPr>
                <w:iCs/>
                <w:sz w:val="18"/>
                <w:szCs w:val="18"/>
              </w:rPr>
              <w:t xml:space="preserve"> 2010</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UPOV/EXN/CAN</w:t>
            </w:r>
          </w:p>
        </w:tc>
        <w:tc>
          <w:tcPr>
            <w:tcW w:w="4717" w:type="dxa"/>
          </w:tcPr>
          <w:p w:rsidR="00122E77" w:rsidRPr="00122E77" w:rsidRDefault="00122E77" w:rsidP="00122E77">
            <w:pPr>
              <w:jc w:val="left"/>
              <w:rPr>
                <w:sz w:val="18"/>
                <w:szCs w:val="18"/>
              </w:rPr>
            </w:pPr>
            <w:r w:rsidRPr="00122E77">
              <w:rPr>
                <w:sz w:val="18"/>
                <w:szCs w:val="18"/>
              </w:rPr>
              <w:t>Cancellation of the Breeder’s Right under the UPOV Convention</w:t>
            </w:r>
          </w:p>
        </w:tc>
        <w:tc>
          <w:tcPr>
            <w:tcW w:w="3912" w:type="dxa"/>
          </w:tcPr>
          <w:p w:rsidR="00122E77" w:rsidRPr="00122E77" w:rsidRDefault="00122E77" w:rsidP="00122E77">
            <w:pPr>
              <w:jc w:val="left"/>
              <w:rPr>
                <w:sz w:val="18"/>
                <w:szCs w:val="18"/>
              </w:rPr>
            </w:pPr>
            <w:r w:rsidRPr="00122E77">
              <w:rPr>
                <w:spacing w:val="-2"/>
                <w:sz w:val="18"/>
                <w:szCs w:val="18"/>
              </w:rPr>
              <w:t>UPOV/EXN/CAN/2 adopted in October 2015</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color w:val="000000"/>
                <w:sz w:val="18"/>
                <w:szCs w:val="18"/>
              </w:rPr>
              <w:t>UPOV/EXN/EDV</w:t>
            </w:r>
          </w:p>
        </w:tc>
        <w:tc>
          <w:tcPr>
            <w:tcW w:w="4717" w:type="dxa"/>
          </w:tcPr>
          <w:p w:rsidR="00122E77" w:rsidRPr="00122E77" w:rsidRDefault="00122E77" w:rsidP="00122E77">
            <w:pPr>
              <w:jc w:val="left"/>
              <w:rPr>
                <w:color w:val="000000"/>
                <w:sz w:val="18"/>
                <w:szCs w:val="18"/>
              </w:rPr>
            </w:pPr>
            <w:r w:rsidRPr="00122E77">
              <w:rPr>
                <w:color w:val="000000"/>
                <w:sz w:val="18"/>
                <w:szCs w:val="18"/>
              </w:rPr>
              <w:t xml:space="preserve">Essentially Derived Varieties under the </w:t>
            </w:r>
            <w:r w:rsidRPr="00122E77">
              <w:rPr>
                <w:sz w:val="18"/>
                <w:szCs w:val="18"/>
              </w:rPr>
              <w:t xml:space="preserve">1991 Act of the </w:t>
            </w:r>
            <w:r w:rsidRPr="00122E77">
              <w:rPr>
                <w:color w:val="000000"/>
                <w:sz w:val="18"/>
                <w:szCs w:val="18"/>
              </w:rPr>
              <w:t>UPOV Convention</w:t>
            </w:r>
          </w:p>
        </w:tc>
        <w:tc>
          <w:tcPr>
            <w:tcW w:w="3912" w:type="dxa"/>
          </w:tcPr>
          <w:p w:rsidR="00122E77" w:rsidRPr="00122E77" w:rsidRDefault="00122E77" w:rsidP="00122E77">
            <w:pPr>
              <w:spacing w:after="60"/>
              <w:jc w:val="left"/>
              <w:rPr>
                <w:sz w:val="18"/>
                <w:szCs w:val="18"/>
              </w:rPr>
            </w:pPr>
            <w:r w:rsidRPr="00122E77">
              <w:rPr>
                <w:color w:val="000000"/>
                <w:sz w:val="18"/>
                <w:szCs w:val="18"/>
              </w:rPr>
              <w:t>UPOV/EXN/EDV/2 a</w:t>
            </w:r>
            <w:r w:rsidRPr="00122E77">
              <w:rPr>
                <w:sz w:val="18"/>
                <w:szCs w:val="18"/>
              </w:rPr>
              <w:t>dopted in April 2017</w:t>
            </w:r>
          </w:p>
          <w:p w:rsidR="00122E77" w:rsidRPr="00122E77" w:rsidRDefault="00122E77" w:rsidP="00122E77">
            <w:pPr>
              <w:jc w:val="left"/>
              <w:rPr>
                <w:i/>
                <w:strike/>
                <w:sz w:val="18"/>
                <w:szCs w:val="18"/>
              </w:rPr>
            </w:pPr>
            <w:r w:rsidRPr="00122E77">
              <w:rPr>
                <w:i/>
                <w:color w:val="000000"/>
                <w:sz w:val="18"/>
                <w:szCs w:val="18"/>
              </w:rPr>
              <w:t xml:space="preserve">Revision </w:t>
            </w:r>
            <w:r w:rsidRPr="00122E77">
              <w:rPr>
                <w:i/>
                <w:spacing w:val="-2"/>
                <w:sz w:val="18"/>
                <w:szCs w:val="18"/>
              </w:rPr>
              <w:t xml:space="preserve">in progress </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color w:val="000000"/>
                <w:sz w:val="18"/>
                <w:szCs w:val="18"/>
              </w:rPr>
              <w:t>UPOV/EXN/ENF</w:t>
            </w:r>
          </w:p>
        </w:tc>
        <w:tc>
          <w:tcPr>
            <w:tcW w:w="4717" w:type="dxa"/>
          </w:tcPr>
          <w:p w:rsidR="00122E77" w:rsidRPr="00122E77" w:rsidRDefault="00122E77" w:rsidP="00122E77">
            <w:pPr>
              <w:jc w:val="left"/>
              <w:rPr>
                <w:sz w:val="18"/>
                <w:szCs w:val="18"/>
              </w:rPr>
            </w:pPr>
            <w:r w:rsidRPr="00122E77">
              <w:rPr>
                <w:sz w:val="18"/>
                <w:szCs w:val="18"/>
              </w:rPr>
              <w:t>Enforcement of Breeders’ Rights under the UPOV Convention</w:t>
            </w:r>
          </w:p>
        </w:tc>
        <w:tc>
          <w:tcPr>
            <w:tcW w:w="3912" w:type="dxa"/>
          </w:tcPr>
          <w:p w:rsidR="00122E77" w:rsidRPr="00122E77" w:rsidRDefault="00122E77" w:rsidP="00122E77">
            <w:pPr>
              <w:jc w:val="left"/>
              <w:rPr>
                <w:sz w:val="18"/>
                <w:szCs w:val="18"/>
              </w:rPr>
            </w:pPr>
            <w:r w:rsidRPr="00122E77">
              <w:rPr>
                <w:color w:val="000000"/>
                <w:sz w:val="18"/>
                <w:szCs w:val="18"/>
              </w:rPr>
              <w:t>UPOV/EXN/ENF/1 a</w:t>
            </w:r>
            <w:r w:rsidRPr="00122E77">
              <w:rPr>
                <w:sz w:val="18"/>
                <w:szCs w:val="18"/>
              </w:rPr>
              <w:t>dopted in October 2009</w:t>
            </w:r>
          </w:p>
        </w:tc>
      </w:tr>
      <w:tr w:rsidR="00122E77" w:rsidRPr="00122E77" w:rsidTr="002C31FA">
        <w:trPr>
          <w:cantSplit/>
          <w:jc w:val="center"/>
        </w:trPr>
        <w:tc>
          <w:tcPr>
            <w:tcW w:w="1741" w:type="dxa"/>
          </w:tcPr>
          <w:p w:rsidR="00122E77" w:rsidRPr="00122E77" w:rsidRDefault="00122E77" w:rsidP="00122E77">
            <w:pPr>
              <w:jc w:val="left"/>
              <w:rPr>
                <w:color w:val="000000"/>
                <w:sz w:val="18"/>
                <w:szCs w:val="18"/>
              </w:rPr>
            </w:pPr>
            <w:r w:rsidRPr="00122E77">
              <w:rPr>
                <w:color w:val="000000"/>
                <w:sz w:val="18"/>
                <w:szCs w:val="18"/>
              </w:rPr>
              <w:t>UPOV/EXN/EXC</w:t>
            </w:r>
          </w:p>
        </w:tc>
        <w:tc>
          <w:tcPr>
            <w:tcW w:w="4717" w:type="dxa"/>
          </w:tcPr>
          <w:p w:rsidR="00122E77" w:rsidRPr="00122E77" w:rsidRDefault="00122E77" w:rsidP="00122E77">
            <w:pPr>
              <w:jc w:val="left"/>
              <w:rPr>
                <w:color w:val="000000"/>
                <w:sz w:val="18"/>
                <w:szCs w:val="18"/>
              </w:rPr>
            </w:pPr>
            <w:r w:rsidRPr="00122E77">
              <w:rPr>
                <w:color w:val="000000"/>
                <w:sz w:val="18"/>
                <w:szCs w:val="18"/>
              </w:rPr>
              <w:t xml:space="preserve">Exceptions to the Breeder’s Right under the </w:t>
            </w:r>
            <w:r w:rsidRPr="00122E77">
              <w:rPr>
                <w:sz w:val="18"/>
                <w:szCs w:val="18"/>
              </w:rPr>
              <w:t xml:space="preserve">1991 Act of the </w:t>
            </w:r>
            <w:r w:rsidRPr="00122E77">
              <w:rPr>
                <w:color w:val="000000"/>
                <w:sz w:val="18"/>
                <w:szCs w:val="18"/>
              </w:rPr>
              <w:t>UPOV Convention</w:t>
            </w:r>
          </w:p>
        </w:tc>
        <w:tc>
          <w:tcPr>
            <w:tcW w:w="3912" w:type="dxa"/>
          </w:tcPr>
          <w:p w:rsidR="00122E77" w:rsidRPr="00122E77" w:rsidRDefault="00122E77" w:rsidP="00122E77">
            <w:pPr>
              <w:jc w:val="left"/>
              <w:rPr>
                <w:sz w:val="18"/>
                <w:szCs w:val="18"/>
              </w:rPr>
            </w:pPr>
            <w:r w:rsidRPr="00122E77">
              <w:rPr>
                <w:color w:val="000000"/>
                <w:sz w:val="18"/>
                <w:szCs w:val="18"/>
              </w:rPr>
              <w:t>UPOV/EXN/EXC/1 a</w:t>
            </w:r>
            <w:r w:rsidRPr="00122E77">
              <w:rPr>
                <w:sz w:val="18"/>
                <w:szCs w:val="18"/>
              </w:rPr>
              <w:t>dopted in October 2009</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UPOV/EXN/GEN</w:t>
            </w:r>
          </w:p>
        </w:tc>
        <w:tc>
          <w:tcPr>
            <w:tcW w:w="4717" w:type="dxa"/>
          </w:tcPr>
          <w:p w:rsidR="00122E77" w:rsidRPr="00122E77" w:rsidRDefault="00122E77" w:rsidP="00122E77">
            <w:pPr>
              <w:jc w:val="left"/>
              <w:rPr>
                <w:sz w:val="18"/>
                <w:szCs w:val="18"/>
              </w:rPr>
            </w:pPr>
            <w:r w:rsidRPr="00122E77">
              <w:rPr>
                <w:sz w:val="18"/>
                <w:szCs w:val="18"/>
              </w:rPr>
              <w:t>Genera and Species to be Protected under the 1991 Act of the UPOV Convention</w:t>
            </w:r>
          </w:p>
        </w:tc>
        <w:tc>
          <w:tcPr>
            <w:tcW w:w="3912" w:type="dxa"/>
          </w:tcPr>
          <w:p w:rsidR="00122E77" w:rsidRPr="00122E77" w:rsidRDefault="00122E77" w:rsidP="00122E77">
            <w:pPr>
              <w:jc w:val="left"/>
              <w:rPr>
                <w:sz w:val="18"/>
                <w:szCs w:val="18"/>
              </w:rPr>
            </w:pPr>
            <w:r w:rsidRPr="00122E77">
              <w:rPr>
                <w:sz w:val="18"/>
                <w:szCs w:val="18"/>
              </w:rPr>
              <w:t>UPOV/EXN/GEN/1 adopted in October 2009</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UPOV/EXN/HRV</w:t>
            </w:r>
          </w:p>
        </w:tc>
        <w:tc>
          <w:tcPr>
            <w:tcW w:w="4717" w:type="dxa"/>
          </w:tcPr>
          <w:p w:rsidR="00122E77" w:rsidRPr="00122E77" w:rsidRDefault="00122E77" w:rsidP="00122E77">
            <w:pPr>
              <w:jc w:val="left"/>
              <w:rPr>
                <w:sz w:val="18"/>
                <w:szCs w:val="18"/>
              </w:rPr>
            </w:pPr>
            <w:r w:rsidRPr="00122E77">
              <w:rPr>
                <w:sz w:val="18"/>
                <w:szCs w:val="18"/>
              </w:rPr>
              <w:t>Acts in Respect of Harvested Material under the 1991 Act of the UPOV Convention</w:t>
            </w:r>
          </w:p>
        </w:tc>
        <w:tc>
          <w:tcPr>
            <w:tcW w:w="3912" w:type="dxa"/>
          </w:tcPr>
          <w:p w:rsidR="00122E77" w:rsidRPr="00122E77" w:rsidRDefault="00122E77" w:rsidP="00122E77">
            <w:pPr>
              <w:spacing w:after="60"/>
              <w:jc w:val="left"/>
              <w:rPr>
                <w:iCs/>
                <w:sz w:val="18"/>
                <w:szCs w:val="18"/>
              </w:rPr>
            </w:pPr>
            <w:r w:rsidRPr="00122E77">
              <w:rPr>
                <w:iCs/>
                <w:sz w:val="18"/>
                <w:szCs w:val="18"/>
              </w:rPr>
              <w:t>UPOV/EXN/HRV/1 adopted in October 2013</w:t>
            </w:r>
          </w:p>
          <w:p w:rsidR="00122E77" w:rsidRPr="00122E77" w:rsidRDefault="00122E77" w:rsidP="00122E77">
            <w:pPr>
              <w:jc w:val="left"/>
              <w:rPr>
                <w:i/>
                <w:color w:val="000000"/>
                <w:sz w:val="18"/>
                <w:szCs w:val="18"/>
              </w:rPr>
            </w:pPr>
            <w:r w:rsidRPr="00122E77">
              <w:rPr>
                <w:i/>
                <w:color w:val="000000"/>
                <w:sz w:val="18"/>
                <w:szCs w:val="18"/>
              </w:rPr>
              <w:t>The need for a revision will be considered by the CAJ in 2020</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UPOV/EXN/NAT</w:t>
            </w:r>
          </w:p>
        </w:tc>
        <w:tc>
          <w:tcPr>
            <w:tcW w:w="4717" w:type="dxa"/>
          </w:tcPr>
          <w:p w:rsidR="00122E77" w:rsidRPr="00122E77" w:rsidRDefault="00122E77" w:rsidP="00122E77">
            <w:pPr>
              <w:jc w:val="left"/>
              <w:rPr>
                <w:sz w:val="18"/>
                <w:szCs w:val="18"/>
              </w:rPr>
            </w:pPr>
            <w:r w:rsidRPr="00122E77">
              <w:rPr>
                <w:sz w:val="18"/>
                <w:szCs w:val="18"/>
              </w:rPr>
              <w:t>National Treatment under the 1991 Act of the UPOV Convention</w:t>
            </w:r>
          </w:p>
        </w:tc>
        <w:tc>
          <w:tcPr>
            <w:tcW w:w="3912" w:type="dxa"/>
          </w:tcPr>
          <w:p w:rsidR="00122E77" w:rsidRPr="00122E77" w:rsidRDefault="00122E77" w:rsidP="00122E77">
            <w:pPr>
              <w:jc w:val="left"/>
              <w:rPr>
                <w:sz w:val="18"/>
                <w:szCs w:val="18"/>
              </w:rPr>
            </w:pPr>
            <w:r w:rsidRPr="00122E77">
              <w:rPr>
                <w:sz w:val="18"/>
                <w:szCs w:val="18"/>
              </w:rPr>
              <w:t>UPOV/EXN/NAT/1 adopted in October 2009</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UPOV/EXN/NOV</w:t>
            </w:r>
          </w:p>
        </w:tc>
        <w:tc>
          <w:tcPr>
            <w:tcW w:w="4717" w:type="dxa"/>
          </w:tcPr>
          <w:p w:rsidR="00122E77" w:rsidRPr="00122E77" w:rsidRDefault="00122E77" w:rsidP="00122E77">
            <w:pPr>
              <w:jc w:val="left"/>
              <w:rPr>
                <w:sz w:val="18"/>
                <w:szCs w:val="18"/>
              </w:rPr>
            </w:pPr>
            <w:r w:rsidRPr="00122E77">
              <w:rPr>
                <w:sz w:val="18"/>
                <w:szCs w:val="18"/>
              </w:rPr>
              <w:t>Novelty under the UPOV Convention</w:t>
            </w:r>
          </w:p>
        </w:tc>
        <w:tc>
          <w:tcPr>
            <w:tcW w:w="3912" w:type="dxa"/>
          </w:tcPr>
          <w:p w:rsidR="00122E77" w:rsidRPr="00122E77" w:rsidRDefault="00122E77" w:rsidP="00122E77">
            <w:pPr>
              <w:jc w:val="left"/>
              <w:rPr>
                <w:sz w:val="18"/>
                <w:szCs w:val="18"/>
              </w:rPr>
            </w:pPr>
            <w:r w:rsidRPr="00122E77">
              <w:rPr>
                <w:sz w:val="18"/>
                <w:szCs w:val="18"/>
              </w:rPr>
              <w:t>UPOV/EXN/NOV/1 adopted in October 2009</w:t>
            </w:r>
          </w:p>
          <w:p w:rsidR="00122E77" w:rsidRPr="00122E77" w:rsidRDefault="00122E77" w:rsidP="00122E77">
            <w:pPr>
              <w:jc w:val="left"/>
              <w:rPr>
                <w:sz w:val="18"/>
                <w:szCs w:val="18"/>
              </w:rPr>
            </w:pPr>
            <w:r w:rsidRPr="00122E77">
              <w:rPr>
                <w:i/>
                <w:color w:val="000000"/>
                <w:sz w:val="18"/>
                <w:szCs w:val="18"/>
              </w:rPr>
              <w:t>The need for a revision will be considered by the CAJ in 2020</w:t>
            </w:r>
          </w:p>
        </w:tc>
      </w:tr>
      <w:tr w:rsidR="00122E77" w:rsidRPr="00122E77" w:rsidTr="002C31FA">
        <w:trPr>
          <w:cantSplit/>
          <w:jc w:val="center"/>
        </w:trPr>
        <w:tc>
          <w:tcPr>
            <w:tcW w:w="1741" w:type="dxa"/>
          </w:tcPr>
          <w:p w:rsidR="00122E77" w:rsidRPr="00122E77" w:rsidRDefault="00122E77" w:rsidP="00122E77">
            <w:pPr>
              <w:jc w:val="left"/>
              <w:rPr>
                <w:color w:val="000000"/>
                <w:sz w:val="18"/>
                <w:szCs w:val="18"/>
              </w:rPr>
            </w:pPr>
            <w:r w:rsidRPr="00122E77">
              <w:rPr>
                <w:color w:val="000000"/>
                <w:sz w:val="18"/>
                <w:szCs w:val="18"/>
              </w:rPr>
              <w:t>UPOV/EXN/NUL</w:t>
            </w:r>
          </w:p>
        </w:tc>
        <w:tc>
          <w:tcPr>
            <w:tcW w:w="4717" w:type="dxa"/>
          </w:tcPr>
          <w:p w:rsidR="00122E77" w:rsidRPr="00122E77" w:rsidRDefault="00122E77" w:rsidP="00122E77">
            <w:pPr>
              <w:jc w:val="left"/>
              <w:rPr>
                <w:sz w:val="18"/>
                <w:szCs w:val="18"/>
              </w:rPr>
            </w:pPr>
            <w:r w:rsidRPr="00122E77">
              <w:rPr>
                <w:sz w:val="18"/>
                <w:szCs w:val="18"/>
              </w:rPr>
              <w:t>Nullity of the Breeder’s Right under the UPOV Convention</w:t>
            </w:r>
          </w:p>
        </w:tc>
        <w:tc>
          <w:tcPr>
            <w:tcW w:w="3912" w:type="dxa"/>
          </w:tcPr>
          <w:p w:rsidR="00122E77" w:rsidRPr="00122E77" w:rsidRDefault="00122E77" w:rsidP="00122E77">
            <w:pPr>
              <w:jc w:val="left"/>
              <w:rPr>
                <w:sz w:val="18"/>
                <w:szCs w:val="18"/>
              </w:rPr>
            </w:pPr>
            <w:r w:rsidRPr="00122E77">
              <w:rPr>
                <w:spacing w:val="-2"/>
                <w:sz w:val="18"/>
                <w:szCs w:val="18"/>
              </w:rPr>
              <w:t>UPOV/EXN/NUL/2 adopted in October 2015</w:t>
            </w:r>
          </w:p>
        </w:tc>
      </w:tr>
      <w:tr w:rsidR="00122E77" w:rsidRPr="00122E77" w:rsidTr="002C31FA">
        <w:trPr>
          <w:cantSplit/>
          <w:jc w:val="center"/>
        </w:trPr>
        <w:tc>
          <w:tcPr>
            <w:tcW w:w="1741" w:type="dxa"/>
            <w:tcBorders>
              <w:bottom w:val="single" w:sz="2" w:space="0" w:color="auto"/>
            </w:tcBorders>
          </w:tcPr>
          <w:p w:rsidR="00122E77" w:rsidRPr="00122E77" w:rsidRDefault="00122E77" w:rsidP="00122E77">
            <w:pPr>
              <w:jc w:val="left"/>
              <w:rPr>
                <w:sz w:val="18"/>
                <w:szCs w:val="18"/>
              </w:rPr>
            </w:pPr>
            <w:r w:rsidRPr="00122E77">
              <w:rPr>
                <w:sz w:val="18"/>
                <w:szCs w:val="18"/>
              </w:rPr>
              <w:t>UPOV/EXN/PPM</w:t>
            </w:r>
          </w:p>
        </w:tc>
        <w:tc>
          <w:tcPr>
            <w:tcW w:w="4717" w:type="dxa"/>
            <w:tcBorders>
              <w:bottom w:val="single" w:sz="2" w:space="0" w:color="auto"/>
            </w:tcBorders>
          </w:tcPr>
          <w:p w:rsidR="00122E77" w:rsidRPr="00122E77" w:rsidRDefault="00122E77" w:rsidP="00122E77">
            <w:pPr>
              <w:jc w:val="left"/>
              <w:rPr>
                <w:sz w:val="18"/>
                <w:szCs w:val="18"/>
              </w:rPr>
            </w:pPr>
            <w:r w:rsidRPr="00122E77">
              <w:rPr>
                <w:sz w:val="18"/>
                <w:szCs w:val="18"/>
              </w:rPr>
              <w:t>Propagating Material under the 1991 Act of the UPOV Convention</w:t>
            </w:r>
          </w:p>
        </w:tc>
        <w:tc>
          <w:tcPr>
            <w:tcW w:w="3912" w:type="dxa"/>
            <w:tcBorders>
              <w:bottom w:val="single" w:sz="2" w:space="0" w:color="auto"/>
            </w:tcBorders>
          </w:tcPr>
          <w:p w:rsidR="00122E77" w:rsidRPr="00122E77" w:rsidRDefault="00122E77" w:rsidP="00122E77">
            <w:pPr>
              <w:jc w:val="left"/>
              <w:rPr>
                <w:spacing w:val="-2"/>
                <w:sz w:val="18"/>
                <w:szCs w:val="18"/>
              </w:rPr>
            </w:pPr>
            <w:r w:rsidRPr="00122E77">
              <w:rPr>
                <w:spacing w:val="-2"/>
                <w:sz w:val="18"/>
                <w:szCs w:val="18"/>
              </w:rPr>
              <w:t>UPOV/EXN/PPM/1 adopted in April 2017</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UPOV/EXN/PRI</w:t>
            </w:r>
          </w:p>
        </w:tc>
        <w:tc>
          <w:tcPr>
            <w:tcW w:w="4717" w:type="dxa"/>
          </w:tcPr>
          <w:p w:rsidR="00122E77" w:rsidRPr="00122E77" w:rsidRDefault="00122E77" w:rsidP="00122E77">
            <w:pPr>
              <w:jc w:val="left"/>
              <w:rPr>
                <w:sz w:val="18"/>
                <w:szCs w:val="18"/>
              </w:rPr>
            </w:pPr>
            <w:r w:rsidRPr="00122E77">
              <w:rPr>
                <w:sz w:val="18"/>
                <w:szCs w:val="18"/>
              </w:rPr>
              <w:t>Right of Priority under the UPOV Convention</w:t>
            </w:r>
          </w:p>
        </w:tc>
        <w:tc>
          <w:tcPr>
            <w:tcW w:w="3912" w:type="dxa"/>
          </w:tcPr>
          <w:p w:rsidR="00122E77" w:rsidRPr="00122E77" w:rsidRDefault="00122E77" w:rsidP="00122E77">
            <w:pPr>
              <w:jc w:val="left"/>
              <w:rPr>
                <w:sz w:val="18"/>
                <w:szCs w:val="18"/>
              </w:rPr>
            </w:pPr>
            <w:r w:rsidRPr="00122E77">
              <w:rPr>
                <w:sz w:val="18"/>
                <w:szCs w:val="18"/>
              </w:rPr>
              <w:t>UPOV/EXN/PRI/1 adopted in October 2009</w:t>
            </w:r>
          </w:p>
        </w:tc>
      </w:tr>
      <w:tr w:rsidR="00122E77" w:rsidRPr="00122E77" w:rsidTr="002C31FA">
        <w:trPr>
          <w:cantSplit/>
          <w:jc w:val="center"/>
        </w:trPr>
        <w:tc>
          <w:tcPr>
            <w:tcW w:w="1741" w:type="dxa"/>
          </w:tcPr>
          <w:p w:rsidR="00122E77" w:rsidRPr="00122E77" w:rsidRDefault="00122E77" w:rsidP="00122E77">
            <w:pPr>
              <w:jc w:val="left"/>
              <w:rPr>
                <w:sz w:val="18"/>
                <w:szCs w:val="18"/>
              </w:rPr>
            </w:pPr>
            <w:r w:rsidRPr="00122E77">
              <w:rPr>
                <w:sz w:val="18"/>
                <w:szCs w:val="18"/>
              </w:rPr>
              <w:t>UPOV/EXN/PRP</w:t>
            </w:r>
          </w:p>
        </w:tc>
        <w:tc>
          <w:tcPr>
            <w:tcW w:w="4717" w:type="dxa"/>
          </w:tcPr>
          <w:p w:rsidR="00122E77" w:rsidRPr="00122E77" w:rsidRDefault="00122E77" w:rsidP="00122E77">
            <w:pPr>
              <w:jc w:val="left"/>
              <w:rPr>
                <w:sz w:val="18"/>
                <w:szCs w:val="18"/>
              </w:rPr>
            </w:pPr>
            <w:r w:rsidRPr="00122E77">
              <w:rPr>
                <w:sz w:val="18"/>
                <w:szCs w:val="18"/>
              </w:rPr>
              <w:t>Provisional Protection under the UPOV Convention</w:t>
            </w:r>
          </w:p>
        </w:tc>
        <w:tc>
          <w:tcPr>
            <w:tcW w:w="3912" w:type="dxa"/>
          </w:tcPr>
          <w:p w:rsidR="00122E77" w:rsidRPr="00122E77" w:rsidRDefault="00122E77" w:rsidP="00122E77">
            <w:pPr>
              <w:jc w:val="left"/>
              <w:rPr>
                <w:spacing w:val="-2"/>
                <w:sz w:val="18"/>
                <w:szCs w:val="18"/>
              </w:rPr>
            </w:pPr>
            <w:r w:rsidRPr="00122E77">
              <w:rPr>
                <w:spacing w:val="-2"/>
                <w:sz w:val="18"/>
                <w:szCs w:val="18"/>
              </w:rPr>
              <w:t>UPOV/EXN/PRP/2 adopted in October 2015</w:t>
            </w:r>
          </w:p>
        </w:tc>
      </w:tr>
      <w:tr w:rsidR="00122E77" w:rsidRPr="00122E77" w:rsidTr="002C31FA">
        <w:trPr>
          <w:cantSplit/>
          <w:jc w:val="center"/>
        </w:trPr>
        <w:tc>
          <w:tcPr>
            <w:tcW w:w="1741" w:type="dxa"/>
            <w:tcBorders>
              <w:bottom w:val="single" w:sz="2" w:space="0" w:color="auto"/>
            </w:tcBorders>
          </w:tcPr>
          <w:p w:rsidR="00122E77" w:rsidRPr="00122E77" w:rsidRDefault="00122E77" w:rsidP="00122E77">
            <w:pPr>
              <w:jc w:val="left"/>
              <w:rPr>
                <w:sz w:val="18"/>
                <w:szCs w:val="18"/>
              </w:rPr>
            </w:pPr>
            <w:r w:rsidRPr="00122E77">
              <w:rPr>
                <w:sz w:val="18"/>
                <w:szCs w:val="18"/>
              </w:rPr>
              <w:t>UPOV/EXN/VAR</w:t>
            </w:r>
          </w:p>
        </w:tc>
        <w:tc>
          <w:tcPr>
            <w:tcW w:w="4717" w:type="dxa"/>
            <w:tcBorders>
              <w:bottom w:val="single" w:sz="2" w:space="0" w:color="auto"/>
            </w:tcBorders>
          </w:tcPr>
          <w:p w:rsidR="00122E77" w:rsidRPr="00122E77" w:rsidRDefault="00122E77" w:rsidP="00122E77">
            <w:pPr>
              <w:jc w:val="left"/>
              <w:rPr>
                <w:sz w:val="18"/>
                <w:szCs w:val="18"/>
              </w:rPr>
            </w:pPr>
            <w:r w:rsidRPr="00122E77">
              <w:rPr>
                <w:sz w:val="18"/>
                <w:szCs w:val="18"/>
              </w:rPr>
              <w:t>Definition of Variety under the 1991 Act of the UPOV Convention</w:t>
            </w:r>
          </w:p>
        </w:tc>
        <w:tc>
          <w:tcPr>
            <w:tcW w:w="3912" w:type="dxa"/>
            <w:tcBorders>
              <w:bottom w:val="single" w:sz="2" w:space="0" w:color="auto"/>
            </w:tcBorders>
          </w:tcPr>
          <w:p w:rsidR="00122E77" w:rsidRPr="00122E77" w:rsidRDefault="00122E77" w:rsidP="00122E77">
            <w:pPr>
              <w:jc w:val="left"/>
              <w:rPr>
                <w:sz w:val="18"/>
                <w:szCs w:val="18"/>
              </w:rPr>
            </w:pPr>
            <w:r w:rsidRPr="00122E77">
              <w:rPr>
                <w:sz w:val="18"/>
                <w:szCs w:val="18"/>
              </w:rPr>
              <w:t>UPOV/EXN/VAR/1 adopted in October 2010</w:t>
            </w:r>
          </w:p>
        </w:tc>
      </w:tr>
    </w:tbl>
    <w:p w:rsidR="00122E77" w:rsidRPr="00122E77" w:rsidRDefault="00122E77" w:rsidP="00122E77">
      <w:pPr>
        <w:jc w:val="center"/>
      </w:pPr>
      <w:r w:rsidRPr="00122E77">
        <w:rPr>
          <w:sz w:val="18"/>
          <w:szCs w:val="18"/>
        </w:rPr>
        <w:br w:type="page"/>
      </w:r>
    </w:p>
    <w:p w:rsidR="00122E77" w:rsidRPr="00122E77" w:rsidRDefault="00122E77" w:rsidP="00122E77">
      <w:r w:rsidRPr="00122E77">
        <w:lastRenderedPageBreak/>
        <w:t>INFORMATION DOCUMENTS</w:t>
      </w:r>
    </w:p>
    <w:p w:rsidR="00122E77" w:rsidRPr="00122E77" w:rsidRDefault="00122E77" w:rsidP="00122E77"/>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20"/>
      </w:tblGrid>
      <w:tr w:rsidR="00122E77" w:rsidRPr="00122E77" w:rsidTr="002C31FA">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122E77" w:rsidRPr="00122E77" w:rsidRDefault="00122E77" w:rsidP="00122E77">
            <w:pPr>
              <w:jc w:val="left"/>
              <w:rPr>
                <w:sz w:val="18"/>
                <w:szCs w:val="18"/>
              </w:rPr>
            </w:pPr>
            <w:r w:rsidRPr="00122E77">
              <w:rPr>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122E77" w:rsidRPr="00122E77" w:rsidRDefault="00122E77" w:rsidP="00122E77">
            <w:pPr>
              <w:jc w:val="center"/>
              <w:rPr>
                <w:sz w:val="18"/>
                <w:szCs w:val="18"/>
              </w:rPr>
            </w:pPr>
            <w:r w:rsidRPr="00122E77">
              <w:rPr>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122E77" w:rsidRPr="00122E77" w:rsidRDefault="00122E77" w:rsidP="00122E77">
            <w:pPr>
              <w:jc w:val="left"/>
              <w:rPr>
                <w:sz w:val="18"/>
                <w:szCs w:val="18"/>
              </w:rPr>
            </w:pPr>
            <w:r w:rsidRPr="00122E77">
              <w:rPr>
                <w:sz w:val="18"/>
                <w:szCs w:val="18"/>
              </w:rPr>
              <w:t>Status</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UPOV/INF-EXN</w:t>
            </w:r>
          </w:p>
        </w:tc>
        <w:tc>
          <w:tcPr>
            <w:tcW w:w="4807" w:type="dxa"/>
          </w:tcPr>
          <w:p w:rsidR="00122E77" w:rsidRPr="00122E77" w:rsidRDefault="00122E77" w:rsidP="00122E77">
            <w:pPr>
              <w:jc w:val="left"/>
              <w:rPr>
                <w:sz w:val="18"/>
                <w:szCs w:val="18"/>
              </w:rPr>
            </w:pPr>
            <w:r w:rsidRPr="00122E77">
              <w:rPr>
                <w:sz w:val="18"/>
                <w:szCs w:val="18"/>
              </w:rPr>
              <w:t>List of UPOV/INF-EXN Documents and Latest Issue Dates</w:t>
            </w:r>
          </w:p>
        </w:tc>
        <w:tc>
          <w:tcPr>
            <w:tcW w:w="3920" w:type="dxa"/>
          </w:tcPr>
          <w:p w:rsidR="00122E77" w:rsidRPr="00122E77" w:rsidRDefault="00122E77" w:rsidP="00122E77">
            <w:pPr>
              <w:spacing w:after="60"/>
              <w:jc w:val="left"/>
              <w:rPr>
                <w:sz w:val="18"/>
                <w:szCs w:val="18"/>
              </w:rPr>
            </w:pPr>
            <w:r w:rsidRPr="00122E77">
              <w:rPr>
                <w:sz w:val="18"/>
                <w:szCs w:val="18"/>
              </w:rPr>
              <w:t xml:space="preserve">UPOV/INF-EXN/13 adopted </w:t>
            </w:r>
            <w:r w:rsidRPr="00122E77">
              <w:rPr>
                <w:spacing w:val="-2"/>
                <w:sz w:val="18"/>
                <w:szCs w:val="18"/>
              </w:rPr>
              <w:t>in November 2019</w:t>
            </w:r>
          </w:p>
          <w:p w:rsidR="00122E77" w:rsidRPr="00122E77" w:rsidRDefault="00122E77" w:rsidP="00FA59A0">
            <w:pPr>
              <w:jc w:val="left"/>
              <w:rPr>
                <w:sz w:val="18"/>
                <w:szCs w:val="18"/>
              </w:rPr>
            </w:pPr>
            <w:r w:rsidRPr="00122E77">
              <w:rPr>
                <w:i/>
                <w:sz w:val="18"/>
                <w:szCs w:val="18"/>
              </w:rPr>
              <w:t xml:space="preserve">UPOV/INF-EXN/14 Draft </w:t>
            </w:r>
            <w:r w:rsidR="00453694" w:rsidRPr="00CE5020">
              <w:rPr>
                <w:i/>
                <w:strike/>
                <w:highlight w:val="yellow"/>
              </w:rPr>
              <w:t>1</w:t>
            </w:r>
            <w:r w:rsidR="00453694" w:rsidRPr="00CE5020">
              <w:rPr>
                <w:bCs/>
                <w:i/>
                <w:snapToGrid w:val="0"/>
                <w:szCs w:val="24"/>
                <w:highlight w:val="yellow"/>
                <w:u w:val="single"/>
              </w:rPr>
              <w:t>2</w:t>
            </w:r>
            <w:r w:rsidR="00453694" w:rsidRPr="00453694">
              <w:rPr>
                <w:bCs/>
                <w:i/>
                <w:snapToGrid w:val="0"/>
                <w:szCs w:val="24"/>
              </w:rPr>
              <w:t xml:space="preserve"> </w:t>
            </w:r>
            <w:r w:rsidRPr="00122E77">
              <w:rPr>
                <w:i/>
                <w:sz w:val="18"/>
                <w:szCs w:val="18"/>
              </w:rPr>
              <w:t>to be considered by the Council in October 2020</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UPOV/INF/4</w:t>
            </w:r>
          </w:p>
        </w:tc>
        <w:tc>
          <w:tcPr>
            <w:tcW w:w="4807" w:type="dxa"/>
          </w:tcPr>
          <w:p w:rsidR="00122E77" w:rsidRPr="00122E77" w:rsidRDefault="00122E77" w:rsidP="00122E77">
            <w:pPr>
              <w:jc w:val="left"/>
              <w:rPr>
                <w:sz w:val="18"/>
                <w:szCs w:val="18"/>
              </w:rPr>
            </w:pPr>
            <w:r w:rsidRPr="00122E77">
              <w:rPr>
                <w:sz w:val="18"/>
                <w:szCs w:val="18"/>
              </w:rPr>
              <w:t>Financial Regulations and Rules of UPOV</w:t>
            </w:r>
          </w:p>
        </w:tc>
        <w:tc>
          <w:tcPr>
            <w:tcW w:w="3920" w:type="dxa"/>
          </w:tcPr>
          <w:p w:rsidR="00122E77" w:rsidRDefault="00122E77" w:rsidP="00122E77">
            <w:pPr>
              <w:jc w:val="left"/>
              <w:rPr>
                <w:sz w:val="18"/>
                <w:szCs w:val="18"/>
              </w:rPr>
            </w:pPr>
            <w:r w:rsidRPr="00122E77">
              <w:rPr>
                <w:sz w:val="18"/>
                <w:szCs w:val="18"/>
              </w:rPr>
              <w:t>UPOV/INF/4/5 adopted in November 2018</w:t>
            </w:r>
          </w:p>
          <w:p w:rsidR="00FA59A0" w:rsidRPr="00453694" w:rsidRDefault="00FA59A0" w:rsidP="00122E77">
            <w:pPr>
              <w:jc w:val="left"/>
              <w:rPr>
                <w:sz w:val="18"/>
                <w:szCs w:val="18"/>
                <w:u w:val="single"/>
              </w:rPr>
            </w:pPr>
            <w:r w:rsidRPr="00453694">
              <w:rPr>
                <w:i/>
                <w:sz w:val="18"/>
                <w:szCs w:val="18"/>
                <w:highlight w:val="yellow"/>
                <w:u w:val="single"/>
              </w:rPr>
              <w:t>UPOV/INF/4/6</w:t>
            </w:r>
            <w:r w:rsidRPr="00453694">
              <w:rPr>
                <w:sz w:val="18"/>
                <w:szCs w:val="18"/>
                <w:highlight w:val="yellow"/>
                <w:u w:val="single"/>
              </w:rPr>
              <w:t xml:space="preserve"> </w:t>
            </w:r>
            <w:r w:rsidRPr="00453694">
              <w:rPr>
                <w:i/>
                <w:sz w:val="18"/>
                <w:szCs w:val="18"/>
                <w:highlight w:val="yellow"/>
                <w:u w:val="single"/>
              </w:rPr>
              <w:t>to be considered by the Council in October 2020</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UPOV/INF/5</w:t>
            </w:r>
          </w:p>
        </w:tc>
        <w:tc>
          <w:tcPr>
            <w:tcW w:w="4807" w:type="dxa"/>
          </w:tcPr>
          <w:p w:rsidR="00122E77" w:rsidRPr="00122E77" w:rsidRDefault="00122E77" w:rsidP="00122E77">
            <w:pPr>
              <w:jc w:val="left"/>
              <w:rPr>
                <w:sz w:val="18"/>
                <w:szCs w:val="18"/>
              </w:rPr>
            </w:pPr>
            <w:r w:rsidRPr="00122E77">
              <w:rPr>
                <w:sz w:val="18"/>
                <w:szCs w:val="18"/>
              </w:rPr>
              <w:t>UPOV model plant breeders' rights gazette</w:t>
            </w:r>
          </w:p>
        </w:tc>
        <w:tc>
          <w:tcPr>
            <w:tcW w:w="3920" w:type="dxa"/>
          </w:tcPr>
          <w:p w:rsidR="00122E77" w:rsidRPr="00122E77" w:rsidRDefault="00122E77" w:rsidP="00122E77">
            <w:pPr>
              <w:spacing w:after="60"/>
              <w:jc w:val="left"/>
              <w:rPr>
                <w:sz w:val="18"/>
                <w:szCs w:val="18"/>
              </w:rPr>
            </w:pPr>
            <w:r w:rsidRPr="00122E77">
              <w:rPr>
                <w:sz w:val="18"/>
                <w:szCs w:val="18"/>
              </w:rPr>
              <w:t>UPOV/INF/5/2 adopted in November 2019</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UPOV/INF/6</w:t>
            </w:r>
          </w:p>
        </w:tc>
        <w:tc>
          <w:tcPr>
            <w:tcW w:w="4807" w:type="dxa"/>
          </w:tcPr>
          <w:p w:rsidR="00122E77" w:rsidRPr="00122E77" w:rsidRDefault="00122E77" w:rsidP="00122E77">
            <w:pPr>
              <w:jc w:val="left"/>
              <w:rPr>
                <w:sz w:val="18"/>
                <w:szCs w:val="18"/>
              </w:rPr>
            </w:pPr>
            <w:r w:rsidRPr="00122E77">
              <w:rPr>
                <w:sz w:val="18"/>
                <w:szCs w:val="18"/>
              </w:rPr>
              <w:t>Guidance for the preparation of laws based on the 1991 Act of the UPOV Convention</w:t>
            </w:r>
          </w:p>
        </w:tc>
        <w:tc>
          <w:tcPr>
            <w:tcW w:w="3920" w:type="dxa"/>
          </w:tcPr>
          <w:p w:rsidR="00122E77" w:rsidRPr="00122E77" w:rsidRDefault="00122E77" w:rsidP="00122E77">
            <w:pPr>
              <w:jc w:val="left"/>
              <w:rPr>
                <w:sz w:val="18"/>
                <w:szCs w:val="18"/>
              </w:rPr>
            </w:pPr>
            <w:r w:rsidRPr="00122E77">
              <w:rPr>
                <w:sz w:val="18"/>
                <w:szCs w:val="18"/>
              </w:rPr>
              <w:t>UPOV/INF/6/5 adopted in April 2017</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UPOV/INF/7</w:t>
            </w:r>
          </w:p>
        </w:tc>
        <w:tc>
          <w:tcPr>
            <w:tcW w:w="4807" w:type="dxa"/>
          </w:tcPr>
          <w:p w:rsidR="00122E77" w:rsidRPr="00122E77" w:rsidRDefault="00122E77" w:rsidP="00122E77">
            <w:pPr>
              <w:jc w:val="left"/>
              <w:rPr>
                <w:sz w:val="18"/>
                <w:szCs w:val="18"/>
              </w:rPr>
            </w:pPr>
            <w:r w:rsidRPr="00122E77">
              <w:rPr>
                <w:sz w:val="18"/>
                <w:szCs w:val="18"/>
              </w:rPr>
              <w:t>Rules of Procedure of the Council</w:t>
            </w:r>
          </w:p>
        </w:tc>
        <w:tc>
          <w:tcPr>
            <w:tcW w:w="3920" w:type="dxa"/>
          </w:tcPr>
          <w:p w:rsidR="00122E77" w:rsidRPr="00122E77" w:rsidRDefault="00122E77" w:rsidP="00122E77">
            <w:pPr>
              <w:jc w:val="left"/>
              <w:rPr>
                <w:sz w:val="18"/>
                <w:szCs w:val="18"/>
              </w:rPr>
            </w:pPr>
            <w:r w:rsidRPr="00122E77">
              <w:rPr>
                <w:sz w:val="18"/>
                <w:szCs w:val="18"/>
              </w:rPr>
              <w:t>UPOV/INF/7 adopted in October 1982</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UPOV/INF/8</w:t>
            </w:r>
          </w:p>
        </w:tc>
        <w:tc>
          <w:tcPr>
            <w:tcW w:w="4807" w:type="dxa"/>
          </w:tcPr>
          <w:p w:rsidR="00122E77" w:rsidRPr="00122E77" w:rsidRDefault="00122E77" w:rsidP="00122E77">
            <w:pPr>
              <w:jc w:val="left"/>
              <w:rPr>
                <w:sz w:val="18"/>
                <w:szCs w:val="18"/>
              </w:rPr>
            </w:pPr>
            <w:r w:rsidRPr="00122E77">
              <w:rPr>
                <w:sz w:val="18"/>
                <w:szCs w:val="18"/>
              </w:rPr>
              <w:t>Agreement between the World Intellectual Property Organization and the International Union for the Protection of New Varieties of Plants</w:t>
            </w:r>
          </w:p>
        </w:tc>
        <w:tc>
          <w:tcPr>
            <w:tcW w:w="3920" w:type="dxa"/>
          </w:tcPr>
          <w:p w:rsidR="00122E77" w:rsidRPr="00122E77" w:rsidRDefault="00122E77" w:rsidP="00122E77">
            <w:pPr>
              <w:jc w:val="left"/>
              <w:rPr>
                <w:sz w:val="18"/>
                <w:szCs w:val="18"/>
              </w:rPr>
            </w:pPr>
            <w:r w:rsidRPr="00122E77">
              <w:rPr>
                <w:sz w:val="18"/>
                <w:szCs w:val="18"/>
              </w:rPr>
              <w:t>UPOV/INF/8 signed in November 1982</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UPOV/INF/9</w:t>
            </w:r>
          </w:p>
        </w:tc>
        <w:tc>
          <w:tcPr>
            <w:tcW w:w="4807" w:type="dxa"/>
          </w:tcPr>
          <w:p w:rsidR="00122E77" w:rsidRPr="00122E77" w:rsidRDefault="00122E77" w:rsidP="00122E77">
            <w:pPr>
              <w:jc w:val="left"/>
              <w:rPr>
                <w:sz w:val="18"/>
                <w:szCs w:val="18"/>
              </w:rPr>
            </w:pPr>
            <w:r w:rsidRPr="00122E77">
              <w:rPr>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122E77" w:rsidRPr="00122E77" w:rsidRDefault="00122E77" w:rsidP="00122E77">
            <w:pPr>
              <w:jc w:val="left"/>
              <w:rPr>
                <w:sz w:val="18"/>
                <w:szCs w:val="18"/>
              </w:rPr>
            </w:pPr>
            <w:r w:rsidRPr="00122E77">
              <w:rPr>
                <w:sz w:val="18"/>
                <w:szCs w:val="18"/>
              </w:rPr>
              <w:t>UPOV/INF/9 signed in November 1983</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UPOV/INF/10</w:t>
            </w:r>
          </w:p>
        </w:tc>
        <w:tc>
          <w:tcPr>
            <w:tcW w:w="4807" w:type="dxa"/>
          </w:tcPr>
          <w:p w:rsidR="00122E77" w:rsidRPr="00122E77" w:rsidRDefault="00122E77" w:rsidP="00122E77">
            <w:pPr>
              <w:jc w:val="left"/>
              <w:rPr>
                <w:sz w:val="18"/>
                <w:szCs w:val="18"/>
              </w:rPr>
            </w:pPr>
            <w:r w:rsidRPr="00122E77">
              <w:rPr>
                <w:sz w:val="18"/>
                <w:szCs w:val="18"/>
              </w:rPr>
              <w:t>Internal Audit</w:t>
            </w:r>
          </w:p>
        </w:tc>
        <w:tc>
          <w:tcPr>
            <w:tcW w:w="3920" w:type="dxa"/>
          </w:tcPr>
          <w:p w:rsidR="00122E77" w:rsidRPr="00122E77" w:rsidRDefault="00122E77" w:rsidP="00122E77">
            <w:pPr>
              <w:jc w:val="left"/>
              <w:rPr>
                <w:sz w:val="18"/>
                <w:szCs w:val="18"/>
              </w:rPr>
            </w:pPr>
            <w:r w:rsidRPr="00122E77">
              <w:rPr>
                <w:sz w:val="18"/>
                <w:szCs w:val="18"/>
              </w:rPr>
              <w:t>UPOV/INF/10/1 adopted in October 2010</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UPOV/INF/12</w:t>
            </w:r>
          </w:p>
        </w:tc>
        <w:tc>
          <w:tcPr>
            <w:tcW w:w="4807" w:type="dxa"/>
          </w:tcPr>
          <w:p w:rsidR="00122E77" w:rsidRPr="00122E77" w:rsidRDefault="00122E77" w:rsidP="00122E77">
            <w:pPr>
              <w:jc w:val="left"/>
              <w:rPr>
                <w:sz w:val="18"/>
                <w:szCs w:val="18"/>
              </w:rPr>
            </w:pPr>
            <w:r w:rsidRPr="00122E77">
              <w:rPr>
                <w:sz w:val="18"/>
                <w:szCs w:val="18"/>
              </w:rPr>
              <w:t>Explanatory Notes on Variety Denominations under the UPOV Convention</w:t>
            </w:r>
          </w:p>
        </w:tc>
        <w:tc>
          <w:tcPr>
            <w:tcW w:w="3920" w:type="dxa"/>
          </w:tcPr>
          <w:p w:rsidR="00122E77" w:rsidRPr="00122E77" w:rsidRDefault="00122E77" w:rsidP="00122E77">
            <w:pPr>
              <w:spacing w:after="60"/>
              <w:jc w:val="left"/>
              <w:rPr>
                <w:bCs/>
                <w:snapToGrid w:val="0"/>
                <w:sz w:val="18"/>
                <w:szCs w:val="18"/>
              </w:rPr>
            </w:pPr>
            <w:r w:rsidRPr="00122E77">
              <w:rPr>
                <w:sz w:val="18"/>
                <w:szCs w:val="18"/>
              </w:rPr>
              <w:t>UPOV/INF/12/5 adopted</w:t>
            </w:r>
            <w:r w:rsidRPr="00122E77">
              <w:rPr>
                <w:bCs/>
                <w:snapToGrid w:val="0"/>
                <w:sz w:val="18"/>
                <w:szCs w:val="18"/>
              </w:rPr>
              <w:t xml:space="preserve"> in October 2015</w:t>
            </w:r>
          </w:p>
          <w:p w:rsidR="00122E77" w:rsidRPr="00800945" w:rsidRDefault="00122E77" w:rsidP="00122E77">
            <w:pPr>
              <w:jc w:val="left"/>
              <w:rPr>
                <w:spacing w:val="-2"/>
                <w:sz w:val="18"/>
                <w:szCs w:val="18"/>
              </w:rPr>
            </w:pPr>
            <w:r w:rsidRPr="00800945">
              <w:rPr>
                <w:i/>
                <w:sz w:val="18"/>
                <w:szCs w:val="18"/>
                <w:highlight w:val="yellow"/>
              </w:rPr>
              <w:t xml:space="preserve">UPOV/EXN/DEN/1 Draft 4 to be considered by the CAJ </w:t>
            </w:r>
            <w:r w:rsidRPr="00800945">
              <w:rPr>
                <w:bCs/>
                <w:i/>
                <w:strike/>
                <w:snapToGrid w:val="0"/>
                <w:sz w:val="18"/>
                <w:szCs w:val="18"/>
                <w:highlight w:val="yellow"/>
              </w:rPr>
              <w:t>and the Council</w:t>
            </w:r>
            <w:r w:rsidRPr="00800945">
              <w:rPr>
                <w:bCs/>
                <w:i/>
                <w:snapToGrid w:val="0"/>
                <w:sz w:val="18"/>
                <w:szCs w:val="18"/>
                <w:highlight w:val="yellow"/>
              </w:rPr>
              <w:t xml:space="preserve"> in 2020</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UPOV/INF/13</w:t>
            </w:r>
          </w:p>
        </w:tc>
        <w:tc>
          <w:tcPr>
            <w:tcW w:w="4807" w:type="dxa"/>
          </w:tcPr>
          <w:p w:rsidR="00122E77" w:rsidRPr="00122E77" w:rsidRDefault="00122E77" w:rsidP="00122E77">
            <w:pPr>
              <w:jc w:val="left"/>
              <w:rPr>
                <w:sz w:val="18"/>
                <w:szCs w:val="18"/>
              </w:rPr>
            </w:pPr>
            <w:r w:rsidRPr="00122E77">
              <w:rPr>
                <w:sz w:val="18"/>
                <w:szCs w:val="18"/>
              </w:rPr>
              <w:t>Guidance on how to become a member of UPOV</w:t>
            </w:r>
          </w:p>
        </w:tc>
        <w:tc>
          <w:tcPr>
            <w:tcW w:w="3920" w:type="dxa"/>
          </w:tcPr>
          <w:p w:rsidR="00122E77" w:rsidRPr="00122E77" w:rsidRDefault="00122E77" w:rsidP="00122E77">
            <w:pPr>
              <w:jc w:val="left"/>
              <w:rPr>
                <w:sz w:val="18"/>
                <w:szCs w:val="18"/>
              </w:rPr>
            </w:pPr>
            <w:r w:rsidRPr="00122E77">
              <w:rPr>
                <w:sz w:val="18"/>
                <w:szCs w:val="18"/>
              </w:rPr>
              <w:t>UPOV/INF/13/2 adopted in October 2017</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UPOV/INF/14</w:t>
            </w:r>
          </w:p>
        </w:tc>
        <w:tc>
          <w:tcPr>
            <w:tcW w:w="4807" w:type="dxa"/>
          </w:tcPr>
          <w:p w:rsidR="00122E77" w:rsidRPr="00122E77" w:rsidRDefault="00122E77" w:rsidP="00122E77">
            <w:pPr>
              <w:jc w:val="left"/>
              <w:rPr>
                <w:sz w:val="18"/>
                <w:szCs w:val="18"/>
              </w:rPr>
            </w:pPr>
            <w:r w:rsidRPr="00122E77">
              <w:rPr>
                <w:sz w:val="18"/>
                <w:szCs w:val="18"/>
              </w:rPr>
              <w:t>Guidance for members of UPOV on how to ratify, or accede to, the 1991 Act of the UPOV Convention</w:t>
            </w:r>
          </w:p>
        </w:tc>
        <w:tc>
          <w:tcPr>
            <w:tcW w:w="3920" w:type="dxa"/>
          </w:tcPr>
          <w:p w:rsidR="00122E77" w:rsidRPr="00122E77" w:rsidRDefault="00122E77" w:rsidP="00122E77">
            <w:pPr>
              <w:jc w:val="left"/>
              <w:rPr>
                <w:sz w:val="18"/>
                <w:szCs w:val="18"/>
              </w:rPr>
            </w:pPr>
            <w:r w:rsidRPr="00122E77">
              <w:rPr>
                <w:sz w:val="18"/>
                <w:szCs w:val="18"/>
              </w:rPr>
              <w:t>UPOV/INF/14/1 adopted in October 2009</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UPOV/INF/15</w:t>
            </w:r>
          </w:p>
        </w:tc>
        <w:tc>
          <w:tcPr>
            <w:tcW w:w="4807" w:type="dxa"/>
          </w:tcPr>
          <w:p w:rsidR="00122E77" w:rsidRPr="00122E77" w:rsidRDefault="00122E77" w:rsidP="00122E77">
            <w:pPr>
              <w:jc w:val="left"/>
              <w:rPr>
                <w:sz w:val="18"/>
                <w:szCs w:val="18"/>
              </w:rPr>
            </w:pPr>
            <w:r w:rsidRPr="00122E77">
              <w:rPr>
                <w:sz w:val="18"/>
                <w:szCs w:val="18"/>
              </w:rPr>
              <w:t xml:space="preserve">Guidance for Members of UPOV </w:t>
            </w:r>
          </w:p>
        </w:tc>
        <w:tc>
          <w:tcPr>
            <w:tcW w:w="3920" w:type="dxa"/>
          </w:tcPr>
          <w:p w:rsidR="00122E77" w:rsidRPr="00122E77" w:rsidRDefault="00122E77" w:rsidP="00122E77">
            <w:pPr>
              <w:jc w:val="left"/>
              <w:rPr>
                <w:sz w:val="18"/>
                <w:szCs w:val="18"/>
              </w:rPr>
            </w:pPr>
            <w:r w:rsidRPr="00122E77">
              <w:rPr>
                <w:sz w:val="18"/>
                <w:szCs w:val="18"/>
              </w:rPr>
              <w:t xml:space="preserve">UPOV/INF/15/3 adopted in March 2015 </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UPOV/INF/16</w:t>
            </w:r>
          </w:p>
        </w:tc>
        <w:tc>
          <w:tcPr>
            <w:tcW w:w="4807" w:type="dxa"/>
          </w:tcPr>
          <w:p w:rsidR="00122E77" w:rsidRPr="00122E77" w:rsidRDefault="00122E77" w:rsidP="00122E77">
            <w:pPr>
              <w:jc w:val="left"/>
              <w:rPr>
                <w:sz w:val="18"/>
                <w:szCs w:val="18"/>
              </w:rPr>
            </w:pPr>
            <w:r w:rsidRPr="00122E77">
              <w:rPr>
                <w:sz w:val="18"/>
                <w:szCs w:val="18"/>
              </w:rPr>
              <w:t>Exchangeable Software</w:t>
            </w:r>
          </w:p>
        </w:tc>
        <w:tc>
          <w:tcPr>
            <w:tcW w:w="3920" w:type="dxa"/>
          </w:tcPr>
          <w:p w:rsidR="00122E77" w:rsidRPr="00122E77" w:rsidRDefault="00122E77" w:rsidP="00122E77">
            <w:pPr>
              <w:spacing w:after="60"/>
              <w:jc w:val="left"/>
              <w:rPr>
                <w:sz w:val="18"/>
                <w:szCs w:val="18"/>
              </w:rPr>
            </w:pPr>
            <w:r w:rsidRPr="00122E77">
              <w:rPr>
                <w:sz w:val="18"/>
                <w:szCs w:val="18"/>
              </w:rPr>
              <w:t xml:space="preserve">UPOV/INF/16/8 adopted in November 2018 </w:t>
            </w:r>
          </w:p>
          <w:p w:rsidR="00122E77" w:rsidRPr="00122E77" w:rsidRDefault="00122E77" w:rsidP="00FA59A0">
            <w:pPr>
              <w:jc w:val="left"/>
              <w:rPr>
                <w:sz w:val="18"/>
                <w:szCs w:val="18"/>
              </w:rPr>
            </w:pPr>
            <w:r w:rsidRPr="00122E77">
              <w:rPr>
                <w:i/>
                <w:sz w:val="18"/>
                <w:szCs w:val="18"/>
              </w:rPr>
              <w:t xml:space="preserve">UPOV/INF/16/9 Draft </w:t>
            </w:r>
            <w:r w:rsidR="00A65B19" w:rsidRPr="00A65B19">
              <w:rPr>
                <w:i/>
                <w:strike/>
                <w:sz w:val="18"/>
                <w:szCs w:val="18"/>
                <w:highlight w:val="yellow"/>
              </w:rPr>
              <w:t>1</w:t>
            </w:r>
            <w:r w:rsidR="00FA59A0" w:rsidRPr="00A65B19">
              <w:rPr>
                <w:i/>
                <w:sz w:val="18"/>
                <w:szCs w:val="18"/>
                <w:highlight w:val="yellow"/>
                <w:u w:val="single"/>
              </w:rPr>
              <w:t>2</w:t>
            </w:r>
            <w:r w:rsidRPr="00122E77">
              <w:rPr>
                <w:i/>
                <w:sz w:val="18"/>
                <w:szCs w:val="18"/>
              </w:rPr>
              <w:t xml:space="preserve"> to be considered by the CAJ and the Council in 2020</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UPOV/INF/17</w:t>
            </w:r>
          </w:p>
        </w:tc>
        <w:tc>
          <w:tcPr>
            <w:tcW w:w="4807" w:type="dxa"/>
          </w:tcPr>
          <w:p w:rsidR="00122E77" w:rsidRPr="00122E77" w:rsidRDefault="00122E77" w:rsidP="00122E77">
            <w:pPr>
              <w:jc w:val="left"/>
              <w:rPr>
                <w:sz w:val="18"/>
                <w:szCs w:val="18"/>
              </w:rPr>
            </w:pPr>
            <w:r w:rsidRPr="00122E77">
              <w:rPr>
                <w:sz w:val="18"/>
                <w:szCs w:val="18"/>
              </w:rPr>
              <w:t>Guidelines for DNA-Profiling: Molecular Marker Selection and Database Construction (“BMT Guidelines”)</w:t>
            </w:r>
          </w:p>
        </w:tc>
        <w:tc>
          <w:tcPr>
            <w:tcW w:w="3920" w:type="dxa"/>
          </w:tcPr>
          <w:p w:rsidR="00122E77" w:rsidRPr="00122E77" w:rsidRDefault="00122E77" w:rsidP="00122E77">
            <w:pPr>
              <w:jc w:val="left"/>
              <w:rPr>
                <w:sz w:val="18"/>
                <w:szCs w:val="18"/>
              </w:rPr>
            </w:pPr>
            <w:r w:rsidRPr="00122E77">
              <w:rPr>
                <w:sz w:val="18"/>
                <w:szCs w:val="18"/>
              </w:rPr>
              <w:t>UPOV/INF/17/1 adopted in October 2010</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UPOV/INF/18</w:t>
            </w:r>
          </w:p>
        </w:tc>
        <w:tc>
          <w:tcPr>
            <w:tcW w:w="4807" w:type="dxa"/>
          </w:tcPr>
          <w:p w:rsidR="00122E77" w:rsidRPr="00122E77" w:rsidRDefault="00122E77" w:rsidP="00122E77">
            <w:pPr>
              <w:jc w:val="left"/>
              <w:rPr>
                <w:sz w:val="18"/>
                <w:szCs w:val="18"/>
              </w:rPr>
            </w:pPr>
            <w:r w:rsidRPr="00122E77">
              <w:rPr>
                <w:sz w:val="18"/>
                <w:szCs w:val="18"/>
              </w:rPr>
              <w:t>Possible use of Molecular Markers in the Examination of Distinctness, Uniformity and Stability (DUS)</w:t>
            </w:r>
          </w:p>
        </w:tc>
        <w:tc>
          <w:tcPr>
            <w:tcW w:w="3920" w:type="dxa"/>
          </w:tcPr>
          <w:p w:rsidR="00122E77" w:rsidRPr="00122E77" w:rsidRDefault="00122E77" w:rsidP="00122E77">
            <w:pPr>
              <w:jc w:val="left"/>
              <w:rPr>
                <w:sz w:val="18"/>
                <w:szCs w:val="18"/>
              </w:rPr>
            </w:pPr>
            <w:r w:rsidRPr="00122E77">
              <w:rPr>
                <w:sz w:val="18"/>
                <w:szCs w:val="18"/>
              </w:rPr>
              <w:t>UPOV/INF/18/1 adopted in October 2011</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UPOV/INF/19</w:t>
            </w:r>
          </w:p>
        </w:tc>
        <w:tc>
          <w:tcPr>
            <w:tcW w:w="4807" w:type="dxa"/>
          </w:tcPr>
          <w:p w:rsidR="00122E77" w:rsidRPr="00122E77" w:rsidRDefault="00122E77" w:rsidP="00122E77">
            <w:pPr>
              <w:jc w:val="left"/>
              <w:rPr>
                <w:sz w:val="18"/>
                <w:szCs w:val="18"/>
              </w:rPr>
            </w:pPr>
            <w:r w:rsidRPr="00122E77">
              <w:rPr>
                <w:sz w:val="18"/>
                <w:szCs w:val="18"/>
              </w:rPr>
              <w:t>Rules governing the granting of observer status to States, intergovernmental organizations and international non-governmental organizations in UPOV bodies</w:t>
            </w:r>
          </w:p>
        </w:tc>
        <w:tc>
          <w:tcPr>
            <w:tcW w:w="3920" w:type="dxa"/>
          </w:tcPr>
          <w:p w:rsidR="00122E77" w:rsidRPr="00122E77" w:rsidRDefault="00122E77" w:rsidP="00122E77">
            <w:pPr>
              <w:jc w:val="left"/>
              <w:rPr>
                <w:iCs/>
                <w:sz w:val="18"/>
                <w:szCs w:val="18"/>
              </w:rPr>
            </w:pPr>
            <w:r w:rsidRPr="00122E77">
              <w:rPr>
                <w:sz w:val="18"/>
                <w:szCs w:val="18"/>
              </w:rPr>
              <w:t xml:space="preserve">UPOV/INF/19/1 </w:t>
            </w:r>
            <w:r w:rsidRPr="00122E77">
              <w:rPr>
                <w:iCs/>
                <w:sz w:val="18"/>
                <w:szCs w:val="18"/>
              </w:rPr>
              <w:t>adopted in November 2012</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UPOV/INF/20</w:t>
            </w:r>
          </w:p>
        </w:tc>
        <w:tc>
          <w:tcPr>
            <w:tcW w:w="4807" w:type="dxa"/>
          </w:tcPr>
          <w:p w:rsidR="00122E77" w:rsidRPr="00122E77" w:rsidRDefault="00122E77" w:rsidP="00122E77">
            <w:pPr>
              <w:jc w:val="left"/>
              <w:rPr>
                <w:sz w:val="18"/>
                <w:szCs w:val="18"/>
              </w:rPr>
            </w:pPr>
            <w:r w:rsidRPr="00122E77">
              <w:rPr>
                <w:sz w:val="18"/>
                <w:szCs w:val="18"/>
              </w:rPr>
              <w:t>Rules governing access to UPOV documents</w:t>
            </w:r>
          </w:p>
        </w:tc>
        <w:tc>
          <w:tcPr>
            <w:tcW w:w="3920" w:type="dxa"/>
          </w:tcPr>
          <w:p w:rsidR="00122E77" w:rsidRPr="00122E77" w:rsidRDefault="00122E77" w:rsidP="00122E77">
            <w:pPr>
              <w:jc w:val="left"/>
              <w:rPr>
                <w:iCs/>
                <w:sz w:val="18"/>
                <w:szCs w:val="18"/>
              </w:rPr>
            </w:pPr>
            <w:r w:rsidRPr="00122E77">
              <w:rPr>
                <w:sz w:val="18"/>
                <w:szCs w:val="18"/>
              </w:rPr>
              <w:t xml:space="preserve">UPOV/INF/20/1 </w:t>
            </w:r>
            <w:r w:rsidRPr="00122E77">
              <w:rPr>
                <w:iCs/>
                <w:sz w:val="18"/>
                <w:szCs w:val="18"/>
              </w:rPr>
              <w:t>adopted in November 2012</w:t>
            </w:r>
          </w:p>
        </w:tc>
      </w:tr>
      <w:tr w:rsidR="00122E77" w:rsidRPr="00122E77" w:rsidTr="002C31FA">
        <w:trPr>
          <w:cantSplit/>
          <w:jc w:val="center"/>
        </w:trPr>
        <w:tc>
          <w:tcPr>
            <w:tcW w:w="1758" w:type="dxa"/>
          </w:tcPr>
          <w:p w:rsidR="00122E77" w:rsidRPr="00122E77" w:rsidRDefault="00122E77" w:rsidP="00122E77">
            <w:pPr>
              <w:jc w:val="left"/>
              <w:rPr>
                <w:sz w:val="18"/>
                <w:szCs w:val="18"/>
              </w:rPr>
            </w:pPr>
            <w:r w:rsidRPr="00122E77">
              <w:rPr>
                <w:sz w:val="18"/>
                <w:szCs w:val="18"/>
              </w:rPr>
              <w:t>UPOV/INF/21</w:t>
            </w:r>
          </w:p>
        </w:tc>
        <w:tc>
          <w:tcPr>
            <w:tcW w:w="4807" w:type="dxa"/>
          </w:tcPr>
          <w:p w:rsidR="00122E77" w:rsidRPr="00122E77" w:rsidRDefault="00122E77" w:rsidP="00122E77">
            <w:pPr>
              <w:jc w:val="left"/>
              <w:rPr>
                <w:sz w:val="18"/>
                <w:szCs w:val="18"/>
              </w:rPr>
            </w:pPr>
            <w:r w:rsidRPr="00122E77">
              <w:rPr>
                <w:sz w:val="18"/>
                <w:szCs w:val="18"/>
              </w:rPr>
              <w:t>Alternative Dispute Settlement Mechanisms</w:t>
            </w:r>
          </w:p>
        </w:tc>
        <w:tc>
          <w:tcPr>
            <w:tcW w:w="3920" w:type="dxa"/>
          </w:tcPr>
          <w:p w:rsidR="00122E77" w:rsidRPr="00122E77" w:rsidRDefault="00122E77" w:rsidP="00122E77">
            <w:pPr>
              <w:jc w:val="left"/>
              <w:rPr>
                <w:sz w:val="18"/>
                <w:szCs w:val="18"/>
              </w:rPr>
            </w:pPr>
            <w:r w:rsidRPr="00122E77">
              <w:rPr>
                <w:sz w:val="18"/>
                <w:szCs w:val="18"/>
              </w:rPr>
              <w:t xml:space="preserve">UPOV/INF/21/1 adopted </w:t>
            </w:r>
            <w:r w:rsidRPr="00122E77">
              <w:rPr>
                <w:iCs/>
                <w:sz w:val="18"/>
                <w:szCs w:val="18"/>
              </w:rPr>
              <w:t>in November 2012</w:t>
            </w:r>
          </w:p>
        </w:tc>
      </w:tr>
      <w:tr w:rsidR="00122E77" w:rsidRPr="00122E77" w:rsidTr="002C31FA">
        <w:trPr>
          <w:cantSplit/>
          <w:jc w:val="center"/>
        </w:trPr>
        <w:tc>
          <w:tcPr>
            <w:tcW w:w="1758" w:type="dxa"/>
          </w:tcPr>
          <w:p w:rsidR="00122E77" w:rsidRPr="00122E77" w:rsidRDefault="00122E77" w:rsidP="00122E77">
            <w:pPr>
              <w:rPr>
                <w:sz w:val="18"/>
                <w:szCs w:val="18"/>
              </w:rPr>
            </w:pPr>
            <w:r w:rsidRPr="00122E77">
              <w:rPr>
                <w:sz w:val="18"/>
                <w:szCs w:val="18"/>
              </w:rPr>
              <w:t>UPOV/INF/22</w:t>
            </w:r>
          </w:p>
        </w:tc>
        <w:tc>
          <w:tcPr>
            <w:tcW w:w="4807" w:type="dxa"/>
          </w:tcPr>
          <w:p w:rsidR="00122E77" w:rsidRPr="00122E77" w:rsidRDefault="00122E77" w:rsidP="00122E77">
            <w:pPr>
              <w:rPr>
                <w:sz w:val="18"/>
                <w:szCs w:val="18"/>
              </w:rPr>
            </w:pPr>
            <w:r w:rsidRPr="00122E77">
              <w:rPr>
                <w:sz w:val="18"/>
                <w:szCs w:val="18"/>
              </w:rPr>
              <w:t xml:space="preserve">Software and Equipment Used by Members of the Union </w:t>
            </w:r>
          </w:p>
        </w:tc>
        <w:tc>
          <w:tcPr>
            <w:tcW w:w="3920" w:type="dxa"/>
          </w:tcPr>
          <w:p w:rsidR="00122E77" w:rsidRPr="00122E77" w:rsidRDefault="00122E77" w:rsidP="00122E77">
            <w:pPr>
              <w:spacing w:after="60"/>
              <w:jc w:val="left"/>
              <w:rPr>
                <w:sz w:val="18"/>
                <w:szCs w:val="18"/>
              </w:rPr>
            </w:pPr>
            <w:r w:rsidRPr="00122E77">
              <w:rPr>
                <w:sz w:val="18"/>
                <w:szCs w:val="18"/>
              </w:rPr>
              <w:t xml:space="preserve">UPOV/INF/22/6 adopted in </w:t>
            </w:r>
            <w:r w:rsidRPr="00122E77">
              <w:rPr>
                <w:iCs/>
                <w:sz w:val="18"/>
                <w:szCs w:val="18"/>
              </w:rPr>
              <w:t>November 2019</w:t>
            </w:r>
          </w:p>
          <w:p w:rsidR="00122E77" w:rsidRPr="00122E77" w:rsidRDefault="00122E77" w:rsidP="00122E77">
            <w:pPr>
              <w:jc w:val="left"/>
              <w:rPr>
                <w:i/>
                <w:sz w:val="18"/>
                <w:szCs w:val="18"/>
              </w:rPr>
            </w:pPr>
            <w:r w:rsidRPr="00122E77">
              <w:rPr>
                <w:i/>
                <w:sz w:val="18"/>
                <w:szCs w:val="18"/>
              </w:rPr>
              <w:t>UPOV/INF/22/7 Draft 1 to be considered by the CAJ and the Council in 2020</w:t>
            </w:r>
          </w:p>
        </w:tc>
      </w:tr>
      <w:tr w:rsidR="00122E77" w:rsidRPr="00122E77" w:rsidTr="002C31FA">
        <w:trPr>
          <w:cantSplit/>
          <w:jc w:val="center"/>
        </w:trPr>
        <w:tc>
          <w:tcPr>
            <w:tcW w:w="1758" w:type="dxa"/>
          </w:tcPr>
          <w:p w:rsidR="00122E77" w:rsidRPr="00122E77" w:rsidRDefault="00122E77" w:rsidP="00122E77">
            <w:pPr>
              <w:rPr>
                <w:sz w:val="18"/>
                <w:szCs w:val="18"/>
              </w:rPr>
            </w:pPr>
            <w:r w:rsidRPr="00122E77">
              <w:rPr>
                <w:sz w:val="18"/>
                <w:szCs w:val="18"/>
              </w:rPr>
              <w:t>UPOV/INF/23</w:t>
            </w:r>
          </w:p>
        </w:tc>
        <w:tc>
          <w:tcPr>
            <w:tcW w:w="4807" w:type="dxa"/>
          </w:tcPr>
          <w:p w:rsidR="00122E77" w:rsidRPr="00122E77" w:rsidRDefault="00122E77" w:rsidP="00122E77">
            <w:pPr>
              <w:rPr>
                <w:sz w:val="18"/>
                <w:szCs w:val="18"/>
              </w:rPr>
            </w:pPr>
            <w:r w:rsidRPr="00122E77">
              <w:rPr>
                <w:sz w:val="18"/>
                <w:szCs w:val="18"/>
              </w:rPr>
              <w:t>Guide to the UPOV Code System</w:t>
            </w:r>
          </w:p>
        </w:tc>
        <w:tc>
          <w:tcPr>
            <w:tcW w:w="3920" w:type="dxa"/>
          </w:tcPr>
          <w:p w:rsidR="00122E77" w:rsidRPr="00122E77" w:rsidRDefault="00122E77" w:rsidP="00122E77">
            <w:pPr>
              <w:spacing w:after="60"/>
              <w:jc w:val="left"/>
              <w:rPr>
                <w:sz w:val="18"/>
                <w:szCs w:val="18"/>
              </w:rPr>
            </w:pPr>
            <w:r w:rsidRPr="00122E77">
              <w:rPr>
                <w:i/>
                <w:sz w:val="18"/>
                <w:szCs w:val="18"/>
              </w:rPr>
              <w:t>UPOV/INF/23/1 Draft 1 to be considered by the CAJ in 2020</w:t>
            </w:r>
          </w:p>
        </w:tc>
      </w:tr>
    </w:tbl>
    <w:p w:rsidR="00122E77" w:rsidRPr="00122E77" w:rsidRDefault="00122E77" w:rsidP="00122E77"/>
    <w:p w:rsidR="00122E77" w:rsidRPr="00122E77" w:rsidRDefault="00122E77" w:rsidP="00122E77"/>
    <w:p w:rsidR="00122E77" w:rsidRPr="00122E77" w:rsidRDefault="00122E77" w:rsidP="00122E77"/>
    <w:p w:rsidR="00122E77" w:rsidRPr="00122E77" w:rsidRDefault="00122E77" w:rsidP="00122E77">
      <w:pPr>
        <w:jc w:val="right"/>
      </w:pPr>
      <w:r w:rsidRPr="00122E77">
        <w:t>[Annex VII follows]</w:t>
      </w:r>
    </w:p>
    <w:p w:rsidR="00122E77" w:rsidRPr="00122E77" w:rsidRDefault="00122E77" w:rsidP="00122E77"/>
    <w:p w:rsidR="00122E77" w:rsidRPr="00122E77" w:rsidRDefault="00122E77" w:rsidP="00122E77">
      <w:pPr>
        <w:jc w:val="left"/>
        <w:sectPr w:rsidR="00122E77" w:rsidRPr="00122E77" w:rsidSect="002C31FA">
          <w:headerReference w:type="even" r:id="rId86"/>
          <w:headerReference w:type="default" r:id="rId87"/>
          <w:footerReference w:type="even" r:id="rId88"/>
          <w:footerReference w:type="default" r:id="rId89"/>
          <w:headerReference w:type="first" r:id="rId90"/>
          <w:footerReference w:type="first" r:id="rId91"/>
          <w:endnotePr>
            <w:numFmt w:val="lowerLetter"/>
          </w:endnotePr>
          <w:pgSz w:w="11907" w:h="16840" w:code="9"/>
          <w:pgMar w:top="510" w:right="1134" w:bottom="1134" w:left="1134" w:header="510" w:footer="408" w:gutter="0"/>
          <w:pgNumType w:start="1"/>
          <w:cols w:space="720"/>
          <w:titlePg/>
          <w:docGrid w:linePitch="272"/>
        </w:sectPr>
      </w:pPr>
    </w:p>
    <w:p w:rsidR="00050E16" w:rsidRPr="00C5280D" w:rsidRDefault="00122E77" w:rsidP="00FA59A0">
      <w:pPr>
        <w:jc w:val="left"/>
      </w:pPr>
      <w:r w:rsidRPr="00122E77">
        <w:rPr>
          <w:noProof/>
        </w:rPr>
        <w:lastRenderedPageBreak/>
        <w:drawing>
          <wp:inline distT="0" distB="0" distL="0" distR="0" wp14:anchorId="304ED317" wp14:editId="5B04E1CF">
            <wp:extent cx="9612630" cy="6090445"/>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612630" cy="6090445"/>
                    </a:xfrm>
                    <a:prstGeom prst="rect">
                      <a:avLst/>
                    </a:prstGeom>
                    <a:noFill/>
                    <a:ln>
                      <a:noFill/>
                    </a:ln>
                  </pic:spPr>
                </pic:pic>
              </a:graphicData>
            </a:graphic>
          </wp:inline>
        </w:drawing>
      </w:r>
    </w:p>
    <w:sectPr w:rsidR="00050E16" w:rsidRPr="00C5280D" w:rsidSect="00FA59A0">
      <w:headerReference w:type="default" r:id="rId93"/>
      <w:headerReference w:type="first" r:id="rId94"/>
      <w:endnotePr>
        <w:numFmt w:val="lowerLetter"/>
      </w:endnotePr>
      <w:pgSz w:w="16840" w:h="11907" w:orient="landscape" w:code="9"/>
      <w:pgMar w:top="1134" w:right="510" w:bottom="1134" w:left="1134" w:header="510" w:footer="3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94" w:rsidRDefault="00453694" w:rsidP="006655D3">
      <w:r>
        <w:separator/>
      </w:r>
    </w:p>
    <w:p w:rsidR="00453694" w:rsidRDefault="00453694" w:rsidP="006655D3"/>
  </w:endnote>
  <w:endnote w:type="continuationSeparator" w:id="0">
    <w:p w:rsidR="00453694" w:rsidRDefault="00453694" w:rsidP="006655D3">
      <w:r>
        <w:separator/>
      </w:r>
    </w:p>
    <w:p w:rsidR="00453694" w:rsidRPr="00294751" w:rsidRDefault="00453694">
      <w:pPr>
        <w:pStyle w:val="Footer"/>
        <w:spacing w:after="60"/>
        <w:rPr>
          <w:sz w:val="18"/>
          <w:lang w:val="fr-FR"/>
        </w:rPr>
      </w:pPr>
      <w:r w:rsidRPr="00294751">
        <w:rPr>
          <w:sz w:val="18"/>
          <w:lang w:val="fr-FR"/>
        </w:rPr>
        <w:t>[Suite de la note de la page précédente]</w:t>
      </w:r>
    </w:p>
    <w:p w:rsidR="00453694" w:rsidRPr="00294751" w:rsidRDefault="00453694" w:rsidP="006655D3">
      <w:pPr>
        <w:rPr>
          <w:lang w:val="fr-FR"/>
        </w:rPr>
      </w:pPr>
    </w:p>
    <w:p w:rsidR="00453694" w:rsidRPr="00294751" w:rsidRDefault="00453694" w:rsidP="006655D3">
      <w:pPr>
        <w:rPr>
          <w:lang w:val="fr-FR"/>
        </w:rPr>
      </w:pPr>
    </w:p>
  </w:endnote>
  <w:endnote w:type="continuationNotice" w:id="1">
    <w:p w:rsidR="00453694" w:rsidRPr="00294751" w:rsidRDefault="00453694" w:rsidP="006655D3">
      <w:pPr>
        <w:rPr>
          <w:lang w:val="fr-FR"/>
        </w:rPr>
      </w:pPr>
      <w:r w:rsidRPr="00294751">
        <w:rPr>
          <w:lang w:val="fr-FR"/>
        </w:rPr>
        <w:t>[Suite de la note page suivante]</w:t>
      </w:r>
    </w:p>
    <w:p w:rsidR="00453694" w:rsidRPr="00294751" w:rsidRDefault="00453694" w:rsidP="006655D3">
      <w:pPr>
        <w:rPr>
          <w:lang w:val="fr-FR"/>
        </w:rPr>
      </w:pPr>
    </w:p>
    <w:p w:rsidR="00453694" w:rsidRPr="00294751" w:rsidRDefault="00453694" w:rsidP="006655D3">
      <w:pPr>
        <w:rPr>
          <w:lang w:val="fr-FR"/>
        </w:rPr>
      </w:pPr>
    </w:p>
  </w:endnote>
  <w:endnote w:id="2">
    <w:p w:rsidR="00453694" w:rsidRPr="00453694" w:rsidRDefault="00453694" w:rsidP="007E4AAD">
      <w:pPr>
        <w:pStyle w:val="EndnoteText"/>
        <w:tabs>
          <w:tab w:val="left" w:pos="284"/>
        </w:tabs>
        <w:spacing w:after="60"/>
        <w:rPr>
          <w:highlight w:val="yellow"/>
          <w:u w:val="single"/>
        </w:rPr>
      </w:pPr>
      <w:r w:rsidRPr="00453694">
        <w:rPr>
          <w:rStyle w:val="EndnoteReference"/>
          <w:highlight w:val="yellow"/>
          <w:u w:val="single"/>
        </w:rPr>
        <w:endnoteRef/>
      </w:r>
      <w:r w:rsidRPr="00453694">
        <w:rPr>
          <w:highlight w:val="yellow"/>
          <w:u w:val="single"/>
        </w:rPr>
        <w:t xml:space="preserve"> </w:t>
      </w:r>
      <w:r w:rsidRPr="00453694">
        <w:rPr>
          <w:highlight w:val="yellow"/>
          <w:u w:val="single"/>
        </w:rPr>
        <w:tab/>
      </w:r>
      <w:r w:rsidRPr="00453694">
        <w:rPr>
          <w:sz w:val="16"/>
          <w:szCs w:val="16"/>
          <w:highlight w:val="yellow"/>
          <w:u w:val="single"/>
        </w:rPr>
        <w:t>On September 1, 2020, France requested to change “</w:t>
      </w:r>
      <w:hyperlink r:id="rId1" w:history="1">
        <w:r w:rsidRPr="00453694">
          <w:rPr>
            <w:rStyle w:val="Hyperlink"/>
            <w:sz w:val="16"/>
            <w:szCs w:val="16"/>
            <w:highlight w:val="yellow"/>
          </w:rPr>
          <w:t>christophe.chevalier@geves.fr</w:t>
        </w:r>
      </w:hyperlink>
      <w:r w:rsidRPr="00453694">
        <w:rPr>
          <w:sz w:val="16"/>
          <w:szCs w:val="16"/>
          <w:highlight w:val="yellow"/>
          <w:u w:val="single"/>
        </w:rPr>
        <w:t>” by “</w:t>
      </w:r>
      <w:hyperlink r:id="rId2" w:history="1">
        <w:r w:rsidRPr="00453694">
          <w:rPr>
            <w:rStyle w:val="Hyperlink"/>
            <w:sz w:val="16"/>
            <w:szCs w:val="16"/>
            <w:highlight w:val="yellow"/>
          </w:rPr>
          <w:t>christelle.lavaud@geves.fr</w:t>
        </w:r>
      </w:hyperlink>
      <w:r w:rsidRPr="00453694">
        <w:rPr>
          <w:sz w:val="16"/>
          <w:szCs w:val="16"/>
          <w:highlight w:val="yellow"/>
          <w:u w:val="single"/>
        </w:rPr>
        <w:t>“.  Document  UPOV/INF/16/9 Draft 2 reflects the requested change.</w:t>
      </w:r>
    </w:p>
  </w:endnote>
  <w:endnote w:id="3">
    <w:p w:rsidR="00453694" w:rsidRPr="00453694" w:rsidRDefault="00453694" w:rsidP="007E4AAD">
      <w:pPr>
        <w:pStyle w:val="EndnoteText"/>
        <w:tabs>
          <w:tab w:val="left" w:pos="284"/>
        </w:tabs>
        <w:spacing w:after="60"/>
        <w:rPr>
          <w:highlight w:val="yellow"/>
          <w:u w:val="single"/>
        </w:rPr>
      </w:pPr>
      <w:r w:rsidRPr="00453694">
        <w:rPr>
          <w:rStyle w:val="EndnoteReference"/>
          <w:highlight w:val="yellow"/>
          <w:u w:val="single"/>
        </w:rPr>
        <w:endnoteRef/>
      </w:r>
      <w:r w:rsidRPr="00453694">
        <w:rPr>
          <w:highlight w:val="yellow"/>
          <w:u w:val="single"/>
        </w:rPr>
        <w:t xml:space="preserve"> </w:t>
      </w:r>
      <w:r w:rsidRPr="00453694">
        <w:rPr>
          <w:highlight w:val="yellow"/>
          <w:u w:val="single"/>
        </w:rPr>
        <w:tab/>
      </w:r>
      <w:r w:rsidRPr="00453694">
        <w:rPr>
          <w:sz w:val="16"/>
          <w:szCs w:val="16"/>
          <w:highlight w:val="yellow"/>
          <w:u w:val="single"/>
        </w:rPr>
        <w:t xml:space="preserve">Comments received on </w:t>
      </w:r>
      <w:r w:rsidRPr="00453694">
        <w:rPr>
          <w:rFonts w:cs="Arial"/>
          <w:sz w:val="16"/>
          <w:szCs w:val="16"/>
          <w:highlight w:val="yellow"/>
          <w:u w:val="single"/>
          <w:lang w:eastAsia="fr-FR"/>
        </w:rPr>
        <w:t xml:space="preserve">Document UPOV/EXN/DEN/1 Draft 4, in reply to Circular E-20/122 of August 21, 2020, </w:t>
      </w:r>
      <w:r w:rsidRPr="00453694">
        <w:rPr>
          <w:sz w:val="16"/>
          <w:szCs w:val="16"/>
          <w:highlight w:val="yellow"/>
          <w:u w:val="single"/>
        </w:rPr>
        <w:t>were not of straightforward nature and, therefore, this document would not be proposed for adoption by the Council in 2020.</w:t>
      </w:r>
    </w:p>
  </w:endnote>
  <w:endnote w:id="4">
    <w:p w:rsidR="00453694" w:rsidRPr="007E4AAD" w:rsidRDefault="00453694" w:rsidP="007E4AAD">
      <w:pPr>
        <w:pStyle w:val="EndnoteText"/>
        <w:tabs>
          <w:tab w:val="left" w:pos="284"/>
        </w:tabs>
        <w:spacing w:after="60"/>
        <w:rPr>
          <w:spacing w:val="-2"/>
          <w:sz w:val="16"/>
          <w:szCs w:val="16"/>
          <w:u w:val="single"/>
        </w:rPr>
      </w:pPr>
      <w:r w:rsidRPr="00453694">
        <w:rPr>
          <w:rStyle w:val="EndnoteReference"/>
          <w:spacing w:val="-2"/>
          <w:highlight w:val="yellow"/>
          <w:u w:val="single"/>
        </w:rPr>
        <w:endnoteRef/>
      </w:r>
      <w:r w:rsidRPr="00453694">
        <w:rPr>
          <w:spacing w:val="-2"/>
          <w:highlight w:val="yellow"/>
          <w:u w:val="single"/>
        </w:rPr>
        <w:t xml:space="preserve"> </w:t>
      </w:r>
      <w:r w:rsidRPr="00453694">
        <w:rPr>
          <w:spacing w:val="-2"/>
          <w:highlight w:val="yellow"/>
          <w:u w:val="single"/>
        </w:rPr>
        <w:tab/>
      </w:r>
      <w:r w:rsidRPr="00453694">
        <w:rPr>
          <w:spacing w:val="-2"/>
          <w:sz w:val="16"/>
          <w:szCs w:val="16"/>
          <w:highlight w:val="yellow"/>
          <w:u w:val="single"/>
        </w:rPr>
        <w:t xml:space="preserve">Document UPOV/EXN/DEN/1 Draft 4 is not be part </w:t>
      </w:r>
      <w:r w:rsidR="00800945">
        <w:rPr>
          <w:spacing w:val="-2"/>
          <w:sz w:val="16"/>
          <w:szCs w:val="16"/>
          <w:highlight w:val="yellow"/>
          <w:u w:val="single"/>
        </w:rPr>
        <w:t>of the Circular of September 25</w:t>
      </w:r>
      <w:r w:rsidRPr="00453694">
        <w:rPr>
          <w:spacing w:val="-2"/>
          <w:sz w:val="16"/>
          <w:szCs w:val="16"/>
          <w:highlight w:val="yellow"/>
          <w:u w:val="single"/>
        </w:rPr>
        <w:t>, 2020, and will be discussed at t</w:t>
      </w:r>
      <w:r w:rsidR="00800945">
        <w:rPr>
          <w:spacing w:val="-2"/>
          <w:sz w:val="16"/>
          <w:szCs w:val="16"/>
          <w:highlight w:val="yellow"/>
          <w:u w:val="single"/>
        </w:rPr>
        <w:t xml:space="preserve">he virtual session of the CAJ. </w:t>
      </w:r>
      <w:bookmarkStart w:id="30" w:name="_GoBack"/>
      <w:bookmarkEnd w:id="30"/>
      <w:r w:rsidRPr="00453694">
        <w:rPr>
          <w:spacing w:val="-2"/>
          <w:sz w:val="16"/>
          <w:szCs w:val="16"/>
          <w:highlight w:val="yellow"/>
          <w:u w:val="single"/>
        </w:rPr>
        <w:t>Comments received on Document UPOV/EXN/DEN/1 Draft 4 in response to Circular E-20/120 will be included in document CAJ/77/9 “Outcome of the consideration of documents by correspondence” for possible further action for consideration by the CAJ at its virtual session in October.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r>
      <w:rPr>
        <w:noProof/>
      </w:rPr>
      <mc:AlternateContent>
        <mc:Choice Requires="wps">
          <w:drawing>
            <wp:anchor distT="558800" distB="0" distL="114300" distR="114300" simplePos="0" relativeHeight="251632640" behindDoc="0" locked="0" layoutInCell="0" allowOverlap="1" wp14:anchorId="036CA28D" wp14:editId="79A4AC13">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6CA28D"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326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A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k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1mAJqgIAAGQ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55168" behindDoc="0" locked="0" layoutInCell="0" allowOverlap="1" wp14:anchorId="45998EBF" wp14:editId="2F06143F">
              <wp:simplePos x="0" y="0"/>
              <wp:positionH relativeFrom="margin">
                <wp:align>center</wp:align>
              </wp:positionH>
              <wp:positionV relativeFrom="bottomMargin">
                <wp:posOffset>558800</wp:posOffset>
              </wp:positionV>
              <wp:extent cx="7620000" cy="317500"/>
              <wp:effectExtent l="0" t="0" r="0" b="6350"/>
              <wp:wrapNone/>
              <wp:docPr id="25"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998EBF" id="_x0000_t202" coordsize="21600,21600" o:spt="202" path="m,l,21600r21600,l21600,xe">
              <v:stroke joinstyle="miter"/>
              <v:path gradientshapeok="t" o:connecttype="rect"/>
            </v:shapetype>
            <v:shape id="TITUSO5footer" o:spid="_x0000_s1039" type="#_x0000_t202" style="position:absolute;left:0;text-align:left;margin-left:0;margin-top:44pt;width:600pt;height:25pt;z-index:2516551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cUrA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cUaJYjRqt79aPq/tR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RB/uS8V3oDxSsKbQB5Rkms5osKL18y6x6YwenATZx4d4+fUgKSC51FyRbM9z/tezxy&#10;gl5KDjhtObXfdswISuSdwnaeJmmKYV1YpKPJEBfm1LM59ahdfQNIQxKyC6bHO9mbpYH6CR+Gub8V&#10;XUxxvDunrjdvXPsG4MPCxXweQDiQmrmlWmne97cnfd08MaO7vnNI51fo55JlH9qvxXq5FMx3Dsoq&#10;9KYnumW1GxQc5iBK9/D41+J0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FacdxS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53120" behindDoc="0" locked="0" layoutInCell="0" allowOverlap="1" wp14:anchorId="17438D15" wp14:editId="15880A17">
              <wp:simplePos x="0" y="0"/>
              <wp:positionH relativeFrom="margin">
                <wp:align>center</wp:align>
              </wp:positionH>
              <wp:positionV relativeFrom="bottomMargin">
                <wp:posOffset>558800</wp:posOffset>
              </wp:positionV>
              <wp:extent cx="7620000" cy="317500"/>
              <wp:effectExtent l="0" t="0" r="0" b="6350"/>
              <wp:wrapNone/>
              <wp:docPr id="2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438D15" id="_x0000_t202" coordsize="21600,21600" o:spt="202" path="m,l,21600r21600,l21600,xe">
              <v:stroke joinstyle="miter"/>
              <v:path gradientshapeok="t" o:connecttype="rect"/>
            </v:shapetype>
            <v:shape id="TITUSF5footer" o:spid="_x0000_s1040" type="#_x0000_t202" style="position:absolute;left:0;text-align:left;margin-left:0;margin-top:44pt;width:600pt;height:25pt;z-index:2516531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lk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VGsRo3Wd+vH1WJU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P0l7pTdQvKLQBpBnlMRqvqjw8iWz7oEZnA7cxIl39/gpJSC50FmUbMF8/9O+xyMn&#10;6KXkgNOWU/ttx4ygRN4pbOdpkqYY1oVFOpoMcWFOPZtTj9rVN4A0JCG7YHq8k71ZGqif8GGY+1vR&#10;xRTHu3PqevPGtW8APixczOcBhAOpmVuqleZ9f3vS180TM7rrO4d0foV+Lln2of1arJdLwXznoKxC&#10;b3qiW1a7QcFhDqJ0D49/LU7XAf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bsZ5ZKsCAABmBQAADgAAAAAAAAAAAAAA&#10;AAAuAgAAZHJzL2Uyb0RvYy54bWxQSwECLQAUAAYACAAAACEAzfLzKNoAAAAIAQAADwAAAAAAAAAA&#10;AAAAAAAFBQAAZHJzL2Rvd25yZXYueG1sUEsFBgAAAAAEAAQA8wAAAAwGA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r>
      <w:rPr>
        <w:noProof/>
      </w:rPr>
      <mc:AlternateContent>
        <mc:Choice Requires="wps">
          <w:drawing>
            <wp:anchor distT="558800" distB="0" distL="114300" distR="114300" simplePos="0" relativeHeight="251663360" behindDoc="0" locked="0" layoutInCell="0" allowOverlap="1" wp14:anchorId="1EF7D552" wp14:editId="24BF70C6">
              <wp:simplePos x="0" y="0"/>
              <wp:positionH relativeFrom="margin">
                <wp:align>center</wp:align>
              </wp:positionH>
              <wp:positionV relativeFrom="bottomMargin">
                <wp:posOffset>558800</wp:posOffset>
              </wp:positionV>
              <wp:extent cx="7620000" cy="317500"/>
              <wp:effectExtent l="0" t="0" r="0" b="6350"/>
              <wp:wrapNone/>
              <wp:docPr id="2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F7D552" id="_x0000_t202" coordsize="21600,21600" o:spt="202" path="m,l,21600r21600,l21600,xe">
              <v:stroke joinstyle="miter"/>
              <v:path gradientshapeok="t" o:connecttype="rect"/>
            </v:shapetype>
            <v:shape id="TITUSE6footer" o:spid="_x0000_s1041"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x0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hBLJatRofbt+XH0ZFw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ejXukN5K8otAbkGSUxii9KvHzJjH1gGqcDN3Hi7T1+igqQXOgsSragv/9p3+GR&#10;E/RScsBpy6j5tmNaUFLdSmznJIpjDGv9Ih5NhrjQp57NqUfu6mtAGiKfnTcd3la9WWion/BhmLtb&#10;0cUkx7szanvz2rZvAD4sXMznHoQDqZhdypXifX870tfNE9Oq6zuLdN5BP5cs/dB+LdbJJWG+s1CU&#10;vjcd0S2r3aDgMHtRuofHvRana496ex5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FooLHS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61312" behindDoc="0" locked="0" layoutInCell="0" allowOverlap="1" wp14:anchorId="5F56286E" wp14:editId="0759EF43">
              <wp:simplePos x="0" y="0"/>
              <wp:positionH relativeFrom="margin">
                <wp:align>center</wp:align>
              </wp:positionH>
              <wp:positionV relativeFrom="bottomMargin">
                <wp:posOffset>558800</wp:posOffset>
              </wp:positionV>
              <wp:extent cx="7620000" cy="317500"/>
              <wp:effectExtent l="0" t="0" r="0" b="6350"/>
              <wp:wrapNone/>
              <wp:docPr id="2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56286E" id="_x0000_t202" coordsize="21600,21600" o:spt="202" path="m,l,21600r21600,l21600,xe">
              <v:stroke joinstyle="miter"/>
              <v:path gradientshapeok="t" o:connecttype="rect"/>
            </v:shapetype>
            <v:shape id="TITUSO6footer" o:spid="_x0000_s1042"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x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1/kicasCAABmBQAADgAAAAAAAAAAAAAA&#10;AAAuAgAAZHJzL2Uyb0RvYy54bWxQSwECLQAUAAYACAAAACEAzfLzKNoAAAAIAQAADwAAAAAAAAAA&#10;AAAAAAAFBQAAZHJzL2Rvd25yZXYueG1sUEsFBgAAAAAEAAQA8wAAAAwGA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r>
      <w:rPr>
        <w:noProof/>
      </w:rPr>
      <mc:AlternateContent>
        <mc:Choice Requires="wps">
          <w:drawing>
            <wp:anchor distT="558800" distB="0" distL="114300" distR="114300" simplePos="0" relativeHeight="251669504" behindDoc="0" locked="0" layoutInCell="0" allowOverlap="1" wp14:anchorId="1CA2B7DA" wp14:editId="2973E30A">
              <wp:simplePos x="0" y="0"/>
              <wp:positionH relativeFrom="margin">
                <wp:align>center</wp:align>
              </wp:positionH>
              <wp:positionV relativeFrom="bottomMargin">
                <wp:posOffset>558800</wp:posOffset>
              </wp:positionV>
              <wp:extent cx="7620000" cy="317500"/>
              <wp:effectExtent l="0" t="0" r="0" b="6350"/>
              <wp:wrapNone/>
              <wp:docPr id="32"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A2B7DA" id="_x0000_t202" coordsize="21600,21600" o:spt="202" path="m,l,21600r21600,l21600,xe">
              <v:stroke joinstyle="miter"/>
              <v:path gradientshapeok="t" o:connecttype="rect"/>
            </v:shapetype>
            <v:shape id="TITUSE7footer" o:spid="_x0000_s1044"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Eq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I1EkSq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67456" behindDoc="0" locked="0" layoutInCell="0" allowOverlap="1" wp14:anchorId="5DD9BCFD" wp14:editId="05342542">
              <wp:simplePos x="0" y="0"/>
              <wp:positionH relativeFrom="margin">
                <wp:align>center</wp:align>
              </wp:positionH>
              <wp:positionV relativeFrom="bottomMargin">
                <wp:posOffset>558800</wp:posOffset>
              </wp:positionV>
              <wp:extent cx="7620000" cy="317500"/>
              <wp:effectExtent l="0" t="0" r="0" b="6350"/>
              <wp:wrapNone/>
              <wp:docPr id="3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9BCFD" id="_x0000_t202" coordsize="21600,21600" o:spt="202" path="m,l,21600r21600,l21600,xe">
              <v:stroke joinstyle="miter"/>
              <v:path gradientshapeok="t" o:connecttype="rect"/>
            </v:shapetype>
            <v:shape id="TITUSO7footer" o:spid="_x0000_s1045"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idrQ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BVoXidrQIAAGYFAAAOAAAAAAAAAAAA&#10;AAAAAC4CAABkcnMvZTJvRG9jLnhtbFBLAQItABQABgAIAAAAIQDN8vMo2gAAAAgBAAAPAAAAAAAA&#10;AAAAAAAAAAcFAABkcnMvZG93bnJldi54bWxQSwUGAAAAAAQABADzAAAADg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r>
      <w:rPr>
        <w:noProof/>
      </w:rPr>
      <mc:AlternateContent>
        <mc:Choice Requires="wps">
          <w:drawing>
            <wp:anchor distT="558800" distB="0" distL="114300" distR="114300" simplePos="0" relativeHeight="251638784" behindDoc="0" locked="0" layoutInCell="0" allowOverlap="1" wp14:anchorId="4CFD65DF" wp14:editId="3039EBD0">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FD65DF"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387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8N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0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JBA8NqgIAAGQ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71552" behindDoc="0" locked="0" layoutInCell="0" allowOverlap="1" wp14:anchorId="21F0E54B" wp14:editId="31992385">
              <wp:simplePos x="0" y="0"/>
              <wp:positionH relativeFrom="margin">
                <wp:align>center</wp:align>
              </wp:positionH>
              <wp:positionV relativeFrom="bottomMargin">
                <wp:posOffset>558800</wp:posOffset>
              </wp:positionV>
              <wp:extent cx="7620000" cy="317500"/>
              <wp:effectExtent l="0" t="0" r="0" b="6350"/>
              <wp:wrapNone/>
              <wp:docPr id="33" name="TITUSF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F0E54B" id="_x0000_t202" coordsize="21600,21600" o:spt="202" path="m,l,21600r21600,l21600,xe">
              <v:stroke joinstyle="miter"/>
              <v:path gradientshapeok="t" o:connecttype="rect"/>
            </v:shapetype>
            <v:shape id="TITUSF8footer" o:spid="_x0000_s1049" type="#_x0000_t202" style="position:absolute;left:0;text-align:left;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7C/cq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79744" behindDoc="0" locked="0" layoutInCell="0" allowOverlap="1" wp14:anchorId="3725F115" wp14:editId="459E7697">
              <wp:simplePos x="0" y="0"/>
              <wp:positionH relativeFrom="margin">
                <wp:align>center</wp:align>
              </wp:positionH>
              <wp:positionV relativeFrom="bottomMargin">
                <wp:posOffset>558800</wp:posOffset>
              </wp:positionV>
              <wp:extent cx="7620000" cy="317500"/>
              <wp:effectExtent l="0" t="0" r="0" b="6350"/>
              <wp:wrapNone/>
              <wp:docPr id="37" name="TITUSO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25F115" id="_x0000_t202" coordsize="21600,21600" o:spt="202" path="m,l,21600r21600,l21600,xe">
              <v:stroke joinstyle="miter"/>
              <v:path gradientshapeok="t" o:connecttype="rect"/>
            </v:shapetype>
            <v:shape id="TITUSO9footer" o:spid="_x0000_s1051"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kf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K8W+R+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77696" behindDoc="0" locked="0" layoutInCell="0" allowOverlap="1" wp14:anchorId="6B384F07" wp14:editId="6A3CA704">
              <wp:simplePos x="0" y="0"/>
              <wp:positionH relativeFrom="margin">
                <wp:align>center</wp:align>
              </wp:positionH>
              <wp:positionV relativeFrom="bottomMargin">
                <wp:posOffset>558800</wp:posOffset>
              </wp:positionV>
              <wp:extent cx="7620000" cy="317500"/>
              <wp:effectExtent l="0" t="0" r="0" b="6350"/>
              <wp:wrapNone/>
              <wp:docPr id="36" name="TITUSF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384F07" id="_x0000_t202" coordsize="21600,21600" o:spt="202" path="m,l,21600r21600,l21600,xe">
              <v:stroke joinstyle="miter"/>
              <v:path gradientshapeok="t" o:connecttype="rect"/>
            </v:shapetype>
            <v:shape id="TITUSF9footer" o:spid="_x0000_s1052"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uM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o+pUSyBjXa3G0e18uk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3g6KL2F/BWF1oA8oyRG8WWFl6+YsQ9M43TgJk68vcdPUQOSC71FSQn6+5/2HR45&#10;QS8lB5y2jJpvO6YFJfWdxHZOojjGsNYv4slsjAt96tmeeuSuuQGkIfLZedPhbT2YhYbmCR+GhbsV&#10;XUxyvDujdjBvbPcG4MPCxWLhQTiQitmVXCs+9LcjfdM+Ma36vrNI51cY5pKlH9qvwzq5JCx2ForK&#10;96YjumO1HxQcZi9K//C41+J07VFvz+P8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OmJK4y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36736" behindDoc="0" locked="0" layoutInCell="0" allowOverlap="1" wp14:anchorId="39184F33" wp14:editId="74A319B0">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184F33"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367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kt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a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0ektqgIAAGQ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66607F" w:rsidRDefault="00453694" w:rsidP="002C31F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F10248" w:rsidRDefault="00453694" w:rsidP="002C31FA">
    <w:pPr>
      <w:pStyle w:val="Footer"/>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F10248" w:rsidRDefault="00453694">
    <w:pPr>
      <w:pStyle w:val="Footer"/>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FA59A0" w:rsidRDefault="00453694" w:rsidP="00FA59A0">
    <w:pPr>
      <w:jc w:val="right"/>
    </w:pPr>
    <w:r w:rsidRPr="00FA59A0">
      <w:t>[End of Annex VII and document]</w:t>
    </w:r>
  </w:p>
  <w:p w:rsidR="00453694" w:rsidRPr="0066607F" w:rsidRDefault="00453694" w:rsidP="002C3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34688" behindDoc="0" locked="0" layoutInCell="0" allowOverlap="1" wp14:anchorId="301D5DB0" wp14:editId="71A00060">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1D5DB0"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346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JT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f9U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LEV0lOpAgAAZAUAAA4AAAAAAAAAAAAAAAAA&#10;LgIAAGRycy9lMm9Eb2MueG1sUEsBAi0AFAAGAAgAAAAhAM3y8yjaAAAACAEAAA8AAAAAAAAAAAAA&#10;AAAAAwUAAGRycy9kb3ducmV2LnhtbFBLBQYAAAAABAAEAPMAAAAK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r>
      <w:rPr>
        <w:noProof/>
      </w:rPr>
      <mc:AlternateContent>
        <mc:Choice Requires="wps">
          <w:drawing>
            <wp:anchor distT="558800" distB="0" distL="114300" distR="114300" simplePos="0" relativeHeight="251644928" behindDoc="0" locked="0" layoutInCell="0" allowOverlap="1" wp14:anchorId="44F97ABD" wp14:editId="31E68C23">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97ABD" id="_x0000_t202" coordsize="21600,21600" o:spt="202" path="m,l,21600r21600,l21600,xe">
              <v:stroke joinstyle="miter"/>
              <v:path gradientshapeok="t" o:connecttype="rect"/>
            </v:shapetype>
            <v:shape id="TITUSE3footer" o:spid="_x0000_s1033" type="#_x0000_t202" style="position:absolute;left:0;text-align:left;margin-left:0;margin-top:44pt;width:600pt;height:25pt;z-index:2516449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Z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T3qhN1C8os4GkGZUxGq+qPDuJbPunhkcDtzEgXd3+CklILfQWZRswXz/077HIyXo&#10;pWSPw5ZT+23HjKBE3ijs5mmSphjWhUU6mgxxYY49m2OP2tVXgCxgw2J2wfR4J3uzNFA/4rsw97ei&#10;iymOd+fU9eaVa58AfFe4mM8DCOdRM7dUK8379vacr5tHZnTXdg7ZvIV+LFn2oftarFdLwXznoKxC&#10;a3qeW1a7OcFZDpp0745/LI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8/MmasCAABlBQAADgAAAAAAAAAAAAAA&#10;AAAuAgAAZHJzL2Uyb0RvYy54bWxQSwECLQAUAAYACAAAACEAzfLzKNoAAAAIAQAADwAAAAAAAAAA&#10;AAAAAAAFBQAAZHJzL2Rvd25yZXYueG1sUEsFBgAAAAAEAAQA8wAAAAwGA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Footer"/>
    </w:pPr>
    <w:r>
      <w:rPr>
        <w:noProof/>
      </w:rPr>
      <mc:AlternateContent>
        <mc:Choice Requires="wps">
          <w:drawing>
            <wp:anchor distT="558800" distB="0" distL="114300" distR="114300" simplePos="0" relativeHeight="251651072" behindDoc="0" locked="0" layoutInCell="0" allowOverlap="1" wp14:anchorId="7E42B913" wp14:editId="60C3124D">
              <wp:simplePos x="0" y="0"/>
              <wp:positionH relativeFrom="margin">
                <wp:align>center</wp:align>
              </wp:positionH>
              <wp:positionV relativeFrom="bottomMargin">
                <wp:posOffset>558800</wp:posOffset>
              </wp:positionV>
              <wp:extent cx="7620000" cy="317500"/>
              <wp:effectExtent l="0" t="0" r="0" b="6350"/>
              <wp:wrapNone/>
              <wp:docPr id="2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42B913" id="_x0000_t202" coordsize="21600,21600" o:spt="202" path="m,l,21600r21600,l21600,xe">
              <v:stroke joinstyle="miter"/>
              <v:path gradientshapeok="t" o:connecttype="rect"/>
            </v:shapetype>
            <v:shape id="TITUSE4footer" o:spid="_x0000_s1035" type="#_x0000_t202" style="position:absolute;left:0;text-align:left;margin-left:0;margin-top:44pt;width:600pt;height:25pt;z-index:2516510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es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c0okq1Gj9e36cfUlLg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U96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xZA3rKsCAABlBQAADgAAAAAAAAAAAAAA&#10;AAAuAgAAZHJzL2Uyb0RvYy54bWxQSwECLQAUAAYACAAAACEAzfLzKNoAAAAIAQAADwAAAAAAAAAA&#10;AAAAAAAFBQAAZHJzL2Rvd25yZXYueG1sUEsFBgAAAAAEAAQA8wAAAAwGA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Footer"/>
    </w:pPr>
    <w:r>
      <w:rPr>
        <w:noProof/>
      </w:rPr>
      <mc:AlternateContent>
        <mc:Choice Requires="wps">
          <w:drawing>
            <wp:anchor distT="558800" distB="0" distL="114300" distR="114300" simplePos="0" relativeHeight="251649024" behindDoc="0" locked="0" layoutInCell="0" allowOverlap="1" wp14:anchorId="36A1EC50" wp14:editId="7CF398D1">
              <wp:simplePos x="0" y="0"/>
              <wp:positionH relativeFrom="margin">
                <wp:align>center</wp:align>
              </wp:positionH>
              <wp:positionV relativeFrom="bottomMargin">
                <wp:posOffset>558800</wp:posOffset>
              </wp:positionV>
              <wp:extent cx="7620000" cy="317500"/>
              <wp:effectExtent l="0" t="0" r="0" b="6350"/>
              <wp:wrapNone/>
              <wp:docPr id="2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A1EC50" id="_x0000_t202" coordsize="21600,21600" o:spt="202" path="m,l,21600r21600,l21600,xe">
              <v:stroke joinstyle="miter"/>
              <v:path gradientshapeok="t" o:connecttype="rect"/>
            </v:shapetype>
            <v:shape id="TITUSO4footer" o:spid="_x0000_s1036" type="#_x0000_t202" style="position:absolute;left:0;text-align:left;margin-left:0;margin-top:44pt;width:600pt;height:25pt;z-index:2516490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oD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JpoDqgIAAGY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94" w:rsidRDefault="00453694" w:rsidP="006655D3">
      <w:r>
        <w:separator/>
      </w:r>
    </w:p>
  </w:footnote>
  <w:footnote w:type="continuationSeparator" w:id="0">
    <w:p w:rsidR="00453694" w:rsidRDefault="00453694" w:rsidP="006655D3">
      <w:r>
        <w:separator/>
      </w:r>
    </w:p>
  </w:footnote>
  <w:footnote w:type="continuationNotice" w:id="1">
    <w:p w:rsidR="00453694" w:rsidRPr="00AB530F" w:rsidRDefault="00453694" w:rsidP="00AB530F">
      <w:pPr>
        <w:pStyle w:val="Footer"/>
      </w:pPr>
    </w:p>
  </w:footnote>
  <w:footnote w:id="2">
    <w:p w:rsidR="00453694" w:rsidRDefault="00453694" w:rsidP="00122E77">
      <w:pPr>
        <w:pStyle w:val="FootnoteText"/>
      </w:pPr>
      <w:r>
        <w:rPr>
          <w:rStyle w:val="FootnoteReference"/>
        </w:rPr>
        <w:footnoteRef/>
      </w:r>
      <w:r>
        <w:t xml:space="preserve"> </w:t>
      </w:r>
      <w:r>
        <w:tab/>
        <w:t>T</w:t>
      </w:r>
      <w:r w:rsidRPr="00EB1338">
        <w:t>he procedure for consideration of</w:t>
      </w:r>
      <w:r>
        <w:t xml:space="preserve"> documents by correspondence is</w:t>
      </w:r>
      <w:r w:rsidRPr="00EB1338">
        <w:t xml:space="preserve"> provided in Circular E-20/094 of July 23, 2020 </w:t>
      </w:r>
      <w:r>
        <w:t>(available at the TC/56, CAJ/77 and C/54</w:t>
      </w:r>
      <w:r w:rsidRPr="00EB1338">
        <w:t xml:space="preserve"> webpage</w:t>
      </w:r>
      <w:r>
        <w:t>s).</w:t>
      </w:r>
    </w:p>
  </w:footnote>
  <w:footnote w:id="3">
    <w:p w:rsidR="00453694" w:rsidRDefault="00453694" w:rsidP="00122E77">
      <w:pPr>
        <w:pStyle w:val="FootnoteText"/>
      </w:pPr>
      <w:r>
        <w:rPr>
          <w:rStyle w:val="FootnoteReference"/>
        </w:rPr>
        <w:footnoteRef/>
      </w:r>
      <w:r>
        <w:t xml:space="preserve"> </w:t>
      </w:r>
      <w:r>
        <w:tab/>
      </w:r>
      <w:r w:rsidRPr="00761F6B">
        <w:t>Held in Geneva on October 28 and 29, 2019</w:t>
      </w:r>
      <w:r>
        <w:t>.</w:t>
      </w:r>
    </w:p>
  </w:footnote>
  <w:footnote w:id="4">
    <w:p w:rsidR="00453694" w:rsidRDefault="00453694" w:rsidP="00122E77">
      <w:pPr>
        <w:pStyle w:val="FootnoteText"/>
      </w:pPr>
      <w:r>
        <w:rPr>
          <w:rStyle w:val="FootnoteReference"/>
        </w:rPr>
        <w:footnoteRef/>
      </w:r>
      <w:r>
        <w:t xml:space="preserve"> </w:t>
      </w:r>
      <w:r>
        <w:tab/>
      </w:r>
      <w:r w:rsidRPr="00761F6B">
        <w:t>Held in Geneva on October 30, 2019</w:t>
      </w:r>
      <w:r>
        <w:t>.</w:t>
      </w:r>
    </w:p>
  </w:footnote>
  <w:footnote w:id="5">
    <w:p w:rsidR="00453694" w:rsidRDefault="00453694" w:rsidP="00122E77">
      <w:pPr>
        <w:pStyle w:val="FootnoteText"/>
      </w:pPr>
      <w:r>
        <w:rPr>
          <w:rStyle w:val="FootnoteReference"/>
        </w:rPr>
        <w:footnoteRef/>
      </w:r>
      <w:r>
        <w:tab/>
      </w:r>
      <w:r w:rsidRPr="005773C7">
        <w:t>At its fourth meeting, held in Geneva on October 27, 2017, the WG-DEN agreed to change the reference of the document from the “INF” series to the “EXN” series in accordance with the title and contents of the document “Explanatory Notes on Variety Denominations under the UPOV Convention” (see paragraph 6 of document UPOV/WG-DEN/4/3 “Report”).</w:t>
      </w:r>
    </w:p>
  </w:footnote>
  <w:footnote w:id="6">
    <w:p w:rsidR="00453694" w:rsidRDefault="00453694" w:rsidP="00122E77">
      <w:pPr>
        <w:pStyle w:val="FootnoteText"/>
      </w:pPr>
      <w:r>
        <w:rPr>
          <w:rStyle w:val="FootnoteReference"/>
        </w:rPr>
        <w:footnoteRef/>
      </w:r>
      <w:r>
        <w:tab/>
      </w:r>
      <w:r w:rsidRPr="00D3625B">
        <w:t xml:space="preserve">Held </w:t>
      </w:r>
      <w:r>
        <w:t xml:space="preserve">in Geneva, </w:t>
      </w:r>
      <w:r w:rsidRPr="00D3625B">
        <w:t>on October 29, 2019</w:t>
      </w:r>
      <w:r>
        <w:t>.</w:t>
      </w:r>
    </w:p>
  </w:footnote>
  <w:footnote w:id="7">
    <w:p w:rsidR="00453694" w:rsidRDefault="00453694" w:rsidP="00122E77">
      <w:pPr>
        <w:pStyle w:val="FootnoteText"/>
      </w:pPr>
      <w:r>
        <w:rPr>
          <w:rStyle w:val="FootnoteReference"/>
        </w:rPr>
        <w:footnoteRef/>
      </w:r>
      <w:r>
        <w:t xml:space="preserve"> </w:t>
      </w:r>
      <w:r>
        <w:tab/>
      </w:r>
      <w:r w:rsidRPr="00307047">
        <w:t>Held in Geneva from March 26 to 28, 2012</w:t>
      </w:r>
      <w:r>
        <w:t>.</w:t>
      </w:r>
    </w:p>
  </w:footnote>
  <w:footnote w:id="8">
    <w:p w:rsidR="00453694" w:rsidRPr="000A2B5E" w:rsidRDefault="00453694" w:rsidP="00122E77">
      <w:pPr>
        <w:pStyle w:val="FootnoteText"/>
        <w:rPr>
          <w:u w:val="single"/>
        </w:rPr>
      </w:pPr>
      <w:r>
        <w:rPr>
          <w:rStyle w:val="FootnoteReference"/>
        </w:rPr>
        <w:footnoteRef/>
      </w:r>
      <w:r>
        <w:t xml:space="preserve"> </w:t>
      </w:r>
      <w:r>
        <w:tab/>
      </w:r>
      <w:r w:rsidRPr="00307047">
        <w:t>Held in Geneva on March 29, 2012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5280D" w:rsidRDefault="00453694" w:rsidP="002C31FA">
    <w:pPr>
      <w:pStyle w:val="Header"/>
      <w:rPr>
        <w:rStyle w:val="PageNumber"/>
        <w:lang w:val="en-US"/>
      </w:rPr>
    </w:pPr>
    <w:r>
      <w:rPr>
        <w:rStyle w:val="PageNumber"/>
        <w:lang w:val="en-US"/>
      </w:rPr>
      <w:t>CAJ/77/3</w:t>
    </w:r>
  </w:p>
  <w:p w:rsidR="00453694" w:rsidRPr="00C5280D" w:rsidRDefault="00453694" w:rsidP="002C31F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rsidR="00453694" w:rsidRPr="00C5280D" w:rsidRDefault="00453694" w:rsidP="002C31F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3</w:t>
    </w:r>
    <w:r w:rsidRPr="00C5280D">
      <w:rPr>
        <w:rStyle w:val="PageNumber"/>
      </w:rPr>
      <w:fldChar w:fldCharType="end"/>
    </w:r>
  </w:p>
  <w:p w:rsidR="00453694" w:rsidRPr="00C5280D" w:rsidRDefault="00453694" w:rsidP="002C31F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3</w:t>
    </w:r>
    <w:r w:rsidRPr="00C5280D">
      <w:rPr>
        <w:rStyle w:val="PageNumber"/>
      </w:rPr>
      <w:fldChar w:fldCharType="end"/>
    </w:r>
  </w:p>
  <w:p w:rsidR="00453694" w:rsidRPr="00C5280D" w:rsidRDefault="00453694"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lang w:val="en-US"/>
      </w:rPr>
    </w:pPr>
    <w:r>
      <w:rPr>
        <w:noProof/>
        <w:lang w:val="en-US"/>
      </w:rPr>
      <mc:AlternateContent>
        <mc:Choice Requires="wps">
          <w:drawing>
            <wp:anchor distT="558800" distB="0" distL="114300" distR="114300" simplePos="0" relativeHeight="251646976" behindDoc="0" locked="0" layoutInCell="0" allowOverlap="1" wp14:anchorId="283A8F60" wp14:editId="699B1CAE">
              <wp:simplePos x="0" y="0"/>
              <wp:positionH relativeFrom="margin">
                <wp:align>center</wp:align>
              </wp:positionH>
              <wp:positionV relativeFrom="bottomMargin">
                <wp:posOffset>558800</wp:posOffset>
              </wp:positionV>
              <wp:extent cx="7620000" cy="317500"/>
              <wp:effectExtent l="0" t="0" r="0" b="6350"/>
              <wp:wrapNone/>
              <wp:docPr id="12"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3A8F60" id="_x0000_t202" coordsize="21600,21600" o:spt="202" path="m,l,21600r21600,l21600,xe">
              <v:stroke joinstyle="miter"/>
              <v:path gradientshapeok="t" o:connecttype="rect"/>
            </v:shapetype>
            <v:shape id="TITUSF4footer" o:spid="_x0000_s1037" type="#_x0000_t202" style="position:absolute;left:0;text-align:left;margin-left:0;margin-top:44pt;width:600pt;height:25pt;z-index:2516469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g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WqQ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pFd6A8UrCm0AeUZJrOaLCi9fMusemMHpwE2ceHePn1ICkgudRckWzPc/7Xs8coJe&#10;Sg44bTm133bMCErkncJ2niZpimFdWKSjyRAX5tSzOfWoXX0DSEMSsgumxzvZm6WB+gkfhrm/FV1M&#10;cbw7p643b1z7BuDDwsV8HkA4kJq5pVpp3ve3J33dPDGju75zSOdX6OeSZR/ar8V6uRTMdw7KKvSm&#10;J7pltRsUHOYgSvfw+NfidB1Qb8/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czDgqgIAAGY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en-US"/>
      </w:rPr>
      <w:t xml:space="preserve">CAJ/77/3 </w:t>
    </w:r>
    <w:r w:rsidRPr="00CE5020">
      <w:rPr>
        <w:rStyle w:val="PageNumber"/>
        <w:highlight w:val="yellow"/>
        <w:u w:val="single"/>
        <w:lang w:val="en-US"/>
      </w:rPr>
      <w:t>Rev.</w:t>
    </w:r>
  </w:p>
  <w:p w:rsidR="00453694" w:rsidRPr="00D432C2" w:rsidRDefault="00453694" w:rsidP="002C31FA">
    <w:pPr>
      <w:pStyle w:val="Header"/>
      <w:rPr>
        <w:lang w:val="en-US"/>
      </w:rPr>
    </w:pPr>
  </w:p>
  <w:p w:rsidR="00453694" w:rsidRDefault="00453694" w:rsidP="002C31FA">
    <w:pPr>
      <w:jc w:val="center"/>
    </w:pPr>
    <w:r>
      <w:t xml:space="preserve">ANNEX I, </w:t>
    </w:r>
    <w:r w:rsidRPr="00535B8D">
      <w:t xml:space="preserve">APPENDIX </w:t>
    </w:r>
    <w:r>
      <w:t>I</w:t>
    </w:r>
    <w:r w:rsidRPr="00535B8D">
      <w:t>I</w:t>
    </w:r>
  </w:p>
  <w:p w:rsidR="00453694" w:rsidRPr="00D432C2" w:rsidRDefault="00453694" w:rsidP="002C31FA">
    <w:pPr>
      <w:pStyle w:val="Header"/>
      <w:rPr>
        <w:lang w:val="en-US"/>
      </w:rPr>
    </w:pPr>
  </w:p>
  <w:p w:rsidR="00453694" w:rsidRPr="001E0D06" w:rsidRDefault="00453694" w:rsidP="002C31FA">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noProof/>
        <w:lang w:val="en-US"/>
      </w:rPr>
      <mc:AlternateContent>
        <mc:Choice Requires="wps">
          <w:drawing>
            <wp:anchor distT="558800" distB="0" distL="114300" distR="114300" simplePos="0" relativeHeight="251657216" behindDoc="0" locked="0" layoutInCell="0" allowOverlap="1" wp14:anchorId="7EA831FF" wp14:editId="15930E55">
              <wp:simplePos x="0" y="0"/>
              <wp:positionH relativeFrom="margin">
                <wp:align>center</wp:align>
              </wp:positionH>
              <wp:positionV relativeFrom="bottomMargin">
                <wp:posOffset>558800</wp:posOffset>
              </wp:positionV>
              <wp:extent cx="7620000" cy="317500"/>
              <wp:effectExtent l="0" t="0" r="0" b="6350"/>
              <wp:wrapNone/>
              <wp:docPr id="26"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A831FF" id="_x0000_t202" coordsize="21600,21600" o:spt="202" path="m,l,21600r21600,l21600,xe">
              <v:stroke joinstyle="miter"/>
              <v:path gradientshapeok="t" o:connecttype="rect"/>
            </v:shapetype>
            <v:shape id="TITUSE5footer" o:spid="_x0000_s1038" type="#_x0000_t202" style="position:absolute;left:0;text-align:left;margin-left:0;margin-top:44pt;width:600pt;height:25pt;z-index:2516572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6j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OKVGsRo3WN+uH1ZdR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hr/QGilcU2gDyjJJYzRcVXr5k1t0zg9OBmzjx7g4/pQQkFzqLki2Y73/a93jk&#10;BL2U7HHacmq/7ZgRlMgbhe08TdIUw7qwSEeTIS7MsWdz7FG7+gqQhiRkF0yPd7I3SwP1Iz4Mc38r&#10;upjieHdOXW9eufYNwIeFi/k8gHAgNXNLtdK8729P+rp5ZEZ3feeQzlvo55JlH9qvxXq5FMx3Dsoq&#10;9KYnumW1GxQc5iBK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I55nqO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453694" w:rsidRPr="002B7111" w:rsidRDefault="00453694" w:rsidP="002C31FA">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 xml:space="preserve">CAJ/77/3 </w:t>
    </w:r>
    <w:proofErr w:type="spellStart"/>
    <w:r w:rsidRPr="00453694">
      <w:rPr>
        <w:rStyle w:val="PageNumber"/>
        <w:highlight w:val="yellow"/>
        <w:u w:val="single"/>
        <w:lang w:val="fr-CH"/>
      </w:rPr>
      <w:t>Rev</w:t>
    </w:r>
    <w:proofErr w:type="spellEnd"/>
    <w:r w:rsidRPr="00453694">
      <w:rPr>
        <w:rStyle w:val="PageNumber"/>
        <w:highlight w:val="yellow"/>
        <w:u w:val="single"/>
        <w:lang w:val="fr-CH"/>
      </w:rPr>
      <w:t>.</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CE5020">
      <w:rPr>
        <w:highlight w:val="yellow"/>
        <w:u w:val="single"/>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800945">
      <w:rPr>
        <w:rStyle w:val="PageNumber"/>
        <w:noProof/>
        <w:lang w:val="fr-CH"/>
      </w:rPr>
      <w:t>2</w:t>
    </w:r>
    <w:r w:rsidRPr="00C5280D">
      <w:rPr>
        <w:rStyle w:val="PageNumber"/>
      </w:rPr>
      <w:fldChar w:fldCharType="end"/>
    </w:r>
  </w:p>
  <w:p w:rsidR="00453694" w:rsidRPr="002B7111" w:rsidRDefault="00453694" w:rsidP="006655D3">
    <w:pP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lang w:val="en-US"/>
      </w:rPr>
    </w:pPr>
    <w:r>
      <w:rPr>
        <w:lang w:val="en-US"/>
      </w:rPr>
      <w:t xml:space="preserve">CAJ/77/3 </w:t>
    </w:r>
    <w:r w:rsidRPr="00CE5020">
      <w:rPr>
        <w:rStyle w:val="PageNumber"/>
        <w:highlight w:val="yellow"/>
        <w:u w:val="single"/>
        <w:lang w:val="en-US"/>
      </w:rPr>
      <w:t>Rev.</w:t>
    </w:r>
  </w:p>
  <w:p w:rsidR="00453694" w:rsidRPr="00D432C2" w:rsidRDefault="00453694" w:rsidP="002C31FA">
    <w:pPr>
      <w:pStyle w:val="Header"/>
      <w:rPr>
        <w:lang w:val="en-US"/>
      </w:rPr>
    </w:pPr>
  </w:p>
  <w:p w:rsidR="00453694" w:rsidRDefault="00453694" w:rsidP="002C31FA">
    <w:pPr>
      <w:jc w:val="center"/>
    </w:pPr>
    <w:r>
      <w:t xml:space="preserve">ANNEX I, </w:t>
    </w:r>
    <w:r w:rsidRPr="00535B8D">
      <w:t xml:space="preserve">APPENDIX </w:t>
    </w:r>
    <w:r>
      <w:t>II</w:t>
    </w:r>
    <w:r w:rsidRPr="00535B8D">
      <w:t>I</w:t>
    </w:r>
  </w:p>
  <w:p w:rsidR="00453694" w:rsidRPr="00D432C2" w:rsidRDefault="00453694" w:rsidP="002C31FA">
    <w:pPr>
      <w:pStyle w:val="Header"/>
      <w:rPr>
        <w:lang w:val="en-US"/>
      </w:rPr>
    </w:pPr>
  </w:p>
  <w:p w:rsidR="00453694" w:rsidRPr="001E0D06" w:rsidRDefault="00453694" w:rsidP="002C31FA">
    <w:pPr>
      <w:pStyle w:val="Heade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453694" w:rsidRPr="002B7111" w:rsidRDefault="00453694" w:rsidP="002C31FA">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453694" w:rsidRPr="002B7111" w:rsidRDefault="00453694" w:rsidP="006655D3">
    <w:pP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lang w:val="en-US"/>
      </w:rPr>
    </w:pPr>
    <w:r>
      <w:rPr>
        <w:noProof/>
        <w:lang w:val="en-US"/>
      </w:rPr>
      <mc:AlternateContent>
        <mc:Choice Requires="wps">
          <w:drawing>
            <wp:anchor distT="558800" distB="0" distL="114300" distR="114300" simplePos="0" relativeHeight="251659264" behindDoc="0" locked="0" layoutInCell="0" allowOverlap="1" wp14:anchorId="203C9504" wp14:editId="4F2D6C5B">
              <wp:simplePos x="0" y="0"/>
              <wp:positionH relativeFrom="margin">
                <wp:align>center</wp:align>
              </wp:positionH>
              <wp:positionV relativeFrom="bottomMargin">
                <wp:posOffset>558800</wp:posOffset>
              </wp:positionV>
              <wp:extent cx="7620000" cy="317500"/>
              <wp:effectExtent l="0" t="0" r="0" b="6350"/>
              <wp:wrapNone/>
              <wp:docPr id="2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3C9504" id="_x0000_t202" coordsize="21600,21600" o:spt="202" path="m,l,21600r21600,l21600,xe">
              <v:stroke joinstyle="miter"/>
              <v:path gradientshapeok="t" o:connecttype="rect"/>
            </v:shapetype>
            <v:shape id="TITUSF6footer" o:spid="_x0000_s1043"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O3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cUKJYjRqt79aPq8W4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fzLpld5A8YpCG0CeURKr+aLCy5fMugdmcDpwEyfe3eOnlIDkQmdRsgXz/U/7Ho+c&#10;oJeSA05bTu23HTOCEnmnsJ2nSZpiWBcW6WgyxIU59WxOPWpX3wDSkITsgunxTvZmaaB+wodh7m9F&#10;F1Mc786p680b174B+LBwMZ8HEA6kZm6pVpr3/e1JXzdPzOiu7xzS+RX6uWTZh/ZrsV4uBfOdg7IK&#10;vemJblntBgWHOYjSPTz+tThdB9Tb8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e66zt6sCAABmBQAADgAAAAAAAAAAAAAA&#10;AAAuAgAAZHJzL2Uyb0RvYy54bWxQSwECLQAUAAYACAAAACEAzfLzKNoAAAAIAQAADwAAAAAAAAAA&#10;AAAAAAAFBQAAZHJzL2Rvd25yZXYueG1sUEsFBgAAAAAEAAQA8wAAAAwGA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en-US"/>
      </w:rPr>
      <w:t xml:space="preserve">CAJ/77/3 </w:t>
    </w:r>
    <w:r w:rsidRPr="00CE5020">
      <w:rPr>
        <w:rStyle w:val="PageNumber"/>
        <w:highlight w:val="yellow"/>
        <w:u w:val="single"/>
        <w:lang w:val="en-US"/>
      </w:rPr>
      <w:t>Rev.</w:t>
    </w:r>
  </w:p>
  <w:p w:rsidR="00453694" w:rsidRPr="00D432C2" w:rsidRDefault="00453694" w:rsidP="002C31FA">
    <w:pPr>
      <w:pStyle w:val="Header"/>
      <w:rPr>
        <w:lang w:val="en-US"/>
      </w:rPr>
    </w:pPr>
  </w:p>
  <w:p w:rsidR="00453694" w:rsidRDefault="00453694" w:rsidP="002C31FA">
    <w:pPr>
      <w:jc w:val="center"/>
    </w:pPr>
    <w:r>
      <w:t xml:space="preserve">ANNEX I, </w:t>
    </w:r>
    <w:r w:rsidRPr="00535B8D">
      <w:t xml:space="preserve">APPENDIX </w:t>
    </w:r>
    <w:r>
      <w:t>IV</w:t>
    </w:r>
  </w:p>
  <w:p w:rsidR="00453694" w:rsidRPr="00D432C2" w:rsidRDefault="00453694" w:rsidP="002C31FA">
    <w:pPr>
      <w:pStyle w:val="Header"/>
      <w:rPr>
        <w:lang w:val="en-US"/>
      </w:rPr>
    </w:pPr>
  </w:p>
  <w:p w:rsidR="00453694" w:rsidRPr="001E0D06" w:rsidRDefault="00453694" w:rsidP="002C31FA">
    <w:pPr>
      <w:pStyle w:val="Heade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453694" w:rsidRPr="002B7111" w:rsidRDefault="00453694" w:rsidP="002C31FA">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5280D" w:rsidRDefault="00453694" w:rsidP="00EB048E">
    <w:pPr>
      <w:pStyle w:val="Header"/>
      <w:rPr>
        <w:rStyle w:val="PageNumber"/>
        <w:lang w:val="en-US"/>
      </w:rPr>
    </w:pPr>
    <w:r>
      <w:rPr>
        <w:noProof/>
        <w:lang w:val="en-US"/>
      </w:rPr>
      <mc:AlternateContent>
        <mc:Choice Requires="wps">
          <w:drawing>
            <wp:anchor distT="558800" distB="0" distL="114300" distR="114300" simplePos="0" relativeHeight="251631616" behindDoc="0" locked="0" layoutInCell="0" allowOverlap="1" wp14:anchorId="16FF1DB9" wp14:editId="5423FB4D">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FF1DB9"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316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rStyle w:val="PageNumber"/>
        <w:lang w:val="en-US"/>
      </w:rPr>
      <w:t xml:space="preserve">CAJ/77/3 </w:t>
    </w:r>
    <w:r w:rsidRPr="00CE5020">
      <w:rPr>
        <w:rStyle w:val="PageNumber"/>
        <w:highlight w:val="yellow"/>
        <w:u w:val="single"/>
        <w:lang w:val="en-US"/>
      </w:rPr>
      <w:t>Rev.</w:t>
    </w:r>
  </w:p>
  <w:p w:rsidR="00453694" w:rsidRPr="00C5280D" w:rsidRDefault="0045369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00945">
      <w:rPr>
        <w:rStyle w:val="PageNumber"/>
        <w:noProof/>
        <w:lang w:val="en-US"/>
      </w:rPr>
      <w:t>11</w:t>
    </w:r>
    <w:r w:rsidRPr="00C5280D">
      <w:rPr>
        <w:rStyle w:val="PageNumber"/>
        <w:lang w:val="en-US"/>
      </w:rPr>
      <w:fldChar w:fldCharType="end"/>
    </w:r>
  </w:p>
  <w:p w:rsidR="00453694" w:rsidRPr="00C5280D" w:rsidRDefault="00453694"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453694" w:rsidRPr="002B7111" w:rsidRDefault="00453694" w:rsidP="006655D3">
    <w:pP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lang w:val="en-US"/>
      </w:rPr>
    </w:pPr>
    <w:r>
      <w:rPr>
        <w:noProof/>
        <w:lang w:val="en-US"/>
      </w:rPr>
      <mc:AlternateContent>
        <mc:Choice Requires="wps">
          <w:drawing>
            <wp:anchor distT="558800" distB="0" distL="114300" distR="114300" simplePos="0" relativeHeight="251665408" behindDoc="0" locked="0" layoutInCell="0" allowOverlap="1" wp14:anchorId="3C86054E" wp14:editId="7C86613E">
              <wp:simplePos x="0" y="0"/>
              <wp:positionH relativeFrom="margin">
                <wp:align>center</wp:align>
              </wp:positionH>
              <wp:positionV relativeFrom="bottomMargin">
                <wp:posOffset>558800</wp:posOffset>
              </wp:positionV>
              <wp:extent cx="7620000" cy="317500"/>
              <wp:effectExtent l="0" t="0" r="0" b="6350"/>
              <wp:wrapNone/>
              <wp:docPr id="30"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86054E" id="_x0000_t202" coordsize="21600,21600" o:spt="202" path="m,l,21600r21600,l21600,xe">
              <v:stroke joinstyle="miter"/>
              <v:path gradientshapeok="t" o:connecttype="rect"/>
            </v:shapetype>
            <v:shape id="TITUSF7footer" o:spid="_x0000_s1046"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xs0z4qgIAAGY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en-US"/>
      </w:rPr>
      <w:t xml:space="preserve">CAJ/77/3 </w:t>
    </w:r>
    <w:r w:rsidRPr="00CE5020">
      <w:rPr>
        <w:rStyle w:val="PageNumber"/>
        <w:highlight w:val="yellow"/>
        <w:u w:val="single"/>
        <w:lang w:val="en-US"/>
      </w:rPr>
      <w:t>Rev.</w:t>
    </w:r>
  </w:p>
  <w:p w:rsidR="00453694" w:rsidRPr="00D432C2" w:rsidRDefault="00453694" w:rsidP="002C31FA">
    <w:pPr>
      <w:pStyle w:val="Header"/>
      <w:rPr>
        <w:lang w:val="en-US"/>
      </w:rPr>
    </w:pPr>
  </w:p>
  <w:p w:rsidR="00453694" w:rsidRDefault="00453694" w:rsidP="002C31FA">
    <w:pPr>
      <w:jc w:val="center"/>
    </w:pPr>
    <w:r>
      <w:t xml:space="preserve">ANNEX I, </w:t>
    </w:r>
    <w:r w:rsidRPr="00535B8D">
      <w:t xml:space="preserve">APPENDIX </w:t>
    </w:r>
    <w:r>
      <w:t>V</w:t>
    </w:r>
  </w:p>
  <w:p w:rsidR="00453694" w:rsidRPr="00D432C2" w:rsidRDefault="00453694" w:rsidP="002C31FA">
    <w:pPr>
      <w:pStyle w:val="Header"/>
      <w:rPr>
        <w:lang w:val="en-US"/>
      </w:rPr>
    </w:pPr>
  </w:p>
  <w:p w:rsidR="00453694" w:rsidRPr="001E0D06" w:rsidRDefault="00453694" w:rsidP="002C31FA">
    <w:pPr>
      <w:pStyle w:val="Header"/>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noProof/>
      </w:rPr>
      <mc:AlternateContent>
        <mc:Choice Requires="wps">
          <w:drawing>
            <wp:anchor distT="558800" distB="0" distL="114300" distR="114300" simplePos="0" relativeHeight="251675648" behindDoc="0" locked="0" layoutInCell="0" allowOverlap="1" wp14:anchorId="4A4D748B" wp14:editId="187CDD6D">
              <wp:simplePos x="0" y="0"/>
              <wp:positionH relativeFrom="margin">
                <wp:align>center</wp:align>
              </wp:positionH>
              <wp:positionV relativeFrom="bottomMargin">
                <wp:posOffset>558800</wp:posOffset>
              </wp:positionV>
              <wp:extent cx="7620000" cy="317500"/>
              <wp:effectExtent l="0" t="0" r="0" b="6350"/>
              <wp:wrapNone/>
              <wp:docPr id="35"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D748B" id="_x0000_t202" coordsize="21600,21600" o:spt="202" path="m,l,21600r21600,l21600,xe">
              <v:stroke joinstyle="miter"/>
              <v:path gradientshapeok="t" o:connecttype="rect"/>
            </v:shapetype>
            <v:shape id="TITUSE8footer" o:spid="_x0000_s1047"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Wz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UTpbO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453694" w:rsidRPr="00E320FB" w:rsidRDefault="00453694" w:rsidP="002C31FA">
    <w:pPr>
      <w:pStyle w:val="Header"/>
      <w:rPr>
        <w:lang w:val="en-US"/>
      </w:rPr>
    </w:pPr>
    <w:r w:rsidRPr="00E320FB">
      <w:rPr>
        <w:lang w:val="en-US"/>
      </w:rPr>
      <w:t>Annex I</w:t>
    </w:r>
    <w:r>
      <w:rPr>
        <w:lang w:val="en-US"/>
      </w:rPr>
      <w:t xml:space="preserve">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rsidR="00453694" w:rsidRPr="00E320FB" w:rsidRDefault="00453694" w:rsidP="002C31FA"/>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E5020" w:rsidRDefault="00453694" w:rsidP="002C31FA">
    <w:pPr>
      <w:jc w:val="center"/>
      <w:rPr>
        <w:lang w:val="fr-CH"/>
      </w:rPr>
    </w:pPr>
    <w:r>
      <w:rPr>
        <w:noProof/>
      </w:rPr>
      <mc:AlternateContent>
        <mc:Choice Requires="wps">
          <w:drawing>
            <wp:anchor distT="558800" distB="0" distL="114300" distR="114300" simplePos="0" relativeHeight="251673600" behindDoc="0" locked="0" layoutInCell="0" allowOverlap="1" wp14:anchorId="09476BC7" wp14:editId="13FE6838">
              <wp:simplePos x="0" y="0"/>
              <wp:positionH relativeFrom="margin">
                <wp:align>center</wp:align>
              </wp:positionH>
              <wp:positionV relativeFrom="bottomMargin">
                <wp:posOffset>558800</wp:posOffset>
              </wp:positionV>
              <wp:extent cx="7620000" cy="317500"/>
              <wp:effectExtent l="0" t="0" r="0" b="6350"/>
              <wp:wrapNone/>
              <wp:docPr id="34" name="TITUSO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476BC7" id="_x0000_t202" coordsize="21600,21600" o:spt="202" path="m,l,21600r21600,l21600,xe">
              <v:stroke joinstyle="miter"/>
              <v:path gradientshapeok="t" o:connecttype="rect"/>
            </v:shapetype>
            <v:shape id="TITUSO8footer" o:spid="_x0000_s1048"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u2qwIAAGY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SMKrtqsCAABmBQAADgAAAAAAAAAAAAAA&#10;AAAuAgAAZHJzL2Uyb0RvYy54bWxQSwECLQAUAAYACAAAACEAzfLzKNoAAAAIAQAADwAAAAAAAAAA&#10;AAAAAAAFBQAAZHJzL2Rvd25yZXYueG1sUEsFBgAAAAAEAAQA8wAAAAwGA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sidRPr="00CE5020">
      <w:rPr>
        <w:lang w:val="fr-CH"/>
      </w:rPr>
      <w:t>CAJ/77/3</w:t>
    </w:r>
    <w:r>
      <w:rPr>
        <w:lang w:val="fr-CH"/>
      </w:rPr>
      <w:t xml:space="preserve"> </w:t>
    </w:r>
    <w:proofErr w:type="spellStart"/>
    <w:r w:rsidRPr="00453694">
      <w:rPr>
        <w:rStyle w:val="PageNumber"/>
        <w:highlight w:val="yellow"/>
        <w:u w:val="single"/>
        <w:lang w:val="fr-CH"/>
      </w:rPr>
      <w:t>Rev</w:t>
    </w:r>
    <w:proofErr w:type="spellEnd"/>
    <w:r w:rsidRPr="00453694">
      <w:rPr>
        <w:rStyle w:val="PageNumber"/>
        <w:highlight w:val="yellow"/>
        <w:u w:val="single"/>
        <w:lang w:val="fr-CH"/>
      </w:rPr>
      <w:t>.</w:t>
    </w:r>
  </w:p>
  <w:p w:rsidR="00453694" w:rsidRPr="00453694" w:rsidRDefault="00453694" w:rsidP="00EB048E">
    <w:pPr>
      <w:pStyle w:val="Header"/>
      <w:rPr>
        <w:lang w:val="fr-CH"/>
      </w:rPr>
    </w:pPr>
    <w:proofErr w:type="spellStart"/>
    <w:r w:rsidRPr="00453694">
      <w:rPr>
        <w:lang w:val="fr-CH"/>
      </w:rPr>
      <w:t>Annex</w:t>
    </w:r>
    <w:proofErr w:type="spellEnd"/>
    <w:r w:rsidRPr="00453694">
      <w:rPr>
        <w:lang w:val="fr-CH"/>
      </w:rPr>
      <w:t xml:space="preserve"> II, page </w:t>
    </w:r>
    <w:r w:rsidRPr="00E320FB">
      <w:rPr>
        <w:rStyle w:val="PageNumber"/>
        <w:lang w:val="en-US"/>
      </w:rPr>
      <w:fldChar w:fldCharType="begin"/>
    </w:r>
    <w:r w:rsidRPr="00453694">
      <w:rPr>
        <w:rStyle w:val="PageNumber"/>
        <w:lang w:val="fr-CH"/>
      </w:rPr>
      <w:instrText xml:space="preserve"> PAGE </w:instrText>
    </w:r>
    <w:r w:rsidRPr="00E320FB">
      <w:rPr>
        <w:rStyle w:val="PageNumber"/>
        <w:lang w:val="en-US"/>
      </w:rPr>
      <w:fldChar w:fldCharType="separate"/>
    </w:r>
    <w:r w:rsidR="00800945">
      <w:rPr>
        <w:rStyle w:val="PageNumber"/>
        <w:noProof/>
        <w:lang w:val="fr-CH"/>
      </w:rPr>
      <w:t>3</w:t>
    </w:r>
    <w:r w:rsidRPr="00E320FB">
      <w:rPr>
        <w:rStyle w:val="PageNumber"/>
        <w:lang w:val="en-US"/>
      </w:rPr>
      <w:fldChar w:fldCharType="end"/>
    </w:r>
  </w:p>
  <w:p w:rsidR="00453694" w:rsidRPr="00453694" w:rsidRDefault="00453694" w:rsidP="006655D3">
    <w:pPr>
      <w:rPr>
        <w:lang w:val="fr-CH"/>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lang w:val="pt-PT"/>
      </w:rPr>
      <w:t xml:space="preserve">CAJ/77/3 </w:t>
    </w:r>
    <w:r w:rsidRPr="00CE5020">
      <w:rPr>
        <w:rStyle w:val="PageNumber"/>
        <w:highlight w:val="yellow"/>
        <w:u w:val="single"/>
      </w:rPr>
      <w:t>Rev.</w:t>
    </w:r>
  </w:p>
  <w:p w:rsidR="00453694" w:rsidRDefault="00453694" w:rsidP="002C31FA">
    <w:pPr>
      <w:jc w:val="center"/>
      <w:rPr>
        <w:lang w:val="pt-PT"/>
      </w:rPr>
    </w:pPr>
  </w:p>
  <w:p w:rsidR="00453694" w:rsidRPr="003757EE" w:rsidRDefault="00453694" w:rsidP="002C31FA">
    <w:pPr>
      <w:jc w:val="center"/>
      <w:rPr>
        <w:lang w:val="pt-PT"/>
      </w:rPr>
    </w:pPr>
    <w:r w:rsidRPr="00860BA9">
      <w:rPr>
        <w:lang w:val="pt-PT"/>
      </w:rPr>
      <w:t>ANNEX II</w:t>
    </w:r>
  </w:p>
  <w:p w:rsidR="00453694" w:rsidRDefault="00453694" w:rsidP="002C31FA">
    <w:pPr>
      <w:jc w:val="center"/>
      <w:rPr>
        <w:lang w:val="pt-PT"/>
      </w:rPr>
    </w:pPr>
  </w:p>
  <w:p w:rsidR="00453694" w:rsidRPr="003757EE" w:rsidRDefault="00453694" w:rsidP="002C31FA">
    <w:pPr>
      <w:jc w:val="center"/>
      <w:rPr>
        <w:lang w:val="pt-PT"/>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noProof/>
      </w:rPr>
      <mc:AlternateContent>
        <mc:Choice Requires="wps">
          <w:drawing>
            <wp:anchor distT="558800" distB="0" distL="114300" distR="114300" simplePos="0" relativeHeight="251681792" behindDoc="0" locked="0" layoutInCell="0" allowOverlap="1" wp14:anchorId="5AF484C6" wp14:editId="71968980">
              <wp:simplePos x="0" y="0"/>
              <wp:positionH relativeFrom="margin">
                <wp:align>center</wp:align>
              </wp:positionH>
              <wp:positionV relativeFrom="bottomMargin">
                <wp:posOffset>558800</wp:posOffset>
              </wp:positionV>
              <wp:extent cx="7620000" cy="317500"/>
              <wp:effectExtent l="0" t="0" r="0" b="6350"/>
              <wp:wrapNone/>
              <wp:docPr id="38"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484C6" id="_x0000_t202" coordsize="21600,21600" o:spt="202" path="m,l,21600r21600,l21600,xe">
              <v:stroke joinstyle="miter"/>
              <v:path gradientshapeok="t" o:connecttype="rect"/>
            </v:shapetype>
            <v:shape id="TITUSE9footer" o:spid="_x0000_s1050" type="#_x0000_t202" style="position:absolute;left:0;text-align:left;margin-left:0;margin-top:44pt;width:600pt;height:25pt;z-index:2516817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RP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gPtE+sAgAAZgUAAA4AAAAAAAAAAAAA&#10;AAAALgIAAGRycy9lMm9Eb2MueG1sUEsBAi0AFAAGAAgAAAAhAM3y8yjaAAAACAEAAA8AAAAAAAAA&#10;AAAAAAAABgUAAGRycy9kb3ducmV2LnhtbFBLBQYAAAAABAAEAPMAAAANBg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453694" w:rsidRPr="00E320FB" w:rsidRDefault="00453694" w:rsidP="002C31FA">
    <w:pPr>
      <w:pStyle w:val="Header"/>
      <w:rPr>
        <w:lang w:val="en-US"/>
      </w:rPr>
    </w:pPr>
    <w:r w:rsidRPr="00E320FB">
      <w:rPr>
        <w:lang w:val="en-US"/>
      </w:rPr>
      <w:t xml:space="preserve">Annex </w:t>
    </w:r>
    <w:r>
      <w:rPr>
        <w:lang w:val="en-US"/>
      </w:rPr>
      <w:t>I</w:t>
    </w:r>
    <w:r w:rsidRPr="00E320FB">
      <w:rPr>
        <w:lang w:val="en-US"/>
      </w:rPr>
      <w:t>I</w:t>
    </w:r>
    <w:r>
      <w:rPr>
        <w:lang w:val="en-US"/>
      </w:rPr>
      <w:t xml:space="preserve">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4</w:t>
    </w:r>
    <w:r w:rsidRPr="00E320FB">
      <w:rPr>
        <w:rStyle w:val="PageNumber"/>
        <w:lang w:val="en-US"/>
      </w:rPr>
      <w:fldChar w:fldCharType="end"/>
    </w:r>
  </w:p>
  <w:p w:rsidR="00453694" w:rsidRPr="00E320FB" w:rsidRDefault="00453694" w:rsidP="002C31FA"/>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E5020" w:rsidRDefault="00453694" w:rsidP="002C31FA">
    <w:pPr>
      <w:jc w:val="center"/>
      <w:rPr>
        <w:lang w:val="fr-CH"/>
      </w:rPr>
    </w:pPr>
    <w:r w:rsidRPr="00CE5020">
      <w:rPr>
        <w:lang w:val="fr-CH"/>
      </w:rPr>
      <w:t>CAJ/77/3</w:t>
    </w:r>
    <w:r>
      <w:rPr>
        <w:lang w:val="fr-CH"/>
      </w:rPr>
      <w:t xml:space="preserve"> </w:t>
    </w:r>
    <w:proofErr w:type="spellStart"/>
    <w:r w:rsidRPr="00453694">
      <w:rPr>
        <w:rStyle w:val="PageNumber"/>
        <w:highlight w:val="yellow"/>
        <w:u w:val="single"/>
        <w:lang w:val="fr-CH"/>
      </w:rPr>
      <w:t>Rev</w:t>
    </w:r>
    <w:proofErr w:type="spellEnd"/>
    <w:r w:rsidRPr="00453694">
      <w:rPr>
        <w:rStyle w:val="PageNumber"/>
        <w:highlight w:val="yellow"/>
        <w:u w:val="single"/>
        <w:lang w:val="fr-CH"/>
      </w:rPr>
      <w:t>.</w:t>
    </w:r>
  </w:p>
  <w:p w:rsidR="00453694" w:rsidRPr="00453694" w:rsidRDefault="00453694" w:rsidP="00EB048E">
    <w:pPr>
      <w:pStyle w:val="Header"/>
      <w:rPr>
        <w:lang w:val="fr-CH"/>
      </w:rPr>
    </w:pPr>
    <w:proofErr w:type="spellStart"/>
    <w:r w:rsidRPr="00453694">
      <w:rPr>
        <w:lang w:val="fr-CH"/>
      </w:rPr>
      <w:t>Annex</w:t>
    </w:r>
    <w:proofErr w:type="spellEnd"/>
    <w:r w:rsidRPr="00453694">
      <w:rPr>
        <w:lang w:val="fr-CH"/>
      </w:rPr>
      <w:t xml:space="preserve"> III, page </w:t>
    </w:r>
    <w:r w:rsidRPr="00E320FB">
      <w:rPr>
        <w:rStyle w:val="PageNumber"/>
        <w:lang w:val="en-US"/>
      </w:rPr>
      <w:fldChar w:fldCharType="begin"/>
    </w:r>
    <w:r w:rsidRPr="00453694">
      <w:rPr>
        <w:rStyle w:val="PageNumber"/>
        <w:lang w:val="fr-CH"/>
      </w:rPr>
      <w:instrText xml:space="preserve"> PAGE </w:instrText>
    </w:r>
    <w:r w:rsidRPr="00E320FB">
      <w:rPr>
        <w:rStyle w:val="PageNumber"/>
        <w:lang w:val="en-US"/>
      </w:rPr>
      <w:fldChar w:fldCharType="separate"/>
    </w:r>
    <w:r w:rsidR="00800945">
      <w:rPr>
        <w:rStyle w:val="PageNumber"/>
        <w:noProof/>
        <w:lang w:val="fr-CH"/>
      </w:rPr>
      <w:t>4</w:t>
    </w:r>
    <w:r w:rsidRPr="00E320FB">
      <w:rPr>
        <w:rStyle w:val="PageNumber"/>
        <w:lang w:val="en-US"/>
      </w:rPr>
      <w:fldChar w:fldCharType="end"/>
    </w:r>
  </w:p>
  <w:p w:rsidR="00453694" w:rsidRPr="00453694" w:rsidRDefault="00453694" w:rsidP="006655D3">
    <w:pPr>
      <w:rPr>
        <w:lang w:val="fr-CH"/>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lang w:val="pt-PT"/>
      </w:rPr>
      <w:t>CAJ/77/3</w:t>
    </w:r>
    <w:r w:rsidRPr="00CE5020">
      <w:rPr>
        <w:rStyle w:val="PageNumber"/>
      </w:rPr>
      <w:t xml:space="preserve"> </w:t>
    </w:r>
    <w:r w:rsidRPr="00CE5020">
      <w:rPr>
        <w:rStyle w:val="PageNumber"/>
        <w:highlight w:val="yellow"/>
        <w:u w:val="single"/>
      </w:rPr>
      <w:t>Rev.</w:t>
    </w:r>
  </w:p>
  <w:p w:rsidR="00453694" w:rsidRDefault="00453694" w:rsidP="002C31FA">
    <w:pPr>
      <w:jc w:val="center"/>
      <w:rPr>
        <w:lang w:val="pt-PT"/>
      </w:rPr>
    </w:pPr>
  </w:p>
  <w:p w:rsidR="00453694" w:rsidRPr="003757EE" w:rsidRDefault="00453694" w:rsidP="002C31FA">
    <w:pPr>
      <w:jc w:val="center"/>
      <w:rPr>
        <w:lang w:val="pt-PT"/>
      </w:rPr>
    </w:pPr>
    <w:r w:rsidRPr="00860BA9">
      <w:rPr>
        <w:lang w:val="pt-PT"/>
      </w:rPr>
      <w:t>ANNEX III</w:t>
    </w:r>
  </w:p>
  <w:p w:rsidR="00453694" w:rsidRDefault="00453694" w:rsidP="002C31FA">
    <w:pPr>
      <w:jc w:val="center"/>
      <w:rPr>
        <w:lang w:val="pt-PT"/>
      </w:rPr>
    </w:pPr>
  </w:p>
  <w:p w:rsidR="00453694" w:rsidRPr="003757EE" w:rsidRDefault="00453694" w:rsidP="002C31FA">
    <w:pPr>
      <w:jc w:val="center"/>
      <w:rPr>
        <w:lang w:val="pt-PT"/>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noProof/>
      </w:rPr>
      <mc:AlternateContent>
        <mc:Choice Requires="wps">
          <w:drawing>
            <wp:anchor distT="558800" distB="0" distL="114300" distR="114300" simplePos="0" relativeHeight="251683840" behindDoc="0" locked="0" layoutInCell="0" allowOverlap="1" wp14:anchorId="33E03ED0" wp14:editId="3CD67CCB">
              <wp:simplePos x="0" y="0"/>
              <wp:positionH relativeFrom="margin">
                <wp:align>center</wp:align>
              </wp:positionH>
              <wp:positionV relativeFrom="bottomMargin">
                <wp:posOffset>558800</wp:posOffset>
              </wp:positionV>
              <wp:extent cx="7620000" cy="317500"/>
              <wp:effectExtent l="0" t="0" r="0" b="6350"/>
              <wp:wrapNone/>
              <wp:docPr id="41"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E03ED0" id="_x0000_t202" coordsize="21600,21600" o:spt="202" path="m,l,21600r21600,l21600,xe">
              <v:stroke joinstyle="miter"/>
              <v:path gradientshapeok="t" o:connecttype="rect"/>
            </v:shapetype>
            <v:shape id="TITUSE10footer" o:spid="_x0000_s1053" type="#_x0000_t202" style="position:absolute;left:0;text-align:left;margin-left:0;margin-top:44pt;width:600pt;height:25pt;z-index:2516838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rirQ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BsTXrirQIAAGcFAAAOAAAAAAAAAAAA&#10;AAAAAC4CAABkcnMvZTJvRG9jLnhtbFBLAQItABQABgAIAAAAIQDN8vMo2gAAAAgBAAAPAAAAAAAA&#10;AAAAAAAAAAcFAABkcnMvZG93bnJldi54bWxQSwUGAAAAAAQABADzAAAADg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453694" w:rsidRPr="00E320FB" w:rsidRDefault="00453694" w:rsidP="002C31FA">
    <w:pPr>
      <w:pStyle w:val="Header"/>
      <w:rPr>
        <w:lang w:val="en-US"/>
      </w:rPr>
    </w:pPr>
    <w:r w:rsidRPr="00E320FB">
      <w:rPr>
        <w:lang w:val="en-US"/>
      </w:rPr>
      <w:t xml:space="preserve">Annex </w:t>
    </w:r>
    <w:r>
      <w:rPr>
        <w:lang w:val="en-US"/>
      </w:rPr>
      <w:t xml:space="preserve">IV,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4</w:t>
    </w:r>
    <w:r w:rsidRPr="00E320FB">
      <w:rPr>
        <w:rStyle w:val="PageNumber"/>
        <w:lang w:val="en-US"/>
      </w:rPr>
      <w:fldChar w:fldCharType="end"/>
    </w:r>
  </w:p>
  <w:p w:rsidR="00453694" w:rsidRPr="00E320FB" w:rsidRDefault="00453694" w:rsidP="002C31FA"/>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E5020" w:rsidRDefault="00453694" w:rsidP="00CE5020">
    <w:pPr>
      <w:jc w:val="center"/>
      <w:rPr>
        <w:rStyle w:val="PageNumber"/>
        <w:u w:val="single"/>
        <w:lang w:val="fr-CH"/>
      </w:rPr>
    </w:pPr>
    <w:r w:rsidRPr="00CE5020">
      <w:rPr>
        <w:lang w:val="fr-CH"/>
      </w:rPr>
      <w:t>CAJ/77/3</w:t>
    </w:r>
    <w:r>
      <w:rPr>
        <w:lang w:val="fr-CH"/>
      </w:rPr>
      <w:t xml:space="preserve"> </w:t>
    </w:r>
    <w:proofErr w:type="spellStart"/>
    <w:r w:rsidRPr="00CE5020">
      <w:rPr>
        <w:rStyle w:val="PageNumber"/>
        <w:highlight w:val="yellow"/>
        <w:u w:val="single"/>
        <w:lang w:val="fr-CH"/>
      </w:rPr>
      <w:t>Rev</w:t>
    </w:r>
    <w:proofErr w:type="spellEnd"/>
    <w:r w:rsidRPr="00CE5020">
      <w:rPr>
        <w:rStyle w:val="PageNumber"/>
        <w:highlight w:val="yellow"/>
        <w:u w:val="single"/>
        <w:lang w:val="fr-CH"/>
      </w:rPr>
      <w:t>.</w:t>
    </w:r>
  </w:p>
  <w:p w:rsidR="00453694" w:rsidRPr="00453694" w:rsidRDefault="00453694" w:rsidP="00CE5020">
    <w:pPr>
      <w:jc w:val="center"/>
      <w:rPr>
        <w:lang w:val="fr-CH"/>
      </w:rPr>
    </w:pPr>
    <w:proofErr w:type="spellStart"/>
    <w:r w:rsidRPr="00800945">
      <w:rPr>
        <w:lang w:val="fr-CH"/>
      </w:rPr>
      <w:t>Annex</w:t>
    </w:r>
    <w:proofErr w:type="spellEnd"/>
    <w:r w:rsidRPr="00800945">
      <w:rPr>
        <w:lang w:val="fr-CH"/>
      </w:rPr>
      <w:t xml:space="preserve"> IV, page </w:t>
    </w:r>
    <w:r w:rsidRPr="00E320FB">
      <w:rPr>
        <w:rStyle w:val="PageNumber"/>
      </w:rPr>
      <w:fldChar w:fldCharType="begin"/>
    </w:r>
    <w:r w:rsidRPr="00453694">
      <w:rPr>
        <w:rStyle w:val="PageNumber"/>
        <w:lang w:val="fr-CH"/>
      </w:rPr>
      <w:instrText xml:space="preserve"> PAGE </w:instrText>
    </w:r>
    <w:r w:rsidRPr="00E320FB">
      <w:rPr>
        <w:rStyle w:val="PageNumber"/>
      </w:rPr>
      <w:fldChar w:fldCharType="separate"/>
    </w:r>
    <w:r w:rsidR="00800945">
      <w:rPr>
        <w:rStyle w:val="PageNumber"/>
        <w:noProof/>
        <w:lang w:val="fr-CH"/>
      </w:rPr>
      <w:t>4</w:t>
    </w:r>
    <w:r w:rsidRPr="00E320FB">
      <w:rPr>
        <w:rStyle w:val="PageNumber"/>
      </w:rPr>
      <w:fldChar w:fldCharType="end"/>
    </w:r>
  </w:p>
  <w:p w:rsidR="00453694" w:rsidRPr="00453694" w:rsidRDefault="00453694"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pPr>
      <w:pStyle w:val="Header"/>
    </w:pPr>
    <w:r>
      <w:rPr>
        <w:noProof/>
        <w:lang w:val="en-US"/>
      </w:rPr>
      <mc:AlternateContent>
        <mc:Choice Requires="wps">
          <w:drawing>
            <wp:anchor distT="558800" distB="0" distL="114300" distR="114300" simplePos="0" relativeHeight="251630592" behindDoc="0" locked="0" layoutInCell="0" allowOverlap="1" wp14:anchorId="3D6A3F3A" wp14:editId="30086452">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6A3F3A"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305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lang w:val="pt-PT"/>
      </w:rPr>
      <w:t xml:space="preserve">CAJ/77/3 </w:t>
    </w:r>
    <w:r w:rsidRPr="00CE5020">
      <w:rPr>
        <w:rStyle w:val="PageNumber"/>
        <w:highlight w:val="yellow"/>
        <w:u w:val="single"/>
      </w:rPr>
      <w:t>Rev.</w:t>
    </w:r>
  </w:p>
  <w:p w:rsidR="00453694" w:rsidRDefault="00453694" w:rsidP="002C31FA">
    <w:pPr>
      <w:jc w:val="center"/>
      <w:rPr>
        <w:lang w:val="pt-PT"/>
      </w:rPr>
    </w:pPr>
  </w:p>
  <w:p w:rsidR="00453694" w:rsidRPr="003757EE" w:rsidRDefault="00453694" w:rsidP="002C31FA">
    <w:pPr>
      <w:jc w:val="center"/>
      <w:rPr>
        <w:lang w:val="pt-PT"/>
      </w:rPr>
    </w:pPr>
    <w:r w:rsidRPr="00860BA9">
      <w:rPr>
        <w:lang w:val="pt-PT"/>
      </w:rPr>
      <w:t>ANNEX IV</w:t>
    </w:r>
  </w:p>
  <w:p w:rsidR="00453694" w:rsidRDefault="00453694" w:rsidP="002C31FA">
    <w:pPr>
      <w:jc w:val="center"/>
      <w:rPr>
        <w:lang w:val="pt-PT"/>
      </w:rPr>
    </w:pPr>
  </w:p>
  <w:p w:rsidR="00453694" w:rsidRPr="003757EE" w:rsidRDefault="00453694" w:rsidP="002C31FA">
    <w:pPr>
      <w:jc w:val="center"/>
      <w:rPr>
        <w:lang w:val="pt-PT"/>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noProof/>
      </w:rPr>
      <mc:AlternateContent>
        <mc:Choice Requires="wps">
          <w:drawing>
            <wp:anchor distT="558800" distB="0" distL="114300" distR="114300" simplePos="0" relativeHeight="251685888" behindDoc="0" locked="0" layoutInCell="0" allowOverlap="1" wp14:anchorId="0B7E3950" wp14:editId="04696312">
              <wp:simplePos x="0" y="0"/>
              <wp:positionH relativeFrom="margin">
                <wp:align>center</wp:align>
              </wp:positionH>
              <wp:positionV relativeFrom="bottomMargin">
                <wp:posOffset>558800</wp:posOffset>
              </wp:positionV>
              <wp:extent cx="7620000" cy="317500"/>
              <wp:effectExtent l="0" t="0" r="0" b="6350"/>
              <wp:wrapNone/>
              <wp:docPr id="44"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7E3950" id="_x0000_t202" coordsize="21600,21600" o:spt="202" path="m,l,21600r21600,l21600,xe">
              <v:stroke joinstyle="miter"/>
              <v:path gradientshapeok="t" o:connecttype="rect"/>
            </v:shapetype>
            <v:shape id="TITUSE11footer" o:spid="_x0000_s1054" type="#_x0000_t202" style="position:absolute;left:0;text-align:left;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tVrQIAAGc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DR7VtVrQIAAGcFAAAOAAAAAAAAAAAA&#10;AAAAAC4CAABkcnMvZTJvRG9jLnhtbFBLAQItABQABgAIAAAAIQDN8vMo2gAAAAgBAAAPAAAAAAAA&#10;AAAAAAAAAAcFAABkcnMvZG93bnJldi54bWxQSwUGAAAAAAQABADzAAAADg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453694" w:rsidRPr="00E320FB" w:rsidRDefault="00453694" w:rsidP="002C31FA">
    <w:pPr>
      <w:pStyle w:val="Header"/>
      <w:rPr>
        <w:lang w:val="en-US"/>
      </w:rPr>
    </w:pPr>
    <w:r w:rsidRPr="00E320FB">
      <w:rPr>
        <w:lang w:val="en-US"/>
      </w:rPr>
      <w:t xml:space="preserve">Annex </w:t>
    </w:r>
    <w:r>
      <w:rPr>
        <w:lang w:val="en-US"/>
      </w:rPr>
      <w:t xml:space="preserve">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rsidR="00453694" w:rsidRPr="00E320FB" w:rsidRDefault="00453694" w:rsidP="002C31FA"/>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E5020" w:rsidRDefault="00453694" w:rsidP="002C31FA">
    <w:pPr>
      <w:jc w:val="center"/>
      <w:rPr>
        <w:lang w:val="fr-CH"/>
      </w:rPr>
    </w:pPr>
    <w:r w:rsidRPr="00CE5020">
      <w:rPr>
        <w:lang w:val="fr-CH"/>
      </w:rPr>
      <w:t>CAJ/77/3</w:t>
    </w:r>
    <w:r w:rsidRPr="00453694">
      <w:rPr>
        <w:rStyle w:val="PageNumber"/>
        <w:lang w:val="fr-CH"/>
      </w:rPr>
      <w:t xml:space="preserve"> </w:t>
    </w:r>
    <w:proofErr w:type="spellStart"/>
    <w:r w:rsidRPr="00453694">
      <w:rPr>
        <w:rStyle w:val="PageNumber"/>
        <w:highlight w:val="yellow"/>
        <w:u w:val="single"/>
        <w:lang w:val="fr-CH"/>
      </w:rPr>
      <w:t>Rev</w:t>
    </w:r>
    <w:proofErr w:type="spellEnd"/>
    <w:r w:rsidRPr="00453694">
      <w:rPr>
        <w:rStyle w:val="PageNumber"/>
        <w:highlight w:val="yellow"/>
        <w:u w:val="single"/>
        <w:lang w:val="fr-CH"/>
      </w:rPr>
      <w:t>.</w:t>
    </w:r>
  </w:p>
  <w:p w:rsidR="00453694" w:rsidRPr="00453694" w:rsidRDefault="00453694" w:rsidP="00EB048E">
    <w:pPr>
      <w:pStyle w:val="Header"/>
      <w:rPr>
        <w:lang w:val="fr-CH"/>
      </w:rPr>
    </w:pPr>
    <w:proofErr w:type="spellStart"/>
    <w:r w:rsidRPr="00453694">
      <w:rPr>
        <w:lang w:val="fr-CH"/>
      </w:rPr>
      <w:t>Annex</w:t>
    </w:r>
    <w:proofErr w:type="spellEnd"/>
    <w:r w:rsidRPr="00453694">
      <w:rPr>
        <w:lang w:val="fr-CH"/>
      </w:rPr>
      <w:t xml:space="preserve"> V, page </w:t>
    </w:r>
    <w:r w:rsidRPr="00E320FB">
      <w:rPr>
        <w:rStyle w:val="PageNumber"/>
        <w:lang w:val="en-US"/>
      </w:rPr>
      <w:fldChar w:fldCharType="begin"/>
    </w:r>
    <w:r w:rsidRPr="00453694">
      <w:rPr>
        <w:rStyle w:val="PageNumber"/>
        <w:lang w:val="fr-CH"/>
      </w:rPr>
      <w:instrText xml:space="preserve"> PAGE </w:instrText>
    </w:r>
    <w:r w:rsidRPr="00E320FB">
      <w:rPr>
        <w:rStyle w:val="PageNumber"/>
        <w:lang w:val="en-US"/>
      </w:rPr>
      <w:fldChar w:fldCharType="separate"/>
    </w:r>
    <w:r w:rsidR="00800945">
      <w:rPr>
        <w:rStyle w:val="PageNumber"/>
        <w:noProof/>
        <w:lang w:val="fr-CH"/>
      </w:rPr>
      <w:t>3</w:t>
    </w:r>
    <w:r w:rsidRPr="00E320FB">
      <w:rPr>
        <w:rStyle w:val="PageNumber"/>
        <w:lang w:val="en-US"/>
      </w:rPr>
      <w:fldChar w:fldCharType="end"/>
    </w:r>
  </w:p>
  <w:p w:rsidR="00453694" w:rsidRPr="00453694" w:rsidRDefault="00453694" w:rsidP="006655D3">
    <w:pPr>
      <w:rPr>
        <w:lang w:val="fr-CH"/>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lang w:val="pt-PT"/>
      </w:rPr>
      <w:t xml:space="preserve">CAJ/77/3 </w:t>
    </w:r>
    <w:r w:rsidRPr="00CE5020">
      <w:rPr>
        <w:rStyle w:val="PageNumber"/>
        <w:highlight w:val="yellow"/>
        <w:u w:val="single"/>
      </w:rPr>
      <w:t>Rev.</w:t>
    </w:r>
  </w:p>
  <w:p w:rsidR="00453694" w:rsidRDefault="00453694" w:rsidP="002C31FA">
    <w:pPr>
      <w:jc w:val="center"/>
      <w:rPr>
        <w:lang w:val="pt-PT"/>
      </w:rPr>
    </w:pPr>
  </w:p>
  <w:p w:rsidR="00453694" w:rsidRPr="003757EE" w:rsidRDefault="00453694" w:rsidP="002C31FA">
    <w:pPr>
      <w:jc w:val="center"/>
      <w:rPr>
        <w:lang w:val="pt-PT"/>
      </w:rPr>
    </w:pPr>
    <w:r w:rsidRPr="00860BA9">
      <w:rPr>
        <w:lang w:val="pt-PT"/>
      </w:rPr>
      <w:t>ANNEX V</w:t>
    </w:r>
  </w:p>
  <w:p w:rsidR="00453694" w:rsidRDefault="00453694" w:rsidP="002C31FA">
    <w:pPr>
      <w:jc w:val="center"/>
      <w:rPr>
        <w:lang w:val="pt-PT"/>
      </w:rPr>
    </w:pPr>
  </w:p>
  <w:p w:rsidR="00453694" w:rsidRPr="003757EE" w:rsidRDefault="00453694" w:rsidP="002C31FA">
    <w:pPr>
      <w:jc w:val="center"/>
      <w:rPr>
        <w:lang w:val="pt-PT"/>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jc w:val="center"/>
      <w:rPr>
        <w:lang w:val="pt-PT"/>
      </w:rPr>
    </w:pPr>
    <w:r>
      <w:rPr>
        <w:lang w:val="pt-PT"/>
      </w:rPr>
      <w:t>CAJ/77/3</w:t>
    </w:r>
  </w:p>
  <w:p w:rsidR="00453694" w:rsidRPr="00E320FB" w:rsidRDefault="00453694" w:rsidP="002C31FA">
    <w:pPr>
      <w:pStyle w:val="Header"/>
      <w:rPr>
        <w:lang w:val="en-US"/>
      </w:rPr>
    </w:pPr>
    <w:r w:rsidRPr="00E320FB">
      <w:rPr>
        <w:lang w:val="en-US"/>
      </w:rPr>
      <w:t xml:space="preserve">Annex </w:t>
    </w:r>
    <w:r>
      <w:rPr>
        <w:lang w:val="en-US"/>
      </w:rPr>
      <w:t xml:space="preserve">VI,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rsidR="00453694" w:rsidRPr="00E320FB" w:rsidRDefault="00453694" w:rsidP="002C31FA"/>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E5020" w:rsidRDefault="00453694" w:rsidP="002C31FA">
    <w:pPr>
      <w:jc w:val="center"/>
      <w:rPr>
        <w:lang w:val="fr-CH"/>
      </w:rPr>
    </w:pPr>
    <w:r w:rsidRPr="00CE5020">
      <w:rPr>
        <w:lang w:val="fr-CH"/>
      </w:rPr>
      <w:t>CAJ/77/3</w:t>
    </w:r>
    <w:r>
      <w:rPr>
        <w:lang w:val="fr-CH"/>
      </w:rPr>
      <w:t xml:space="preserve"> </w:t>
    </w:r>
    <w:proofErr w:type="spellStart"/>
    <w:r w:rsidRPr="00453694">
      <w:rPr>
        <w:rStyle w:val="PageNumber"/>
        <w:highlight w:val="yellow"/>
        <w:u w:val="single"/>
        <w:lang w:val="fr-CH"/>
      </w:rPr>
      <w:t>Rev</w:t>
    </w:r>
    <w:proofErr w:type="spellEnd"/>
    <w:r w:rsidRPr="00453694">
      <w:rPr>
        <w:rStyle w:val="PageNumber"/>
        <w:highlight w:val="yellow"/>
        <w:u w:val="single"/>
        <w:lang w:val="fr-CH"/>
      </w:rPr>
      <w:t>.</w:t>
    </w:r>
  </w:p>
  <w:p w:rsidR="00453694" w:rsidRPr="00453694" w:rsidRDefault="00453694" w:rsidP="00EB048E">
    <w:pPr>
      <w:pStyle w:val="Header"/>
      <w:rPr>
        <w:lang w:val="fr-CH"/>
      </w:rPr>
    </w:pPr>
    <w:proofErr w:type="spellStart"/>
    <w:r w:rsidRPr="00453694">
      <w:rPr>
        <w:lang w:val="fr-CH"/>
      </w:rPr>
      <w:t>Annex</w:t>
    </w:r>
    <w:proofErr w:type="spellEnd"/>
    <w:r w:rsidRPr="00453694">
      <w:rPr>
        <w:lang w:val="fr-CH"/>
      </w:rPr>
      <w:t xml:space="preserve"> VI, page </w:t>
    </w:r>
    <w:r w:rsidRPr="00E320FB">
      <w:rPr>
        <w:rStyle w:val="PageNumber"/>
        <w:lang w:val="en-US"/>
      </w:rPr>
      <w:fldChar w:fldCharType="begin"/>
    </w:r>
    <w:r w:rsidRPr="00453694">
      <w:rPr>
        <w:rStyle w:val="PageNumber"/>
        <w:lang w:val="fr-CH"/>
      </w:rPr>
      <w:instrText xml:space="preserve"> PAGE </w:instrText>
    </w:r>
    <w:r w:rsidRPr="00E320FB">
      <w:rPr>
        <w:rStyle w:val="PageNumber"/>
        <w:lang w:val="en-US"/>
      </w:rPr>
      <w:fldChar w:fldCharType="separate"/>
    </w:r>
    <w:r w:rsidR="00800945">
      <w:rPr>
        <w:rStyle w:val="PageNumber"/>
        <w:noProof/>
        <w:lang w:val="fr-CH"/>
      </w:rPr>
      <w:t>2</w:t>
    </w:r>
    <w:r w:rsidRPr="00E320FB">
      <w:rPr>
        <w:rStyle w:val="PageNumber"/>
        <w:lang w:val="en-US"/>
      </w:rPr>
      <w:fldChar w:fldCharType="end"/>
    </w:r>
  </w:p>
  <w:p w:rsidR="00453694" w:rsidRPr="00453694" w:rsidRDefault="00453694" w:rsidP="006655D3">
    <w:pPr>
      <w:rPr>
        <w:lang w:val="fr-CH"/>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90086" w:rsidRDefault="00453694" w:rsidP="002C31FA">
    <w:pPr>
      <w:jc w:val="center"/>
    </w:pPr>
    <w:r w:rsidRPr="00D90086">
      <w:t>CAJ/77/3</w:t>
    </w:r>
    <w:r>
      <w:t xml:space="preserve"> </w:t>
    </w:r>
    <w:r w:rsidRPr="00CE5020">
      <w:rPr>
        <w:rStyle w:val="PageNumber"/>
        <w:highlight w:val="yellow"/>
        <w:u w:val="single"/>
      </w:rPr>
      <w:t>Rev.</w:t>
    </w:r>
  </w:p>
  <w:p w:rsidR="00453694" w:rsidRPr="00D90086" w:rsidRDefault="00453694" w:rsidP="002C31FA">
    <w:pPr>
      <w:jc w:val="center"/>
    </w:pPr>
  </w:p>
  <w:p w:rsidR="00453694" w:rsidRPr="00D90086" w:rsidRDefault="00453694" w:rsidP="002C31FA">
    <w:pPr>
      <w:jc w:val="center"/>
    </w:pPr>
    <w:r w:rsidRPr="00860BA9">
      <w:t>ANNEX VI</w:t>
    </w:r>
  </w:p>
  <w:p w:rsidR="00453694" w:rsidRDefault="00453694" w:rsidP="002C31FA">
    <w:pPr>
      <w:jc w:val="center"/>
    </w:pPr>
    <w:r w:rsidRPr="00D90086">
      <w:t>OVERVIEW OF INFORMATION MATERIALS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5280D" w:rsidRDefault="00453694" w:rsidP="00EB048E">
    <w:pPr>
      <w:pStyle w:val="Header"/>
      <w:rPr>
        <w:rStyle w:val="PageNumber"/>
        <w:lang w:val="en-US"/>
      </w:rPr>
    </w:pPr>
    <w:r>
      <w:rPr>
        <w:rStyle w:val="PageNumber"/>
        <w:lang w:val="en-US"/>
      </w:rPr>
      <w:t xml:space="preserve">CAJ/77/3 </w:t>
    </w:r>
    <w:r w:rsidRPr="00CE5020">
      <w:rPr>
        <w:rStyle w:val="PageNumber"/>
        <w:highlight w:val="yellow"/>
        <w:u w:val="single"/>
        <w:lang w:val="en-US"/>
      </w:rPr>
      <w:t>Rev.</w:t>
    </w:r>
  </w:p>
  <w:p w:rsidR="00453694" w:rsidRPr="00C5280D" w:rsidRDefault="0045369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00945">
      <w:rPr>
        <w:rStyle w:val="PageNumber"/>
        <w:noProof/>
        <w:lang w:val="en-US"/>
      </w:rPr>
      <w:t>4</w:t>
    </w:r>
    <w:r w:rsidRPr="00C5280D">
      <w:rPr>
        <w:rStyle w:val="PageNumber"/>
        <w:lang w:val="en-US"/>
      </w:rPr>
      <w:fldChar w:fldCharType="end"/>
    </w:r>
  </w:p>
  <w:p w:rsidR="00453694" w:rsidRPr="00C5280D" w:rsidRDefault="00453694" w:rsidP="006655D3"/>
  <w:p w:rsidR="00453694" w:rsidRDefault="00453694"/>
  <w:p w:rsidR="00453694" w:rsidRDefault="00453694"/>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90086" w:rsidRDefault="00453694" w:rsidP="002C31FA">
    <w:pPr>
      <w:jc w:val="center"/>
    </w:pPr>
    <w:r w:rsidRPr="00D90086">
      <w:t>CAJ/77/3</w:t>
    </w:r>
    <w:r>
      <w:t xml:space="preserve"> </w:t>
    </w:r>
    <w:r w:rsidRPr="00CE5020">
      <w:rPr>
        <w:rStyle w:val="PageNumber"/>
        <w:highlight w:val="yellow"/>
        <w:u w:val="single"/>
      </w:rPr>
      <w:t>Rev.</w:t>
    </w:r>
  </w:p>
  <w:p w:rsidR="00453694" w:rsidRPr="00D90086" w:rsidRDefault="00453694" w:rsidP="002C31FA">
    <w:pPr>
      <w:jc w:val="center"/>
    </w:pPr>
  </w:p>
  <w:p w:rsidR="00453694" w:rsidRPr="00D90086" w:rsidRDefault="00453694" w:rsidP="002C31FA">
    <w:pPr>
      <w:jc w:val="center"/>
    </w:pPr>
    <w:r w:rsidRPr="00860BA9">
      <w:t>ANNEX VI</w:t>
    </w:r>
    <w:r>
      <w:t>I</w:t>
    </w:r>
  </w:p>
  <w:p w:rsidR="00453694" w:rsidRDefault="00453694" w:rsidP="00FA59A0">
    <w:pPr>
      <w:spacing w:after="120"/>
      <w:jc w:val="center"/>
    </w:pPr>
    <w:r w:rsidRPr="00D90086">
      <w:t>OVERVIEW OF INFORMATION MATERIALS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5280D" w:rsidRDefault="00453694" w:rsidP="002C31FA">
    <w:pPr>
      <w:pStyle w:val="Header"/>
      <w:rPr>
        <w:rStyle w:val="PageNumber"/>
        <w:lang w:val="en-US"/>
      </w:rPr>
    </w:pPr>
    <w:r>
      <w:rPr>
        <w:rStyle w:val="PageNumber"/>
        <w:lang w:val="en-US"/>
      </w:rPr>
      <w:t>CAJ/77/3</w:t>
    </w:r>
  </w:p>
  <w:p w:rsidR="00453694" w:rsidRPr="00C5280D" w:rsidRDefault="00453694" w:rsidP="002C31F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53694" w:rsidRPr="00C5280D" w:rsidRDefault="00453694" w:rsidP="002C31F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C5280D" w:rsidRDefault="00453694" w:rsidP="00EB048E">
    <w:pPr>
      <w:pStyle w:val="Header"/>
      <w:rPr>
        <w:rStyle w:val="PageNumber"/>
        <w:lang w:val="en-US"/>
      </w:rPr>
    </w:pPr>
    <w:r>
      <w:rPr>
        <w:rStyle w:val="PageNumber"/>
        <w:lang w:val="en-US"/>
      </w:rPr>
      <w:t>CAJ/77/3</w:t>
    </w:r>
  </w:p>
  <w:p w:rsidR="00453694" w:rsidRPr="00C5280D" w:rsidRDefault="0045369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53694" w:rsidRPr="00C5280D" w:rsidRDefault="00453694"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Default="00453694" w:rsidP="002C31FA">
    <w:pPr>
      <w:pStyle w:val="Header"/>
    </w:pPr>
    <w:r>
      <w:t xml:space="preserve">CAJ/77/3 </w:t>
    </w:r>
    <w:r w:rsidRPr="00CE5020">
      <w:rPr>
        <w:rStyle w:val="PageNumber"/>
        <w:highlight w:val="yellow"/>
        <w:u w:val="single"/>
        <w:lang w:val="en-US"/>
      </w:rPr>
      <w:t>Rev.</w:t>
    </w:r>
  </w:p>
  <w:p w:rsidR="00453694" w:rsidRDefault="00453694" w:rsidP="002C31FA">
    <w:pPr>
      <w:pStyle w:val="Header"/>
    </w:pPr>
  </w:p>
  <w:p w:rsidR="00453694" w:rsidRDefault="00453694" w:rsidP="002C31FA">
    <w:pPr>
      <w:pStyle w:val="Header"/>
    </w:pPr>
    <w:r>
      <w:t>ANNEX I</w:t>
    </w:r>
  </w:p>
  <w:p w:rsidR="00453694" w:rsidRDefault="00453694" w:rsidP="002C31FA">
    <w:pPr>
      <w:pStyle w:val="Header"/>
    </w:pPr>
  </w:p>
  <w:p w:rsidR="00453694" w:rsidRDefault="004536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rStyle w:val="PageNumber"/>
        <w:lang w:val="fr-CH"/>
      </w:rPr>
      <w:t>CAJ/77/3</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453694" w:rsidRPr="00C5280D" w:rsidRDefault="00453694" w:rsidP="002C31F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rStyle w:val="PageNumber"/>
        <w:lang w:val="fr-CH"/>
      </w:rPr>
    </w:pPr>
    <w:r>
      <w:rPr>
        <w:noProof/>
        <w:lang w:val="en-US"/>
      </w:rPr>
      <mc:AlternateContent>
        <mc:Choice Requires="wps">
          <w:drawing>
            <wp:anchor distT="558800" distB="0" distL="114300" distR="114300" simplePos="0" relativeHeight="251642880" behindDoc="0" locked="0" layoutInCell="0" allowOverlap="1" wp14:anchorId="223B621B" wp14:editId="5B2F69C4">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3B621B"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428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Ey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u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hThEyqgIAAGU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rStyle w:val="PageNumber"/>
        <w:lang w:val="fr-CH"/>
      </w:rPr>
      <w:t xml:space="preserve">CAJ/77/3 </w:t>
    </w:r>
    <w:r w:rsidRPr="00CE5020">
      <w:rPr>
        <w:rStyle w:val="PageNumber"/>
        <w:highlight w:val="yellow"/>
        <w:u w:val="single"/>
        <w:lang w:val="en-US"/>
      </w:rPr>
      <w:t>Rev.</w:t>
    </w:r>
  </w:p>
  <w:p w:rsidR="00453694" w:rsidRPr="00D432C2" w:rsidRDefault="00453694" w:rsidP="002C31FA">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800945">
      <w:rPr>
        <w:rStyle w:val="PageNumber"/>
        <w:noProof/>
        <w:lang w:val="fr-CH"/>
      </w:rPr>
      <w:t>3</w:t>
    </w:r>
    <w:r w:rsidRPr="00C5280D">
      <w:rPr>
        <w:rStyle w:val="PageNumber"/>
      </w:rPr>
      <w:fldChar w:fldCharType="end"/>
    </w:r>
  </w:p>
  <w:p w:rsidR="00453694" w:rsidRPr="00C5280D" w:rsidRDefault="00453694"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94" w:rsidRPr="00D432C2" w:rsidRDefault="00453694" w:rsidP="002C31FA">
    <w:pPr>
      <w:pStyle w:val="Header"/>
      <w:rPr>
        <w:lang w:val="en-US"/>
      </w:rPr>
    </w:pPr>
    <w:r>
      <w:rPr>
        <w:noProof/>
        <w:lang w:val="en-US"/>
      </w:rPr>
      <mc:AlternateContent>
        <mc:Choice Requires="wps">
          <w:drawing>
            <wp:anchor distT="558800" distB="0" distL="114300" distR="114300" simplePos="0" relativeHeight="251640832" behindDoc="0" locked="0" layoutInCell="0" allowOverlap="1" wp14:anchorId="749AEEA2" wp14:editId="76C1A779">
              <wp:simplePos x="0" y="0"/>
              <wp:positionH relativeFrom="margin">
                <wp:align>center</wp:align>
              </wp:positionH>
              <wp:positionV relativeFrom="bottomMargin">
                <wp:posOffset>558800</wp:posOffset>
              </wp:positionV>
              <wp:extent cx="7620000" cy="317500"/>
              <wp:effectExtent l="0" t="0" r="0" b="6350"/>
              <wp:wrapNone/>
              <wp:docPr id="9"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3694" w:rsidRDefault="00453694" w:rsidP="002C31FA">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9AEEA2"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6408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BI/hEqgIAAGQFAAAOAAAAAAAAAAAAAAAA&#10;AC4CAABkcnMvZTJvRG9jLnhtbFBLAQItABQABgAIAAAAIQDN8vMo2gAAAAgBAAAPAAAAAAAAAAAA&#10;AAAAAAQFAABkcnMvZG93bnJldi54bWxQSwUGAAAAAAQABADzAAAACwYAAAAA&#10;" o:allowincell="f" filled="f" stroked="f" strokeweight=".5pt">
              <v:path arrowok="t"/>
              <v:textbox>
                <w:txbxContent>
                  <w:p w:rsidR="00453694" w:rsidRDefault="00453694" w:rsidP="002C31FA">
                    <w:pPr>
                      <w:jc w:val="center"/>
                    </w:pPr>
                    <w:r w:rsidRPr="001E779E">
                      <w:rPr>
                        <w:color w:val="000000"/>
                        <w:sz w:val="17"/>
                      </w:rPr>
                      <w:t>WIPO FOR OFFICIAL USE ONLY</w:t>
                    </w:r>
                  </w:p>
                </w:txbxContent>
              </v:textbox>
              <w10:wrap anchorx="margin" anchory="margin"/>
            </v:shape>
          </w:pict>
        </mc:Fallback>
      </mc:AlternateContent>
    </w:r>
    <w:r>
      <w:rPr>
        <w:lang w:val="en-US"/>
      </w:rPr>
      <w:t xml:space="preserve">CAJ/77/3 </w:t>
    </w:r>
    <w:r w:rsidRPr="00CE5020">
      <w:rPr>
        <w:rStyle w:val="PageNumber"/>
        <w:highlight w:val="yellow"/>
        <w:u w:val="single"/>
        <w:lang w:val="en-US"/>
      </w:rPr>
      <w:t>Rev.</w:t>
    </w:r>
  </w:p>
  <w:p w:rsidR="00453694" w:rsidRPr="00D432C2" w:rsidRDefault="00453694" w:rsidP="002C31FA">
    <w:pPr>
      <w:pStyle w:val="Header"/>
      <w:rPr>
        <w:lang w:val="en-US"/>
      </w:rPr>
    </w:pPr>
  </w:p>
  <w:p w:rsidR="00453694" w:rsidRDefault="00453694" w:rsidP="002C31FA">
    <w:pPr>
      <w:jc w:val="center"/>
    </w:pPr>
    <w:r>
      <w:t xml:space="preserve">ANNEX I, </w:t>
    </w:r>
    <w:r w:rsidRPr="00535B8D">
      <w:t>APPENDIX I</w:t>
    </w:r>
  </w:p>
  <w:p w:rsidR="00453694" w:rsidRPr="00D432C2" w:rsidRDefault="00453694" w:rsidP="002C31FA">
    <w:pPr>
      <w:pStyle w:val="Header"/>
      <w:rPr>
        <w:lang w:val="en-US"/>
      </w:rPr>
    </w:pPr>
  </w:p>
  <w:p w:rsidR="00453694" w:rsidRPr="00453694" w:rsidRDefault="00453694" w:rsidP="002C31F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7"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19"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7E3EF1"/>
    <w:multiLevelType w:val="hybridMultilevel"/>
    <w:tmpl w:val="06DEC12C"/>
    <w:lvl w:ilvl="0" w:tplc="431C1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5"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14"/>
  </w:num>
  <w:num w:numId="5">
    <w:abstractNumId w:val="25"/>
  </w:num>
  <w:num w:numId="6">
    <w:abstractNumId w:val="20"/>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1"/>
  </w:num>
  <w:num w:numId="20">
    <w:abstractNumId w:val="22"/>
  </w:num>
  <w:num w:numId="21">
    <w:abstractNumId w:val="28"/>
  </w:num>
  <w:num w:numId="22">
    <w:abstractNumId w:val="29"/>
  </w:num>
  <w:num w:numId="23">
    <w:abstractNumId w:val="18"/>
  </w:num>
  <w:num w:numId="24">
    <w:abstractNumId w:val="15"/>
  </w:num>
  <w:num w:numId="25">
    <w:abstractNumId w:val="23"/>
  </w:num>
  <w:num w:numId="26">
    <w:abstractNumId w:val="27"/>
  </w:num>
  <w:num w:numId="27">
    <w:abstractNumId w:val="16"/>
  </w:num>
  <w:num w:numId="28">
    <w:abstractNumId w:val="19"/>
  </w:num>
  <w:num w:numId="29">
    <w:abstractNumId w:val="13"/>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77"/>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BED"/>
    <w:rsid w:val="00110C36"/>
    <w:rsid w:val="001131D5"/>
    <w:rsid w:val="00122E77"/>
    <w:rsid w:val="00141DB8"/>
    <w:rsid w:val="00172084"/>
    <w:rsid w:val="0017474A"/>
    <w:rsid w:val="001758C6"/>
    <w:rsid w:val="00182B99"/>
    <w:rsid w:val="001C1525"/>
    <w:rsid w:val="0021332C"/>
    <w:rsid w:val="00213982"/>
    <w:rsid w:val="0024416D"/>
    <w:rsid w:val="00271911"/>
    <w:rsid w:val="002800A0"/>
    <w:rsid w:val="002801B3"/>
    <w:rsid w:val="00281060"/>
    <w:rsid w:val="002940E8"/>
    <w:rsid w:val="00294751"/>
    <w:rsid w:val="002A6E50"/>
    <w:rsid w:val="002B4298"/>
    <w:rsid w:val="002B7A36"/>
    <w:rsid w:val="002C256A"/>
    <w:rsid w:val="002C31FA"/>
    <w:rsid w:val="002D6B61"/>
    <w:rsid w:val="00305A7F"/>
    <w:rsid w:val="003152FE"/>
    <w:rsid w:val="00327436"/>
    <w:rsid w:val="00344BD6"/>
    <w:rsid w:val="0035528D"/>
    <w:rsid w:val="00361821"/>
    <w:rsid w:val="00361E9E"/>
    <w:rsid w:val="003671BA"/>
    <w:rsid w:val="003C7FBE"/>
    <w:rsid w:val="003D227C"/>
    <w:rsid w:val="003D2B4D"/>
    <w:rsid w:val="00430777"/>
    <w:rsid w:val="00444A88"/>
    <w:rsid w:val="00453694"/>
    <w:rsid w:val="00474DA4"/>
    <w:rsid w:val="00476B4D"/>
    <w:rsid w:val="004805FA"/>
    <w:rsid w:val="00483B5D"/>
    <w:rsid w:val="004865AD"/>
    <w:rsid w:val="004935D2"/>
    <w:rsid w:val="004B1215"/>
    <w:rsid w:val="004D047D"/>
    <w:rsid w:val="004F1E9E"/>
    <w:rsid w:val="004F305A"/>
    <w:rsid w:val="00512164"/>
    <w:rsid w:val="00520297"/>
    <w:rsid w:val="005338F9"/>
    <w:rsid w:val="0054281C"/>
    <w:rsid w:val="00544581"/>
    <w:rsid w:val="0055268D"/>
    <w:rsid w:val="00571DC8"/>
    <w:rsid w:val="00576BE4"/>
    <w:rsid w:val="005779DB"/>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84FD4"/>
    <w:rsid w:val="0079023E"/>
    <w:rsid w:val="007A2854"/>
    <w:rsid w:val="007C1D92"/>
    <w:rsid w:val="007C4CB9"/>
    <w:rsid w:val="007D0B9D"/>
    <w:rsid w:val="007D19B0"/>
    <w:rsid w:val="007E4AAD"/>
    <w:rsid w:val="007F498F"/>
    <w:rsid w:val="00800945"/>
    <w:rsid w:val="0080679D"/>
    <w:rsid w:val="008108B0"/>
    <w:rsid w:val="00811B20"/>
    <w:rsid w:val="00812609"/>
    <w:rsid w:val="008211B5"/>
    <w:rsid w:val="0082296E"/>
    <w:rsid w:val="00824099"/>
    <w:rsid w:val="00846D7C"/>
    <w:rsid w:val="00867AC1"/>
    <w:rsid w:val="00890DF8"/>
    <w:rsid w:val="008A046A"/>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069F7"/>
    <w:rsid w:val="00A24C10"/>
    <w:rsid w:val="00A42AC3"/>
    <w:rsid w:val="00A430CF"/>
    <w:rsid w:val="00A54309"/>
    <w:rsid w:val="00A65B19"/>
    <w:rsid w:val="00A80F2A"/>
    <w:rsid w:val="00AB2B93"/>
    <w:rsid w:val="00AB530F"/>
    <w:rsid w:val="00AB7E5B"/>
    <w:rsid w:val="00AC2883"/>
    <w:rsid w:val="00AE0EF1"/>
    <w:rsid w:val="00AE2937"/>
    <w:rsid w:val="00B07301"/>
    <w:rsid w:val="00B11F3E"/>
    <w:rsid w:val="00B224DE"/>
    <w:rsid w:val="00B324D4"/>
    <w:rsid w:val="00B46575"/>
    <w:rsid w:val="00B61777"/>
    <w:rsid w:val="00B622E6"/>
    <w:rsid w:val="00B84BBD"/>
    <w:rsid w:val="00B86044"/>
    <w:rsid w:val="00BA43FB"/>
    <w:rsid w:val="00BC127D"/>
    <w:rsid w:val="00BC1FE6"/>
    <w:rsid w:val="00C061B6"/>
    <w:rsid w:val="00C2446C"/>
    <w:rsid w:val="00C36AE5"/>
    <w:rsid w:val="00C41F17"/>
    <w:rsid w:val="00C527FA"/>
    <w:rsid w:val="00C5280D"/>
    <w:rsid w:val="00C53EB3"/>
    <w:rsid w:val="00C5465D"/>
    <w:rsid w:val="00C5791C"/>
    <w:rsid w:val="00C66290"/>
    <w:rsid w:val="00C72B7A"/>
    <w:rsid w:val="00C973F2"/>
    <w:rsid w:val="00CA304C"/>
    <w:rsid w:val="00CA774A"/>
    <w:rsid w:val="00CC11B0"/>
    <w:rsid w:val="00CC1EDE"/>
    <w:rsid w:val="00CC2841"/>
    <w:rsid w:val="00CE5020"/>
    <w:rsid w:val="00CF1330"/>
    <w:rsid w:val="00CF7E36"/>
    <w:rsid w:val="00D3708D"/>
    <w:rsid w:val="00D40426"/>
    <w:rsid w:val="00D57C96"/>
    <w:rsid w:val="00D57D18"/>
    <w:rsid w:val="00D76DB3"/>
    <w:rsid w:val="00D91203"/>
    <w:rsid w:val="00D95174"/>
    <w:rsid w:val="00DA4973"/>
    <w:rsid w:val="00DA6F36"/>
    <w:rsid w:val="00DB596E"/>
    <w:rsid w:val="00DB7773"/>
    <w:rsid w:val="00DC00EA"/>
    <w:rsid w:val="00DC3802"/>
    <w:rsid w:val="00DD6208"/>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637AD"/>
    <w:rsid w:val="00FA49AB"/>
    <w:rsid w:val="00FA59A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4:docId w14:val="561ADC92"/>
  <w15:docId w15:val="{C31E3108-1019-402B-A33E-F613B5FE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122E7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122E77"/>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122E77"/>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571DC8"/>
    <w:pPr>
      <w:tabs>
        <w:tab w:val="left" w:pos="993"/>
        <w:tab w:val="right" w:leader="dot" w:pos="9639"/>
      </w:tabs>
      <w:spacing w:before="120"/>
      <w:ind w:left="568" w:right="851" w:hanging="284"/>
    </w:pPr>
    <w:rPr>
      <w:rFonts w:ascii="Arial" w:hAnsi="Arial"/>
      <w:sz w:val="18"/>
    </w:rPr>
  </w:style>
  <w:style w:type="paragraph" w:styleId="TOC3">
    <w:name w:val="toc 3"/>
    <w:next w:val="Normal"/>
    <w:autoRedefine/>
    <w:uiPriority w:val="39"/>
    <w:qFormat/>
    <w:rsid w:val="00571DC8"/>
    <w:pPr>
      <w:tabs>
        <w:tab w:val="right" w:leader="dot" w:pos="9639"/>
      </w:tabs>
      <w:spacing w:before="60"/>
      <w:ind w:left="567" w:right="284" w:firstLine="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571DC8"/>
    <w:pPr>
      <w:tabs>
        <w:tab w:val="right" w:leader="dot" w:pos="9639"/>
      </w:tabs>
      <w:spacing w:after="60"/>
      <w:ind w:left="1418" w:right="851" w:hanging="284"/>
      <w:contextualSpacing/>
    </w:pPr>
    <w:rPr>
      <w:rFonts w:ascii="Arial" w:hAnsi="Arial"/>
      <w:sz w:val="16"/>
      <w:lang w:val="fr-FR"/>
    </w:rPr>
  </w:style>
  <w:style w:type="paragraph" w:styleId="TOC1">
    <w:name w:val="toc 1"/>
    <w:next w:val="Normal"/>
    <w:autoRedefine/>
    <w:uiPriority w:val="39"/>
    <w:qFormat/>
    <w:rsid w:val="00571DC8"/>
    <w:pPr>
      <w:tabs>
        <w:tab w:val="right" w:leader="dot" w:pos="9639"/>
      </w:tabs>
      <w:spacing w:before="120"/>
      <w:jc w:val="center"/>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122E7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122E77"/>
    <w:rPr>
      <w:b/>
      <w:sz w:val="22"/>
    </w:rPr>
  </w:style>
  <w:style w:type="character" w:customStyle="1" w:styleId="Heading8Char">
    <w:name w:val="Heading 8 Char"/>
    <w:basedOn w:val="DefaultParagraphFont"/>
    <w:link w:val="Heading8"/>
    <w:rsid w:val="00122E77"/>
    <w:rPr>
      <w:rFonts w:ascii="Arial" w:hAnsi="Arial" w:cs="Angsana New"/>
      <w:b/>
      <w:bCs/>
      <w:i/>
      <w:iCs/>
      <w:sz w:val="22"/>
      <w:szCs w:val="22"/>
      <w:lang w:bidi="th-TH"/>
    </w:rPr>
  </w:style>
  <w:style w:type="paragraph" w:styleId="ListParagraph">
    <w:name w:val="List Paragraph"/>
    <w:basedOn w:val="Normal"/>
    <w:qFormat/>
    <w:rsid w:val="00122E77"/>
    <w:pPr>
      <w:ind w:left="720"/>
      <w:contextualSpacing/>
    </w:pPr>
  </w:style>
  <w:style w:type="character" w:customStyle="1" w:styleId="DecisionParagraphsChar">
    <w:name w:val="DecisionParagraphs Char"/>
    <w:basedOn w:val="DefaultParagraphFont"/>
    <w:link w:val="DecisionParagraphs"/>
    <w:rsid w:val="00122E77"/>
    <w:rPr>
      <w:rFonts w:ascii="Arial" w:hAnsi="Arial"/>
      <w:i/>
    </w:rPr>
  </w:style>
  <w:style w:type="character" w:customStyle="1" w:styleId="Heading2Char">
    <w:name w:val="Heading 2 Char"/>
    <w:aliases w:val="VARIETY Char,variety Char"/>
    <w:link w:val="Heading2"/>
    <w:locked/>
    <w:rsid w:val="00122E77"/>
    <w:rPr>
      <w:rFonts w:ascii="Arial" w:hAnsi="Arial"/>
      <w:u w:val="single"/>
    </w:rPr>
  </w:style>
  <w:style w:type="character" w:customStyle="1" w:styleId="FootnoteTextChar">
    <w:name w:val="Footnote Text Char"/>
    <w:basedOn w:val="DefaultParagraphFont"/>
    <w:link w:val="FootnoteText"/>
    <w:rsid w:val="00122E77"/>
    <w:rPr>
      <w:rFonts w:ascii="Arial" w:hAnsi="Arial"/>
      <w:sz w:val="16"/>
    </w:rPr>
  </w:style>
  <w:style w:type="character" w:styleId="FollowedHyperlink">
    <w:name w:val="FollowedHyperlink"/>
    <w:basedOn w:val="DefaultParagraphFont"/>
    <w:uiPriority w:val="99"/>
    <w:unhideWhenUsed/>
    <w:rsid w:val="00122E77"/>
    <w:rPr>
      <w:color w:val="800080" w:themeColor="followedHyperlink"/>
      <w:u w:val="single"/>
    </w:rPr>
  </w:style>
  <w:style w:type="character" w:customStyle="1" w:styleId="Heading3Char">
    <w:name w:val="Heading 3 Char"/>
    <w:aliases w:val="Heading 3 Scientific Name Char"/>
    <w:basedOn w:val="DefaultParagraphFont"/>
    <w:link w:val="Heading3"/>
    <w:rsid w:val="00122E77"/>
    <w:rPr>
      <w:rFonts w:ascii="Arial" w:hAnsi="Arial"/>
      <w:i/>
    </w:rPr>
  </w:style>
  <w:style w:type="character" w:customStyle="1" w:styleId="Heading1Char">
    <w:name w:val="Heading 1 Char"/>
    <w:aliases w:val="COMMON NAME Char,common Char"/>
    <w:basedOn w:val="DefaultParagraphFont"/>
    <w:link w:val="Heading1"/>
    <w:rsid w:val="00122E77"/>
    <w:rPr>
      <w:rFonts w:ascii="Arial" w:hAnsi="Arial"/>
      <w:caps/>
    </w:rPr>
  </w:style>
  <w:style w:type="character" w:customStyle="1" w:styleId="Heading4Char">
    <w:name w:val="Heading 4 Char"/>
    <w:basedOn w:val="DefaultParagraphFont"/>
    <w:link w:val="Heading4"/>
    <w:rsid w:val="00122E77"/>
    <w:rPr>
      <w:rFonts w:ascii="Arial" w:hAnsi="Arial"/>
      <w:u w:val="single"/>
      <w:lang w:val="fr-FR"/>
    </w:rPr>
  </w:style>
  <w:style w:type="character" w:customStyle="1" w:styleId="Heading5Char">
    <w:name w:val="Heading 5 Char"/>
    <w:basedOn w:val="DefaultParagraphFont"/>
    <w:link w:val="Heading5"/>
    <w:rsid w:val="00122E77"/>
    <w:rPr>
      <w:rFonts w:ascii="Arial" w:hAnsi="Arial"/>
      <w:i/>
    </w:rPr>
  </w:style>
  <w:style w:type="character" w:customStyle="1" w:styleId="Heading9Char">
    <w:name w:val="Heading 9 Char"/>
    <w:basedOn w:val="DefaultParagraphFont"/>
    <w:link w:val="Heading9"/>
    <w:rsid w:val="00122E77"/>
    <w:rPr>
      <w:rFonts w:ascii="Arial" w:hAnsi="Arial"/>
      <w:i/>
      <w:sz w:val="18"/>
    </w:rPr>
  </w:style>
  <w:style w:type="character" w:customStyle="1" w:styleId="HeaderChar">
    <w:name w:val="Header Char"/>
    <w:basedOn w:val="DefaultParagraphFont"/>
    <w:link w:val="Header"/>
    <w:uiPriority w:val="99"/>
    <w:rsid w:val="00122E77"/>
    <w:rPr>
      <w:rFonts w:ascii="Arial" w:hAnsi="Arial"/>
      <w:lang w:val="fr-FR"/>
    </w:rPr>
  </w:style>
  <w:style w:type="character" w:customStyle="1" w:styleId="FooterChar">
    <w:name w:val="Footer Char"/>
    <w:aliases w:val="doc_path_name Char"/>
    <w:basedOn w:val="DefaultParagraphFont"/>
    <w:link w:val="Footer"/>
    <w:rsid w:val="00122E77"/>
    <w:rPr>
      <w:rFonts w:ascii="Arial" w:hAnsi="Arial"/>
      <w:sz w:val="14"/>
    </w:rPr>
  </w:style>
  <w:style w:type="character" w:customStyle="1" w:styleId="TitleChar">
    <w:name w:val="Title Char"/>
    <w:basedOn w:val="DefaultParagraphFont"/>
    <w:link w:val="Title"/>
    <w:rsid w:val="00122E77"/>
    <w:rPr>
      <w:rFonts w:ascii="Arial" w:hAnsi="Arial"/>
      <w:b/>
      <w:caps/>
      <w:kern w:val="28"/>
      <w:sz w:val="30"/>
    </w:rPr>
  </w:style>
  <w:style w:type="character" w:customStyle="1" w:styleId="ClosingChar">
    <w:name w:val="Closing Char"/>
    <w:basedOn w:val="DefaultParagraphFont"/>
    <w:link w:val="Closing"/>
    <w:rsid w:val="00122E77"/>
    <w:rPr>
      <w:rFonts w:ascii="Arial" w:hAnsi="Arial"/>
    </w:rPr>
  </w:style>
  <w:style w:type="character" w:customStyle="1" w:styleId="MacroTextChar">
    <w:name w:val="Macro Text Char"/>
    <w:basedOn w:val="DefaultParagraphFont"/>
    <w:link w:val="MacroText"/>
    <w:semiHidden/>
    <w:rsid w:val="00122E77"/>
    <w:rPr>
      <w:rFonts w:ascii="Courier New" w:hAnsi="Courier New"/>
      <w:sz w:val="16"/>
    </w:rPr>
  </w:style>
  <w:style w:type="character" w:customStyle="1" w:styleId="SignatureChar">
    <w:name w:val="Signature Char"/>
    <w:basedOn w:val="DefaultParagraphFont"/>
    <w:link w:val="Signature"/>
    <w:rsid w:val="00122E77"/>
    <w:rPr>
      <w:rFonts w:ascii="Arial" w:hAnsi="Arial"/>
    </w:rPr>
  </w:style>
  <w:style w:type="character" w:customStyle="1" w:styleId="BodyTextChar">
    <w:name w:val="Body Text Char"/>
    <w:basedOn w:val="DefaultParagraphFont"/>
    <w:rsid w:val="00122E77"/>
    <w:rPr>
      <w:rFonts w:ascii="Arial" w:hAnsi="Arial"/>
    </w:rPr>
  </w:style>
  <w:style w:type="character" w:customStyle="1" w:styleId="EndnoteTextChar">
    <w:name w:val="Endnote Text Char"/>
    <w:basedOn w:val="DefaultParagraphFont"/>
    <w:link w:val="EndnoteText"/>
    <w:rsid w:val="00122E77"/>
    <w:rPr>
      <w:rFonts w:ascii="Arial" w:hAnsi="Arial"/>
    </w:rPr>
  </w:style>
  <w:style w:type="character" w:customStyle="1" w:styleId="DateChar">
    <w:name w:val="Date Char"/>
    <w:basedOn w:val="DefaultParagraphFont"/>
    <w:link w:val="Date"/>
    <w:rsid w:val="00122E77"/>
    <w:rPr>
      <w:rFonts w:ascii="Arial" w:hAnsi="Arial"/>
      <w:b/>
      <w:sz w:val="22"/>
    </w:rPr>
  </w:style>
  <w:style w:type="paragraph" w:customStyle="1" w:styleId="Sessiontwp">
    <w:name w:val="Session_twp"/>
    <w:basedOn w:val="Normal"/>
    <w:next w:val="Normal"/>
    <w:qFormat/>
    <w:rsid w:val="00122E77"/>
    <w:rPr>
      <w:b/>
    </w:rPr>
  </w:style>
  <w:style w:type="paragraph" w:customStyle="1" w:styleId="Sessiontwpplacedate">
    <w:name w:val="Session_twp_place_date"/>
    <w:basedOn w:val="Normal"/>
    <w:next w:val="Normal"/>
    <w:qFormat/>
    <w:rsid w:val="00122E77"/>
  </w:style>
  <w:style w:type="table" w:styleId="TableGrid">
    <w:name w:val="Table Grid"/>
    <w:basedOn w:val="TableNormal"/>
    <w:rsid w:val="00122E7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2E77"/>
    <w:rPr>
      <w:rFonts w:ascii="Arial" w:hAnsi="Arial"/>
    </w:rPr>
  </w:style>
  <w:style w:type="character" w:styleId="CommentReference">
    <w:name w:val="annotation reference"/>
    <w:basedOn w:val="DefaultParagraphFont"/>
    <w:semiHidden/>
    <w:unhideWhenUsed/>
    <w:rsid w:val="00122E77"/>
    <w:rPr>
      <w:sz w:val="16"/>
      <w:szCs w:val="16"/>
    </w:rPr>
  </w:style>
  <w:style w:type="paragraph" w:styleId="CommentText">
    <w:name w:val="annotation text"/>
    <w:basedOn w:val="Normal"/>
    <w:link w:val="CommentTextChar"/>
    <w:unhideWhenUsed/>
    <w:rsid w:val="00122E77"/>
  </w:style>
  <w:style w:type="character" w:customStyle="1" w:styleId="CommentTextChar">
    <w:name w:val="Comment Text Char"/>
    <w:basedOn w:val="DefaultParagraphFont"/>
    <w:link w:val="CommentText"/>
    <w:rsid w:val="00122E77"/>
    <w:rPr>
      <w:rFonts w:ascii="Arial" w:hAnsi="Arial"/>
    </w:rPr>
  </w:style>
  <w:style w:type="paragraph" w:styleId="CommentSubject">
    <w:name w:val="annotation subject"/>
    <w:basedOn w:val="CommentText"/>
    <w:next w:val="CommentText"/>
    <w:link w:val="CommentSubjectChar"/>
    <w:unhideWhenUsed/>
    <w:rsid w:val="00122E77"/>
    <w:rPr>
      <w:b/>
      <w:bCs/>
    </w:rPr>
  </w:style>
  <w:style w:type="character" w:customStyle="1" w:styleId="CommentSubjectChar">
    <w:name w:val="Comment Subject Char"/>
    <w:basedOn w:val="CommentTextChar"/>
    <w:link w:val="CommentSubject"/>
    <w:rsid w:val="00122E77"/>
    <w:rPr>
      <w:rFonts w:ascii="Arial" w:hAnsi="Arial"/>
      <w:b/>
      <w:bCs/>
    </w:rPr>
  </w:style>
  <w:style w:type="paragraph" w:customStyle="1" w:styleId="upov">
    <w:name w:val="upov"/>
    <w:basedOn w:val="Normal"/>
    <w:rsid w:val="00122E77"/>
    <w:pPr>
      <w:spacing w:before="80"/>
      <w:jc w:val="right"/>
    </w:pPr>
    <w:rPr>
      <w:rFonts w:cs="Angsana New"/>
      <w:sz w:val="18"/>
      <w:szCs w:val="18"/>
      <w:lang w:val="de-DE" w:bidi="th-TH"/>
    </w:rPr>
  </w:style>
  <w:style w:type="paragraph" w:customStyle="1" w:styleId="merkmald">
    <w:name w:val="merkmal_d"/>
    <w:basedOn w:val="Normal"/>
    <w:rsid w:val="00122E77"/>
    <w:pPr>
      <w:spacing w:before="80"/>
      <w:jc w:val="left"/>
    </w:pPr>
    <w:rPr>
      <w:rFonts w:cs="Angsana New"/>
      <w:b/>
      <w:bCs/>
      <w:sz w:val="18"/>
      <w:szCs w:val="18"/>
      <w:lang w:val="de-DE" w:bidi="th-TH"/>
    </w:rPr>
  </w:style>
  <w:style w:type="paragraph" w:customStyle="1" w:styleId="farbe">
    <w:name w:val="farbe"/>
    <w:basedOn w:val="note"/>
    <w:rsid w:val="00122E77"/>
    <w:pPr>
      <w:jc w:val="left"/>
    </w:pPr>
  </w:style>
  <w:style w:type="paragraph" w:customStyle="1" w:styleId="note">
    <w:name w:val="note"/>
    <w:basedOn w:val="Normal"/>
    <w:rsid w:val="00122E77"/>
    <w:pPr>
      <w:spacing w:before="80"/>
      <w:jc w:val="center"/>
    </w:pPr>
    <w:rPr>
      <w:rFonts w:cs="Angsana New"/>
      <w:sz w:val="18"/>
      <w:szCs w:val="18"/>
      <w:lang w:val="de-DE" w:bidi="th-TH"/>
    </w:rPr>
  </w:style>
  <w:style w:type="paragraph" w:customStyle="1" w:styleId="merkmale">
    <w:name w:val="merkmal_e"/>
    <w:basedOn w:val="merkmald"/>
    <w:rsid w:val="00122E77"/>
    <w:pPr>
      <w:spacing w:before="0"/>
    </w:pPr>
    <w:rPr>
      <w:b w:val="0"/>
      <w:bCs w:val="0"/>
      <w:sz w:val="16"/>
      <w:szCs w:val="16"/>
    </w:rPr>
  </w:style>
  <w:style w:type="character" w:customStyle="1" w:styleId="TitleChar1">
    <w:name w:val="Title Char1"/>
    <w:basedOn w:val="DefaultParagraphFont"/>
    <w:locked/>
    <w:rsid w:val="00122E77"/>
    <w:rPr>
      <w:rFonts w:ascii="Arial" w:hAnsi="Arial"/>
      <w:b/>
      <w:caps/>
      <w:kern w:val="28"/>
      <w:sz w:val="30"/>
    </w:rPr>
  </w:style>
  <w:style w:type="character" w:customStyle="1" w:styleId="BodyTextChar1">
    <w:name w:val="Body Text Char1"/>
    <w:basedOn w:val="DefaultParagraphFont"/>
    <w:rsid w:val="00122E77"/>
    <w:rPr>
      <w:rFonts w:ascii="Arial" w:hAnsi="Arial"/>
    </w:rPr>
  </w:style>
  <w:style w:type="character" w:customStyle="1" w:styleId="TitleofDocChar">
    <w:name w:val="Title of Doc Char"/>
    <w:basedOn w:val="DefaultParagraphFont"/>
    <w:link w:val="TitleofDoc"/>
    <w:rsid w:val="00122E77"/>
    <w:rPr>
      <w:rFonts w:ascii="Arial" w:hAnsi="Arial"/>
      <w:caps/>
    </w:rPr>
  </w:style>
  <w:style w:type="character" w:customStyle="1" w:styleId="TitleofdocChar0">
    <w:name w:val="Title_of_doc Char"/>
    <w:basedOn w:val="DefaultParagraphFont"/>
    <w:link w:val="Titleofdoc0"/>
    <w:rsid w:val="00122E77"/>
    <w:rPr>
      <w:rFonts w:ascii="Arial" w:hAnsi="Arial"/>
      <w:b/>
      <w:caps/>
    </w:rPr>
  </w:style>
  <w:style w:type="table" w:customStyle="1" w:styleId="TableGrid2">
    <w:name w:val="Table Grid2"/>
    <w:basedOn w:val="TableNormal"/>
    <w:next w:val="TableGrid"/>
    <w:uiPriority w:val="59"/>
    <w:rsid w:val="00122E77"/>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122E77"/>
    <w:rPr>
      <w:rFonts w:ascii="Arial" w:hAnsi="Arial"/>
      <w:b/>
      <w:caps/>
    </w:rPr>
  </w:style>
  <w:style w:type="paragraph" w:customStyle="1" w:styleId="StyleDocoriginalNotBold">
    <w:name w:val="Style Doc_original + Not Bold"/>
    <w:basedOn w:val="Docoriginal"/>
    <w:link w:val="StyleDocoriginalNotBoldChar"/>
    <w:autoRedefine/>
    <w:rsid w:val="00122E7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122E77"/>
    <w:rPr>
      <w:rFonts w:ascii="Arial" w:hAnsi="Arial"/>
      <w:b/>
      <w:bCs/>
      <w:spacing w:val="10"/>
      <w:sz w:val="18"/>
      <w:lang w:val="fr-FR" w:eastAsia="en-US" w:bidi="ar-SA"/>
    </w:rPr>
  </w:style>
  <w:style w:type="paragraph" w:customStyle="1" w:styleId="StyleDocnumber">
    <w:name w:val="Style Doc_number"/>
    <w:basedOn w:val="Docoriginal"/>
    <w:rsid w:val="00122E7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122E7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122E77"/>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22E7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22E77"/>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122E77"/>
    <w:rPr>
      <w:rFonts w:ascii="Arial" w:hAnsi="Arial"/>
      <w:b/>
      <w:bCs/>
      <w:spacing w:val="10"/>
      <w:lang w:val="en-US" w:eastAsia="en-US" w:bidi="ar-SA"/>
    </w:rPr>
  </w:style>
  <w:style w:type="character" w:customStyle="1" w:styleId="StyleDoclangBold">
    <w:name w:val="Style Doc_lang + Bold"/>
    <w:basedOn w:val="Doclang"/>
    <w:rsid w:val="00122E77"/>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122E77"/>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122E77"/>
    <w:rPr>
      <w:sz w:val="22"/>
    </w:rPr>
  </w:style>
  <w:style w:type="paragraph" w:customStyle="1" w:styleId="TitleofSection">
    <w:name w:val="Title of Section"/>
    <w:basedOn w:val="TitleofDoc"/>
    <w:rsid w:val="00122E77"/>
    <w:pPr>
      <w:spacing w:before="120" w:after="120"/>
    </w:pPr>
    <w:rPr>
      <w:b/>
      <w:bCs/>
      <w:caps w:val="0"/>
      <w:lang w:val="fr-FR"/>
    </w:rPr>
  </w:style>
  <w:style w:type="paragraph" w:customStyle="1" w:styleId="Normaltg">
    <w:name w:val="Normaltg"/>
    <w:basedOn w:val="Normal"/>
    <w:rsid w:val="00122E77"/>
    <w:pPr>
      <w:tabs>
        <w:tab w:val="left" w:pos="709"/>
        <w:tab w:val="left" w:pos="1418"/>
      </w:tabs>
    </w:pPr>
    <w:rPr>
      <w:lang w:val="fr-FR"/>
    </w:rPr>
  </w:style>
  <w:style w:type="paragraph" w:styleId="ListBullet">
    <w:name w:val="List Bullet"/>
    <w:basedOn w:val="Normal"/>
    <w:autoRedefine/>
    <w:rsid w:val="00122E77"/>
    <w:pPr>
      <w:numPr>
        <w:numId w:val="8"/>
      </w:numPr>
    </w:pPr>
    <w:rPr>
      <w:rFonts w:cs="Angsana New"/>
      <w:szCs w:val="24"/>
      <w:lang w:bidi="th-TH"/>
    </w:rPr>
  </w:style>
  <w:style w:type="paragraph" w:styleId="ListBullet2">
    <w:name w:val="List Bullet 2"/>
    <w:basedOn w:val="Normal"/>
    <w:autoRedefine/>
    <w:rsid w:val="00122E77"/>
    <w:pPr>
      <w:numPr>
        <w:numId w:val="9"/>
      </w:numPr>
      <w:tabs>
        <w:tab w:val="clear" w:pos="643"/>
        <w:tab w:val="num" w:pos="720"/>
      </w:tabs>
      <w:ind w:left="720"/>
    </w:pPr>
    <w:rPr>
      <w:rFonts w:cs="Angsana New"/>
      <w:szCs w:val="24"/>
      <w:lang w:bidi="th-TH"/>
    </w:rPr>
  </w:style>
  <w:style w:type="paragraph" w:styleId="ListBullet3">
    <w:name w:val="List Bullet 3"/>
    <w:basedOn w:val="Normal"/>
    <w:autoRedefine/>
    <w:rsid w:val="00122E77"/>
    <w:pPr>
      <w:numPr>
        <w:numId w:val="10"/>
      </w:numPr>
      <w:tabs>
        <w:tab w:val="clear" w:pos="926"/>
        <w:tab w:val="num" w:pos="1080"/>
      </w:tabs>
      <w:ind w:left="1080"/>
    </w:pPr>
    <w:rPr>
      <w:rFonts w:cs="Angsana New"/>
      <w:szCs w:val="24"/>
      <w:lang w:bidi="th-TH"/>
    </w:rPr>
  </w:style>
  <w:style w:type="paragraph" w:styleId="ListBullet4">
    <w:name w:val="List Bullet 4"/>
    <w:basedOn w:val="Normal"/>
    <w:autoRedefine/>
    <w:rsid w:val="00122E77"/>
    <w:pPr>
      <w:numPr>
        <w:numId w:val="11"/>
      </w:numPr>
      <w:tabs>
        <w:tab w:val="clear" w:pos="1209"/>
        <w:tab w:val="num" w:pos="1440"/>
      </w:tabs>
      <w:ind w:left="1440"/>
    </w:pPr>
    <w:rPr>
      <w:rFonts w:cs="Angsana New"/>
      <w:szCs w:val="24"/>
      <w:lang w:bidi="th-TH"/>
    </w:rPr>
  </w:style>
  <w:style w:type="paragraph" w:styleId="ListBullet5">
    <w:name w:val="List Bullet 5"/>
    <w:basedOn w:val="Normal"/>
    <w:autoRedefine/>
    <w:rsid w:val="00122E77"/>
    <w:pPr>
      <w:numPr>
        <w:numId w:val="12"/>
      </w:numPr>
      <w:tabs>
        <w:tab w:val="clear" w:pos="1492"/>
        <w:tab w:val="num" w:pos="1800"/>
      </w:tabs>
      <w:ind w:left="1800"/>
    </w:pPr>
    <w:rPr>
      <w:rFonts w:cs="Angsana New"/>
      <w:szCs w:val="24"/>
      <w:lang w:bidi="th-TH"/>
    </w:rPr>
  </w:style>
  <w:style w:type="paragraph" w:styleId="ListNumber">
    <w:name w:val="List Number"/>
    <w:basedOn w:val="Normal"/>
    <w:rsid w:val="00122E77"/>
    <w:pPr>
      <w:numPr>
        <w:numId w:val="13"/>
      </w:numPr>
    </w:pPr>
    <w:rPr>
      <w:rFonts w:cs="Angsana New"/>
      <w:szCs w:val="24"/>
      <w:lang w:bidi="th-TH"/>
    </w:rPr>
  </w:style>
  <w:style w:type="paragraph" w:styleId="ListNumber2">
    <w:name w:val="List Number 2"/>
    <w:basedOn w:val="Normal"/>
    <w:rsid w:val="00122E77"/>
    <w:pPr>
      <w:numPr>
        <w:numId w:val="14"/>
      </w:numPr>
      <w:tabs>
        <w:tab w:val="clear" w:pos="643"/>
        <w:tab w:val="num" w:pos="720"/>
      </w:tabs>
      <w:ind w:left="720"/>
    </w:pPr>
    <w:rPr>
      <w:rFonts w:cs="Angsana New"/>
      <w:szCs w:val="24"/>
      <w:lang w:bidi="th-TH"/>
    </w:rPr>
  </w:style>
  <w:style w:type="paragraph" w:styleId="ListNumber3">
    <w:name w:val="List Number 3"/>
    <w:basedOn w:val="Normal"/>
    <w:rsid w:val="00122E77"/>
    <w:pPr>
      <w:numPr>
        <w:numId w:val="15"/>
      </w:numPr>
      <w:tabs>
        <w:tab w:val="clear" w:pos="926"/>
        <w:tab w:val="num" w:pos="1080"/>
      </w:tabs>
      <w:ind w:left="1080"/>
    </w:pPr>
    <w:rPr>
      <w:rFonts w:cs="Angsana New"/>
      <w:szCs w:val="24"/>
      <w:lang w:bidi="th-TH"/>
    </w:rPr>
  </w:style>
  <w:style w:type="paragraph" w:styleId="ListNumber4">
    <w:name w:val="List Number 4"/>
    <w:basedOn w:val="Normal"/>
    <w:rsid w:val="00122E77"/>
    <w:pPr>
      <w:numPr>
        <w:numId w:val="16"/>
      </w:numPr>
      <w:tabs>
        <w:tab w:val="clear" w:pos="1209"/>
        <w:tab w:val="num" w:pos="1440"/>
      </w:tabs>
      <w:ind w:left="1440"/>
    </w:pPr>
    <w:rPr>
      <w:rFonts w:cs="Angsana New"/>
      <w:szCs w:val="24"/>
      <w:lang w:bidi="th-TH"/>
    </w:rPr>
  </w:style>
  <w:style w:type="paragraph" w:styleId="ListNumber5">
    <w:name w:val="List Number 5"/>
    <w:basedOn w:val="Normal"/>
    <w:rsid w:val="00122E77"/>
    <w:pPr>
      <w:numPr>
        <w:numId w:val="17"/>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122E77"/>
    <w:pPr>
      <w:spacing w:after="120"/>
      <w:ind w:left="360"/>
    </w:pPr>
    <w:rPr>
      <w:rFonts w:cs="Angsana New"/>
      <w:szCs w:val="24"/>
      <w:lang w:bidi="th-TH"/>
    </w:rPr>
  </w:style>
  <w:style w:type="character" w:customStyle="1" w:styleId="BodyTextIndentChar">
    <w:name w:val="Body Text Indent Char"/>
    <w:basedOn w:val="DefaultParagraphFont"/>
    <w:link w:val="BodyTextIndent"/>
    <w:rsid w:val="00122E77"/>
    <w:rPr>
      <w:rFonts w:ascii="Arial" w:hAnsi="Arial" w:cs="Angsana New"/>
      <w:szCs w:val="24"/>
      <w:lang w:bidi="th-TH"/>
    </w:rPr>
  </w:style>
  <w:style w:type="paragraph" w:customStyle="1" w:styleId="heading4u">
    <w:name w:val="heading 4u"/>
    <w:basedOn w:val="Heading4"/>
    <w:rsid w:val="00122E77"/>
    <w:pPr>
      <w:ind w:left="992" w:hanging="992"/>
    </w:pPr>
    <w:rPr>
      <w:rFonts w:cs="Angsana New"/>
      <w:szCs w:val="24"/>
      <w:lang w:val="en-US" w:bidi="th-TH"/>
    </w:rPr>
  </w:style>
  <w:style w:type="paragraph" w:styleId="BodyText2">
    <w:name w:val="Body Text 2"/>
    <w:basedOn w:val="Normal"/>
    <w:link w:val="BodyText2Char"/>
    <w:rsid w:val="00122E77"/>
    <w:rPr>
      <w:rFonts w:cs="Angsana New"/>
      <w:b/>
      <w:bCs/>
      <w:szCs w:val="24"/>
      <w:lang w:bidi="th-TH"/>
    </w:rPr>
  </w:style>
  <w:style w:type="character" w:customStyle="1" w:styleId="BodyText2Char">
    <w:name w:val="Body Text 2 Char"/>
    <w:basedOn w:val="DefaultParagraphFont"/>
    <w:link w:val="BodyText2"/>
    <w:rsid w:val="00122E77"/>
    <w:rPr>
      <w:rFonts w:ascii="Arial" w:hAnsi="Arial" w:cs="Angsana New"/>
      <w:b/>
      <w:bCs/>
      <w:szCs w:val="24"/>
      <w:lang w:bidi="th-TH"/>
    </w:rPr>
  </w:style>
  <w:style w:type="paragraph" w:customStyle="1" w:styleId="n">
    <w:name w:val="n"/>
    <w:basedOn w:val="Header"/>
    <w:rsid w:val="00122E77"/>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122E77"/>
    <w:pPr>
      <w:keepNext w:val="0"/>
      <w:jc w:val="left"/>
    </w:pPr>
    <w:rPr>
      <w:rFonts w:cs="Angsana New"/>
      <w:iCs/>
      <w:szCs w:val="24"/>
      <w:lang w:bidi="th-TH"/>
    </w:rPr>
  </w:style>
  <w:style w:type="paragraph" w:customStyle="1" w:styleId="Normaltb">
    <w:name w:val="Normaltb"/>
    <w:basedOn w:val="Normalt"/>
    <w:rsid w:val="00122E77"/>
    <w:pPr>
      <w:keepNext/>
    </w:pPr>
    <w:rPr>
      <w:b/>
      <w:bCs/>
    </w:rPr>
  </w:style>
  <w:style w:type="paragraph" w:customStyle="1" w:styleId="Normalt">
    <w:name w:val="Normalt"/>
    <w:basedOn w:val="Normal"/>
    <w:link w:val="NormaltChar"/>
    <w:rsid w:val="00122E77"/>
    <w:pPr>
      <w:spacing w:before="120" w:after="120"/>
      <w:jc w:val="left"/>
    </w:pPr>
    <w:rPr>
      <w:rFonts w:cs="Angsana New"/>
      <w:noProof/>
      <w:lang w:bidi="th-TH"/>
    </w:rPr>
  </w:style>
  <w:style w:type="character" w:customStyle="1" w:styleId="NormaltChar">
    <w:name w:val="Normalt Char"/>
    <w:link w:val="Normalt"/>
    <w:locked/>
    <w:rsid w:val="00122E77"/>
    <w:rPr>
      <w:rFonts w:ascii="Arial" w:hAnsi="Arial" w:cs="Angsana New"/>
      <w:noProof/>
      <w:lang w:bidi="th-TH"/>
    </w:rPr>
  </w:style>
  <w:style w:type="paragraph" w:styleId="DocumentMap">
    <w:name w:val="Document Map"/>
    <w:basedOn w:val="Normal"/>
    <w:link w:val="DocumentMapChar"/>
    <w:rsid w:val="00122E77"/>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122E77"/>
    <w:rPr>
      <w:rFonts w:ascii="Tahoma" w:hAnsi="Tahoma" w:cs="Tahoma"/>
      <w:szCs w:val="24"/>
      <w:shd w:val="clear" w:color="auto" w:fill="000080"/>
      <w:lang w:bidi="th-TH"/>
    </w:rPr>
  </w:style>
  <w:style w:type="paragraph" w:styleId="BodyTextIndent2">
    <w:name w:val="Body Text Indent 2"/>
    <w:basedOn w:val="Normal"/>
    <w:link w:val="BodyTextIndent2Char"/>
    <w:rsid w:val="00122E77"/>
    <w:pPr>
      <w:numPr>
        <w:numId w:val="18"/>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122E77"/>
    <w:rPr>
      <w:rFonts w:ascii="Arial" w:hAnsi="Arial" w:cs="Angsana New"/>
      <w:szCs w:val="24"/>
      <w:lang w:bidi="th-TH"/>
    </w:rPr>
  </w:style>
  <w:style w:type="paragraph" w:customStyle="1" w:styleId="indentpara">
    <w:name w:val="indentpara"/>
    <w:basedOn w:val="Normal"/>
    <w:rsid w:val="00122E77"/>
    <w:pPr>
      <w:tabs>
        <w:tab w:val="num" w:pos="360"/>
      </w:tabs>
      <w:ind w:left="360" w:hanging="360"/>
      <w:jc w:val="left"/>
    </w:pPr>
    <w:rPr>
      <w:rFonts w:cs="Angsana New"/>
      <w:szCs w:val="24"/>
      <w:lang w:bidi="th-TH"/>
    </w:rPr>
  </w:style>
  <w:style w:type="paragraph" w:customStyle="1" w:styleId="Style1">
    <w:name w:val="Style1"/>
    <w:basedOn w:val="Normal"/>
    <w:rsid w:val="00122E77"/>
    <w:pPr>
      <w:tabs>
        <w:tab w:val="decimal" w:pos="907"/>
        <w:tab w:val="left" w:pos="1077"/>
      </w:tabs>
    </w:pPr>
    <w:rPr>
      <w:rFonts w:cs="Angsana New"/>
      <w:szCs w:val="24"/>
      <w:lang w:bidi="th-TH"/>
    </w:rPr>
  </w:style>
  <w:style w:type="paragraph" w:customStyle="1" w:styleId="h4para">
    <w:name w:val="h4para"/>
    <w:basedOn w:val="Normal"/>
    <w:rsid w:val="00122E77"/>
    <w:pPr>
      <w:tabs>
        <w:tab w:val="left" w:pos="993"/>
        <w:tab w:val="left" w:pos="1843"/>
      </w:tabs>
    </w:pPr>
    <w:rPr>
      <w:rFonts w:cs="Angsana New"/>
      <w:sz w:val="22"/>
      <w:szCs w:val="22"/>
      <w:lang w:bidi="th-TH"/>
    </w:rPr>
  </w:style>
  <w:style w:type="paragraph" w:styleId="BodyText3">
    <w:name w:val="Body Text 3"/>
    <w:basedOn w:val="Normal"/>
    <w:link w:val="BodyText3Char"/>
    <w:rsid w:val="00122E77"/>
    <w:pPr>
      <w:spacing w:after="120"/>
      <w:jc w:val="left"/>
    </w:pPr>
    <w:rPr>
      <w:rFonts w:cs="Angsana New"/>
      <w:sz w:val="16"/>
      <w:szCs w:val="16"/>
      <w:lang w:bidi="th-TH"/>
    </w:rPr>
  </w:style>
  <w:style w:type="character" w:customStyle="1" w:styleId="BodyText3Char">
    <w:name w:val="Body Text 3 Char"/>
    <w:basedOn w:val="DefaultParagraphFont"/>
    <w:link w:val="BodyText3"/>
    <w:rsid w:val="00122E77"/>
    <w:rPr>
      <w:rFonts w:ascii="Arial" w:hAnsi="Arial" w:cs="Angsana New"/>
      <w:sz w:val="16"/>
      <w:szCs w:val="16"/>
      <w:lang w:bidi="th-TH"/>
    </w:rPr>
  </w:style>
  <w:style w:type="paragraph" w:styleId="BlockText">
    <w:name w:val="Block Text"/>
    <w:basedOn w:val="Normal"/>
    <w:rsid w:val="00122E77"/>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122E77"/>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122E77"/>
    <w:rPr>
      <w:rFonts w:ascii="Arial" w:hAnsi="Arial"/>
    </w:rPr>
  </w:style>
  <w:style w:type="character" w:customStyle="1" w:styleId="BodyTextFirstIndentChar">
    <w:name w:val="Body Text First Indent Char"/>
    <w:basedOn w:val="BodyTextChar2"/>
    <w:link w:val="BodyTextFirstIndent"/>
    <w:rsid w:val="00122E77"/>
    <w:rPr>
      <w:rFonts w:ascii="Arial" w:hAnsi="Arial" w:cs="Angsana New"/>
      <w:szCs w:val="24"/>
      <w:lang w:bidi="th-TH"/>
    </w:rPr>
  </w:style>
  <w:style w:type="paragraph" w:styleId="BodyTextFirstIndent2">
    <w:name w:val="Body Text First Indent 2"/>
    <w:basedOn w:val="BodyTextIndent"/>
    <w:link w:val="BodyTextFirstIndent2Char"/>
    <w:rsid w:val="00122E77"/>
    <w:pPr>
      <w:ind w:left="283" w:firstLine="210"/>
      <w:jc w:val="left"/>
    </w:pPr>
  </w:style>
  <w:style w:type="character" w:customStyle="1" w:styleId="BodyTextFirstIndent2Char">
    <w:name w:val="Body Text First Indent 2 Char"/>
    <w:basedOn w:val="BodyTextIndentChar"/>
    <w:link w:val="BodyTextFirstIndent2"/>
    <w:rsid w:val="00122E77"/>
    <w:rPr>
      <w:rFonts w:ascii="Arial" w:hAnsi="Arial" w:cs="Angsana New"/>
      <w:szCs w:val="24"/>
      <w:lang w:bidi="th-TH"/>
    </w:rPr>
  </w:style>
  <w:style w:type="paragraph" w:styleId="BodyTextIndent3">
    <w:name w:val="Body Text Indent 3"/>
    <w:basedOn w:val="Normal"/>
    <w:link w:val="BodyTextIndent3Char"/>
    <w:rsid w:val="00122E77"/>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122E77"/>
    <w:rPr>
      <w:rFonts w:ascii="Arial" w:hAnsi="Arial" w:cs="Angsana New"/>
      <w:sz w:val="16"/>
      <w:szCs w:val="16"/>
      <w:lang w:bidi="th-TH"/>
    </w:rPr>
  </w:style>
  <w:style w:type="paragraph" w:styleId="EnvelopeAddress">
    <w:name w:val="envelope address"/>
    <w:basedOn w:val="Normal"/>
    <w:rsid w:val="00122E77"/>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122E77"/>
    <w:pPr>
      <w:jc w:val="left"/>
    </w:pPr>
    <w:rPr>
      <w:rFonts w:cs="Angsana New"/>
      <w:lang w:bidi="th-TH"/>
    </w:rPr>
  </w:style>
  <w:style w:type="paragraph" w:styleId="List">
    <w:name w:val="List"/>
    <w:basedOn w:val="Normal"/>
    <w:rsid w:val="00122E77"/>
    <w:pPr>
      <w:ind w:left="283" w:hanging="283"/>
      <w:jc w:val="left"/>
    </w:pPr>
    <w:rPr>
      <w:rFonts w:cs="Angsana New"/>
      <w:szCs w:val="24"/>
      <w:lang w:bidi="th-TH"/>
    </w:rPr>
  </w:style>
  <w:style w:type="paragraph" w:styleId="List2">
    <w:name w:val="List 2"/>
    <w:basedOn w:val="Normal"/>
    <w:rsid w:val="00122E77"/>
    <w:pPr>
      <w:ind w:left="566" w:hanging="283"/>
      <w:jc w:val="left"/>
    </w:pPr>
    <w:rPr>
      <w:rFonts w:cs="Angsana New"/>
      <w:szCs w:val="24"/>
      <w:lang w:bidi="th-TH"/>
    </w:rPr>
  </w:style>
  <w:style w:type="paragraph" w:styleId="List3">
    <w:name w:val="List 3"/>
    <w:basedOn w:val="Normal"/>
    <w:rsid w:val="00122E77"/>
    <w:pPr>
      <w:ind w:left="849" w:hanging="283"/>
      <w:jc w:val="left"/>
    </w:pPr>
    <w:rPr>
      <w:rFonts w:cs="Angsana New"/>
      <w:szCs w:val="24"/>
      <w:lang w:bidi="th-TH"/>
    </w:rPr>
  </w:style>
  <w:style w:type="paragraph" w:styleId="List4">
    <w:name w:val="List 4"/>
    <w:basedOn w:val="Normal"/>
    <w:rsid w:val="00122E77"/>
    <w:pPr>
      <w:ind w:left="1132" w:hanging="283"/>
      <w:jc w:val="left"/>
    </w:pPr>
    <w:rPr>
      <w:rFonts w:cs="Angsana New"/>
      <w:szCs w:val="24"/>
      <w:lang w:bidi="th-TH"/>
    </w:rPr>
  </w:style>
  <w:style w:type="paragraph" w:styleId="List5">
    <w:name w:val="List 5"/>
    <w:basedOn w:val="Normal"/>
    <w:rsid w:val="00122E77"/>
    <w:pPr>
      <w:ind w:left="1415" w:hanging="283"/>
      <w:jc w:val="left"/>
    </w:pPr>
    <w:rPr>
      <w:rFonts w:cs="Angsana New"/>
      <w:szCs w:val="24"/>
      <w:lang w:bidi="th-TH"/>
    </w:rPr>
  </w:style>
  <w:style w:type="paragraph" w:styleId="ListContinue">
    <w:name w:val="List Continue"/>
    <w:basedOn w:val="Normal"/>
    <w:rsid w:val="00122E77"/>
    <w:pPr>
      <w:spacing w:after="120"/>
      <w:ind w:left="283"/>
      <w:jc w:val="left"/>
    </w:pPr>
    <w:rPr>
      <w:rFonts w:cs="Angsana New"/>
      <w:szCs w:val="24"/>
      <w:lang w:bidi="th-TH"/>
    </w:rPr>
  </w:style>
  <w:style w:type="paragraph" w:styleId="ListContinue2">
    <w:name w:val="List Continue 2"/>
    <w:basedOn w:val="Normal"/>
    <w:rsid w:val="00122E77"/>
    <w:pPr>
      <w:spacing w:after="120"/>
      <w:ind w:left="566"/>
      <w:jc w:val="left"/>
    </w:pPr>
    <w:rPr>
      <w:rFonts w:cs="Angsana New"/>
      <w:szCs w:val="24"/>
      <w:lang w:bidi="th-TH"/>
    </w:rPr>
  </w:style>
  <w:style w:type="paragraph" w:styleId="ListContinue3">
    <w:name w:val="List Continue 3"/>
    <w:basedOn w:val="Normal"/>
    <w:rsid w:val="00122E77"/>
    <w:pPr>
      <w:spacing w:after="120"/>
      <w:ind w:left="849"/>
      <w:jc w:val="left"/>
    </w:pPr>
    <w:rPr>
      <w:rFonts w:cs="Angsana New"/>
      <w:szCs w:val="24"/>
      <w:lang w:bidi="th-TH"/>
    </w:rPr>
  </w:style>
  <w:style w:type="paragraph" w:styleId="ListContinue4">
    <w:name w:val="List Continue 4"/>
    <w:basedOn w:val="Normal"/>
    <w:rsid w:val="00122E77"/>
    <w:pPr>
      <w:spacing w:after="120"/>
      <w:ind w:left="1132"/>
      <w:jc w:val="left"/>
    </w:pPr>
    <w:rPr>
      <w:rFonts w:cs="Angsana New"/>
      <w:szCs w:val="24"/>
      <w:lang w:bidi="th-TH"/>
    </w:rPr>
  </w:style>
  <w:style w:type="paragraph" w:styleId="ListContinue5">
    <w:name w:val="List Continue 5"/>
    <w:basedOn w:val="Normal"/>
    <w:rsid w:val="00122E77"/>
    <w:pPr>
      <w:spacing w:after="120"/>
      <w:ind w:left="1415"/>
      <w:jc w:val="left"/>
    </w:pPr>
    <w:rPr>
      <w:rFonts w:cs="Angsana New"/>
      <w:szCs w:val="24"/>
      <w:lang w:bidi="th-TH"/>
    </w:rPr>
  </w:style>
  <w:style w:type="paragraph" w:styleId="MessageHeader">
    <w:name w:val="Message Header"/>
    <w:basedOn w:val="Normal"/>
    <w:link w:val="MessageHeaderChar"/>
    <w:rsid w:val="00122E77"/>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122E77"/>
    <w:rPr>
      <w:rFonts w:ascii="Arial" w:hAnsi="Arial" w:cs="Angsana New"/>
      <w:szCs w:val="24"/>
      <w:shd w:val="pct20" w:color="auto" w:fill="auto"/>
      <w:lang w:bidi="th-TH"/>
    </w:rPr>
  </w:style>
  <w:style w:type="paragraph" w:styleId="NormalIndent">
    <w:name w:val="Normal Indent"/>
    <w:basedOn w:val="Normal"/>
    <w:rsid w:val="00122E77"/>
    <w:pPr>
      <w:ind w:left="567"/>
      <w:jc w:val="left"/>
    </w:pPr>
    <w:rPr>
      <w:rFonts w:cs="Angsana New"/>
      <w:szCs w:val="24"/>
      <w:lang w:bidi="th-TH"/>
    </w:rPr>
  </w:style>
  <w:style w:type="paragraph" w:styleId="NoteHeading">
    <w:name w:val="Note Heading"/>
    <w:basedOn w:val="Normal"/>
    <w:next w:val="Normal"/>
    <w:link w:val="NoteHeadingChar"/>
    <w:rsid w:val="00122E77"/>
    <w:pPr>
      <w:jc w:val="left"/>
    </w:pPr>
    <w:rPr>
      <w:rFonts w:cs="Angsana New"/>
      <w:szCs w:val="24"/>
      <w:lang w:bidi="th-TH"/>
    </w:rPr>
  </w:style>
  <w:style w:type="character" w:customStyle="1" w:styleId="NoteHeadingChar">
    <w:name w:val="Note Heading Char"/>
    <w:basedOn w:val="DefaultParagraphFont"/>
    <w:link w:val="NoteHeading"/>
    <w:rsid w:val="00122E77"/>
    <w:rPr>
      <w:rFonts w:ascii="Arial" w:hAnsi="Arial" w:cs="Angsana New"/>
      <w:szCs w:val="24"/>
      <w:lang w:bidi="th-TH"/>
    </w:rPr>
  </w:style>
  <w:style w:type="paragraph" w:styleId="PlainText">
    <w:name w:val="Plain Text"/>
    <w:basedOn w:val="Normal"/>
    <w:link w:val="PlainTextChar"/>
    <w:rsid w:val="00122E77"/>
    <w:pPr>
      <w:jc w:val="left"/>
    </w:pPr>
    <w:rPr>
      <w:rFonts w:ascii="Courier New" w:hAnsi="Courier New" w:cs="Angsana New"/>
      <w:lang w:bidi="th-TH"/>
    </w:rPr>
  </w:style>
  <w:style w:type="character" w:customStyle="1" w:styleId="PlainTextChar">
    <w:name w:val="Plain Text Char"/>
    <w:basedOn w:val="DefaultParagraphFont"/>
    <w:link w:val="PlainText"/>
    <w:rsid w:val="00122E77"/>
    <w:rPr>
      <w:rFonts w:ascii="Courier New" w:hAnsi="Courier New" w:cs="Angsana New"/>
      <w:lang w:bidi="th-TH"/>
    </w:rPr>
  </w:style>
  <w:style w:type="paragraph" w:styleId="Salutation">
    <w:name w:val="Salutation"/>
    <w:basedOn w:val="Normal"/>
    <w:next w:val="Normal"/>
    <w:link w:val="SalutationChar"/>
    <w:rsid w:val="00122E77"/>
    <w:pPr>
      <w:jc w:val="left"/>
    </w:pPr>
    <w:rPr>
      <w:rFonts w:cs="Angsana New"/>
      <w:szCs w:val="24"/>
      <w:lang w:bidi="th-TH"/>
    </w:rPr>
  </w:style>
  <w:style w:type="character" w:customStyle="1" w:styleId="SalutationChar">
    <w:name w:val="Salutation Char"/>
    <w:basedOn w:val="DefaultParagraphFont"/>
    <w:link w:val="Salutation"/>
    <w:rsid w:val="00122E77"/>
    <w:rPr>
      <w:rFonts w:ascii="Arial" w:hAnsi="Arial" w:cs="Angsana New"/>
      <w:szCs w:val="24"/>
      <w:lang w:bidi="th-TH"/>
    </w:rPr>
  </w:style>
  <w:style w:type="paragraph" w:styleId="Subtitle">
    <w:name w:val="Subtitle"/>
    <w:basedOn w:val="Normal"/>
    <w:link w:val="SubtitleChar"/>
    <w:qFormat/>
    <w:rsid w:val="00122E77"/>
    <w:pPr>
      <w:spacing w:after="60"/>
      <w:jc w:val="center"/>
      <w:outlineLvl w:val="1"/>
    </w:pPr>
    <w:rPr>
      <w:rFonts w:cs="Angsana New"/>
      <w:szCs w:val="24"/>
      <w:lang w:bidi="th-TH"/>
    </w:rPr>
  </w:style>
  <w:style w:type="character" w:customStyle="1" w:styleId="SubtitleChar">
    <w:name w:val="Subtitle Char"/>
    <w:basedOn w:val="DefaultParagraphFont"/>
    <w:link w:val="Subtitle"/>
    <w:rsid w:val="00122E77"/>
    <w:rPr>
      <w:rFonts w:ascii="Arial" w:hAnsi="Arial" w:cs="Angsana New"/>
      <w:szCs w:val="24"/>
      <w:lang w:bidi="th-TH"/>
    </w:rPr>
  </w:style>
  <w:style w:type="paragraph" w:customStyle="1" w:styleId="apsd">
    <w:name w:val="aps_d"/>
    <w:basedOn w:val="Normal"/>
    <w:rsid w:val="00122E77"/>
    <w:pPr>
      <w:spacing w:before="80"/>
      <w:jc w:val="left"/>
    </w:pPr>
    <w:rPr>
      <w:rFonts w:cs="Angsana New"/>
      <w:b/>
      <w:bCs/>
      <w:snapToGrid w:val="0"/>
      <w:color w:val="000000"/>
      <w:sz w:val="18"/>
      <w:szCs w:val="18"/>
      <w:lang w:val="de-DE" w:bidi="th-TH"/>
    </w:rPr>
  </w:style>
  <w:style w:type="paragraph" w:customStyle="1" w:styleId="apse">
    <w:name w:val="aps_e"/>
    <w:basedOn w:val="apsd"/>
    <w:rsid w:val="00122E77"/>
    <w:pPr>
      <w:spacing w:before="0"/>
    </w:pPr>
    <w:rPr>
      <w:b w:val="0"/>
      <w:bCs w:val="0"/>
      <w:sz w:val="16"/>
      <w:szCs w:val="16"/>
    </w:rPr>
  </w:style>
  <w:style w:type="paragraph" w:styleId="IndexHeading">
    <w:name w:val="index heading"/>
    <w:basedOn w:val="Normal"/>
    <w:next w:val="Index1"/>
    <w:uiPriority w:val="99"/>
    <w:rsid w:val="00122E77"/>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122E77"/>
    <w:pPr>
      <w:spacing w:before="120"/>
    </w:pPr>
    <w:rPr>
      <w:b/>
      <w:bCs/>
      <w:szCs w:val="24"/>
    </w:rPr>
  </w:style>
  <w:style w:type="character" w:customStyle="1" w:styleId="underline">
    <w:name w:val="underline"/>
    <w:basedOn w:val="DefaultParagraphFont"/>
    <w:rsid w:val="00122E77"/>
    <w:rPr>
      <w:u w:val="single"/>
    </w:rPr>
  </w:style>
  <w:style w:type="paragraph" w:customStyle="1" w:styleId="bullet">
    <w:name w:val="bullet"/>
    <w:basedOn w:val="Normal"/>
    <w:rsid w:val="00122E77"/>
    <w:pPr>
      <w:tabs>
        <w:tab w:val="num" w:pos="926"/>
        <w:tab w:val="left" w:pos="993"/>
      </w:tabs>
      <w:ind w:left="992" w:hanging="425"/>
    </w:pPr>
    <w:rPr>
      <w:sz w:val="22"/>
      <w:szCs w:val="22"/>
    </w:rPr>
  </w:style>
  <w:style w:type="paragraph" w:customStyle="1" w:styleId="chaptitle">
    <w:name w:val="chaptitle"/>
    <w:basedOn w:val="Normal"/>
    <w:rsid w:val="00122E77"/>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122E77"/>
    <w:rPr>
      <w:rFonts w:cs="Arial"/>
      <w:bCs/>
      <w:caps w:val="0"/>
      <w:szCs w:val="30"/>
    </w:rPr>
  </w:style>
  <w:style w:type="paragraph" w:customStyle="1" w:styleId="Draft">
    <w:name w:val="Draft"/>
    <w:basedOn w:val="Normal"/>
    <w:next w:val="Normal"/>
    <w:rsid w:val="00122E77"/>
    <w:pPr>
      <w:spacing w:before="720" w:after="480"/>
      <w:jc w:val="center"/>
    </w:pPr>
    <w:rPr>
      <w:caps/>
      <w:sz w:val="28"/>
      <w:szCs w:val="28"/>
    </w:rPr>
  </w:style>
  <w:style w:type="paragraph" w:customStyle="1" w:styleId="EndOfDoc0">
    <w:name w:val="EndOfDoc"/>
    <w:basedOn w:val="Normal"/>
    <w:rsid w:val="00122E77"/>
    <w:pPr>
      <w:ind w:left="4536"/>
      <w:jc w:val="center"/>
    </w:pPr>
    <w:rPr>
      <w:sz w:val="22"/>
      <w:szCs w:val="22"/>
    </w:rPr>
  </w:style>
  <w:style w:type="paragraph" w:customStyle="1" w:styleId="h5para">
    <w:name w:val="h5para"/>
    <w:basedOn w:val="Normal"/>
    <w:rsid w:val="00122E77"/>
    <w:pPr>
      <w:tabs>
        <w:tab w:val="left" w:pos="1985"/>
      </w:tabs>
      <w:ind w:left="993"/>
    </w:pPr>
    <w:rPr>
      <w:sz w:val="22"/>
      <w:szCs w:val="22"/>
    </w:rPr>
  </w:style>
  <w:style w:type="paragraph" w:customStyle="1" w:styleId="halfline">
    <w:name w:val="halfline"/>
    <w:basedOn w:val="Normal"/>
    <w:rsid w:val="00122E77"/>
    <w:pPr>
      <w:spacing w:line="120" w:lineRule="exact"/>
    </w:pPr>
    <w:rPr>
      <w:sz w:val="22"/>
      <w:szCs w:val="22"/>
    </w:rPr>
  </w:style>
  <w:style w:type="paragraph" w:customStyle="1" w:styleId="Standard">
    <w:name w:val="Standard"/>
    <w:rsid w:val="00122E77"/>
    <w:rPr>
      <w:sz w:val="24"/>
      <w:szCs w:val="24"/>
      <w:lang w:val="de-DE"/>
    </w:rPr>
  </w:style>
  <w:style w:type="character" w:styleId="Strong">
    <w:name w:val="Strong"/>
    <w:basedOn w:val="DefaultParagraphFont"/>
    <w:qFormat/>
    <w:rsid w:val="00122E77"/>
    <w:rPr>
      <w:b/>
      <w:bCs/>
    </w:rPr>
  </w:style>
  <w:style w:type="paragraph" w:customStyle="1" w:styleId="TOC2spec">
    <w:name w:val="TOC 2spec"/>
    <w:basedOn w:val="TOC2"/>
    <w:rsid w:val="00122E77"/>
    <w:pPr>
      <w:tabs>
        <w:tab w:val="clear" w:pos="9639"/>
        <w:tab w:val="left" w:pos="709"/>
        <w:tab w:val="left" w:pos="1134"/>
        <w:tab w:val="right" w:leader="dot" w:pos="9072"/>
      </w:tabs>
      <w:spacing w:before="60"/>
      <w:ind w:left="709" w:right="284" w:hanging="425"/>
      <w:jc w:val="both"/>
    </w:pPr>
    <w:rPr>
      <w:i/>
      <w:iCs/>
      <w:smallCaps/>
      <w:noProof/>
    </w:rPr>
  </w:style>
  <w:style w:type="paragraph" w:customStyle="1" w:styleId="Blockquote">
    <w:name w:val="Blockquote"/>
    <w:basedOn w:val="Normal"/>
    <w:rsid w:val="00122E77"/>
    <w:pPr>
      <w:spacing w:before="100" w:after="100"/>
      <w:ind w:left="360" w:right="360"/>
      <w:jc w:val="left"/>
    </w:pPr>
    <w:rPr>
      <w:snapToGrid w:val="0"/>
      <w:szCs w:val="24"/>
      <w:lang w:val="en-AU"/>
    </w:rPr>
  </w:style>
  <w:style w:type="paragraph" w:styleId="Index4">
    <w:name w:val="index 4"/>
    <w:basedOn w:val="Normal"/>
    <w:next w:val="Normal"/>
    <w:autoRedefine/>
    <w:rsid w:val="00122E77"/>
    <w:pPr>
      <w:ind w:left="960" w:hanging="240"/>
      <w:jc w:val="left"/>
    </w:pPr>
    <w:rPr>
      <w:sz w:val="18"/>
      <w:szCs w:val="18"/>
      <w:lang w:bidi="th-TH"/>
    </w:rPr>
  </w:style>
  <w:style w:type="paragraph" w:styleId="Index5">
    <w:name w:val="index 5"/>
    <w:basedOn w:val="Normal"/>
    <w:next w:val="Normal"/>
    <w:autoRedefine/>
    <w:rsid w:val="00122E77"/>
    <w:pPr>
      <w:ind w:left="1200" w:hanging="240"/>
      <w:jc w:val="left"/>
    </w:pPr>
    <w:rPr>
      <w:sz w:val="18"/>
      <w:szCs w:val="18"/>
      <w:lang w:bidi="th-TH"/>
    </w:rPr>
  </w:style>
  <w:style w:type="paragraph" w:styleId="Index6">
    <w:name w:val="index 6"/>
    <w:basedOn w:val="Normal"/>
    <w:next w:val="Normal"/>
    <w:autoRedefine/>
    <w:rsid w:val="00122E77"/>
    <w:pPr>
      <w:ind w:left="1440" w:hanging="240"/>
      <w:jc w:val="left"/>
    </w:pPr>
    <w:rPr>
      <w:sz w:val="18"/>
      <w:szCs w:val="18"/>
      <w:lang w:bidi="th-TH"/>
    </w:rPr>
  </w:style>
  <w:style w:type="paragraph" w:styleId="Index7">
    <w:name w:val="index 7"/>
    <w:basedOn w:val="Normal"/>
    <w:next w:val="Normal"/>
    <w:autoRedefine/>
    <w:rsid w:val="00122E77"/>
    <w:pPr>
      <w:ind w:left="1680" w:hanging="240"/>
      <w:jc w:val="left"/>
    </w:pPr>
    <w:rPr>
      <w:sz w:val="18"/>
      <w:szCs w:val="18"/>
      <w:lang w:bidi="th-TH"/>
    </w:rPr>
  </w:style>
  <w:style w:type="paragraph" w:styleId="Index8">
    <w:name w:val="index 8"/>
    <w:basedOn w:val="Normal"/>
    <w:next w:val="Normal"/>
    <w:autoRedefine/>
    <w:rsid w:val="00122E77"/>
    <w:pPr>
      <w:ind w:left="1920" w:hanging="240"/>
      <w:jc w:val="left"/>
    </w:pPr>
    <w:rPr>
      <w:sz w:val="18"/>
      <w:szCs w:val="18"/>
      <w:lang w:bidi="th-TH"/>
    </w:rPr>
  </w:style>
  <w:style w:type="paragraph" w:styleId="Index9">
    <w:name w:val="index 9"/>
    <w:basedOn w:val="Normal"/>
    <w:next w:val="Normal"/>
    <w:autoRedefine/>
    <w:rsid w:val="00122E77"/>
    <w:pPr>
      <w:ind w:left="2160" w:hanging="240"/>
      <w:jc w:val="left"/>
    </w:pPr>
    <w:rPr>
      <w:sz w:val="18"/>
      <w:szCs w:val="18"/>
      <w:lang w:bidi="th-TH"/>
    </w:rPr>
  </w:style>
  <w:style w:type="paragraph" w:customStyle="1" w:styleId="Cle">
    <w:name w:val="Cle"/>
    <w:basedOn w:val="Normal"/>
    <w:rsid w:val="00122E77"/>
    <w:pPr>
      <w:numPr>
        <w:ilvl w:val="2"/>
        <w:numId w:val="19"/>
      </w:numPr>
      <w:jc w:val="left"/>
    </w:pPr>
    <w:rPr>
      <w:rFonts w:cs="Angsana New"/>
      <w:color w:val="FF0000"/>
      <w:szCs w:val="24"/>
      <w:lang w:bidi="th-TH"/>
    </w:rPr>
  </w:style>
  <w:style w:type="character" w:customStyle="1" w:styleId="Heading4Char1">
    <w:name w:val="Heading 4 Char1"/>
    <w:locked/>
    <w:rsid w:val="00122E77"/>
    <w:rPr>
      <w:rFonts w:ascii="Arial" w:hAnsi="Arial"/>
      <w:u w:val="single"/>
      <w:lang w:val="fr-FR" w:eastAsia="en-US" w:bidi="ar-SA"/>
    </w:rPr>
  </w:style>
  <w:style w:type="character" w:customStyle="1" w:styleId="Heading5Char1">
    <w:name w:val="Heading 5 Char1"/>
    <w:locked/>
    <w:rsid w:val="00122E77"/>
    <w:rPr>
      <w:rFonts w:ascii="Arial" w:hAnsi="Arial"/>
      <w:i/>
      <w:lang w:val="en-US" w:eastAsia="en-US" w:bidi="ar-SA"/>
    </w:rPr>
  </w:style>
  <w:style w:type="paragraph" w:customStyle="1" w:styleId="ZchnZchn1">
    <w:name w:val="Zchn Zchn1"/>
    <w:basedOn w:val="Normal"/>
    <w:rsid w:val="00122E77"/>
    <w:pPr>
      <w:spacing w:after="160" w:line="240" w:lineRule="exact"/>
      <w:jc w:val="left"/>
    </w:pPr>
    <w:rPr>
      <w:rFonts w:ascii="Verdana" w:eastAsia="PMingLiU" w:hAnsi="Verdana"/>
    </w:rPr>
  </w:style>
  <w:style w:type="paragraph" w:customStyle="1" w:styleId="Endofdocument">
    <w:name w:val="End of document"/>
    <w:basedOn w:val="Normal"/>
    <w:rsid w:val="00122E77"/>
    <w:pPr>
      <w:ind w:left="4536"/>
      <w:jc w:val="center"/>
    </w:pPr>
    <w:rPr>
      <w:rFonts w:ascii="Times New Roman" w:hAnsi="Times New Roman"/>
      <w:sz w:val="24"/>
    </w:rPr>
  </w:style>
  <w:style w:type="paragraph" w:customStyle="1" w:styleId="tqparabox">
    <w:name w:val="tqparabox"/>
    <w:basedOn w:val="Normal"/>
    <w:rsid w:val="00122E77"/>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122E77"/>
    <w:pPr>
      <w:ind w:left="4536"/>
    </w:pPr>
    <w:rPr>
      <w:rFonts w:ascii="Times New Roman" w:hAnsi="Times New Roman"/>
      <w:i/>
      <w:sz w:val="24"/>
    </w:rPr>
  </w:style>
  <w:style w:type="paragraph" w:customStyle="1" w:styleId="Char">
    <w:name w:val="Char"/>
    <w:basedOn w:val="Normal"/>
    <w:rsid w:val="00122E77"/>
    <w:pPr>
      <w:jc w:val="left"/>
    </w:pPr>
    <w:rPr>
      <w:sz w:val="22"/>
      <w:lang w:val="en-AU"/>
    </w:rPr>
  </w:style>
  <w:style w:type="paragraph" w:customStyle="1" w:styleId="ZchnZchn12">
    <w:name w:val="Zchn Zchn12"/>
    <w:basedOn w:val="Normal"/>
    <w:rsid w:val="00122E77"/>
    <w:pPr>
      <w:spacing w:after="160" w:line="240" w:lineRule="exact"/>
      <w:jc w:val="left"/>
    </w:pPr>
    <w:rPr>
      <w:rFonts w:ascii="Verdana" w:eastAsia="PMingLiU" w:hAnsi="Verdana"/>
    </w:rPr>
  </w:style>
  <w:style w:type="paragraph" w:customStyle="1" w:styleId="ZchnZchn11">
    <w:name w:val="Zchn Zchn11"/>
    <w:basedOn w:val="Normal"/>
    <w:rsid w:val="00122E77"/>
    <w:pPr>
      <w:spacing w:after="160" w:line="240" w:lineRule="exact"/>
      <w:jc w:val="left"/>
    </w:pPr>
    <w:rPr>
      <w:rFonts w:ascii="Verdana" w:eastAsia="PMingLiU" w:hAnsi="Verdana"/>
    </w:rPr>
  </w:style>
  <w:style w:type="character" w:customStyle="1" w:styleId="CharChar31">
    <w:name w:val="Char Char31"/>
    <w:rsid w:val="00122E77"/>
    <w:rPr>
      <w:sz w:val="24"/>
      <w:u w:val="single"/>
      <w:lang w:val="en-US" w:eastAsia="en-US"/>
    </w:rPr>
  </w:style>
  <w:style w:type="character" w:customStyle="1" w:styleId="CharChar22">
    <w:name w:val="Char Char22"/>
    <w:rsid w:val="00122E77"/>
    <w:rPr>
      <w:sz w:val="24"/>
      <w:lang w:val="fr-FR" w:eastAsia="en-US"/>
    </w:rPr>
  </w:style>
  <w:style w:type="character" w:customStyle="1" w:styleId="CharChar30">
    <w:name w:val="Char Char30"/>
    <w:rsid w:val="00122E77"/>
    <w:rPr>
      <w:b/>
      <w:sz w:val="24"/>
      <w:lang w:val="en-US" w:eastAsia="en-US"/>
    </w:rPr>
  </w:style>
  <w:style w:type="character" w:customStyle="1" w:styleId="CharChar29">
    <w:name w:val="Char Char29"/>
    <w:rsid w:val="00122E77"/>
    <w:rPr>
      <w:i/>
      <w:sz w:val="24"/>
      <w:lang w:val="en-US" w:eastAsia="en-US"/>
    </w:rPr>
  </w:style>
  <w:style w:type="character" w:customStyle="1" w:styleId="CharChar28">
    <w:name w:val="Char Char28"/>
    <w:rsid w:val="00122E77"/>
    <w:rPr>
      <w:i/>
      <w:sz w:val="24"/>
      <w:lang w:val="en-US" w:eastAsia="en-US"/>
    </w:rPr>
  </w:style>
  <w:style w:type="character" w:customStyle="1" w:styleId="CharChar19">
    <w:name w:val="Char Char19"/>
    <w:rsid w:val="00122E77"/>
    <w:rPr>
      <w:sz w:val="24"/>
      <w:lang w:val="en-US" w:eastAsia="en-US"/>
    </w:rPr>
  </w:style>
  <w:style w:type="character" w:customStyle="1" w:styleId="CharChar21">
    <w:name w:val="Char Char21"/>
    <w:rsid w:val="00122E77"/>
    <w:rPr>
      <w:sz w:val="16"/>
      <w:lang w:val="en-US" w:eastAsia="en-US"/>
    </w:rPr>
  </w:style>
  <w:style w:type="paragraph" w:customStyle="1" w:styleId="Standard1">
    <w:name w:val="Standard1"/>
    <w:rsid w:val="00122E77"/>
    <w:rPr>
      <w:sz w:val="24"/>
      <w:szCs w:val="24"/>
      <w:lang w:val="de-DE"/>
    </w:rPr>
  </w:style>
  <w:style w:type="paragraph" w:customStyle="1" w:styleId="Fecha">
    <w:name w:val="Fecha"/>
    <w:basedOn w:val="Normal"/>
    <w:rsid w:val="00122E77"/>
    <w:pPr>
      <w:spacing w:before="60"/>
      <w:ind w:left="1276"/>
    </w:pPr>
    <w:rPr>
      <w:b/>
      <w:sz w:val="22"/>
      <w:lang w:val="es-ES_tradnl"/>
    </w:rPr>
  </w:style>
  <w:style w:type="paragraph" w:customStyle="1" w:styleId="Listenabsatz1">
    <w:name w:val="Listenabsatz1"/>
    <w:basedOn w:val="Normal"/>
    <w:rsid w:val="00122E77"/>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122E77"/>
    <w:pPr>
      <w:ind w:left="1000"/>
    </w:pPr>
  </w:style>
  <w:style w:type="paragraph" w:customStyle="1" w:styleId="Headingsectiontitle">
    <w:name w:val="Heading section title"/>
    <w:basedOn w:val="Heading1"/>
    <w:qFormat/>
    <w:rsid w:val="00122E77"/>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122E7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122E77"/>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122E77"/>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122E77"/>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122E77"/>
    <w:rPr>
      <w:rFonts w:ascii="Arial" w:hAnsi="Arial"/>
      <w:smallCaps/>
      <w:noProof/>
      <w:sz w:val="18"/>
      <w:lang w:val="fr-FR" w:eastAsia="ja-JP"/>
    </w:rPr>
  </w:style>
  <w:style w:type="paragraph" w:customStyle="1" w:styleId="Annex">
    <w:name w:val="Annex"/>
    <w:basedOn w:val="Heading1"/>
    <w:next w:val="Normal"/>
    <w:rsid w:val="00122E77"/>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122E77"/>
    <w:pPr>
      <w:keepNext w:val="0"/>
      <w:numPr>
        <w:numId w:val="21"/>
      </w:numPr>
    </w:pPr>
    <w:rPr>
      <w:rFonts w:cs="Angsana New"/>
      <w:szCs w:val="24"/>
      <w:lang w:val="en-GB" w:eastAsia="ja-JP" w:bidi="th-TH"/>
    </w:rPr>
  </w:style>
  <w:style w:type="paragraph" w:customStyle="1" w:styleId="Heading4tg">
    <w:name w:val="Heading 4tg"/>
    <w:basedOn w:val="Heading4"/>
    <w:rsid w:val="00122E77"/>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122E77"/>
    <w:pPr>
      <w:keepNext/>
      <w:tabs>
        <w:tab w:val="clear" w:pos="9639"/>
        <w:tab w:val="left" w:pos="567"/>
        <w:tab w:val="left" w:pos="1276"/>
        <w:tab w:val="right" w:leader="dot" w:pos="9072"/>
      </w:tabs>
      <w:ind w:right="284"/>
      <w:jc w:val="left"/>
    </w:pPr>
    <w:rPr>
      <w:rFonts w:ascii="Times New Roman" w:hAnsi="Times New Roman" w:cs="Angsana New"/>
      <w:b/>
      <w:noProof/>
      <w:lang w:eastAsia="ja-JP" w:bidi="th-TH"/>
    </w:rPr>
  </w:style>
  <w:style w:type="paragraph" w:customStyle="1" w:styleId="TOC2tg">
    <w:name w:val="TOC 2tg"/>
    <w:basedOn w:val="TOC2"/>
    <w:rsid w:val="00122E77"/>
    <w:pPr>
      <w:tabs>
        <w:tab w:val="clear" w:pos="9639"/>
        <w:tab w:val="left" w:pos="1134"/>
        <w:tab w:val="right" w:leader="dot" w:pos="9072"/>
      </w:tabs>
      <w:ind w:left="1134" w:right="284" w:hanging="567"/>
    </w:pPr>
    <w:rPr>
      <w:rFonts w:ascii="Times New Roman" w:hAnsi="Times New Roman" w:cs="Angsana New"/>
      <w:noProof/>
      <w:lang w:eastAsia="ja-JP" w:bidi="th-TH"/>
    </w:rPr>
  </w:style>
  <w:style w:type="paragraph" w:customStyle="1" w:styleId="StyleHeading2Justified">
    <w:name w:val="Style Heading 2 + Justified"/>
    <w:basedOn w:val="Heading2"/>
    <w:rsid w:val="00122E77"/>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122E77"/>
    <w:pPr>
      <w:spacing w:after="200"/>
    </w:pPr>
    <w:rPr>
      <w:b/>
      <w:bCs/>
      <w:color w:val="4F81BD" w:themeColor="accent1"/>
      <w:sz w:val="18"/>
      <w:szCs w:val="18"/>
    </w:rPr>
  </w:style>
  <w:style w:type="paragraph" w:customStyle="1" w:styleId="tgchartextcentered">
    <w:name w:val="tg_char_text_centered"/>
    <w:basedOn w:val="Normal"/>
    <w:rsid w:val="00122E77"/>
    <w:pPr>
      <w:spacing w:before="80" w:after="80"/>
      <w:jc w:val="center"/>
    </w:pPr>
    <w:rPr>
      <w:b/>
      <w:sz w:val="16"/>
    </w:rPr>
  </w:style>
  <w:style w:type="paragraph" w:customStyle="1" w:styleId="tgchartext">
    <w:name w:val="tg_char_text"/>
    <w:basedOn w:val="Normal"/>
    <w:rsid w:val="00122E77"/>
    <w:pPr>
      <w:spacing w:before="80" w:after="80"/>
      <w:jc w:val="left"/>
    </w:pPr>
    <w:rPr>
      <w:sz w:val="16"/>
    </w:rPr>
  </w:style>
  <w:style w:type="paragraph" w:customStyle="1" w:styleId="heading3i">
    <w:name w:val="heading 3i"/>
    <w:basedOn w:val="Heading3"/>
    <w:rsid w:val="00122E77"/>
    <w:pPr>
      <w:keepNext w:val="0"/>
      <w:jc w:val="left"/>
    </w:pPr>
    <w:rPr>
      <w:rFonts w:cs="Angsana New"/>
      <w:i w:val="0"/>
      <w:iCs/>
      <w:szCs w:val="24"/>
      <w:lang w:bidi="th-TH"/>
    </w:rPr>
  </w:style>
  <w:style w:type="paragraph" w:customStyle="1" w:styleId="h1a1">
    <w:name w:val="h1a1"/>
    <w:basedOn w:val="Heading1"/>
    <w:qFormat/>
    <w:rsid w:val="00122E77"/>
  </w:style>
  <w:style w:type="paragraph" w:customStyle="1" w:styleId="h1a2">
    <w:name w:val="h1a2"/>
    <w:basedOn w:val="Heading1"/>
    <w:qFormat/>
    <w:rsid w:val="00122E77"/>
  </w:style>
  <w:style w:type="paragraph" w:customStyle="1" w:styleId="h1a4">
    <w:name w:val="h1a4"/>
    <w:basedOn w:val="Heading1"/>
    <w:qFormat/>
    <w:rsid w:val="00122E77"/>
  </w:style>
  <w:style w:type="paragraph" w:customStyle="1" w:styleId="h2a1">
    <w:name w:val="h2a1"/>
    <w:basedOn w:val="Heading2"/>
    <w:qFormat/>
    <w:rsid w:val="00122E77"/>
    <w:pPr>
      <w:jc w:val="center"/>
    </w:pPr>
    <w:rPr>
      <w:b/>
    </w:rPr>
  </w:style>
  <w:style w:type="paragraph" w:customStyle="1" w:styleId="h2a2">
    <w:name w:val="h2a2"/>
    <w:basedOn w:val="Heading2"/>
    <w:qFormat/>
    <w:rsid w:val="00122E77"/>
    <w:pPr>
      <w:jc w:val="center"/>
    </w:pPr>
    <w:rPr>
      <w:b/>
    </w:rPr>
  </w:style>
  <w:style w:type="paragraph" w:customStyle="1" w:styleId="h2a3">
    <w:name w:val="h2a3"/>
    <w:basedOn w:val="Heading2"/>
    <w:qFormat/>
    <w:rsid w:val="00122E77"/>
    <w:pPr>
      <w:jc w:val="center"/>
    </w:pPr>
    <w:rPr>
      <w:b/>
    </w:rPr>
  </w:style>
  <w:style w:type="paragraph" w:customStyle="1" w:styleId="h2a4">
    <w:name w:val="h2a4"/>
    <w:basedOn w:val="Heading2"/>
    <w:qFormat/>
    <w:rsid w:val="00122E77"/>
    <w:pPr>
      <w:jc w:val="center"/>
    </w:pPr>
    <w:rPr>
      <w:b/>
    </w:rPr>
  </w:style>
  <w:style w:type="paragraph" w:customStyle="1" w:styleId="Inf6normal">
    <w:name w:val="Inf6_normal"/>
    <w:basedOn w:val="Normal"/>
    <w:link w:val="Inf6normalChar"/>
    <w:rsid w:val="00122E77"/>
    <w:pPr>
      <w:tabs>
        <w:tab w:val="left" w:pos="426"/>
        <w:tab w:val="left" w:pos="992"/>
      </w:tabs>
    </w:pPr>
    <w:rPr>
      <w:rFonts w:cs="Arial"/>
    </w:rPr>
  </w:style>
  <w:style w:type="paragraph" w:customStyle="1" w:styleId="Inf6Titre4">
    <w:name w:val="Inf6_Titre4"/>
    <w:basedOn w:val="Normal"/>
    <w:next w:val="Normal"/>
    <w:rsid w:val="00122E77"/>
    <w:pPr>
      <w:spacing w:after="360"/>
      <w:jc w:val="center"/>
    </w:pPr>
    <w:rPr>
      <w:rFonts w:cs="Arial"/>
      <w:caps/>
    </w:rPr>
  </w:style>
  <w:style w:type="character" w:customStyle="1" w:styleId="Inf6normalChar">
    <w:name w:val="Inf6_normal Char"/>
    <w:basedOn w:val="DefaultParagraphFont"/>
    <w:link w:val="Inf6normal"/>
    <w:rsid w:val="00122E77"/>
    <w:rPr>
      <w:rFonts w:ascii="Arial" w:hAnsi="Arial" w:cs="Arial"/>
    </w:rPr>
  </w:style>
  <w:style w:type="paragraph" w:customStyle="1" w:styleId="Default">
    <w:name w:val="Default"/>
    <w:rsid w:val="00122E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4.xml"/><Relationship Id="rId42" Type="http://schemas.openxmlformats.org/officeDocument/2006/relationships/footer" Target="footer12.xml"/><Relationship Id="rId47" Type="http://schemas.openxmlformats.org/officeDocument/2006/relationships/footer" Target="footer14.xml"/><Relationship Id="rId63" Type="http://schemas.openxmlformats.org/officeDocument/2006/relationships/footer" Target="footer22.xml"/><Relationship Id="rId68" Type="http://schemas.openxmlformats.org/officeDocument/2006/relationships/footer" Target="footer24.xml"/><Relationship Id="rId84" Type="http://schemas.openxmlformats.org/officeDocument/2006/relationships/header" Target="header33.xml"/><Relationship Id="rId89" Type="http://schemas.openxmlformats.org/officeDocument/2006/relationships/footer" Target="footer33.xml"/><Relationship Id="rId16" Type="http://schemas.openxmlformats.org/officeDocument/2006/relationships/hyperlink" Target="http://www.upov.int/upovprisma" TargetMode="External"/><Relationship Id="rId11" Type="http://schemas.openxmlformats.org/officeDocument/2006/relationships/hyperlink" Target="http://www.upov.int/tgp/en/list.jsp" TargetMode="External"/><Relationship Id="rId32" Type="http://schemas.openxmlformats.org/officeDocument/2006/relationships/footer" Target="footer7.xml"/><Relationship Id="rId37" Type="http://schemas.openxmlformats.org/officeDocument/2006/relationships/header" Target="header12.xml"/><Relationship Id="rId53" Type="http://schemas.openxmlformats.org/officeDocument/2006/relationships/footer" Target="footer17.xml"/><Relationship Id="rId58" Type="http://schemas.openxmlformats.org/officeDocument/2006/relationships/header" Target="header22.xml"/><Relationship Id="rId74" Type="http://schemas.openxmlformats.org/officeDocument/2006/relationships/header" Target="header29.xml"/><Relationship Id="rId79" Type="http://schemas.openxmlformats.org/officeDocument/2006/relationships/hyperlink" Target="https://www.upov.int/meetings/en/doc_details.jsp?meeting_id=48107&amp;doc_id=419311" TargetMode="External"/><Relationship Id="rId5" Type="http://schemas.openxmlformats.org/officeDocument/2006/relationships/webSettings" Target="webSettings.xml"/><Relationship Id="rId90" Type="http://schemas.openxmlformats.org/officeDocument/2006/relationships/header" Target="header36.xml"/><Relationship Id="rId95" Type="http://schemas.openxmlformats.org/officeDocument/2006/relationships/fontTable" Target="fontTable.xml"/><Relationship Id="rId22" Type="http://schemas.openxmlformats.org/officeDocument/2006/relationships/header" Target="header5.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5.xml"/><Relationship Id="rId64" Type="http://schemas.openxmlformats.org/officeDocument/2006/relationships/hyperlink" Target="https://www.upov.int/meetings/en/doc_details.jsp?meeting_id=48107&amp;doc_id=419311" TargetMode="External"/><Relationship Id="rId69" Type="http://schemas.openxmlformats.org/officeDocument/2006/relationships/header" Target="header27.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hyperlink" Target="https://www.upov.int/edocs/tgpdocs/en/tgp_9.pdf" TargetMode="External"/><Relationship Id="rId80" Type="http://schemas.openxmlformats.org/officeDocument/2006/relationships/header" Target="header31.xml"/><Relationship Id="rId85" Type="http://schemas.openxmlformats.org/officeDocument/2006/relationships/footer" Target="footer31.xml"/><Relationship Id="rId93" Type="http://schemas.openxmlformats.org/officeDocument/2006/relationships/header" Target="header37.xml"/><Relationship Id="rId3" Type="http://schemas.openxmlformats.org/officeDocument/2006/relationships/styles" Target="styles.xml"/><Relationship Id="rId12" Type="http://schemas.openxmlformats.org/officeDocument/2006/relationships/hyperlink" Target="http://www.upov.int/tgp/en/list.jsp"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0.xml"/><Relationship Id="rId46" Type="http://schemas.openxmlformats.org/officeDocument/2006/relationships/header" Target="header17.xml"/><Relationship Id="rId59" Type="http://schemas.openxmlformats.org/officeDocument/2006/relationships/header" Target="header23.xml"/><Relationship Id="rId67" Type="http://schemas.openxmlformats.org/officeDocument/2006/relationships/footer" Target="footer23.xml"/><Relationship Id="rId20" Type="http://schemas.openxmlformats.org/officeDocument/2006/relationships/header" Target="header3.xml"/><Relationship Id="rId41" Type="http://schemas.openxmlformats.org/officeDocument/2006/relationships/footer" Target="footer11.xml"/><Relationship Id="rId54" Type="http://schemas.openxmlformats.org/officeDocument/2006/relationships/footer" Target="footer18.xml"/><Relationship Id="rId62" Type="http://schemas.openxmlformats.org/officeDocument/2006/relationships/header" Target="header24.xml"/><Relationship Id="rId70" Type="http://schemas.openxmlformats.org/officeDocument/2006/relationships/footer" Target="footer25.xml"/><Relationship Id="rId75" Type="http://schemas.openxmlformats.org/officeDocument/2006/relationships/footer" Target="footer26.xml"/><Relationship Id="rId83" Type="http://schemas.openxmlformats.org/officeDocument/2006/relationships/footer" Target="footer30.xml"/><Relationship Id="rId88" Type="http://schemas.openxmlformats.org/officeDocument/2006/relationships/footer" Target="footer32.xml"/><Relationship Id="rId91" Type="http://schemas.openxmlformats.org/officeDocument/2006/relationships/footer" Target="footer3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pov.int/upovprisma" TargetMode="External"/><Relationship Id="rId23" Type="http://schemas.openxmlformats.org/officeDocument/2006/relationships/footer" Target="footer2.xml"/><Relationship Id="rId28" Type="http://schemas.openxmlformats.org/officeDocument/2006/relationships/header" Target="header8.xml"/><Relationship Id="rId36" Type="http://schemas.openxmlformats.org/officeDocument/2006/relationships/footer" Target="footer9.xml"/><Relationship Id="rId49" Type="http://schemas.openxmlformats.org/officeDocument/2006/relationships/header" Target="header18.xml"/><Relationship Id="rId57" Type="http://schemas.openxmlformats.org/officeDocument/2006/relationships/hyperlink" Target="https://www.upov.int/meetings/en/doc_details.jsp?meeting_id=48107&amp;doc_id=419311" TargetMode="External"/><Relationship Id="rId10" Type="http://schemas.openxmlformats.org/officeDocument/2006/relationships/hyperlink" Target="https://www.upov.int/genie/resources/pdfs/upov_code_system_en.pdf" TargetMode="External"/><Relationship Id="rId31" Type="http://schemas.openxmlformats.org/officeDocument/2006/relationships/header" Target="header9.xml"/><Relationship Id="rId44" Type="http://schemas.openxmlformats.org/officeDocument/2006/relationships/footer" Target="footer13.xml"/><Relationship Id="rId52" Type="http://schemas.openxmlformats.org/officeDocument/2006/relationships/header" Target="header20.xml"/><Relationship Id="rId60" Type="http://schemas.openxmlformats.org/officeDocument/2006/relationships/footer" Target="footer20.xml"/><Relationship Id="rId65" Type="http://schemas.openxmlformats.org/officeDocument/2006/relationships/header" Target="header25.xml"/><Relationship Id="rId73" Type="http://schemas.openxmlformats.org/officeDocument/2006/relationships/header" Target="header28.xml"/><Relationship Id="rId78" Type="http://schemas.openxmlformats.org/officeDocument/2006/relationships/footer" Target="footer28.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3" Type="http://schemas.openxmlformats.org/officeDocument/2006/relationships/hyperlink" Target="http://www.upov.int/tgp/en/list.jsp" TargetMode="External"/><Relationship Id="rId18" Type="http://schemas.openxmlformats.org/officeDocument/2006/relationships/header" Target="header2.xml"/><Relationship Id="rId39" Type="http://schemas.openxmlformats.org/officeDocument/2006/relationships/header" Target="header13.xml"/><Relationship Id="rId34" Type="http://schemas.openxmlformats.org/officeDocument/2006/relationships/header" Target="header11.xml"/><Relationship Id="rId50" Type="http://schemas.openxmlformats.org/officeDocument/2006/relationships/footer" Target="footer16.xml"/><Relationship Id="rId55" Type="http://schemas.openxmlformats.org/officeDocument/2006/relationships/header" Target="header21.xml"/><Relationship Id="rId7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yperlink" Target="http://www.rhs.org.uk" TargetMode="External"/><Relationship Id="rId92" Type="http://schemas.openxmlformats.org/officeDocument/2006/relationships/image" Target="media/image2.emf"/><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footer" Target="footer3.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header" Target="header26.xml"/><Relationship Id="rId87" Type="http://schemas.openxmlformats.org/officeDocument/2006/relationships/header" Target="header35.xml"/><Relationship Id="rId61" Type="http://schemas.openxmlformats.org/officeDocument/2006/relationships/footer" Target="footer21.xml"/><Relationship Id="rId82" Type="http://schemas.openxmlformats.org/officeDocument/2006/relationships/footer" Target="footer29.xml"/><Relationship Id="rId19" Type="http://schemas.openxmlformats.org/officeDocument/2006/relationships/footer" Target="footer1.xml"/><Relationship Id="rId14" Type="http://schemas.openxmlformats.org/officeDocument/2006/relationships/hyperlink" Target="http://www.upov.int/tgp/en/list.jsp" TargetMode="External"/><Relationship Id="rId30" Type="http://schemas.openxmlformats.org/officeDocument/2006/relationships/footer" Target="footer6.xml"/><Relationship Id="rId35" Type="http://schemas.openxmlformats.org/officeDocument/2006/relationships/footer" Target="footer8.xml"/><Relationship Id="rId56" Type="http://schemas.openxmlformats.org/officeDocument/2006/relationships/footer" Target="footer19.xml"/><Relationship Id="rId77" Type="http://schemas.openxmlformats.org/officeDocument/2006/relationships/header" Target="header30.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C8AD-81D3-4F5A-8FB1-5874536C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42</TotalTime>
  <Pages>38</Pages>
  <Words>13394</Words>
  <Characters>76227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89443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SANTOS Carla Marina</dc:creator>
  <cp:lastModifiedBy>HUERTA-CASADO Yolanda</cp:lastModifiedBy>
  <cp:revision>13</cp:revision>
  <cp:lastPrinted>2016-11-22T15:41:00Z</cp:lastPrinted>
  <dcterms:created xsi:type="dcterms:W3CDTF">2020-09-25T06:26:00Z</dcterms:created>
  <dcterms:modified xsi:type="dcterms:W3CDTF">2020-09-25T17:26:00Z</dcterms:modified>
</cp:coreProperties>
</file>