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121A39">
            <w:pPr>
              <w:pStyle w:val="TOC1"/>
            </w:pPr>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E559F0">
            <w:pPr>
              <w:pStyle w:val="Sessiontcplacedate"/>
              <w:rPr>
                <w:sz w:val="22"/>
              </w:rPr>
            </w:pPr>
            <w:r>
              <w:t>Seventy-</w:t>
            </w:r>
            <w:r w:rsidR="00F31412">
              <w:t>S</w:t>
            </w:r>
            <w:r w:rsidR="00E559F0">
              <w:t>even</w:t>
            </w:r>
            <w:r w:rsidR="00110BED">
              <w:t>th</w:t>
            </w:r>
            <w:r w:rsidR="00EB4E9C" w:rsidRPr="00DA4973">
              <w:t xml:space="preserve"> Session</w:t>
            </w:r>
            <w:r w:rsidR="00EB4E9C" w:rsidRPr="00DA4973">
              <w:br/>
              <w:t xml:space="preserve">Geneva, </w:t>
            </w:r>
            <w:r>
              <w:t xml:space="preserve">October </w:t>
            </w:r>
            <w:r w:rsidR="00E559F0">
              <w:t>28</w:t>
            </w:r>
            <w:r w:rsidR="00F31412">
              <w:t xml:space="preserve">, </w:t>
            </w:r>
            <w:r w:rsidR="00E559F0">
              <w:t>2020</w:t>
            </w:r>
          </w:p>
        </w:tc>
        <w:tc>
          <w:tcPr>
            <w:tcW w:w="3127" w:type="dxa"/>
          </w:tcPr>
          <w:p w:rsidR="00EB4E9C" w:rsidRPr="003C7FBE" w:rsidRDefault="00E559F0" w:rsidP="003C7FBE">
            <w:pPr>
              <w:pStyle w:val="Doccode"/>
            </w:pPr>
            <w:r>
              <w:t>CAJ/77</w:t>
            </w:r>
            <w:r w:rsidR="00EB4E9C" w:rsidRPr="00AC2883">
              <w:t>/</w:t>
            </w:r>
            <w:r w:rsidR="009F4E42">
              <w:t>2</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771478">
            <w:pPr>
              <w:pStyle w:val="Docoriginal"/>
            </w:pPr>
            <w:r w:rsidRPr="00AC2883">
              <w:t>Date:</w:t>
            </w:r>
            <w:r w:rsidRPr="000E636A">
              <w:rPr>
                <w:b w:val="0"/>
                <w:spacing w:val="0"/>
              </w:rPr>
              <w:t xml:space="preserve">  </w:t>
            </w:r>
            <w:r w:rsidR="00941A50" w:rsidRPr="002D4214">
              <w:rPr>
                <w:b w:val="0"/>
                <w:spacing w:val="0"/>
              </w:rPr>
              <w:t>October 2</w:t>
            </w:r>
            <w:r w:rsidR="00774E1A" w:rsidRPr="002D4214">
              <w:rPr>
                <w:b w:val="0"/>
                <w:spacing w:val="0"/>
              </w:rPr>
              <w:t>7</w:t>
            </w:r>
            <w:r w:rsidRPr="002D4214">
              <w:rPr>
                <w:b w:val="0"/>
                <w:spacing w:val="0"/>
              </w:rPr>
              <w:t xml:space="preserve">, </w:t>
            </w:r>
            <w:r w:rsidR="00E559F0" w:rsidRPr="002D4214">
              <w:rPr>
                <w:b w:val="0"/>
                <w:spacing w:val="0"/>
              </w:rPr>
              <w:t>2020</w:t>
            </w:r>
          </w:p>
        </w:tc>
      </w:tr>
    </w:tbl>
    <w:p w:rsidR="000D7780" w:rsidRPr="006A644A" w:rsidRDefault="009F4E42" w:rsidP="006A644A">
      <w:pPr>
        <w:pStyle w:val="Titleofdoc0"/>
      </w:pPr>
      <w:bookmarkStart w:id="0" w:name="TitleOfDoc"/>
      <w:bookmarkEnd w:id="0"/>
      <w:r w:rsidRPr="009F4E42">
        <w:t>Report on developments in the Technical Committee</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E7310C" w:rsidRDefault="00E7310C" w:rsidP="00771478">
      <w:pPr>
        <w:rPr>
          <w:spacing w:val="2"/>
        </w:rPr>
      </w:pPr>
      <w:r>
        <w:rPr>
          <w:spacing w:val="2"/>
        </w:rPr>
        <w:t>EXECUTIVE SUMMARY</w:t>
      </w:r>
    </w:p>
    <w:p w:rsidR="00E7310C" w:rsidRDefault="00E7310C" w:rsidP="00771478">
      <w:pPr>
        <w:rPr>
          <w:spacing w:val="2"/>
        </w:rPr>
      </w:pPr>
    </w:p>
    <w:p w:rsidR="00E7310C" w:rsidRDefault="00A13508" w:rsidP="00771478">
      <w:r>
        <w:rPr>
          <w:spacing w:val="2"/>
        </w:rPr>
        <w:fldChar w:fldCharType="begin"/>
      </w:r>
      <w:r>
        <w:rPr>
          <w:spacing w:val="2"/>
        </w:rPr>
        <w:instrText xml:space="preserve"> AUTONUM  </w:instrText>
      </w:r>
      <w:r>
        <w:rPr>
          <w:spacing w:val="2"/>
        </w:rPr>
        <w:fldChar w:fldCharType="end"/>
      </w:r>
      <w:r>
        <w:rPr>
          <w:spacing w:val="2"/>
        </w:rPr>
        <w:tab/>
      </w:r>
      <w:r w:rsidR="00771478" w:rsidRPr="00771478">
        <w:rPr>
          <w:spacing w:val="2"/>
        </w:rPr>
        <w:t xml:space="preserve">The purpose of this document is to report on developments in the Technical Committee (TC) at its fifty-sixth session, held in Geneva on October 26 and 27, 2020, of relevance for matters to </w:t>
      </w:r>
      <w:proofErr w:type="gramStart"/>
      <w:r w:rsidR="00771478" w:rsidRPr="00771478">
        <w:rPr>
          <w:spacing w:val="2"/>
        </w:rPr>
        <w:t>be considered</w:t>
      </w:r>
      <w:proofErr w:type="gramEnd"/>
      <w:r w:rsidR="00771478" w:rsidRPr="00771478">
        <w:rPr>
          <w:spacing w:val="2"/>
        </w:rPr>
        <w:t xml:space="preserve"> by the Administrative and Legal Committee (CAJ) at its seventy-seventh session, to be held in Geneva on</w:t>
      </w:r>
      <w:r w:rsidR="00771478">
        <w:rPr>
          <w:spacing w:val="2"/>
        </w:rPr>
        <w:t> </w:t>
      </w:r>
      <w:r w:rsidR="00771478" w:rsidRPr="00771478">
        <w:rPr>
          <w:spacing w:val="2"/>
        </w:rPr>
        <w:t>October 28, 2020.</w:t>
      </w:r>
      <w:r w:rsidR="00771478" w:rsidRPr="000730D6">
        <w:t xml:space="preserve"> </w:t>
      </w:r>
      <w:r w:rsidR="00771478">
        <w:t xml:space="preserve"> </w:t>
      </w:r>
    </w:p>
    <w:p w:rsidR="00E7310C" w:rsidRDefault="00E7310C" w:rsidP="00771478"/>
    <w:p w:rsidR="00771478" w:rsidRPr="000730D6" w:rsidRDefault="00E7310C" w:rsidP="00771478">
      <w:r>
        <w:fldChar w:fldCharType="begin"/>
      </w:r>
      <w:r>
        <w:instrText xml:space="preserve"> AUTONUM  </w:instrText>
      </w:r>
      <w:r>
        <w:fldChar w:fldCharType="end"/>
      </w:r>
      <w:r>
        <w:tab/>
      </w:r>
      <w:r w:rsidR="00771478" w:rsidRPr="000730D6">
        <w:t>The report of the TC is available in document TC/5</w:t>
      </w:r>
      <w:r w:rsidR="00771478">
        <w:t>6</w:t>
      </w:r>
      <w:r w:rsidR="00771478" w:rsidRPr="000730D6">
        <w:t>/</w:t>
      </w:r>
      <w:r w:rsidR="009F054C">
        <w:t>23</w:t>
      </w:r>
      <w:r w:rsidR="00771478" w:rsidRPr="000730D6">
        <w:t xml:space="preserve"> “Report”</w:t>
      </w:r>
      <w:r w:rsidR="00771478">
        <w:t>.</w:t>
      </w:r>
    </w:p>
    <w:p w:rsidR="009F054C" w:rsidRDefault="009F054C" w:rsidP="009F054C">
      <w:pPr>
        <w:rPr>
          <w:highlight w:val="lightGray"/>
        </w:rPr>
      </w:pPr>
    </w:p>
    <w:p w:rsidR="00E7310C" w:rsidRDefault="00E7310C" w:rsidP="00E7310C">
      <w:pPr>
        <w:tabs>
          <w:tab w:val="left" w:pos="567"/>
          <w:tab w:val="left" w:pos="1134"/>
          <w:tab w:val="left" w:pos="1701"/>
          <w:tab w:val="left" w:pos="5387"/>
        </w:tabs>
      </w:pPr>
      <w:r w:rsidRPr="00E7310C">
        <w:fldChar w:fldCharType="begin"/>
      </w:r>
      <w:r w:rsidRPr="00E7310C">
        <w:instrText xml:space="preserve"> AUTONUM  </w:instrText>
      </w:r>
      <w:r w:rsidRPr="00E7310C">
        <w:fldChar w:fldCharType="end"/>
      </w:r>
      <w:r w:rsidRPr="00E7310C">
        <w:tab/>
        <w:t xml:space="preserve">The CAJ </w:t>
      </w:r>
      <w:proofErr w:type="gramStart"/>
      <w:r w:rsidRPr="00E7310C">
        <w:t>is invited</w:t>
      </w:r>
      <w:proofErr w:type="gramEnd"/>
      <w:r w:rsidRPr="00E7310C">
        <w:t xml:space="preserve"> to</w:t>
      </w:r>
      <w:r>
        <w:t>:</w:t>
      </w:r>
    </w:p>
    <w:p w:rsidR="00E7310C" w:rsidRDefault="00E7310C" w:rsidP="00E7310C">
      <w:pPr>
        <w:tabs>
          <w:tab w:val="left" w:pos="567"/>
          <w:tab w:val="left" w:pos="1134"/>
          <w:tab w:val="left" w:pos="1701"/>
          <w:tab w:val="left" w:pos="5387"/>
        </w:tabs>
      </w:pPr>
    </w:p>
    <w:p w:rsidR="00E7310C" w:rsidRPr="00E7310C" w:rsidRDefault="00E7310C" w:rsidP="00E7310C">
      <w:pPr>
        <w:tabs>
          <w:tab w:val="left" w:pos="567"/>
          <w:tab w:val="left" w:pos="1134"/>
          <w:tab w:val="left" w:pos="1701"/>
          <w:tab w:val="left" w:pos="5387"/>
        </w:tabs>
      </w:pPr>
      <w:r>
        <w:tab/>
        <w:t>(a)</w:t>
      </w:r>
      <w:r>
        <w:tab/>
      </w:r>
      <w:proofErr w:type="gramStart"/>
      <w:r w:rsidRPr="00E7310C">
        <w:t>note</w:t>
      </w:r>
      <w:proofErr w:type="gramEnd"/>
      <w:r w:rsidRPr="00E7310C">
        <w:t xml:space="preserve"> that the TC, at its fifty</w:t>
      </w:r>
      <w:r w:rsidRPr="00E7310C">
        <w:noBreakHyphen/>
        <w:t xml:space="preserve">fifth session, endorsed the request by the TWV, at its fifty-fourth session, not to introduce Class </w:t>
      </w:r>
      <w:r w:rsidR="00E56DF6">
        <w:t>205B in document UPOV/EXN/DEN/1;</w:t>
      </w:r>
    </w:p>
    <w:p w:rsidR="00E7310C" w:rsidRPr="00E7310C" w:rsidRDefault="00E7310C" w:rsidP="00E7310C">
      <w:pPr>
        <w:tabs>
          <w:tab w:val="left" w:pos="567"/>
          <w:tab w:val="left" w:pos="1134"/>
          <w:tab w:val="left" w:pos="1701"/>
        </w:tabs>
        <w:rPr>
          <w:highlight w:val="lightGray"/>
        </w:rPr>
      </w:pPr>
    </w:p>
    <w:p w:rsidR="00E7310C" w:rsidRPr="00E7310C" w:rsidRDefault="00E7310C" w:rsidP="00E7310C">
      <w:pPr>
        <w:tabs>
          <w:tab w:val="left" w:pos="567"/>
          <w:tab w:val="left" w:pos="1134"/>
          <w:tab w:val="left" w:pos="1701"/>
          <w:tab w:val="left" w:pos="5387"/>
          <w:tab w:val="left" w:pos="5954"/>
        </w:tabs>
      </w:pPr>
      <w:r>
        <w:tab/>
      </w:r>
      <w:r w:rsidRPr="00E7310C">
        <w:t>(</w:t>
      </w:r>
      <w:r>
        <w:t>b</w:t>
      </w:r>
      <w:r w:rsidRPr="00E7310C">
        <w:t>)</w:t>
      </w:r>
      <w:r w:rsidRPr="00E7310C">
        <w:tab/>
      </w:r>
      <w:proofErr w:type="gramStart"/>
      <w:r w:rsidRPr="00E7310C">
        <w:t>note</w:t>
      </w:r>
      <w:proofErr w:type="gramEnd"/>
      <w:r w:rsidRPr="00E7310C">
        <w:t xml:space="preserve"> the measures agreed by TC to overcome barriers that prevent international cooperation in DUS examination; </w:t>
      </w:r>
    </w:p>
    <w:p w:rsidR="00E7310C" w:rsidRPr="00E7310C" w:rsidRDefault="00E7310C" w:rsidP="00E7310C">
      <w:pPr>
        <w:tabs>
          <w:tab w:val="left" w:pos="567"/>
          <w:tab w:val="left" w:pos="1134"/>
          <w:tab w:val="left" w:pos="1701"/>
          <w:tab w:val="left" w:pos="5387"/>
          <w:tab w:val="left" w:pos="5954"/>
        </w:tabs>
      </w:pPr>
    </w:p>
    <w:p w:rsidR="00E7310C" w:rsidRDefault="00E7310C" w:rsidP="00E7310C">
      <w:pPr>
        <w:tabs>
          <w:tab w:val="left" w:pos="567"/>
          <w:tab w:val="left" w:pos="1134"/>
          <w:tab w:val="left" w:pos="1701"/>
          <w:tab w:val="left" w:pos="5387"/>
          <w:tab w:val="left" w:pos="5954"/>
        </w:tabs>
      </w:pPr>
      <w:r>
        <w:tab/>
      </w:r>
      <w:r w:rsidRPr="00E7310C">
        <w:t>(</w:t>
      </w:r>
      <w:r>
        <w:t>c</w:t>
      </w:r>
      <w:r w:rsidRPr="00E7310C">
        <w:t>)</w:t>
      </w:r>
      <w:r w:rsidRPr="00E7310C">
        <w:tab/>
      </w:r>
      <w:proofErr w:type="gramStart"/>
      <w:r w:rsidRPr="00E7310C">
        <w:t>consider</w:t>
      </w:r>
      <w:proofErr w:type="gramEnd"/>
      <w:r w:rsidRPr="00E7310C">
        <w:t xml:space="preserve"> whether to develop measures to address the following policy or legal barriers that prevent international cooperation in DUS examination: </w:t>
      </w:r>
    </w:p>
    <w:p w:rsidR="00BF3607" w:rsidRPr="00121A39" w:rsidRDefault="00BF3607" w:rsidP="0043533F">
      <w:pPr>
        <w:tabs>
          <w:tab w:val="left" w:pos="567"/>
          <w:tab w:val="left" w:pos="1134"/>
          <w:tab w:val="left" w:pos="1701"/>
          <w:tab w:val="left" w:pos="5387"/>
          <w:tab w:val="left" w:pos="5954"/>
        </w:tabs>
        <w:rPr>
          <w:sz w:val="12"/>
        </w:rPr>
      </w:pPr>
    </w:p>
    <w:p w:rsidR="00E7310C" w:rsidRPr="00E7310C" w:rsidRDefault="00E7310C" w:rsidP="00121A39">
      <w:pPr>
        <w:pStyle w:val="ListParagraph"/>
        <w:numPr>
          <w:ilvl w:val="0"/>
          <w:numId w:val="9"/>
        </w:numPr>
        <w:tabs>
          <w:tab w:val="left" w:pos="567"/>
          <w:tab w:val="left" w:pos="1134"/>
          <w:tab w:val="left" w:pos="1701"/>
          <w:tab w:val="left" w:pos="5387"/>
          <w:tab w:val="left" w:pos="5954"/>
        </w:tabs>
        <w:spacing w:before="120" w:after="0"/>
        <w:ind w:hanging="153"/>
        <w:contextualSpacing w:val="0"/>
      </w:pPr>
      <w:r w:rsidRPr="00E7310C">
        <w:t>Requirement of formal agreement for cooperation;</w:t>
      </w:r>
    </w:p>
    <w:p w:rsidR="00E7310C" w:rsidRPr="00E7310C" w:rsidRDefault="00E7310C" w:rsidP="00121A39">
      <w:pPr>
        <w:pStyle w:val="ListParagraph"/>
        <w:numPr>
          <w:ilvl w:val="0"/>
          <w:numId w:val="9"/>
        </w:numPr>
        <w:tabs>
          <w:tab w:val="left" w:pos="567"/>
          <w:tab w:val="left" w:pos="1134"/>
          <w:tab w:val="left" w:pos="1701"/>
          <w:tab w:val="left" w:pos="5387"/>
          <w:tab w:val="left" w:pos="5954"/>
        </w:tabs>
        <w:spacing w:before="120" w:after="0"/>
        <w:ind w:hanging="153"/>
        <w:contextualSpacing w:val="0"/>
      </w:pPr>
      <w:r w:rsidRPr="00E7310C">
        <w:t>Obligation for DUS examination to be conducted by the authority granting the rights;</w:t>
      </w:r>
    </w:p>
    <w:p w:rsidR="00E7310C" w:rsidRPr="00E7310C" w:rsidRDefault="00E7310C" w:rsidP="00121A39">
      <w:pPr>
        <w:pStyle w:val="ListParagraph"/>
        <w:numPr>
          <w:ilvl w:val="0"/>
          <w:numId w:val="9"/>
        </w:numPr>
        <w:tabs>
          <w:tab w:val="left" w:pos="567"/>
          <w:tab w:val="left" w:pos="1134"/>
          <w:tab w:val="left" w:pos="1701"/>
          <w:tab w:val="left" w:pos="5387"/>
          <w:tab w:val="left" w:pos="5954"/>
        </w:tabs>
        <w:spacing w:before="120" w:after="0"/>
        <w:ind w:hanging="153"/>
        <w:contextualSpacing w:val="0"/>
      </w:pPr>
      <w:r w:rsidRPr="00E7310C">
        <w:t>Non-acceptance of breeder-based DUS test reports;</w:t>
      </w:r>
    </w:p>
    <w:p w:rsidR="00E7310C" w:rsidRPr="00E7310C" w:rsidRDefault="00E7310C" w:rsidP="00121A39">
      <w:pPr>
        <w:pStyle w:val="ListParagraph"/>
        <w:numPr>
          <w:ilvl w:val="0"/>
          <w:numId w:val="9"/>
        </w:numPr>
        <w:tabs>
          <w:tab w:val="left" w:pos="567"/>
          <w:tab w:val="left" w:pos="1134"/>
          <w:tab w:val="left" w:pos="1701"/>
          <w:tab w:val="left" w:pos="5387"/>
          <w:tab w:val="left" w:pos="5954"/>
        </w:tabs>
        <w:spacing w:before="120" w:after="0"/>
        <w:ind w:hanging="153"/>
        <w:contextualSpacing w:val="0"/>
      </w:pPr>
      <w:r w:rsidRPr="00E7310C">
        <w:t>Wish from breeders to use (or not) existing DUS reports</w:t>
      </w:r>
      <w:r w:rsidR="00BF3607">
        <w:t xml:space="preserve">; </w:t>
      </w:r>
    </w:p>
    <w:p w:rsidR="00121A39" w:rsidRDefault="00121A39" w:rsidP="009F054C"/>
    <w:p w:rsidR="008F1467" w:rsidRDefault="00AE785E" w:rsidP="009F054C">
      <w:r w:rsidRPr="00AE785E">
        <w:tab/>
        <w:t>(d)</w:t>
      </w:r>
      <w:r w:rsidRPr="00AE785E">
        <w:tab/>
      </w:r>
      <w:r w:rsidR="008F1467" w:rsidRPr="008F1467">
        <w:t>to consider the proposal by the TC for developing guidance to encourage UPOV members, on a voluntary basis, to take-over DUS test reports when the applicants could not submit plant material due to phytosanitary or other related issues where acceptable to the UPOV members concerned</w:t>
      </w:r>
      <w:r w:rsidR="007D52CE">
        <w:t>;</w:t>
      </w:r>
      <w:r w:rsidR="008F1467" w:rsidRPr="008F1467">
        <w:t xml:space="preserve">  </w:t>
      </w:r>
      <w:r w:rsidR="007D52CE">
        <w:t>and</w:t>
      </w:r>
    </w:p>
    <w:p w:rsidR="008F1467" w:rsidRDefault="008F1467" w:rsidP="009F054C"/>
    <w:p w:rsidR="00AE785E" w:rsidRDefault="008F1467" w:rsidP="008F1467">
      <w:pPr>
        <w:ind w:firstLine="567"/>
      </w:pPr>
      <w:r>
        <w:t>(e)</w:t>
      </w:r>
      <w:r>
        <w:tab/>
      </w:r>
      <w:proofErr w:type="gramStart"/>
      <w:r w:rsidR="00AE785E" w:rsidRPr="00AE785E">
        <w:t>note</w:t>
      </w:r>
      <w:proofErr w:type="gramEnd"/>
      <w:r w:rsidR="00AE785E" w:rsidRPr="00AE785E">
        <w:t xml:space="preserve"> the </w:t>
      </w:r>
      <w:r w:rsidR="00BF3607">
        <w:t xml:space="preserve">other relevant </w:t>
      </w:r>
      <w:r w:rsidR="00AE785E" w:rsidRPr="00AE785E">
        <w:t xml:space="preserve">developments </w:t>
      </w:r>
      <w:r w:rsidR="00BF3607">
        <w:t>at</w:t>
      </w:r>
      <w:r w:rsidR="00BF3607" w:rsidRPr="00AE785E">
        <w:t xml:space="preserve"> </w:t>
      </w:r>
      <w:r w:rsidR="00AE785E" w:rsidRPr="00AE785E">
        <w:t xml:space="preserve">the </w:t>
      </w:r>
      <w:r w:rsidR="00BF3607" w:rsidRPr="00771478">
        <w:rPr>
          <w:spacing w:val="2"/>
        </w:rPr>
        <w:t>fifty-sixth session</w:t>
      </w:r>
      <w:r w:rsidR="00BF3607" w:rsidRPr="00AE785E">
        <w:t xml:space="preserve"> </w:t>
      </w:r>
      <w:r w:rsidR="00BF3607">
        <w:t xml:space="preserve">of the </w:t>
      </w:r>
      <w:r w:rsidR="00AE785E" w:rsidRPr="00AE785E">
        <w:t>Technical Committee</w:t>
      </w:r>
      <w:r w:rsidR="00BF3607">
        <w:t>, as</w:t>
      </w:r>
      <w:r w:rsidR="00AE785E" w:rsidRPr="00AE785E">
        <w:t xml:space="preserve"> reported in this document</w:t>
      </w:r>
      <w:r>
        <w:t>.</w:t>
      </w:r>
    </w:p>
    <w:p w:rsidR="00AE785E" w:rsidRPr="00AE785E" w:rsidRDefault="00AE785E" w:rsidP="009F054C"/>
    <w:p w:rsidR="00121A39" w:rsidRDefault="00121A39">
      <w:pPr>
        <w:jc w:val="left"/>
        <w:rPr>
          <w:rFonts w:cs="Arial"/>
        </w:rPr>
      </w:pPr>
      <w:r>
        <w:rPr>
          <w:rFonts w:cs="Arial"/>
        </w:rPr>
        <w:br w:type="page"/>
      </w:r>
    </w:p>
    <w:p w:rsidR="00E7310C" w:rsidRPr="00212DE2" w:rsidRDefault="00E7310C" w:rsidP="00E7310C">
      <w:pPr>
        <w:spacing w:after="240"/>
        <w:rPr>
          <w:rFonts w:cs="Arial"/>
        </w:rPr>
      </w:pPr>
      <w:r w:rsidRPr="00212DE2">
        <w:rPr>
          <w:rFonts w:cs="Arial"/>
        </w:rPr>
        <w:lastRenderedPageBreak/>
        <w:fldChar w:fldCharType="begin"/>
      </w:r>
      <w:r w:rsidRPr="00212DE2">
        <w:rPr>
          <w:rFonts w:cs="Arial"/>
        </w:rPr>
        <w:instrText xml:space="preserve"> AUTONUM  </w:instrText>
      </w:r>
      <w:r w:rsidRPr="00212DE2">
        <w:rPr>
          <w:rFonts w:cs="Arial"/>
        </w:rPr>
        <w:fldChar w:fldCharType="end"/>
      </w:r>
      <w:r w:rsidRPr="00212DE2">
        <w:rPr>
          <w:rFonts w:cs="Arial"/>
        </w:rPr>
        <w:tab/>
        <w:t>The structure of this document is as follows:</w:t>
      </w:r>
    </w:p>
    <w:p w:rsidR="00121A39" w:rsidRDefault="00E7310C">
      <w:pPr>
        <w:pStyle w:val="TOC1"/>
        <w:rPr>
          <w:rFonts w:asciiTheme="minorHAnsi" w:eastAsiaTheme="minorEastAsia" w:hAnsiTheme="minorHAnsi" w:cstheme="minorBidi"/>
          <w:caps w:val="0"/>
          <w:noProof/>
          <w:sz w:val="22"/>
          <w:szCs w:val="22"/>
        </w:rPr>
      </w:pPr>
      <w:r w:rsidRPr="00212DE2">
        <w:rPr>
          <w:rFonts w:cs="Arial"/>
          <w:bCs/>
          <w:noProof/>
          <w:snapToGrid w:val="0"/>
          <w:sz w:val="18"/>
          <w:highlight w:val="yellow"/>
        </w:rPr>
        <w:fldChar w:fldCharType="begin"/>
      </w:r>
      <w:r w:rsidRPr="00212DE2">
        <w:rPr>
          <w:rFonts w:cs="Arial"/>
          <w:bCs/>
          <w:noProof/>
          <w:snapToGrid w:val="0"/>
          <w:highlight w:val="yellow"/>
        </w:rPr>
        <w:instrText xml:space="preserve"> TOC \o "1-4" \h \z \u </w:instrText>
      </w:r>
      <w:r w:rsidRPr="00212DE2">
        <w:rPr>
          <w:rFonts w:cs="Arial"/>
          <w:bCs/>
          <w:noProof/>
          <w:snapToGrid w:val="0"/>
          <w:sz w:val="18"/>
          <w:highlight w:val="yellow"/>
        </w:rPr>
        <w:fldChar w:fldCharType="separate"/>
      </w:r>
      <w:hyperlink w:anchor="_Toc54733162" w:history="1">
        <w:r w:rsidR="00121A39" w:rsidRPr="001E053B">
          <w:rPr>
            <w:rStyle w:val="Hyperlink"/>
            <w:noProof/>
          </w:rPr>
          <w:t>Agenda item 6:  Development of guidance and information materials (document CAJ/77/3 Rev.)</w:t>
        </w:r>
        <w:r w:rsidR="00121A39">
          <w:rPr>
            <w:noProof/>
            <w:webHidden/>
          </w:rPr>
          <w:tab/>
        </w:r>
        <w:r w:rsidR="00121A39">
          <w:rPr>
            <w:noProof/>
            <w:webHidden/>
          </w:rPr>
          <w:fldChar w:fldCharType="begin"/>
        </w:r>
        <w:r w:rsidR="00121A39">
          <w:rPr>
            <w:noProof/>
            <w:webHidden/>
          </w:rPr>
          <w:instrText xml:space="preserve"> PAGEREF _Toc54733162 \h </w:instrText>
        </w:r>
        <w:r w:rsidR="00121A39">
          <w:rPr>
            <w:noProof/>
            <w:webHidden/>
          </w:rPr>
        </w:r>
        <w:r w:rsidR="00121A39">
          <w:rPr>
            <w:noProof/>
            <w:webHidden/>
          </w:rPr>
          <w:fldChar w:fldCharType="separate"/>
        </w:r>
        <w:r w:rsidR="00121A39">
          <w:rPr>
            <w:noProof/>
            <w:webHidden/>
          </w:rPr>
          <w:t>2</w:t>
        </w:r>
        <w:r w:rsidR="00121A39">
          <w:rPr>
            <w:noProof/>
            <w:webHidden/>
          </w:rPr>
          <w:fldChar w:fldCharType="end"/>
        </w:r>
      </w:hyperlink>
    </w:p>
    <w:p w:rsidR="00121A39" w:rsidRDefault="00121A39">
      <w:pPr>
        <w:pStyle w:val="TOC2"/>
        <w:rPr>
          <w:rFonts w:asciiTheme="minorHAnsi" w:eastAsiaTheme="minorEastAsia" w:hAnsiTheme="minorHAnsi" w:cstheme="minorBidi"/>
          <w:noProof/>
          <w:sz w:val="22"/>
          <w:szCs w:val="22"/>
        </w:rPr>
      </w:pPr>
      <w:hyperlink w:anchor="_Toc54733163" w:history="1">
        <w:r w:rsidRPr="001E053B">
          <w:rPr>
            <w:rStyle w:val="Hyperlink"/>
            <w:noProof/>
          </w:rPr>
          <w:t>Matters for adoption by the Council in 2020</w:t>
        </w:r>
        <w:r>
          <w:rPr>
            <w:noProof/>
            <w:webHidden/>
          </w:rPr>
          <w:tab/>
        </w:r>
        <w:r>
          <w:rPr>
            <w:noProof/>
            <w:webHidden/>
          </w:rPr>
          <w:fldChar w:fldCharType="begin"/>
        </w:r>
        <w:r>
          <w:rPr>
            <w:noProof/>
            <w:webHidden/>
          </w:rPr>
          <w:instrText xml:space="preserve"> PAGEREF _Toc54733163 \h </w:instrText>
        </w:r>
        <w:r>
          <w:rPr>
            <w:noProof/>
            <w:webHidden/>
          </w:rPr>
        </w:r>
        <w:r>
          <w:rPr>
            <w:noProof/>
            <w:webHidden/>
          </w:rPr>
          <w:fldChar w:fldCharType="separate"/>
        </w:r>
        <w:r>
          <w:rPr>
            <w:noProof/>
            <w:webHidden/>
          </w:rPr>
          <w:t>2</w:t>
        </w:r>
        <w:r>
          <w:rPr>
            <w:noProof/>
            <w:webHidden/>
          </w:rPr>
          <w:fldChar w:fldCharType="end"/>
        </w:r>
      </w:hyperlink>
    </w:p>
    <w:p w:rsidR="00121A39" w:rsidRDefault="00121A39">
      <w:pPr>
        <w:pStyle w:val="TOC3"/>
        <w:rPr>
          <w:rFonts w:asciiTheme="minorHAnsi" w:eastAsiaTheme="minorEastAsia" w:hAnsiTheme="minorHAnsi" w:cstheme="minorBidi"/>
          <w:i w:val="0"/>
          <w:noProof/>
          <w:sz w:val="22"/>
          <w:szCs w:val="22"/>
          <w:lang w:val="en-US"/>
        </w:rPr>
      </w:pPr>
      <w:hyperlink w:anchor="_Toc54733164" w:history="1">
        <w:r w:rsidRPr="001E053B">
          <w:rPr>
            <w:rStyle w:val="Hyperlink"/>
            <w:noProof/>
          </w:rPr>
          <w:t>TGP Documents</w:t>
        </w:r>
        <w:r>
          <w:rPr>
            <w:noProof/>
            <w:webHidden/>
          </w:rPr>
          <w:tab/>
        </w:r>
        <w:r>
          <w:rPr>
            <w:noProof/>
            <w:webHidden/>
          </w:rPr>
          <w:fldChar w:fldCharType="begin"/>
        </w:r>
        <w:r>
          <w:rPr>
            <w:noProof/>
            <w:webHidden/>
          </w:rPr>
          <w:instrText xml:space="preserve"> PAGEREF _Toc54733164 \h </w:instrText>
        </w:r>
        <w:r>
          <w:rPr>
            <w:noProof/>
            <w:webHidden/>
          </w:rPr>
        </w:r>
        <w:r>
          <w:rPr>
            <w:noProof/>
            <w:webHidden/>
          </w:rPr>
          <w:fldChar w:fldCharType="separate"/>
        </w:r>
        <w:r>
          <w:rPr>
            <w:noProof/>
            <w:webHidden/>
          </w:rPr>
          <w:t>3</w:t>
        </w:r>
        <w:r>
          <w:rPr>
            <w:noProof/>
            <w:webHidden/>
          </w:rPr>
          <w:fldChar w:fldCharType="end"/>
        </w:r>
      </w:hyperlink>
    </w:p>
    <w:p w:rsidR="00121A39" w:rsidRDefault="00121A39">
      <w:pPr>
        <w:pStyle w:val="TOC3"/>
        <w:rPr>
          <w:rFonts w:asciiTheme="minorHAnsi" w:eastAsiaTheme="minorEastAsia" w:hAnsiTheme="minorHAnsi" w:cstheme="minorBidi"/>
          <w:i w:val="0"/>
          <w:noProof/>
          <w:sz w:val="22"/>
          <w:szCs w:val="22"/>
          <w:lang w:val="en-US"/>
        </w:rPr>
      </w:pPr>
      <w:hyperlink w:anchor="_Toc54733165" w:history="1">
        <w:r w:rsidRPr="001E053B">
          <w:rPr>
            <w:rStyle w:val="Hyperlink"/>
            <w:noProof/>
            <w:snapToGrid w:val="0"/>
          </w:rPr>
          <w:t>Information Materials</w:t>
        </w:r>
        <w:r>
          <w:rPr>
            <w:noProof/>
            <w:webHidden/>
          </w:rPr>
          <w:tab/>
        </w:r>
        <w:r>
          <w:rPr>
            <w:noProof/>
            <w:webHidden/>
          </w:rPr>
          <w:fldChar w:fldCharType="begin"/>
        </w:r>
        <w:r>
          <w:rPr>
            <w:noProof/>
            <w:webHidden/>
          </w:rPr>
          <w:instrText xml:space="preserve"> PAGEREF _Toc54733165 \h </w:instrText>
        </w:r>
        <w:r>
          <w:rPr>
            <w:noProof/>
            <w:webHidden/>
          </w:rPr>
        </w:r>
        <w:r>
          <w:rPr>
            <w:noProof/>
            <w:webHidden/>
          </w:rPr>
          <w:fldChar w:fldCharType="separate"/>
        </w:r>
        <w:r>
          <w:rPr>
            <w:noProof/>
            <w:webHidden/>
          </w:rPr>
          <w:t>3</w:t>
        </w:r>
        <w:r>
          <w:rPr>
            <w:noProof/>
            <w:webHidden/>
          </w:rPr>
          <w:fldChar w:fldCharType="end"/>
        </w:r>
      </w:hyperlink>
    </w:p>
    <w:p w:rsidR="00121A39" w:rsidRDefault="00121A39">
      <w:pPr>
        <w:pStyle w:val="TOC2"/>
        <w:rPr>
          <w:rFonts w:asciiTheme="minorHAnsi" w:eastAsiaTheme="minorEastAsia" w:hAnsiTheme="minorHAnsi" w:cstheme="minorBidi"/>
          <w:noProof/>
          <w:sz w:val="22"/>
          <w:szCs w:val="22"/>
        </w:rPr>
      </w:pPr>
      <w:hyperlink w:anchor="_Toc54733166" w:history="1">
        <w:r w:rsidRPr="001E053B">
          <w:rPr>
            <w:rStyle w:val="Hyperlink"/>
            <w:noProof/>
          </w:rPr>
          <w:t>Possible future revisions of guidance and information materials</w:t>
        </w:r>
        <w:r>
          <w:rPr>
            <w:noProof/>
            <w:webHidden/>
          </w:rPr>
          <w:tab/>
        </w:r>
        <w:r>
          <w:rPr>
            <w:noProof/>
            <w:webHidden/>
          </w:rPr>
          <w:fldChar w:fldCharType="begin"/>
        </w:r>
        <w:r>
          <w:rPr>
            <w:noProof/>
            <w:webHidden/>
          </w:rPr>
          <w:instrText xml:space="preserve"> PAGEREF _Toc54733166 \h </w:instrText>
        </w:r>
        <w:r>
          <w:rPr>
            <w:noProof/>
            <w:webHidden/>
          </w:rPr>
        </w:r>
        <w:r>
          <w:rPr>
            <w:noProof/>
            <w:webHidden/>
          </w:rPr>
          <w:fldChar w:fldCharType="separate"/>
        </w:r>
        <w:r>
          <w:rPr>
            <w:noProof/>
            <w:webHidden/>
          </w:rPr>
          <w:t>3</w:t>
        </w:r>
        <w:r>
          <w:rPr>
            <w:noProof/>
            <w:webHidden/>
          </w:rPr>
          <w:fldChar w:fldCharType="end"/>
        </w:r>
      </w:hyperlink>
    </w:p>
    <w:p w:rsidR="00121A39" w:rsidRDefault="00121A39">
      <w:pPr>
        <w:pStyle w:val="TOC3"/>
        <w:rPr>
          <w:rFonts w:asciiTheme="minorHAnsi" w:eastAsiaTheme="minorEastAsia" w:hAnsiTheme="minorHAnsi" w:cstheme="minorBidi"/>
          <w:i w:val="0"/>
          <w:noProof/>
          <w:sz w:val="22"/>
          <w:szCs w:val="22"/>
          <w:lang w:val="en-US"/>
        </w:rPr>
      </w:pPr>
      <w:hyperlink w:anchor="_Toc54733167" w:history="1">
        <w:r w:rsidRPr="001E053B">
          <w:rPr>
            <w:rStyle w:val="Hyperlink"/>
            <w:noProof/>
          </w:rPr>
          <w:t>Revision of document UPOV/INF/12 “Explanatory Notes on Variety Denominations under the UPOV Convention” (document UPOV/EXN/DEN)</w:t>
        </w:r>
        <w:r>
          <w:rPr>
            <w:noProof/>
            <w:webHidden/>
          </w:rPr>
          <w:tab/>
        </w:r>
        <w:r>
          <w:rPr>
            <w:noProof/>
            <w:webHidden/>
          </w:rPr>
          <w:fldChar w:fldCharType="begin"/>
        </w:r>
        <w:r>
          <w:rPr>
            <w:noProof/>
            <w:webHidden/>
          </w:rPr>
          <w:instrText xml:space="preserve"> PAGEREF _Toc54733167 \h </w:instrText>
        </w:r>
        <w:r>
          <w:rPr>
            <w:noProof/>
            <w:webHidden/>
          </w:rPr>
        </w:r>
        <w:r>
          <w:rPr>
            <w:noProof/>
            <w:webHidden/>
          </w:rPr>
          <w:fldChar w:fldCharType="separate"/>
        </w:r>
        <w:r>
          <w:rPr>
            <w:noProof/>
            <w:webHidden/>
          </w:rPr>
          <w:t>3</w:t>
        </w:r>
        <w:r>
          <w:rPr>
            <w:noProof/>
            <w:webHidden/>
          </w:rPr>
          <w:fldChar w:fldCharType="end"/>
        </w:r>
      </w:hyperlink>
    </w:p>
    <w:p w:rsidR="00121A39" w:rsidRDefault="00121A39">
      <w:pPr>
        <w:pStyle w:val="TOC3"/>
        <w:rPr>
          <w:rFonts w:asciiTheme="minorHAnsi" w:eastAsiaTheme="minorEastAsia" w:hAnsiTheme="minorHAnsi" w:cstheme="minorBidi"/>
          <w:i w:val="0"/>
          <w:noProof/>
          <w:sz w:val="22"/>
          <w:szCs w:val="22"/>
          <w:lang w:val="en-US"/>
        </w:rPr>
      </w:pPr>
      <w:hyperlink w:anchor="_Toc54733168" w:history="1">
        <w:r w:rsidRPr="001E053B">
          <w:rPr>
            <w:rStyle w:val="Hyperlink"/>
            <w:noProof/>
          </w:rPr>
          <w:t>Review of document UPOV/INF/17 “Guidelines for DNA-Profiling: Molecular Marker Selection and Database Construction (‘BMT Guidelines’)”</w:t>
        </w:r>
        <w:r>
          <w:rPr>
            <w:noProof/>
            <w:webHidden/>
          </w:rPr>
          <w:tab/>
        </w:r>
        <w:r>
          <w:rPr>
            <w:noProof/>
            <w:webHidden/>
          </w:rPr>
          <w:fldChar w:fldCharType="begin"/>
        </w:r>
        <w:r>
          <w:rPr>
            <w:noProof/>
            <w:webHidden/>
          </w:rPr>
          <w:instrText xml:space="preserve"> PAGEREF _Toc54733168 \h </w:instrText>
        </w:r>
        <w:r>
          <w:rPr>
            <w:noProof/>
            <w:webHidden/>
          </w:rPr>
        </w:r>
        <w:r>
          <w:rPr>
            <w:noProof/>
            <w:webHidden/>
          </w:rPr>
          <w:fldChar w:fldCharType="separate"/>
        </w:r>
        <w:r>
          <w:rPr>
            <w:noProof/>
            <w:webHidden/>
          </w:rPr>
          <w:t>4</w:t>
        </w:r>
        <w:r>
          <w:rPr>
            <w:noProof/>
            <w:webHidden/>
          </w:rPr>
          <w:fldChar w:fldCharType="end"/>
        </w:r>
      </w:hyperlink>
    </w:p>
    <w:p w:rsidR="00121A39" w:rsidRDefault="00121A39">
      <w:pPr>
        <w:pStyle w:val="TOC3"/>
        <w:rPr>
          <w:rFonts w:asciiTheme="minorHAnsi" w:eastAsiaTheme="minorEastAsia" w:hAnsiTheme="minorHAnsi" w:cstheme="minorBidi"/>
          <w:i w:val="0"/>
          <w:noProof/>
          <w:sz w:val="22"/>
          <w:szCs w:val="22"/>
          <w:lang w:val="en-US"/>
        </w:rPr>
      </w:pPr>
      <w:hyperlink w:anchor="_Toc54733169" w:history="1">
        <w:r w:rsidRPr="001E053B">
          <w:rPr>
            <w:rStyle w:val="Hyperlink"/>
            <w:noProof/>
          </w:rPr>
          <w:t>Development</w:t>
        </w:r>
        <w:r w:rsidRPr="001E053B">
          <w:rPr>
            <w:rStyle w:val="Hyperlink"/>
            <w:noProof/>
            <w:snapToGrid w:val="0"/>
          </w:rPr>
          <w:t xml:space="preserve"> of document UPOV/INF/23 “</w:t>
        </w:r>
        <w:r w:rsidRPr="001E053B">
          <w:rPr>
            <w:rStyle w:val="Hyperlink"/>
            <w:noProof/>
          </w:rPr>
          <w:t>UPOV Code System”</w:t>
        </w:r>
        <w:r>
          <w:rPr>
            <w:noProof/>
            <w:webHidden/>
          </w:rPr>
          <w:tab/>
        </w:r>
        <w:r>
          <w:rPr>
            <w:noProof/>
            <w:webHidden/>
          </w:rPr>
          <w:fldChar w:fldCharType="begin"/>
        </w:r>
        <w:r>
          <w:rPr>
            <w:noProof/>
            <w:webHidden/>
          </w:rPr>
          <w:instrText xml:space="preserve"> PAGEREF _Toc54733169 \h </w:instrText>
        </w:r>
        <w:r>
          <w:rPr>
            <w:noProof/>
            <w:webHidden/>
          </w:rPr>
        </w:r>
        <w:r>
          <w:rPr>
            <w:noProof/>
            <w:webHidden/>
          </w:rPr>
          <w:fldChar w:fldCharType="separate"/>
        </w:r>
        <w:r>
          <w:rPr>
            <w:noProof/>
            <w:webHidden/>
          </w:rPr>
          <w:t>4</w:t>
        </w:r>
        <w:r>
          <w:rPr>
            <w:noProof/>
            <w:webHidden/>
          </w:rPr>
          <w:fldChar w:fldCharType="end"/>
        </w:r>
      </w:hyperlink>
    </w:p>
    <w:p w:rsidR="00121A39" w:rsidRDefault="00121A39">
      <w:pPr>
        <w:pStyle w:val="TOC2"/>
        <w:rPr>
          <w:rFonts w:asciiTheme="minorHAnsi" w:eastAsiaTheme="minorEastAsia" w:hAnsiTheme="minorHAnsi" w:cstheme="minorBidi"/>
          <w:noProof/>
          <w:sz w:val="22"/>
          <w:szCs w:val="22"/>
        </w:rPr>
      </w:pPr>
      <w:hyperlink w:anchor="_Toc54733170" w:history="1">
        <w:r w:rsidRPr="001E053B">
          <w:rPr>
            <w:rStyle w:val="Hyperlink"/>
            <w:noProof/>
          </w:rPr>
          <w:t>Tentative program for the development of guidance and information materials</w:t>
        </w:r>
        <w:r>
          <w:rPr>
            <w:noProof/>
            <w:webHidden/>
          </w:rPr>
          <w:tab/>
        </w:r>
        <w:r>
          <w:rPr>
            <w:noProof/>
            <w:webHidden/>
          </w:rPr>
          <w:fldChar w:fldCharType="begin"/>
        </w:r>
        <w:r>
          <w:rPr>
            <w:noProof/>
            <w:webHidden/>
          </w:rPr>
          <w:instrText xml:space="preserve"> PAGEREF _Toc54733170 \h </w:instrText>
        </w:r>
        <w:r>
          <w:rPr>
            <w:noProof/>
            <w:webHidden/>
          </w:rPr>
        </w:r>
        <w:r>
          <w:rPr>
            <w:noProof/>
            <w:webHidden/>
          </w:rPr>
          <w:fldChar w:fldCharType="separate"/>
        </w:r>
        <w:r>
          <w:rPr>
            <w:noProof/>
            <w:webHidden/>
          </w:rPr>
          <w:t>4</w:t>
        </w:r>
        <w:r>
          <w:rPr>
            <w:noProof/>
            <w:webHidden/>
          </w:rPr>
          <w:fldChar w:fldCharType="end"/>
        </w:r>
      </w:hyperlink>
    </w:p>
    <w:p w:rsidR="00121A39" w:rsidRDefault="00121A39">
      <w:pPr>
        <w:pStyle w:val="TOC1"/>
        <w:rPr>
          <w:rFonts w:asciiTheme="minorHAnsi" w:eastAsiaTheme="minorEastAsia" w:hAnsiTheme="minorHAnsi" w:cstheme="minorBidi"/>
          <w:caps w:val="0"/>
          <w:noProof/>
          <w:sz w:val="22"/>
          <w:szCs w:val="22"/>
        </w:rPr>
      </w:pPr>
      <w:hyperlink w:anchor="_Toc54733171" w:history="1">
        <w:r w:rsidRPr="001E053B">
          <w:rPr>
            <w:rStyle w:val="Hyperlink"/>
            <w:noProof/>
          </w:rPr>
          <w:t>AGENDA ITEM 12:  Matters for information</w:t>
        </w:r>
        <w:r>
          <w:rPr>
            <w:noProof/>
            <w:webHidden/>
          </w:rPr>
          <w:tab/>
        </w:r>
        <w:r>
          <w:rPr>
            <w:noProof/>
            <w:webHidden/>
          </w:rPr>
          <w:fldChar w:fldCharType="begin"/>
        </w:r>
        <w:r>
          <w:rPr>
            <w:noProof/>
            <w:webHidden/>
          </w:rPr>
          <w:instrText xml:space="preserve"> PAGEREF _Toc54733171 \h </w:instrText>
        </w:r>
        <w:r>
          <w:rPr>
            <w:noProof/>
            <w:webHidden/>
          </w:rPr>
        </w:r>
        <w:r>
          <w:rPr>
            <w:noProof/>
            <w:webHidden/>
          </w:rPr>
          <w:fldChar w:fldCharType="separate"/>
        </w:r>
        <w:r>
          <w:rPr>
            <w:noProof/>
            <w:webHidden/>
          </w:rPr>
          <w:t>4</w:t>
        </w:r>
        <w:r>
          <w:rPr>
            <w:noProof/>
            <w:webHidden/>
          </w:rPr>
          <w:fldChar w:fldCharType="end"/>
        </w:r>
      </w:hyperlink>
    </w:p>
    <w:p w:rsidR="00121A39" w:rsidRDefault="00121A39">
      <w:pPr>
        <w:pStyle w:val="TOC2"/>
        <w:rPr>
          <w:rFonts w:asciiTheme="minorHAnsi" w:eastAsiaTheme="minorEastAsia" w:hAnsiTheme="minorHAnsi" w:cstheme="minorBidi"/>
          <w:noProof/>
          <w:sz w:val="22"/>
          <w:szCs w:val="22"/>
        </w:rPr>
      </w:pPr>
      <w:hyperlink w:anchor="_Toc54733172" w:history="1">
        <w:r w:rsidRPr="001E053B">
          <w:rPr>
            <w:rStyle w:val="Hyperlink"/>
            <w:noProof/>
          </w:rPr>
          <w:t>Molecular techniques (document CAJ/77/INF/5)</w:t>
        </w:r>
        <w:r>
          <w:rPr>
            <w:noProof/>
            <w:webHidden/>
          </w:rPr>
          <w:tab/>
        </w:r>
        <w:r>
          <w:rPr>
            <w:noProof/>
            <w:webHidden/>
          </w:rPr>
          <w:fldChar w:fldCharType="begin"/>
        </w:r>
        <w:r>
          <w:rPr>
            <w:noProof/>
            <w:webHidden/>
          </w:rPr>
          <w:instrText xml:space="preserve"> PAGEREF _Toc54733172 \h </w:instrText>
        </w:r>
        <w:r>
          <w:rPr>
            <w:noProof/>
            <w:webHidden/>
          </w:rPr>
        </w:r>
        <w:r>
          <w:rPr>
            <w:noProof/>
            <w:webHidden/>
          </w:rPr>
          <w:fldChar w:fldCharType="separate"/>
        </w:r>
        <w:r>
          <w:rPr>
            <w:noProof/>
            <w:webHidden/>
          </w:rPr>
          <w:t>4</w:t>
        </w:r>
        <w:r>
          <w:rPr>
            <w:noProof/>
            <w:webHidden/>
          </w:rPr>
          <w:fldChar w:fldCharType="end"/>
        </w:r>
      </w:hyperlink>
    </w:p>
    <w:p w:rsidR="00121A39" w:rsidRDefault="00121A39">
      <w:pPr>
        <w:pStyle w:val="TOC3"/>
        <w:rPr>
          <w:rFonts w:asciiTheme="minorHAnsi" w:eastAsiaTheme="minorEastAsia" w:hAnsiTheme="minorHAnsi" w:cstheme="minorBidi"/>
          <w:i w:val="0"/>
          <w:noProof/>
          <w:sz w:val="22"/>
          <w:szCs w:val="22"/>
          <w:lang w:val="en-US"/>
        </w:rPr>
      </w:pPr>
      <w:hyperlink w:anchor="_Toc54733173" w:history="1">
        <w:r w:rsidRPr="001E053B">
          <w:rPr>
            <w:rStyle w:val="Hyperlink"/>
            <w:noProof/>
            <w:lang w:eastAsia="ja-JP"/>
          </w:rPr>
          <w:t>Cooperation between international organizations</w:t>
        </w:r>
        <w:r>
          <w:rPr>
            <w:noProof/>
            <w:webHidden/>
          </w:rPr>
          <w:tab/>
        </w:r>
        <w:r>
          <w:rPr>
            <w:noProof/>
            <w:webHidden/>
          </w:rPr>
          <w:fldChar w:fldCharType="begin"/>
        </w:r>
        <w:r>
          <w:rPr>
            <w:noProof/>
            <w:webHidden/>
          </w:rPr>
          <w:instrText xml:space="preserve"> PAGEREF _Toc54733173 \h </w:instrText>
        </w:r>
        <w:r>
          <w:rPr>
            <w:noProof/>
            <w:webHidden/>
          </w:rPr>
        </w:r>
        <w:r>
          <w:rPr>
            <w:noProof/>
            <w:webHidden/>
          </w:rPr>
          <w:fldChar w:fldCharType="separate"/>
        </w:r>
        <w:r>
          <w:rPr>
            <w:noProof/>
            <w:webHidden/>
          </w:rPr>
          <w:t>5</w:t>
        </w:r>
        <w:r>
          <w:rPr>
            <w:noProof/>
            <w:webHidden/>
          </w:rPr>
          <w:fldChar w:fldCharType="end"/>
        </w:r>
      </w:hyperlink>
    </w:p>
    <w:p w:rsidR="00121A39" w:rsidRDefault="00121A39">
      <w:pPr>
        <w:pStyle w:val="TOC4"/>
        <w:rPr>
          <w:rFonts w:asciiTheme="minorHAnsi" w:eastAsiaTheme="minorEastAsia" w:hAnsiTheme="minorHAnsi" w:cstheme="minorBidi"/>
          <w:noProof/>
          <w:sz w:val="22"/>
          <w:szCs w:val="22"/>
          <w:lang w:val="en-US"/>
        </w:rPr>
      </w:pPr>
      <w:hyperlink w:anchor="_Toc54733174" w:history="1">
        <w:r w:rsidRPr="001E053B">
          <w:rPr>
            <w:rStyle w:val="Hyperlink"/>
            <w:noProof/>
            <w:lang w:val="en-US"/>
          </w:rPr>
          <w:t>Inventory on the use of molecular marker techniques, by crop</w:t>
        </w:r>
        <w:r>
          <w:rPr>
            <w:noProof/>
            <w:webHidden/>
          </w:rPr>
          <w:tab/>
        </w:r>
        <w:r>
          <w:rPr>
            <w:noProof/>
            <w:webHidden/>
          </w:rPr>
          <w:fldChar w:fldCharType="begin"/>
        </w:r>
        <w:r>
          <w:rPr>
            <w:noProof/>
            <w:webHidden/>
          </w:rPr>
          <w:instrText xml:space="preserve"> PAGEREF _Toc54733174 \h </w:instrText>
        </w:r>
        <w:r>
          <w:rPr>
            <w:noProof/>
            <w:webHidden/>
          </w:rPr>
        </w:r>
        <w:r>
          <w:rPr>
            <w:noProof/>
            <w:webHidden/>
          </w:rPr>
          <w:fldChar w:fldCharType="separate"/>
        </w:r>
        <w:r>
          <w:rPr>
            <w:noProof/>
            <w:webHidden/>
          </w:rPr>
          <w:t>5</w:t>
        </w:r>
        <w:r>
          <w:rPr>
            <w:noProof/>
            <w:webHidden/>
          </w:rPr>
          <w:fldChar w:fldCharType="end"/>
        </w:r>
      </w:hyperlink>
    </w:p>
    <w:p w:rsidR="00121A39" w:rsidRDefault="00121A39">
      <w:pPr>
        <w:pStyle w:val="TOC4"/>
        <w:rPr>
          <w:rFonts w:asciiTheme="minorHAnsi" w:eastAsiaTheme="minorEastAsia" w:hAnsiTheme="minorHAnsi" w:cstheme="minorBidi"/>
          <w:noProof/>
          <w:sz w:val="22"/>
          <w:szCs w:val="22"/>
          <w:lang w:val="en-US"/>
        </w:rPr>
      </w:pPr>
      <w:hyperlink w:anchor="_Toc54733175" w:history="1">
        <w:r w:rsidRPr="001E053B">
          <w:rPr>
            <w:rStyle w:val="Hyperlink"/>
            <w:noProof/>
            <w:lang w:val="en-US"/>
          </w:rPr>
          <w:t>Lists of possible joint initiatives with OECD and ISTA in relation to molecular techniques</w:t>
        </w:r>
        <w:r>
          <w:rPr>
            <w:noProof/>
            <w:webHidden/>
          </w:rPr>
          <w:tab/>
        </w:r>
        <w:r>
          <w:rPr>
            <w:noProof/>
            <w:webHidden/>
          </w:rPr>
          <w:fldChar w:fldCharType="begin"/>
        </w:r>
        <w:r>
          <w:rPr>
            <w:noProof/>
            <w:webHidden/>
          </w:rPr>
          <w:instrText xml:space="preserve"> PAGEREF _Toc54733175 \h </w:instrText>
        </w:r>
        <w:r>
          <w:rPr>
            <w:noProof/>
            <w:webHidden/>
          </w:rPr>
        </w:r>
        <w:r>
          <w:rPr>
            <w:noProof/>
            <w:webHidden/>
          </w:rPr>
          <w:fldChar w:fldCharType="separate"/>
        </w:r>
        <w:r>
          <w:rPr>
            <w:noProof/>
            <w:webHidden/>
          </w:rPr>
          <w:t>5</w:t>
        </w:r>
        <w:r>
          <w:rPr>
            <w:noProof/>
            <w:webHidden/>
          </w:rPr>
          <w:fldChar w:fldCharType="end"/>
        </w:r>
      </w:hyperlink>
    </w:p>
    <w:p w:rsidR="00121A39" w:rsidRDefault="00121A39">
      <w:pPr>
        <w:pStyle w:val="TOC4"/>
        <w:rPr>
          <w:rFonts w:asciiTheme="minorHAnsi" w:eastAsiaTheme="minorEastAsia" w:hAnsiTheme="minorHAnsi" w:cstheme="minorBidi"/>
          <w:noProof/>
          <w:sz w:val="22"/>
          <w:szCs w:val="22"/>
          <w:lang w:val="en-US"/>
        </w:rPr>
      </w:pPr>
      <w:hyperlink w:anchor="_Toc54733176" w:history="1">
        <w:r w:rsidRPr="001E053B">
          <w:rPr>
            <w:rStyle w:val="Hyperlink"/>
            <w:noProof/>
            <w:lang w:val="en-US"/>
          </w:rPr>
          <w:t>Joint document explaining the principal features of the systems of OECD, UPOV and ISTA</w:t>
        </w:r>
        <w:r>
          <w:rPr>
            <w:noProof/>
            <w:webHidden/>
          </w:rPr>
          <w:tab/>
        </w:r>
        <w:r>
          <w:rPr>
            <w:noProof/>
            <w:webHidden/>
          </w:rPr>
          <w:fldChar w:fldCharType="begin"/>
        </w:r>
        <w:r>
          <w:rPr>
            <w:noProof/>
            <w:webHidden/>
          </w:rPr>
          <w:instrText xml:space="preserve"> PAGEREF _Toc54733176 \h </w:instrText>
        </w:r>
        <w:r>
          <w:rPr>
            <w:noProof/>
            <w:webHidden/>
          </w:rPr>
        </w:r>
        <w:r>
          <w:rPr>
            <w:noProof/>
            <w:webHidden/>
          </w:rPr>
          <w:fldChar w:fldCharType="separate"/>
        </w:r>
        <w:r>
          <w:rPr>
            <w:noProof/>
            <w:webHidden/>
          </w:rPr>
          <w:t>5</w:t>
        </w:r>
        <w:r>
          <w:rPr>
            <w:noProof/>
            <w:webHidden/>
          </w:rPr>
          <w:fldChar w:fldCharType="end"/>
        </w:r>
      </w:hyperlink>
    </w:p>
    <w:p w:rsidR="00121A39" w:rsidRDefault="00121A39">
      <w:pPr>
        <w:pStyle w:val="TOC3"/>
        <w:rPr>
          <w:rFonts w:asciiTheme="minorHAnsi" w:eastAsiaTheme="minorEastAsia" w:hAnsiTheme="minorHAnsi" w:cstheme="minorBidi"/>
          <w:i w:val="0"/>
          <w:noProof/>
          <w:sz w:val="22"/>
          <w:szCs w:val="22"/>
          <w:lang w:val="en-US"/>
        </w:rPr>
      </w:pPr>
      <w:hyperlink w:anchor="_Toc54733177" w:history="1">
        <w:r w:rsidRPr="001E053B">
          <w:rPr>
            <w:rStyle w:val="Hyperlink"/>
            <w:noProof/>
            <w:snapToGrid w:val="0"/>
          </w:rPr>
          <w:t>Session to facilitate cooperation in relation to the use of molecular techniques</w:t>
        </w:r>
        <w:r>
          <w:rPr>
            <w:noProof/>
            <w:webHidden/>
          </w:rPr>
          <w:tab/>
        </w:r>
        <w:r>
          <w:rPr>
            <w:noProof/>
            <w:webHidden/>
          </w:rPr>
          <w:fldChar w:fldCharType="begin"/>
        </w:r>
        <w:r>
          <w:rPr>
            <w:noProof/>
            <w:webHidden/>
          </w:rPr>
          <w:instrText xml:space="preserve"> PAGEREF _Toc54733177 \h </w:instrText>
        </w:r>
        <w:r>
          <w:rPr>
            <w:noProof/>
            <w:webHidden/>
          </w:rPr>
        </w:r>
        <w:r>
          <w:rPr>
            <w:noProof/>
            <w:webHidden/>
          </w:rPr>
          <w:fldChar w:fldCharType="separate"/>
        </w:r>
        <w:r>
          <w:rPr>
            <w:noProof/>
            <w:webHidden/>
          </w:rPr>
          <w:t>5</w:t>
        </w:r>
        <w:r>
          <w:rPr>
            <w:noProof/>
            <w:webHidden/>
          </w:rPr>
          <w:fldChar w:fldCharType="end"/>
        </w:r>
      </w:hyperlink>
    </w:p>
    <w:p w:rsidR="00121A39" w:rsidRDefault="00121A39">
      <w:pPr>
        <w:pStyle w:val="TOC1"/>
        <w:rPr>
          <w:rFonts w:asciiTheme="minorHAnsi" w:eastAsiaTheme="minorEastAsia" w:hAnsiTheme="minorHAnsi" w:cstheme="minorBidi"/>
          <w:caps w:val="0"/>
          <w:noProof/>
          <w:sz w:val="22"/>
          <w:szCs w:val="22"/>
        </w:rPr>
      </w:pPr>
      <w:hyperlink w:anchor="_Toc54733178" w:history="1">
        <w:r w:rsidRPr="001E053B">
          <w:rPr>
            <w:rStyle w:val="Hyperlink"/>
            <w:noProof/>
          </w:rPr>
          <w:t>Other matters for consideration by the CAJ</w:t>
        </w:r>
        <w:r>
          <w:rPr>
            <w:noProof/>
            <w:webHidden/>
          </w:rPr>
          <w:tab/>
        </w:r>
        <w:r>
          <w:rPr>
            <w:noProof/>
            <w:webHidden/>
          </w:rPr>
          <w:fldChar w:fldCharType="begin"/>
        </w:r>
        <w:r>
          <w:rPr>
            <w:noProof/>
            <w:webHidden/>
          </w:rPr>
          <w:instrText xml:space="preserve"> PAGEREF _Toc54733178 \h </w:instrText>
        </w:r>
        <w:r>
          <w:rPr>
            <w:noProof/>
            <w:webHidden/>
          </w:rPr>
        </w:r>
        <w:r>
          <w:rPr>
            <w:noProof/>
            <w:webHidden/>
          </w:rPr>
          <w:fldChar w:fldCharType="separate"/>
        </w:r>
        <w:r>
          <w:rPr>
            <w:noProof/>
            <w:webHidden/>
          </w:rPr>
          <w:t>5</w:t>
        </w:r>
        <w:r>
          <w:rPr>
            <w:noProof/>
            <w:webHidden/>
          </w:rPr>
          <w:fldChar w:fldCharType="end"/>
        </w:r>
      </w:hyperlink>
    </w:p>
    <w:p w:rsidR="00121A39" w:rsidRDefault="00121A39">
      <w:pPr>
        <w:pStyle w:val="TOC2"/>
        <w:rPr>
          <w:rFonts w:asciiTheme="minorHAnsi" w:eastAsiaTheme="minorEastAsia" w:hAnsiTheme="minorHAnsi" w:cstheme="minorBidi"/>
          <w:noProof/>
          <w:sz w:val="22"/>
          <w:szCs w:val="22"/>
        </w:rPr>
      </w:pPr>
      <w:hyperlink w:anchor="_Toc54733179" w:history="1">
        <w:r w:rsidRPr="001E053B">
          <w:rPr>
            <w:rStyle w:val="Hyperlink"/>
            <w:noProof/>
          </w:rPr>
          <w:t>Cooperation in examination</w:t>
        </w:r>
        <w:r>
          <w:rPr>
            <w:noProof/>
            <w:webHidden/>
          </w:rPr>
          <w:tab/>
        </w:r>
        <w:r>
          <w:rPr>
            <w:noProof/>
            <w:webHidden/>
          </w:rPr>
          <w:fldChar w:fldCharType="begin"/>
        </w:r>
        <w:r>
          <w:rPr>
            <w:noProof/>
            <w:webHidden/>
          </w:rPr>
          <w:instrText xml:space="preserve"> PAGEREF _Toc54733179 \h </w:instrText>
        </w:r>
        <w:r>
          <w:rPr>
            <w:noProof/>
            <w:webHidden/>
          </w:rPr>
        </w:r>
        <w:r>
          <w:rPr>
            <w:noProof/>
            <w:webHidden/>
          </w:rPr>
          <w:fldChar w:fldCharType="separate"/>
        </w:r>
        <w:r>
          <w:rPr>
            <w:noProof/>
            <w:webHidden/>
          </w:rPr>
          <w:t>5</w:t>
        </w:r>
        <w:r>
          <w:rPr>
            <w:noProof/>
            <w:webHidden/>
          </w:rPr>
          <w:fldChar w:fldCharType="end"/>
        </w:r>
      </w:hyperlink>
    </w:p>
    <w:p w:rsidR="00121A39" w:rsidRDefault="00121A39">
      <w:pPr>
        <w:pStyle w:val="TOC3"/>
        <w:rPr>
          <w:rFonts w:asciiTheme="minorHAnsi" w:eastAsiaTheme="minorEastAsia" w:hAnsiTheme="minorHAnsi" w:cstheme="minorBidi"/>
          <w:i w:val="0"/>
          <w:noProof/>
          <w:sz w:val="22"/>
          <w:szCs w:val="22"/>
          <w:lang w:val="en-US"/>
        </w:rPr>
      </w:pPr>
      <w:hyperlink w:anchor="_Toc54733180" w:history="1">
        <w:r w:rsidRPr="001E053B">
          <w:rPr>
            <w:rStyle w:val="Hyperlink"/>
            <w:noProof/>
          </w:rPr>
          <w:t>Technical and related administrative issues:</w:t>
        </w:r>
        <w:r>
          <w:rPr>
            <w:noProof/>
            <w:webHidden/>
          </w:rPr>
          <w:tab/>
        </w:r>
        <w:r>
          <w:rPr>
            <w:noProof/>
            <w:webHidden/>
          </w:rPr>
          <w:fldChar w:fldCharType="begin"/>
        </w:r>
        <w:r>
          <w:rPr>
            <w:noProof/>
            <w:webHidden/>
          </w:rPr>
          <w:instrText xml:space="preserve"> PAGEREF _Toc54733180 \h </w:instrText>
        </w:r>
        <w:r>
          <w:rPr>
            <w:noProof/>
            <w:webHidden/>
          </w:rPr>
        </w:r>
        <w:r>
          <w:rPr>
            <w:noProof/>
            <w:webHidden/>
          </w:rPr>
          <w:fldChar w:fldCharType="separate"/>
        </w:r>
        <w:r>
          <w:rPr>
            <w:noProof/>
            <w:webHidden/>
          </w:rPr>
          <w:t>6</w:t>
        </w:r>
        <w:r>
          <w:rPr>
            <w:noProof/>
            <w:webHidden/>
          </w:rPr>
          <w:fldChar w:fldCharType="end"/>
        </w:r>
      </w:hyperlink>
    </w:p>
    <w:p w:rsidR="00121A39" w:rsidRDefault="00121A39">
      <w:pPr>
        <w:pStyle w:val="TOC3"/>
        <w:rPr>
          <w:rFonts w:asciiTheme="minorHAnsi" w:eastAsiaTheme="minorEastAsia" w:hAnsiTheme="minorHAnsi" w:cstheme="minorBidi"/>
          <w:i w:val="0"/>
          <w:noProof/>
          <w:sz w:val="22"/>
          <w:szCs w:val="22"/>
          <w:lang w:val="en-US"/>
        </w:rPr>
      </w:pPr>
      <w:hyperlink w:anchor="_Toc54733181" w:history="1">
        <w:r w:rsidRPr="001E053B">
          <w:rPr>
            <w:rStyle w:val="Hyperlink"/>
            <w:noProof/>
          </w:rPr>
          <w:t>Policy or legal issues:</w:t>
        </w:r>
        <w:r>
          <w:rPr>
            <w:noProof/>
            <w:webHidden/>
          </w:rPr>
          <w:tab/>
        </w:r>
        <w:bookmarkStart w:id="2" w:name="_GoBack"/>
        <w:bookmarkEnd w:id="2"/>
        <w:r>
          <w:rPr>
            <w:noProof/>
            <w:webHidden/>
          </w:rPr>
          <w:fldChar w:fldCharType="begin"/>
        </w:r>
        <w:r>
          <w:rPr>
            <w:noProof/>
            <w:webHidden/>
          </w:rPr>
          <w:instrText xml:space="preserve"> PAGEREF _Toc54733181 \h </w:instrText>
        </w:r>
        <w:r>
          <w:rPr>
            <w:noProof/>
            <w:webHidden/>
          </w:rPr>
        </w:r>
        <w:r>
          <w:rPr>
            <w:noProof/>
            <w:webHidden/>
          </w:rPr>
          <w:fldChar w:fldCharType="separate"/>
        </w:r>
        <w:r>
          <w:rPr>
            <w:noProof/>
            <w:webHidden/>
          </w:rPr>
          <w:t>6</w:t>
        </w:r>
        <w:r>
          <w:rPr>
            <w:noProof/>
            <w:webHidden/>
          </w:rPr>
          <w:fldChar w:fldCharType="end"/>
        </w:r>
      </w:hyperlink>
    </w:p>
    <w:p w:rsidR="00121A39" w:rsidRDefault="00121A39">
      <w:pPr>
        <w:pStyle w:val="TOC2"/>
        <w:rPr>
          <w:rFonts w:asciiTheme="minorHAnsi" w:eastAsiaTheme="minorEastAsia" w:hAnsiTheme="minorHAnsi" w:cstheme="minorBidi"/>
          <w:noProof/>
          <w:sz w:val="22"/>
          <w:szCs w:val="22"/>
        </w:rPr>
      </w:pPr>
      <w:hyperlink w:anchor="_Toc54733182" w:history="1">
        <w:r w:rsidRPr="001E053B">
          <w:rPr>
            <w:rStyle w:val="Hyperlink"/>
            <w:noProof/>
          </w:rPr>
          <w:t>Proposals for next steps</w:t>
        </w:r>
        <w:r>
          <w:rPr>
            <w:noProof/>
            <w:webHidden/>
          </w:rPr>
          <w:tab/>
        </w:r>
        <w:r>
          <w:rPr>
            <w:noProof/>
            <w:webHidden/>
          </w:rPr>
          <w:fldChar w:fldCharType="begin"/>
        </w:r>
        <w:r>
          <w:rPr>
            <w:noProof/>
            <w:webHidden/>
          </w:rPr>
          <w:instrText xml:space="preserve"> PAGEREF _Toc54733182 \h </w:instrText>
        </w:r>
        <w:r>
          <w:rPr>
            <w:noProof/>
            <w:webHidden/>
          </w:rPr>
        </w:r>
        <w:r>
          <w:rPr>
            <w:noProof/>
            <w:webHidden/>
          </w:rPr>
          <w:fldChar w:fldCharType="separate"/>
        </w:r>
        <w:r>
          <w:rPr>
            <w:noProof/>
            <w:webHidden/>
          </w:rPr>
          <w:t>7</w:t>
        </w:r>
        <w:r>
          <w:rPr>
            <w:noProof/>
            <w:webHidden/>
          </w:rPr>
          <w:fldChar w:fldCharType="end"/>
        </w:r>
      </w:hyperlink>
    </w:p>
    <w:p w:rsidR="00121A39" w:rsidRDefault="00121A39">
      <w:pPr>
        <w:pStyle w:val="TOC2"/>
        <w:rPr>
          <w:rFonts w:asciiTheme="minorHAnsi" w:eastAsiaTheme="minorEastAsia" w:hAnsiTheme="minorHAnsi" w:cstheme="minorBidi"/>
          <w:noProof/>
          <w:sz w:val="22"/>
          <w:szCs w:val="22"/>
        </w:rPr>
      </w:pPr>
      <w:hyperlink w:anchor="_Toc54733183" w:history="1">
        <w:r w:rsidRPr="001E053B">
          <w:rPr>
            <w:rStyle w:val="Hyperlink"/>
            <w:noProof/>
          </w:rPr>
          <w:t>Possible merger of BMT and TWC</w:t>
        </w:r>
        <w:r>
          <w:rPr>
            <w:noProof/>
            <w:webHidden/>
          </w:rPr>
          <w:tab/>
        </w:r>
        <w:r>
          <w:rPr>
            <w:noProof/>
            <w:webHidden/>
          </w:rPr>
          <w:fldChar w:fldCharType="begin"/>
        </w:r>
        <w:r>
          <w:rPr>
            <w:noProof/>
            <w:webHidden/>
          </w:rPr>
          <w:instrText xml:space="preserve"> PAGEREF _Toc54733183 \h </w:instrText>
        </w:r>
        <w:r>
          <w:rPr>
            <w:noProof/>
            <w:webHidden/>
          </w:rPr>
        </w:r>
        <w:r>
          <w:rPr>
            <w:noProof/>
            <w:webHidden/>
          </w:rPr>
          <w:fldChar w:fldCharType="separate"/>
        </w:r>
        <w:r>
          <w:rPr>
            <w:noProof/>
            <w:webHidden/>
          </w:rPr>
          <w:t>8</w:t>
        </w:r>
        <w:r>
          <w:rPr>
            <w:noProof/>
            <w:webHidden/>
          </w:rPr>
          <w:fldChar w:fldCharType="end"/>
        </w:r>
      </w:hyperlink>
    </w:p>
    <w:p w:rsidR="00E7310C" w:rsidRPr="00AA1488" w:rsidRDefault="00E7310C" w:rsidP="00E7310C">
      <w:pPr>
        <w:spacing w:after="120"/>
        <w:rPr>
          <w:noProof/>
          <w:snapToGrid w:val="0"/>
          <w:sz w:val="12"/>
        </w:rPr>
      </w:pPr>
      <w:r w:rsidRPr="00212DE2">
        <w:rPr>
          <w:noProof/>
          <w:snapToGrid w:val="0"/>
          <w:highlight w:val="yellow"/>
        </w:rPr>
        <w:fldChar w:fldCharType="end"/>
      </w:r>
    </w:p>
    <w:p w:rsidR="00E7310C" w:rsidRPr="00614032" w:rsidRDefault="00E7310C" w:rsidP="00E7310C">
      <w:pPr>
        <w:spacing w:after="120"/>
        <w:rPr>
          <w:sz w:val="18"/>
        </w:rPr>
      </w:pPr>
      <w:r w:rsidRPr="00A67158">
        <w:rPr>
          <w:sz w:val="18"/>
        </w:rPr>
        <w:t xml:space="preserve">ANNEX </w:t>
      </w:r>
      <w:proofErr w:type="gramStart"/>
      <w:r>
        <w:rPr>
          <w:sz w:val="18"/>
        </w:rPr>
        <w:t>I</w:t>
      </w:r>
      <w:proofErr w:type="gramEnd"/>
      <w:r w:rsidRPr="00A67158">
        <w:rPr>
          <w:sz w:val="18"/>
        </w:rPr>
        <w:t>:</w:t>
      </w:r>
      <w:r w:rsidRPr="00614032">
        <w:rPr>
          <w:sz w:val="18"/>
        </w:rPr>
        <w:tab/>
      </w:r>
      <w:r w:rsidRPr="000D02B7">
        <w:rPr>
          <w:sz w:val="18"/>
        </w:rPr>
        <w:t>Program for the development of TGP documents</w:t>
      </w:r>
      <w:r w:rsidRPr="00614032">
        <w:rPr>
          <w:sz w:val="18"/>
        </w:rPr>
        <w:t xml:space="preserve"> </w:t>
      </w:r>
    </w:p>
    <w:p w:rsidR="00E7310C" w:rsidRPr="00CA5B0D" w:rsidRDefault="00E7310C" w:rsidP="00E7310C">
      <w:pPr>
        <w:ind w:left="1134" w:hanging="1134"/>
        <w:rPr>
          <w:sz w:val="18"/>
        </w:rPr>
      </w:pPr>
      <w:r w:rsidRPr="00A67158">
        <w:rPr>
          <w:sz w:val="18"/>
        </w:rPr>
        <w:t xml:space="preserve">ANNEX </w:t>
      </w:r>
      <w:r>
        <w:rPr>
          <w:sz w:val="18"/>
        </w:rPr>
        <w:t>I</w:t>
      </w:r>
      <w:r w:rsidRPr="00A67158">
        <w:rPr>
          <w:sz w:val="18"/>
        </w:rPr>
        <w:t>I:</w:t>
      </w:r>
      <w:r w:rsidRPr="00D21A8D">
        <w:rPr>
          <w:sz w:val="18"/>
        </w:rPr>
        <w:tab/>
      </w:r>
      <w:r w:rsidRPr="000D02B7">
        <w:rPr>
          <w:sz w:val="18"/>
        </w:rPr>
        <w:t xml:space="preserve">Program for the development of </w:t>
      </w:r>
      <w:r w:rsidR="00A52919">
        <w:rPr>
          <w:sz w:val="18"/>
        </w:rPr>
        <w:t>relevant information materials</w:t>
      </w:r>
    </w:p>
    <w:p w:rsidR="00E7310C" w:rsidRPr="00212DE2" w:rsidRDefault="00E7310C" w:rsidP="00E7310C">
      <w:pPr>
        <w:ind w:left="1134" w:hanging="1134"/>
        <w:rPr>
          <w:sz w:val="18"/>
          <w:highlight w:val="yellow"/>
        </w:rPr>
      </w:pPr>
    </w:p>
    <w:p w:rsidR="00E7310C" w:rsidRPr="0046351F" w:rsidRDefault="00E7310C" w:rsidP="00E7310C">
      <w:pPr>
        <w:keepNext/>
        <w:rPr>
          <w:rFonts w:cs="Arial"/>
        </w:rPr>
      </w:pPr>
      <w:r w:rsidRPr="0046351F">
        <w:rPr>
          <w:rFonts w:cs="Arial"/>
        </w:rPr>
        <w:fldChar w:fldCharType="begin"/>
      </w:r>
      <w:r w:rsidRPr="0046351F">
        <w:rPr>
          <w:rFonts w:cs="Arial"/>
        </w:rPr>
        <w:instrText xml:space="preserve"> AUTONUM  </w:instrText>
      </w:r>
      <w:r w:rsidRPr="0046351F">
        <w:rPr>
          <w:rFonts w:cs="Arial"/>
        </w:rPr>
        <w:fldChar w:fldCharType="end"/>
      </w:r>
      <w:r w:rsidRPr="0046351F">
        <w:rPr>
          <w:rFonts w:cs="Arial"/>
        </w:rPr>
        <w:tab/>
        <w:t xml:space="preserve">The following abbreviations </w:t>
      </w:r>
      <w:proofErr w:type="gramStart"/>
      <w:r w:rsidRPr="0046351F">
        <w:rPr>
          <w:rFonts w:cs="Arial"/>
        </w:rPr>
        <w:t>are used</w:t>
      </w:r>
      <w:proofErr w:type="gramEnd"/>
      <w:r w:rsidRPr="0046351F">
        <w:rPr>
          <w:rFonts w:cs="Arial"/>
        </w:rPr>
        <w:t xml:space="preserve"> in this document:</w:t>
      </w:r>
    </w:p>
    <w:p w:rsidR="00E7310C" w:rsidRPr="0046351F" w:rsidRDefault="00E7310C" w:rsidP="00E7310C">
      <w:pPr>
        <w:keepNext/>
        <w:ind w:left="1701" w:hanging="1134"/>
        <w:rPr>
          <w:rFonts w:cs="Arial"/>
        </w:rPr>
      </w:pPr>
    </w:p>
    <w:p w:rsidR="00E7310C" w:rsidRDefault="00E7310C" w:rsidP="00E7310C">
      <w:pPr>
        <w:keepNext/>
        <w:ind w:left="1701" w:hanging="1134"/>
        <w:rPr>
          <w:rFonts w:cs="Arial"/>
        </w:rPr>
      </w:pPr>
      <w:r w:rsidRPr="0046351F">
        <w:rPr>
          <w:rFonts w:cs="Arial"/>
        </w:rPr>
        <w:t>BMT</w:t>
      </w:r>
      <w:r>
        <w:rPr>
          <w:rFonts w:cs="Arial"/>
        </w:rPr>
        <w:t xml:space="preserve">: </w:t>
      </w:r>
      <w:r w:rsidRPr="0046351F">
        <w:rPr>
          <w:rFonts w:cs="Arial"/>
        </w:rPr>
        <w:tab/>
        <w:t>Working Group on Biochemical and Molecular Techniques and DNA-Profiling in Particular</w:t>
      </w:r>
    </w:p>
    <w:p w:rsidR="00E7310C" w:rsidRPr="0046351F" w:rsidRDefault="00E7310C" w:rsidP="00E7310C">
      <w:pPr>
        <w:keepNext/>
        <w:ind w:left="1701" w:hanging="1134"/>
        <w:rPr>
          <w:rFonts w:cs="Arial"/>
        </w:rPr>
      </w:pPr>
      <w:r w:rsidRPr="00EA002D">
        <w:rPr>
          <w:rFonts w:cs="Arial"/>
        </w:rPr>
        <w:t>CAJ:</w:t>
      </w:r>
      <w:r w:rsidRPr="00EA002D">
        <w:rPr>
          <w:rFonts w:cs="Arial"/>
        </w:rPr>
        <w:tab/>
        <w:t>Administrative and Legal Committee</w:t>
      </w:r>
    </w:p>
    <w:p w:rsidR="00E7310C" w:rsidRPr="0046351F" w:rsidRDefault="00E7310C" w:rsidP="00E7310C">
      <w:pPr>
        <w:keepNext/>
        <w:ind w:left="1701" w:hanging="1134"/>
        <w:rPr>
          <w:rFonts w:cs="Arial"/>
        </w:rPr>
      </w:pPr>
      <w:r w:rsidRPr="0046351F">
        <w:rPr>
          <w:rFonts w:cs="Arial"/>
        </w:rPr>
        <w:t xml:space="preserve">TC:  </w:t>
      </w:r>
      <w:r w:rsidRPr="0046351F">
        <w:rPr>
          <w:rFonts w:cs="Arial"/>
        </w:rPr>
        <w:tab/>
        <w:t>Technical Committee</w:t>
      </w:r>
    </w:p>
    <w:p w:rsidR="00E7310C" w:rsidRPr="0046351F" w:rsidRDefault="00E7310C" w:rsidP="00E7310C">
      <w:pPr>
        <w:ind w:left="1701" w:hanging="1134"/>
        <w:rPr>
          <w:rFonts w:cs="Arial"/>
        </w:rPr>
      </w:pPr>
      <w:r w:rsidRPr="0046351F">
        <w:rPr>
          <w:rFonts w:cs="Arial"/>
        </w:rPr>
        <w:t xml:space="preserve">TC-EDC:  </w:t>
      </w:r>
      <w:r w:rsidRPr="0046351F">
        <w:rPr>
          <w:rFonts w:cs="Arial"/>
        </w:rPr>
        <w:tab/>
        <w:t>Enlarged Editorial Committee</w:t>
      </w:r>
    </w:p>
    <w:p w:rsidR="00E7310C" w:rsidRPr="0046351F" w:rsidRDefault="00E7310C" w:rsidP="00E7310C">
      <w:pPr>
        <w:ind w:left="1701" w:hanging="1134"/>
        <w:rPr>
          <w:rFonts w:cs="Arial"/>
        </w:rPr>
      </w:pPr>
      <w:r w:rsidRPr="0046351F">
        <w:rPr>
          <w:rFonts w:cs="Arial"/>
        </w:rPr>
        <w:t xml:space="preserve">TWA:  </w:t>
      </w:r>
      <w:r w:rsidRPr="0046351F">
        <w:rPr>
          <w:rFonts w:cs="Arial"/>
        </w:rPr>
        <w:tab/>
        <w:t>Technical Working Party for Agricultural Crops</w:t>
      </w:r>
    </w:p>
    <w:p w:rsidR="00E7310C" w:rsidRPr="0046351F" w:rsidRDefault="00E7310C" w:rsidP="00E7310C">
      <w:pPr>
        <w:ind w:left="1701" w:hanging="1134"/>
        <w:rPr>
          <w:rFonts w:cs="Arial"/>
        </w:rPr>
      </w:pPr>
      <w:r w:rsidRPr="0046351F">
        <w:rPr>
          <w:rFonts w:cs="Arial"/>
        </w:rPr>
        <w:t xml:space="preserve">TWC:  </w:t>
      </w:r>
      <w:r w:rsidRPr="0046351F">
        <w:rPr>
          <w:rFonts w:cs="Arial"/>
        </w:rPr>
        <w:tab/>
        <w:t>Technical Working Party on Automation and Computer Programs</w:t>
      </w:r>
    </w:p>
    <w:p w:rsidR="00E7310C" w:rsidRPr="0046351F" w:rsidRDefault="00E7310C" w:rsidP="00E7310C">
      <w:pPr>
        <w:ind w:left="1701" w:hanging="1134"/>
        <w:rPr>
          <w:rFonts w:cs="Arial"/>
        </w:rPr>
      </w:pPr>
      <w:r w:rsidRPr="0046351F">
        <w:rPr>
          <w:rFonts w:cs="Arial"/>
        </w:rPr>
        <w:t xml:space="preserve">TWF:  </w:t>
      </w:r>
      <w:r w:rsidRPr="0046351F">
        <w:rPr>
          <w:rFonts w:cs="Arial"/>
        </w:rPr>
        <w:tab/>
        <w:t xml:space="preserve">Technical Working Party for Fruit Crops </w:t>
      </w:r>
    </w:p>
    <w:p w:rsidR="00E7310C" w:rsidRPr="0046351F" w:rsidRDefault="00E7310C" w:rsidP="00E7310C">
      <w:pPr>
        <w:ind w:left="1701" w:hanging="1134"/>
        <w:rPr>
          <w:rFonts w:cs="Arial"/>
        </w:rPr>
      </w:pPr>
      <w:r w:rsidRPr="0046351F">
        <w:rPr>
          <w:rFonts w:cs="Arial"/>
        </w:rPr>
        <w:t xml:space="preserve">TWO:  </w:t>
      </w:r>
      <w:r w:rsidRPr="0046351F">
        <w:rPr>
          <w:rFonts w:cs="Arial"/>
        </w:rPr>
        <w:tab/>
        <w:t xml:space="preserve">Technical Working Party for Ornamental Plants and Forest Trees </w:t>
      </w:r>
    </w:p>
    <w:p w:rsidR="00E7310C" w:rsidRPr="0046351F" w:rsidRDefault="00E7310C" w:rsidP="00E7310C">
      <w:pPr>
        <w:ind w:left="1701" w:hanging="1134"/>
        <w:rPr>
          <w:rFonts w:cs="Arial"/>
        </w:rPr>
      </w:pPr>
      <w:r w:rsidRPr="0046351F">
        <w:rPr>
          <w:rFonts w:cs="Arial"/>
        </w:rPr>
        <w:t xml:space="preserve">TWV:  </w:t>
      </w:r>
      <w:r w:rsidRPr="0046351F">
        <w:rPr>
          <w:rFonts w:cs="Arial"/>
        </w:rPr>
        <w:tab/>
        <w:t>Technical Working Party for Vegetables</w:t>
      </w:r>
    </w:p>
    <w:p w:rsidR="00E7310C" w:rsidRDefault="00E7310C" w:rsidP="00E7310C">
      <w:pPr>
        <w:ind w:left="1701" w:hanging="1134"/>
        <w:rPr>
          <w:rFonts w:cs="Arial"/>
          <w:color w:val="000000"/>
        </w:rPr>
      </w:pPr>
      <w:r w:rsidRPr="0046351F">
        <w:rPr>
          <w:rFonts w:cs="Arial"/>
          <w:color w:val="000000"/>
        </w:rPr>
        <w:t>TWPs:</w:t>
      </w:r>
      <w:r w:rsidRPr="0046351F">
        <w:rPr>
          <w:rFonts w:cs="Arial"/>
          <w:color w:val="000000"/>
        </w:rPr>
        <w:tab/>
        <w:t xml:space="preserve">Technical Working Parties </w:t>
      </w:r>
    </w:p>
    <w:p w:rsidR="00E7310C" w:rsidRDefault="00E7310C" w:rsidP="00771478">
      <w:pPr>
        <w:rPr>
          <w:lang w:eastAsia="ja-JP"/>
        </w:rPr>
      </w:pPr>
    </w:p>
    <w:p w:rsidR="00121A39" w:rsidRDefault="00121A39" w:rsidP="00771478">
      <w:pPr>
        <w:rPr>
          <w:lang w:eastAsia="ja-JP"/>
        </w:rPr>
      </w:pPr>
    </w:p>
    <w:p w:rsidR="00E7310C" w:rsidRDefault="00E7310C" w:rsidP="00771478">
      <w:pPr>
        <w:rPr>
          <w:lang w:eastAsia="ja-JP"/>
        </w:rPr>
      </w:pPr>
    </w:p>
    <w:p w:rsidR="00996156" w:rsidRPr="001B5355" w:rsidRDefault="00996156" w:rsidP="00530137">
      <w:pPr>
        <w:pStyle w:val="Heading1"/>
      </w:pPr>
      <w:bookmarkStart w:id="3" w:name="_Toc54733162"/>
      <w:r w:rsidRPr="001B5355">
        <w:t xml:space="preserve">Agenda </w:t>
      </w:r>
      <w:r w:rsidR="00274378" w:rsidRPr="001B5355">
        <w:t>item 6</w:t>
      </w:r>
      <w:r w:rsidRPr="001B5355">
        <w:t xml:space="preserve">:  </w:t>
      </w:r>
      <w:r w:rsidR="00274378" w:rsidRPr="001B5355">
        <w:t xml:space="preserve">Development of guidance and </w:t>
      </w:r>
      <w:r w:rsidR="001B5355" w:rsidRPr="001B5355">
        <w:t>information materials (document </w:t>
      </w:r>
      <w:r w:rsidR="00274378" w:rsidRPr="001B5355">
        <w:t>CAJ/77/3 Rev.)</w:t>
      </w:r>
      <w:bookmarkEnd w:id="3"/>
    </w:p>
    <w:p w:rsidR="001B5355" w:rsidRDefault="001B5355" w:rsidP="001B5355">
      <w:pPr>
        <w:jc w:val="left"/>
      </w:pPr>
    </w:p>
    <w:p w:rsidR="00C1177E" w:rsidRPr="008D0013" w:rsidRDefault="00C1177E" w:rsidP="00C1177E">
      <w:pPr>
        <w:pStyle w:val="Heading2"/>
      </w:pPr>
      <w:bookmarkStart w:id="4" w:name="_Toc54733163"/>
      <w:r w:rsidRPr="00146A35">
        <w:t>Matters for adoption by the Council in 2020</w:t>
      </w:r>
      <w:bookmarkEnd w:id="4"/>
      <w:r w:rsidRPr="008D0013">
        <w:t xml:space="preserve"> </w:t>
      </w:r>
    </w:p>
    <w:p w:rsidR="00C1177E" w:rsidRPr="008D0013" w:rsidRDefault="00C1177E" w:rsidP="00C1177E">
      <w:pPr>
        <w:jc w:val="left"/>
      </w:pPr>
    </w:p>
    <w:p w:rsidR="00C1177E" w:rsidRDefault="00C1177E" w:rsidP="00C1177E">
      <w:pPr>
        <w:keepNext/>
        <w:jc w:val="left"/>
      </w:pPr>
      <w:r w:rsidRPr="008D0013">
        <w:fldChar w:fldCharType="begin"/>
      </w:r>
      <w:r w:rsidRPr="008D0013">
        <w:instrText xml:space="preserve"> AUTONUM  </w:instrText>
      </w:r>
      <w:r w:rsidRPr="008D0013">
        <w:fldChar w:fldCharType="end"/>
      </w:r>
      <w:r w:rsidRPr="008D0013">
        <w:tab/>
        <w:t xml:space="preserve">The TC noted that document TC/56/4 Rev. </w:t>
      </w:r>
      <w:proofErr w:type="gramStart"/>
      <w:r w:rsidRPr="008D0013">
        <w:t>had been considered</w:t>
      </w:r>
      <w:proofErr w:type="gramEnd"/>
      <w:r w:rsidRPr="008D0013">
        <w:t xml:space="preserve"> by correspondence.</w:t>
      </w:r>
      <w:r>
        <w:t xml:space="preserve">   </w:t>
      </w:r>
    </w:p>
    <w:p w:rsidR="00C1177E" w:rsidRPr="008D0013" w:rsidRDefault="00C1177E" w:rsidP="00C1177E">
      <w:pPr>
        <w:jc w:val="left"/>
      </w:pPr>
    </w:p>
    <w:p w:rsidR="00C1177E" w:rsidRPr="008D0013" w:rsidRDefault="00C1177E" w:rsidP="00C1177E">
      <w:pPr>
        <w:pStyle w:val="Heading3"/>
      </w:pPr>
      <w:bookmarkStart w:id="5" w:name="_Toc51949626"/>
      <w:bookmarkStart w:id="6" w:name="_Toc54201252"/>
      <w:bookmarkStart w:id="7" w:name="_Toc54733164"/>
      <w:r w:rsidRPr="00146A35">
        <w:lastRenderedPageBreak/>
        <w:t>TGP Documents</w:t>
      </w:r>
      <w:bookmarkEnd w:id="5"/>
      <w:bookmarkEnd w:id="6"/>
      <w:bookmarkEnd w:id="7"/>
      <w:r w:rsidRPr="008D0013">
        <w:t xml:space="preserve"> </w:t>
      </w:r>
    </w:p>
    <w:p w:rsidR="00C1177E" w:rsidRPr="008D0013" w:rsidRDefault="00C1177E" w:rsidP="00C1177E">
      <w:pPr>
        <w:keepNext/>
      </w:pPr>
    </w:p>
    <w:p w:rsidR="00C1177E" w:rsidRPr="008D0013" w:rsidRDefault="00C1177E" w:rsidP="00C1177E">
      <w:r w:rsidRPr="008D0013">
        <w:fldChar w:fldCharType="begin"/>
      </w:r>
      <w:r w:rsidRPr="008D0013">
        <w:instrText xml:space="preserve"> AUTONUM  </w:instrText>
      </w:r>
      <w:r w:rsidRPr="008D0013">
        <w:fldChar w:fldCharType="end"/>
      </w:r>
      <w:r w:rsidRPr="008D0013">
        <w:tab/>
        <w:t>The TC noted</w:t>
      </w:r>
      <w:r w:rsidRPr="008D0013">
        <w:rPr>
          <w:spacing w:val="-2"/>
        </w:rPr>
        <w:t xml:space="preserve"> that</w:t>
      </w:r>
      <w:r>
        <w:rPr>
          <w:spacing w:val="-2"/>
        </w:rPr>
        <w:t xml:space="preserve"> decisions on document TC/56/4 Rev. had been taken and the following documents had been approved by the TC by correspondence as provided in document TC/56/22, paragraphs 19 to 61 and 67 </w:t>
      </w:r>
      <w:proofErr w:type="gramStart"/>
      <w:r>
        <w:rPr>
          <w:spacing w:val="-2"/>
        </w:rPr>
        <w:t xml:space="preserve">to </w:t>
      </w:r>
      <w:r w:rsidR="002D4214">
        <w:rPr>
          <w:spacing w:val="-2"/>
        </w:rPr>
        <w:t> </w:t>
      </w:r>
      <w:r>
        <w:rPr>
          <w:spacing w:val="-2"/>
        </w:rPr>
        <w:t>71</w:t>
      </w:r>
      <w:proofErr w:type="gramEnd"/>
      <w:r w:rsidRPr="008D0013">
        <w:rPr>
          <w:rFonts w:eastAsia="MS Mincho"/>
          <w:spacing w:val="-2"/>
          <w:lang w:eastAsia="ja-JP"/>
        </w:rPr>
        <w:t>:</w:t>
      </w:r>
    </w:p>
    <w:p w:rsidR="00C1177E" w:rsidRPr="008D0013" w:rsidRDefault="00C1177E" w:rsidP="00C1177E">
      <w:pPr>
        <w:ind w:left="567" w:hanging="567"/>
        <w:jc w:val="left"/>
        <w:rPr>
          <w:sz w:val="18"/>
          <w:highlight w:val="yellow"/>
        </w:rPr>
      </w:pPr>
    </w:p>
    <w:p w:rsidR="00C1177E" w:rsidRPr="008D0013" w:rsidRDefault="00C1177E" w:rsidP="00C1177E">
      <w:pPr>
        <w:ind w:left="1134" w:hanging="567"/>
      </w:pPr>
      <w:bookmarkStart w:id="8" w:name="_Toc15566517"/>
      <w:bookmarkStart w:id="9" w:name="_Toc21683347"/>
      <w:bookmarkStart w:id="10" w:name="_Toc51949627"/>
      <w:r w:rsidRPr="008D0013">
        <w:t>(a)</w:t>
      </w:r>
      <w:r w:rsidRPr="008D0013">
        <w:tab/>
        <w:t>Document TGP/5:  Experience and Cooperation in DUS Testing</w:t>
      </w:r>
      <w:bookmarkEnd w:id="8"/>
      <w:bookmarkEnd w:id="9"/>
      <w:r w:rsidRPr="008D0013">
        <w:t>; Section 6:  UPOV Report on Technical Examination and UPOV Variety Description (Revision) (document TGP/5: Section 6/3 Draft 1)</w:t>
      </w:r>
      <w:bookmarkEnd w:id="10"/>
    </w:p>
    <w:p w:rsidR="00C1177E" w:rsidRPr="008D0013" w:rsidRDefault="00C1177E" w:rsidP="00C1177E">
      <w:pPr>
        <w:ind w:left="1134" w:hanging="567"/>
        <w:rPr>
          <w:sz w:val="18"/>
        </w:rPr>
      </w:pPr>
    </w:p>
    <w:p w:rsidR="00C1177E" w:rsidRPr="008D0013" w:rsidRDefault="00C1177E" w:rsidP="00C1177E">
      <w:pPr>
        <w:ind w:left="1134" w:hanging="567"/>
      </w:pPr>
      <w:bookmarkStart w:id="11" w:name="_Toc51949628"/>
      <w:r w:rsidRPr="008D0013">
        <w:t>(b)</w:t>
      </w:r>
      <w:r w:rsidRPr="008D0013">
        <w:tab/>
        <w:t>Document TGP/7:  Development of Test Guidelines (Revision) (document TGP/7/8 Draft 1)</w:t>
      </w:r>
      <w:bookmarkEnd w:id="11"/>
    </w:p>
    <w:p w:rsidR="00C1177E" w:rsidRPr="008D0013" w:rsidRDefault="00C1177E" w:rsidP="00C1177E">
      <w:pPr>
        <w:ind w:left="1134" w:hanging="567"/>
      </w:pPr>
    </w:p>
    <w:p w:rsidR="00C1177E" w:rsidRPr="008D0013" w:rsidRDefault="00C1177E" w:rsidP="00C1177E">
      <w:pPr>
        <w:ind w:left="1134" w:hanging="567"/>
      </w:pPr>
      <w:bookmarkStart w:id="12" w:name="_Toc51949631"/>
      <w:r w:rsidRPr="008D0013">
        <w:t>(c)</w:t>
      </w:r>
      <w:r w:rsidRPr="008D0013">
        <w:tab/>
        <w:t>Document TGP/14:  Glossary of Terms Used in UPOV Documents (Revision) (document TGP/14/5 Draft 1)</w:t>
      </w:r>
      <w:bookmarkEnd w:id="12"/>
    </w:p>
    <w:p w:rsidR="00C1177E" w:rsidRPr="008D0013" w:rsidRDefault="00C1177E" w:rsidP="00C1177E">
      <w:pPr>
        <w:ind w:left="1134" w:hanging="567"/>
      </w:pPr>
    </w:p>
    <w:p w:rsidR="00C1177E" w:rsidRPr="008D0013" w:rsidRDefault="00C1177E" w:rsidP="00C1177E">
      <w:pPr>
        <w:ind w:left="1134" w:hanging="567"/>
      </w:pPr>
      <w:bookmarkStart w:id="13" w:name="_Toc51949632"/>
      <w:r w:rsidRPr="008D0013">
        <w:t>(d)</w:t>
      </w:r>
      <w:r w:rsidRPr="008D0013">
        <w:tab/>
        <w:t>Document TGP/15:  Guidance on the Use of Biochemical and Molecular Markers in the Examination of Distinctness, Uniformity and Stability (DUS) (Revision) (document TGP/15/3 Draft 1)</w:t>
      </w:r>
      <w:bookmarkEnd w:id="13"/>
    </w:p>
    <w:p w:rsidR="00C1177E" w:rsidRPr="008D0013" w:rsidRDefault="00C1177E" w:rsidP="00C1177E">
      <w:pPr>
        <w:ind w:left="1134" w:hanging="567"/>
        <w:rPr>
          <w:sz w:val="18"/>
          <w:highlight w:val="yellow"/>
        </w:rPr>
      </w:pPr>
    </w:p>
    <w:p w:rsidR="00C1177E" w:rsidRPr="008D0013" w:rsidRDefault="00C1177E" w:rsidP="00C1177E">
      <w:pPr>
        <w:ind w:left="1134" w:hanging="567"/>
        <w:rPr>
          <w:snapToGrid w:val="0"/>
        </w:rPr>
      </w:pPr>
      <w:bookmarkStart w:id="14" w:name="_Toc15566522"/>
      <w:bookmarkStart w:id="15" w:name="_Toc51949633"/>
      <w:r w:rsidRPr="008D0013">
        <w:rPr>
          <w:snapToGrid w:val="0"/>
        </w:rPr>
        <w:t>(e)</w:t>
      </w:r>
      <w:r w:rsidRPr="008D0013">
        <w:rPr>
          <w:snapToGrid w:val="0"/>
        </w:rPr>
        <w:tab/>
        <w:t>Document TGP/0:  List of TGP documents and latest issue dates (Revision) (document TGP/0/12 Draft 1)</w:t>
      </w:r>
      <w:bookmarkEnd w:id="14"/>
      <w:bookmarkEnd w:id="15"/>
      <w:r w:rsidRPr="008D0013">
        <w:rPr>
          <w:snapToGrid w:val="0"/>
        </w:rPr>
        <w:t xml:space="preserve"> </w:t>
      </w:r>
    </w:p>
    <w:p w:rsidR="00C1177E" w:rsidRPr="008D0013" w:rsidRDefault="00C1177E" w:rsidP="00C1177E"/>
    <w:p w:rsidR="00C1177E" w:rsidRPr="00146A35" w:rsidRDefault="00C1177E" w:rsidP="00C1177E">
      <w:pPr>
        <w:pStyle w:val="Heading3"/>
        <w:rPr>
          <w:snapToGrid w:val="0"/>
        </w:rPr>
      </w:pPr>
      <w:bookmarkStart w:id="16" w:name="_Toc54733165"/>
      <w:r w:rsidRPr="00146A35">
        <w:rPr>
          <w:snapToGrid w:val="0"/>
        </w:rPr>
        <w:t>Information Materials</w:t>
      </w:r>
      <w:bookmarkEnd w:id="16"/>
    </w:p>
    <w:p w:rsidR="00C1177E" w:rsidRPr="00146A35" w:rsidRDefault="00C1177E" w:rsidP="00C1177E">
      <w:pPr>
        <w:jc w:val="left"/>
      </w:pPr>
    </w:p>
    <w:p w:rsidR="00C1177E" w:rsidRDefault="00C1177E" w:rsidP="00C1177E">
      <w:pPr>
        <w:ind w:firstLine="567"/>
      </w:pPr>
      <w:bookmarkStart w:id="17" w:name="_Toc51949638"/>
      <w:r>
        <w:t>(f)</w:t>
      </w:r>
      <w:r>
        <w:tab/>
      </w:r>
      <w:r w:rsidRPr="00146A35">
        <w:t>Document UPOV/INF/16:  Exchangeable Software (Revision) (document UPOV/INF/16/9 Draft 2)</w:t>
      </w:r>
      <w:bookmarkEnd w:id="17"/>
    </w:p>
    <w:p w:rsidR="00C1177E" w:rsidRPr="008D0013" w:rsidRDefault="00C1177E" w:rsidP="00C1177E">
      <w:pPr>
        <w:ind w:firstLine="567"/>
      </w:pPr>
    </w:p>
    <w:p w:rsidR="00C1177E" w:rsidRPr="008D0013" w:rsidRDefault="00C1177E" w:rsidP="00C1177E">
      <w:pPr>
        <w:ind w:left="1134" w:hanging="567"/>
      </w:pPr>
      <w:bookmarkStart w:id="18" w:name="_Toc51949644"/>
      <w:r>
        <w:t>(g)</w:t>
      </w:r>
      <w:r>
        <w:tab/>
      </w:r>
      <w:r w:rsidRPr="00146A35">
        <w:t>Document UPOV/INF/22:  Software and Equipment Used by Members of the Union (Revision) (document UPOV/INF/22/7 Draft 1)</w:t>
      </w:r>
      <w:bookmarkEnd w:id="18"/>
    </w:p>
    <w:p w:rsidR="00C1177E" w:rsidRPr="008D0013" w:rsidRDefault="00C1177E" w:rsidP="00C1177E">
      <w:pPr>
        <w:keepNext/>
        <w:jc w:val="left"/>
      </w:pPr>
    </w:p>
    <w:p w:rsidR="00C1177E" w:rsidRPr="008D0013" w:rsidRDefault="00C1177E" w:rsidP="00C1177E">
      <w:r w:rsidRPr="008D0013">
        <w:fldChar w:fldCharType="begin"/>
      </w:r>
      <w:r w:rsidRPr="008D0013">
        <w:instrText xml:space="preserve"> AUTONUM  </w:instrText>
      </w:r>
      <w:r w:rsidRPr="008D0013">
        <w:fldChar w:fldCharType="end"/>
      </w:r>
      <w:r w:rsidRPr="008D0013">
        <w:tab/>
        <w:t xml:space="preserve">The TC noted the report </w:t>
      </w:r>
      <w:r>
        <w:t>from</w:t>
      </w:r>
      <w:r w:rsidRPr="008D0013">
        <w:t xml:space="preserve"> the Office of the Union that </w:t>
      </w:r>
      <w:r>
        <w:t xml:space="preserve">the TGP </w:t>
      </w:r>
      <w:r w:rsidRPr="008D0013">
        <w:t>document</w:t>
      </w:r>
      <w:r>
        <w:t>s</w:t>
      </w:r>
      <w:r w:rsidRPr="008D0013">
        <w:t xml:space="preserve"> </w:t>
      </w:r>
      <w:r>
        <w:rPr>
          <w:rFonts w:eastAsia="MS Mincho"/>
          <w:lang w:eastAsia="ja-JP"/>
        </w:rPr>
        <w:t>and information materials</w:t>
      </w:r>
      <w:r w:rsidRPr="008D0013">
        <w:rPr>
          <w:rFonts w:eastAsia="MS Mincho"/>
          <w:spacing w:val="-2"/>
          <w:lang w:eastAsia="ja-JP"/>
        </w:rPr>
        <w:t xml:space="preserve"> </w:t>
      </w:r>
      <w:r>
        <w:rPr>
          <w:rFonts w:eastAsia="MS Mincho"/>
          <w:spacing w:val="-2"/>
          <w:lang w:eastAsia="ja-JP"/>
        </w:rPr>
        <w:t xml:space="preserve">above </w:t>
      </w:r>
      <w:r w:rsidRPr="008D0013">
        <w:t xml:space="preserve">had been </w:t>
      </w:r>
      <w:r>
        <w:t>adopted</w:t>
      </w:r>
      <w:r w:rsidRPr="008D0013">
        <w:t xml:space="preserve"> by the Council on October 25, 2020</w:t>
      </w:r>
      <w:r>
        <w:t xml:space="preserve">, in the procedure by correspondence (see document C/54/17 “Outcome of consideration of documents by correspondence”, paragraphs </w:t>
      </w:r>
      <w:r w:rsidRPr="00146A35">
        <w:t>16 to 24</w:t>
      </w:r>
      <w:r>
        <w:t xml:space="preserve">). </w:t>
      </w:r>
    </w:p>
    <w:p w:rsidR="00C1177E" w:rsidRDefault="00C1177E" w:rsidP="001B5355">
      <w:pPr>
        <w:jc w:val="left"/>
      </w:pPr>
    </w:p>
    <w:p w:rsidR="00AF4192" w:rsidRDefault="00AF4192" w:rsidP="001B5355">
      <w:pPr>
        <w:jc w:val="left"/>
      </w:pPr>
    </w:p>
    <w:p w:rsidR="005B1DB1" w:rsidRPr="008D0013" w:rsidRDefault="005B1DB1" w:rsidP="005B1DB1">
      <w:pPr>
        <w:pStyle w:val="Heading2"/>
      </w:pPr>
      <w:bookmarkStart w:id="19" w:name="_Toc54733166"/>
      <w:r w:rsidRPr="008D0013">
        <w:t>Possible future revisions of guidance and information materials</w:t>
      </w:r>
      <w:bookmarkEnd w:id="19"/>
    </w:p>
    <w:p w:rsidR="00774E1A" w:rsidRDefault="00774E1A" w:rsidP="00774E1A"/>
    <w:p w:rsidR="005B1DB1" w:rsidRPr="008D0013" w:rsidRDefault="005B1DB1" w:rsidP="005B1DB1">
      <w:pPr>
        <w:keepNext/>
        <w:jc w:val="left"/>
      </w:pPr>
      <w:r w:rsidRPr="008D0013">
        <w:fldChar w:fldCharType="begin"/>
      </w:r>
      <w:r w:rsidRPr="008D0013">
        <w:instrText xml:space="preserve"> AUTONUM  </w:instrText>
      </w:r>
      <w:r w:rsidRPr="008D0013">
        <w:fldChar w:fldCharType="end"/>
      </w:r>
      <w:r w:rsidRPr="008D0013">
        <w:tab/>
        <w:t>The TC considered document TC/56/14</w:t>
      </w:r>
    </w:p>
    <w:p w:rsidR="005B1DB1" w:rsidRDefault="005B1DB1" w:rsidP="00774E1A"/>
    <w:p w:rsidR="005B1DB1" w:rsidRPr="008D0013" w:rsidRDefault="005B1DB1" w:rsidP="005B1DB1">
      <w:pPr>
        <w:pStyle w:val="Heading3"/>
      </w:pPr>
      <w:bookmarkStart w:id="20" w:name="_Toc37165247"/>
      <w:bookmarkStart w:id="21" w:name="_Toc51949635"/>
      <w:bookmarkStart w:id="22" w:name="_Toc54733167"/>
      <w:r w:rsidRPr="008D0013">
        <w:t>Revision of document UPOV/INF/12 “Explanatory Notes on Variety Denominations under the UPOV Convention”</w:t>
      </w:r>
      <w:bookmarkEnd w:id="20"/>
      <w:r w:rsidRPr="008D0013">
        <w:t xml:space="preserve"> (document UPOV/EXN/DEN)</w:t>
      </w:r>
      <w:bookmarkEnd w:id="21"/>
      <w:bookmarkEnd w:id="22"/>
    </w:p>
    <w:p w:rsidR="00774E1A" w:rsidRDefault="00774E1A" w:rsidP="00774E1A"/>
    <w:p w:rsidR="005B1DB1" w:rsidRDefault="005B1DB1" w:rsidP="005B1DB1">
      <w:r>
        <w:fldChar w:fldCharType="begin"/>
      </w:r>
      <w:r>
        <w:instrText xml:space="preserve"> AUTONUM  </w:instrText>
      </w:r>
      <w:r>
        <w:fldChar w:fldCharType="end"/>
      </w:r>
      <w:r>
        <w:tab/>
        <w:t xml:space="preserve">The TC noted that it had considered document TC/56/4 Rev. by correspondence. </w:t>
      </w:r>
    </w:p>
    <w:p w:rsidR="005B1DB1" w:rsidRDefault="005B1DB1" w:rsidP="005B1DB1"/>
    <w:p w:rsidR="005B1DB1" w:rsidRPr="008D0013" w:rsidRDefault="005B1DB1" w:rsidP="005B1DB1">
      <w:r w:rsidRPr="00C84996">
        <w:fldChar w:fldCharType="begin"/>
      </w:r>
      <w:r w:rsidRPr="00C84996">
        <w:instrText xml:space="preserve"> AUTONUM  </w:instrText>
      </w:r>
      <w:r w:rsidRPr="00C84996">
        <w:fldChar w:fldCharType="end"/>
      </w:r>
      <w:r w:rsidRPr="00C84996">
        <w:tab/>
        <w:t xml:space="preserve">The TC noted that the TC had endorsed the request by the TWV, at its fifty-fourth session, </w:t>
      </w:r>
      <w:r w:rsidRPr="00C84996">
        <w:rPr>
          <w:rFonts w:eastAsia="MS Mincho"/>
          <w:snapToGrid w:val="0"/>
          <w:lang w:eastAsia="ja-JP"/>
        </w:rPr>
        <w:t xml:space="preserve">not to introduce Class 205B in document </w:t>
      </w:r>
      <w:r w:rsidRPr="00C84996">
        <w:t>UPOV/EXN/DEN/1, are set out in document TC/56/4 Rev</w:t>
      </w:r>
      <w:proofErr w:type="gramStart"/>
      <w:r w:rsidRPr="00C84996">
        <w:t>..</w:t>
      </w:r>
      <w:proofErr w:type="gramEnd"/>
    </w:p>
    <w:p w:rsidR="005B1DB1" w:rsidRPr="008D0013" w:rsidRDefault="005B1DB1" w:rsidP="005B1DB1">
      <w:pPr>
        <w:jc w:val="left"/>
      </w:pPr>
    </w:p>
    <w:p w:rsidR="005B1DB1" w:rsidRPr="008D0013" w:rsidRDefault="005B1DB1" w:rsidP="005B1DB1">
      <w:pPr>
        <w:tabs>
          <w:tab w:val="left" w:pos="567"/>
          <w:tab w:val="left" w:pos="1134"/>
          <w:tab w:val="left" w:pos="5387"/>
          <w:tab w:val="left" w:pos="5954"/>
        </w:tabs>
      </w:pPr>
      <w:r w:rsidRPr="008D0013">
        <w:fldChar w:fldCharType="begin"/>
      </w:r>
      <w:r w:rsidRPr="008D0013">
        <w:instrText xml:space="preserve"> AUTONUM  </w:instrText>
      </w:r>
      <w:r w:rsidRPr="008D0013">
        <w:fldChar w:fldCharType="end"/>
      </w:r>
      <w:r w:rsidRPr="008D0013">
        <w:tab/>
        <w:t>The TC noted that draft</w:t>
      </w:r>
      <w:r w:rsidRPr="008D0013">
        <w:rPr>
          <w:rFonts w:eastAsia="MS Mincho"/>
          <w:lang w:eastAsia="ja-JP"/>
        </w:rPr>
        <w:t xml:space="preserve"> </w:t>
      </w:r>
      <w:r w:rsidRPr="008D0013">
        <w:t xml:space="preserve">document UPOV/EXN/DEN/1 </w:t>
      </w:r>
      <w:proofErr w:type="gramStart"/>
      <w:r w:rsidRPr="008D0013">
        <w:rPr>
          <w:rFonts w:eastAsia="MS Mincho"/>
          <w:lang w:eastAsia="ja-JP"/>
        </w:rPr>
        <w:t>would be considered</w:t>
      </w:r>
      <w:proofErr w:type="gramEnd"/>
      <w:r w:rsidRPr="008D0013">
        <w:rPr>
          <w:rFonts w:eastAsia="MS Mincho"/>
          <w:lang w:eastAsia="ja-JP"/>
        </w:rPr>
        <w:t xml:space="preserve"> by the CAJ, at its session to be held on October </w:t>
      </w:r>
      <w:r w:rsidRPr="004754E7">
        <w:rPr>
          <w:rFonts w:eastAsia="MS Mincho"/>
          <w:lang w:eastAsia="ja-JP"/>
        </w:rPr>
        <w:t>28,</w:t>
      </w:r>
      <w:r w:rsidRPr="008D0013">
        <w:rPr>
          <w:rFonts w:eastAsia="MS Mincho"/>
          <w:lang w:eastAsia="ja-JP"/>
        </w:rPr>
        <w:t xml:space="preserve"> 2020</w:t>
      </w:r>
      <w:r w:rsidRPr="008D0013">
        <w:t>.</w:t>
      </w:r>
    </w:p>
    <w:p w:rsidR="005B1DB1" w:rsidRPr="008D0013" w:rsidRDefault="005B1DB1" w:rsidP="005B1DB1">
      <w:pPr>
        <w:tabs>
          <w:tab w:val="left" w:pos="567"/>
          <w:tab w:val="left" w:pos="1134"/>
          <w:tab w:val="left" w:pos="5387"/>
          <w:tab w:val="left" w:pos="5954"/>
        </w:tabs>
      </w:pPr>
    </w:p>
    <w:p w:rsidR="005B1DB1" w:rsidRDefault="005B1DB1" w:rsidP="005B1DB1">
      <w:r w:rsidRPr="008D0013">
        <w:fldChar w:fldCharType="begin"/>
      </w:r>
      <w:r w:rsidRPr="008D0013">
        <w:instrText xml:space="preserve"> AUTONUM  </w:instrText>
      </w:r>
      <w:r w:rsidRPr="008D0013">
        <w:fldChar w:fldCharType="end"/>
      </w:r>
      <w:r w:rsidRPr="008D0013">
        <w:tab/>
        <w:t xml:space="preserve">The TC noted that matters concerning a possible future revision of document UPOV/INF/12 </w:t>
      </w:r>
      <w:proofErr w:type="gramStart"/>
      <w:r w:rsidRPr="008D0013">
        <w:t>were reported</w:t>
      </w:r>
      <w:proofErr w:type="gramEnd"/>
      <w:r w:rsidRPr="008D0013">
        <w:t xml:space="preserve"> in document TC/56/INF/7</w:t>
      </w:r>
      <w:r>
        <w:t xml:space="preserve"> “Variety denominations</w:t>
      </w:r>
      <w:r w:rsidRPr="008D0013">
        <w:t>.</w:t>
      </w:r>
      <w:r>
        <w:t>”</w:t>
      </w:r>
    </w:p>
    <w:p w:rsidR="005B1DB1" w:rsidRDefault="005B1DB1" w:rsidP="005B1DB1"/>
    <w:p w:rsidR="005B1DB1" w:rsidRPr="00CB28A3" w:rsidRDefault="005B1DB1" w:rsidP="005B1DB1">
      <w:pPr>
        <w:rPr>
          <w:spacing w:val="-2"/>
        </w:rPr>
      </w:pPr>
      <w:r>
        <w:fldChar w:fldCharType="begin"/>
      </w:r>
      <w:r>
        <w:instrText xml:space="preserve"> AUTONUM  </w:instrText>
      </w:r>
      <w:r>
        <w:fldChar w:fldCharType="end"/>
      </w:r>
      <w:r>
        <w:tab/>
      </w:r>
      <w:proofErr w:type="gramStart"/>
      <w:r>
        <w:t>The TC noted the report from the Office of the Union that the CAJ had received comments i</w:t>
      </w:r>
      <w:r w:rsidRPr="00CB28A3">
        <w:rPr>
          <w:spacing w:val="-2"/>
        </w:rPr>
        <w:t xml:space="preserve">n reply to Circular E-20/120 of August 21, 2020, </w:t>
      </w:r>
      <w:r w:rsidRPr="00CB28A3">
        <w:rPr>
          <w:rFonts w:cs="Arial"/>
          <w:spacing w:val="-2"/>
          <w:lang w:eastAsia="fr-FR"/>
        </w:rPr>
        <w:t>on document </w:t>
      </w:r>
      <w:r w:rsidRPr="00CB28A3">
        <w:rPr>
          <w:spacing w:val="-2"/>
        </w:rPr>
        <w:t xml:space="preserve">UPOV/EXN/DEN/1 Draft 4 </w:t>
      </w:r>
      <w:r w:rsidRPr="00CB28A3">
        <w:rPr>
          <w:rFonts w:cs="Arial"/>
          <w:spacing w:val="-2"/>
          <w:lang w:eastAsia="fr-FR"/>
        </w:rPr>
        <w:t>that were not of a straightforward nature and, therefore, document </w:t>
      </w:r>
      <w:r w:rsidRPr="00CB28A3">
        <w:rPr>
          <w:spacing w:val="-2"/>
        </w:rPr>
        <w:t xml:space="preserve">UPOV/EXN/DEN/1 Draft 4 </w:t>
      </w:r>
      <w:r w:rsidRPr="00CB28A3">
        <w:rPr>
          <w:rFonts w:cs="Arial"/>
          <w:spacing w:val="-2"/>
          <w:lang w:eastAsia="fr-FR"/>
        </w:rPr>
        <w:t>was not included in Circular E</w:t>
      </w:r>
      <w:r w:rsidRPr="00CB28A3">
        <w:rPr>
          <w:rFonts w:cs="Arial"/>
          <w:spacing w:val="-2"/>
          <w:lang w:eastAsia="fr-FR"/>
        </w:rPr>
        <w:noBreakHyphen/>
        <w:t xml:space="preserve">20/160 of September 25, 2020, for approval </w:t>
      </w:r>
      <w:r w:rsidRPr="00CB28A3">
        <w:rPr>
          <w:rFonts w:cs="Arial"/>
          <w:spacing w:val="-2"/>
        </w:rPr>
        <w:t xml:space="preserve">by correspondence </w:t>
      </w:r>
      <w:r w:rsidRPr="00CB28A3">
        <w:rPr>
          <w:rFonts w:cs="Arial"/>
          <w:spacing w:val="-2"/>
          <w:lang w:eastAsia="fr-FR"/>
        </w:rPr>
        <w:t xml:space="preserve">and </w:t>
      </w:r>
      <w:r>
        <w:rPr>
          <w:spacing w:val="-2"/>
        </w:rPr>
        <w:t>would be</w:t>
      </w:r>
      <w:r w:rsidRPr="00CB28A3">
        <w:rPr>
          <w:spacing w:val="-2"/>
        </w:rPr>
        <w:t xml:space="preserve"> presented for consideration by the CAJ at its virtual session on October 28, 2020, in conjunction with the comments received</w:t>
      </w:r>
      <w:r>
        <w:rPr>
          <w:spacing w:val="-2"/>
        </w:rPr>
        <w:t xml:space="preserve"> (see document CAJ/77/9 “Outcome of consideration of documents by correspondence”, paragraph 34)</w:t>
      </w:r>
      <w:r w:rsidRPr="00CB28A3">
        <w:rPr>
          <w:spacing w:val="-2"/>
        </w:rPr>
        <w:t>.</w:t>
      </w:r>
      <w:proofErr w:type="gramEnd"/>
    </w:p>
    <w:p w:rsidR="005B1DB1" w:rsidRDefault="005B1DB1" w:rsidP="005B1DB1">
      <w:pPr>
        <w:tabs>
          <w:tab w:val="left" w:pos="567"/>
          <w:tab w:val="left" w:pos="1134"/>
          <w:tab w:val="left" w:pos="5387"/>
          <w:tab w:val="left" w:pos="5954"/>
        </w:tabs>
      </w:pPr>
    </w:p>
    <w:p w:rsidR="00121A39" w:rsidRDefault="0075496C" w:rsidP="00121A39">
      <w:pPr>
        <w:tabs>
          <w:tab w:val="left" w:pos="5387"/>
        </w:tabs>
        <w:ind w:left="4820"/>
      </w:pPr>
      <w:r w:rsidRPr="006F6560">
        <w:rPr>
          <w:i/>
        </w:rPr>
        <w:fldChar w:fldCharType="begin"/>
      </w:r>
      <w:r w:rsidRPr="006F6560">
        <w:rPr>
          <w:i/>
        </w:rPr>
        <w:instrText xml:space="preserve"> AUTONUM  </w:instrText>
      </w:r>
      <w:r w:rsidRPr="006F6560">
        <w:rPr>
          <w:i/>
        </w:rPr>
        <w:fldChar w:fldCharType="end"/>
      </w:r>
      <w:r w:rsidRPr="006F6560">
        <w:rPr>
          <w:i/>
        </w:rPr>
        <w:tab/>
        <w:t xml:space="preserve">The CAJ </w:t>
      </w:r>
      <w:proofErr w:type="gramStart"/>
      <w:r w:rsidRPr="006F6560">
        <w:rPr>
          <w:i/>
        </w:rPr>
        <w:t>is invited</w:t>
      </w:r>
      <w:proofErr w:type="gramEnd"/>
      <w:r w:rsidRPr="006F6560">
        <w:rPr>
          <w:i/>
        </w:rPr>
        <w:t xml:space="preserve"> to </w:t>
      </w:r>
      <w:r>
        <w:rPr>
          <w:i/>
        </w:rPr>
        <w:t xml:space="preserve">note </w:t>
      </w:r>
      <w:r w:rsidRPr="0075496C">
        <w:rPr>
          <w:i/>
        </w:rPr>
        <w:t>that the TC</w:t>
      </w:r>
      <w:r>
        <w:rPr>
          <w:i/>
        </w:rPr>
        <w:t>, at its fifty</w:t>
      </w:r>
      <w:r>
        <w:rPr>
          <w:i/>
        </w:rPr>
        <w:noBreakHyphen/>
        <w:t>fifth session,</w:t>
      </w:r>
      <w:r w:rsidRPr="0075496C">
        <w:rPr>
          <w:i/>
        </w:rPr>
        <w:t xml:space="preserve"> endorsed the request by the TWV, at its fifty-fourth session, not to introduce Class </w:t>
      </w:r>
      <w:r>
        <w:rPr>
          <w:i/>
        </w:rPr>
        <w:t>205B in document UPOV/EXN/DEN/1.</w:t>
      </w:r>
      <w:r w:rsidR="00121A39">
        <w:br w:type="page"/>
      </w:r>
    </w:p>
    <w:p w:rsidR="005B1DB1" w:rsidRPr="008D0013" w:rsidRDefault="005B1DB1" w:rsidP="005B1DB1">
      <w:pPr>
        <w:pStyle w:val="Heading3"/>
      </w:pPr>
      <w:bookmarkStart w:id="23" w:name="_Toc54733168"/>
      <w:r w:rsidRPr="008D0013">
        <w:lastRenderedPageBreak/>
        <w:t>Review of document UPOV/INF/17 “Guidelines for DNA-Profiling: Molecular Marker Selection and Database Construction (‘BMT Guidelines’)”</w:t>
      </w:r>
      <w:bookmarkEnd w:id="23"/>
    </w:p>
    <w:p w:rsidR="005B1DB1" w:rsidRPr="008D0013" w:rsidRDefault="005B1DB1" w:rsidP="005B1DB1">
      <w:pPr>
        <w:pStyle w:val="Heading3"/>
      </w:pPr>
    </w:p>
    <w:p w:rsidR="005B1DB1" w:rsidRPr="008D0013" w:rsidRDefault="005B1DB1" w:rsidP="005B1DB1">
      <w:r w:rsidRPr="008D0013">
        <w:fldChar w:fldCharType="begin"/>
      </w:r>
      <w:r w:rsidRPr="008D0013">
        <w:instrText xml:space="preserve"> AUTONUM  </w:instrText>
      </w:r>
      <w:r w:rsidRPr="008D0013">
        <w:fldChar w:fldCharType="end"/>
      </w:r>
      <w:r w:rsidRPr="008D0013">
        <w:tab/>
        <w:t xml:space="preserve">The TC considered document TC/56/13 and the proposed revision of document UPOV/INF/17 </w:t>
      </w:r>
      <w:proofErr w:type="gramStart"/>
      <w:r w:rsidRPr="008D0013">
        <w:t>on the basis of</w:t>
      </w:r>
      <w:proofErr w:type="gramEnd"/>
      <w:r w:rsidRPr="008D0013">
        <w:t xml:space="preserve"> document UPOV/INF/17/2 Draft 4.</w:t>
      </w:r>
    </w:p>
    <w:p w:rsidR="005B1DB1" w:rsidRPr="008D0013" w:rsidRDefault="005B1DB1" w:rsidP="005B1DB1"/>
    <w:p w:rsidR="005B1DB1" w:rsidRPr="008D0013" w:rsidRDefault="005B1DB1" w:rsidP="005B1DB1">
      <w:r w:rsidRPr="008D0013">
        <w:fldChar w:fldCharType="begin"/>
      </w:r>
      <w:r w:rsidRPr="008D0013">
        <w:instrText xml:space="preserve"> AUTONUM  </w:instrText>
      </w:r>
      <w:r w:rsidRPr="008D0013">
        <w:fldChar w:fldCharType="end"/>
      </w:r>
      <w:r w:rsidRPr="008D0013">
        <w:tab/>
        <w:t>The TC agreed to request the TWPs to consider a draft revision of document UPOV/INF/17/1 (document UPOV/INF/17/2 Draft 5) at their sessions in 2021.</w:t>
      </w:r>
    </w:p>
    <w:p w:rsidR="005B1DB1" w:rsidRPr="008D0013" w:rsidRDefault="005B1DB1" w:rsidP="005B1DB1"/>
    <w:p w:rsidR="005B1DB1" w:rsidRPr="008D0013" w:rsidRDefault="005B1DB1" w:rsidP="005B1DB1">
      <w:r w:rsidRPr="008D0013">
        <w:fldChar w:fldCharType="begin"/>
      </w:r>
      <w:r w:rsidRPr="008D0013">
        <w:instrText xml:space="preserve"> AUTONUM  </w:instrText>
      </w:r>
      <w:r w:rsidRPr="008D0013">
        <w:fldChar w:fldCharType="end"/>
      </w:r>
      <w:r w:rsidRPr="008D0013">
        <w:tab/>
      </w:r>
      <w:proofErr w:type="gramStart"/>
      <w:r w:rsidRPr="008D0013">
        <w:t>The TC noted that a draft revision of document UPOV/INF/17 (UPOV/INF/17/2 Draft 6) would be proposed for adoption by the Council, at its fifty-fifth session, to be held on October 29, 2021, subject to agreement by the TC at its fifty seventh session and the CAJ, at its seventy eighth session, to be held in 2021.</w:t>
      </w:r>
      <w:proofErr w:type="gramEnd"/>
    </w:p>
    <w:p w:rsidR="005B1DB1" w:rsidRPr="008D0013" w:rsidRDefault="005B1DB1" w:rsidP="005B1DB1"/>
    <w:p w:rsidR="005B1DB1" w:rsidRPr="008D0013" w:rsidRDefault="005B1DB1" w:rsidP="005B1DB1">
      <w:pPr>
        <w:pStyle w:val="Heading3"/>
      </w:pPr>
      <w:bookmarkStart w:id="24" w:name="_Toc37165259"/>
      <w:bookmarkStart w:id="25" w:name="_Toc54733169"/>
      <w:r w:rsidRPr="004578C2">
        <w:t>Development</w:t>
      </w:r>
      <w:r w:rsidRPr="004578C2">
        <w:rPr>
          <w:snapToGrid w:val="0"/>
        </w:rPr>
        <w:t xml:space="preserve"> of document UPOV/INF/23 “</w:t>
      </w:r>
      <w:r w:rsidRPr="004578C2">
        <w:t>UPOV Code System”</w:t>
      </w:r>
      <w:bookmarkEnd w:id="24"/>
      <w:bookmarkEnd w:id="25"/>
    </w:p>
    <w:p w:rsidR="005B1DB1" w:rsidRPr="008D0013" w:rsidRDefault="005B1DB1" w:rsidP="005B1DB1"/>
    <w:p w:rsidR="005B1DB1" w:rsidRDefault="005B1DB1" w:rsidP="005B1DB1">
      <w:r w:rsidRPr="004578C2">
        <w:fldChar w:fldCharType="begin"/>
      </w:r>
      <w:r w:rsidRPr="00000934">
        <w:instrText xml:space="preserve"> AUTONUM  </w:instrText>
      </w:r>
      <w:r w:rsidRPr="004578C2">
        <w:fldChar w:fldCharType="end"/>
      </w:r>
      <w:r w:rsidRPr="00000934">
        <w:tab/>
      </w:r>
      <w:proofErr w:type="gramStart"/>
      <w:r w:rsidRPr="00000934">
        <w:t xml:space="preserve">The TC noted the report from the Office of the Union that the CAJ, on October 25, </w:t>
      </w:r>
      <w:r>
        <w:t xml:space="preserve">2020, </w:t>
      </w:r>
      <w:r w:rsidRPr="00000934">
        <w:t>in the procedure by correspondence</w:t>
      </w:r>
      <w:r>
        <w:t>,</w:t>
      </w:r>
      <w:r w:rsidRPr="00000934">
        <w:t xml:space="preserve"> had </w:t>
      </w:r>
      <w:r w:rsidRPr="008A6B9F">
        <w:t>approved the “Guide to the UPOV Code System”, on the basis of document</w:t>
      </w:r>
      <w:r>
        <w:t> </w:t>
      </w:r>
      <w:r w:rsidRPr="008A6B9F">
        <w:t>UPOV/INF/23/1 Draft 1</w:t>
      </w:r>
      <w:r>
        <w:t>, and</w:t>
      </w:r>
      <w:r w:rsidRPr="008A6B9F">
        <w:t xml:space="preserve"> proposed that the TC consider a new draft of document UPOV/INF/23/1 “Guide to the UPOV Code System” in 2021</w:t>
      </w:r>
      <w:r w:rsidRPr="00000934">
        <w:t xml:space="preserve"> (see document CAJ/77/9 “Outcome of consideration of documents by correspondence”, paragraphs 26 and 27).</w:t>
      </w:r>
      <w:proofErr w:type="gramEnd"/>
    </w:p>
    <w:p w:rsidR="005B1893" w:rsidRDefault="005B1893" w:rsidP="005B1893">
      <w:pPr>
        <w:rPr>
          <w:highlight w:val="yellow"/>
        </w:rPr>
      </w:pPr>
      <w:bookmarkStart w:id="26" w:name="_Toc519608644"/>
    </w:p>
    <w:p w:rsidR="005B1893" w:rsidRPr="00530137" w:rsidRDefault="005B1893" w:rsidP="005B1893">
      <w:pPr>
        <w:rPr>
          <w:highlight w:val="yellow"/>
        </w:rPr>
      </w:pPr>
    </w:p>
    <w:p w:rsidR="005B1893" w:rsidRPr="00274378" w:rsidRDefault="005B1893" w:rsidP="005B1893">
      <w:pPr>
        <w:pStyle w:val="Heading2"/>
        <w:rPr>
          <w:highlight w:val="yellow"/>
        </w:rPr>
      </w:pPr>
      <w:bookmarkStart w:id="27" w:name="_Toc54733170"/>
      <w:bookmarkEnd w:id="26"/>
      <w:r w:rsidRPr="00530137">
        <w:t>Tentative program for the development of guidance and information materials</w:t>
      </w:r>
      <w:bookmarkEnd w:id="27"/>
    </w:p>
    <w:p w:rsidR="00096FFB" w:rsidRDefault="00096FFB" w:rsidP="00096FFB"/>
    <w:p w:rsidR="00096FFB" w:rsidRDefault="00096FFB" w:rsidP="00096FFB">
      <w:r>
        <w:fldChar w:fldCharType="begin"/>
      </w:r>
      <w:r>
        <w:instrText xml:space="preserve"> AUTONUM  </w:instrText>
      </w:r>
      <w:r>
        <w:fldChar w:fldCharType="end"/>
      </w:r>
      <w:r>
        <w:tab/>
        <w:t xml:space="preserve">The TC, at its fifty-fifth session, agreed to extend the coverage of document “TGP Documents” to cover all relevant information materials, to be presented in future sessions of the Technical Committee (see </w:t>
      </w:r>
      <w:r w:rsidRPr="00096FFB">
        <w:t xml:space="preserve">document TC/55/25 Corr. “Report”, paragraph 177).  </w:t>
      </w:r>
    </w:p>
    <w:p w:rsidR="009F054C" w:rsidRDefault="009F054C" w:rsidP="00530137">
      <w:pPr>
        <w:pStyle w:val="Heading1"/>
      </w:pPr>
    </w:p>
    <w:p w:rsidR="00096FFB" w:rsidRDefault="00096FFB" w:rsidP="00096FFB">
      <w:r>
        <w:fldChar w:fldCharType="begin"/>
      </w:r>
      <w:r>
        <w:instrText xml:space="preserve"> AUTONUM  </w:instrText>
      </w:r>
      <w:r>
        <w:fldChar w:fldCharType="end"/>
      </w:r>
      <w:r>
        <w:tab/>
        <w:t xml:space="preserve">The </w:t>
      </w:r>
      <w:r w:rsidR="002D4214">
        <w:t xml:space="preserve">Annexes </w:t>
      </w:r>
      <w:r>
        <w:t xml:space="preserve">to this document present the program for the development of guidance and information materials, as amended </w:t>
      </w:r>
      <w:proofErr w:type="gramStart"/>
      <w:r>
        <w:t>on the basis of</w:t>
      </w:r>
      <w:proofErr w:type="gramEnd"/>
      <w:r>
        <w:t xml:space="preserve"> the comments by the TC, at its fifty-sixth session.</w:t>
      </w:r>
    </w:p>
    <w:p w:rsidR="00096FFB" w:rsidRPr="00096FFB" w:rsidRDefault="00096FFB" w:rsidP="00096FFB"/>
    <w:p w:rsidR="009F054C" w:rsidRDefault="009F054C" w:rsidP="00096FFB"/>
    <w:p w:rsidR="00121A39" w:rsidRDefault="00121A39" w:rsidP="00096FFB"/>
    <w:p w:rsidR="009F054C" w:rsidRDefault="009F054C" w:rsidP="001D26A9">
      <w:pPr>
        <w:keepNext/>
        <w:keepLines/>
        <w:jc w:val="left"/>
        <w:rPr>
          <w:rFonts w:cs="Arial"/>
        </w:rPr>
      </w:pPr>
      <w:r>
        <w:t xml:space="preserve">AGENDA ITEM 6:  PLUTO Plant Variety Database </w:t>
      </w:r>
      <w:r>
        <w:rPr>
          <w:rFonts w:cs="Arial"/>
        </w:rPr>
        <w:t>(document CAJ/77/8)</w:t>
      </w:r>
    </w:p>
    <w:p w:rsidR="009F054C" w:rsidRDefault="009F054C" w:rsidP="001D26A9">
      <w:pPr>
        <w:pStyle w:val="Heading1"/>
        <w:keepLines/>
      </w:pPr>
    </w:p>
    <w:p w:rsidR="006A6420" w:rsidRPr="002D4214" w:rsidRDefault="006A6420" w:rsidP="006A6420">
      <w:pPr>
        <w:keepNext/>
        <w:keepLines/>
        <w:rPr>
          <w:spacing w:val="-2"/>
        </w:rPr>
      </w:pPr>
      <w:r w:rsidRPr="008D0013">
        <w:fldChar w:fldCharType="begin"/>
      </w:r>
      <w:r w:rsidRPr="008D0013">
        <w:instrText xml:space="preserve"> AUTONUM  </w:instrText>
      </w:r>
      <w:r w:rsidRPr="008D0013">
        <w:fldChar w:fldCharType="end"/>
      </w:r>
      <w:r w:rsidRPr="008D0013">
        <w:tab/>
        <w:t>The TC considered document TC/56/8 by correspondence.</w:t>
      </w:r>
      <w:r>
        <w:t xml:space="preserve"> </w:t>
      </w:r>
      <w:r w:rsidRPr="008D0013">
        <w:t>The TC noted</w:t>
      </w:r>
      <w:r w:rsidRPr="008D0013">
        <w:rPr>
          <w:spacing w:val="-2"/>
        </w:rPr>
        <w:t xml:space="preserve"> that</w:t>
      </w:r>
      <w:r>
        <w:rPr>
          <w:spacing w:val="-2"/>
        </w:rPr>
        <w:t xml:space="preserve"> </w:t>
      </w:r>
      <w:proofErr w:type="gramStart"/>
      <w:r>
        <w:rPr>
          <w:spacing w:val="-2"/>
        </w:rPr>
        <w:t>decisions on documen</w:t>
      </w:r>
      <w:r w:rsidR="002D4214">
        <w:rPr>
          <w:spacing w:val="-2"/>
        </w:rPr>
        <w:t xml:space="preserve">t TC/56/8 had been taken by the </w:t>
      </w:r>
      <w:r>
        <w:rPr>
          <w:spacing w:val="-2"/>
        </w:rPr>
        <w:t>TC</w:t>
      </w:r>
      <w:proofErr w:type="gramEnd"/>
      <w:r>
        <w:rPr>
          <w:spacing w:val="-2"/>
        </w:rPr>
        <w:t xml:space="preserve"> by correspondence as provided in document TC/56/22, paragraphs 50 to 53</w:t>
      </w:r>
      <w:r w:rsidR="007B23AF">
        <w:rPr>
          <w:spacing w:val="-2"/>
        </w:rPr>
        <w:t xml:space="preserve">, </w:t>
      </w:r>
      <w:r w:rsidR="00A67CF1" w:rsidRPr="002D4214">
        <w:rPr>
          <w:spacing w:val="-2"/>
        </w:rPr>
        <w:t xml:space="preserve">and reproduced below: </w:t>
      </w:r>
    </w:p>
    <w:p w:rsidR="007B23AF" w:rsidRPr="002D4214" w:rsidRDefault="007B23AF" w:rsidP="00096FFB">
      <w:pPr>
        <w:ind w:left="567" w:right="567"/>
      </w:pPr>
    </w:p>
    <w:p w:rsidR="007B23AF" w:rsidRPr="002D4214" w:rsidRDefault="007B23AF" w:rsidP="00096FFB">
      <w:pPr>
        <w:ind w:left="567" w:right="567"/>
        <w:rPr>
          <w:sz w:val="18"/>
        </w:rPr>
      </w:pPr>
      <w:r w:rsidRPr="002D4214">
        <w:rPr>
          <w:sz w:val="18"/>
        </w:rPr>
        <w:t>“50.</w:t>
      </w:r>
      <w:r w:rsidRPr="002D4214">
        <w:rPr>
          <w:sz w:val="18"/>
        </w:rPr>
        <w:tab/>
        <w:t>The TC considered document TC/56/8.</w:t>
      </w:r>
    </w:p>
    <w:p w:rsidR="007B23AF" w:rsidRPr="002D4214" w:rsidRDefault="007B23AF" w:rsidP="00096FFB">
      <w:pPr>
        <w:ind w:left="567" w:right="567"/>
        <w:rPr>
          <w:sz w:val="18"/>
        </w:rPr>
      </w:pPr>
    </w:p>
    <w:p w:rsidR="007B23AF" w:rsidRPr="002D4214" w:rsidRDefault="007B23AF" w:rsidP="00096FFB">
      <w:pPr>
        <w:ind w:left="567" w:right="567"/>
        <w:rPr>
          <w:sz w:val="18"/>
        </w:rPr>
      </w:pPr>
      <w:proofErr w:type="gramStart"/>
      <w:r w:rsidRPr="002D4214">
        <w:rPr>
          <w:sz w:val="18"/>
        </w:rPr>
        <w:t>“51.</w:t>
      </w:r>
      <w:r w:rsidRPr="002D4214">
        <w:rPr>
          <w:sz w:val="18"/>
        </w:rPr>
        <w:tab/>
        <w:t>The TC agreed to request the Office of the Union to prepare a draft revised “Guide to the UPOV code system” on the basis of the proposal set out in document TC/56/8, paragraphs 15 to 26, for consideration by the TC and CAJ, at their sessions in 2021 and, subject to agreement by CAJ, present the draft revised “Guide to the UPOV code system” (document UPOV/INF/23) for adoption by the Council in 2021.</w:t>
      </w:r>
      <w:proofErr w:type="gramEnd"/>
      <w:r w:rsidRPr="002D4214">
        <w:rPr>
          <w:sz w:val="18"/>
        </w:rPr>
        <w:t xml:space="preserve">  </w:t>
      </w:r>
    </w:p>
    <w:p w:rsidR="007B23AF" w:rsidRPr="002D4214" w:rsidRDefault="007B23AF" w:rsidP="00096FFB">
      <w:pPr>
        <w:ind w:left="567" w:right="567"/>
        <w:rPr>
          <w:sz w:val="18"/>
        </w:rPr>
      </w:pPr>
    </w:p>
    <w:p w:rsidR="007B23AF" w:rsidRPr="002D4214" w:rsidRDefault="007B23AF" w:rsidP="00096FFB">
      <w:pPr>
        <w:ind w:left="567" w:right="567"/>
        <w:rPr>
          <w:sz w:val="18"/>
        </w:rPr>
      </w:pPr>
      <w:proofErr w:type="gramStart"/>
      <w:r w:rsidRPr="002D4214">
        <w:rPr>
          <w:sz w:val="18"/>
        </w:rPr>
        <w:t>“52.</w:t>
      </w:r>
      <w:r w:rsidRPr="002D4214">
        <w:rPr>
          <w:sz w:val="18"/>
        </w:rPr>
        <w:tab/>
        <w:t>The TC agreed to request the Office of the Union to invite comments by the TWPs at their sessions in 2021 on the draft revised “Guide to the UPOV code system” (document UPOV/INF/23) on the basis of the proposal set out document TC/56/8, paragraphs 15 to 26, to assist the TC in its consideration of the draft.</w:t>
      </w:r>
      <w:proofErr w:type="gramEnd"/>
    </w:p>
    <w:p w:rsidR="007B23AF" w:rsidRPr="002D4214" w:rsidRDefault="007B23AF" w:rsidP="00096FFB">
      <w:pPr>
        <w:ind w:left="567" w:right="567"/>
        <w:rPr>
          <w:sz w:val="18"/>
        </w:rPr>
      </w:pPr>
    </w:p>
    <w:p w:rsidR="007B23AF" w:rsidRPr="007B23AF" w:rsidRDefault="007B23AF" w:rsidP="00096FFB">
      <w:pPr>
        <w:ind w:left="567" w:right="567"/>
        <w:rPr>
          <w:sz w:val="18"/>
        </w:rPr>
      </w:pPr>
      <w:proofErr w:type="gramStart"/>
      <w:r w:rsidRPr="002D4214">
        <w:rPr>
          <w:sz w:val="18"/>
        </w:rPr>
        <w:t>“53.</w:t>
      </w:r>
      <w:r w:rsidRPr="002D4214">
        <w:rPr>
          <w:sz w:val="18"/>
        </w:rPr>
        <w:tab/>
        <w:t xml:space="preserve">The TC agreed to request the Office of the Union to present proposals to address the taxonomical reclassification of </w:t>
      </w:r>
      <w:r w:rsidRPr="002D4214">
        <w:rPr>
          <w:i/>
          <w:sz w:val="18"/>
        </w:rPr>
        <w:t>Beta vulgaris</w:t>
      </w:r>
      <w:r w:rsidRPr="002D4214">
        <w:rPr>
          <w:sz w:val="18"/>
        </w:rPr>
        <w:t xml:space="preserve"> ssp. </w:t>
      </w:r>
      <w:r w:rsidRPr="002D4214">
        <w:rPr>
          <w:i/>
          <w:sz w:val="18"/>
        </w:rPr>
        <w:t>vulgaris</w:t>
      </w:r>
      <w:r w:rsidRPr="002D4214">
        <w:rPr>
          <w:sz w:val="18"/>
        </w:rPr>
        <w:t xml:space="preserve">, </w:t>
      </w:r>
      <w:r w:rsidRPr="002D4214">
        <w:rPr>
          <w:i/>
          <w:sz w:val="18"/>
        </w:rPr>
        <w:t xml:space="preserve">Brassica </w:t>
      </w:r>
      <w:proofErr w:type="spellStart"/>
      <w:r w:rsidRPr="002D4214">
        <w:rPr>
          <w:i/>
          <w:sz w:val="18"/>
        </w:rPr>
        <w:t>oleracea</w:t>
      </w:r>
      <w:proofErr w:type="spellEnd"/>
      <w:r w:rsidRPr="002D4214">
        <w:rPr>
          <w:i/>
          <w:sz w:val="18"/>
        </w:rPr>
        <w:t xml:space="preserve">, Citrus </w:t>
      </w:r>
      <w:r w:rsidRPr="002D4214">
        <w:rPr>
          <w:sz w:val="18"/>
        </w:rPr>
        <w:t xml:space="preserve">and </w:t>
      </w:r>
      <w:proofErr w:type="spellStart"/>
      <w:r w:rsidRPr="002D4214">
        <w:rPr>
          <w:i/>
          <w:sz w:val="18"/>
        </w:rPr>
        <w:t>Zea</w:t>
      </w:r>
      <w:proofErr w:type="spellEnd"/>
      <w:r w:rsidRPr="002D4214">
        <w:rPr>
          <w:i/>
          <w:sz w:val="18"/>
        </w:rPr>
        <w:t xml:space="preserve"> mays</w:t>
      </w:r>
      <w:r w:rsidRPr="002D4214">
        <w:rPr>
          <w:sz w:val="18"/>
        </w:rPr>
        <w:t>, in conjunction with a proposal to revise the “Guide to the UPOV code system” (document UPOV/INF/23) for consideration by the TWPs and the TC at their sessions in 2021.”</w:t>
      </w:r>
      <w:proofErr w:type="gramEnd"/>
    </w:p>
    <w:p w:rsidR="009F054C" w:rsidRDefault="009F054C" w:rsidP="007717E8"/>
    <w:p w:rsidR="00121A39" w:rsidRDefault="00121A39" w:rsidP="007717E8"/>
    <w:p w:rsidR="009F054C" w:rsidRDefault="009F054C" w:rsidP="007717E8"/>
    <w:p w:rsidR="00996156" w:rsidRPr="00530137" w:rsidRDefault="00996156" w:rsidP="007717E8">
      <w:pPr>
        <w:pStyle w:val="Heading1"/>
      </w:pPr>
      <w:bookmarkStart w:id="28" w:name="_Toc54733171"/>
      <w:r w:rsidRPr="00530137">
        <w:t>AGENDA ITEM 1</w:t>
      </w:r>
      <w:r w:rsidR="00274378" w:rsidRPr="00530137">
        <w:t>2</w:t>
      </w:r>
      <w:r w:rsidRPr="00530137">
        <w:t>:  Matters for information</w:t>
      </w:r>
      <w:bookmarkEnd w:id="28"/>
    </w:p>
    <w:p w:rsidR="00996156" w:rsidRDefault="00996156" w:rsidP="007717E8">
      <w:pPr>
        <w:keepNext/>
        <w:rPr>
          <w:highlight w:val="yellow"/>
          <w:lang w:eastAsia="ja-JP"/>
        </w:rPr>
      </w:pPr>
    </w:p>
    <w:p w:rsidR="008E7173" w:rsidRPr="00AF7E55" w:rsidRDefault="00AF4192" w:rsidP="00FA166A">
      <w:pPr>
        <w:pStyle w:val="Heading2"/>
      </w:pPr>
      <w:bookmarkStart w:id="29" w:name="_Toc54733172"/>
      <w:r w:rsidRPr="002120B6">
        <w:t>Molecular</w:t>
      </w:r>
      <w:r w:rsidRPr="00AF7E55">
        <w:t xml:space="preserve"> </w:t>
      </w:r>
      <w:r w:rsidR="00274378" w:rsidRPr="00AF7E55">
        <w:t>techniques (document CAJ/77/INF/5)</w:t>
      </w:r>
      <w:bookmarkEnd w:id="29"/>
    </w:p>
    <w:p w:rsidR="00EB0E6B" w:rsidRPr="008D0013" w:rsidRDefault="00EB0E6B" w:rsidP="007717E8">
      <w:pPr>
        <w:keepNext/>
      </w:pPr>
    </w:p>
    <w:p w:rsidR="00EB0E6B" w:rsidRPr="008D0013" w:rsidRDefault="00EB0E6B" w:rsidP="007717E8">
      <w:pPr>
        <w:keepNext/>
      </w:pPr>
      <w:r w:rsidRPr="008D0013">
        <w:fldChar w:fldCharType="begin"/>
      </w:r>
      <w:r w:rsidRPr="008D0013">
        <w:instrText xml:space="preserve"> AUTONUM  </w:instrText>
      </w:r>
      <w:r w:rsidRPr="008D0013">
        <w:fldChar w:fldCharType="end"/>
      </w:r>
      <w:r w:rsidRPr="008D0013">
        <w:tab/>
        <w:t>The TC considered document TC/56/7.</w:t>
      </w:r>
    </w:p>
    <w:p w:rsidR="00EB0E6B" w:rsidRPr="008D0013" w:rsidRDefault="00EB0E6B" w:rsidP="00096FFB"/>
    <w:p w:rsidR="00EB0E6B" w:rsidRPr="008D0013" w:rsidRDefault="00EB0E6B" w:rsidP="00794F35">
      <w:pPr>
        <w:pStyle w:val="Heading3"/>
        <w:keepLines/>
        <w:rPr>
          <w:lang w:eastAsia="ja-JP"/>
        </w:rPr>
      </w:pPr>
      <w:bookmarkStart w:id="30" w:name="_Toc525647214"/>
      <w:bookmarkStart w:id="31" w:name="_Toc526175654"/>
      <w:bookmarkStart w:id="32" w:name="_Toc53597260"/>
      <w:bookmarkStart w:id="33" w:name="_Toc54733173"/>
      <w:r w:rsidRPr="008D0013">
        <w:rPr>
          <w:lang w:eastAsia="ja-JP"/>
        </w:rPr>
        <w:lastRenderedPageBreak/>
        <w:t>Cooperation between international organizations</w:t>
      </w:r>
      <w:bookmarkEnd w:id="30"/>
      <w:bookmarkEnd w:id="31"/>
      <w:bookmarkEnd w:id="32"/>
      <w:bookmarkEnd w:id="33"/>
    </w:p>
    <w:p w:rsidR="00EB0E6B" w:rsidRPr="008D0013" w:rsidRDefault="00EB0E6B" w:rsidP="00794F35">
      <w:pPr>
        <w:keepNext/>
        <w:keepLines/>
        <w:rPr>
          <w:lang w:eastAsia="ja-JP"/>
        </w:rPr>
      </w:pPr>
    </w:p>
    <w:p w:rsidR="00EB0E6B" w:rsidRPr="002170E9" w:rsidRDefault="00EB0E6B" w:rsidP="00794F35">
      <w:pPr>
        <w:pStyle w:val="Heading4"/>
        <w:keepLines/>
        <w:rPr>
          <w:rFonts w:eastAsiaTheme="minorEastAsia"/>
          <w:lang w:val="en-US"/>
        </w:rPr>
      </w:pPr>
      <w:bookmarkStart w:id="34" w:name="_Toc14980928"/>
      <w:bookmarkStart w:id="35" w:name="_Toc15059498"/>
      <w:bookmarkStart w:id="36" w:name="_Toc15295343"/>
      <w:bookmarkStart w:id="37" w:name="_Toc22564623"/>
      <w:bookmarkStart w:id="38" w:name="_Toc27663377"/>
      <w:bookmarkStart w:id="39" w:name="_Toc53597262"/>
      <w:bookmarkStart w:id="40" w:name="_Toc54733174"/>
      <w:r w:rsidRPr="002170E9">
        <w:rPr>
          <w:rFonts w:eastAsiaTheme="minorEastAsia"/>
          <w:lang w:val="en-US"/>
        </w:rPr>
        <w:t>Inventory on the use of molecular marker techniques, by crop</w:t>
      </w:r>
      <w:bookmarkEnd w:id="34"/>
      <w:bookmarkEnd w:id="35"/>
      <w:bookmarkEnd w:id="36"/>
      <w:bookmarkEnd w:id="37"/>
      <w:bookmarkEnd w:id="38"/>
      <w:bookmarkEnd w:id="39"/>
      <w:bookmarkEnd w:id="40"/>
    </w:p>
    <w:p w:rsidR="00EB0E6B" w:rsidRPr="002170E9" w:rsidRDefault="00EB0E6B" w:rsidP="00794F35">
      <w:pPr>
        <w:keepNext/>
        <w:keepLines/>
        <w:rPr>
          <w:rFonts w:cs="Arial"/>
        </w:rPr>
      </w:pPr>
    </w:p>
    <w:p w:rsidR="00EB0E6B" w:rsidRPr="002170E9" w:rsidRDefault="00EB0E6B" w:rsidP="00794F35">
      <w:pPr>
        <w:keepNext/>
        <w:keepLines/>
      </w:pPr>
      <w:r w:rsidRPr="002170E9">
        <w:fldChar w:fldCharType="begin"/>
      </w:r>
      <w:r w:rsidRPr="002170E9">
        <w:instrText xml:space="preserve"> AUTONUM  </w:instrText>
      </w:r>
      <w:r w:rsidRPr="002170E9">
        <w:fldChar w:fldCharType="end"/>
      </w:r>
      <w:r w:rsidRPr="002170E9">
        <w:tab/>
        <w:t>The TC noted that on October 16, 2020, the Office of the Union had issued Circular E-20/189 inviting members to complete the survey on the use of molecular marker techniques, per crop, by December 15, 2020.</w:t>
      </w:r>
    </w:p>
    <w:p w:rsidR="00EB0E6B" w:rsidRPr="002170E9" w:rsidRDefault="00EB0E6B" w:rsidP="00EB0E6B"/>
    <w:p w:rsidR="00EB0E6B" w:rsidRPr="002170E9" w:rsidRDefault="00EB0E6B" w:rsidP="00EB0E6B">
      <w:r w:rsidRPr="002170E9">
        <w:fldChar w:fldCharType="begin"/>
      </w:r>
      <w:r w:rsidRPr="002170E9">
        <w:instrText xml:space="preserve"> AUTONUM  </w:instrText>
      </w:r>
      <w:r w:rsidRPr="002170E9">
        <w:fldChar w:fldCharType="end"/>
      </w:r>
      <w:r w:rsidRPr="002170E9">
        <w:tab/>
        <w:t xml:space="preserve">The TC noted that the results of the survey </w:t>
      </w:r>
      <w:proofErr w:type="gramStart"/>
      <w:r w:rsidRPr="002170E9">
        <w:t>would be presented</w:t>
      </w:r>
      <w:proofErr w:type="gramEnd"/>
      <w:r w:rsidRPr="002170E9">
        <w:t xml:space="preserve"> to the Technical Committee, at its fifty</w:t>
      </w:r>
      <w:r w:rsidRPr="002170E9">
        <w:noBreakHyphen/>
        <w:t>seventh session, to be held in 2021.</w:t>
      </w:r>
    </w:p>
    <w:p w:rsidR="00EB0E6B" w:rsidRPr="002170E9" w:rsidRDefault="00EB0E6B" w:rsidP="00EB0E6B">
      <w:pPr>
        <w:rPr>
          <w:rFonts w:cs="Arial"/>
        </w:rPr>
      </w:pPr>
    </w:p>
    <w:p w:rsidR="00EB0E6B" w:rsidRPr="002170E9" w:rsidRDefault="00EB0E6B" w:rsidP="00EB0E6B">
      <w:pPr>
        <w:pStyle w:val="Heading4"/>
        <w:rPr>
          <w:rFonts w:cs="Arial"/>
          <w:lang w:val="en-US"/>
        </w:rPr>
      </w:pPr>
      <w:bookmarkStart w:id="41" w:name="_Toc14980929"/>
      <w:bookmarkStart w:id="42" w:name="_Toc15059500"/>
      <w:bookmarkStart w:id="43" w:name="_Toc15295345"/>
      <w:bookmarkStart w:id="44" w:name="_Toc22564624"/>
      <w:bookmarkStart w:id="45" w:name="_Toc27663378"/>
      <w:bookmarkStart w:id="46" w:name="_Toc53597263"/>
      <w:bookmarkStart w:id="47" w:name="_Toc54733175"/>
      <w:r w:rsidRPr="002170E9">
        <w:rPr>
          <w:rFonts w:eastAsiaTheme="minorEastAsia"/>
          <w:lang w:val="en-US"/>
        </w:rPr>
        <w:t>Lists of possible joint initiatives with OECD and ISTA in relation to molecular techniques</w:t>
      </w:r>
      <w:bookmarkEnd w:id="41"/>
      <w:bookmarkEnd w:id="42"/>
      <w:bookmarkEnd w:id="43"/>
      <w:bookmarkEnd w:id="44"/>
      <w:bookmarkEnd w:id="45"/>
      <w:bookmarkEnd w:id="46"/>
      <w:bookmarkEnd w:id="47"/>
    </w:p>
    <w:p w:rsidR="00EB0E6B" w:rsidRPr="002170E9" w:rsidRDefault="00EB0E6B" w:rsidP="00EB0E6B">
      <w:pPr>
        <w:rPr>
          <w:rFonts w:cs="Arial"/>
        </w:rPr>
      </w:pPr>
    </w:p>
    <w:p w:rsidR="00EB0E6B" w:rsidRDefault="00EB0E6B" w:rsidP="00EB0E6B">
      <w:r w:rsidRPr="002170E9">
        <w:fldChar w:fldCharType="begin"/>
      </w:r>
      <w:r w:rsidRPr="002170E9">
        <w:instrText xml:space="preserve"> AUTONUM  </w:instrText>
      </w:r>
      <w:r w:rsidRPr="002170E9">
        <w:fldChar w:fldCharType="end"/>
      </w:r>
      <w:r w:rsidRPr="002170E9">
        <w:tab/>
        <w:t xml:space="preserve">The TC </w:t>
      </w:r>
      <w:r>
        <w:t xml:space="preserve">agreed that </w:t>
      </w:r>
      <w:r w:rsidRPr="002170E9">
        <w:t xml:space="preserve">another joint OECD, UPOV, ISTA workshop on molecular techniques </w:t>
      </w:r>
      <w:proofErr w:type="gramStart"/>
      <w:r>
        <w:t>should be organized</w:t>
      </w:r>
      <w:proofErr w:type="gramEnd"/>
      <w:r>
        <w:t xml:space="preserve"> </w:t>
      </w:r>
      <w:r w:rsidRPr="002170E9">
        <w:t>in the near future.</w:t>
      </w:r>
    </w:p>
    <w:p w:rsidR="00EB0E6B" w:rsidRDefault="00EB0E6B" w:rsidP="00EB0E6B"/>
    <w:p w:rsidR="00EB0E6B" w:rsidRPr="002170E9" w:rsidRDefault="00EB0E6B" w:rsidP="00EB0E6B">
      <w:r>
        <w:fldChar w:fldCharType="begin"/>
      </w:r>
      <w:r>
        <w:instrText xml:space="preserve"> AUTONUM  </w:instrText>
      </w:r>
      <w:r>
        <w:fldChar w:fldCharType="end"/>
      </w:r>
      <w:r>
        <w:tab/>
        <w:t xml:space="preserve">The TC recalled that, </w:t>
      </w:r>
      <w:r>
        <w:rPr>
          <w:rFonts w:eastAsiaTheme="minorEastAsia"/>
        </w:rPr>
        <w:t>at its fifty-fifth session</w:t>
      </w:r>
      <w:r>
        <w:rPr>
          <w:rStyle w:val="FootnoteReference"/>
          <w:rFonts w:eastAsiaTheme="minorEastAsia"/>
        </w:rPr>
        <w:footnoteReference w:id="2"/>
      </w:r>
      <w:r>
        <w:rPr>
          <w:rFonts w:eastAsiaTheme="minorEastAsia"/>
        </w:rPr>
        <w:t>,</w:t>
      </w:r>
      <w:r w:rsidRPr="002170E9">
        <w:t xml:space="preserve"> </w:t>
      </w:r>
      <w:r>
        <w:t xml:space="preserve">it had </w:t>
      </w:r>
      <w:r w:rsidRPr="004B3E56">
        <w:t xml:space="preserve">noted </w:t>
      </w:r>
      <w:r>
        <w:t xml:space="preserve">that </w:t>
      </w:r>
      <w:r w:rsidRPr="004B3E56">
        <w:t xml:space="preserve">there were no definitions on </w:t>
      </w:r>
      <w:r>
        <w:t xml:space="preserve">biochemical and </w:t>
      </w:r>
      <w:r w:rsidRPr="004B3E56">
        <w:t>molecular techniques in UPOV</w:t>
      </w:r>
      <w:r>
        <w:t xml:space="preserve"> and had </w:t>
      </w:r>
      <w:r w:rsidRPr="004B3E56">
        <w:t xml:space="preserve">agreed that information from the survey on the techniques </w:t>
      </w:r>
      <w:r>
        <w:t>could help to clarify techniques that were considered to be biochemical or molecular.</w:t>
      </w:r>
      <w:r w:rsidRPr="004B3E56">
        <w:t xml:space="preserve">  </w:t>
      </w:r>
      <w:r>
        <w:t xml:space="preserve">The TC agreed that </w:t>
      </w:r>
      <w:r w:rsidRPr="002170E9">
        <w:t>joint OECD, UPOV, ISTA workshop on molecular techniques</w:t>
      </w:r>
      <w:r>
        <w:t xml:space="preserve"> would be an opportunity to discuss the definitions used in molecular techniques with a view to their harmonization.</w:t>
      </w:r>
    </w:p>
    <w:p w:rsidR="00EB0E6B" w:rsidRPr="002170E9" w:rsidRDefault="00EB0E6B" w:rsidP="00EB0E6B">
      <w:pPr>
        <w:rPr>
          <w:rFonts w:eastAsiaTheme="minorEastAsia"/>
        </w:rPr>
      </w:pPr>
    </w:p>
    <w:p w:rsidR="00EB0E6B" w:rsidRPr="002170E9" w:rsidRDefault="00EB0E6B" w:rsidP="00EB0E6B">
      <w:pPr>
        <w:pStyle w:val="Heading4"/>
        <w:rPr>
          <w:rFonts w:eastAsiaTheme="minorEastAsia"/>
          <w:lang w:val="en-US"/>
        </w:rPr>
      </w:pPr>
      <w:bookmarkStart w:id="48" w:name="_Toc53597265"/>
      <w:bookmarkStart w:id="49" w:name="_Toc54733176"/>
      <w:r w:rsidRPr="002170E9">
        <w:rPr>
          <w:rFonts w:eastAsiaTheme="minorEastAsia"/>
          <w:lang w:val="en-US"/>
        </w:rPr>
        <w:t>Joint document explaining the principal features of the systems of OECD, UPOV and ISTA</w:t>
      </w:r>
      <w:bookmarkEnd w:id="48"/>
      <w:bookmarkEnd w:id="49"/>
    </w:p>
    <w:p w:rsidR="00EB0E6B" w:rsidRPr="002170E9" w:rsidRDefault="00EB0E6B" w:rsidP="00EB0E6B">
      <w:pPr>
        <w:rPr>
          <w:rFonts w:cs="Arial"/>
        </w:rPr>
      </w:pPr>
    </w:p>
    <w:p w:rsidR="00EB0E6B" w:rsidRDefault="00EB0E6B" w:rsidP="00EB0E6B">
      <w:r w:rsidRPr="002170E9">
        <w:fldChar w:fldCharType="begin"/>
      </w:r>
      <w:r w:rsidRPr="002170E9">
        <w:instrText xml:space="preserve"> AUTONUM  </w:instrText>
      </w:r>
      <w:r w:rsidRPr="002170E9">
        <w:fldChar w:fldCharType="end"/>
      </w:r>
      <w:r w:rsidRPr="002170E9">
        <w:tab/>
        <w:t xml:space="preserve">The TC noted that developments on a </w:t>
      </w:r>
      <w:r w:rsidRPr="002170E9">
        <w:rPr>
          <w:rFonts w:eastAsiaTheme="minorEastAsia"/>
        </w:rPr>
        <w:t>joint document explaining the principal features of the systems of OECD, UPOV and ISTA</w:t>
      </w:r>
      <w:r w:rsidRPr="002170E9">
        <w:t xml:space="preserve"> </w:t>
      </w:r>
      <w:proofErr w:type="gramStart"/>
      <w:r w:rsidRPr="004754E7">
        <w:rPr>
          <w:rFonts w:eastAsiaTheme="minorEastAsia"/>
        </w:rPr>
        <w:t>were</w:t>
      </w:r>
      <w:r w:rsidRPr="00611879">
        <w:rPr>
          <w:rFonts w:eastAsiaTheme="minorEastAsia"/>
        </w:rPr>
        <w:t xml:space="preserve"> reported</w:t>
      </w:r>
      <w:proofErr w:type="gramEnd"/>
      <w:r w:rsidRPr="00611879">
        <w:rPr>
          <w:rFonts w:eastAsiaTheme="minorEastAsia"/>
        </w:rPr>
        <w:t xml:space="preserve"> to the TC at its fifty-sixth session,</w:t>
      </w:r>
      <w:r w:rsidRPr="002170E9">
        <w:rPr>
          <w:rFonts w:eastAsiaTheme="minorEastAsia"/>
        </w:rPr>
        <w:t xml:space="preserve"> with the aim of proposing a draft joint document explaining the principal features of the systems of OECD, UPOV and ISTA for consideration by the TC at its fifty-seventh session</w:t>
      </w:r>
      <w:r w:rsidRPr="002170E9">
        <w:t>.</w:t>
      </w:r>
    </w:p>
    <w:p w:rsidR="00EB0E6B" w:rsidRDefault="00EB0E6B" w:rsidP="00EB0E6B"/>
    <w:p w:rsidR="00EB0E6B" w:rsidRPr="002170E9" w:rsidRDefault="00EB0E6B" w:rsidP="00EB0E6B">
      <w:pPr>
        <w:rPr>
          <w:rFonts w:cs="Arial"/>
        </w:rPr>
      </w:pPr>
      <w:r>
        <w:rPr>
          <w:rFonts w:cs="Arial"/>
        </w:rPr>
        <w:fldChar w:fldCharType="begin"/>
      </w:r>
      <w:r>
        <w:rPr>
          <w:rFonts w:cs="Arial"/>
        </w:rPr>
        <w:instrText xml:space="preserve"> AUTONUM  </w:instrText>
      </w:r>
      <w:r>
        <w:rPr>
          <w:rFonts w:cs="Arial"/>
        </w:rPr>
        <w:fldChar w:fldCharType="end"/>
      </w:r>
      <w:r>
        <w:rPr>
          <w:rFonts w:cs="Arial"/>
        </w:rPr>
        <w:tab/>
        <w:t>The TC noted that the joint document would provide information on the status of molecular techniques for the purposes of each organization.  The TC recalled that UPOV provided guidance for harmonized use of molecular techniques in documents UPOV/INF/17, TGP/15 and Test Guidelines.</w:t>
      </w:r>
    </w:p>
    <w:p w:rsidR="00EB0E6B" w:rsidRPr="002170E9" w:rsidRDefault="00EB0E6B" w:rsidP="00EB0E6B">
      <w:pPr>
        <w:rPr>
          <w:rFonts w:cs="Arial"/>
        </w:rPr>
      </w:pPr>
    </w:p>
    <w:p w:rsidR="00EB0E6B" w:rsidRPr="002170E9" w:rsidRDefault="00EB0E6B" w:rsidP="00EB0E6B">
      <w:pPr>
        <w:pStyle w:val="Heading3"/>
        <w:rPr>
          <w:rFonts w:cs="Arial"/>
        </w:rPr>
      </w:pPr>
      <w:bookmarkStart w:id="50" w:name="_Toc54733177"/>
      <w:r w:rsidRPr="002170E9">
        <w:rPr>
          <w:snapToGrid w:val="0"/>
        </w:rPr>
        <w:t>Session to facilitate cooperation in relation to the use of molecular techniques</w:t>
      </w:r>
      <w:bookmarkEnd w:id="50"/>
    </w:p>
    <w:p w:rsidR="00EB0E6B" w:rsidRPr="002170E9" w:rsidRDefault="00EB0E6B" w:rsidP="00EB0E6B">
      <w:pPr>
        <w:rPr>
          <w:rFonts w:cs="Arial"/>
        </w:rPr>
      </w:pPr>
    </w:p>
    <w:p w:rsidR="00EB0E6B" w:rsidRPr="002170E9" w:rsidRDefault="00EB0E6B" w:rsidP="00EB0E6B">
      <w:r w:rsidRPr="002170E9">
        <w:fldChar w:fldCharType="begin"/>
      </w:r>
      <w:r w:rsidRPr="002170E9">
        <w:instrText xml:space="preserve"> AUTONUM  </w:instrText>
      </w:r>
      <w:r w:rsidRPr="002170E9">
        <w:fldChar w:fldCharType="end"/>
      </w:r>
      <w:r w:rsidRPr="002170E9">
        <w:tab/>
        <w:t xml:space="preserve">The TC noted the information provided by participants at the nineteenth session of the BMT on their work on biochemical and molecular techniques and areas for cooperation, as reproduced in the Annex to </w:t>
      </w:r>
      <w:r w:rsidRPr="002170E9">
        <w:rPr>
          <w:rFonts w:cs="Arial"/>
        </w:rPr>
        <w:t>document TC/56/7.</w:t>
      </w:r>
    </w:p>
    <w:p w:rsidR="00EB0E6B" w:rsidRPr="002170E9" w:rsidRDefault="00EB0E6B" w:rsidP="00EB0E6B"/>
    <w:p w:rsidR="00EB0E6B" w:rsidRPr="008D0013" w:rsidRDefault="00EB0E6B" w:rsidP="00EB0E6B">
      <w:r w:rsidRPr="002170E9">
        <w:fldChar w:fldCharType="begin"/>
      </w:r>
      <w:r w:rsidRPr="002170E9">
        <w:instrText xml:space="preserve"> AUTONUM  </w:instrText>
      </w:r>
      <w:r w:rsidRPr="002170E9">
        <w:fldChar w:fldCharType="end"/>
      </w:r>
      <w:r w:rsidRPr="002170E9">
        <w:tab/>
        <w:t xml:space="preserve">The TC agreed to invite the TWPs and BMT to form </w:t>
      </w:r>
      <w:r w:rsidRPr="002170E9">
        <w:rPr>
          <w:rFonts w:cs="Arial"/>
        </w:rPr>
        <w:t xml:space="preserve">discussion groups to allow participants to </w:t>
      </w:r>
      <w:r w:rsidRPr="002170E9">
        <w:t>exchange information on their work on biochemical and molecular techniques and explore areas for cooperation.</w:t>
      </w:r>
    </w:p>
    <w:p w:rsidR="00EB0E6B" w:rsidRDefault="00EB0E6B" w:rsidP="00EB0E6B"/>
    <w:p w:rsidR="00EB0E6B" w:rsidRPr="008D0013" w:rsidRDefault="00EB0E6B" w:rsidP="00EB0E6B">
      <w:r>
        <w:fldChar w:fldCharType="begin"/>
      </w:r>
      <w:r>
        <w:instrText xml:space="preserve"> AUTONUM  </w:instrText>
      </w:r>
      <w:r>
        <w:fldChar w:fldCharType="end"/>
      </w:r>
      <w:r>
        <w:tab/>
        <w:t xml:space="preserve">The TC noted that the BMT had discussed “confidentiality, ownership and access to molecular data” at its nineteenth session. </w:t>
      </w:r>
    </w:p>
    <w:p w:rsidR="00EB0E6B" w:rsidRDefault="00EB0E6B" w:rsidP="00EB0E6B"/>
    <w:p w:rsidR="00121A39" w:rsidRDefault="00121A39" w:rsidP="00EB0E6B"/>
    <w:p w:rsidR="006A6420" w:rsidRDefault="006A6420" w:rsidP="006A6420">
      <w:pPr>
        <w:jc w:val="left"/>
        <w:rPr>
          <w:highlight w:val="yellow"/>
        </w:rPr>
      </w:pPr>
    </w:p>
    <w:p w:rsidR="006A6420" w:rsidRPr="006A6420" w:rsidRDefault="006A6420" w:rsidP="006A6420">
      <w:pPr>
        <w:pStyle w:val="Heading1"/>
      </w:pPr>
      <w:bookmarkStart w:id="51" w:name="_Toc54733178"/>
      <w:r w:rsidRPr="006A6420">
        <w:t>Other matters for consideration by the CAJ</w:t>
      </w:r>
      <w:bookmarkEnd w:id="51"/>
    </w:p>
    <w:p w:rsidR="00EB0E6B" w:rsidRPr="008D0013" w:rsidRDefault="00EB0E6B" w:rsidP="00EB0E6B"/>
    <w:p w:rsidR="00EB0E6B" w:rsidRPr="008A6B9F" w:rsidRDefault="00EB0E6B" w:rsidP="00EB0E6B">
      <w:pPr>
        <w:pStyle w:val="Heading2"/>
      </w:pPr>
      <w:bookmarkStart w:id="52" w:name="_Toc54733179"/>
      <w:r w:rsidRPr="008A6B9F">
        <w:t>Cooperation in examination</w:t>
      </w:r>
      <w:bookmarkEnd w:id="52"/>
    </w:p>
    <w:p w:rsidR="00EB0E6B" w:rsidRPr="008D0013" w:rsidRDefault="00EB0E6B" w:rsidP="00EB0E6B">
      <w:pPr>
        <w:jc w:val="left"/>
      </w:pPr>
    </w:p>
    <w:p w:rsidR="00487942" w:rsidRPr="00487942" w:rsidRDefault="00487942" w:rsidP="00487942">
      <w:r w:rsidRPr="00487942">
        <w:fldChar w:fldCharType="begin"/>
      </w:r>
      <w:r w:rsidRPr="00487942">
        <w:instrText xml:space="preserve"> AUTONUM  </w:instrText>
      </w:r>
      <w:r w:rsidRPr="00487942">
        <w:fldChar w:fldCharType="end"/>
      </w:r>
      <w:r w:rsidRPr="00487942">
        <w:tab/>
      </w:r>
      <w:r w:rsidRPr="00487942">
        <w:rPr>
          <w:snapToGrid w:val="0"/>
        </w:rPr>
        <w:t>The TC,</w:t>
      </w:r>
      <w:r w:rsidRPr="00487942">
        <w:t xml:space="preserve"> at its fifty-fifth</w:t>
      </w:r>
      <w:r w:rsidRPr="00487942">
        <w:rPr>
          <w:vertAlign w:val="superscript"/>
        </w:rPr>
        <w:t>1</w:t>
      </w:r>
      <w:r w:rsidRPr="00487942">
        <w:t xml:space="preserve"> session,</w:t>
      </w:r>
      <w:r w:rsidRPr="00487942">
        <w:rPr>
          <w:snapToGrid w:val="0"/>
        </w:rPr>
        <w:t xml:space="preserve"> </w:t>
      </w:r>
      <w:r w:rsidRPr="00487942">
        <w:t>noted that the TWPs, at their sessions in 2019, had formed discussion groups to discuss the technical concerns that prevent cooperation in DUS examination and to propose how to overcome the technical concerns raised.</w:t>
      </w:r>
    </w:p>
    <w:p w:rsidR="00487942" w:rsidRPr="00487942" w:rsidRDefault="00487942" w:rsidP="00487942"/>
    <w:p w:rsidR="00487942" w:rsidRPr="00487942" w:rsidRDefault="00487942" w:rsidP="00487942">
      <w:pPr>
        <w:rPr>
          <w:snapToGrid w:val="0"/>
        </w:rPr>
      </w:pPr>
      <w:r w:rsidRPr="00487942">
        <w:fldChar w:fldCharType="begin"/>
      </w:r>
      <w:r w:rsidRPr="00487942">
        <w:instrText xml:space="preserve"> AUTONUM  </w:instrText>
      </w:r>
      <w:r w:rsidRPr="00487942">
        <w:fldChar w:fldCharType="end"/>
      </w:r>
      <w:r w:rsidRPr="00487942">
        <w:tab/>
        <w:t xml:space="preserve">The TC considered the outcomes of discussions held at the TWO, TWV, TWF, TWA and TWC, at their sessions in 2019, as set out in document TC/55/10, paragraphs 19 to 26, </w:t>
      </w:r>
      <w:r w:rsidRPr="00487942">
        <w:rPr>
          <w:snapToGrid w:val="0"/>
        </w:rPr>
        <w:t>reproduced as follows:</w:t>
      </w:r>
    </w:p>
    <w:p w:rsidR="00487942" w:rsidRPr="00487942" w:rsidRDefault="00487942" w:rsidP="00487942">
      <w:pPr>
        <w:rPr>
          <w:snapToGrid w:val="0"/>
        </w:rPr>
      </w:pPr>
    </w:p>
    <w:p w:rsidR="00487942" w:rsidRPr="00487942" w:rsidRDefault="00487942" w:rsidP="00121A39">
      <w:pPr>
        <w:pStyle w:val="Heading3"/>
      </w:pPr>
      <w:bookmarkStart w:id="53" w:name="_Toc46829747"/>
      <w:bookmarkStart w:id="54" w:name="_Toc54733180"/>
      <w:r w:rsidRPr="00487942">
        <w:lastRenderedPageBreak/>
        <w:t>Technical and related administrative issues:</w:t>
      </w:r>
      <w:bookmarkEnd w:id="53"/>
      <w:bookmarkEnd w:id="54"/>
    </w:p>
    <w:p w:rsidR="00487942" w:rsidRPr="00487942" w:rsidRDefault="00487942" w:rsidP="00121A39">
      <w:pPr>
        <w:keepNext/>
        <w:rPr>
          <w:i/>
        </w:rPr>
      </w:pP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Sufficient experience for conducting DUS examination of a particular crop / quality of examination performed</w:t>
      </w: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Suitable variety collection</w:t>
      </w: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Information on varieties included in DUS examination</w:t>
      </w: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Different descriptions due to environmental influence on expression of characteristics</w:t>
      </w: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Lack of assessment of or divergent protocols and nomenclature for disease resistance characteristics</w:t>
      </w: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Requirement for a specific comparison variety to be described along with candidate</w:t>
      </w: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Lack of information on quality controls for DUS at breeders’ premises</w:t>
      </w: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DUS test reports that do not conform to UPOV Test Guidelines (missing or different characteristics)</w:t>
      </w: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Difficulty to complete variety collections (e.g. import / phytosanitary issues)</w:t>
      </w: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Lack of global DNA database for selection of similar varieties</w:t>
      </w: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Language barriers</w:t>
      </w: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Difficulty to identify contact persons</w:t>
      </w:r>
    </w:p>
    <w:p w:rsidR="00487942" w:rsidRDefault="00487942" w:rsidP="00487942">
      <w:pPr>
        <w:numPr>
          <w:ilvl w:val="0"/>
          <w:numId w:val="6"/>
        </w:numPr>
        <w:spacing w:after="200" w:line="276" w:lineRule="auto"/>
        <w:ind w:left="1134" w:hanging="567"/>
        <w:contextualSpacing/>
        <w:rPr>
          <w:szCs w:val="22"/>
        </w:rPr>
      </w:pPr>
      <w:r w:rsidRPr="00487942">
        <w:rPr>
          <w:szCs w:val="22"/>
        </w:rPr>
        <w:t xml:space="preserve">Lack of information on available DUS test reports </w:t>
      </w:r>
    </w:p>
    <w:p w:rsidR="00487942" w:rsidRDefault="00487942" w:rsidP="003A29D8">
      <w:pPr>
        <w:pStyle w:val="Heading3"/>
      </w:pPr>
      <w:bookmarkStart w:id="55" w:name="_Toc46829748"/>
      <w:bookmarkStart w:id="56" w:name="_Toc54733181"/>
      <w:r w:rsidRPr="00487942">
        <w:t>Policy or legal issues:</w:t>
      </w:r>
      <w:bookmarkEnd w:id="55"/>
      <w:bookmarkEnd w:id="56"/>
    </w:p>
    <w:p w:rsidR="00487942" w:rsidRPr="00487942" w:rsidRDefault="00487942" w:rsidP="00487942">
      <w:pPr>
        <w:keepNext/>
        <w:outlineLvl w:val="2"/>
        <w:rPr>
          <w:i/>
        </w:rPr>
      </w:pP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Requirement of formal agreement for cooperation</w:t>
      </w: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Obligation for DUS examination to be conducted by the authority granting the rights</w:t>
      </w: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 xml:space="preserve">Non-acceptance of breeder-based DUS test reports </w:t>
      </w:r>
    </w:p>
    <w:p w:rsidR="00487942" w:rsidRPr="00487942" w:rsidRDefault="00487942" w:rsidP="00487942">
      <w:pPr>
        <w:numPr>
          <w:ilvl w:val="0"/>
          <w:numId w:val="6"/>
        </w:numPr>
        <w:spacing w:after="200" w:line="276" w:lineRule="auto"/>
        <w:ind w:left="1134" w:hanging="567"/>
        <w:contextualSpacing/>
        <w:rPr>
          <w:szCs w:val="22"/>
        </w:rPr>
      </w:pPr>
      <w:r w:rsidRPr="00487942">
        <w:rPr>
          <w:szCs w:val="22"/>
        </w:rPr>
        <w:t>Wish from breeders to use (or not) existing DUS reports</w:t>
      </w:r>
    </w:p>
    <w:p w:rsidR="00487942" w:rsidRDefault="00487942" w:rsidP="00487942">
      <w:pPr>
        <w:tabs>
          <w:tab w:val="left" w:pos="567"/>
        </w:tabs>
      </w:pPr>
    </w:p>
    <w:p w:rsidR="00487942" w:rsidRDefault="00487942" w:rsidP="00487942">
      <w:pPr>
        <w:keepNext/>
      </w:pPr>
      <w:r>
        <w:fldChar w:fldCharType="begin"/>
      </w:r>
      <w:r>
        <w:instrText xml:space="preserve"> AUTONUM  </w:instrText>
      </w:r>
      <w:r>
        <w:fldChar w:fldCharType="end"/>
      </w:r>
      <w:r>
        <w:tab/>
        <w:t>The TC, at its fifty-fifth session, agreed to report to the CAJ the related policy or legal issues presented in document TC/55/10, paragraphs 27 and 28, reproduced below:</w:t>
      </w:r>
    </w:p>
    <w:p w:rsidR="00487942" w:rsidRDefault="00487942" w:rsidP="00487942">
      <w:pPr>
        <w:keepNext/>
      </w:pPr>
    </w:p>
    <w:p w:rsidR="00487942" w:rsidRDefault="00487942" w:rsidP="00487942">
      <w:pPr>
        <w:pStyle w:val="ListParagraph"/>
        <w:keepNext/>
        <w:numPr>
          <w:ilvl w:val="0"/>
          <w:numId w:val="6"/>
        </w:numPr>
        <w:ind w:left="1134" w:hanging="567"/>
        <w:jc w:val="both"/>
      </w:pPr>
      <w:r>
        <w:t>Requirement of formal agreement for cooperation</w:t>
      </w:r>
    </w:p>
    <w:p w:rsidR="00487942" w:rsidRDefault="00487942" w:rsidP="00487942">
      <w:pPr>
        <w:pStyle w:val="ListParagraph"/>
        <w:numPr>
          <w:ilvl w:val="0"/>
          <w:numId w:val="6"/>
        </w:numPr>
        <w:ind w:left="1134" w:hanging="567"/>
        <w:jc w:val="both"/>
      </w:pPr>
      <w:r>
        <w:t>Obligation for DUS examination to be conducted by the authority granting the rights</w:t>
      </w:r>
    </w:p>
    <w:p w:rsidR="00487942" w:rsidRDefault="00487942" w:rsidP="00487942">
      <w:pPr>
        <w:pStyle w:val="ListParagraph"/>
        <w:numPr>
          <w:ilvl w:val="0"/>
          <w:numId w:val="6"/>
        </w:numPr>
        <w:ind w:left="1134" w:hanging="567"/>
        <w:jc w:val="both"/>
      </w:pPr>
      <w:r>
        <w:t xml:space="preserve">Non-acceptance of breeder-based DUS test reports </w:t>
      </w:r>
    </w:p>
    <w:p w:rsidR="00487942" w:rsidRDefault="00487942" w:rsidP="00487942">
      <w:pPr>
        <w:pStyle w:val="ListParagraph"/>
        <w:numPr>
          <w:ilvl w:val="0"/>
          <w:numId w:val="6"/>
        </w:numPr>
        <w:ind w:left="1134" w:hanging="567"/>
        <w:jc w:val="both"/>
      </w:pPr>
      <w:r>
        <w:t>Wish from breeders to use (or not) existing DUS reports</w:t>
      </w:r>
    </w:p>
    <w:p w:rsidR="00487942" w:rsidRPr="002D4214" w:rsidRDefault="00487942" w:rsidP="00487942">
      <w:pPr>
        <w:tabs>
          <w:tab w:val="left" w:pos="567"/>
        </w:tabs>
        <w:rPr>
          <w:spacing w:val="-2"/>
        </w:rPr>
      </w:pPr>
      <w:r>
        <w:fldChar w:fldCharType="begin"/>
      </w:r>
      <w:r>
        <w:instrText xml:space="preserve"> AUTONUM  </w:instrText>
      </w:r>
      <w:r>
        <w:fldChar w:fldCharType="end"/>
      </w:r>
      <w:r>
        <w:tab/>
      </w:r>
      <w:r w:rsidRPr="008D0013">
        <w:t>The TC</w:t>
      </w:r>
      <w:r>
        <w:t>, at its fifty-sixth session,</w:t>
      </w:r>
      <w:r w:rsidRPr="008D0013">
        <w:t xml:space="preserve"> </w:t>
      </w:r>
      <w:r>
        <w:t xml:space="preserve">noted that it had </w:t>
      </w:r>
      <w:r w:rsidRPr="008D0013">
        <w:t>considered document TC/56/11 by correspondence</w:t>
      </w:r>
      <w:r>
        <w:t xml:space="preserve">.  </w:t>
      </w:r>
      <w:r w:rsidRPr="008D0013">
        <w:t>The TC noted</w:t>
      </w:r>
      <w:r w:rsidRPr="008D0013">
        <w:rPr>
          <w:spacing w:val="-2"/>
        </w:rPr>
        <w:t xml:space="preserve"> that</w:t>
      </w:r>
      <w:r>
        <w:rPr>
          <w:spacing w:val="-2"/>
        </w:rPr>
        <w:t xml:space="preserve"> </w:t>
      </w:r>
      <w:proofErr w:type="gramStart"/>
      <w:r>
        <w:rPr>
          <w:spacing w:val="-2"/>
        </w:rPr>
        <w:t>decisions on document TC/56/11 had been taken by the TC</w:t>
      </w:r>
      <w:proofErr w:type="gramEnd"/>
      <w:r>
        <w:rPr>
          <w:spacing w:val="-2"/>
        </w:rPr>
        <w:t xml:space="preserve"> by correspondence as provided in document TC/56/22, paragraphs 39 to 44</w:t>
      </w:r>
      <w:r w:rsidR="00A67CF1">
        <w:rPr>
          <w:spacing w:val="-2"/>
        </w:rPr>
        <w:t xml:space="preserve">, </w:t>
      </w:r>
      <w:r w:rsidR="00A67CF1" w:rsidRPr="002D4214">
        <w:rPr>
          <w:spacing w:val="-2"/>
        </w:rPr>
        <w:t xml:space="preserve">and reproduced below: </w:t>
      </w:r>
    </w:p>
    <w:p w:rsidR="00EB0E6B" w:rsidRPr="002D4214" w:rsidRDefault="00EB0E6B" w:rsidP="00EB0E6B">
      <w:pPr>
        <w:jc w:val="left"/>
      </w:pPr>
    </w:p>
    <w:p w:rsidR="007717E8" w:rsidRPr="002D4214" w:rsidRDefault="002D4214" w:rsidP="007717E8">
      <w:pPr>
        <w:tabs>
          <w:tab w:val="left" w:pos="1701"/>
        </w:tabs>
        <w:ind w:left="1134" w:right="567" w:hanging="567"/>
        <w:jc w:val="left"/>
        <w:rPr>
          <w:sz w:val="18"/>
        </w:rPr>
      </w:pPr>
      <w:r>
        <w:rPr>
          <w:sz w:val="18"/>
        </w:rPr>
        <w:tab/>
      </w:r>
      <w:r w:rsidR="007717E8" w:rsidRPr="002D4214">
        <w:rPr>
          <w:sz w:val="18"/>
        </w:rPr>
        <w:t>39</w:t>
      </w:r>
      <w:r>
        <w:rPr>
          <w:sz w:val="18"/>
        </w:rPr>
        <w:t>.</w:t>
      </w:r>
      <w:r w:rsidR="007717E8" w:rsidRPr="002D4214">
        <w:rPr>
          <w:sz w:val="18"/>
        </w:rPr>
        <w:tab/>
        <w:t>The TC considered document TC/56/11</w:t>
      </w:r>
    </w:p>
    <w:p w:rsidR="007717E8" w:rsidRPr="002D4214" w:rsidRDefault="007717E8" w:rsidP="007717E8">
      <w:pPr>
        <w:tabs>
          <w:tab w:val="left" w:pos="1701"/>
        </w:tabs>
        <w:ind w:left="1134" w:right="567" w:hanging="567"/>
        <w:jc w:val="left"/>
        <w:rPr>
          <w:sz w:val="18"/>
        </w:rPr>
      </w:pPr>
    </w:p>
    <w:p w:rsidR="007717E8" w:rsidRPr="002D4214" w:rsidRDefault="007717E8" w:rsidP="007717E8">
      <w:pPr>
        <w:tabs>
          <w:tab w:val="left" w:pos="567"/>
          <w:tab w:val="left" w:pos="1134"/>
          <w:tab w:val="left" w:pos="1701"/>
          <w:tab w:val="left" w:pos="5387"/>
        </w:tabs>
        <w:ind w:left="1134" w:right="567"/>
        <w:rPr>
          <w:snapToGrid w:val="0"/>
          <w:sz w:val="18"/>
        </w:rPr>
      </w:pPr>
      <w:r w:rsidRPr="002D4214">
        <w:rPr>
          <w:snapToGrid w:val="0"/>
          <w:sz w:val="18"/>
        </w:rPr>
        <w:t>40</w:t>
      </w:r>
      <w:r w:rsidR="002D4214">
        <w:rPr>
          <w:snapToGrid w:val="0"/>
          <w:sz w:val="18"/>
        </w:rPr>
        <w:t>.</w:t>
      </w:r>
      <w:r w:rsidRPr="002D4214">
        <w:rPr>
          <w:snapToGrid w:val="0"/>
          <w:sz w:val="18"/>
        </w:rPr>
        <w:tab/>
        <w:t xml:space="preserve">The TC </w:t>
      </w:r>
      <w:r w:rsidRPr="002D4214">
        <w:rPr>
          <w:sz w:val="18"/>
        </w:rPr>
        <w:t xml:space="preserve">noted that </w:t>
      </w:r>
      <w:r w:rsidRPr="002D4214">
        <w:rPr>
          <w:snapToGrid w:val="0"/>
          <w:sz w:val="18"/>
        </w:rPr>
        <w:t xml:space="preserve">members of the Union have the possibility to update information on a person(s) to </w:t>
      </w:r>
      <w:proofErr w:type="gramStart"/>
      <w:r w:rsidRPr="002D4214">
        <w:rPr>
          <w:snapToGrid w:val="0"/>
          <w:sz w:val="18"/>
        </w:rPr>
        <w:t>be contacted</w:t>
      </w:r>
      <w:proofErr w:type="gramEnd"/>
      <w:r w:rsidRPr="002D4214">
        <w:rPr>
          <w:snapToGrid w:val="0"/>
          <w:sz w:val="18"/>
        </w:rPr>
        <w:t xml:space="preserve"> for matters concerning international cooperation in DUS examination by:</w:t>
      </w:r>
    </w:p>
    <w:p w:rsidR="007717E8" w:rsidRPr="002D4214" w:rsidRDefault="007717E8" w:rsidP="00AD3914">
      <w:pPr>
        <w:tabs>
          <w:tab w:val="left" w:pos="1701"/>
          <w:tab w:val="left" w:pos="2268"/>
        </w:tabs>
        <w:ind w:left="1134" w:right="567"/>
        <w:rPr>
          <w:snapToGrid w:val="0"/>
          <w:sz w:val="18"/>
        </w:rPr>
      </w:pPr>
    </w:p>
    <w:p w:rsidR="007717E8" w:rsidRPr="002D4214" w:rsidRDefault="007717E8" w:rsidP="00AD3914">
      <w:pPr>
        <w:keepNext/>
        <w:keepLines/>
        <w:tabs>
          <w:tab w:val="left" w:pos="567"/>
          <w:tab w:val="left" w:pos="1134"/>
          <w:tab w:val="left" w:pos="1701"/>
          <w:tab w:val="left" w:pos="2268"/>
          <w:tab w:val="left" w:pos="5387"/>
          <w:tab w:val="left" w:pos="6521"/>
        </w:tabs>
        <w:ind w:left="1134" w:right="567" w:firstLine="567"/>
        <w:rPr>
          <w:snapToGrid w:val="0"/>
          <w:sz w:val="18"/>
        </w:rPr>
      </w:pPr>
      <w:r w:rsidRPr="002D4214">
        <w:rPr>
          <w:sz w:val="18"/>
        </w:rPr>
        <w:t>(i)</w:t>
      </w:r>
      <w:r w:rsidRPr="002D4214">
        <w:rPr>
          <w:sz w:val="18"/>
        </w:rPr>
        <w:tab/>
      </w:r>
      <w:r w:rsidRPr="002D4214">
        <w:rPr>
          <w:snapToGrid w:val="0"/>
          <w:sz w:val="18"/>
        </w:rPr>
        <w:t>updating information when invited to provide information for document TC/[xx]/4 “List of genera and species for which authorities have practical experience in the examination of distinctness, uniformity and stability”; and/or</w:t>
      </w:r>
    </w:p>
    <w:p w:rsidR="007717E8" w:rsidRPr="002D4214" w:rsidRDefault="007717E8" w:rsidP="00AD3914">
      <w:pPr>
        <w:tabs>
          <w:tab w:val="left" w:pos="1701"/>
          <w:tab w:val="left" w:pos="2268"/>
        </w:tabs>
        <w:ind w:left="1134" w:right="567"/>
        <w:rPr>
          <w:snapToGrid w:val="0"/>
          <w:sz w:val="18"/>
        </w:rPr>
      </w:pPr>
    </w:p>
    <w:p w:rsidR="007717E8" w:rsidRPr="002D4214" w:rsidRDefault="007717E8" w:rsidP="00AD3914">
      <w:pPr>
        <w:keepNext/>
        <w:keepLines/>
        <w:tabs>
          <w:tab w:val="left" w:pos="567"/>
          <w:tab w:val="left" w:pos="1134"/>
          <w:tab w:val="left" w:pos="1701"/>
          <w:tab w:val="left" w:pos="2268"/>
          <w:tab w:val="left" w:pos="5387"/>
          <w:tab w:val="left" w:pos="6521"/>
        </w:tabs>
        <w:ind w:left="1134" w:right="567" w:firstLine="567"/>
        <w:rPr>
          <w:sz w:val="18"/>
        </w:rPr>
      </w:pPr>
      <w:r w:rsidRPr="002D4214">
        <w:rPr>
          <w:sz w:val="18"/>
        </w:rPr>
        <w:t>(ii)</w:t>
      </w:r>
      <w:r w:rsidRPr="002D4214">
        <w:rPr>
          <w:sz w:val="18"/>
        </w:rPr>
        <w:tab/>
      </w:r>
      <w:proofErr w:type="gramStart"/>
      <w:r w:rsidRPr="002D4214">
        <w:rPr>
          <w:snapToGrid w:val="0"/>
          <w:spacing w:val="-2"/>
          <w:sz w:val="18"/>
        </w:rPr>
        <w:t>notifying</w:t>
      </w:r>
      <w:proofErr w:type="gramEnd"/>
      <w:r w:rsidRPr="002D4214">
        <w:rPr>
          <w:snapToGrid w:val="0"/>
          <w:spacing w:val="-2"/>
          <w:sz w:val="18"/>
        </w:rPr>
        <w:t xml:space="preserve"> the Office of the Union by sending an e-mail to </w:t>
      </w:r>
      <w:hyperlink r:id="rId8" w:history="1">
        <w:r w:rsidRPr="002D4214">
          <w:rPr>
            <w:rFonts w:cs="Arial"/>
            <w:snapToGrid w:val="0"/>
            <w:color w:val="0000FF"/>
            <w:spacing w:val="-2"/>
            <w:sz w:val="18"/>
            <w:u w:val="single"/>
          </w:rPr>
          <w:t>upov.mail@upov.int</w:t>
        </w:r>
      </w:hyperlink>
      <w:r w:rsidRPr="002D4214">
        <w:rPr>
          <w:snapToGrid w:val="0"/>
          <w:spacing w:val="-2"/>
          <w:sz w:val="18"/>
        </w:rPr>
        <w:t>;</w:t>
      </w:r>
    </w:p>
    <w:p w:rsidR="007717E8" w:rsidRPr="002D4214" w:rsidRDefault="007717E8" w:rsidP="007717E8">
      <w:pPr>
        <w:tabs>
          <w:tab w:val="left" w:pos="567"/>
          <w:tab w:val="left" w:pos="1134"/>
          <w:tab w:val="left" w:pos="1701"/>
        </w:tabs>
        <w:ind w:left="1134" w:right="567"/>
        <w:rPr>
          <w:sz w:val="18"/>
        </w:rPr>
      </w:pPr>
    </w:p>
    <w:p w:rsidR="007717E8" w:rsidRPr="002D4214" w:rsidRDefault="007717E8" w:rsidP="007717E8">
      <w:pPr>
        <w:tabs>
          <w:tab w:val="left" w:pos="567"/>
          <w:tab w:val="left" w:pos="1134"/>
          <w:tab w:val="left" w:pos="1701"/>
          <w:tab w:val="left" w:pos="5387"/>
          <w:tab w:val="left" w:pos="5954"/>
        </w:tabs>
        <w:ind w:left="1134" w:right="567"/>
        <w:rPr>
          <w:sz w:val="18"/>
        </w:rPr>
      </w:pPr>
      <w:r w:rsidRPr="002D4214">
        <w:rPr>
          <w:snapToGrid w:val="0"/>
          <w:sz w:val="18"/>
        </w:rPr>
        <w:t>41</w:t>
      </w:r>
      <w:r w:rsidR="002D4214">
        <w:rPr>
          <w:snapToGrid w:val="0"/>
          <w:sz w:val="18"/>
        </w:rPr>
        <w:t>.</w:t>
      </w:r>
      <w:r w:rsidRPr="002D4214">
        <w:rPr>
          <w:snapToGrid w:val="0"/>
          <w:sz w:val="18"/>
        </w:rPr>
        <w:tab/>
        <w:t xml:space="preserve">The TC agreed to propose the </w:t>
      </w:r>
      <w:r w:rsidRPr="002D4214">
        <w:rPr>
          <w:sz w:val="18"/>
        </w:rPr>
        <w:t xml:space="preserve">development of a package of compatible IT tools with the following elements:  </w:t>
      </w:r>
    </w:p>
    <w:p w:rsidR="007717E8" w:rsidRPr="002D4214" w:rsidRDefault="007717E8" w:rsidP="007717E8">
      <w:pPr>
        <w:tabs>
          <w:tab w:val="left" w:pos="567"/>
          <w:tab w:val="left" w:pos="1134"/>
          <w:tab w:val="left" w:pos="1701"/>
          <w:tab w:val="left" w:pos="5387"/>
          <w:tab w:val="left" w:pos="5954"/>
        </w:tabs>
        <w:ind w:left="1134" w:right="567"/>
        <w:rPr>
          <w:sz w:val="18"/>
        </w:rPr>
      </w:pPr>
    </w:p>
    <w:p w:rsidR="007717E8" w:rsidRPr="002D4214" w:rsidRDefault="007717E8" w:rsidP="007717E8">
      <w:pPr>
        <w:keepNext/>
        <w:numPr>
          <w:ilvl w:val="1"/>
          <w:numId w:val="7"/>
        </w:numPr>
        <w:tabs>
          <w:tab w:val="left" w:pos="1701"/>
        </w:tabs>
        <w:ind w:left="1701" w:right="567" w:hanging="578"/>
        <w:contextualSpacing/>
        <w:rPr>
          <w:rFonts w:cs="Arial"/>
          <w:sz w:val="18"/>
        </w:rPr>
      </w:pPr>
      <w:r w:rsidRPr="002D4214">
        <w:rPr>
          <w:rFonts w:cs="Arial"/>
          <w:sz w:val="18"/>
        </w:rPr>
        <w:t xml:space="preserve">Platform for:  </w:t>
      </w:r>
    </w:p>
    <w:p w:rsidR="007717E8" w:rsidRPr="002D4214" w:rsidRDefault="007717E8" w:rsidP="007717E8">
      <w:pPr>
        <w:keepNext/>
        <w:numPr>
          <w:ilvl w:val="2"/>
          <w:numId w:val="7"/>
        </w:numPr>
        <w:ind w:left="2268" w:right="567" w:hanging="567"/>
        <w:contextualSpacing/>
        <w:rPr>
          <w:rFonts w:cs="Arial"/>
          <w:sz w:val="18"/>
        </w:rPr>
      </w:pPr>
      <w:r w:rsidRPr="002D4214">
        <w:rPr>
          <w:rFonts w:cs="Arial"/>
          <w:sz w:val="18"/>
        </w:rPr>
        <w:t>exchange of existing DUS reports for:</w:t>
      </w:r>
    </w:p>
    <w:p w:rsidR="007717E8" w:rsidRPr="002D4214" w:rsidRDefault="007717E8" w:rsidP="007717E8">
      <w:pPr>
        <w:keepNext/>
        <w:numPr>
          <w:ilvl w:val="3"/>
          <w:numId w:val="7"/>
        </w:numPr>
        <w:tabs>
          <w:tab w:val="left" w:pos="2835"/>
        </w:tabs>
        <w:ind w:left="2835" w:right="567" w:hanging="567"/>
        <w:contextualSpacing/>
        <w:rPr>
          <w:rFonts w:cs="Arial"/>
          <w:sz w:val="18"/>
        </w:rPr>
      </w:pPr>
      <w:r w:rsidRPr="002D4214">
        <w:rPr>
          <w:rFonts w:cs="Arial"/>
          <w:sz w:val="18"/>
        </w:rPr>
        <w:t xml:space="preserve">UPOV members to post and receive existing DUS reports and arrange payment, as appropriate </w:t>
      </w:r>
    </w:p>
    <w:p w:rsidR="007717E8" w:rsidRPr="002D4214" w:rsidRDefault="007717E8" w:rsidP="007717E8">
      <w:pPr>
        <w:numPr>
          <w:ilvl w:val="3"/>
          <w:numId w:val="7"/>
        </w:numPr>
        <w:tabs>
          <w:tab w:val="left" w:pos="2835"/>
        </w:tabs>
        <w:ind w:left="2835" w:right="567" w:hanging="567"/>
        <w:contextualSpacing/>
        <w:rPr>
          <w:rFonts w:cs="Arial"/>
          <w:sz w:val="18"/>
        </w:rPr>
      </w:pPr>
      <w:r w:rsidRPr="002D4214">
        <w:rPr>
          <w:rFonts w:cs="Arial"/>
          <w:sz w:val="18"/>
        </w:rPr>
        <w:t xml:space="preserve">PVP applicants to request use of existing DUS reports and make payments, as appropriate </w:t>
      </w:r>
    </w:p>
    <w:p w:rsidR="007717E8" w:rsidRPr="002D4214" w:rsidRDefault="007717E8" w:rsidP="00121A39">
      <w:pPr>
        <w:numPr>
          <w:ilvl w:val="2"/>
          <w:numId w:val="7"/>
        </w:numPr>
        <w:ind w:left="2268" w:right="567" w:hanging="567"/>
        <w:contextualSpacing/>
        <w:rPr>
          <w:rFonts w:cs="Arial"/>
          <w:sz w:val="18"/>
        </w:rPr>
      </w:pPr>
      <w:r w:rsidRPr="002D4214">
        <w:rPr>
          <w:rFonts w:cs="Arial"/>
          <w:sz w:val="18"/>
        </w:rPr>
        <w:t>UPOV members to make their documented DUS procedures and information on their quality management systems available to other members of the Union</w:t>
      </w:r>
    </w:p>
    <w:p w:rsidR="007717E8" w:rsidRPr="002D4214" w:rsidRDefault="007717E8" w:rsidP="007717E8">
      <w:pPr>
        <w:tabs>
          <w:tab w:val="left" w:pos="1701"/>
        </w:tabs>
        <w:ind w:left="1134" w:right="567"/>
        <w:contextualSpacing/>
        <w:rPr>
          <w:rFonts w:cs="Arial"/>
          <w:sz w:val="18"/>
        </w:rPr>
      </w:pPr>
    </w:p>
    <w:p w:rsidR="007717E8" w:rsidRPr="002D4214" w:rsidRDefault="007717E8" w:rsidP="007717E8">
      <w:pPr>
        <w:numPr>
          <w:ilvl w:val="1"/>
          <w:numId w:val="7"/>
        </w:numPr>
        <w:tabs>
          <w:tab w:val="left" w:pos="1701"/>
        </w:tabs>
        <w:ind w:left="2268" w:right="567" w:hanging="567"/>
        <w:contextualSpacing/>
        <w:rPr>
          <w:rFonts w:cs="Arial"/>
          <w:sz w:val="18"/>
        </w:rPr>
      </w:pPr>
      <w:r w:rsidRPr="002D4214">
        <w:rPr>
          <w:rFonts w:cs="Arial"/>
          <w:sz w:val="18"/>
        </w:rPr>
        <w:t>Tool to provide information on cooperation in DUS examination between UPOV members to PVP applicants in a user-friendly form, using information contained in the GENIE database</w:t>
      </w:r>
    </w:p>
    <w:p w:rsidR="007717E8" w:rsidRPr="002D4214" w:rsidRDefault="007717E8" w:rsidP="007717E8">
      <w:pPr>
        <w:tabs>
          <w:tab w:val="left" w:pos="1701"/>
        </w:tabs>
        <w:ind w:left="2268" w:right="567" w:hanging="567"/>
        <w:contextualSpacing/>
        <w:rPr>
          <w:rFonts w:cs="Arial"/>
          <w:sz w:val="18"/>
        </w:rPr>
      </w:pPr>
    </w:p>
    <w:p w:rsidR="007717E8" w:rsidRPr="002D4214" w:rsidRDefault="007717E8" w:rsidP="007717E8">
      <w:pPr>
        <w:numPr>
          <w:ilvl w:val="1"/>
          <w:numId w:val="7"/>
        </w:numPr>
        <w:tabs>
          <w:tab w:val="left" w:pos="1701"/>
        </w:tabs>
        <w:ind w:left="2268" w:right="567" w:hanging="567"/>
        <w:contextualSpacing/>
        <w:rPr>
          <w:rFonts w:cs="Arial"/>
          <w:sz w:val="18"/>
        </w:rPr>
      </w:pPr>
      <w:r w:rsidRPr="002D4214">
        <w:rPr>
          <w:rFonts w:cs="Arial"/>
          <w:sz w:val="18"/>
        </w:rPr>
        <w:t>Module for UPOV members to use the web-based TG Template and database of characteristics to develop individual authorities’ test guidelines (IATG) in their language</w:t>
      </w:r>
    </w:p>
    <w:p w:rsidR="007717E8" w:rsidRPr="002D4214" w:rsidRDefault="007717E8" w:rsidP="007717E8">
      <w:pPr>
        <w:tabs>
          <w:tab w:val="left" w:pos="1701"/>
        </w:tabs>
        <w:ind w:left="2268" w:right="567" w:hanging="567"/>
        <w:contextualSpacing/>
        <w:rPr>
          <w:rFonts w:cs="Arial"/>
          <w:sz w:val="18"/>
        </w:rPr>
      </w:pPr>
    </w:p>
    <w:p w:rsidR="007717E8" w:rsidRPr="002D4214" w:rsidRDefault="007717E8" w:rsidP="007717E8">
      <w:pPr>
        <w:numPr>
          <w:ilvl w:val="1"/>
          <w:numId w:val="7"/>
        </w:numPr>
        <w:tabs>
          <w:tab w:val="left" w:pos="1701"/>
        </w:tabs>
        <w:ind w:left="2268" w:right="567" w:hanging="567"/>
        <w:contextualSpacing/>
        <w:rPr>
          <w:rFonts w:cs="Arial"/>
          <w:sz w:val="18"/>
        </w:rPr>
      </w:pPr>
      <w:r w:rsidRPr="002D4214">
        <w:rPr>
          <w:rFonts w:cs="Arial"/>
          <w:sz w:val="18"/>
        </w:rPr>
        <w:t>Platform for UPOV member databases containing variety description information</w:t>
      </w:r>
    </w:p>
    <w:p w:rsidR="007717E8" w:rsidRPr="002D4214" w:rsidRDefault="007717E8" w:rsidP="007717E8">
      <w:pPr>
        <w:tabs>
          <w:tab w:val="left" w:pos="567"/>
          <w:tab w:val="left" w:pos="1134"/>
          <w:tab w:val="left" w:pos="1701"/>
          <w:tab w:val="left" w:pos="5387"/>
          <w:tab w:val="left" w:pos="5954"/>
        </w:tabs>
        <w:ind w:left="1134" w:right="567"/>
        <w:rPr>
          <w:sz w:val="18"/>
        </w:rPr>
      </w:pPr>
    </w:p>
    <w:p w:rsidR="007717E8" w:rsidRPr="002D4214" w:rsidRDefault="007717E8" w:rsidP="007717E8">
      <w:pPr>
        <w:tabs>
          <w:tab w:val="left" w:pos="567"/>
          <w:tab w:val="left" w:pos="1134"/>
          <w:tab w:val="left" w:pos="1701"/>
          <w:tab w:val="left" w:pos="5387"/>
          <w:tab w:val="left" w:pos="5954"/>
        </w:tabs>
        <w:ind w:left="1134" w:right="567"/>
        <w:rPr>
          <w:sz w:val="18"/>
        </w:rPr>
      </w:pPr>
      <w:r w:rsidRPr="002D4214">
        <w:rPr>
          <w:snapToGrid w:val="0"/>
          <w:sz w:val="18"/>
        </w:rPr>
        <w:t>42</w:t>
      </w:r>
      <w:r w:rsidR="002D4214">
        <w:rPr>
          <w:snapToGrid w:val="0"/>
          <w:sz w:val="18"/>
        </w:rPr>
        <w:t>.</w:t>
      </w:r>
      <w:r w:rsidRPr="002D4214">
        <w:rPr>
          <w:snapToGrid w:val="0"/>
          <w:sz w:val="18"/>
        </w:rPr>
        <w:tab/>
        <w:t xml:space="preserve">The TC noted </w:t>
      </w:r>
      <w:r w:rsidRPr="002D4214">
        <w:rPr>
          <w:sz w:val="18"/>
        </w:rPr>
        <w:t>the potential for machine translation technology to reduce translation costs for UPOV documents in UPOV languages and to make UPOV materials in a wider range of languages.</w:t>
      </w:r>
    </w:p>
    <w:p w:rsidR="007717E8" w:rsidRPr="002D4214" w:rsidRDefault="007717E8" w:rsidP="007717E8">
      <w:pPr>
        <w:tabs>
          <w:tab w:val="left" w:pos="567"/>
          <w:tab w:val="left" w:pos="1134"/>
          <w:tab w:val="left" w:pos="1701"/>
          <w:tab w:val="left" w:pos="5954"/>
        </w:tabs>
        <w:ind w:left="1134" w:right="567"/>
        <w:rPr>
          <w:sz w:val="18"/>
        </w:rPr>
      </w:pPr>
    </w:p>
    <w:p w:rsidR="007717E8" w:rsidRPr="002D4214" w:rsidRDefault="007717E8" w:rsidP="007717E8">
      <w:pPr>
        <w:tabs>
          <w:tab w:val="left" w:pos="567"/>
          <w:tab w:val="left" w:pos="1134"/>
          <w:tab w:val="left" w:pos="1701"/>
          <w:tab w:val="left" w:pos="5387"/>
          <w:tab w:val="left" w:pos="5954"/>
        </w:tabs>
        <w:ind w:left="1134" w:right="567"/>
        <w:rPr>
          <w:sz w:val="18"/>
        </w:rPr>
      </w:pPr>
      <w:r w:rsidRPr="002D4214">
        <w:rPr>
          <w:snapToGrid w:val="0"/>
          <w:sz w:val="18"/>
        </w:rPr>
        <w:t>43</w:t>
      </w:r>
      <w:r w:rsidR="002D4214">
        <w:rPr>
          <w:snapToGrid w:val="0"/>
          <w:sz w:val="18"/>
        </w:rPr>
        <w:t>.</w:t>
      </w:r>
      <w:r w:rsidRPr="002D4214">
        <w:rPr>
          <w:snapToGrid w:val="0"/>
          <w:sz w:val="18"/>
        </w:rPr>
        <w:tab/>
        <w:t>The TC agreed to revise document </w:t>
      </w:r>
      <w:r w:rsidRPr="002D4214">
        <w:rPr>
          <w:sz w:val="18"/>
        </w:rPr>
        <w:t xml:space="preserve">TGP/5, Section 6: “UPOV Report on Technical Examination and UPOV Variety Description”, to include additional information in DUS test reports, </w:t>
      </w:r>
      <w:proofErr w:type="gramStart"/>
      <w:r w:rsidRPr="002D4214">
        <w:rPr>
          <w:sz w:val="18"/>
        </w:rPr>
        <w:t>to</w:t>
      </w:r>
      <w:proofErr w:type="gramEnd"/>
      <w:r w:rsidRPr="002D4214">
        <w:rPr>
          <w:sz w:val="18"/>
        </w:rPr>
        <w:t>:</w:t>
      </w:r>
    </w:p>
    <w:p w:rsidR="007717E8" w:rsidRPr="002D4214" w:rsidRDefault="007717E8" w:rsidP="007717E8">
      <w:pPr>
        <w:tabs>
          <w:tab w:val="left" w:pos="567"/>
          <w:tab w:val="left" w:pos="1134"/>
          <w:tab w:val="left" w:pos="1701"/>
          <w:tab w:val="left" w:pos="5387"/>
          <w:tab w:val="left" w:pos="5954"/>
        </w:tabs>
        <w:ind w:left="1134" w:right="567"/>
        <w:rPr>
          <w:sz w:val="18"/>
        </w:rPr>
      </w:pPr>
    </w:p>
    <w:p w:rsidR="007717E8" w:rsidRPr="002D4214" w:rsidRDefault="007717E8" w:rsidP="007717E8">
      <w:pPr>
        <w:numPr>
          <w:ilvl w:val="0"/>
          <w:numId w:val="8"/>
        </w:numPr>
        <w:tabs>
          <w:tab w:val="left" w:pos="1701"/>
        </w:tabs>
        <w:spacing w:after="200" w:line="276" w:lineRule="auto"/>
        <w:ind w:left="1701" w:right="567" w:hanging="513"/>
        <w:contextualSpacing/>
        <w:jc w:val="left"/>
        <w:rPr>
          <w:rFonts w:cs="Arial"/>
          <w:sz w:val="18"/>
        </w:rPr>
      </w:pPr>
      <w:r w:rsidRPr="002D4214">
        <w:rPr>
          <w:rFonts w:cs="Arial"/>
          <w:sz w:val="18"/>
        </w:rPr>
        <w:t>provide information on varieties included in the variety collection</w:t>
      </w:r>
    </w:p>
    <w:p w:rsidR="007717E8" w:rsidRPr="002D4214" w:rsidRDefault="007717E8" w:rsidP="007717E8">
      <w:pPr>
        <w:numPr>
          <w:ilvl w:val="0"/>
          <w:numId w:val="8"/>
        </w:numPr>
        <w:tabs>
          <w:tab w:val="left" w:pos="1701"/>
        </w:tabs>
        <w:spacing w:after="200" w:line="276" w:lineRule="auto"/>
        <w:ind w:left="1701" w:right="567" w:hanging="513"/>
        <w:contextualSpacing/>
        <w:jc w:val="left"/>
        <w:rPr>
          <w:rFonts w:cs="Arial"/>
          <w:sz w:val="18"/>
        </w:rPr>
      </w:pPr>
      <w:r w:rsidRPr="002D4214">
        <w:rPr>
          <w:rFonts w:cs="Arial"/>
          <w:sz w:val="18"/>
        </w:rPr>
        <w:t>report the varieties considered in the examination (not only similar varieties)</w:t>
      </w:r>
    </w:p>
    <w:p w:rsidR="007717E8" w:rsidRPr="002D4214" w:rsidRDefault="007717E8" w:rsidP="007717E8">
      <w:pPr>
        <w:numPr>
          <w:ilvl w:val="0"/>
          <w:numId w:val="8"/>
        </w:numPr>
        <w:tabs>
          <w:tab w:val="left" w:pos="1701"/>
        </w:tabs>
        <w:spacing w:after="200" w:line="276" w:lineRule="auto"/>
        <w:ind w:left="1701" w:right="567" w:hanging="513"/>
        <w:contextualSpacing/>
        <w:jc w:val="left"/>
        <w:rPr>
          <w:rFonts w:cs="Arial"/>
          <w:sz w:val="18"/>
        </w:rPr>
      </w:pPr>
      <w:r w:rsidRPr="002D4214">
        <w:rPr>
          <w:rFonts w:cs="Arial"/>
          <w:sz w:val="18"/>
        </w:rPr>
        <w:t>provide data from field observations with the DUS test report for each variety</w:t>
      </w:r>
    </w:p>
    <w:p w:rsidR="007717E8" w:rsidRPr="002D4214" w:rsidRDefault="007717E8" w:rsidP="007717E8">
      <w:pPr>
        <w:numPr>
          <w:ilvl w:val="0"/>
          <w:numId w:val="8"/>
        </w:numPr>
        <w:tabs>
          <w:tab w:val="left" w:pos="1701"/>
        </w:tabs>
        <w:spacing w:after="200" w:line="276" w:lineRule="auto"/>
        <w:ind w:left="1701" w:right="567" w:hanging="513"/>
        <w:contextualSpacing/>
        <w:jc w:val="left"/>
        <w:rPr>
          <w:rFonts w:cs="Arial"/>
          <w:sz w:val="18"/>
        </w:rPr>
      </w:pPr>
      <w:r w:rsidRPr="002D4214">
        <w:rPr>
          <w:rFonts w:cs="Arial"/>
          <w:sz w:val="18"/>
        </w:rPr>
        <w:t>provide information on environment in which the DUS examination was conducted</w:t>
      </w:r>
    </w:p>
    <w:p w:rsidR="007717E8" w:rsidRPr="002D4214" w:rsidRDefault="007717E8" w:rsidP="007717E8">
      <w:pPr>
        <w:tabs>
          <w:tab w:val="left" w:pos="1701"/>
        </w:tabs>
        <w:spacing w:after="200" w:line="276" w:lineRule="auto"/>
        <w:ind w:left="1134" w:right="567"/>
        <w:contextualSpacing/>
        <w:jc w:val="left"/>
        <w:rPr>
          <w:rFonts w:cs="Arial"/>
          <w:sz w:val="18"/>
        </w:rPr>
      </w:pPr>
    </w:p>
    <w:p w:rsidR="007717E8" w:rsidRPr="007717E8" w:rsidRDefault="007717E8" w:rsidP="007717E8">
      <w:pPr>
        <w:tabs>
          <w:tab w:val="left" w:pos="567"/>
          <w:tab w:val="left" w:pos="1134"/>
          <w:tab w:val="left" w:pos="1701"/>
          <w:tab w:val="left" w:pos="5387"/>
          <w:tab w:val="left" w:pos="5954"/>
        </w:tabs>
        <w:ind w:left="1134" w:right="567"/>
        <w:rPr>
          <w:snapToGrid w:val="0"/>
          <w:sz w:val="18"/>
        </w:rPr>
      </w:pPr>
      <w:r w:rsidRPr="002D4214">
        <w:rPr>
          <w:snapToGrid w:val="0"/>
          <w:sz w:val="18"/>
        </w:rPr>
        <w:t>44</w:t>
      </w:r>
      <w:r w:rsidR="002D4214">
        <w:rPr>
          <w:snapToGrid w:val="0"/>
          <w:sz w:val="18"/>
        </w:rPr>
        <w:t>.</w:t>
      </w:r>
      <w:r w:rsidRPr="002D4214">
        <w:rPr>
          <w:snapToGrid w:val="0"/>
          <w:sz w:val="18"/>
        </w:rPr>
        <w:tab/>
        <w:t>The TC agreed to assess the impact of the proposed plan on the basis of the number of cooperation agreements reported by members of the Union, as presented in document C</w:t>
      </w:r>
      <w:proofErr w:type="gramStart"/>
      <w:r w:rsidRPr="002D4214">
        <w:rPr>
          <w:snapToGrid w:val="0"/>
          <w:sz w:val="18"/>
        </w:rPr>
        <w:t>/[</w:t>
      </w:r>
      <w:proofErr w:type="gramEnd"/>
      <w:r w:rsidRPr="002D4214">
        <w:rPr>
          <w:snapToGrid w:val="0"/>
          <w:sz w:val="18"/>
        </w:rPr>
        <w:t>xx]/INF/5 “Cooperation in examination”.</w:t>
      </w:r>
    </w:p>
    <w:p w:rsidR="006F6560" w:rsidRDefault="006F6560" w:rsidP="00EB0E6B">
      <w:pPr>
        <w:jc w:val="left"/>
      </w:pPr>
    </w:p>
    <w:p w:rsidR="006F6560" w:rsidRDefault="006F6560" w:rsidP="006F6560">
      <w:pPr>
        <w:tabs>
          <w:tab w:val="left" w:pos="5387"/>
        </w:tabs>
        <w:ind w:left="4820"/>
        <w:rPr>
          <w:i/>
        </w:rPr>
      </w:pPr>
      <w:r w:rsidRPr="006F6560">
        <w:rPr>
          <w:i/>
        </w:rPr>
        <w:fldChar w:fldCharType="begin"/>
      </w:r>
      <w:r w:rsidRPr="006F6560">
        <w:rPr>
          <w:i/>
        </w:rPr>
        <w:instrText xml:space="preserve"> AUTONUM  </w:instrText>
      </w:r>
      <w:r w:rsidRPr="006F6560">
        <w:rPr>
          <w:i/>
        </w:rPr>
        <w:fldChar w:fldCharType="end"/>
      </w:r>
      <w:r w:rsidRPr="006F6560">
        <w:rPr>
          <w:i/>
        </w:rPr>
        <w:tab/>
        <w:t xml:space="preserve">The CAJ </w:t>
      </w:r>
      <w:proofErr w:type="gramStart"/>
      <w:r w:rsidRPr="006F6560">
        <w:rPr>
          <w:i/>
        </w:rPr>
        <w:t>is invited</w:t>
      </w:r>
      <w:proofErr w:type="gramEnd"/>
      <w:r w:rsidRPr="006F6560">
        <w:rPr>
          <w:i/>
        </w:rPr>
        <w:t xml:space="preserve"> to</w:t>
      </w:r>
      <w:r>
        <w:rPr>
          <w:i/>
        </w:rPr>
        <w:t>:</w:t>
      </w:r>
    </w:p>
    <w:p w:rsidR="006F6560" w:rsidRDefault="006F6560" w:rsidP="006F6560">
      <w:pPr>
        <w:tabs>
          <w:tab w:val="left" w:pos="5387"/>
        </w:tabs>
        <w:ind w:left="4820"/>
        <w:rPr>
          <w:i/>
        </w:rPr>
      </w:pPr>
    </w:p>
    <w:p w:rsidR="006F6560" w:rsidRDefault="006F6560" w:rsidP="006F6560">
      <w:pPr>
        <w:tabs>
          <w:tab w:val="left" w:pos="5387"/>
          <w:tab w:val="left" w:pos="5954"/>
        </w:tabs>
        <w:ind w:left="4820"/>
        <w:rPr>
          <w:i/>
        </w:rPr>
      </w:pPr>
      <w:r>
        <w:rPr>
          <w:i/>
        </w:rPr>
        <w:tab/>
        <w:t>(a)</w:t>
      </w:r>
      <w:r>
        <w:rPr>
          <w:i/>
        </w:rPr>
        <w:tab/>
      </w:r>
      <w:proofErr w:type="gramStart"/>
      <w:r>
        <w:rPr>
          <w:i/>
        </w:rPr>
        <w:t>note</w:t>
      </w:r>
      <w:proofErr w:type="gramEnd"/>
      <w:r>
        <w:rPr>
          <w:i/>
        </w:rPr>
        <w:t xml:space="preserve"> the measures agreed by TC to overcome barriers that prevent international cooperation in DUS examination; and</w:t>
      </w:r>
    </w:p>
    <w:p w:rsidR="006F6560" w:rsidRDefault="006F6560" w:rsidP="006F6560">
      <w:pPr>
        <w:tabs>
          <w:tab w:val="left" w:pos="5387"/>
          <w:tab w:val="left" w:pos="5954"/>
        </w:tabs>
        <w:ind w:left="4820"/>
        <w:rPr>
          <w:i/>
        </w:rPr>
      </w:pPr>
    </w:p>
    <w:p w:rsidR="00A13508" w:rsidRDefault="006F6560" w:rsidP="00A13508">
      <w:pPr>
        <w:tabs>
          <w:tab w:val="left" w:pos="5387"/>
          <w:tab w:val="left" w:pos="5954"/>
        </w:tabs>
        <w:ind w:left="4820"/>
        <w:rPr>
          <w:i/>
        </w:rPr>
      </w:pPr>
      <w:r>
        <w:rPr>
          <w:i/>
        </w:rPr>
        <w:tab/>
        <w:t>(b)</w:t>
      </w:r>
      <w:r>
        <w:rPr>
          <w:i/>
        </w:rPr>
        <w:tab/>
      </w:r>
      <w:proofErr w:type="gramStart"/>
      <w:r w:rsidRPr="006F6560">
        <w:rPr>
          <w:i/>
        </w:rPr>
        <w:t>consider</w:t>
      </w:r>
      <w:proofErr w:type="gramEnd"/>
      <w:r w:rsidRPr="006F6560">
        <w:rPr>
          <w:i/>
        </w:rPr>
        <w:t xml:space="preserve"> </w:t>
      </w:r>
      <w:r>
        <w:rPr>
          <w:i/>
        </w:rPr>
        <w:t>whether to develop measures to address the</w:t>
      </w:r>
      <w:r w:rsidR="00A13508">
        <w:rPr>
          <w:i/>
        </w:rPr>
        <w:t xml:space="preserve"> following</w:t>
      </w:r>
      <w:r>
        <w:rPr>
          <w:i/>
        </w:rPr>
        <w:t xml:space="preserve"> policy or legal barriers that prevent international cooperation in DUS examination</w:t>
      </w:r>
      <w:r w:rsidR="00A13508">
        <w:rPr>
          <w:i/>
        </w:rPr>
        <w:t xml:space="preserve">: </w:t>
      </w:r>
    </w:p>
    <w:p w:rsidR="00A13508" w:rsidRPr="0043533F" w:rsidRDefault="00A13508" w:rsidP="0043533F">
      <w:pPr>
        <w:pStyle w:val="ListParagraph"/>
        <w:numPr>
          <w:ilvl w:val="0"/>
          <w:numId w:val="11"/>
        </w:numPr>
        <w:tabs>
          <w:tab w:val="left" w:pos="5954"/>
          <w:tab w:val="left" w:pos="6521"/>
        </w:tabs>
        <w:ind w:left="6521" w:hanging="567"/>
        <w:rPr>
          <w:i/>
        </w:rPr>
      </w:pPr>
      <w:r w:rsidRPr="0043533F">
        <w:rPr>
          <w:i/>
        </w:rPr>
        <w:t>Requirement of formal agreement for cooperation;</w:t>
      </w:r>
    </w:p>
    <w:p w:rsidR="00A13508" w:rsidRPr="0043533F" w:rsidRDefault="00A13508" w:rsidP="0043533F">
      <w:pPr>
        <w:pStyle w:val="ListParagraph"/>
        <w:numPr>
          <w:ilvl w:val="0"/>
          <w:numId w:val="11"/>
        </w:numPr>
        <w:tabs>
          <w:tab w:val="left" w:pos="5954"/>
          <w:tab w:val="left" w:pos="6521"/>
        </w:tabs>
        <w:ind w:left="6521" w:hanging="567"/>
        <w:rPr>
          <w:i/>
        </w:rPr>
      </w:pPr>
      <w:r w:rsidRPr="0043533F">
        <w:rPr>
          <w:i/>
        </w:rPr>
        <w:t>Obligation for DUS examination to be conducted by the authority granting the rights;</w:t>
      </w:r>
    </w:p>
    <w:p w:rsidR="00A13508" w:rsidRPr="0043533F" w:rsidRDefault="00A13508" w:rsidP="0043533F">
      <w:pPr>
        <w:pStyle w:val="ListParagraph"/>
        <w:numPr>
          <w:ilvl w:val="0"/>
          <w:numId w:val="11"/>
        </w:numPr>
        <w:tabs>
          <w:tab w:val="left" w:pos="5954"/>
          <w:tab w:val="left" w:pos="6521"/>
        </w:tabs>
        <w:ind w:left="6521" w:hanging="567"/>
        <w:rPr>
          <w:i/>
        </w:rPr>
      </w:pPr>
      <w:r w:rsidRPr="0043533F">
        <w:rPr>
          <w:i/>
        </w:rPr>
        <w:t>Non-acceptance of breeder-based DUS test reports;</w:t>
      </w:r>
    </w:p>
    <w:p w:rsidR="006F6560" w:rsidRPr="0043533F" w:rsidRDefault="00A13508" w:rsidP="00121A39">
      <w:pPr>
        <w:pStyle w:val="ListParagraph"/>
        <w:numPr>
          <w:ilvl w:val="0"/>
          <w:numId w:val="11"/>
        </w:numPr>
        <w:tabs>
          <w:tab w:val="left" w:pos="5954"/>
          <w:tab w:val="left" w:pos="6521"/>
        </w:tabs>
        <w:spacing w:after="0"/>
        <w:ind w:left="6521" w:hanging="567"/>
        <w:rPr>
          <w:i/>
        </w:rPr>
      </w:pPr>
      <w:r w:rsidRPr="0043533F">
        <w:rPr>
          <w:i/>
        </w:rPr>
        <w:t>Wish from breeders to use (or not) existing DUS reports</w:t>
      </w:r>
      <w:r w:rsidR="006F6560" w:rsidRPr="0043533F">
        <w:rPr>
          <w:i/>
        </w:rPr>
        <w:t xml:space="preserve">.  </w:t>
      </w:r>
    </w:p>
    <w:p w:rsidR="006F6560" w:rsidRDefault="006F6560" w:rsidP="00EB0E6B">
      <w:pPr>
        <w:jc w:val="left"/>
      </w:pPr>
    </w:p>
    <w:p w:rsidR="007717E8" w:rsidRPr="008D0013" w:rsidRDefault="007717E8" w:rsidP="00EB0E6B">
      <w:pPr>
        <w:jc w:val="left"/>
      </w:pPr>
    </w:p>
    <w:p w:rsidR="00EB0E6B" w:rsidRPr="008D0013" w:rsidRDefault="00EB0E6B" w:rsidP="003A29D8">
      <w:pPr>
        <w:pStyle w:val="Heading2"/>
      </w:pPr>
      <w:bookmarkStart w:id="57" w:name="_Toc54201259"/>
      <w:bookmarkStart w:id="58" w:name="_Toc54733182"/>
      <w:r w:rsidRPr="008D0013">
        <w:t>Proposals for next steps</w:t>
      </w:r>
      <w:bookmarkEnd w:id="57"/>
      <w:bookmarkEnd w:id="58"/>
      <w:r w:rsidRPr="008D0013">
        <w:t xml:space="preserve"> </w:t>
      </w:r>
    </w:p>
    <w:p w:rsidR="00EB0E6B" w:rsidRDefault="00EB0E6B" w:rsidP="00EB0E6B"/>
    <w:p w:rsidR="00EB0E6B" w:rsidRDefault="00EB0E6B" w:rsidP="00EB0E6B">
      <w:r>
        <w:fldChar w:fldCharType="begin"/>
      </w:r>
      <w:r>
        <w:instrText xml:space="preserve"> AUTONUM  </w:instrText>
      </w:r>
      <w:r>
        <w:fldChar w:fldCharType="end"/>
      </w:r>
      <w:r>
        <w:tab/>
        <w:t>The TC considered document TC/56/22 “Outcome of consideration of documents by correspondence”.</w:t>
      </w:r>
    </w:p>
    <w:p w:rsidR="00EB0E6B" w:rsidRPr="008D0013" w:rsidRDefault="00EB0E6B" w:rsidP="00EB0E6B"/>
    <w:p w:rsidR="00EB0E6B" w:rsidRPr="008D0013" w:rsidRDefault="00EB0E6B" w:rsidP="00EB0E6B">
      <w:r w:rsidRPr="008D0013">
        <w:fldChar w:fldCharType="begin"/>
      </w:r>
      <w:r w:rsidRPr="008D0013">
        <w:instrText xml:space="preserve"> AUTONUM  </w:instrText>
      </w:r>
      <w:r w:rsidRPr="008D0013">
        <w:fldChar w:fldCharType="end"/>
      </w:r>
      <w:r w:rsidRPr="008D0013">
        <w:tab/>
        <w:t xml:space="preserve">The TC noted the comments received during the </w:t>
      </w:r>
      <w:r>
        <w:t>procedure</w:t>
      </w:r>
      <w:r w:rsidRPr="008D0013">
        <w:t xml:space="preserve"> of consideration </w:t>
      </w:r>
      <w:r>
        <w:t xml:space="preserve">of documents </w:t>
      </w:r>
      <w:r w:rsidRPr="008D0013">
        <w:t xml:space="preserve">by correspondence </w:t>
      </w:r>
      <w:r>
        <w:t>on</w:t>
      </w:r>
      <w:r w:rsidRPr="008D0013">
        <w:t xml:space="preserve"> document TC/56/11 “Cooperation in examination”, as reported in document TC/56/22</w:t>
      </w:r>
      <w:r>
        <w:t>,</w:t>
      </w:r>
      <w:r w:rsidRPr="00286151">
        <w:t xml:space="preserve"> </w:t>
      </w:r>
      <w:r>
        <w:t>paragraphs 45 to 48.</w:t>
      </w:r>
    </w:p>
    <w:p w:rsidR="00EB0E6B" w:rsidRPr="008D0013" w:rsidRDefault="00EB0E6B" w:rsidP="00EB0E6B"/>
    <w:p w:rsidR="00EB0E6B" w:rsidRPr="008D0013" w:rsidRDefault="00EB0E6B" w:rsidP="00EB0E6B">
      <w:r w:rsidRPr="008D0013">
        <w:fldChar w:fldCharType="begin"/>
      </w:r>
      <w:r w:rsidRPr="008D0013">
        <w:instrText xml:space="preserve"> AUTONUM  </w:instrText>
      </w:r>
      <w:r w:rsidRPr="008D0013">
        <w:fldChar w:fldCharType="end"/>
      </w:r>
      <w:r w:rsidRPr="008D0013">
        <w:tab/>
        <w:t xml:space="preserve">The TC noted the comment provided by the European Union in response to </w:t>
      </w:r>
      <w:r w:rsidRPr="008D0013">
        <w:rPr>
          <w:rFonts w:cs="Arial"/>
        </w:rPr>
        <w:t>Circular E-20/119, of August 21, 2020,</w:t>
      </w:r>
      <w:r w:rsidRPr="008D0013">
        <w:rPr>
          <w:snapToGrid w:val="0"/>
        </w:rPr>
        <w:t xml:space="preserve"> on the proposal to </w:t>
      </w:r>
      <w:r w:rsidRPr="008D0013">
        <w:t>develop a package of compatible IT tools with the elements indicated in document TC/56/11, paragraph 19.  The TC agreed to request the Office of the Union to present plans for the development of a package of compatible IT tools, for consideration by the TWPs and TC, at their sessions in 2021.</w:t>
      </w:r>
    </w:p>
    <w:p w:rsidR="00EB0E6B" w:rsidRPr="008D0013" w:rsidRDefault="00EB0E6B" w:rsidP="00EB0E6B"/>
    <w:p w:rsidR="00EB0E6B" w:rsidRPr="008D0013" w:rsidRDefault="00EB0E6B" w:rsidP="00EB0E6B">
      <w:pPr>
        <w:rPr>
          <w:rFonts w:cs="Arial"/>
          <w:color w:val="000000"/>
          <w:szCs w:val="18"/>
          <w:lang w:eastAsia="ja-JP"/>
        </w:rPr>
      </w:pPr>
      <w:r w:rsidRPr="008D0013">
        <w:fldChar w:fldCharType="begin"/>
      </w:r>
      <w:r w:rsidRPr="008D0013">
        <w:instrText xml:space="preserve"> AUTONUM  </w:instrText>
      </w:r>
      <w:r w:rsidRPr="008D0013">
        <w:fldChar w:fldCharType="end"/>
      </w:r>
      <w:r w:rsidRPr="008D0013">
        <w:tab/>
        <w:t xml:space="preserve">The TC noted the comment provided by Japan in response to </w:t>
      </w:r>
      <w:r w:rsidRPr="008D0013">
        <w:rPr>
          <w:rFonts w:cs="Arial"/>
        </w:rPr>
        <w:t>Circular E-20/119, of August 21, 2020,</w:t>
      </w:r>
      <w:r w:rsidRPr="008D0013">
        <w:rPr>
          <w:snapToGrid w:val="0"/>
        </w:rPr>
        <w:t xml:space="preserve"> on </w:t>
      </w:r>
      <w:r w:rsidRPr="008D0013">
        <w:rPr>
          <w:rFonts w:cs="Arial"/>
          <w:color w:val="000000"/>
          <w:szCs w:val="18"/>
          <w:lang w:eastAsia="ja-JP"/>
        </w:rPr>
        <w:t>difficulties to submit plant material to the authority receiving an application due to phytosanitary, quarantine or other related matters</w:t>
      </w:r>
      <w:r>
        <w:rPr>
          <w:rFonts w:cs="Arial"/>
          <w:color w:val="000000"/>
          <w:szCs w:val="18"/>
          <w:lang w:eastAsia="ja-JP"/>
        </w:rPr>
        <w:t>, as reported in document TC/56/22, paragraphs 47 and 48</w:t>
      </w:r>
      <w:r w:rsidRPr="008D0013">
        <w:rPr>
          <w:rFonts w:cs="Arial"/>
          <w:color w:val="000000"/>
          <w:szCs w:val="18"/>
          <w:lang w:eastAsia="ja-JP"/>
        </w:rPr>
        <w:t xml:space="preserve">.  </w:t>
      </w:r>
    </w:p>
    <w:p w:rsidR="00EB0E6B" w:rsidRPr="008D0013" w:rsidRDefault="00EB0E6B" w:rsidP="00EB0E6B">
      <w:pPr>
        <w:rPr>
          <w:rFonts w:cs="Arial"/>
          <w:color w:val="000000"/>
          <w:szCs w:val="18"/>
          <w:lang w:eastAsia="ja-JP"/>
        </w:rPr>
      </w:pPr>
    </w:p>
    <w:p w:rsidR="00EB0E6B" w:rsidRPr="008D0013" w:rsidRDefault="00EB0E6B" w:rsidP="00EB0E6B">
      <w:pPr>
        <w:rPr>
          <w:rFonts w:cs="Arial"/>
          <w:color w:val="000000"/>
          <w:szCs w:val="18"/>
          <w:lang w:eastAsia="ja-JP"/>
        </w:rPr>
      </w:pPr>
      <w:r w:rsidRPr="008D0013">
        <w:rPr>
          <w:rFonts w:cs="Arial"/>
          <w:color w:val="000000"/>
          <w:szCs w:val="18"/>
          <w:lang w:eastAsia="ja-JP"/>
        </w:rPr>
        <w:lastRenderedPageBreak/>
        <w:fldChar w:fldCharType="begin"/>
      </w:r>
      <w:r w:rsidRPr="008D0013">
        <w:rPr>
          <w:rFonts w:cs="Arial"/>
          <w:color w:val="000000"/>
          <w:szCs w:val="18"/>
          <w:lang w:eastAsia="ja-JP"/>
        </w:rPr>
        <w:instrText xml:space="preserve"> AUTONUM  </w:instrText>
      </w:r>
      <w:r w:rsidRPr="008D0013">
        <w:rPr>
          <w:rFonts w:cs="Arial"/>
          <w:color w:val="000000"/>
          <w:szCs w:val="18"/>
          <w:lang w:eastAsia="ja-JP"/>
        </w:rPr>
        <w:fldChar w:fldCharType="end"/>
      </w:r>
      <w:r w:rsidRPr="008D0013">
        <w:rPr>
          <w:rFonts w:cs="Arial"/>
          <w:color w:val="000000"/>
          <w:szCs w:val="18"/>
          <w:lang w:eastAsia="ja-JP"/>
        </w:rPr>
        <w:tab/>
        <w:t xml:space="preserve">The TC noted that plant material was required as a condition for granting breeders’ rights in some members of the Union.  </w:t>
      </w:r>
    </w:p>
    <w:p w:rsidR="00EB0E6B" w:rsidRPr="008D0013" w:rsidRDefault="00EB0E6B" w:rsidP="00EB0E6B">
      <w:pPr>
        <w:rPr>
          <w:rFonts w:cs="Arial"/>
          <w:color w:val="000000"/>
          <w:szCs w:val="18"/>
          <w:lang w:eastAsia="ja-JP"/>
        </w:rPr>
      </w:pPr>
    </w:p>
    <w:p w:rsidR="00EB0E6B" w:rsidRPr="008D0013" w:rsidRDefault="00EB0E6B" w:rsidP="00EB0E6B">
      <w:r w:rsidRPr="008D0013">
        <w:rPr>
          <w:rFonts w:cs="Arial"/>
          <w:color w:val="000000"/>
          <w:szCs w:val="18"/>
          <w:lang w:eastAsia="ja-JP"/>
        </w:rPr>
        <w:fldChar w:fldCharType="begin"/>
      </w:r>
      <w:r w:rsidRPr="008D0013">
        <w:rPr>
          <w:rFonts w:cs="Arial"/>
          <w:color w:val="000000"/>
          <w:szCs w:val="18"/>
          <w:lang w:eastAsia="ja-JP"/>
        </w:rPr>
        <w:instrText xml:space="preserve"> AUTONUM  </w:instrText>
      </w:r>
      <w:r w:rsidRPr="008D0013">
        <w:rPr>
          <w:rFonts w:cs="Arial"/>
          <w:color w:val="000000"/>
          <w:szCs w:val="18"/>
          <w:lang w:eastAsia="ja-JP"/>
        </w:rPr>
        <w:fldChar w:fldCharType="end"/>
      </w:r>
      <w:r w:rsidRPr="008D0013">
        <w:rPr>
          <w:rFonts w:cs="Arial"/>
          <w:color w:val="000000"/>
          <w:szCs w:val="18"/>
          <w:lang w:eastAsia="ja-JP"/>
        </w:rPr>
        <w:tab/>
        <w:t xml:space="preserve">The TC agreed </w:t>
      </w:r>
      <w:r w:rsidRPr="008D0013">
        <w:t xml:space="preserve">to propose </w:t>
      </w:r>
      <w:r>
        <w:t xml:space="preserve">to the CAJ </w:t>
      </w:r>
      <w:r w:rsidRPr="008D0013">
        <w:t xml:space="preserve">the development of guidance to encourage UPOV members, on a voluntary basis, to take-over DUS test reports when the applicants could </w:t>
      </w:r>
      <w:r>
        <w:t xml:space="preserve">not </w:t>
      </w:r>
      <w:r w:rsidRPr="008D0013">
        <w:t>submit plant material due to phytosanitary or other related issues</w:t>
      </w:r>
      <w:r>
        <w:t xml:space="preserve"> where acceptable </w:t>
      </w:r>
      <w:r w:rsidR="00AF7E55">
        <w:t>to</w:t>
      </w:r>
      <w:r>
        <w:t xml:space="preserve"> the UPOV members concerned</w:t>
      </w:r>
      <w:r w:rsidRPr="008D0013">
        <w:t xml:space="preserve">.  The TC agreed that this proposal </w:t>
      </w:r>
      <w:proofErr w:type="gramStart"/>
      <w:r w:rsidRPr="008D0013">
        <w:t>should be presented</w:t>
      </w:r>
      <w:proofErr w:type="gramEnd"/>
      <w:r w:rsidRPr="008D0013">
        <w:t xml:space="preserve"> for consideration by the CAJ</w:t>
      </w:r>
      <w:r>
        <w:t xml:space="preserve"> in document CAJ/77/2 “</w:t>
      </w:r>
      <w:r w:rsidRPr="00D14443">
        <w:t>Report on developments in the Technical Committee</w:t>
      </w:r>
      <w:r>
        <w:t>.”</w:t>
      </w:r>
    </w:p>
    <w:p w:rsidR="006A6420" w:rsidRDefault="006A6420" w:rsidP="006A6420"/>
    <w:p w:rsidR="003A29D8" w:rsidRDefault="006F6560" w:rsidP="006F6560">
      <w:pPr>
        <w:tabs>
          <w:tab w:val="left" w:pos="5387"/>
        </w:tabs>
        <w:ind w:left="4820"/>
        <w:rPr>
          <w:i/>
        </w:rPr>
      </w:pPr>
      <w:r w:rsidRPr="006F6560">
        <w:rPr>
          <w:i/>
        </w:rPr>
        <w:fldChar w:fldCharType="begin"/>
      </w:r>
      <w:r w:rsidRPr="006F6560">
        <w:rPr>
          <w:i/>
        </w:rPr>
        <w:instrText xml:space="preserve"> AUTONUM  </w:instrText>
      </w:r>
      <w:r w:rsidRPr="006F6560">
        <w:rPr>
          <w:i/>
        </w:rPr>
        <w:fldChar w:fldCharType="end"/>
      </w:r>
      <w:r w:rsidRPr="006F6560">
        <w:rPr>
          <w:i/>
        </w:rPr>
        <w:tab/>
        <w:t xml:space="preserve">The CAJ </w:t>
      </w:r>
      <w:proofErr w:type="gramStart"/>
      <w:r w:rsidRPr="006F6560">
        <w:rPr>
          <w:i/>
        </w:rPr>
        <w:t>is invited</w:t>
      </w:r>
      <w:proofErr w:type="gramEnd"/>
      <w:r w:rsidRPr="006F6560">
        <w:rPr>
          <w:i/>
        </w:rPr>
        <w:t xml:space="preserve"> to consider the proposal by the TC for developing guidance to encourage UPOV members, on a voluntary basis, to take-over DUS test reports when the applicants could not submit plant material due to phytosanitary or other related issues where acceptable to the UPOV members concerned.  </w:t>
      </w:r>
    </w:p>
    <w:p w:rsidR="00121A39" w:rsidRDefault="00121A39" w:rsidP="006F6560">
      <w:pPr>
        <w:tabs>
          <w:tab w:val="left" w:pos="5387"/>
        </w:tabs>
        <w:ind w:left="4820"/>
        <w:rPr>
          <w:i/>
        </w:rPr>
      </w:pPr>
    </w:p>
    <w:p w:rsidR="00121A39" w:rsidRPr="006F6560" w:rsidRDefault="00121A39" w:rsidP="006F6560">
      <w:pPr>
        <w:tabs>
          <w:tab w:val="left" w:pos="5387"/>
        </w:tabs>
        <w:ind w:left="4820"/>
        <w:rPr>
          <w:i/>
        </w:rPr>
      </w:pPr>
    </w:p>
    <w:p w:rsidR="006A6420" w:rsidRPr="008A6B9F" w:rsidRDefault="006A6420" w:rsidP="003A29D8">
      <w:pPr>
        <w:pStyle w:val="Heading2"/>
      </w:pPr>
      <w:bookmarkStart w:id="59" w:name="_Toc54733183"/>
      <w:r w:rsidRPr="008A6B9F">
        <w:t>Possible merger of BMT and TWC</w:t>
      </w:r>
      <w:bookmarkEnd w:id="59"/>
    </w:p>
    <w:p w:rsidR="006A6420" w:rsidRPr="008D0013" w:rsidRDefault="006A6420" w:rsidP="003A29D8">
      <w:pPr>
        <w:keepNext/>
      </w:pPr>
    </w:p>
    <w:p w:rsidR="006A6420" w:rsidRPr="008D0013" w:rsidRDefault="006A6420" w:rsidP="003A29D8">
      <w:pPr>
        <w:keepNext/>
      </w:pPr>
      <w:r w:rsidRPr="008D0013">
        <w:fldChar w:fldCharType="begin"/>
      </w:r>
      <w:r w:rsidRPr="008D0013">
        <w:instrText xml:space="preserve"> AUTONUM  </w:instrText>
      </w:r>
      <w:r w:rsidRPr="008D0013">
        <w:fldChar w:fldCharType="end"/>
      </w:r>
      <w:r w:rsidRPr="008D0013">
        <w:tab/>
        <w:t xml:space="preserve">The TC </w:t>
      </w:r>
      <w:r>
        <w:t xml:space="preserve">noted that </w:t>
      </w:r>
      <w:r w:rsidRPr="008D0013">
        <w:rPr>
          <w:rFonts w:cs="Arial"/>
        </w:rPr>
        <w:t xml:space="preserve">document TC/56/10 Rev. </w:t>
      </w:r>
      <w:proofErr w:type="gramStart"/>
      <w:r>
        <w:rPr>
          <w:rFonts w:cs="Arial"/>
        </w:rPr>
        <w:t>had been considered</w:t>
      </w:r>
      <w:proofErr w:type="gramEnd"/>
      <w:r>
        <w:rPr>
          <w:rFonts w:cs="Arial"/>
        </w:rPr>
        <w:t xml:space="preserve"> by correspondence.  </w:t>
      </w:r>
      <w:r w:rsidRPr="008D0013">
        <w:t>The TC noted</w:t>
      </w:r>
      <w:r w:rsidRPr="008D0013">
        <w:rPr>
          <w:spacing w:val="-2"/>
        </w:rPr>
        <w:t xml:space="preserve"> that</w:t>
      </w:r>
      <w:r>
        <w:rPr>
          <w:spacing w:val="-2"/>
        </w:rPr>
        <w:t xml:space="preserve"> </w:t>
      </w:r>
      <w:proofErr w:type="gramStart"/>
      <w:r>
        <w:rPr>
          <w:spacing w:val="-2"/>
        </w:rPr>
        <w:t>decisions on document TC/56/10 Rev. had been taken by the TC</w:t>
      </w:r>
      <w:proofErr w:type="gramEnd"/>
      <w:r>
        <w:rPr>
          <w:spacing w:val="-2"/>
        </w:rPr>
        <w:t xml:space="preserve"> by correspondence as provided in document TC/56/22, paragraphs 34 to 37.</w:t>
      </w:r>
    </w:p>
    <w:p w:rsidR="006A6420" w:rsidRDefault="006A6420" w:rsidP="006A6420">
      <w:pPr>
        <w:rPr>
          <w:rFonts w:cs="Arial"/>
        </w:rPr>
      </w:pPr>
    </w:p>
    <w:p w:rsidR="006A6420" w:rsidRPr="008D0013" w:rsidRDefault="006A6420" w:rsidP="006A6420">
      <w:pPr>
        <w:tabs>
          <w:tab w:val="left" w:pos="567"/>
        </w:tabs>
      </w:pPr>
      <w:r>
        <w:fldChar w:fldCharType="begin"/>
      </w:r>
      <w:r>
        <w:instrText xml:space="preserve"> AUTONUM  </w:instrText>
      </w:r>
      <w:r>
        <w:fldChar w:fldCharType="end"/>
      </w:r>
      <w:r>
        <w:tab/>
      </w:r>
      <w:proofErr w:type="gramStart"/>
      <w:r w:rsidRPr="008D0013">
        <w:t xml:space="preserve">The TC noted the report </w:t>
      </w:r>
      <w:r>
        <w:t>from</w:t>
      </w:r>
      <w:r w:rsidRPr="008D0013">
        <w:t xml:space="preserve"> the Office of the Union that </w:t>
      </w:r>
      <w:r>
        <w:t xml:space="preserve">the Council, on October 25, 2020, </w:t>
      </w:r>
      <w:r w:rsidRPr="00000934">
        <w:t>following the procedure</w:t>
      </w:r>
      <w:r>
        <w:t xml:space="preserve"> by correspondence</w:t>
      </w:r>
      <w:r w:rsidRPr="00000934">
        <w:t xml:space="preserve">, </w:t>
      </w:r>
      <w:r w:rsidRPr="008D0013">
        <w:t xml:space="preserve">had </w:t>
      </w:r>
      <w:r>
        <w:t xml:space="preserve">established the TWM </w:t>
      </w:r>
      <w:r w:rsidRPr="008D0013">
        <w:t>to take effect from 2022</w:t>
      </w:r>
      <w:r>
        <w:t xml:space="preserve"> and elected the </w:t>
      </w:r>
      <w:r w:rsidRPr="008D0013">
        <w:t>Chairperson of the BMT to act as Chairperson of the TWM ending with the fifty</w:t>
      </w:r>
      <w:r>
        <w:noBreakHyphen/>
      </w:r>
      <w:r w:rsidRPr="008D0013">
        <w:t>seventh ordinary session of the Council, in 2023</w:t>
      </w:r>
      <w:r>
        <w:t xml:space="preserve"> (see document C/54/17 “Outcome of consideration of documents by correspondence”, paragraphs 32 to 35).</w:t>
      </w:r>
      <w:proofErr w:type="gramEnd"/>
    </w:p>
    <w:p w:rsidR="005B1893" w:rsidRDefault="005B1893" w:rsidP="005B1893">
      <w:pPr>
        <w:jc w:val="left"/>
      </w:pPr>
    </w:p>
    <w:p w:rsidR="00EB0E6B" w:rsidRPr="00AE785E" w:rsidRDefault="00AE785E" w:rsidP="008F1467">
      <w:pPr>
        <w:tabs>
          <w:tab w:val="left" w:pos="5387"/>
        </w:tabs>
        <w:ind w:left="4820"/>
        <w:rPr>
          <w:i/>
        </w:rPr>
      </w:pPr>
      <w:r w:rsidRPr="00AE785E">
        <w:rPr>
          <w:i/>
        </w:rPr>
        <w:fldChar w:fldCharType="begin"/>
      </w:r>
      <w:r w:rsidRPr="00AE785E">
        <w:rPr>
          <w:i/>
        </w:rPr>
        <w:instrText xml:space="preserve"> AUTONUM  </w:instrText>
      </w:r>
      <w:r w:rsidRPr="00AE785E">
        <w:rPr>
          <w:i/>
        </w:rPr>
        <w:fldChar w:fldCharType="end"/>
      </w:r>
      <w:r w:rsidRPr="00AE785E">
        <w:rPr>
          <w:i/>
        </w:rPr>
        <w:tab/>
        <w:t xml:space="preserve">The CAJ </w:t>
      </w:r>
      <w:proofErr w:type="gramStart"/>
      <w:r w:rsidRPr="00AE785E">
        <w:rPr>
          <w:i/>
        </w:rPr>
        <w:t>is invited</w:t>
      </w:r>
      <w:proofErr w:type="gramEnd"/>
      <w:r w:rsidRPr="00AE785E">
        <w:rPr>
          <w:i/>
        </w:rPr>
        <w:t xml:space="preserve"> to note the </w:t>
      </w:r>
      <w:r w:rsidR="008F1467">
        <w:rPr>
          <w:i/>
        </w:rPr>
        <w:t xml:space="preserve">other relevant </w:t>
      </w:r>
      <w:r w:rsidRPr="00AE785E">
        <w:rPr>
          <w:i/>
        </w:rPr>
        <w:t xml:space="preserve">developments </w:t>
      </w:r>
      <w:r w:rsidR="008F1467">
        <w:rPr>
          <w:i/>
        </w:rPr>
        <w:t xml:space="preserve">at the fifty-sixth session of the </w:t>
      </w:r>
      <w:r w:rsidRPr="00AE785E">
        <w:rPr>
          <w:i/>
        </w:rPr>
        <w:t>Technical Committee</w:t>
      </w:r>
      <w:r w:rsidR="008F1467">
        <w:rPr>
          <w:i/>
        </w:rPr>
        <w:t>, as</w:t>
      </w:r>
      <w:r w:rsidRPr="00AE785E">
        <w:rPr>
          <w:i/>
        </w:rPr>
        <w:t xml:space="preserve"> reported in this document.</w:t>
      </w:r>
    </w:p>
    <w:p w:rsidR="008E7173" w:rsidRDefault="008E7173">
      <w:pPr>
        <w:jc w:val="left"/>
      </w:pPr>
    </w:p>
    <w:p w:rsidR="00AE785E" w:rsidRDefault="00AE785E">
      <w:pPr>
        <w:jc w:val="left"/>
      </w:pPr>
    </w:p>
    <w:p w:rsidR="00AE785E" w:rsidRPr="00C1177E" w:rsidRDefault="00AE785E">
      <w:pPr>
        <w:jc w:val="left"/>
      </w:pPr>
    </w:p>
    <w:p w:rsidR="008E7173" w:rsidRPr="00530137" w:rsidRDefault="00530137" w:rsidP="00530137">
      <w:pPr>
        <w:jc w:val="right"/>
        <w:rPr>
          <w:lang w:val="fr-CH"/>
        </w:rPr>
      </w:pPr>
      <w:r w:rsidRPr="00530137">
        <w:rPr>
          <w:lang w:val="fr-CH"/>
        </w:rPr>
        <w:t>[</w:t>
      </w:r>
      <w:r w:rsidR="00FA166A">
        <w:rPr>
          <w:lang w:val="fr-CH"/>
        </w:rPr>
        <w:t xml:space="preserve">Annexes </w:t>
      </w:r>
      <w:proofErr w:type="spellStart"/>
      <w:r w:rsidR="00FA166A">
        <w:rPr>
          <w:lang w:val="fr-CH"/>
        </w:rPr>
        <w:t>follow</w:t>
      </w:r>
      <w:proofErr w:type="spellEnd"/>
      <w:r>
        <w:rPr>
          <w:lang w:val="fr-CH"/>
        </w:rPr>
        <w:t>]</w:t>
      </w:r>
    </w:p>
    <w:p w:rsidR="008E7173" w:rsidRPr="00530137" w:rsidRDefault="008E7173">
      <w:pPr>
        <w:jc w:val="left"/>
        <w:rPr>
          <w:lang w:val="fr-CH"/>
        </w:rPr>
      </w:pPr>
    </w:p>
    <w:p w:rsidR="008E7173" w:rsidRPr="00530137" w:rsidRDefault="008E7173">
      <w:pPr>
        <w:jc w:val="left"/>
        <w:rPr>
          <w:lang w:val="fr-CH"/>
        </w:rPr>
      </w:pPr>
    </w:p>
    <w:p w:rsidR="00996156" w:rsidRPr="00530137" w:rsidRDefault="00996156">
      <w:pPr>
        <w:jc w:val="left"/>
        <w:rPr>
          <w:lang w:val="fr-CH"/>
        </w:rPr>
        <w:sectPr w:rsidR="00996156" w:rsidRPr="00530137" w:rsidSect="008E7173">
          <w:headerReference w:type="default" r:id="rId9"/>
          <w:pgSz w:w="11907" w:h="16840" w:code="9"/>
          <w:pgMar w:top="510" w:right="1134" w:bottom="1134" w:left="1134" w:header="510" w:footer="680" w:gutter="0"/>
          <w:pgNumType w:start="1"/>
          <w:cols w:space="720"/>
          <w:titlePg/>
        </w:sectPr>
      </w:pPr>
    </w:p>
    <w:p w:rsidR="008E7173" w:rsidRPr="00530137" w:rsidRDefault="004A04FC" w:rsidP="004A04FC">
      <w:pPr>
        <w:ind w:left="-142"/>
        <w:jc w:val="left"/>
        <w:rPr>
          <w:lang w:val="fr-CH"/>
        </w:rPr>
      </w:pPr>
      <w:r w:rsidRPr="004A04FC">
        <w:rPr>
          <w:noProof/>
        </w:rPr>
        <w:lastRenderedPageBreak/>
        <w:drawing>
          <wp:inline distT="0" distB="0" distL="0" distR="0">
            <wp:extent cx="9649460" cy="57383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49460" cy="5738354"/>
                    </a:xfrm>
                    <a:prstGeom prst="rect">
                      <a:avLst/>
                    </a:prstGeom>
                    <a:noFill/>
                    <a:ln>
                      <a:noFill/>
                    </a:ln>
                  </pic:spPr>
                </pic:pic>
              </a:graphicData>
            </a:graphic>
          </wp:inline>
        </w:drawing>
      </w:r>
    </w:p>
    <w:p w:rsidR="00996156" w:rsidRPr="004A04FC" w:rsidRDefault="004A04FC" w:rsidP="004A04FC">
      <w:pPr>
        <w:ind w:right="170"/>
        <w:jc w:val="right"/>
      </w:pPr>
      <w:r w:rsidRPr="004A04FC">
        <w:t>[</w:t>
      </w:r>
      <w:r w:rsidR="00FA166A">
        <w:t xml:space="preserve">Annex </w:t>
      </w:r>
      <w:r w:rsidRPr="004A04FC">
        <w:t>II follows]</w:t>
      </w:r>
    </w:p>
    <w:p w:rsidR="00996156" w:rsidRPr="00530137" w:rsidRDefault="00996156">
      <w:pPr>
        <w:jc w:val="left"/>
        <w:rPr>
          <w:lang w:val="fr-CH"/>
        </w:rPr>
      </w:pPr>
    </w:p>
    <w:p w:rsidR="00996156" w:rsidRPr="00530137" w:rsidRDefault="004A04FC">
      <w:pPr>
        <w:jc w:val="left"/>
        <w:rPr>
          <w:lang w:val="fr-CH"/>
        </w:rPr>
      </w:pPr>
      <w:r w:rsidRPr="004A04FC">
        <w:rPr>
          <w:noProof/>
        </w:rPr>
        <w:drawing>
          <wp:inline distT="0" distB="0" distL="0" distR="0">
            <wp:extent cx="9649460" cy="30725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49460" cy="3072526"/>
                    </a:xfrm>
                    <a:prstGeom prst="rect">
                      <a:avLst/>
                    </a:prstGeom>
                    <a:noFill/>
                    <a:ln>
                      <a:noFill/>
                    </a:ln>
                  </pic:spPr>
                </pic:pic>
              </a:graphicData>
            </a:graphic>
          </wp:inline>
        </w:drawing>
      </w:r>
    </w:p>
    <w:p w:rsidR="008E7173" w:rsidRPr="00530137" w:rsidRDefault="008E7173">
      <w:pPr>
        <w:jc w:val="left"/>
        <w:rPr>
          <w:lang w:val="fr-CH"/>
        </w:rPr>
      </w:pPr>
    </w:p>
    <w:p w:rsidR="00050E16" w:rsidRPr="00530137" w:rsidRDefault="00050E16" w:rsidP="00050E16">
      <w:pPr>
        <w:rPr>
          <w:lang w:val="fr-CH"/>
        </w:rPr>
      </w:pPr>
    </w:p>
    <w:p w:rsidR="00B4260E" w:rsidRDefault="00B4260E" w:rsidP="00050E16">
      <w:pPr>
        <w:jc w:val="right"/>
      </w:pPr>
    </w:p>
    <w:p w:rsidR="004A04FC" w:rsidRDefault="004A04FC" w:rsidP="004A04FC">
      <w:pPr>
        <w:jc w:val="right"/>
      </w:pPr>
      <w:r>
        <w:t xml:space="preserve">[End of </w:t>
      </w:r>
      <w:r w:rsidR="00FA166A">
        <w:t xml:space="preserve">Annex </w:t>
      </w:r>
      <w:r>
        <w:t>II and of document]</w:t>
      </w:r>
    </w:p>
    <w:p w:rsidR="004A04FC" w:rsidRDefault="004A04FC" w:rsidP="00050E16">
      <w:pPr>
        <w:jc w:val="right"/>
      </w:pPr>
    </w:p>
    <w:sectPr w:rsidR="004A04FC" w:rsidSect="00996156">
      <w:headerReference w:type="default" r:id="rId12"/>
      <w:headerReference w:type="first" r:id="rId13"/>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81C" w:rsidRDefault="00DA481C" w:rsidP="006655D3">
      <w:r>
        <w:separator/>
      </w:r>
    </w:p>
    <w:p w:rsidR="00DA481C" w:rsidRDefault="00DA481C" w:rsidP="006655D3"/>
    <w:p w:rsidR="00DA481C" w:rsidRDefault="00DA481C" w:rsidP="006655D3"/>
  </w:endnote>
  <w:endnote w:type="continuationSeparator" w:id="0">
    <w:p w:rsidR="00DA481C" w:rsidRDefault="00DA481C" w:rsidP="006655D3">
      <w:r>
        <w:separator/>
      </w:r>
    </w:p>
    <w:p w:rsidR="00DA481C" w:rsidRPr="00294751" w:rsidRDefault="00DA481C">
      <w:pPr>
        <w:pStyle w:val="Footer"/>
        <w:spacing w:after="60"/>
        <w:rPr>
          <w:sz w:val="18"/>
          <w:lang w:val="fr-FR"/>
        </w:rPr>
      </w:pPr>
      <w:r w:rsidRPr="00294751">
        <w:rPr>
          <w:sz w:val="18"/>
          <w:lang w:val="fr-FR"/>
        </w:rPr>
        <w:t>[Suite de la note de la page précédente]</w:t>
      </w:r>
    </w:p>
    <w:p w:rsidR="00DA481C" w:rsidRPr="00294751" w:rsidRDefault="00DA481C" w:rsidP="006655D3">
      <w:pPr>
        <w:rPr>
          <w:lang w:val="fr-FR"/>
        </w:rPr>
      </w:pPr>
    </w:p>
    <w:p w:rsidR="00DA481C" w:rsidRPr="00294751" w:rsidRDefault="00DA481C" w:rsidP="006655D3">
      <w:pPr>
        <w:rPr>
          <w:lang w:val="fr-FR"/>
        </w:rPr>
      </w:pPr>
    </w:p>
  </w:endnote>
  <w:endnote w:type="continuationNotice" w:id="1">
    <w:p w:rsidR="00DA481C" w:rsidRPr="00294751" w:rsidRDefault="00DA481C" w:rsidP="006655D3">
      <w:pPr>
        <w:rPr>
          <w:lang w:val="fr-FR"/>
        </w:rPr>
      </w:pPr>
      <w:r w:rsidRPr="00294751">
        <w:rPr>
          <w:lang w:val="fr-FR"/>
        </w:rPr>
        <w:t>[Suite de la note page suivante]</w:t>
      </w:r>
    </w:p>
    <w:p w:rsidR="00DA481C" w:rsidRPr="00294751" w:rsidRDefault="00DA481C" w:rsidP="006655D3">
      <w:pPr>
        <w:rPr>
          <w:lang w:val="fr-FR"/>
        </w:rPr>
      </w:pPr>
    </w:p>
    <w:p w:rsidR="00DA481C" w:rsidRPr="00294751" w:rsidRDefault="00DA481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81C" w:rsidRDefault="00DA481C" w:rsidP="006655D3">
      <w:r>
        <w:separator/>
      </w:r>
    </w:p>
  </w:footnote>
  <w:footnote w:type="continuationSeparator" w:id="0">
    <w:p w:rsidR="00DA481C" w:rsidRDefault="00DA481C" w:rsidP="006655D3">
      <w:r>
        <w:separator/>
      </w:r>
    </w:p>
  </w:footnote>
  <w:footnote w:type="continuationNotice" w:id="1">
    <w:p w:rsidR="00DA481C" w:rsidRPr="00AB530F" w:rsidRDefault="00DA481C" w:rsidP="00AB530F">
      <w:pPr>
        <w:pStyle w:val="Footer"/>
      </w:pPr>
    </w:p>
  </w:footnote>
  <w:footnote w:id="2">
    <w:p w:rsidR="00E7310C" w:rsidRDefault="00E7310C" w:rsidP="00EB0E6B">
      <w:pPr>
        <w:pStyle w:val="FootnoteText"/>
      </w:pPr>
      <w:r>
        <w:rPr>
          <w:rStyle w:val="FootnoteReference"/>
        </w:rPr>
        <w:footnoteRef/>
      </w:r>
      <w:r>
        <w:t xml:space="preserve"> </w:t>
      </w:r>
      <w:r w:rsidRPr="00294CB7">
        <w:rPr>
          <w:rFonts w:eastAsiaTheme="minorEastAsia"/>
          <w:lang w:eastAsia="ja-JP"/>
        </w:rPr>
        <w:t xml:space="preserve">held in Geneva, on October </w:t>
      </w:r>
      <w:r>
        <w:rPr>
          <w:rFonts w:eastAsiaTheme="minorEastAsia"/>
          <w:lang w:eastAsia="ja-JP"/>
        </w:rPr>
        <w:t>28</w:t>
      </w:r>
      <w:r w:rsidRPr="00294CB7">
        <w:rPr>
          <w:rFonts w:eastAsiaTheme="minorEastAsia"/>
          <w:lang w:eastAsia="ja-JP"/>
        </w:rPr>
        <w:t xml:space="preserve"> and </w:t>
      </w:r>
      <w:r>
        <w:rPr>
          <w:rFonts w:eastAsiaTheme="minorEastAsia"/>
          <w:lang w:eastAsia="ja-JP"/>
        </w:rPr>
        <w:t>29</w:t>
      </w:r>
      <w:r w:rsidRPr="00294CB7">
        <w:rPr>
          <w:rFonts w:eastAsiaTheme="minorEastAsia"/>
          <w:lang w:eastAsia="ja-JP"/>
        </w:rPr>
        <w:t>, 201</w:t>
      </w:r>
      <w:r>
        <w:rPr>
          <w:rFonts w:eastAsiaTheme="minorEastAsia"/>
          <w:lang w:eastAsia="ja-JP"/>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10C" w:rsidRDefault="00E7310C" w:rsidP="00EB048E">
    <w:pPr>
      <w:pStyle w:val="Header"/>
      <w:rPr>
        <w:rStyle w:val="PageNumber"/>
        <w:lang w:val="en-US"/>
      </w:rPr>
    </w:pPr>
    <w:r>
      <w:rPr>
        <w:rStyle w:val="PageNumber"/>
        <w:lang w:val="en-US"/>
      </w:rPr>
      <w:t>CAJ/77/2</w:t>
    </w:r>
  </w:p>
  <w:p w:rsidR="00E7310C" w:rsidRPr="00C5280D" w:rsidRDefault="00E7310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21A39">
      <w:rPr>
        <w:rStyle w:val="PageNumber"/>
        <w:noProof/>
        <w:lang w:val="en-US"/>
      </w:rPr>
      <w:t>8</w:t>
    </w:r>
    <w:r w:rsidRPr="00C5280D">
      <w:rPr>
        <w:rStyle w:val="PageNumber"/>
        <w:lang w:val="en-US"/>
      </w:rPr>
      <w:fldChar w:fldCharType="end"/>
    </w:r>
  </w:p>
  <w:p w:rsidR="00E7310C" w:rsidRPr="00C5280D" w:rsidRDefault="00E7310C"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10C" w:rsidRDefault="00E7310C" w:rsidP="00EB048E">
    <w:pPr>
      <w:pStyle w:val="Header"/>
      <w:rPr>
        <w:rStyle w:val="PageNumber"/>
        <w:lang w:val="en-US"/>
      </w:rPr>
    </w:pPr>
    <w:r>
      <w:rPr>
        <w:rStyle w:val="PageNumber"/>
        <w:lang w:val="en-US"/>
      </w:rPr>
      <w:t>CAJ/77/2</w:t>
    </w:r>
  </w:p>
  <w:p w:rsidR="00E7310C" w:rsidRPr="00C5280D" w:rsidRDefault="00E7310C" w:rsidP="00EB048E">
    <w:pPr>
      <w:pStyle w:val="Header"/>
      <w:rPr>
        <w:rStyle w:val="PageNumber"/>
        <w:lang w:val="en-US"/>
      </w:rPr>
    </w:pPr>
  </w:p>
  <w:p w:rsidR="00E7310C" w:rsidRPr="00C5280D" w:rsidRDefault="00FA166A" w:rsidP="00EB048E">
    <w:pPr>
      <w:pStyle w:val="Header"/>
      <w:rPr>
        <w:lang w:val="en-US"/>
      </w:rPr>
    </w:pPr>
    <w:r>
      <w:rPr>
        <w:lang w:val="en-US"/>
      </w:rPr>
      <w:t>ANNEX</w:t>
    </w:r>
    <w:r w:rsidR="00E7310C">
      <w:rPr>
        <w:lang w:val="en-US"/>
      </w:rPr>
      <w:t xml:space="preserve"> II - </w:t>
    </w:r>
    <w:r w:rsidR="00E7310C" w:rsidRPr="004A04FC">
      <w:rPr>
        <w:caps/>
        <w:lang w:val="en-US"/>
      </w:rPr>
      <w:t xml:space="preserve">Program for the development of </w:t>
    </w:r>
    <w:r w:rsidR="00E7310C">
      <w:rPr>
        <w:caps/>
        <w:lang w:val="en-US"/>
      </w:rPr>
      <w:t>RELEVANT INFORMATION MATERIALS</w:t>
    </w:r>
  </w:p>
  <w:p w:rsidR="00E7310C" w:rsidRPr="00C5280D" w:rsidRDefault="00E7310C"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10C" w:rsidRDefault="00E7310C" w:rsidP="00996156">
    <w:pPr>
      <w:pStyle w:val="Header"/>
      <w:rPr>
        <w:rStyle w:val="PageNumber"/>
        <w:lang w:val="en-US"/>
      </w:rPr>
    </w:pPr>
    <w:r>
      <w:rPr>
        <w:rStyle w:val="PageNumber"/>
        <w:lang w:val="en-US"/>
      </w:rPr>
      <w:t xml:space="preserve">CAJ/77/2  </w:t>
    </w:r>
  </w:p>
  <w:p w:rsidR="00E7310C" w:rsidRDefault="00E7310C" w:rsidP="00996156">
    <w:pPr>
      <w:pStyle w:val="Header"/>
      <w:rPr>
        <w:rStyle w:val="PageNumber"/>
        <w:lang w:val="en-US"/>
      </w:rPr>
    </w:pPr>
  </w:p>
  <w:p w:rsidR="00E7310C" w:rsidRPr="004A04FC" w:rsidRDefault="00FA166A" w:rsidP="004A04FC">
    <w:pPr>
      <w:pStyle w:val="Header"/>
      <w:rPr>
        <w:caps/>
        <w:lang w:val="en-US"/>
      </w:rPr>
    </w:pPr>
    <w:r>
      <w:rPr>
        <w:lang w:val="en-US"/>
      </w:rPr>
      <w:t>ANNEX</w:t>
    </w:r>
    <w:r w:rsidR="00E7310C">
      <w:rPr>
        <w:lang w:val="en-US"/>
      </w:rPr>
      <w:t xml:space="preserve"> </w:t>
    </w:r>
    <w:proofErr w:type="gramStart"/>
    <w:r w:rsidR="00E7310C">
      <w:rPr>
        <w:lang w:val="en-US"/>
      </w:rPr>
      <w:t>I  -</w:t>
    </w:r>
    <w:proofErr w:type="gramEnd"/>
    <w:r w:rsidR="00E7310C">
      <w:rPr>
        <w:lang w:val="en-US"/>
      </w:rPr>
      <w:t xml:space="preserve">  </w:t>
    </w:r>
    <w:r w:rsidR="00E7310C" w:rsidRPr="004A04FC">
      <w:rPr>
        <w:caps/>
        <w:lang w:val="en-US"/>
      </w:rPr>
      <w:t>Program for the development of TGP documents</w:t>
    </w:r>
  </w:p>
  <w:p w:rsidR="00E7310C" w:rsidRPr="00996156" w:rsidRDefault="00E7310C" w:rsidP="00996156">
    <w:pPr>
      <w:pStyle w:val="Header"/>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B75C51"/>
    <w:multiLevelType w:val="hybridMultilevel"/>
    <w:tmpl w:val="948C6720"/>
    <w:lvl w:ilvl="0" w:tplc="21948276">
      <w:start w:val="1"/>
      <w:numFmt w:val="lowerRoman"/>
      <w:lvlText w:val="(%1)"/>
      <w:lvlJc w:val="left"/>
      <w:pPr>
        <w:ind w:left="6674" w:hanging="360"/>
      </w:pPr>
      <w:rPr>
        <w:rFonts w:hint="default"/>
      </w:rPr>
    </w:lvl>
    <w:lvl w:ilvl="1" w:tplc="04090019" w:tentative="1">
      <w:start w:val="1"/>
      <w:numFmt w:val="lowerLetter"/>
      <w:lvlText w:val="%2."/>
      <w:lvlJc w:val="left"/>
      <w:pPr>
        <w:ind w:left="7394" w:hanging="360"/>
      </w:pPr>
    </w:lvl>
    <w:lvl w:ilvl="2" w:tplc="0409001B" w:tentative="1">
      <w:start w:val="1"/>
      <w:numFmt w:val="lowerRoman"/>
      <w:lvlText w:val="%3."/>
      <w:lvlJc w:val="right"/>
      <w:pPr>
        <w:ind w:left="8114" w:hanging="180"/>
      </w:pPr>
    </w:lvl>
    <w:lvl w:ilvl="3" w:tplc="0409000F" w:tentative="1">
      <w:start w:val="1"/>
      <w:numFmt w:val="decimal"/>
      <w:lvlText w:val="%4."/>
      <w:lvlJc w:val="left"/>
      <w:pPr>
        <w:ind w:left="8834" w:hanging="360"/>
      </w:pPr>
    </w:lvl>
    <w:lvl w:ilvl="4" w:tplc="04090019" w:tentative="1">
      <w:start w:val="1"/>
      <w:numFmt w:val="lowerLetter"/>
      <w:lvlText w:val="%5."/>
      <w:lvlJc w:val="left"/>
      <w:pPr>
        <w:ind w:left="9554" w:hanging="360"/>
      </w:pPr>
    </w:lvl>
    <w:lvl w:ilvl="5" w:tplc="0409001B" w:tentative="1">
      <w:start w:val="1"/>
      <w:numFmt w:val="lowerRoman"/>
      <w:lvlText w:val="%6."/>
      <w:lvlJc w:val="right"/>
      <w:pPr>
        <w:ind w:left="10274" w:hanging="180"/>
      </w:pPr>
    </w:lvl>
    <w:lvl w:ilvl="6" w:tplc="0409000F" w:tentative="1">
      <w:start w:val="1"/>
      <w:numFmt w:val="decimal"/>
      <w:lvlText w:val="%7."/>
      <w:lvlJc w:val="left"/>
      <w:pPr>
        <w:ind w:left="10994" w:hanging="360"/>
      </w:pPr>
    </w:lvl>
    <w:lvl w:ilvl="7" w:tplc="04090019" w:tentative="1">
      <w:start w:val="1"/>
      <w:numFmt w:val="lowerLetter"/>
      <w:lvlText w:val="%8."/>
      <w:lvlJc w:val="left"/>
      <w:pPr>
        <w:ind w:left="11714" w:hanging="360"/>
      </w:pPr>
    </w:lvl>
    <w:lvl w:ilvl="8" w:tplc="0409001B" w:tentative="1">
      <w:start w:val="1"/>
      <w:numFmt w:val="lowerRoman"/>
      <w:lvlText w:val="%9."/>
      <w:lvlJc w:val="right"/>
      <w:pPr>
        <w:ind w:left="12434" w:hanging="180"/>
      </w:pPr>
    </w:lvl>
  </w:abstractNum>
  <w:abstractNum w:abstractNumId="3" w15:restartNumberingAfterBreak="0">
    <w:nsid w:val="30FB3ABB"/>
    <w:multiLevelType w:val="hybridMultilevel"/>
    <w:tmpl w:val="D912104A"/>
    <w:lvl w:ilvl="0" w:tplc="D5B89642">
      <w:numFmt w:val="bullet"/>
      <w:lvlText w:val="•"/>
      <w:lvlJc w:val="left"/>
      <w:pPr>
        <w:ind w:left="1131" w:hanging="564"/>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0E1358B"/>
    <w:multiLevelType w:val="hybridMultilevel"/>
    <w:tmpl w:val="C088D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584FB8"/>
    <w:multiLevelType w:val="hybridMultilevel"/>
    <w:tmpl w:val="2FF8881A"/>
    <w:lvl w:ilvl="0" w:tplc="310ADB6A">
      <w:numFmt w:val="bullet"/>
      <w:lvlText w:val="•"/>
      <w:lvlJc w:val="left"/>
      <w:pPr>
        <w:ind w:left="6314" w:hanging="360"/>
      </w:pPr>
      <w:rPr>
        <w:rFonts w:ascii="Arial" w:eastAsia="Times New Roman" w:hAnsi="Arial" w:cs="Arial" w:hint="default"/>
      </w:rPr>
    </w:lvl>
    <w:lvl w:ilvl="1" w:tplc="04090003" w:tentative="1">
      <w:start w:val="1"/>
      <w:numFmt w:val="bullet"/>
      <w:lvlText w:val="o"/>
      <w:lvlJc w:val="left"/>
      <w:pPr>
        <w:ind w:left="7034" w:hanging="360"/>
      </w:pPr>
      <w:rPr>
        <w:rFonts w:ascii="Courier New" w:hAnsi="Courier New" w:cs="Courier New" w:hint="default"/>
      </w:rPr>
    </w:lvl>
    <w:lvl w:ilvl="2" w:tplc="04090005" w:tentative="1">
      <w:start w:val="1"/>
      <w:numFmt w:val="bullet"/>
      <w:lvlText w:val=""/>
      <w:lvlJc w:val="left"/>
      <w:pPr>
        <w:ind w:left="7754" w:hanging="360"/>
      </w:pPr>
      <w:rPr>
        <w:rFonts w:ascii="Wingdings" w:hAnsi="Wingdings" w:hint="default"/>
      </w:rPr>
    </w:lvl>
    <w:lvl w:ilvl="3" w:tplc="04090001" w:tentative="1">
      <w:start w:val="1"/>
      <w:numFmt w:val="bullet"/>
      <w:lvlText w:val=""/>
      <w:lvlJc w:val="left"/>
      <w:pPr>
        <w:ind w:left="8474" w:hanging="360"/>
      </w:pPr>
      <w:rPr>
        <w:rFonts w:ascii="Symbol" w:hAnsi="Symbol" w:hint="default"/>
      </w:rPr>
    </w:lvl>
    <w:lvl w:ilvl="4" w:tplc="04090003" w:tentative="1">
      <w:start w:val="1"/>
      <w:numFmt w:val="bullet"/>
      <w:lvlText w:val="o"/>
      <w:lvlJc w:val="left"/>
      <w:pPr>
        <w:ind w:left="9194" w:hanging="360"/>
      </w:pPr>
      <w:rPr>
        <w:rFonts w:ascii="Courier New" w:hAnsi="Courier New" w:cs="Courier New" w:hint="default"/>
      </w:rPr>
    </w:lvl>
    <w:lvl w:ilvl="5" w:tplc="04090005" w:tentative="1">
      <w:start w:val="1"/>
      <w:numFmt w:val="bullet"/>
      <w:lvlText w:val=""/>
      <w:lvlJc w:val="left"/>
      <w:pPr>
        <w:ind w:left="9914" w:hanging="360"/>
      </w:pPr>
      <w:rPr>
        <w:rFonts w:ascii="Wingdings" w:hAnsi="Wingdings" w:hint="default"/>
      </w:rPr>
    </w:lvl>
    <w:lvl w:ilvl="6" w:tplc="04090001" w:tentative="1">
      <w:start w:val="1"/>
      <w:numFmt w:val="bullet"/>
      <w:lvlText w:val=""/>
      <w:lvlJc w:val="left"/>
      <w:pPr>
        <w:ind w:left="10634" w:hanging="360"/>
      </w:pPr>
      <w:rPr>
        <w:rFonts w:ascii="Symbol" w:hAnsi="Symbol" w:hint="default"/>
      </w:rPr>
    </w:lvl>
    <w:lvl w:ilvl="7" w:tplc="04090003" w:tentative="1">
      <w:start w:val="1"/>
      <w:numFmt w:val="bullet"/>
      <w:lvlText w:val="o"/>
      <w:lvlJc w:val="left"/>
      <w:pPr>
        <w:ind w:left="11354" w:hanging="360"/>
      </w:pPr>
      <w:rPr>
        <w:rFonts w:ascii="Courier New" w:hAnsi="Courier New" w:cs="Courier New" w:hint="default"/>
      </w:rPr>
    </w:lvl>
    <w:lvl w:ilvl="8" w:tplc="04090005" w:tentative="1">
      <w:start w:val="1"/>
      <w:numFmt w:val="bullet"/>
      <w:lvlText w:val=""/>
      <w:lvlJc w:val="left"/>
      <w:pPr>
        <w:ind w:left="12074" w:hanging="360"/>
      </w:pPr>
      <w:rPr>
        <w:rFonts w:ascii="Wingdings" w:hAnsi="Wingdings" w:hint="default"/>
      </w:rPr>
    </w:lvl>
  </w:abstractNum>
  <w:abstractNum w:abstractNumId="6" w15:restartNumberingAfterBreak="0">
    <w:nsid w:val="507E3EF1"/>
    <w:multiLevelType w:val="hybridMultilevel"/>
    <w:tmpl w:val="06DEC12C"/>
    <w:lvl w:ilvl="0" w:tplc="431C1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8921580"/>
    <w:multiLevelType w:val="hybridMultilevel"/>
    <w:tmpl w:val="EFE22FE2"/>
    <w:lvl w:ilvl="0" w:tplc="21948276">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6"/>
  </w:num>
  <w:num w:numId="5">
    <w:abstractNumId w:val="4"/>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49"/>
    <w:rsid w:val="00010CF3"/>
    <w:rsid w:val="00011E27"/>
    <w:rsid w:val="000148BC"/>
    <w:rsid w:val="00024AB8"/>
    <w:rsid w:val="00030854"/>
    <w:rsid w:val="00036028"/>
    <w:rsid w:val="00044642"/>
    <w:rsid w:val="000446B9"/>
    <w:rsid w:val="00047E21"/>
    <w:rsid w:val="00050E16"/>
    <w:rsid w:val="00085505"/>
    <w:rsid w:val="00096FFB"/>
    <w:rsid w:val="000C4E25"/>
    <w:rsid w:val="000C7021"/>
    <w:rsid w:val="000D6BBC"/>
    <w:rsid w:val="000D7780"/>
    <w:rsid w:val="000E636A"/>
    <w:rsid w:val="000F2F11"/>
    <w:rsid w:val="00105929"/>
    <w:rsid w:val="00110BED"/>
    <w:rsid w:val="00110C36"/>
    <w:rsid w:val="001131D5"/>
    <w:rsid w:val="00121A39"/>
    <w:rsid w:val="00141DB8"/>
    <w:rsid w:val="00172084"/>
    <w:rsid w:val="0017474A"/>
    <w:rsid w:val="001758C6"/>
    <w:rsid w:val="001820EC"/>
    <w:rsid w:val="00182B99"/>
    <w:rsid w:val="001B5355"/>
    <w:rsid w:val="001C1525"/>
    <w:rsid w:val="001D26A9"/>
    <w:rsid w:val="002120B6"/>
    <w:rsid w:val="0021332C"/>
    <w:rsid w:val="00213982"/>
    <w:rsid w:val="002419AA"/>
    <w:rsid w:val="0024416D"/>
    <w:rsid w:val="00271911"/>
    <w:rsid w:val="00274378"/>
    <w:rsid w:val="002800A0"/>
    <w:rsid w:val="002801B3"/>
    <w:rsid w:val="00281060"/>
    <w:rsid w:val="00287652"/>
    <w:rsid w:val="002940E8"/>
    <w:rsid w:val="00294751"/>
    <w:rsid w:val="002A6E50"/>
    <w:rsid w:val="002B4298"/>
    <w:rsid w:val="002B7A36"/>
    <w:rsid w:val="002C256A"/>
    <w:rsid w:val="002D4214"/>
    <w:rsid w:val="002D4E5B"/>
    <w:rsid w:val="00305A7F"/>
    <w:rsid w:val="003152FE"/>
    <w:rsid w:val="00327436"/>
    <w:rsid w:val="00344BD6"/>
    <w:rsid w:val="0035528D"/>
    <w:rsid w:val="00361821"/>
    <w:rsid w:val="00361E9E"/>
    <w:rsid w:val="00386BD1"/>
    <w:rsid w:val="003A29D8"/>
    <w:rsid w:val="003C7FBE"/>
    <w:rsid w:val="003D227C"/>
    <w:rsid w:val="003D2B4D"/>
    <w:rsid w:val="00431177"/>
    <w:rsid w:val="0043533F"/>
    <w:rsid w:val="00444A88"/>
    <w:rsid w:val="00474DA4"/>
    <w:rsid w:val="00476522"/>
    <w:rsid w:val="00476B4D"/>
    <w:rsid w:val="004805FA"/>
    <w:rsid w:val="00487942"/>
    <w:rsid w:val="004931A0"/>
    <w:rsid w:val="004935D2"/>
    <w:rsid w:val="004A04FC"/>
    <w:rsid w:val="004B1215"/>
    <w:rsid w:val="004D047D"/>
    <w:rsid w:val="004E7C49"/>
    <w:rsid w:val="004F1E9E"/>
    <w:rsid w:val="004F305A"/>
    <w:rsid w:val="004F61A1"/>
    <w:rsid w:val="00512164"/>
    <w:rsid w:val="00520297"/>
    <w:rsid w:val="00530137"/>
    <w:rsid w:val="005338F9"/>
    <w:rsid w:val="0054281C"/>
    <w:rsid w:val="00544581"/>
    <w:rsid w:val="0055268D"/>
    <w:rsid w:val="00576BE4"/>
    <w:rsid w:val="005779DB"/>
    <w:rsid w:val="005A400A"/>
    <w:rsid w:val="005B1893"/>
    <w:rsid w:val="005B1DB1"/>
    <w:rsid w:val="005F7B92"/>
    <w:rsid w:val="00612379"/>
    <w:rsid w:val="006153B6"/>
    <w:rsid w:val="0061555F"/>
    <w:rsid w:val="00636CA6"/>
    <w:rsid w:val="00641200"/>
    <w:rsid w:val="00645CA8"/>
    <w:rsid w:val="006655D3"/>
    <w:rsid w:val="00667404"/>
    <w:rsid w:val="00687EB4"/>
    <w:rsid w:val="00695C56"/>
    <w:rsid w:val="006A5CDE"/>
    <w:rsid w:val="006A6420"/>
    <w:rsid w:val="006A644A"/>
    <w:rsid w:val="006B17D2"/>
    <w:rsid w:val="006C224E"/>
    <w:rsid w:val="006D780A"/>
    <w:rsid w:val="006F6560"/>
    <w:rsid w:val="0071271E"/>
    <w:rsid w:val="00732DEC"/>
    <w:rsid w:val="00735BD5"/>
    <w:rsid w:val="00744A71"/>
    <w:rsid w:val="007451EC"/>
    <w:rsid w:val="00751613"/>
    <w:rsid w:val="00753EE9"/>
    <w:rsid w:val="0075496C"/>
    <w:rsid w:val="007556F6"/>
    <w:rsid w:val="00760EEF"/>
    <w:rsid w:val="00771478"/>
    <w:rsid w:val="007717E8"/>
    <w:rsid w:val="00774E1A"/>
    <w:rsid w:val="00777EE5"/>
    <w:rsid w:val="00784836"/>
    <w:rsid w:val="0079023E"/>
    <w:rsid w:val="00794F35"/>
    <w:rsid w:val="007A2854"/>
    <w:rsid w:val="007B23AF"/>
    <w:rsid w:val="007B6A1B"/>
    <w:rsid w:val="007C1D92"/>
    <w:rsid w:val="007C4CB9"/>
    <w:rsid w:val="007D0B9D"/>
    <w:rsid w:val="007D19B0"/>
    <w:rsid w:val="007D52CE"/>
    <w:rsid w:val="007F3172"/>
    <w:rsid w:val="007F498F"/>
    <w:rsid w:val="0080679D"/>
    <w:rsid w:val="008108B0"/>
    <w:rsid w:val="00811B20"/>
    <w:rsid w:val="00812609"/>
    <w:rsid w:val="008211B5"/>
    <w:rsid w:val="0082296E"/>
    <w:rsid w:val="00824099"/>
    <w:rsid w:val="0083736B"/>
    <w:rsid w:val="00846D7C"/>
    <w:rsid w:val="00867AC1"/>
    <w:rsid w:val="00890DF8"/>
    <w:rsid w:val="008A743F"/>
    <w:rsid w:val="008C0970"/>
    <w:rsid w:val="008D0BC5"/>
    <w:rsid w:val="008D2CF7"/>
    <w:rsid w:val="008E7173"/>
    <w:rsid w:val="008F1467"/>
    <w:rsid w:val="00900C26"/>
    <w:rsid w:val="0090197F"/>
    <w:rsid w:val="00903264"/>
    <w:rsid w:val="00906DDC"/>
    <w:rsid w:val="00934E09"/>
    <w:rsid w:val="00936253"/>
    <w:rsid w:val="00940D46"/>
    <w:rsid w:val="00941A50"/>
    <w:rsid w:val="00952DD4"/>
    <w:rsid w:val="00965AE7"/>
    <w:rsid w:val="00970FED"/>
    <w:rsid w:val="00992D82"/>
    <w:rsid w:val="00996156"/>
    <w:rsid w:val="00997029"/>
    <w:rsid w:val="009A7339"/>
    <w:rsid w:val="009B440E"/>
    <w:rsid w:val="009D690D"/>
    <w:rsid w:val="009E65B6"/>
    <w:rsid w:val="009F054C"/>
    <w:rsid w:val="009F4E42"/>
    <w:rsid w:val="009F77CF"/>
    <w:rsid w:val="00A13508"/>
    <w:rsid w:val="00A24C10"/>
    <w:rsid w:val="00A42AC3"/>
    <w:rsid w:val="00A430CF"/>
    <w:rsid w:val="00A52919"/>
    <w:rsid w:val="00A54309"/>
    <w:rsid w:val="00A67CF1"/>
    <w:rsid w:val="00A8041A"/>
    <w:rsid w:val="00A80F2A"/>
    <w:rsid w:val="00A86683"/>
    <w:rsid w:val="00AB2B93"/>
    <w:rsid w:val="00AB530F"/>
    <w:rsid w:val="00AB7E5B"/>
    <w:rsid w:val="00AC2883"/>
    <w:rsid w:val="00AC60F7"/>
    <w:rsid w:val="00AD3914"/>
    <w:rsid w:val="00AE0EF1"/>
    <w:rsid w:val="00AE2937"/>
    <w:rsid w:val="00AE785E"/>
    <w:rsid w:val="00AF4192"/>
    <w:rsid w:val="00AF7E55"/>
    <w:rsid w:val="00B07301"/>
    <w:rsid w:val="00B11F3E"/>
    <w:rsid w:val="00B224DE"/>
    <w:rsid w:val="00B324D4"/>
    <w:rsid w:val="00B4260E"/>
    <w:rsid w:val="00B46575"/>
    <w:rsid w:val="00B6127B"/>
    <w:rsid w:val="00B61777"/>
    <w:rsid w:val="00B622E6"/>
    <w:rsid w:val="00B83B74"/>
    <w:rsid w:val="00B84BBD"/>
    <w:rsid w:val="00B91B4D"/>
    <w:rsid w:val="00BA43FB"/>
    <w:rsid w:val="00BC127D"/>
    <w:rsid w:val="00BC1FE6"/>
    <w:rsid w:val="00BF3607"/>
    <w:rsid w:val="00C061B6"/>
    <w:rsid w:val="00C1177E"/>
    <w:rsid w:val="00C2446C"/>
    <w:rsid w:val="00C36AE5"/>
    <w:rsid w:val="00C41F17"/>
    <w:rsid w:val="00C527FA"/>
    <w:rsid w:val="00C5280D"/>
    <w:rsid w:val="00C53EB3"/>
    <w:rsid w:val="00C5791C"/>
    <w:rsid w:val="00C66290"/>
    <w:rsid w:val="00C72B7A"/>
    <w:rsid w:val="00C84996"/>
    <w:rsid w:val="00C973F2"/>
    <w:rsid w:val="00CA304C"/>
    <w:rsid w:val="00CA7017"/>
    <w:rsid w:val="00CA774A"/>
    <w:rsid w:val="00CC11B0"/>
    <w:rsid w:val="00CC2841"/>
    <w:rsid w:val="00CF1330"/>
    <w:rsid w:val="00CF7E36"/>
    <w:rsid w:val="00D3708D"/>
    <w:rsid w:val="00D40426"/>
    <w:rsid w:val="00D57C96"/>
    <w:rsid w:val="00D57D18"/>
    <w:rsid w:val="00D91203"/>
    <w:rsid w:val="00D91A1D"/>
    <w:rsid w:val="00D95174"/>
    <w:rsid w:val="00DA481C"/>
    <w:rsid w:val="00DA4973"/>
    <w:rsid w:val="00DA6F36"/>
    <w:rsid w:val="00DB596E"/>
    <w:rsid w:val="00DB7773"/>
    <w:rsid w:val="00DC00EA"/>
    <w:rsid w:val="00DC3802"/>
    <w:rsid w:val="00DD6208"/>
    <w:rsid w:val="00DF49E8"/>
    <w:rsid w:val="00E07D87"/>
    <w:rsid w:val="00E249C8"/>
    <w:rsid w:val="00E32F7E"/>
    <w:rsid w:val="00E5267B"/>
    <w:rsid w:val="00E559F0"/>
    <w:rsid w:val="00E56DF6"/>
    <w:rsid w:val="00E63C0E"/>
    <w:rsid w:val="00E72D49"/>
    <w:rsid w:val="00E72EA1"/>
    <w:rsid w:val="00E7310C"/>
    <w:rsid w:val="00E7593C"/>
    <w:rsid w:val="00E7678A"/>
    <w:rsid w:val="00E935F1"/>
    <w:rsid w:val="00E94A81"/>
    <w:rsid w:val="00EA1FFB"/>
    <w:rsid w:val="00EB048E"/>
    <w:rsid w:val="00EB0E6B"/>
    <w:rsid w:val="00EB4E9C"/>
    <w:rsid w:val="00EE34DF"/>
    <w:rsid w:val="00EF2F89"/>
    <w:rsid w:val="00F03E98"/>
    <w:rsid w:val="00F1237A"/>
    <w:rsid w:val="00F22CBD"/>
    <w:rsid w:val="00F272F1"/>
    <w:rsid w:val="00F31412"/>
    <w:rsid w:val="00F45372"/>
    <w:rsid w:val="00F560F7"/>
    <w:rsid w:val="00F6334D"/>
    <w:rsid w:val="00F63599"/>
    <w:rsid w:val="00FA166A"/>
    <w:rsid w:val="00FA49AB"/>
    <w:rsid w:val="00FD24E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4A0CA2"/>
  <w15:docId w15:val="{51E8961B-4FB4-455F-84A8-86906B49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30137"/>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996156"/>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121A39"/>
    <w:pPr>
      <w:tabs>
        <w:tab w:val="right" w:leader="dot" w:pos="9639"/>
      </w:tabs>
      <w:spacing w:after="120"/>
      <w:ind w:left="284" w:right="851"/>
    </w:pPr>
    <w:rPr>
      <w:rFonts w:ascii="Arial" w:hAnsi="Arial"/>
    </w:rPr>
  </w:style>
  <w:style w:type="paragraph" w:styleId="TOC3">
    <w:name w:val="toc 3"/>
    <w:next w:val="Normal"/>
    <w:autoRedefine/>
    <w:uiPriority w:val="39"/>
    <w:qFormat/>
    <w:rsid w:val="00121A39"/>
    <w:pPr>
      <w:tabs>
        <w:tab w:val="right" w:leader="dot" w:pos="9639"/>
      </w:tabs>
      <w:spacing w:after="60"/>
      <w:ind w:left="567" w:right="113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121A39"/>
    <w:pPr>
      <w:tabs>
        <w:tab w:val="right" w:leader="dot" w:pos="9639"/>
      </w:tabs>
      <w:spacing w:after="60"/>
      <w:ind w:left="851" w:right="1134"/>
    </w:pPr>
    <w:rPr>
      <w:rFonts w:ascii="Arial" w:hAnsi="Arial"/>
      <w:sz w:val="18"/>
      <w:lang w:val="fr-FR"/>
    </w:rPr>
  </w:style>
  <w:style w:type="paragraph" w:styleId="TOC1">
    <w:name w:val="toc 1"/>
    <w:next w:val="Normal"/>
    <w:autoRedefine/>
    <w:uiPriority w:val="39"/>
    <w:qFormat/>
    <w:rsid w:val="00121A39"/>
    <w:pPr>
      <w:tabs>
        <w:tab w:val="right" w:leader="dot" w:pos="9639"/>
      </w:tabs>
      <w:spacing w:after="120"/>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4F61A1"/>
    <w:pPr>
      <w:spacing w:after="200" w:line="276" w:lineRule="auto"/>
      <w:ind w:left="720"/>
      <w:contextualSpacing/>
      <w:jc w:val="left"/>
    </w:pPr>
    <w:rPr>
      <w:rFonts w:eastAsiaTheme="minorEastAsia" w:cstheme="minorBidi"/>
      <w:szCs w:val="22"/>
    </w:rPr>
  </w:style>
  <w:style w:type="character" w:customStyle="1" w:styleId="Heading2Char">
    <w:name w:val="Heading 2 Char"/>
    <w:aliases w:val="VARIETY Char,variety Char"/>
    <w:basedOn w:val="DefaultParagraphFont"/>
    <w:link w:val="Heading2"/>
    <w:rsid w:val="004F61A1"/>
    <w:rPr>
      <w:rFonts w:ascii="Arial" w:hAnsi="Arial"/>
      <w:u w:val="single"/>
    </w:rPr>
  </w:style>
  <w:style w:type="character" w:customStyle="1" w:styleId="ListParagraphChar">
    <w:name w:val="List Paragraph Char"/>
    <w:aliases w:val="auto_list_(i) Char,List Paragraph1 Char"/>
    <w:basedOn w:val="DefaultParagraphFont"/>
    <w:link w:val="ListParagraph"/>
    <w:locked/>
    <w:rsid w:val="00FD24E3"/>
    <w:rPr>
      <w:rFonts w:ascii="Arial" w:eastAsiaTheme="minorEastAsia" w:hAnsi="Arial" w:cstheme="minorBidi"/>
      <w:szCs w:val="22"/>
    </w:rPr>
  </w:style>
  <w:style w:type="character" w:customStyle="1" w:styleId="Heading1Char">
    <w:name w:val="Heading 1 Char"/>
    <w:basedOn w:val="DefaultParagraphFont"/>
    <w:link w:val="Heading1"/>
    <w:rsid w:val="00530137"/>
    <w:rPr>
      <w:rFonts w:ascii="Arial" w:hAnsi="Arial"/>
      <w:caps/>
    </w:rPr>
  </w:style>
  <w:style w:type="character" w:customStyle="1" w:styleId="Heading3Char">
    <w:name w:val="Heading 3 Char"/>
    <w:aliases w:val="Heading 3 Scientific Name Char"/>
    <w:basedOn w:val="DefaultParagraphFont"/>
    <w:link w:val="Heading3"/>
    <w:rsid w:val="00996156"/>
    <w:rPr>
      <w:rFonts w:ascii="Arial" w:hAnsi="Arial"/>
      <w:i/>
    </w:rPr>
  </w:style>
  <w:style w:type="character" w:customStyle="1" w:styleId="HeaderChar">
    <w:name w:val="Header Char"/>
    <w:basedOn w:val="DefaultParagraphFont"/>
    <w:link w:val="Header"/>
    <w:rsid w:val="00996156"/>
    <w:rPr>
      <w:rFonts w:ascii="Arial" w:hAnsi="Arial"/>
      <w:lang w:val="fr-FR"/>
    </w:rPr>
  </w:style>
  <w:style w:type="character" w:customStyle="1" w:styleId="FootnoteTextChar">
    <w:name w:val="Footnote Text Char"/>
    <w:basedOn w:val="DefaultParagraphFont"/>
    <w:link w:val="FootnoteText"/>
    <w:rsid w:val="00EB0E6B"/>
    <w:rPr>
      <w:rFonts w:ascii="Arial" w:hAnsi="Arial"/>
      <w:sz w:val="16"/>
    </w:rPr>
  </w:style>
  <w:style w:type="table" w:styleId="TableGrid">
    <w:name w:val="Table Grid"/>
    <w:basedOn w:val="TableNormal"/>
    <w:rsid w:val="00EB0E6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6397">
      <w:bodyDiv w:val="1"/>
      <w:marLeft w:val="0"/>
      <w:marRight w:val="0"/>
      <w:marTop w:val="0"/>
      <w:marBottom w:val="0"/>
      <w:divBdr>
        <w:top w:val="none" w:sz="0" w:space="0" w:color="auto"/>
        <w:left w:val="none" w:sz="0" w:space="0" w:color="auto"/>
        <w:bottom w:val="none" w:sz="0" w:space="0" w:color="auto"/>
        <w:right w:val="none" w:sz="0" w:space="0" w:color="auto"/>
      </w:divBdr>
    </w:div>
    <w:div w:id="548683820">
      <w:bodyDiv w:val="1"/>
      <w:marLeft w:val="0"/>
      <w:marRight w:val="0"/>
      <w:marTop w:val="0"/>
      <w:marBottom w:val="0"/>
      <w:divBdr>
        <w:top w:val="none" w:sz="0" w:space="0" w:color="auto"/>
        <w:left w:val="none" w:sz="0" w:space="0" w:color="auto"/>
        <w:bottom w:val="none" w:sz="0" w:space="0" w:color="auto"/>
        <w:right w:val="none" w:sz="0" w:space="0" w:color="auto"/>
      </w:divBdr>
    </w:div>
    <w:div w:id="864950306">
      <w:bodyDiv w:val="1"/>
      <w:marLeft w:val="0"/>
      <w:marRight w:val="0"/>
      <w:marTop w:val="0"/>
      <w:marBottom w:val="0"/>
      <w:divBdr>
        <w:top w:val="none" w:sz="0" w:space="0" w:color="auto"/>
        <w:left w:val="none" w:sz="0" w:space="0" w:color="auto"/>
        <w:bottom w:val="none" w:sz="0" w:space="0" w:color="auto"/>
        <w:right w:val="none" w:sz="0" w:space="0" w:color="auto"/>
      </w:divBdr>
    </w:div>
    <w:div w:id="1038433379">
      <w:bodyDiv w:val="1"/>
      <w:marLeft w:val="0"/>
      <w:marRight w:val="0"/>
      <w:marTop w:val="0"/>
      <w:marBottom w:val="0"/>
      <w:divBdr>
        <w:top w:val="none" w:sz="0" w:space="0" w:color="auto"/>
        <w:left w:val="none" w:sz="0" w:space="0" w:color="auto"/>
        <w:bottom w:val="none" w:sz="0" w:space="0" w:color="auto"/>
        <w:right w:val="none" w:sz="0" w:space="0" w:color="auto"/>
      </w:divBdr>
    </w:div>
    <w:div w:id="1069619929">
      <w:bodyDiv w:val="1"/>
      <w:marLeft w:val="0"/>
      <w:marRight w:val="0"/>
      <w:marTop w:val="0"/>
      <w:marBottom w:val="0"/>
      <w:divBdr>
        <w:top w:val="none" w:sz="0" w:space="0" w:color="auto"/>
        <w:left w:val="none" w:sz="0" w:space="0" w:color="auto"/>
        <w:bottom w:val="none" w:sz="0" w:space="0" w:color="auto"/>
        <w:right w:val="none" w:sz="0" w:space="0" w:color="auto"/>
      </w:divBdr>
    </w:div>
    <w:div w:id="1086918801">
      <w:bodyDiv w:val="1"/>
      <w:marLeft w:val="0"/>
      <w:marRight w:val="0"/>
      <w:marTop w:val="0"/>
      <w:marBottom w:val="0"/>
      <w:divBdr>
        <w:top w:val="none" w:sz="0" w:space="0" w:color="auto"/>
        <w:left w:val="none" w:sz="0" w:space="0" w:color="auto"/>
        <w:bottom w:val="none" w:sz="0" w:space="0" w:color="auto"/>
        <w:right w:val="none" w:sz="0" w:space="0" w:color="auto"/>
      </w:divBdr>
    </w:div>
    <w:div w:id="1303582405">
      <w:bodyDiv w:val="1"/>
      <w:marLeft w:val="0"/>
      <w:marRight w:val="0"/>
      <w:marTop w:val="0"/>
      <w:marBottom w:val="0"/>
      <w:divBdr>
        <w:top w:val="none" w:sz="0" w:space="0" w:color="auto"/>
        <w:left w:val="none" w:sz="0" w:space="0" w:color="auto"/>
        <w:bottom w:val="none" w:sz="0" w:space="0" w:color="auto"/>
        <w:right w:val="none" w:sz="0" w:space="0" w:color="auto"/>
      </w:divBdr>
    </w:div>
    <w:div w:id="1423721625">
      <w:bodyDiv w:val="1"/>
      <w:marLeft w:val="0"/>
      <w:marRight w:val="0"/>
      <w:marTop w:val="0"/>
      <w:marBottom w:val="0"/>
      <w:divBdr>
        <w:top w:val="none" w:sz="0" w:space="0" w:color="auto"/>
        <w:left w:val="none" w:sz="0" w:space="0" w:color="auto"/>
        <w:bottom w:val="none" w:sz="0" w:space="0" w:color="auto"/>
        <w:right w:val="none" w:sz="0" w:space="0" w:color="auto"/>
      </w:divBdr>
    </w:div>
    <w:div w:id="1703746548">
      <w:bodyDiv w:val="1"/>
      <w:marLeft w:val="0"/>
      <w:marRight w:val="0"/>
      <w:marTop w:val="0"/>
      <w:marBottom w:val="0"/>
      <w:divBdr>
        <w:top w:val="none" w:sz="0" w:space="0" w:color="auto"/>
        <w:left w:val="none" w:sz="0" w:space="0" w:color="auto"/>
        <w:bottom w:val="none" w:sz="0" w:space="0" w:color="auto"/>
        <w:right w:val="none" w:sz="0" w:space="0" w:color="auto"/>
      </w:divBdr>
    </w:div>
    <w:div w:id="1772895522">
      <w:bodyDiv w:val="1"/>
      <w:marLeft w:val="0"/>
      <w:marRight w:val="0"/>
      <w:marTop w:val="0"/>
      <w:marBottom w:val="0"/>
      <w:divBdr>
        <w:top w:val="none" w:sz="0" w:space="0" w:color="auto"/>
        <w:left w:val="none" w:sz="0" w:space="0" w:color="auto"/>
        <w:bottom w:val="none" w:sz="0" w:space="0" w:color="auto"/>
        <w:right w:val="none" w:sz="0" w:space="0" w:color="auto"/>
      </w:divBdr>
    </w:div>
    <w:div w:id="214624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pov.mail@upov.i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caj_77_EN</Template>
  <TotalTime>23</TotalTime>
  <Pages>10</Pages>
  <Words>3311</Words>
  <Characters>19935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CAJ/77</vt:lpstr>
    </vt:vector>
  </TitlesOfParts>
  <Company>UPOV</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dc:title>
  <dc:creator>SANTOS Carla Marina</dc:creator>
  <cp:lastModifiedBy>SANTOS Carla Marina</cp:lastModifiedBy>
  <cp:revision>11</cp:revision>
  <cp:lastPrinted>2020-10-27T22:23:00Z</cp:lastPrinted>
  <dcterms:created xsi:type="dcterms:W3CDTF">2020-10-27T20:28:00Z</dcterms:created>
  <dcterms:modified xsi:type="dcterms:W3CDTF">2020-10-27T22:24:00Z</dcterms:modified>
</cp:coreProperties>
</file>