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043D7" w:rsidRDefault="00B622E6" w:rsidP="00AC2883">
            <w:pPr>
              <w:pStyle w:val="Sessiontc"/>
              <w:spacing w:line="240" w:lineRule="auto"/>
            </w:pPr>
            <w:r w:rsidRPr="004043D7">
              <w:t>Administrative and Legal</w:t>
            </w:r>
            <w:r w:rsidR="00EB4E9C" w:rsidRPr="004043D7">
              <w:t xml:space="preserve"> Committee</w:t>
            </w:r>
          </w:p>
          <w:p w:rsidR="00EB4E9C" w:rsidRPr="004043D7" w:rsidRDefault="00B622E6" w:rsidP="00F31412">
            <w:pPr>
              <w:pStyle w:val="Sessiontcplacedate"/>
              <w:rPr>
                <w:sz w:val="22"/>
              </w:rPr>
            </w:pPr>
            <w:r w:rsidRPr="004043D7">
              <w:t>Seventy-</w:t>
            </w:r>
            <w:r w:rsidR="00F31412" w:rsidRPr="004043D7">
              <w:t>Six</w:t>
            </w:r>
            <w:r w:rsidR="00110BED" w:rsidRPr="004043D7">
              <w:t>th</w:t>
            </w:r>
            <w:r w:rsidR="00EB4E9C" w:rsidRPr="004043D7">
              <w:t xml:space="preserve"> Session</w:t>
            </w:r>
            <w:r w:rsidR="00EB4E9C" w:rsidRPr="004043D7">
              <w:br/>
              <w:t xml:space="preserve">Geneva, </w:t>
            </w:r>
            <w:r w:rsidRPr="004043D7">
              <w:t>October 3</w:t>
            </w:r>
            <w:r w:rsidR="00F31412" w:rsidRPr="004043D7">
              <w:t>0, 2019</w:t>
            </w:r>
          </w:p>
        </w:tc>
        <w:tc>
          <w:tcPr>
            <w:tcW w:w="3127" w:type="dxa"/>
          </w:tcPr>
          <w:p w:rsidR="00EB4E9C" w:rsidRPr="004043D7" w:rsidRDefault="00F31412" w:rsidP="003C7FBE">
            <w:pPr>
              <w:pStyle w:val="Doccode"/>
            </w:pPr>
            <w:r w:rsidRPr="004043D7">
              <w:t>CAJ</w:t>
            </w:r>
            <w:r w:rsidR="00A75A38" w:rsidRPr="004043D7">
              <w:t>/76/5</w:t>
            </w:r>
          </w:p>
          <w:p w:rsidR="00EB4E9C" w:rsidRPr="004043D7" w:rsidRDefault="00EB4E9C" w:rsidP="003C7FBE">
            <w:pPr>
              <w:pStyle w:val="Docoriginal"/>
            </w:pPr>
            <w:r w:rsidRPr="004043D7">
              <w:t>Original:</w:t>
            </w:r>
            <w:r w:rsidRPr="004043D7">
              <w:rPr>
                <w:b w:val="0"/>
                <w:spacing w:val="0"/>
              </w:rPr>
              <w:t xml:space="preserve">  English</w:t>
            </w:r>
          </w:p>
          <w:p w:rsidR="00EB4E9C" w:rsidRPr="007C1D92" w:rsidRDefault="00EB4E9C" w:rsidP="004043D7">
            <w:pPr>
              <w:pStyle w:val="Docoriginal"/>
            </w:pPr>
            <w:r w:rsidRPr="004043D7">
              <w:t>Date:</w:t>
            </w:r>
            <w:r w:rsidRPr="004043D7">
              <w:rPr>
                <w:b w:val="0"/>
                <w:spacing w:val="0"/>
              </w:rPr>
              <w:t xml:space="preserve">  </w:t>
            </w:r>
            <w:r w:rsidR="005755F0" w:rsidRPr="004043D7">
              <w:rPr>
                <w:b w:val="0"/>
                <w:spacing w:val="0"/>
              </w:rPr>
              <w:t xml:space="preserve">July </w:t>
            </w:r>
            <w:r w:rsidR="004043D7" w:rsidRPr="004043D7">
              <w:rPr>
                <w:b w:val="0"/>
                <w:spacing w:val="0"/>
              </w:rPr>
              <w:t>23</w:t>
            </w:r>
            <w:r w:rsidR="00273B07" w:rsidRPr="004043D7">
              <w:rPr>
                <w:b w:val="0"/>
                <w:spacing w:val="0"/>
              </w:rPr>
              <w:t>, 2019</w:t>
            </w:r>
          </w:p>
        </w:tc>
      </w:tr>
    </w:tbl>
    <w:p w:rsidR="000D7780" w:rsidRPr="006A644A" w:rsidRDefault="00A75A38" w:rsidP="006A644A">
      <w:pPr>
        <w:pStyle w:val="Titleofdoc0"/>
      </w:pPr>
      <w:bookmarkStart w:id="0" w:name="TitleOfDoc"/>
      <w:bookmarkEnd w:id="0"/>
      <w:r w:rsidRPr="00A75A38">
        <w:t>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73B07" w:rsidRPr="00273B07" w:rsidRDefault="00273B07" w:rsidP="00273B07">
      <w:pPr>
        <w:keepNext/>
        <w:outlineLvl w:val="0"/>
        <w:rPr>
          <w:caps/>
          <w:snapToGrid w:val="0"/>
        </w:rPr>
      </w:pPr>
      <w:bookmarkStart w:id="2" w:name="_Toc481744310"/>
      <w:bookmarkStart w:id="3" w:name="_Toc15566514"/>
      <w:r w:rsidRPr="00273B07">
        <w:rPr>
          <w:caps/>
          <w:snapToGrid w:val="0"/>
        </w:rPr>
        <w:t>EXECUTIVE SUMMARY</w:t>
      </w:r>
      <w:bookmarkEnd w:id="2"/>
      <w:bookmarkEnd w:id="3"/>
    </w:p>
    <w:p w:rsidR="00273B07" w:rsidRPr="00273B07" w:rsidRDefault="00273B07" w:rsidP="00273B07">
      <w:pPr>
        <w:rPr>
          <w:snapToGrid w:val="0"/>
        </w:rPr>
      </w:pPr>
    </w:p>
    <w:p w:rsidR="00273B07" w:rsidRDefault="00273B07" w:rsidP="00273B07">
      <w:r w:rsidRPr="00273B07">
        <w:rPr>
          <w:snapToGrid w:val="0"/>
        </w:rPr>
        <w:fldChar w:fldCharType="begin"/>
      </w:r>
      <w:r w:rsidRPr="00273B07">
        <w:rPr>
          <w:snapToGrid w:val="0"/>
        </w:rPr>
        <w:instrText xml:space="preserve"> AUTONUM  </w:instrText>
      </w:r>
      <w:r w:rsidRPr="00273B07">
        <w:rPr>
          <w:snapToGrid w:val="0"/>
        </w:rPr>
        <w:fldChar w:fldCharType="end"/>
      </w:r>
      <w:r w:rsidRPr="00273B07">
        <w:rPr>
          <w:snapToGrid w:val="0"/>
        </w:rPr>
        <w:tab/>
      </w:r>
      <w:r w:rsidRPr="00273B07">
        <w:t xml:space="preserve">The purpose of this document is to report on developments concerning TGP documents and to provide information to assist the CAJ in its consideration of </w:t>
      </w:r>
      <w:r w:rsidR="004C3068">
        <w:t xml:space="preserve">the following </w:t>
      </w:r>
      <w:r w:rsidRPr="00273B07">
        <w:t>documents as the basis for their adoption by the Council, at its fifty-third ordinary session, to be held in Geneva on November 1, 2019</w:t>
      </w:r>
      <w:r w:rsidR="004C3068">
        <w:t xml:space="preserve">: </w:t>
      </w:r>
    </w:p>
    <w:p w:rsidR="004C3068" w:rsidRDefault="004C3068" w:rsidP="00273B07"/>
    <w:p w:rsidR="004C3068" w:rsidRDefault="004C3068" w:rsidP="002E39F3">
      <w:pPr>
        <w:pStyle w:val="ListParagraph"/>
        <w:numPr>
          <w:ilvl w:val="0"/>
          <w:numId w:val="16"/>
        </w:numPr>
        <w:tabs>
          <w:tab w:val="left" w:pos="1701"/>
        </w:tabs>
        <w:ind w:left="1134" w:hanging="567"/>
      </w:pPr>
      <w:r w:rsidRPr="00635DA0">
        <w:t>TGP/7/</w:t>
      </w:r>
      <w:r>
        <w:t>7</w:t>
      </w:r>
      <w:r w:rsidRPr="00635DA0">
        <w:t> Draft </w:t>
      </w:r>
      <w:r>
        <w:t xml:space="preserve">1 </w:t>
      </w:r>
      <w:r w:rsidRPr="00635DA0">
        <w:t>“Development of Test</w:t>
      </w:r>
      <w:r>
        <w:t> </w:t>
      </w:r>
      <w:r w:rsidRPr="00635DA0">
        <w:t>Guidelines”</w:t>
      </w:r>
      <w:r>
        <w:t>;</w:t>
      </w:r>
    </w:p>
    <w:p w:rsidR="004C3068" w:rsidRDefault="004C3068" w:rsidP="002E39F3">
      <w:pPr>
        <w:pStyle w:val="ListParagraph"/>
        <w:numPr>
          <w:ilvl w:val="0"/>
          <w:numId w:val="16"/>
        </w:numPr>
        <w:tabs>
          <w:tab w:val="left" w:pos="1701"/>
        </w:tabs>
        <w:ind w:left="1134" w:hanging="567"/>
      </w:pPr>
      <w:r>
        <w:t xml:space="preserve">TGP/8/4 </w:t>
      </w:r>
      <w:r w:rsidRPr="00635DA0">
        <w:t>Draft </w:t>
      </w:r>
      <w:r>
        <w:t>1 “</w:t>
      </w:r>
      <w:r w:rsidRPr="004C3068">
        <w:t>Trial Design and Techniques Used in the Examination of Distinctness, Uniformity and Stability</w:t>
      </w:r>
      <w:r w:rsidR="002E39F3">
        <w:t>”</w:t>
      </w:r>
    </w:p>
    <w:p w:rsidR="004C3068" w:rsidRDefault="004C3068" w:rsidP="002E39F3">
      <w:pPr>
        <w:pStyle w:val="ListParagraph"/>
        <w:numPr>
          <w:ilvl w:val="0"/>
          <w:numId w:val="16"/>
        </w:numPr>
        <w:tabs>
          <w:tab w:val="left" w:pos="1701"/>
        </w:tabs>
        <w:ind w:left="1134" w:hanging="567"/>
      </w:pPr>
      <w:r w:rsidRPr="004C3068">
        <w:t>TGP/10</w:t>
      </w:r>
      <w:r w:rsidR="002E39F3">
        <w:t>/2 Draft 1 “</w:t>
      </w:r>
      <w:r w:rsidRPr="004C3068">
        <w:t>Examining Uniformity</w:t>
      </w:r>
      <w:r w:rsidR="002E39F3">
        <w:t>”</w:t>
      </w:r>
    </w:p>
    <w:p w:rsidR="002E39F3" w:rsidRDefault="002E39F3" w:rsidP="002E39F3">
      <w:pPr>
        <w:pStyle w:val="ListParagraph"/>
        <w:numPr>
          <w:ilvl w:val="0"/>
          <w:numId w:val="16"/>
        </w:numPr>
        <w:tabs>
          <w:tab w:val="left" w:pos="1701"/>
        </w:tabs>
        <w:ind w:left="1134" w:hanging="567"/>
      </w:pPr>
      <w:r w:rsidRPr="002E39F3">
        <w:t>TGP/14</w:t>
      </w:r>
      <w:r>
        <w:t>/4</w:t>
      </w:r>
      <w:r w:rsidRPr="002E39F3">
        <w:t xml:space="preserve"> </w:t>
      </w:r>
      <w:r>
        <w:t>Draft 1 “</w:t>
      </w:r>
      <w:r w:rsidRPr="002E39F3">
        <w:t>Glossary of Terms Used in UPOV Documents</w:t>
      </w:r>
      <w:r>
        <w:t>”</w:t>
      </w:r>
    </w:p>
    <w:p w:rsidR="002E39F3" w:rsidRDefault="002E39F3" w:rsidP="002E39F3">
      <w:pPr>
        <w:pStyle w:val="ListParagraph"/>
        <w:numPr>
          <w:ilvl w:val="0"/>
          <w:numId w:val="16"/>
        </w:numPr>
        <w:tabs>
          <w:tab w:val="left" w:pos="1701"/>
        </w:tabs>
        <w:ind w:left="1134" w:hanging="567"/>
      </w:pPr>
      <w:r w:rsidRPr="002E39F3">
        <w:t>TGP/15</w:t>
      </w:r>
      <w:r>
        <w:t>/2 Draft 2 “</w:t>
      </w:r>
      <w:r w:rsidRPr="002E39F3">
        <w:t>Guidance on the Use of Biochemical and Molecular Markers in the Examination of Distinctness, Uniformity and Stability (DUS)</w:t>
      </w:r>
      <w:r>
        <w:t>”</w:t>
      </w:r>
    </w:p>
    <w:p w:rsidR="002E39F3" w:rsidRDefault="002E39F3" w:rsidP="002E39F3">
      <w:pPr>
        <w:pStyle w:val="ListParagraph"/>
        <w:numPr>
          <w:ilvl w:val="0"/>
          <w:numId w:val="16"/>
        </w:numPr>
        <w:tabs>
          <w:tab w:val="left" w:pos="1701"/>
        </w:tabs>
        <w:ind w:left="1134" w:hanging="567"/>
      </w:pPr>
      <w:r>
        <w:t>TGP/0/11 Draft 1 “</w:t>
      </w:r>
      <w:r w:rsidRPr="002E39F3">
        <w:t>List of TGP documents and latest issue dates</w:t>
      </w:r>
      <w:r>
        <w:t>”</w:t>
      </w:r>
    </w:p>
    <w:p w:rsidR="00273B07" w:rsidRPr="00635DA0" w:rsidRDefault="00273B07" w:rsidP="00273B07"/>
    <w:p w:rsidR="00273B07" w:rsidRPr="0096021B" w:rsidRDefault="00273B07" w:rsidP="00273B07">
      <w:r w:rsidRPr="0096021B">
        <w:fldChar w:fldCharType="begin"/>
      </w:r>
      <w:r w:rsidRPr="0096021B">
        <w:instrText xml:space="preserve"> AUTONUM  </w:instrText>
      </w:r>
      <w:r w:rsidRPr="0096021B">
        <w:fldChar w:fldCharType="end"/>
      </w:r>
      <w:r w:rsidRPr="0096021B">
        <w:tab/>
      </w:r>
      <w:r w:rsidR="006F6881" w:rsidRPr="006F6881">
        <w:t>Taking into account the conclusions of the Technical Committee at its fifty-fifth session</w:t>
      </w:r>
      <w:bookmarkStart w:id="4" w:name="_Ref13574983"/>
      <w:r w:rsidR="006F6881" w:rsidRPr="006F6881">
        <w:rPr>
          <w:rStyle w:val="FootnoteReference"/>
        </w:rPr>
        <w:footnoteReference w:id="2"/>
      </w:r>
      <w:bookmarkEnd w:id="4"/>
      <w:r w:rsidR="006F6881" w:rsidRPr="006F6881">
        <w:t>, t</w:t>
      </w:r>
      <w:r w:rsidRPr="006F6881">
        <w:t>he</w:t>
      </w:r>
      <w:r w:rsidRPr="0096021B">
        <w:t xml:space="preserve"> CAJ is invited to:</w:t>
      </w:r>
    </w:p>
    <w:p w:rsidR="00273B07" w:rsidRPr="0096021B" w:rsidRDefault="00273B07" w:rsidP="00273B07"/>
    <w:p w:rsidR="00273B07" w:rsidRPr="0096021B" w:rsidRDefault="00273B07" w:rsidP="00273B07">
      <w:pPr>
        <w:tabs>
          <w:tab w:val="left" w:pos="1134"/>
        </w:tabs>
        <w:ind w:firstLine="567"/>
      </w:pPr>
      <w:r w:rsidRPr="0096021B">
        <w:t>(a)</w:t>
      </w:r>
      <w:r w:rsidRPr="0096021B">
        <w:tab/>
      </w:r>
      <w:r w:rsidR="00027ED8">
        <w:t xml:space="preserve">consider the </w:t>
      </w:r>
      <w:r w:rsidR="00027ED8" w:rsidRPr="00254FA7">
        <w:t>revision of document TGP/7 “Development of Test Guidelines”</w:t>
      </w:r>
      <w:r w:rsidR="00027ED8">
        <w:t xml:space="preserve"> </w:t>
      </w:r>
      <w:r w:rsidR="00027ED8" w:rsidRPr="00E11CE2">
        <w:t>(document TGP/7/7)</w:t>
      </w:r>
      <w:r w:rsidR="00027ED8" w:rsidRPr="00254FA7">
        <w:t>, on the bas</w:t>
      </w:r>
      <w:r w:rsidR="00027ED8">
        <w:t>is of document TGP/7/7 Draft 1</w:t>
      </w:r>
      <w:r w:rsidRPr="0096021B">
        <w:t>;</w:t>
      </w:r>
    </w:p>
    <w:p w:rsidR="00273B07" w:rsidRPr="0096021B" w:rsidRDefault="00273B07" w:rsidP="00273B07">
      <w:pPr>
        <w:tabs>
          <w:tab w:val="left" w:pos="1134"/>
        </w:tabs>
        <w:ind w:firstLine="567"/>
      </w:pPr>
    </w:p>
    <w:p w:rsidR="00273B07" w:rsidRPr="0096021B" w:rsidRDefault="00273B07" w:rsidP="00273B07">
      <w:pPr>
        <w:tabs>
          <w:tab w:val="left" w:pos="1134"/>
        </w:tabs>
        <w:ind w:firstLine="567"/>
      </w:pPr>
      <w:r w:rsidRPr="0096021B">
        <w:t>(b)</w:t>
      </w:r>
      <w:r w:rsidRPr="0096021B">
        <w:tab/>
      </w:r>
      <w:r w:rsidR="00027ED8">
        <w:t xml:space="preserve">consider the </w:t>
      </w:r>
      <w:r w:rsidR="00027ED8" w:rsidRPr="00254FA7">
        <w:t xml:space="preserve">revision of document </w:t>
      </w:r>
      <w:r w:rsidR="00027ED8">
        <w:t>TGP/8 “</w:t>
      </w:r>
      <w:r w:rsidR="00027ED8" w:rsidRPr="003E7167">
        <w:t>Trial Design and Techniques Used in the Examination of Distinctness, Uniformity and Stability</w:t>
      </w:r>
      <w:r w:rsidR="00027ED8">
        <w:t>” (</w:t>
      </w:r>
      <w:r w:rsidR="00027ED8" w:rsidRPr="00254FA7">
        <w:t xml:space="preserve">document </w:t>
      </w:r>
      <w:r w:rsidR="00027ED8">
        <w:t>TGP/8/3)</w:t>
      </w:r>
      <w:r w:rsidR="00027ED8" w:rsidRPr="00254FA7">
        <w:t>, on the bas</w:t>
      </w:r>
      <w:r w:rsidR="00027ED8">
        <w:t>is of document TGP/8/4 Draft 1</w:t>
      </w:r>
      <w:r w:rsidRPr="0096021B">
        <w:t>;</w:t>
      </w:r>
    </w:p>
    <w:p w:rsidR="002E39F3" w:rsidRPr="0096021B" w:rsidRDefault="002E39F3" w:rsidP="002E39F3">
      <w:pPr>
        <w:tabs>
          <w:tab w:val="left" w:pos="1134"/>
        </w:tabs>
        <w:ind w:firstLine="567"/>
      </w:pPr>
    </w:p>
    <w:p w:rsidR="002E39F3" w:rsidRPr="0096021B" w:rsidRDefault="002E39F3" w:rsidP="002E39F3">
      <w:pPr>
        <w:tabs>
          <w:tab w:val="left" w:pos="1134"/>
        </w:tabs>
        <w:ind w:firstLine="567"/>
      </w:pPr>
      <w:r w:rsidRPr="0096021B">
        <w:t>(</w:t>
      </w:r>
      <w:r>
        <w:t>c</w:t>
      </w:r>
      <w:r w:rsidRPr="0096021B">
        <w:t>)</w:t>
      </w:r>
      <w:r w:rsidRPr="0096021B">
        <w:tab/>
      </w:r>
      <w:r w:rsidR="00027ED8">
        <w:t xml:space="preserve">consider the </w:t>
      </w:r>
      <w:r w:rsidR="00027ED8" w:rsidRPr="00254FA7">
        <w:t xml:space="preserve">revision of document </w:t>
      </w:r>
      <w:r w:rsidR="00027ED8">
        <w:t>TGP/10 “</w:t>
      </w:r>
      <w:r w:rsidR="00027ED8" w:rsidRPr="003E7167">
        <w:t>Examin</w:t>
      </w:r>
      <w:r w:rsidR="00027ED8">
        <w:t>ing</w:t>
      </w:r>
      <w:r w:rsidR="00027ED8" w:rsidRPr="003E7167">
        <w:t xml:space="preserve"> Uniformity</w:t>
      </w:r>
      <w:r w:rsidR="00027ED8">
        <w:t>” (document TGP/10/1</w:t>
      </w:r>
      <w:r w:rsidR="00027ED8" w:rsidRPr="00254FA7">
        <w:t>,</w:t>
      </w:r>
      <w:r w:rsidR="00027ED8">
        <w:t>)</w:t>
      </w:r>
      <w:r w:rsidR="00027ED8" w:rsidRPr="00254FA7">
        <w:t xml:space="preserve"> on the bas</w:t>
      </w:r>
      <w:r w:rsidR="00027ED8">
        <w:t>is of document TGP/10/2 Draft 1</w:t>
      </w:r>
      <w:r w:rsidRPr="0096021B">
        <w:t>;</w:t>
      </w:r>
    </w:p>
    <w:p w:rsidR="002E39F3" w:rsidRPr="0096021B" w:rsidRDefault="002E39F3" w:rsidP="002E39F3">
      <w:pPr>
        <w:tabs>
          <w:tab w:val="left" w:pos="1134"/>
        </w:tabs>
        <w:ind w:firstLine="567"/>
      </w:pPr>
    </w:p>
    <w:p w:rsidR="002E39F3" w:rsidRPr="0096021B" w:rsidRDefault="002E39F3" w:rsidP="002E39F3">
      <w:pPr>
        <w:tabs>
          <w:tab w:val="left" w:pos="1134"/>
        </w:tabs>
        <w:ind w:firstLine="567"/>
      </w:pPr>
      <w:r w:rsidRPr="0096021B">
        <w:t>(</w:t>
      </w:r>
      <w:r>
        <w:t>d</w:t>
      </w:r>
      <w:r w:rsidRPr="0096021B">
        <w:t>)</w:t>
      </w:r>
      <w:r w:rsidRPr="0096021B">
        <w:tab/>
      </w:r>
      <w:r w:rsidR="00027ED8">
        <w:t xml:space="preserve">consider the </w:t>
      </w:r>
      <w:r w:rsidR="00027ED8" w:rsidRPr="00254FA7">
        <w:t xml:space="preserve">revision of document </w:t>
      </w:r>
      <w:r w:rsidR="00027ED8">
        <w:t>TGP/14 “</w:t>
      </w:r>
      <w:r w:rsidR="003650DF" w:rsidRPr="003650DF">
        <w:t>Glossary of Terms Used in UPOV Documents</w:t>
      </w:r>
      <w:r w:rsidR="00027ED8">
        <w:t>” (document TGP/14/3)</w:t>
      </w:r>
      <w:r w:rsidR="00027ED8" w:rsidRPr="00254FA7">
        <w:t>, on the bas</w:t>
      </w:r>
      <w:r w:rsidR="00027ED8">
        <w:t>is of document TGP/14/4 Draft 1</w:t>
      </w:r>
      <w:r w:rsidRPr="0096021B">
        <w:t>;</w:t>
      </w:r>
    </w:p>
    <w:p w:rsidR="002E39F3" w:rsidRPr="0096021B" w:rsidRDefault="002E39F3" w:rsidP="002E39F3">
      <w:pPr>
        <w:tabs>
          <w:tab w:val="left" w:pos="1134"/>
        </w:tabs>
        <w:ind w:firstLine="567"/>
      </w:pPr>
    </w:p>
    <w:p w:rsidR="002E39F3" w:rsidRPr="0096021B" w:rsidRDefault="002E39F3" w:rsidP="002E39F3">
      <w:pPr>
        <w:tabs>
          <w:tab w:val="left" w:pos="1134"/>
        </w:tabs>
        <w:ind w:firstLine="567"/>
      </w:pPr>
      <w:r w:rsidRPr="0096021B">
        <w:t>(</w:t>
      </w:r>
      <w:r>
        <w:t>e</w:t>
      </w:r>
      <w:r w:rsidRPr="0096021B">
        <w:t>)</w:t>
      </w:r>
      <w:r w:rsidRPr="0096021B">
        <w:tab/>
      </w:r>
      <w:r w:rsidR="00027ED8">
        <w:t xml:space="preserve">consider the </w:t>
      </w:r>
      <w:r w:rsidR="00027ED8" w:rsidRPr="00254FA7">
        <w:t xml:space="preserve">revision of document </w:t>
      </w:r>
      <w:r w:rsidR="00027ED8">
        <w:t xml:space="preserve">TGP/15 </w:t>
      </w:r>
      <w:r w:rsidR="00027ED8" w:rsidRPr="001239A8">
        <w:rPr>
          <w:caps/>
        </w:rPr>
        <w:t>“</w:t>
      </w:r>
      <w:r w:rsidR="00027ED8" w:rsidRPr="003E7167">
        <w:t>Guidance on the use of Biochemical and Molecular Markers in the examination of Distinctness, Uniformity and Stability (DUS)”</w:t>
      </w:r>
      <w:r w:rsidR="00027ED8">
        <w:t xml:space="preserve"> (document TGP/15/1)</w:t>
      </w:r>
      <w:r w:rsidR="00027ED8" w:rsidRPr="00254FA7">
        <w:t>, on the bas</w:t>
      </w:r>
      <w:r w:rsidR="00027ED8">
        <w:t>is of document TGP/15/2 Draft 2</w:t>
      </w:r>
      <w:r w:rsidRPr="0096021B">
        <w:t>;</w:t>
      </w:r>
    </w:p>
    <w:p w:rsidR="00273B07" w:rsidRPr="0096021B" w:rsidRDefault="00273B07" w:rsidP="00273B07">
      <w:pPr>
        <w:tabs>
          <w:tab w:val="left" w:pos="1134"/>
        </w:tabs>
        <w:ind w:firstLine="567"/>
      </w:pPr>
    </w:p>
    <w:p w:rsidR="00273B07" w:rsidRPr="0096021B" w:rsidRDefault="00273B07" w:rsidP="00273B07">
      <w:pPr>
        <w:tabs>
          <w:tab w:val="left" w:pos="1134"/>
        </w:tabs>
        <w:ind w:firstLine="567"/>
        <w:rPr>
          <w:rFonts w:cs="Arial"/>
        </w:rPr>
      </w:pPr>
      <w:r w:rsidRPr="0096021B">
        <w:t>(</w:t>
      </w:r>
      <w:r w:rsidR="002E39F3">
        <w:t>f</w:t>
      </w:r>
      <w:r w:rsidRPr="0096021B">
        <w:t>)</w:t>
      </w:r>
      <w:r w:rsidRPr="0096021B">
        <w:tab/>
        <w:t xml:space="preserve">note </w:t>
      </w:r>
      <w:r w:rsidRPr="0096021B">
        <w:rPr>
          <w:rFonts w:cs="Arial"/>
        </w:rPr>
        <w:t>that</w:t>
      </w:r>
      <w:r w:rsidR="00095E9B">
        <w:rPr>
          <w:rFonts w:cs="Arial"/>
        </w:rPr>
        <w:t>,</w:t>
      </w:r>
      <w:r w:rsidRPr="0096021B">
        <w:rPr>
          <w:rFonts w:cs="Arial"/>
        </w:rPr>
        <w:t xml:space="preserve"> in conjunction with the adoption of the revised TGP documents at the fift</w:t>
      </w:r>
      <w:r w:rsidR="007355B8">
        <w:rPr>
          <w:rFonts w:cs="Arial"/>
        </w:rPr>
        <w:t>y</w:t>
      </w:r>
      <w:r w:rsidR="007355B8">
        <w:rPr>
          <w:rFonts w:cs="Arial"/>
        </w:rPr>
        <w:noBreakHyphen/>
      </w:r>
      <w:r w:rsidR="002E39F3">
        <w:rPr>
          <w:rFonts w:cs="Arial"/>
        </w:rPr>
        <w:t>third</w:t>
      </w:r>
      <w:r w:rsidR="007355B8">
        <w:rPr>
          <w:rFonts w:cs="Arial"/>
        </w:rPr>
        <w:t> </w:t>
      </w:r>
      <w:r w:rsidRPr="0096021B">
        <w:rPr>
          <w:rFonts w:cs="Arial"/>
        </w:rPr>
        <w:t xml:space="preserve">ordinary session of the Council, the Council will be invited </w:t>
      </w:r>
      <w:r w:rsidR="007355B8">
        <w:rPr>
          <w:rFonts w:cs="Arial"/>
        </w:rPr>
        <w:t>to adopt a revision of document TGP/0 </w:t>
      </w:r>
      <w:r w:rsidRPr="0096021B">
        <w:rPr>
          <w:rFonts w:cs="Arial"/>
        </w:rPr>
        <w:t>“List of TGP documents and latest issue dates”</w:t>
      </w:r>
      <w:r w:rsidR="00230C3B">
        <w:rPr>
          <w:rFonts w:cs="Arial"/>
        </w:rPr>
        <w:t xml:space="preserve"> </w:t>
      </w:r>
      <w:r w:rsidR="00230C3B" w:rsidRPr="00230C3B">
        <w:rPr>
          <w:rFonts w:cs="Arial"/>
        </w:rPr>
        <w:t>(document TGP/0/10)</w:t>
      </w:r>
      <w:r w:rsidR="002E39F3" w:rsidRPr="00230C3B">
        <w:rPr>
          <w:rFonts w:cs="Arial"/>
        </w:rPr>
        <w:t>,</w:t>
      </w:r>
      <w:r w:rsidRPr="0096021B">
        <w:rPr>
          <w:rFonts w:cs="Arial"/>
        </w:rPr>
        <w:t xml:space="preserve"> on the basis of document TGP/0/1</w:t>
      </w:r>
      <w:r w:rsidR="002E39F3">
        <w:rPr>
          <w:rFonts w:cs="Arial"/>
        </w:rPr>
        <w:t>1</w:t>
      </w:r>
      <w:r w:rsidRPr="0096021B">
        <w:rPr>
          <w:rFonts w:cs="Arial"/>
        </w:rPr>
        <w:t xml:space="preserve"> Draft 1; and </w:t>
      </w:r>
    </w:p>
    <w:p w:rsidR="00273B07" w:rsidRPr="0096021B" w:rsidRDefault="00273B07" w:rsidP="00273B07">
      <w:pPr>
        <w:tabs>
          <w:tab w:val="left" w:pos="1134"/>
        </w:tabs>
        <w:ind w:firstLine="567"/>
        <w:rPr>
          <w:rFonts w:cs="Arial"/>
        </w:rPr>
      </w:pPr>
    </w:p>
    <w:p w:rsidR="00273B07" w:rsidRPr="0096021B" w:rsidRDefault="00273B07" w:rsidP="00273B07">
      <w:pPr>
        <w:tabs>
          <w:tab w:val="left" w:pos="1134"/>
        </w:tabs>
        <w:ind w:firstLine="567"/>
      </w:pPr>
      <w:r w:rsidRPr="0057143A">
        <w:t>(</w:t>
      </w:r>
      <w:r w:rsidR="002E39F3" w:rsidRPr="0057143A">
        <w:t>g</w:t>
      </w:r>
      <w:r w:rsidRPr="0057143A">
        <w:t>)</w:t>
      </w:r>
      <w:r w:rsidRPr="0057143A">
        <w:tab/>
        <w:t xml:space="preserve">consider the program for the development of TGP documents, as set out in </w:t>
      </w:r>
      <w:r w:rsidR="007355B8" w:rsidRPr="0057143A">
        <w:t xml:space="preserve">paragraphs </w:t>
      </w:r>
      <w:r w:rsidR="00033DC7" w:rsidRPr="0057143A">
        <w:t>3</w:t>
      </w:r>
      <w:r w:rsidR="0051462F" w:rsidRPr="0057143A">
        <w:t>8</w:t>
      </w:r>
      <w:r w:rsidR="007355B8" w:rsidRPr="0057143A">
        <w:t xml:space="preserve"> and </w:t>
      </w:r>
      <w:r w:rsidR="00033DC7" w:rsidRPr="0057143A">
        <w:t>3</w:t>
      </w:r>
      <w:r w:rsidR="0051462F" w:rsidRPr="0057143A">
        <w:t>9</w:t>
      </w:r>
      <w:r w:rsidR="00C07BC4" w:rsidRPr="0057143A">
        <w:t xml:space="preserve"> </w:t>
      </w:r>
      <w:r w:rsidR="00DE42A3" w:rsidRPr="0057143A">
        <w:t>of</w:t>
      </w:r>
      <w:r w:rsidRPr="0057143A">
        <w:t xml:space="preserve"> this document.</w:t>
      </w:r>
    </w:p>
    <w:p w:rsidR="00273B07" w:rsidRPr="0096021B" w:rsidRDefault="00273B07" w:rsidP="00273B07">
      <w:pPr>
        <w:tabs>
          <w:tab w:val="left" w:pos="1134"/>
        </w:tabs>
        <w:ind w:firstLine="567"/>
      </w:pPr>
    </w:p>
    <w:p w:rsidR="00273B07" w:rsidRPr="00273B07" w:rsidRDefault="00273B07" w:rsidP="00273B07">
      <w:pPr>
        <w:jc w:val="left"/>
        <w:rPr>
          <w:rFonts w:cs="Arial"/>
        </w:rPr>
      </w:pPr>
    </w:p>
    <w:p w:rsidR="00273B07" w:rsidRDefault="00273B07" w:rsidP="00273B07">
      <w:pPr>
        <w:rPr>
          <w:rFonts w:cs="Arial"/>
        </w:rPr>
      </w:pPr>
      <w:r w:rsidRPr="00273B07">
        <w:rPr>
          <w:rFonts w:cs="Arial"/>
        </w:rPr>
        <w:lastRenderedPageBreak/>
        <w:fldChar w:fldCharType="begin"/>
      </w:r>
      <w:r w:rsidRPr="00273B07">
        <w:rPr>
          <w:rFonts w:cs="Arial"/>
        </w:rPr>
        <w:instrText xml:space="preserve"> AUTONUM  </w:instrText>
      </w:r>
      <w:r w:rsidRPr="00273B07">
        <w:rPr>
          <w:rFonts w:cs="Arial"/>
        </w:rPr>
        <w:fldChar w:fldCharType="end"/>
      </w:r>
      <w:r w:rsidRPr="00273B07">
        <w:rPr>
          <w:rFonts w:cs="Arial"/>
        </w:rPr>
        <w:tab/>
      </w:r>
      <w:r w:rsidRPr="00FE42F1">
        <w:rPr>
          <w:rFonts w:cs="Arial"/>
        </w:rPr>
        <w:t>The structure of this document is as follows:</w:t>
      </w:r>
    </w:p>
    <w:p w:rsidR="00A5775F" w:rsidRPr="00FE42F1" w:rsidRDefault="00A5775F" w:rsidP="00273B07">
      <w:pPr>
        <w:rPr>
          <w:rFonts w:cs="Arial"/>
        </w:rPr>
      </w:pPr>
    </w:p>
    <w:p w:rsidR="00043980" w:rsidRDefault="00273B07">
      <w:pPr>
        <w:pStyle w:val="TOC1"/>
        <w:rPr>
          <w:rFonts w:asciiTheme="minorHAnsi" w:eastAsiaTheme="minorEastAsia" w:hAnsiTheme="minorHAnsi" w:cstheme="minorBidi"/>
          <w:caps w:val="0"/>
          <w:snapToGrid/>
          <w:sz w:val="22"/>
          <w:szCs w:val="22"/>
        </w:rPr>
      </w:pPr>
      <w:r w:rsidRPr="00FE42F1">
        <w:rPr>
          <w:rFonts w:cs="Arial"/>
          <w:bCs/>
        </w:rPr>
        <w:fldChar w:fldCharType="begin"/>
      </w:r>
      <w:r w:rsidRPr="00FE42F1">
        <w:rPr>
          <w:rFonts w:cs="Arial"/>
          <w:bCs/>
        </w:rPr>
        <w:instrText xml:space="preserve"> TOC \o "1-4" \h \z \u </w:instrText>
      </w:r>
      <w:r w:rsidRPr="00FE42F1">
        <w:rPr>
          <w:rFonts w:cs="Arial"/>
          <w:bCs/>
        </w:rPr>
        <w:fldChar w:fldCharType="separate"/>
      </w:r>
      <w:hyperlink w:anchor="_Toc15566514" w:history="1">
        <w:r w:rsidR="00043980" w:rsidRPr="00DE2FB2">
          <w:rPr>
            <w:rStyle w:val="Hyperlink"/>
          </w:rPr>
          <w:t>EXECUTIVE SUMMARY</w:t>
        </w:r>
        <w:r w:rsidR="00043980">
          <w:rPr>
            <w:webHidden/>
          </w:rPr>
          <w:tab/>
        </w:r>
        <w:r w:rsidR="00043980">
          <w:rPr>
            <w:webHidden/>
          </w:rPr>
          <w:fldChar w:fldCharType="begin"/>
        </w:r>
        <w:r w:rsidR="00043980">
          <w:rPr>
            <w:webHidden/>
          </w:rPr>
          <w:instrText xml:space="preserve"> PAGEREF _Toc15566514 \h </w:instrText>
        </w:r>
        <w:r w:rsidR="00043980">
          <w:rPr>
            <w:webHidden/>
          </w:rPr>
        </w:r>
        <w:r w:rsidR="00043980">
          <w:rPr>
            <w:webHidden/>
          </w:rPr>
          <w:fldChar w:fldCharType="separate"/>
        </w:r>
        <w:r w:rsidR="00E7053E">
          <w:rPr>
            <w:webHidden/>
          </w:rPr>
          <w:t>1</w:t>
        </w:r>
        <w:r w:rsidR="00043980">
          <w:rPr>
            <w:webHidden/>
          </w:rPr>
          <w:fldChar w:fldCharType="end"/>
        </w:r>
      </w:hyperlink>
    </w:p>
    <w:p w:rsidR="00043980" w:rsidRDefault="00F7251A">
      <w:pPr>
        <w:pStyle w:val="TOC1"/>
        <w:rPr>
          <w:rFonts w:asciiTheme="minorHAnsi" w:eastAsiaTheme="minorEastAsia" w:hAnsiTheme="minorHAnsi" w:cstheme="minorBidi"/>
          <w:caps w:val="0"/>
          <w:snapToGrid/>
          <w:sz w:val="22"/>
          <w:szCs w:val="22"/>
        </w:rPr>
      </w:pPr>
      <w:hyperlink w:anchor="_Toc15566515" w:history="1">
        <w:r w:rsidR="00043980" w:rsidRPr="00DE2FB2">
          <w:rPr>
            <w:rStyle w:val="Hyperlink"/>
          </w:rPr>
          <w:t>BACKGROUND</w:t>
        </w:r>
        <w:r w:rsidR="00043980">
          <w:rPr>
            <w:webHidden/>
          </w:rPr>
          <w:tab/>
        </w:r>
        <w:r w:rsidR="00043980">
          <w:rPr>
            <w:webHidden/>
          </w:rPr>
          <w:fldChar w:fldCharType="begin"/>
        </w:r>
        <w:r w:rsidR="00043980">
          <w:rPr>
            <w:webHidden/>
          </w:rPr>
          <w:instrText xml:space="preserve"> PAGEREF _Toc15566515 \h </w:instrText>
        </w:r>
        <w:r w:rsidR="00043980">
          <w:rPr>
            <w:webHidden/>
          </w:rPr>
        </w:r>
        <w:r w:rsidR="00043980">
          <w:rPr>
            <w:webHidden/>
          </w:rPr>
          <w:fldChar w:fldCharType="separate"/>
        </w:r>
        <w:r w:rsidR="00E7053E">
          <w:rPr>
            <w:webHidden/>
          </w:rPr>
          <w:t>2</w:t>
        </w:r>
        <w:r w:rsidR="00043980">
          <w:rPr>
            <w:webHidden/>
          </w:rPr>
          <w:fldChar w:fldCharType="end"/>
        </w:r>
      </w:hyperlink>
    </w:p>
    <w:p w:rsidR="00043980" w:rsidRDefault="00F7251A">
      <w:pPr>
        <w:pStyle w:val="TOC1"/>
        <w:rPr>
          <w:rFonts w:asciiTheme="minorHAnsi" w:eastAsiaTheme="minorEastAsia" w:hAnsiTheme="minorHAnsi" w:cstheme="minorBidi"/>
          <w:caps w:val="0"/>
          <w:snapToGrid/>
          <w:sz w:val="22"/>
          <w:szCs w:val="22"/>
        </w:rPr>
      </w:pPr>
      <w:hyperlink w:anchor="_Toc15566516" w:history="1">
        <w:r w:rsidR="00043980" w:rsidRPr="00DE2FB2">
          <w:rPr>
            <w:rStyle w:val="Hyperlink"/>
          </w:rPr>
          <w:t>DOCUMENTS TO BE CONSIDERED BY THE caj</w:t>
        </w:r>
        <w:r w:rsidR="00043980">
          <w:rPr>
            <w:webHidden/>
          </w:rPr>
          <w:tab/>
        </w:r>
        <w:r w:rsidR="00043980">
          <w:rPr>
            <w:webHidden/>
          </w:rPr>
          <w:fldChar w:fldCharType="begin"/>
        </w:r>
        <w:r w:rsidR="00043980">
          <w:rPr>
            <w:webHidden/>
          </w:rPr>
          <w:instrText xml:space="preserve"> PAGEREF _Toc15566516 \h </w:instrText>
        </w:r>
        <w:r w:rsidR="00043980">
          <w:rPr>
            <w:webHidden/>
          </w:rPr>
        </w:r>
        <w:r w:rsidR="00043980">
          <w:rPr>
            <w:webHidden/>
          </w:rPr>
          <w:fldChar w:fldCharType="separate"/>
        </w:r>
        <w:r w:rsidR="00E7053E">
          <w:rPr>
            <w:webHidden/>
          </w:rPr>
          <w:t>3</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17" w:history="1">
        <w:r w:rsidR="00043980" w:rsidRPr="00DE2FB2">
          <w:rPr>
            <w:rStyle w:val="Hyperlink"/>
          </w:rPr>
          <w:t>Document TGP/7: Development of Test Guidelines (Revision) (document TGP/7/7 Draft 1)</w:t>
        </w:r>
        <w:r w:rsidR="00043980">
          <w:rPr>
            <w:webHidden/>
          </w:rPr>
          <w:tab/>
        </w:r>
        <w:r w:rsidR="00043980">
          <w:rPr>
            <w:webHidden/>
          </w:rPr>
          <w:fldChar w:fldCharType="begin"/>
        </w:r>
        <w:r w:rsidR="00043980">
          <w:rPr>
            <w:webHidden/>
          </w:rPr>
          <w:instrText xml:space="preserve"> PAGEREF _Toc15566517 \h </w:instrText>
        </w:r>
        <w:r w:rsidR="00043980">
          <w:rPr>
            <w:webHidden/>
          </w:rPr>
        </w:r>
        <w:r w:rsidR="00043980">
          <w:rPr>
            <w:webHidden/>
          </w:rPr>
          <w:fldChar w:fldCharType="separate"/>
        </w:r>
        <w:r w:rsidR="00E7053E">
          <w:rPr>
            <w:webHidden/>
          </w:rPr>
          <w:t>3</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18" w:history="1">
        <w:r w:rsidR="00043980" w:rsidRPr="00DE2FB2">
          <w:rPr>
            <w:rStyle w:val="Hyperlink"/>
          </w:rPr>
          <w:t>Document TGP/8: Trial Design and Techniques Used in the Examination of Distinctness, Uniformity and Stability (Revision) (document TGP/8/4 Draft 1)</w:t>
        </w:r>
        <w:r w:rsidR="00043980">
          <w:rPr>
            <w:webHidden/>
          </w:rPr>
          <w:tab/>
        </w:r>
        <w:r w:rsidR="00043980">
          <w:rPr>
            <w:webHidden/>
          </w:rPr>
          <w:fldChar w:fldCharType="begin"/>
        </w:r>
        <w:r w:rsidR="00043980">
          <w:rPr>
            <w:webHidden/>
          </w:rPr>
          <w:instrText xml:space="preserve"> PAGEREF _Toc15566518 \h </w:instrText>
        </w:r>
        <w:r w:rsidR="00043980">
          <w:rPr>
            <w:webHidden/>
          </w:rPr>
        </w:r>
        <w:r w:rsidR="00043980">
          <w:rPr>
            <w:webHidden/>
          </w:rPr>
          <w:fldChar w:fldCharType="separate"/>
        </w:r>
        <w:r w:rsidR="00E7053E">
          <w:rPr>
            <w:webHidden/>
          </w:rPr>
          <w:t>3</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19" w:history="1">
        <w:r w:rsidR="00043980" w:rsidRPr="00DE2FB2">
          <w:rPr>
            <w:rStyle w:val="Hyperlink"/>
          </w:rPr>
          <w:t>Document TGP/10: Examining uniformity (Revision) (document TGP/10/2 Draft 1)</w:t>
        </w:r>
        <w:r w:rsidR="00043980">
          <w:rPr>
            <w:webHidden/>
          </w:rPr>
          <w:tab/>
        </w:r>
        <w:r w:rsidR="00043980">
          <w:rPr>
            <w:webHidden/>
          </w:rPr>
          <w:fldChar w:fldCharType="begin"/>
        </w:r>
        <w:r w:rsidR="00043980">
          <w:rPr>
            <w:webHidden/>
          </w:rPr>
          <w:instrText xml:space="preserve"> PAGEREF _Toc15566519 \h </w:instrText>
        </w:r>
        <w:r w:rsidR="00043980">
          <w:rPr>
            <w:webHidden/>
          </w:rPr>
        </w:r>
        <w:r w:rsidR="00043980">
          <w:rPr>
            <w:webHidden/>
          </w:rPr>
          <w:fldChar w:fldCharType="separate"/>
        </w:r>
        <w:r w:rsidR="00E7053E">
          <w:rPr>
            <w:webHidden/>
          </w:rPr>
          <w:t>4</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20" w:history="1">
        <w:r w:rsidR="00043980" w:rsidRPr="00DE2FB2">
          <w:rPr>
            <w:rStyle w:val="Hyperlink"/>
          </w:rPr>
          <w:t>Document TGP/14: Glossary of Terms Used in UPOV Documents (document TGP/14/4 Draft 1)</w:t>
        </w:r>
        <w:r w:rsidR="00043980">
          <w:rPr>
            <w:webHidden/>
          </w:rPr>
          <w:tab/>
        </w:r>
        <w:r w:rsidR="00043980">
          <w:rPr>
            <w:webHidden/>
          </w:rPr>
          <w:fldChar w:fldCharType="begin"/>
        </w:r>
        <w:r w:rsidR="00043980">
          <w:rPr>
            <w:webHidden/>
          </w:rPr>
          <w:instrText xml:space="preserve"> PAGEREF _Toc15566520 \h </w:instrText>
        </w:r>
        <w:r w:rsidR="00043980">
          <w:rPr>
            <w:webHidden/>
          </w:rPr>
        </w:r>
        <w:r w:rsidR="00043980">
          <w:rPr>
            <w:webHidden/>
          </w:rPr>
          <w:fldChar w:fldCharType="separate"/>
        </w:r>
        <w:r w:rsidR="00E7053E">
          <w:rPr>
            <w:webHidden/>
          </w:rPr>
          <w:t>4</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21" w:history="1">
        <w:r w:rsidR="00043980" w:rsidRPr="00DE2FB2">
          <w:rPr>
            <w:rStyle w:val="Hyperlink"/>
          </w:rPr>
          <w:t xml:space="preserve">Document TGP/15 </w:t>
        </w:r>
        <w:r w:rsidR="00043980" w:rsidRPr="00DE2FB2">
          <w:rPr>
            <w:rStyle w:val="Hyperlink"/>
            <w:caps/>
          </w:rPr>
          <w:t>“</w:t>
        </w:r>
        <w:r w:rsidR="00043980" w:rsidRPr="00DE2FB2">
          <w:rPr>
            <w:rStyle w:val="Hyperlink"/>
          </w:rPr>
          <w:t>Guidance on the use of Biochemical and Molecular Markers in the examination of Distinctness, Uniformity and Stability (DUS)” (Revision) (document TGP/15/2 Draft 2)</w:t>
        </w:r>
        <w:r w:rsidR="00043980">
          <w:rPr>
            <w:webHidden/>
          </w:rPr>
          <w:tab/>
        </w:r>
        <w:r w:rsidR="00043980">
          <w:rPr>
            <w:webHidden/>
          </w:rPr>
          <w:fldChar w:fldCharType="begin"/>
        </w:r>
        <w:r w:rsidR="00043980">
          <w:rPr>
            <w:webHidden/>
          </w:rPr>
          <w:instrText xml:space="preserve"> PAGEREF _Toc15566521 \h </w:instrText>
        </w:r>
        <w:r w:rsidR="00043980">
          <w:rPr>
            <w:webHidden/>
          </w:rPr>
        </w:r>
        <w:r w:rsidR="00043980">
          <w:rPr>
            <w:webHidden/>
          </w:rPr>
          <w:fldChar w:fldCharType="separate"/>
        </w:r>
        <w:r w:rsidR="00E7053E">
          <w:rPr>
            <w:webHidden/>
          </w:rPr>
          <w:t>4</w:t>
        </w:r>
        <w:r w:rsidR="00043980">
          <w:rPr>
            <w:webHidden/>
          </w:rPr>
          <w:fldChar w:fldCharType="end"/>
        </w:r>
      </w:hyperlink>
    </w:p>
    <w:p w:rsidR="00043980" w:rsidRDefault="00F7251A">
      <w:pPr>
        <w:pStyle w:val="TOC2"/>
        <w:rPr>
          <w:rFonts w:asciiTheme="minorHAnsi" w:eastAsiaTheme="minorEastAsia" w:hAnsiTheme="minorHAnsi" w:cstheme="minorBidi"/>
          <w:sz w:val="22"/>
          <w:szCs w:val="22"/>
        </w:rPr>
      </w:pPr>
      <w:hyperlink w:anchor="_Toc15566522" w:history="1">
        <w:r w:rsidR="00043980" w:rsidRPr="00DE2FB2">
          <w:rPr>
            <w:rStyle w:val="Hyperlink"/>
            <w:snapToGrid w:val="0"/>
          </w:rPr>
          <w:t>Document TGP/0:  List of TGP documents and latest issue dates (Revision) (document TGP/0/11 Draft 1)</w:t>
        </w:r>
        <w:r w:rsidR="00043980">
          <w:rPr>
            <w:webHidden/>
          </w:rPr>
          <w:tab/>
        </w:r>
        <w:r w:rsidR="00043980">
          <w:rPr>
            <w:webHidden/>
          </w:rPr>
          <w:fldChar w:fldCharType="begin"/>
        </w:r>
        <w:r w:rsidR="00043980">
          <w:rPr>
            <w:webHidden/>
          </w:rPr>
          <w:instrText xml:space="preserve"> PAGEREF _Toc15566522 \h </w:instrText>
        </w:r>
        <w:r w:rsidR="00043980">
          <w:rPr>
            <w:webHidden/>
          </w:rPr>
        </w:r>
        <w:r w:rsidR="00043980">
          <w:rPr>
            <w:webHidden/>
          </w:rPr>
          <w:fldChar w:fldCharType="separate"/>
        </w:r>
        <w:r w:rsidR="00E7053E">
          <w:rPr>
            <w:webHidden/>
          </w:rPr>
          <w:t>5</w:t>
        </w:r>
        <w:r w:rsidR="00043980">
          <w:rPr>
            <w:webHidden/>
          </w:rPr>
          <w:fldChar w:fldCharType="end"/>
        </w:r>
      </w:hyperlink>
    </w:p>
    <w:p w:rsidR="00043980" w:rsidRDefault="00F7251A">
      <w:pPr>
        <w:pStyle w:val="TOC1"/>
        <w:rPr>
          <w:rFonts w:asciiTheme="minorHAnsi" w:eastAsiaTheme="minorEastAsia" w:hAnsiTheme="minorHAnsi" w:cstheme="minorBidi"/>
          <w:caps w:val="0"/>
          <w:snapToGrid/>
          <w:sz w:val="22"/>
          <w:szCs w:val="22"/>
        </w:rPr>
      </w:pPr>
      <w:hyperlink w:anchor="_Toc15566523" w:history="1">
        <w:r w:rsidR="00043980" w:rsidRPr="00DE2FB2">
          <w:rPr>
            <w:rStyle w:val="Hyperlink"/>
          </w:rPr>
          <w:t>Program for the development of TGP documents</w:t>
        </w:r>
        <w:r w:rsidR="00043980">
          <w:rPr>
            <w:webHidden/>
          </w:rPr>
          <w:tab/>
        </w:r>
        <w:r w:rsidR="00043980">
          <w:rPr>
            <w:webHidden/>
          </w:rPr>
          <w:fldChar w:fldCharType="begin"/>
        </w:r>
        <w:r w:rsidR="00043980">
          <w:rPr>
            <w:webHidden/>
          </w:rPr>
          <w:instrText xml:space="preserve"> PAGEREF _Toc15566523 \h </w:instrText>
        </w:r>
        <w:r w:rsidR="00043980">
          <w:rPr>
            <w:webHidden/>
          </w:rPr>
        </w:r>
        <w:r w:rsidR="00043980">
          <w:rPr>
            <w:webHidden/>
          </w:rPr>
          <w:fldChar w:fldCharType="separate"/>
        </w:r>
        <w:r w:rsidR="00E7053E">
          <w:rPr>
            <w:webHidden/>
          </w:rPr>
          <w:t>6</w:t>
        </w:r>
        <w:r w:rsidR="00043980">
          <w:rPr>
            <w:webHidden/>
          </w:rPr>
          <w:fldChar w:fldCharType="end"/>
        </w:r>
      </w:hyperlink>
    </w:p>
    <w:p w:rsidR="00273B07" w:rsidRPr="00DE42A3" w:rsidRDefault="00273B07" w:rsidP="00106AE2">
      <w:pPr>
        <w:spacing w:after="120"/>
        <w:rPr>
          <w:sz w:val="18"/>
        </w:rPr>
      </w:pPr>
      <w:r w:rsidRPr="00FE42F1">
        <w:rPr>
          <w:noProof/>
          <w:snapToGrid w:val="0"/>
        </w:rPr>
        <w:fldChar w:fldCharType="end"/>
      </w:r>
      <w:r w:rsidRPr="00DE42A3">
        <w:rPr>
          <w:sz w:val="18"/>
        </w:rPr>
        <w:t>ANNEX I:</w:t>
      </w:r>
      <w:r w:rsidRPr="00DE42A3">
        <w:rPr>
          <w:sz w:val="18"/>
        </w:rPr>
        <w:tab/>
        <w:t xml:space="preserve">Revisions to document TGP/7 </w:t>
      </w:r>
    </w:p>
    <w:p w:rsidR="00273B07" w:rsidRPr="00DE42A3" w:rsidRDefault="00273B07" w:rsidP="00106AE2">
      <w:pPr>
        <w:spacing w:after="120"/>
        <w:rPr>
          <w:sz w:val="18"/>
        </w:rPr>
      </w:pPr>
      <w:r w:rsidRPr="00DE42A3">
        <w:rPr>
          <w:sz w:val="18"/>
        </w:rPr>
        <w:t>ANNEX II:</w:t>
      </w:r>
      <w:r w:rsidRPr="00DE42A3">
        <w:rPr>
          <w:sz w:val="18"/>
        </w:rPr>
        <w:tab/>
      </w:r>
      <w:r w:rsidR="00106AE2" w:rsidRPr="00DE42A3">
        <w:rPr>
          <w:sz w:val="18"/>
        </w:rPr>
        <w:t xml:space="preserve">Revisions </w:t>
      </w:r>
      <w:r w:rsidRPr="00DE42A3">
        <w:rPr>
          <w:sz w:val="18"/>
        </w:rPr>
        <w:t>to document TGP/8</w:t>
      </w:r>
    </w:p>
    <w:p w:rsidR="00273B07" w:rsidRPr="00DE42A3" w:rsidRDefault="00273B07" w:rsidP="00106AE2">
      <w:pPr>
        <w:spacing w:after="120"/>
        <w:rPr>
          <w:sz w:val="18"/>
        </w:rPr>
      </w:pPr>
      <w:bookmarkStart w:id="5" w:name="_Toc386185971"/>
      <w:bookmarkStart w:id="6" w:name="_Toc419124859"/>
      <w:r w:rsidRPr="00DE42A3">
        <w:rPr>
          <w:sz w:val="18"/>
        </w:rPr>
        <w:t>ANNEX III:</w:t>
      </w:r>
      <w:r w:rsidRPr="00DE42A3">
        <w:rPr>
          <w:sz w:val="18"/>
        </w:rPr>
        <w:tab/>
      </w:r>
      <w:r w:rsidR="00106AE2" w:rsidRPr="00DE42A3">
        <w:rPr>
          <w:sz w:val="18"/>
        </w:rPr>
        <w:t xml:space="preserve">Revisions </w:t>
      </w:r>
      <w:r w:rsidRPr="00DE42A3">
        <w:rPr>
          <w:sz w:val="18"/>
        </w:rPr>
        <w:t>to document TGP/10</w:t>
      </w:r>
    </w:p>
    <w:p w:rsidR="00273B07" w:rsidRPr="00DE42A3" w:rsidRDefault="00273B07" w:rsidP="00106AE2">
      <w:pPr>
        <w:spacing w:after="120"/>
        <w:ind w:left="1134" w:hanging="1134"/>
        <w:rPr>
          <w:sz w:val="18"/>
        </w:rPr>
      </w:pPr>
      <w:r w:rsidRPr="00DE42A3">
        <w:rPr>
          <w:sz w:val="18"/>
        </w:rPr>
        <w:t>ANNEX IV:</w:t>
      </w:r>
      <w:r w:rsidRPr="00DE42A3">
        <w:rPr>
          <w:sz w:val="18"/>
        </w:rPr>
        <w:tab/>
        <w:t>Revisions to document TGP/14</w:t>
      </w:r>
    </w:p>
    <w:p w:rsidR="00273B07" w:rsidRPr="00DE42A3" w:rsidRDefault="00273B07" w:rsidP="00106AE2">
      <w:pPr>
        <w:spacing w:after="120"/>
        <w:ind w:left="1134" w:hanging="1134"/>
        <w:rPr>
          <w:sz w:val="18"/>
        </w:rPr>
      </w:pPr>
      <w:r w:rsidRPr="00DE42A3">
        <w:rPr>
          <w:sz w:val="18"/>
        </w:rPr>
        <w:t>ANNEX V:</w:t>
      </w:r>
      <w:r w:rsidRPr="00DE42A3">
        <w:rPr>
          <w:sz w:val="18"/>
        </w:rPr>
        <w:tab/>
      </w:r>
      <w:r w:rsidR="00DE42A3" w:rsidRPr="00DE42A3">
        <w:rPr>
          <w:sz w:val="18"/>
        </w:rPr>
        <w:t>Revisions</w:t>
      </w:r>
      <w:r w:rsidRPr="00DE42A3">
        <w:rPr>
          <w:sz w:val="18"/>
        </w:rPr>
        <w:t xml:space="preserve"> to document TGP/15</w:t>
      </w:r>
    </w:p>
    <w:p w:rsidR="00273B07" w:rsidRPr="00273B07" w:rsidRDefault="00273B07" w:rsidP="00273B07">
      <w:pPr>
        <w:ind w:left="1134" w:hanging="1134"/>
        <w:rPr>
          <w:sz w:val="18"/>
        </w:rPr>
      </w:pPr>
      <w:r w:rsidRPr="00DE42A3">
        <w:rPr>
          <w:sz w:val="18"/>
        </w:rPr>
        <w:t>ANNEX VI:</w:t>
      </w:r>
      <w:r w:rsidRPr="00DE42A3">
        <w:rPr>
          <w:sz w:val="18"/>
        </w:rPr>
        <w:tab/>
        <w:t>Program for the development of TGP documents</w:t>
      </w:r>
      <w:r w:rsidRPr="00273B07">
        <w:rPr>
          <w:sz w:val="18"/>
        </w:rPr>
        <w:t xml:space="preserve"> </w:t>
      </w:r>
    </w:p>
    <w:p w:rsidR="00273B07" w:rsidRDefault="00273B07" w:rsidP="00273B07">
      <w:pPr>
        <w:ind w:left="1134" w:hanging="1134"/>
        <w:rPr>
          <w:sz w:val="18"/>
        </w:rPr>
      </w:pPr>
    </w:p>
    <w:p w:rsidR="0083066D" w:rsidRPr="00273B07" w:rsidRDefault="0083066D" w:rsidP="00273B07">
      <w:pPr>
        <w:ind w:left="1134" w:hanging="1134"/>
        <w:rPr>
          <w:sz w:val="18"/>
        </w:rPr>
      </w:pPr>
    </w:p>
    <w:p w:rsidR="00273B07" w:rsidRPr="00273B07" w:rsidRDefault="00273B07" w:rsidP="00273B07">
      <w:pPr>
        <w:rPr>
          <w:rFonts w:cs="Arial"/>
        </w:rPr>
      </w:pPr>
      <w:r w:rsidRPr="00273B07">
        <w:rPr>
          <w:rFonts w:cs="Arial"/>
        </w:rPr>
        <w:fldChar w:fldCharType="begin"/>
      </w:r>
      <w:r w:rsidRPr="00273B07">
        <w:rPr>
          <w:rFonts w:cs="Arial"/>
        </w:rPr>
        <w:instrText xml:space="preserve"> AUTONUM  </w:instrText>
      </w:r>
      <w:r w:rsidRPr="00273B07">
        <w:rPr>
          <w:rFonts w:cs="Arial"/>
        </w:rPr>
        <w:fldChar w:fldCharType="end"/>
      </w:r>
      <w:r w:rsidRPr="00273B07">
        <w:rPr>
          <w:rFonts w:cs="Arial"/>
        </w:rPr>
        <w:tab/>
        <w:t>The following abbreviations are used in this document:</w:t>
      </w:r>
    </w:p>
    <w:p w:rsidR="00273B07" w:rsidRPr="00273B07" w:rsidRDefault="00273B07" w:rsidP="00273B07">
      <w:pPr>
        <w:ind w:left="1701" w:hanging="1134"/>
        <w:rPr>
          <w:rFonts w:cs="Arial"/>
        </w:rPr>
      </w:pPr>
    </w:p>
    <w:p w:rsidR="00273B07" w:rsidRDefault="00273B07" w:rsidP="00273B07">
      <w:pPr>
        <w:ind w:left="1701" w:hanging="1134"/>
        <w:rPr>
          <w:rFonts w:cs="Arial"/>
        </w:rPr>
      </w:pPr>
      <w:r w:rsidRPr="00273B07">
        <w:rPr>
          <w:rFonts w:cs="Arial"/>
        </w:rPr>
        <w:t>BMT</w:t>
      </w:r>
      <w:r w:rsidR="007614DE">
        <w:rPr>
          <w:rFonts w:cs="Arial"/>
        </w:rPr>
        <w:t>:</w:t>
      </w:r>
      <w:r w:rsidRPr="00273B07">
        <w:rPr>
          <w:rFonts w:cs="Arial"/>
        </w:rPr>
        <w:tab/>
        <w:t>Working Group on Biochemical and Molecular Techniques and DNA-Profiling in Particular</w:t>
      </w:r>
    </w:p>
    <w:p w:rsidR="007614DE" w:rsidRPr="00273B07" w:rsidRDefault="007614DE" w:rsidP="00273B07">
      <w:pPr>
        <w:ind w:left="1701" w:hanging="1134"/>
        <w:rPr>
          <w:rFonts w:cs="Arial"/>
        </w:rPr>
      </w:pPr>
      <w:r>
        <w:rPr>
          <w:rFonts w:cs="Arial"/>
        </w:rPr>
        <w:t>CAJ:</w:t>
      </w:r>
      <w:r>
        <w:rPr>
          <w:rFonts w:cs="Arial"/>
        </w:rPr>
        <w:tab/>
        <w:t>Administrative and Legal Committee</w:t>
      </w:r>
    </w:p>
    <w:p w:rsidR="00273B07" w:rsidRPr="00273B07" w:rsidRDefault="00273B07" w:rsidP="00273B07">
      <w:pPr>
        <w:ind w:left="1701" w:hanging="1134"/>
        <w:rPr>
          <w:rFonts w:cs="Arial"/>
        </w:rPr>
      </w:pPr>
      <w:r w:rsidRPr="00273B07">
        <w:rPr>
          <w:rFonts w:cs="Arial"/>
        </w:rPr>
        <w:t xml:space="preserve">TC:  </w:t>
      </w:r>
      <w:r w:rsidRPr="00273B07">
        <w:rPr>
          <w:rFonts w:cs="Arial"/>
        </w:rPr>
        <w:tab/>
        <w:t>Technical Committee</w:t>
      </w:r>
    </w:p>
    <w:p w:rsidR="00273B07" w:rsidRPr="00273B07" w:rsidRDefault="00273B07" w:rsidP="00273B07">
      <w:pPr>
        <w:ind w:left="1701" w:hanging="1134"/>
        <w:rPr>
          <w:rFonts w:cs="Arial"/>
        </w:rPr>
      </w:pPr>
      <w:r w:rsidRPr="00273B07">
        <w:rPr>
          <w:rFonts w:cs="Arial"/>
        </w:rPr>
        <w:t xml:space="preserve">TC-EDC:  </w:t>
      </w:r>
      <w:r w:rsidRPr="00273B07">
        <w:rPr>
          <w:rFonts w:cs="Arial"/>
        </w:rPr>
        <w:tab/>
        <w:t>Enlarged Editorial Committee</w:t>
      </w:r>
    </w:p>
    <w:p w:rsidR="00273B07" w:rsidRDefault="00273B07" w:rsidP="00273B07">
      <w:pPr>
        <w:ind w:left="1701" w:hanging="1134"/>
        <w:rPr>
          <w:rFonts w:cs="Arial"/>
          <w:color w:val="000000"/>
        </w:rPr>
      </w:pPr>
      <w:r w:rsidRPr="00273B07">
        <w:rPr>
          <w:rFonts w:cs="Arial"/>
          <w:color w:val="000000"/>
        </w:rPr>
        <w:t>TWPs:</w:t>
      </w:r>
      <w:r w:rsidRPr="00273B07">
        <w:rPr>
          <w:rFonts w:cs="Arial"/>
          <w:color w:val="000000"/>
        </w:rPr>
        <w:tab/>
        <w:t xml:space="preserve">Technical Working Parties </w:t>
      </w:r>
      <w:bookmarkStart w:id="7" w:name="_Toc352678045"/>
      <w:bookmarkStart w:id="8" w:name="_Toc353797725"/>
      <w:bookmarkStart w:id="9" w:name="_Toc386185970"/>
      <w:bookmarkStart w:id="10" w:name="_Toc419124858"/>
    </w:p>
    <w:p w:rsidR="003A2170" w:rsidRDefault="003A2170" w:rsidP="0083066D"/>
    <w:p w:rsidR="0083066D" w:rsidRPr="0083066D" w:rsidRDefault="0083066D" w:rsidP="0083066D"/>
    <w:p w:rsidR="00CA16E8" w:rsidRPr="0083066D" w:rsidRDefault="00CA16E8" w:rsidP="0083066D"/>
    <w:p w:rsidR="00273B07" w:rsidRPr="00273B07" w:rsidRDefault="00273B07" w:rsidP="00273B07">
      <w:pPr>
        <w:keepNext/>
        <w:keepLines/>
        <w:outlineLvl w:val="0"/>
        <w:rPr>
          <w:caps/>
        </w:rPr>
      </w:pPr>
      <w:bookmarkStart w:id="11" w:name="_Toc15566515"/>
      <w:r w:rsidRPr="00273B07">
        <w:rPr>
          <w:caps/>
        </w:rPr>
        <w:t>BACKGROUND</w:t>
      </w:r>
      <w:bookmarkEnd w:id="7"/>
      <w:bookmarkEnd w:id="8"/>
      <w:bookmarkEnd w:id="9"/>
      <w:bookmarkEnd w:id="10"/>
      <w:bookmarkEnd w:id="11"/>
    </w:p>
    <w:p w:rsidR="00273B07" w:rsidRPr="00273B07" w:rsidRDefault="00273B07" w:rsidP="00273B07">
      <w:pPr>
        <w:keepNext/>
        <w:keepLines/>
        <w:rPr>
          <w:rFonts w:cs="Arial"/>
        </w:rPr>
      </w:pPr>
    </w:p>
    <w:p w:rsidR="00273B07" w:rsidRPr="00273B07" w:rsidRDefault="00CA16E8" w:rsidP="00CD34A5">
      <w:pPr>
        <w:rPr>
          <w:rFonts w:cs="Arial"/>
        </w:rPr>
      </w:pPr>
      <w:r w:rsidRPr="00273B07">
        <w:rPr>
          <w:rFonts w:cs="Arial"/>
        </w:rPr>
        <w:fldChar w:fldCharType="begin"/>
      </w:r>
      <w:r w:rsidRPr="00273B07">
        <w:rPr>
          <w:rFonts w:cs="Arial"/>
        </w:rPr>
        <w:instrText xml:space="preserve"> AUTONUM  </w:instrText>
      </w:r>
      <w:r w:rsidRPr="00273B07">
        <w:rPr>
          <w:rFonts w:cs="Arial"/>
        </w:rPr>
        <w:fldChar w:fldCharType="end"/>
      </w:r>
      <w:r w:rsidRPr="00273B07">
        <w:rPr>
          <w:rFonts w:cs="Arial"/>
        </w:rPr>
        <w:tab/>
      </w:r>
      <w:r w:rsidR="00273B07" w:rsidRPr="00273B07">
        <w:t>The TC, at its fifty-fourth session</w:t>
      </w:r>
      <w:bookmarkStart w:id="12" w:name="_Ref12538883"/>
      <w:r w:rsidR="00CD62D8">
        <w:rPr>
          <w:rStyle w:val="FootnoteReference"/>
        </w:rPr>
        <w:footnoteReference w:id="3"/>
      </w:r>
      <w:bookmarkEnd w:id="12"/>
      <w:r w:rsidR="004E123D">
        <w:t>,</w:t>
      </w:r>
      <w:r w:rsidR="00CD62D8">
        <w:t xml:space="preserve"> </w:t>
      </w:r>
      <w:r w:rsidR="00273B07" w:rsidRPr="00273B07">
        <w:t>and the CAJ, at its seventy-fifth session</w:t>
      </w:r>
      <w:bookmarkStart w:id="13" w:name="_Ref12539907"/>
      <w:r w:rsidR="00CD62D8">
        <w:rPr>
          <w:rStyle w:val="FootnoteReference"/>
        </w:rPr>
        <w:footnoteReference w:id="4"/>
      </w:r>
      <w:bookmarkEnd w:id="13"/>
      <w:r w:rsidR="004E123D">
        <w:t>,</w:t>
      </w:r>
      <w:r w:rsidR="00273B07" w:rsidRPr="00273B07">
        <w:t xml:space="preserve"> approved the program for the development of TGP documents, as set out in the Annex to documents </w:t>
      </w:r>
      <w:hyperlink r:id="rId9" w:history="1">
        <w:r w:rsidR="00273B07" w:rsidRPr="00CD62D8">
          <w:rPr>
            <w:rStyle w:val="Hyperlink"/>
          </w:rPr>
          <w:t>TC/54/5 Rev</w:t>
        </w:r>
      </w:hyperlink>
      <w:r w:rsidR="00273B07" w:rsidRPr="00273B07">
        <w:t xml:space="preserve">. </w:t>
      </w:r>
      <w:r w:rsidR="00CD62D8">
        <w:t xml:space="preserve">“TGP Documents” </w:t>
      </w:r>
      <w:r w:rsidR="00273B07" w:rsidRPr="00273B07">
        <w:t xml:space="preserve">and </w:t>
      </w:r>
      <w:hyperlink r:id="rId10" w:history="1">
        <w:r w:rsidR="00273B07" w:rsidRPr="00CD62D8">
          <w:rPr>
            <w:rStyle w:val="Hyperlink"/>
          </w:rPr>
          <w:t>CAJ/75/13</w:t>
        </w:r>
      </w:hyperlink>
      <w:r w:rsidR="00CD62D8">
        <w:t xml:space="preserve"> “</w:t>
      </w:r>
      <w:r w:rsidR="00CD62D8" w:rsidRPr="00CD62D8">
        <w:t>Report on developments in the Technical Committee</w:t>
      </w:r>
      <w:r w:rsidR="00CD62D8">
        <w:t>”</w:t>
      </w:r>
      <w:r w:rsidR="00273B07" w:rsidRPr="00273B07">
        <w:t>, respectively, subject to the</w:t>
      </w:r>
      <w:r w:rsidR="00CD62D8">
        <w:t xml:space="preserve"> conclusions at their sessions</w:t>
      </w:r>
      <w:r w:rsidR="00CD62D8">
        <w:rPr>
          <w:rStyle w:val="FootnoteReference"/>
        </w:rPr>
        <w:footnoteReference w:id="5"/>
      </w:r>
      <w:r w:rsidR="00273B07" w:rsidRPr="00273B07">
        <w:t>.</w:t>
      </w:r>
    </w:p>
    <w:p w:rsidR="00273B07" w:rsidRPr="00273B07" w:rsidRDefault="00273B07" w:rsidP="00CD34A5">
      <w:pPr>
        <w:rPr>
          <w:rFonts w:cs="Arial"/>
        </w:rPr>
      </w:pPr>
    </w:p>
    <w:p w:rsidR="00273B07" w:rsidRPr="00273B07" w:rsidRDefault="00273B07" w:rsidP="00273B07">
      <w:pPr>
        <w:rPr>
          <w:rFonts w:cs="Arial"/>
        </w:rPr>
      </w:pPr>
      <w:r w:rsidRPr="00273B07">
        <w:rPr>
          <w:rFonts w:cs="Arial"/>
        </w:rPr>
        <w:fldChar w:fldCharType="begin"/>
      </w:r>
      <w:r w:rsidRPr="00273B07">
        <w:rPr>
          <w:rFonts w:cs="Arial"/>
        </w:rPr>
        <w:instrText xml:space="preserve"> AUTONUM  </w:instrText>
      </w:r>
      <w:r w:rsidRPr="00273B07">
        <w:rPr>
          <w:rFonts w:cs="Arial"/>
        </w:rPr>
        <w:fldChar w:fldCharType="end"/>
      </w:r>
      <w:r w:rsidRPr="00273B07">
        <w:rPr>
          <w:rFonts w:cs="Arial"/>
          <w:color w:val="000000"/>
        </w:rPr>
        <w:tab/>
      </w:r>
      <w:r w:rsidRPr="00273B07">
        <w:rPr>
          <w:rFonts w:cs="Arial"/>
          <w:spacing w:val="-2"/>
        </w:rPr>
        <w:t>The approved TGP documents are published on the UPOV website at</w:t>
      </w:r>
      <w:r w:rsidRPr="00273B07">
        <w:rPr>
          <w:rFonts w:cs="Arial"/>
        </w:rPr>
        <w:t xml:space="preserve"> </w:t>
      </w:r>
      <w:hyperlink r:id="rId11" w:history="1">
        <w:r w:rsidRPr="00273B07">
          <w:rPr>
            <w:rFonts w:cs="Arial"/>
            <w:color w:val="0000FF"/>
            <w:u w:val="single"/>
          </w:rPr>
          <w:t>http://www.upov.int/upov_collection/en/</w:t>
        </w:r>
      </w:hyperlink>
      <w:r w:rsidRPr="00273B07">
        <w:rPr>
          <w:rFonts w:cs="Arial"/>
        </w:rPr>
        <w:t>.</w:t>
      </w:r>
    </w:p>
    <w:p w:rsidR="00273B07" w:rsidRPr="00273B07" w:rsidRDefault="00273B07" w:rsidP="00273B07">
      <w:pPr>
        <w:rPr>
          <w:rFonts w:cs="Arial"/>
          <w:iCs/>
        </w:rPr>
      </w:pPr>
      <w:bookmarkStart w:id="14" w:name="_Toc386185983"/>
      <w:bookmarkStart w:id="15" w:name="_Toc419124871"/>
      <w:bookmarkStart w:id="16" w:name="_Toc378251517"/>
      <w:bookmarkStart w:id="17" w:name="_Toc381279978"/>
      <w:bookmarkEnd w:id="5"/>
      <w:bookmarkEnd w:id="6"/>
    </w:p>
    <w:p w:rsidR="00E046B0" w:rsidRDefault="00CD34A5" w:rsidP="00CD34A5">
      <w:r w:rsidRPr="00273B07">
        <w:fldChar w:fldCharType="begin"/>
      </w:r>
      <w:r w:rsidRPr="00273B07">
        <w:instrText xml:space="preserve"> AUTONUM  </w:instrText>
      </w:r>
      <w:r w:rsidRPr="00273B07">
        <w:fldChar w:fldCharType="end"/>
      </w:r>
      <w:r w:rsidRPr="00273B07">
        <w:tab/>
      </w:r>
      <w:r w:rsidR="007C269B">
        <w:t xml:space="preserve">Comments by the TC, </w:t>
      </w:r>
      <w:r w:rsidR="007C269B" w:rsidRPr="00273B07">
        <w:t>at its fifty-</w:t>
      </w:r>
      <w:r w:rsidR="007C269B">
        <w:t>fifth</w:t>
      </w:r>
      <w:r w:rsidR="007C269B" w:rsidRPr="00273B07">
        <w:t xml:space="preserve"> session</w:t>
      </w:r>
      <w:r w:rsidR="006F6881" w:rsidRPr="0083066D">
        <w:rPr>
          <w:vertAlign w:val="superscript"/>
        </w:rPr>
        <w:fldChar w:fldCharType="begin"/>
      </w:r>
      <w:r w:rsidR="006F6881" w:rsidRPr="0083066D">
        <w:rPr>
          <w:vertAlign w:val="superscript"/>
        </w:rPr>
        <w:instrText xml:space="preserve"> NOTEREF _Ref13574983 \h </w:instrText>
      </w:r>
      <w:r w:rsidR="006F6881">
        <w:rPr>
          <w:vertAlign w:val="superscript"/>
        </w:rPr>
        <w:instrText xml:space="preserve"> \* MERGEFORMAT </w:instrText>
      </w:r>
      <w:r w:rsidR="006F6881" w:rsidRPr="0083066D">
        <w:rPr>
          <w:vertAlign w:val="superscript"/>
        </w:rPr>
      </w:r>
      <w:r w:rsidR="006F6881" w:rsidRPr="0083066D">
        <w:rPr>
          <w:vertAlign w:val="superscript"/>
        </w:rPr>
        <w:fldChar w:fldCharType="separate"/>
      </w:r>
      <w:r w:rsidR="00E7053E">
        <w:rPr>
          <w:vertAlign w:val="superscript"/>
        </w:rPr>
        <w:t>1</w:t>
      </w:r>
      <w:r w:rsidR="006F6881" w:rsidRPr="0083066D">
        <w:rPr>
          <w:vertAlign w:val="superscript"/>
        </w:rPr>
        <w:fldChar w:fldCharType="end"/>
      </w:r>
      <w:r w:rsidR="000A6EA8">
        <w:t>, relevant for the consideration of TGP documents</w:t>
      </w:r>
      <w:r w:rsidR="0019194C">
        <w:t xml:space="preserve"> by the CAJ</w:t>
      </w:r>
      <w:r w:rsidR="000A6EA8">
        <w:t>, will be reported to the CAJ</w:t>
      </w:r>
      <w:r w:rsidR="00DE4939">
        <w:t>, at its seventy-sixth session</w:t>
      </w:r>
      <w:bookmarkStart w:id="18" w:name="_Ref12539207"/>
      <w:r w:rsidR="00DE4939">
        <w:rPr>
          <w:rStyle w:val="FootnoteReference"/>
        </w:rPr>
        <w:footnoteReference w:id="6"/>
      </w:r>
      <w:bookmarkEnd w:id="18"/>
      <w:r w:rsidR="00DE4939">
        <w:t>,</w:t>
      </w:r>
      <w:r w:rsidR="000A6EA8">
        <w:t xml:space="preserve"> in document CAJ/76/8 “</w:t>
      </w:r>
      <w:r w:rsidR="000A6EA8" w:rsidRPr="000A6EA8">
        <w:t>Report on developments in the Technical Committee</w:t>
      </w:r>
      <w:r w:rsidR="000A6EA8">
        <w:t>”, which will become available in the evening of October 29, 2019.</w:t>
      </w:r>
    </w:p>
    <w:p w:rsidR="002B73B3" w:rsidRDefault="002B73B3" w:rsidP="00CD34A5"/>
    <w:p w:rsidR="002B73B3" w:rsidRDefault="002B73B3" w:rsidP="00CD34A5"/>
    <w:p w:rsidR="003A2170" w:rsidRPr="00855BFA" w:rsidRDefault="003A2170" w:rsidP="00993ED3">
      <w:pPr>
        <w:pStyle w:val="Heading1"/>
      </w:pPr>
      <w:bookmarkStart w:id="19" w:name="_Toc457395438"/>
      <w:bookmarkStart w:id="20" w:name="_Toc457896228"/>
      <w:bookmarkStart w:id="21" w:name="_Toc522890081"/>
      <w:bookmarkStart w:id="22" w:name="_Toc15566516"/>
      <w:r w:rsidRPr="00855BFA">
        <w:lastRenderedPageBreak/>
        <w:t>DOCUMENTS TO BE CONSIDERED BY THE caj</w:t>
      </w:r>
      <w:bookmarkEnd w:id="19"/>
      <w:bookmarkEnd w:id="20"/>
      <w:bookmarkEnd w:id="21"/>
      <w:bookmarkEnd w:id="22"/>
    </w:p>
    <w:p w:rsidR="00273B07" w:rsidRPr="00273B07" w:rsidRDefault="00273B07" w:rsidP="00993ED3">
      <w:pPr>
        <w:keepNext/>
      </w:pPr>
    </w:p>
    <w:p w:rsidR="00273B07" w:rsidRPr="00273B07" w:rsidRDefault="00273B07" w:rsidP="00993ED3">
      <w:pPr>
        <w:keepNext/>
        <w:outlineLvl w:val="1"/>
        <w:rPr>
          <w:u w:val="single"/>
        </w:rPr>
      </w:pPr>
      <w:bookmarkStart w:id="23" w:name="_Toc15566517"/>
      <w:r w:rsidRPr="00FE42F1">
        <w:rPr>
          <w:u w:val="single"/>
        </w:rPr>
        <w:t>Document TGP/7: Development of Test Guidelines</w:t>
      </w:r>
      <w:r w:rsidR="007614DE">
        <w:rPr>
          <w:u w:val="single"/>
        </w:rPr>
        <w:t xml:space="preserve"> (Revision) (document TGP/7/7 Draft 1)</w:t>
      </w:r>
      <w:bookmarkEnd w:id="23"/>
    </w:p>
    <w:p w:rsidR="00501AC5" w:rsidRPr="00273B07" w:rsidRDefault="00501AC5" w:rsidP="00993ED3">
      <w:pPr>
        <w:keepNext/>
        <w:rPr>
          <w:highlight w:val="yellow"/>
        </w:rPr>
      </w:pPr>
    </w:p>
    <w:p w:rsidR="00501AC5" w:rsidRDefault="00501AC5" w:rsidP="00993ED3">
      <w:pPr>
        <w:keepNext/>
      </w:pPr>
      <w:r w:rsidRPr="00273B07">
        <w:fldChar w:fldCharType="begin"/>
      </w:r>
      <w:r w:rsidRPr="00273B07">
        <w:instrText xml:space="preserve"> AUTONUM  </w:instrText>
      </w:r>
      <w:r w:rsidRPr="00273B07">
        <w:fldChar w:fldCharType="end"/>
      </w:r>
      <w:r w:rsidRPr="00273B07">
        <w:tab/>
      </w:r>
      <w:r>
        <w:t>The TC, at its fifty-fourth session</w:t>
      </w:r>
      <w:r w:rsidR="004D4680">
        <w:rPr>
          <w:rStyle w:val="FootnoteReference"/>
        </w:rPr>
        <w:fldChar w:fldCharType="begin"/>
      </w:r>
      <w:r w:rsidR="004D4680">
        <w:instrText xml:space="preserve"> NOTEREF _Ref12538883 \f \h </w:instrText>
      </w:r>
      <w:r w:rsidR="004D4680">
        <w:rPr>
          <w:rStyle w:val="FootnoteReference"/>
        </w:rPr>
      </w:r>
      <w:r w:rsidR="004D4680">
        <w:rPr>
          <w:rStyle w:val="FootnoteReference"/>
        </w:rPr>
        <w:fldChar w:fldCharType="separate"/>
      </w:r>
      <w:r w:rsidR="00E7053E" w:rsidRPr="00E7053E">
        <w:rPr>
          <w:rStyle w:val="FootnoteReference"/>
        </w:rPr>
        <w:t>2</w:t>
      </w:r>
      <w:r w:rsidR="004D4680">
        <w:rPr>
          <w:rStyle w:val="FootnoteReference"/>
        </w:rPr>
        <w:fldChar w:fldCharType="end"/>
      </w:r>
      <w:r w:rsidR="004E123D">
        <w:t>,</w:t>
      </w:r>
      <w:r>
        <w:t xml:space="preserve"> agreed the proposals for guidance on “Duration of DUS tests” and “Procedure for the introduction of Test Guidelines” to be included in a revision of document TGP/7 “Development of Test Guidelines”</w:t>
      </w:r>
      <w:r w:rsidR="00DF7B75">
        <w:rPr>
          <w:rStyle w:val="FootnoteReference"/>
        </w:rPr>
        <w:footnoteReference w:id="7"/>
      </w:r>
      <w:r>
        <w:t>.</w:t>
      </w:r>
    </w:p>
    <w:p w:rsidR="008200AE" w:rsidRDefault="008200AE" w:rsidP="00501AC5"/>
    <w:p w:rsidR="0019194C" w:rsidRDefault="0019194C" w:rsidP="0019194C">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TGP/7/6 (document TGP/7/7 Draft 1) should be put forward for adoption by the Council at its fifty-third ordinary session, subject to the approval of the CAJ at its seventy-sixth session</w:t>
      </w:r>
      <w:r w:rsidRPr="0083066D">
        <w:rPr>
          <w:spacing w:val="-2"/>
          <w:vertAlign w:val="superscript"/>
        </w:rPr>
        <w:fldChar w:fldCharType="begin"/>
      </w:r>
      <w:r w:rsidRPr="0083066D">
        <w:rPr>
          <w:spacing w:val="-2"/>
          <w:vertAlign w:val="superscript"/>
        </w:rPr>
        <w:instrText xml:space="preserve"> NOTEREF _Ref12539207 \h </w:instrText>
      </w:r>
      <w:r>
        <w:rPr>
          <w:spacing w:val="-2"/>
          <w:vertAlign w:val="superscript"/>
        </w:rPr>
        <w:instrText xml:space="preserve"> \* MERGEFORMAT </w:instrText>
      </w:r>
      <w:r w:rsidRPr="0083066D">
        <w:rPr>
          <w:spacing w:val="-2"/>
          <w:vertAlign w:val="superscript"/>
        </w:rPr>
      </w:r>
      <w:r w:rsidRPr="0083066D">
        <w:rPr>
          <w:spacing w:val="-2"/>
          <w:vertAlign w:val="superscript"/>
        </w:rPr>
        <w:fldChar w:fldCharType="separate"/>
      </w:r>
      <w:r w:rsidR="00E7053E">
        <w:rPr>
          <w:spacing w:val="-2"/>
          <w:vertAlign w:val="superscript"/>
        </w:rPr>
        <w:t>5</w:t>
      </w:r>
      <w:r w:rsidRPr="0083066D">
        <w:rPr>
          <w:spacing w:val="-2"/>
          <w:vertAlign w:val="superscript"/>
        </w:rPr>
        <w:fldChar w:fldCharType="end"/>
      </w:r>
      <w:r>
        <w:rPr>
          <w:spacing w:val="-2"/>
        </w:rPr>
        <w:t>.</w:t>
      </w:r>
    </w:p>
    <w:p w:rsidR="0019194C" w:rsidRDefault="0019194C" w:rsidP="0019194C">
      <w:pPr>
        <w:rPr>
          <w:spacing w:val="-2"/>
        </w:rPr>
      </w:pPr>
    </w:p>
    <w:p w:rsidR="0019194C" w:rsidRDefault="0019194C" w:rsidP="0019194C">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TGP/7/7 to the Council.  Document TGP/7/7 Draft 1 incorporates the amendments agreed by the TC, as presented in Annex I to this document (in revision mode), and the linguistic changes made by the relevant members of the Editorial Committee.</w:t>
      </w:r>
    </w:p>
    <w:p w:rsidR="0019194C" w:rsidRDefault="0019194C" w:rsidP="0019194C">
      <w:pPr>
        <w:rPr>
          <w:bCs/>
          <w:snapToGrid w:val="0"/>
          <w:szCs w:val="24"/>
        </w:rPr>
      </w:pPr>
    </w:p>
    <w:p w:rsidR="00FE42F1" w:rsidRDefault="00FE42F1" w:rsidP="00501AC5">
      <w:r>
        <w:fldChar w:fldCharType="begin"/>
      </w:r>
      <w:r>
        <w:instrText xml:space="preserve"> AUTONUM  </w:instrText>
      </w:r>
      <w:r>
        <w:fldChar w:fldCharType="end"/>
      </w:r>
      <w:r>
        <w:tab/>
      </w:r>
      <w:r w:rsidR="00501AC5">
        <w:t>The TC, at its fifty-fifth session</w:t>
      </w:r>
      <w:r w:rsidR="00C52246" w:rsidRPr="00C52246">
        <w:rPr>
          <w:vertAlign w:val="superscript"/>
        </w:rPr>
        <w:t xml:space="preserve"> </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rsidR="004E123D">
        <w:t>,</w:t>
      </w:r>
      <w:r w:rsidR="00501AC5">
        <w:t xml:space="preserve"> will consider </w:t>
      </w:r>
      <w:r w:rsidR="00501AC5" w:rsidRPr="00501AC5">
        <w:t>document</w:t>
      </w:r>
      <w:r w:rsidR="00501AC5">
        <w:t> </w:t>
      </w:r>
      <w:r w:rsidR="00501AC5" w:rsidRPr="00501AC5">
        <w:t>TGP/7/7 Draft 1</w:t>
      </w:r>
      <w:r w:rsidR="008200AE">
        <w:t>.  Comments made by the TC will be reported to the CAJ</w:t>
      </w:r>
      <w:r w:rsidR="0057143A">
        <w:t xml:space="preserve"> </w:t>
      </w:r>
      <w:r w:rsidR="0057143A">
        <w:rPr>
          <w:spacing w:val="-2"/>
        </w:rPr>
        <w:t>at its seventy-sixth session</w:t>
      </w:r>
      <w:r w:rsidR="0057143A" w:rsidRPr="0083066D">
        <w:rPr>
          <w:spacing w:val="-2"/>
          <w:vertAlign w:val="superscript"/>
        </w:rPr>
        <w:fldChar w:fldCharType="begin"/>
      </w:r>
      <w:r w:rsidR="0057143A" w:rsidRPr="0083066D">
        <w:rPr>
          <w:spacing w:val="-2"/>
          <w:vertAlign w:val="superscript"/>
        </w:rPr>
        <w:instrText xml:space="preserve"> NOTEREF _Ref12539207 \h </w:instrText>
      </w:r>
      <w:r w:rsidR="0057143A">
        <w:rPr>
          <w:spacing w:val="-2"/>
          <w:vertAlign w:val="superscript"/>
        </w:rPr>
        <w:instrText xml:space="preserve"> \* MERGEFORMAT </w:instrText>
      </w:r>
      <w:r w:rsidR="0057143A" w:rsidRPr="0083066D">
        <w:rPr>
          <w:spacing w:val="-2"/>
          <w:vertAlign w:val="superscript"/>
        </w:rPr>
      </w:r>
      <w:r w:rsidR="0057143A" w:rsidRPr="0083066D">
        <w:rPr>
          <w:spacing w:val="-2"/>
          <w:vertAlign w:val="superscript"/>
        </w:rPr>
        <w:fldChar w:fldCharType="separate"/>
      </w:r>
      <w:r w:rsidR="00E7053E">
        <w:rPr>
          <w:spacing w:val="-2"/>
          <w:vertAlign w:val="superscript"/>
        </w:rPr>
        <w:t>5</w:t>
      </w:r>
      <w:r w:rsidR="0057143A" w:rsidRPr="0083066D">
        <w:rPr>
          <w:spacing w:val="-2"/>
          <w:vertAlign w:val="superscript"/>
        </w:rPr>
        <w:fldChar w:fldCharType="end"/>
      </w:r>
      <w:r w:rsidR="0019194C">
        <w:t>.</w:t>
      </w:r>
      <w:r w:rsidR="008200AE">
        <w:t xml:space="preserve"> </w:t>
      </w:r>
    </w:p>
    <w:p w:rsidR="008200AE" w:rsidRDefault="008200AE" w:rsidP="00501AC5"/>
    <w:p w:rsidR="003A2170" w:rsidRPr="00294914" w:rsidRDefault="003A2170" w:rsidP="003A2170">
      <w:pPr>
        <w:pStyle w:val="DecisionParagraphs"/>
      </w:pPr>
      <w:r w:rsidRPr="00254FA7">
        <w:fldChar w:fldCharType="begin"/>
      </w:r>
      <w:r w:rsidRPr="00254FA7">
        <w:instrText xml:space="preserve"> AUTONUM  </w:instrText>
      </w:r>
      <w:r w:rsidRPr="00254FA7">
        <w:fldChar w:fldCharType="end"/>
      </w:r>
      <w:r w:rsidRPr="00254FA7">
        <w:tab/>
        <w:t xml:space="preserve">The </w:t>
      </w:r>
      <w:r>
        <w:t>CAJ</w:t>
      </w:r>
      <w:r w:rsidRPr="00254FA7">
        <w:t xml:space="preserve"> is invited to </w:t>
      </w:r>
      <w:r>
        <w:t xml:space="preserve">consider the </w:t>
      </w:r>
      <w:r w:rsidRPr="00254FA7">
        <w:t>revision of document TGP/7 “Development of Test Guidelines”</w:t>
      </w:r>
      <w:r w:rsidR="00A8721B">
        <w:t xml:space="preserve"> </w:t>
      </w:r>
      <w:r w:rsidR="00A8721B" w:rsidRPr="00E11CE2">
        <w:t>(document TGP/7/7)</w:t>
      </w:r>
      <w:r w:rsidRPr="00254FA7">
        <w:t>, on the bas</w:t>
      </w:r>
      <w:r>
        <w:t xml:space="preserve">is of </w:t>
      </w:r>
      <w:r w:rsidR="00A8721B">
        <w:t>document </w:t>
      </w:r>
      <w:r>
        <w:t>TGP/7/</w:t>
      </w:r>
      <w:r w:rsidR="00FE42F1">
        <w:t>7</w:t>
      </w:r>
      <w:r w:rsidR="00D1372C">
        <w:t xml:space="preserve"> Draft 1</w:t>
      </w:r>
      <w:r w:rsidR="005768BF">
        <w:t xml:space="preserve">, </w:t>
      </w:r>
      <w:r w:rsidR="005768BF" w:rsidRPr="005768BF">
        <w:rPr>
          <w:spacing w:val="-2"/>
        </w:rPr>
        <w:t>taking into account the conclusions of the TC at its fifty-fifth session</w:t>
      </w:r>
      <w:r w:rsidRPr="005768BF">
        <w:rPr>
          <w:spacing w:val="-2"/>
        </w:rPr>
        <w:t>.</w:t>
      </w:r>
    </w:p>
    <w:p w:rsidR="003A2170" w:rsidRDefault="003A2170" w:rsidP="0050161D">
      <w:pPr>
        <w:rPr>
          <w:rFonts w:eastAsia="MS Mincho"/>
        </w:rPr>
      </w:pPr>
    </w:p>
    <w:p w:rsidR="00273B07" w:rsidRPr="00685AE9" w:rsidRDefault="00273B07" w:rsidP="0091141B">
      <w:pPr>
        <w:pStyle w:val="Heading2"/>
      </w:pPr>
      <w:bookmarkStart w:id="24" w:name="_Toc15566518"/>
      <w:r w:rsidRPr="00685AE9">
        <w:t>Document TGP/8: Trial Design and Techniques Used in the Examination of Distinctness, Uniformity and Stability</w:t>
      </w:r>
      <w:r w:rsidR="0091141B">
        <w:t xml:space="preserve"> (Revision) (document </w:t>
      </w:r>
      <w:r w:rsidR="0091141B" w:rsidRPr="00A32BED">
        <w:t>TGP/</w:t>
      </w:r>
      <w:r w:rsidR="0091141B">
        <w:t>8</w:t>
      </w:r>
      <w:r w:rsidR="0091141B" w:rsidRPr="00A32BED">
        <w:t>/</w:t>
      </w:r>
      <w:r w:rsidR="0091141B">
        <w:t>4</w:t>
      </w:r>
      <w:r w:rsidR="0091141B" w:rsidRPr="00A32BED">
        <w:t xml:space="preserve"> Draft </w:t>
      </w:r>
      <w:r w:rsidR="0091141B">
        <w:t>1)</w:t>
      </w:r>
      <w:bookmarkEnd w:id="24"/>
    </w:p>
    <w:p w:rsidR="0091141B" w:rsidRDefault="0091141B" w:rsidP="0091141B"/>
    <w:p w:rsidR="0091141B" w:rsidRDefault="0091141B" w:rsidP="0091141B">
      <w:r w:rsidRPr="00273B07">
        <w:fldChar w:fldCharType="begin"/>
      </w:r>
      <w:r w:rsidRPr="00273B07">
        <w:instrText xml:space="preserve"> AUTONUM  </w:instrText>
      </w:r>
      <w:r w:rsidRPr="00273B07">
        <w:fldChar w:fldCharType="end"/>
      </w:r>
      <w:r w:rsidRPr="00273B07">
        <w:tab/>
      </w:r>
      <w:r>
        <w:t>The TC, at its fifty-third session</w:t>
      </w:r>
      <w:bookmarkStart w:id="25" w:name="_Ref12539616"/>
      <w:r w:rsidR="000A0EE8">
        <w:rPr>
          <w:rStyle w:val="FootnoteReference"/>
        </w:rPr>
        <w:footnoteReference w:id="8"/>
      </w:r>
      <w:bookmarkEnd w:id="25"/>
      <w:r w:rsidR="004E123D">
        <w:t>,</w:t>
      </w:r>
      <w:r>
        <w:t xml:space="preserve"> agreed the proposal for guidance on “</w:t>
      </w:r>
      <w:r w:rsidRPr="0091141B">
        <w:t>Examining characteristics on the basis of bulk samples</w:t>
      </w:r>
      <w:r>
        <w:t>” to be included in a revision of document TGP/8 “</w:t>
      </w:r>
      <w:r w:rsidRPr="00685AE9">
        <w:t>Trial Design and Techniques Used in the Examination of Distinctness, Uniformity and Stability</w:t>
      </w:r>
      <w:r w:rsidR="000A0EE8">
        <w:t>”</w:t>
      </w:r>
      <w:r w:rsidR="000A0EE8">
        <w:rPr>
          <w:rStyle w:val="FootnoteReference"/>
        </w:rPr>
        <w:footnoteReference w:id="9"/>
      </w:r>
      <w:r>
        <w:t xml:space="preserve">.  </w:t>
      </w:r>
    </w:p>
    <w:p w:rsidR="0091141B" w:rsidRDefault="0091141B" w:rsidP="0091141B"/>
    <w:p w:rsidR="0091141B" w:rsidRDefault="0091141B" w:rsidP="00B74047">
      <w:r>
        <w:fldChar w:fldCharType="begin"/>
      </w:r>
      <w:r>
        <w:instrText xml:space="preserve"> AUTONUM  </w:instrText>
      </w:r>
      <w:r>
        <w:fldChar w:fldCharType="end"/>
      </w:r>
      <w:r>
        <w:tab/>
      </w:r>
      <w:r w:rsidRPr="00273B07">
        <w:t>The TC, at its fifty-fourth session</w:t>
      </w:r>
      <w:r w:rsidR="00F643C9">
        <w:fldChar w:fldCharType="begin"/>
      </w:r>
      <w:r w:rsidR="00F643C9">
        <w:instrText xml:space="preserve"> NOTEREF _Ref12538883 \f \h </w:instrText>
      </w:r>
      <w:r w:rsidR="00F643C9">
        <w:fldChar w:fldCharType="separate"/>
      </w:r>
      <w:r w:rsidR="00E7053E" w:rsidRPr="00E7053E">
        <w:rPr>
          <w:rStyle w:val="FootnoteReference"/>
        </w:rPr>
        <w:t>2</w:t>
      </w:r>
      <w:r w:rsidR="00F643C9">
        <w:fldChar w:fldCharType="end"/>
      </w:r>
      <w:r w:rsidR="004E123D">
        <w:t>,</w:t>
      </w:r>
      <w:r w:rsidR="00B74047">
        <w:t xml:space="preserve"> agreed </w:t>
      </w:r>
      <w:r w:rsidR="00B74047" w:rsidRPr="00273B07">
        <w:t>that the guidance in document TGP/8/2: Part II: Section 8: Subsection 8.1.7 should be replaced by a cross-reference to</w:t>
      </w:r>
      <w:r w:rsidR="00F643C9">
        <w:t xml:space="preserve"> the new guidance on “Assessing </w:t>
      </w:r>
      <w:r w:rsidR="00B74047" w:rsidRPr="00273B07">
        <w:t>uniformity by off-types on the basis of more than one growing cycle or on the basis of sub-samples” to be included in document TGP/10 “Examining Uniformity”</w:t>
      </w:r>
      <w:r w:rsidR="004E123D">
        <w:rPr>
          <w:rStyle w:val="FootnoteReference"/>
        </w:rPr>
        <w:footnoteReference w:id="10"/>
      </w:r>
      <w:r w:rsidR="004E123D">
        <w:t>.</w:t>
      </w:r>
    </w:p>
    <w:p w:rsidR="00B74047" w:rsidRDefault="00B74047" w:rsidP="00B74047"/>
    <w:p w:rsidR="00824EE7" w:rsidRDefault="00824EE7" w:rsidP="00824EE7">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TGP/8/3 (document TGP/8/4 Draft 1) should be put forward for adoption by the Council at its fifty-third ordinary session, subject to the approval of the CAJ at its seventy-sixth session</w:t>
      </w:r>
      <w:r w:rsidRPr="003E1190">
        <w:rPr>
          <w:spacing w:val="-2"/>
          <w:vertAlign w:val="superscript"/>
        </w:rPr>
        <w:fldChar w:fldCharType="begin"/>
      </w:r>
      <w:r w:rsidRPr="003E1190">
        <w:rPr>
          <w:spacing w:val="-2"/>
          <w:vertAlign w:val="superscript"/>
        </w:rPr>
        <w:instrText xml:space="preserve"> NOTEREF _Ref12539207 \h </w:instrText>
      </w:r>
      <w:r>
        <w:rPr>
          <w:spacing w:val="-2"/>
          <w:vertAlign w:val="superscript"/>
        </w:rPr>
        <w:instrText xml:space="preserve"> \* MERGEFORMAT </w:instrText>
      </w:r>
      <w:r w:rsidRPr="003E1190">
        <w:rPr>
          <w:spacing w:val="-2"/>
          <w:vertAlign w:val="superscript"/>
        </w:rPr>
      </w:r>
      <w:r w:rsidRPr="003E1190">
        <w:rPr>
          <w:spacing w:val="-2"/>
          <w:vertAlign w:val="superscript"/>
        </w:rPr>
        <w:fldChar w:fldCharType="separate"/>
      </w:r>
      <w:r w:rsidR="00E7053E">
        <w:rPr>
          <w:spacing w:val="-2"/>
          <w:vertAlign w:val="superscript"/>
        </w:rPr>
        <w:t>5</w:t>
      </w:r>
      <w:r w:rsidRPr="003E1190">
        <w:rPr>
          <w:spacing w:val="-2"/>
          <w:vertAlign w:val="superscript"/>
        </w:rPr>
        <w:fldChar w:fldCharType="end"/>
      </w:r>
      <w:r>
        <w:rPr>
          <w:spacing w:val="-2"/>
        </w:rPr>
        <w:t xml:space="preserve">.  </w:t>
      </w:r>
    </w:p>
    <w:p w:rsidR="00824EE7" w:rsidRDefault="00824EE7" w:rsidP="00824EE7">
      <w:pPr>
        <w:rPr>
          <w:spacing w:val="-2"/>
        </w:rPr>
      </w:pPr>
    </w:p>
    <w:p w:rsidR="00824EE7" w:rsidRDefault="00824EE7" w:rsidP="00824EE7">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TGP/8/4 to the Council.  Document TGP/8/4 Draft 1 incorporates the amendments agreed by the TC, as presented in Annex II to this document (in revision mode), and the linguistic changes made by the relevant members of the Editorial Committee.</w:t>
      </w:r>
    </w:p>
    <w:p w:rsidR="00824EE7" w:rsidRDefault="00824EE7" w:rsidP="00824EE7">
      <w:pPr>
        <w:rPr>
          <w:bCs/>
          <w:snapToGrid w:val="0"/>
          <w:szCs w:val="24"/>
        </w:rPr>
      </w:pPr>
    </w:p>
    <w:p w:rsidR="0091141B" w:rsidRDefault="0091141B" w:rsidP="0091141B">
      <w:r>
        <w:fldChar w:fldCharType="begin"/>
      </w:r>
      <w:r>
        <w:instrText xml:space="preserve"> AUTONUM  </w:instrText>
      </w:r>
      <w:r>
        <w:fldChar w:fldCharType="end"/>
      </w:r>
      <w:r>
        <w:tab/>
        <w:t>The</w:t>
      </w:r>
      <w:r w:rsidR="00993ED3">
        <w:t xml:space="preserve"> TC, at its fifty-fifth session</w:t>
      </w:r>
      <w:r w:rsidR="00C52246" w:rsidRPr="00C52246">
        <w:rPr>
          <w:vertAlign w:val="superscript"/>
        </w:rPr>
        <w:t xml:space="preserve"> </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rsidR="00824EE7">
        <w:t>,</w:t>
      </w:r>
      <w:r>
        <w:t xml:space="preserve"> will consider </w:t>
      </w:r>
      <w:r w:rsidRPr="00501AC5">
        <w:t>document</w:t>
      </w:r>
      <w:r>
        <w:t> </w:t>
      </w:r>
      <w:r w:rsidR="00B74047" w:rsidRPr="00A32BED">
        <w:t>TGP/</w:t>
      </w:r>
      <w:r w:rsidR="00B74047">
        <w:t>8</w:t>
      </w:r>
      <w:r w:rsidR="00B74047" w:rsidRPr="00A32BED">
        <w:t>/</w:t>
      </w:r>
      <w:r w:rsidR="00B74047">
        <w:t>4</w:t>
      </w:r>
      <w:r w:rsidR="00B74047" w:rsidRPr="00A32BED">
        <w:t xml:space="preserve"> Draft </w:t>
      </w:r>
      <w:r w:rsidR="00B74047">
        <w:t>1</w:t>
      </w:r>
      <w:r>
        <w:t>.  Comments made by the TC will be reported to the CAJ at its seventy-sixth session</w:t>
      </w:r>
      <w:r w:rsidR="00F643C9">
        <w:fldChar w:fldCharType="begin"/>
      </w:r>
      <w:r w:rsidR="00F643C9">
        <w:instrText xml:space="preserve"> NOTEREF _Ref12539207 \f \h </w:instrText>
      </w:r>
      <w:r w:rsidR="00F643C9">
        <w:fldChar w:fldCharType="separate"/>
      </w:r>
      <w:r w:rsidR="00E7053E" w:rsidRPr="00E7053E">
        <w:rPr>
          <w:rStyle w:val="FootnoteReference"/>
        </w:rPr>
        <w:t>5</w:t>
      </w:r>
      <w:r w:rsidR="00F643C9">
        <w:fldChar w:fldCharType="end"/>
      </w:r>
      <w:r>
        <w:t>.</w:t>
      </w:r>
    </w:p>
    <w:p w:rsidR="0091141B" w:rsidRDefault="0091141B" w:rsidP="0091141B"/>
    <w:p w:rsidR="00C33E97" w:rsidRPr="00294914" w:rsidRDefault="00C33E97" w:rsidP="00C33E97">
      <w:pPr>
        <w:pStyle w:val="DecisionParagraphs"/>
      </w:pPr>
      <w:r w:rsidRPr="00254FA7">
        <w:fldChar w:fldCharType="begin"/>
      </w:r>
      <w:r w:rsidRPr="00254FA7">
        <w:instrText xml:space="preserve"> AUTONUM  </w:instrText>
      </w:r>
      <w:r w:rsidRPr="00254FA7">
        <w:fldChar w:fldCharType="end"/>
      </w:r>
      <w:r w:rsidRPr="00254FA7">
        <w:tab/>
        <w:t xml:space="preserve">The </w:t>
      </w:r>
      <w:r>
        <w:t>CAJ</w:t>
      </w:r>
      <w:r w:rsidRPr="00254FA7">
        <w:t xml:space="preserve"> is invited to </w:t>
      </w:r>
      <w:r>
        <w:t xml:space="preserve">consider the </w:t>
      </w:r>
      <w:r w:rsidRPr="00254FA7">
        <w:t xml:space="preserve">revision of document </w:t>
      </w:r>
      <w:r>
        <w:t>TGP/8 “</w:t>
      </w:r>
      <w:r w:rsidRPr="003E7167">
        <w:t>Trial Design and Techniques Used in the Examination of Distinctness, Uniformity and Stability</w:t>
      </w:r>
      <w:r>
        <w:t>”</w:t>
      </w:r>
      <w:r w:rsidR="00A8721B">
        <w:t xml:space="preserve"> (</w:t>
      </w:r>
      <w:r w:rsidR="00A8721B" w:rsidRPr="00254FA7">
        <w:t xml:space="preserve">document </w:t>
      </w:r>
      <w:r w:rsidR="00A8721B">
        <w:t>TGP/8/3)</w:t>
      </w:r>
      <w:r w:rsidRPr="00254FA7">
        <w:t>, on the bas</w:t>
      </w:r>
      <w:r>
        <w:t>is of document TGP/8/4 Draft 1</w:t>
      </w:r>
      <w:r w:rsidR="006F6881">
        <w:t xml:space="preserve">, </w:t>
      </w:r>
      <w:r w:rsidR="006F6881" w:rsidRPr="005768BF">
        <w:rPr>
          <w:spacing w:val="-2"/>
        </w:rPr>
        <w:t>taking into account the conclusions of the TC at its fifty</w:t>
      </w:r>
      <w:r w:rsidR="006F6881">
        <w:rPr>
          <w:spacing w:val="-2"/>
        </w:rPr>
        <w:noBreakHyphen/>
      </w:r>
      <w:r w:rsidR="006F6881" w:rsidRPr="005768BF">
        <w:rPr>
          <w:spacing w:val="-2"/>
        </w:rPr>
        <w:t>fifth session</w:t>
      </w:r>
      <w:r w:rsidR="000771BD">
        <w:t>.</w:t>
      </w:r>
      <w:r>
        <w:t xml:space="preserve"> </w:t>
      </w:r>
    </w:p>
    <w:p w:rsidR="00273B07" w:rsidRPr="00273B07" w:rsidRDefault="00273B07" w:rsidP="00273B07"/>
    <w:p w:rsidR="00273B07" w:rsidRDefault="00273B07" w:rsidP="003E76C2">
      <w:pPr>
        <w:pStyle w:val="Heading2"/>
      </w:pPr>
      <w:bookmarkStart w:id="26" w:name="_Toc519608630"/>
      <w:bookmarkStart w:id="27" w:name="_Toc15566519"/>
      <w:r w:rsidRPr="00C33E97">
        <w:t>Document TGP/10: Examining uniformity</w:t>
      </w:r>
      <w:bookmarkEnd w:id="26"/>
      <w:r w:rsidR="00D241D3">
        <w:t xml:space="preserve"> (Revision) (document </w:t>
      </w:r>
      <w:r w:rsidR="00D241D3" w:rsidRPr="00A32BED">
        <w:t>TGP/</w:t>
      </w:r>
      <w:r w:rsidR="00D241D3">
        <w:t>10</w:t>
      </w:r>
      <w:r w:rsidR="00D241D3" w:rsidRPr="00A32BED">
        <w:t>/</w:t>
      </w:r>
      <w:r w:rsidR="00D241D3">
        <w:t>2</w:t>
      </w:r>
      <w:r w:rsidR="00D241D3" w:rsidRPr="00A32BED">
        <w:t xml:space="preserve"> Draft </w:t>
      </w:r>
      <w:r w:rsidR="00D241D3">
        <w:t>1)</w:t>
      </w:r>
      <w:bookmarkEnd w:id="27"/>
    </w:p>
    <w:p w:rsidR="00DE42A3" w:rsidRDefault="00DE42A3" w:rsidP="003E76C2">
      <w:pPr>
        <w:keepNext/>
        <w:rPr>
          <w:rFonts w:eastAsia="MS Mincho"/>
          <w:i/>
        </w:rPr>
      </w:pPr>
    </w:p>
    <w:p w:rsidR="009D3A71" w:rsidRPr="00DB522D" w:rsidRDefault="00F928F4" w:rsidP="003E76C2">
      <w:pPr>
        <w:keepNext/>
      </w:pPr>
      <w:r>
        <w:fldChar w:fldCharType="begin"/>
      </w:r>
      <w:r>
        <w:instrText xml:space="preserve"> AUTONUM  </w:instrText>
      </w:r>
      <w:r>
        <w:fldChar w:fldCharType="end"/>
      </w:r>
      <w:r>
        <w:tab/>
      </w:r>
      <w:r w:rsidR="009D3A71" w:rsidRPr="00DB522D">
        <w:t>The TC</w:t>
      </w:r>
      <w:r w:rsidR="009D3A71">
        <w:t>, at its fifty-fourth session</w:t>
      </w:r>
      <w:r w:rsidR="005C045D">
        <w:fldChar w:fldCharType="begin"/>
      </w:r>
      <w:r w:rsidR="005C045D">
        <w:instrText xml:space="preserve"> NOTEREF _Ref12538883 \f \h </w:instrText>
      </w:r>
      <w:r w:rsidR="005C045D">
        <w:fldChar w:fldCharType="separate"/>
      </w:r>
      <w:r w:rsidR="00E7053E" w:rsidRPr="00E7053E">
        <w:rPr>
          <w:rStyle w:val="FootnoteReference"/>
        </w:rPr>
        <w:t>2</w:t>
      </w:r>
      <w:r w:rsidR="005C045D">
        <w:fldChar w:fldCharType="end"/>
      </w:r>
      <w:r w:rsidR="00824EE7">
        <w:t>,</w:t>
      </w:r>
      <w:r w:rsidR="00D241D3">
        <w:t xml:space="preserve"> </w:t>
      </w:r>
      <w:r w:rsidR="009D3A71" w:rsidRPr="00DB522D">
        <w:t xml:space="preserve">agreed that the draft guidance </w:t>
      </w:r>
      <w:r w:rsidR="00D241D3" w:rsidRPr="0021251E">
        <w:rPr>
          <w:rFonts w:eastAsia="MS Mincho"/>
          <w:color w:val="000000"/>
          <w:szCs w:val="24"/>
          <w:lang w:eastAsia="ja-JP"/>
        </w:rPr>
        <w:t xml:space="preserve">on </w:t>
      </w:r>
      <w:r w:rsidR="00D241D3">
        <w:rPr>
          <w:rFonts w:eastAsia="MS Mincho"/>
          <w:color w:val="000000"/>
          <w:szCs w:val="24"/>
          <w:lang w:eastAsia="ja-JP"/>
        </w:rPr>
        <w:t>“A</w:t>
      </w:r>
      <w:r w:rsidR="00D241D3" w:rsidRPr="0021251E">
        <w:rPr>
          <w:rFonts w:eastAsia="MS Mincho"/>
          <w:color w:val="000000"/>
          <w:szCs w:val="24"/>
          <w:lang w:eastAsia="ja-JP"/>
        </w:rPr>
        <w:t>ssessing uniformity by off-types on the basis of more than one growing cycle or on the basis of sub-samples</w:t>
      </w:r>
      <w:r w:rsidR="00D241D3">
        <w:rPr>
          <w:rFonts w:eastAsia="MS Mincho"/>
          <w:color w:val="000000"/>
          <w:szCs w:val="24"/>
          <w:lang w:eastAsia="ja-JP"/>
        </w:rPr>
        <w:t>”</w:t>
      </w:r>
      <w:r w:rsidR="00D241D3">
        <w:t xml:space="preserve"> </w:t>
      </w:r>
      <w:r w:rsidR="009D3A71" w:rsidRPr="00DB522D">
        <w:t>should be put forward for adoption by the Council for inclusion in a future revision of docume</w:t>
      </w:r>
      <w:r w:rsidR="009D3A71">
        <w:t>nt</w:t>
      </w:r>
      <w:r w:rsidR="00D241D3">
        <w:t> </w:t>
      </w:r>
      <w:r w:rsidR="009D3A71">
        <w:t>TGP/10 “Examining Uniformity</w:t>
      </w:r>
      <w:r w:rsidR="009D3A71" w:rsidRPr="00DB522D">
        <w:t>”</w:t>
      </w:r>
      <w:r w:rsidR="005C045D">
        <w:rPr>
          <w:rStyle w:val="FootnoteReference"/>
        </w:rPr>
        <w:footnoteReference w:id="11"/>
      </w:r>
      <w:r w:rsidR="009D3A71" w:rsidRPr="0021251E">
        <w:rPr>
          <w:rFonts w:eastAsia="MS Mincho"/>
          <w:color w:val="000000"/>
          <w:szCs w:val="24"/>
          <w:lang w:eastAsia="ja-JP"/>
        </w:rPr>
        <w:t xml:space="preserve">.  </w:t>
      </w:r>
    </w:p>
    <w:p w:rsidR="00F928F4" w:rsidRDefault="00F928F4" w:rsidP="00F928F4"/>
    <w:p w:rsidR="00824EE7" w:rsidRDefault="00824EE7" w:rsidP="00824EE7">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TGP/10/2 to the Council.  Document TGP/10/2 Draft 1 incorporates the amendments agreed by the TC, as presented in Annex III to this document, and the linguistic changes made by the relevant members of the Editorial Committee.</w:t>
      </w:r>
    </w:p>
    <w:p w:rsidR="00824EE7" w:rsidRDefault="00824EE7" w:rsidP="00824EE7">
      <w:pPr>
        <w:rPr>
          <w:bCs/>
          <w:snapToGrid w:val="0"/>
          <w:szCs w:val="24"/>
        </w:rPr>
      </w:pPr>
    </w:p>
    <w:p w:rsidR="00D241D3" w:rsidRDefault="00D241D3" w:rsidP="00D241D3">
      <w:r>
        <w:fldChar w:fldCharType="begin"/>
      </w:r>
      <w:r>
        <w:instrText xml:space="preserve"> AUTONUM  </w:instrText>
      </w:r>
      <w:r>
        <w:fldChar w:fldCharType="end"/>
      </w:r>
      <w:r>
        <w:tab/>
        <w:t>The TC, at its fifty-fifth session</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t xml:space="preserve">, will consider </w:t>
      </w:r>
      <w:r w:rsidRPr="00501AC5">
        <w:t>document</w:t>
      </w:r>
      <w:r>
        <w:t> </w:t>
      </w:r>
      <w:r w:rsidRPr="00A32BED">
        <w:t>TGP/</w:t>
      </w:r>
      <w:r>
        <w:t>10</w:t>
      </w:r>
      <w:r w:rsidRPr="00A32BED">
        <w:t>/</w:t>
      </w:r>
      <w:r>
        <w:t>2</w:t>
      </w:r>
      <w:r w:rsidRPr="00A32BED">
        <w:t xml:space="preserve"> Draft </w:t>
      </w:r>
      <w:r>
        <w:t>1.  Comments made by the TC will be reported to the CAJ at its seventy-sixth session</w:t>
      </w:r>
      <w:r w:rsidR="0041246A">
        <w:fldChar w:fldCharType="begin"/>
      </w:r>
      <w:r w:rsidR="0041246A">
        <w:instrText xml:space="preserve"> NOTEREF _Ref12539207 \f \h </w:instrText>
      </w:r>
      <w:r w:rsidR="0041246A">
        <w:fldChar w:fldCharType="separate"/>
      </w:r>
      <w:r w:rsidR="00E7053E" w:rsidRPr="00E7053E">
        <w:rPr>
          <w:rStyle w:val="FootnoteReference"/>
        </w:rPr>
        <w:t>5</w:t>
      </w:r>
      <w:r w:rsidR="0041246A">
        <w:fldChar w:fldCharType="end"/>
      </w:r>
      <w:r>
        <w:t>.</w:t>
      </w:r>
    </w:p>
    <w:p w:rsidR="00D241D3" w:rsidRDefault="00D241D3" w:rsidP="00F928F4"/>
    <w:p w:rsidR="00F928F4" w:rsidRPr="00294914" w:rsidRDefault="00F928F4" w:rsidP="00F928F4">
      <w:pPr>
        <w:pStyle w:val="DecisionParagraphs"/>
      </w:pPr>
      <w:r w:rsidRPr="00254FA7">
        <w:fldChar w:fldCharType="begin"/>
      </w:r>
      <w:r w:rsidRPr="00254FA7">
        <w:instrText xml:space="preserve"> AUTONUM  </w:instrText>
      </w:r>
      <w:r w:rsidRPr="00254FA7">
        <w:fldChar w:fldCharType="end"/>
      </w:r>
      <w:r w:rsidRPr="00254FA7">
        <w:tab/>
        <w:t xml:space="preserve">The </w:t>
      </w:r>
      <w:r>
        <w:t>CAJ</w:t>
      </w:r>
      <w:r w:rsidRPr="00254FA7">
        <w:t xml:space="preserve"> is invited to </w:t>
      </w:r>
      <w:r>
        <w:t xml:space="preserve">consider the </w:t>
      </w:r>
      <w:r w:rsidRPr="00254FA7">
        <w:t xml:space="preserve">revision of document </w:t>
      </w:r>
      <w:r>
        <w:t>TGP/10 “</w:t>
      </w:r>
      <w:r w:rsidRPr="003E7167">
        <w:t>Examin</w:t>
      </w:r>
      <w:r>
        <w:t>ing</w:t>
      </w:r>
      <w:r w:rsidRPr="003E7167">
        <w:t xml:space="preserve"> Uniformity</w:t>
      </w:r>
      <w:r>
        <w:t>”</w:t>
      </w:r>
      <w:r w:rsidR="00A8721B">
        <w:t xml:space="preserve"> (document TGP/10/1</w:t>
      </w:r>
      <w:r w:rsidRPr="00254FA7">
        <w:t>,</w:t>
      </w:r>
      <w:r w:rsidR="00A8721B">
        <w:t>)</w:t>
      </w:r>
      <w:r w:rsidRPr="00254FA7">
        <w:t xml:space="preserve"> on the bas</w:t>
      </w:r>
      <w:r>
        <w:t xml:space="preserve">is of </w:t>
      </w:r>
      <w:r w:rsidR="00B114C1">
        <w:t>document TGP/10/2 </w:t>
      </w:r>
      <w:r>
        <w:t>Draft 1</w:t>
      </w:r>
      <w:r w:rsidR="006F6881">
        <w:t xml:space="preserve">, </w:t>
      </w:r>
      <w:r w:rsidR="006F6881" w:rsidRPr="005768BF">
        <w:rPr>
          <w:spacing w:val="-2"/>
        </w:rPr>
        <w:t>taking into account the conclusions of the TC at its fifty-fifth session</w:t>
      </w:r>
      <w:r>
        <w:t xml:space="preserve">. </w:t>
      </w:r>
    </w:p>
    <w:p w:rsidR="00273B07" w:rsidRDefault="00273B07" w:rsidP="00273B07"/>
    <w:p w:rsidR="0041246A" w:rsidRPr="00C33E97" w:rsidRDefault="0041246A" w:rsidP="00273B07"/>
    <w:p w:rsidR="00273B07" w:rsidRPr="00C33E97" w:rsidRDefault="00273B07" w:rsidP="00273B07">
      <w:pPr>
        <w:keepNext/>
        <w:outlineLvl w:val="1"/>
        <w:rPr>
          <w:u w:val="single"/>
        </w:rPr>
      </w:pPr>
      <w:bookmarkStart w:id="28" w:name="_Toc519608632"/>
      <w:bookmarkStart w:id="29" w:name="_Toc15566520"/>
      <w:r w:rsidRPr="00C33E97">
        <w:rPr>
          <w:u w:val="single"/>
        </w:rPr>
        <w:t>Document TGP/14: Glossary of Terms Used in UPOV Documents</w:t>
      </w:r>
      <w:bookmarkEnd w:id="28"/>
      <w:r w:rsidR="007355B8">
        <w:rPr>
          <w:u w:val="single"/>
        </w:rPr>
        <w:t xml:space="preserve"> (document TGP/14/4 Draft </w:t>
      </w:r>
      <w:r w:rsidR="007355B8" w:rsidRPr="007355B8">
        <w:rPr>
          <w:u w:val="single"/>
        </w:rPr>
        <w:t>1</w:t>
      </w:r>
      <w:r w:rsidR="007355B8">
        <w:rPr>
          <w:u w:val="single"/>
        </w:rPr>
        <w:t>)</w:t>
      </w:r>
      <w:bookmarkEnd w:id="29"/>
    </w:p>
    <w:p w:rsidR="00DE42A3" w:rsidRDefault="00DE42A3" w:rsidP="003035E1">
      <w:pPr>
        <w:rPr>
          <w:i/>
        </w:rPr>
      </w:pPr>
    </w:p>
    <w:p w:rsidR="003035E1" w:rsidRPr="00824EE7" w:rsidRDefault="003035E1" w:rsidP="003035E1">
      <w:r w:rsidRPr="000279A4">
        <w:fldChar w:fldCharType="begin"/>
      </w:r>
      <w:r w:rsidRPr="000279A4">
        <w:instrText xml:space="preserve"> AUTONUM  </w:instrText>
      </w:r>
      <w:r w:rsidRPr="000279A4">
        <w:fldChar w:fldCharType="end"/>
      </w:r>
      <w:r w:rsidRPr="000279A4">
        <w:tab/>
        <w:t>The TC, at its fifty-third session</w:t>
      </w:r>
      <w:r w:rsidR="00392E8B">
        <w:fldChar w:fldCharType="begin"/>
      </w:r>
      <w:r w:rsidR="00392E8B">
        <w:instrText xml:space="preserve"> NOTEREF _Ref12539616 \f \h </w:instrText>
      </w:r>
      <w:r w:rsidR="00392E8B">
        <w:fldChar w:fldCharType="separate"/>
      </w:r>
      <w:r w:rsidR="00E7053E" w:rsidRPr="00E7053E">
        <w:rPr>
          <w:rStyle w:val="FootnoteReference"/>
        </w:rPr>
        <w:t>7</w:t>
      </w:r>
      <w:r w:rsidR="00392E8B">
        <w:fldChar w:fldCharType="end"/>
      </w:r>
      <w:r w:rsidR="00824EE7">
        <w:t>,</w:t>
      </w:r>
      <w:r w:rsidRPr="000279A4">
        <w:t xml:space="preserve"> agreed to revise document TGP/14: Section 2: Subsection 2: </w:t>
      </w:r>
      <w:r>
        <w:t>“</w:t>
      </w:r>
      <w:r w:rsidRPr="000279A4">
        <w:t xml:space="preserve">Shapes </w:t>
      </w:r>
      <w:r w:rsidRPr="00824EE7">
        <w:t xml:space="preserve">and structures” to amend the grid in Example 5, Alternative 2, </w:t>
      </w:r>
      <w:r w:rsidR="00691F62" w:rsidRPr="00824EE7">
        <w:t xml:space="preserve">as presented in </w:t>
      </w:r>
      <w:r w:rsidR="00691F62" w:rsidRPr="0083066D">
        <w:t>Annex IV</w:t>
      </w:r>
      <w:r w:rsidR="00392E8B" w:rsidRPr="00824EE7">
        <w:t xml:space="preserve"> to this document</w:t>
      </w:r>
      <w:r w:rsidR="00392E8B" w:rsidRPr="00824EE7">
        <w:rPr>
          <w:rStyle w:val="FootnoteReference"/>
        </w:rPr>
        <w:footnoteReference w:id="12"/>
      </w:r>
      <w:r w:rsidR="00555B9E" w:rsidRPr="00824EE7">
        <w:t>.</w:t>
      </w:r>
    </w:p>
    <w:p w:rsidR="00555B9E" w:rsidRPr="00824EE7" w:rsidRDefault="00555B9E" w:rsidP="00273B07">
      <w:pPr>
        <w:keepNext/>
        <w:outlineLvl w:val="2"/>
        <w:rPr>
          <w:rFonts w:eastAsia="MS Mincho"/>
          <w:i/>
        </w:rPr>
      </w:pPr>
    </w:p>
    <w:p w:rsidR="00691F62" w:rsidRPr="00824EE7" w:rsidRDefault="00555B9E" w:rsidP="00555B9E">
      <w:r w:rsidRPr="0083066D">
        <w:fldChar w:fldCharType="begin"/>
      </w:r>
      <w:r w:rsidRPr="00824EE7">
        <w:instrText xml:space="preserve"> AUTONUM  </w:instrText>
      </w:r>
      <w:r w:rsidRPr="0083066D">
        <w:fldChar w:fldCharType="end"/>
      </w:r>
      <w:r w:rsidRPr="00824EE7">
        <w:tab/>
        <w:t>The TC, at its fifty-fourth session</w:t>
      </w:r>
      <w:r w:rsidR="00474EB8" w:rsidRPr="0083066D">
        <w:fldChar w:fldCharType="begin"/>
      </w:r>
      <w:r w:rsidR="00474EB8" w:rsidRPr="00824EE7">
        <w:instrText xml:space="preserve"> NOTEREF _Ref12538883 \f \h </w:instrText>
      </w:r>
      <w:r w:rsidR="00474EB8" w:rsidRPr="0083066D">
        <w:fldChar w:fldCharType="separate"/>
      </w:r>
      <w:r w:rsidR="00E7053E" w:rsidRPr="00E7053E">
        <w:rPr>
          <w:rStyle w:val="FootnoteReference"/>
        </w:rPr>
        <w:t>2</w:t>
      </w:r>
      <w:r w:rsidR="00474EB8" w:rsidRPr="0083066D">
        <w:fldChar w:fldCharType="end"/>
      </w:r>
      <w:r w:rsidR="00824EE7" w:rsidRPr="00824EE7">
        <w:t>,</w:t>
      </w:r>
      <w:r w:rsidRPr="00824EE7">
        <w:t xml:space="preserve"> agreed </w:t>
      </w:r>
      <w:r w:rsidR="00824EE7" w:rsidRPr="00256CA0">
        <w:t xml:space="preserve">the proposed revisions </w:t>
      </w:r>
      <w:r w:rsidRPr="00824EE7">
        <w:t xml:space="preserve">of document TGP/14 </w:t>
      </w:r>
      <w:r w:rsidR="00824EE7">
        <w:t xml:space="preserve">“Glossary of terms used in UPOV documents” </w:t>
      </w:r>
      <w:r w:rsidRPr="00824EE7">
        <w:t>to i</w:t>
      </w:r>
      <w:r w:rsidRPr="007C2FEB">
        <w:t>nclude g</w:t>
      </w:r>
      <w:r w:rsidRPr="00824EE7">
        <w:t>uidance on the factors to be considered for creating color groups for grouping of va</w:t>
      </w:r>
      <w:r w:rsidRPr="007C2FEB">
        <w:t xml:space="preserve">rieties and organizing the </w:t>
      </w:r>
      <w:r w:rsidRPr="00824EE7">
        <w:t>growing trial</w:t>
      </w:r>
      <w:r w:rsidR="00474EB8" w:rsidRPr="00824EE7">
        <w:rPr>
          <w:rStyle w:val="FootnoteReference"/>
        </w:rPr>
        <w:footnoteReference w:id="13"/>
      </w:r>
      <w:r w:rsidRPr="00824EE7">
        <w:t xml:space="preserve">.  </w:t>
      </w:r>
    </w:p>
    <w:p w:rsidR="00691F62" w:rsidRPr="00824EE7" w:rsidRDefault="00691F62" w:rsidP="00555B9E"/>
    <w:p w:rsidR="006F6881" w:rsidRDefault="006F6881" w:rsidP="006F6881">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TGP/14/3 (document TGP/14/4 Draft 1) should be put forward for adoption by the Council at its fifty-third ordinary session, subject to the approval of the CAJ at its seventy-sixth session</w:t>
      </w:r>
      <w:r>
        <w:fldChar w:fldCharType="begin"/>
      </w:r>
      <w:r>
        <w:instrText xml:space="preserve"> NOTEREF _Ref12539207 \f \h </w:instrText>
      </w:r>
      <w:r>
        <w:fldChar w:fldCharType="separate"/>
      </w:r>
      <w:r w:rsidR="00E7053E" w:rsidRPr="00E7053E">
        <w:rPr>
          <w:rStyle w:val="FootnoteReference"/>
        </w:rPr>
        <w:t>5</w:t>
      </w:r>
      <w:r>
        <w:fldChar w:fldCharType="end"/>
      </w:r>
      <w:r>
        <w:rPr>
          <w:spacing w:val="-2"/>
        </w:rPr>
        <w:t xml:space="preserve">.  </w:t>
      </w:r>
    </w:p>
    <w:p w:rsidR="006F6881" w:rsidRDefault="006F6881" w:rsidP="006F6881">
      <w:pPr>
        <w:rPr>
          <w:spacing w:val="-2"/>
        </w:rPr>
      </w:pPr>
    </w:p>
    <w:p w:rsidR="00824EE7" w:rsidRDefault="00824EE7" w:rsidP="00824EE7">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TGP/14/4 to the Council.  Document TGP/14/4 Draft 1 incorporates the amendments agreed by the TC, as presented in Annex IV to this document, and the linguistic changes made by the relevant members of the Editorial Committee.</w:t>
      </w:r>
    </w:p>
    <w:p w:rsidR="00824EE7" w:rsidRDefault="00824EE7" w:rsidP="00824EE7">
      <w:pPr>
        <w:rPr>
          <w:bCs/>
          <w:snapToGrid w:val="0"/>
          <w:szCs w:val="24"/>
        </w:rPr>
      </w:pPr>
    </w:p>
    <w:p w:rsidR="00691F62" w:rsidRDefault="00691F62" w:rsidP="00691F62">
      <w:r>
        <w:fldChar w:fldCharType="begin"/>
      </w:r>
      <w:r>
        <w:instrText xml:space="preserve"> AUTONUM  </w:instrText>
      </w:r>
      <w:r>
        <w:fldChar w:fldCharType="end"/>
      </w:r>
      <w:r>
        <w:tab/>
        <w:t>The TC, at its fifty-fifth session</w:t>
      </w:r>
      <w:r w:rsidR="00C52246" w:rsidRPr="00C52246">
        <w:rPr>
          <w:vertAlign w:val="superscript"/>
        </w:rPr>
        <w:t xml:space="preserve"> </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rsidR="00824EE7">
        <w:t>,</w:t>
      </w:r>
      <w:r>
        <w:t xml:space="preserve"> will consider </w:t>
      </w:r>
      <w:r w:rsidRPr="00501AC5">
        <w:t>document</w:t>
      </w:r>
      <w:r>
        <w:t> </w:t>
      </w:r>
      <w:r w:rsidR="006C3063">
        <w:t xml:space="preserve">TGP/14/4 </w:t>
      </w:r>
      <w:r w:rsidR="006C3063" w:rsidRPr="00635DA0">
        <w:t>Draft </w:t>
      </w:r>
      <w:r w:rsidR="006C3063">
        <w:t>1</w:t>
      </w:r>
      <w:r>
        <w:t>.  Comments made by the TC will be reported to the CAJ at its seventy-sixth session</w:t>
      </w:r>
      <w:r w:rsidR="00C936F0">
        <w:fldChar w:fldCharType="begin"/>
      </w:r>
      <w:r w:rsidR="00C936F0">
        <w:instrText xml:space="preserve"> NOTEREF _Ref12539207 \f \h </w:instrText>
      </w:r>
      <w:r w:rsidR="00C936F0">
        <w:fldChar w:fldCharType="separate"/>
      </w:r>
      <w:r w:rsidR="00E7053E" w:rsidRPr="00E7053E">
        <w:rPr>
          <w:rStyle w:val="FootnoteReference"/>
        </w:rPr>
        <w:t>5</w:t>
      </w:r>
      <w:r w:rsidR="00C936F0">
        <w:fldChar w:fldCharType="end"/>
      </w:r>
      <w:r>
        <w:t>.</w:t>
      </w:r>
    </w:p>
    <w:p w:rsidR="00691F62" w:rsidRDefault="00691F62" w:rsidP="00691F62"/>
    <w:p w:rsidR="00555B9E" w:rsidRPr="00294914" w:rsidRDefault="00555B9E" w:rsidP="00555B9E">
      <w:pPr>
        <w:pStyle w:val="DecisionParagraphs"/>
      </w:pPr>
      <w:r w:rsidRPr="00254FA7">
        <w:fldChar w:fldCharType="begin"/>
      </w:r>
      <w:r w:rsidRPr="00254FA7">
        <w:instrText xml:space="preserve"> AUTONUM  </w:instrText>
      </w:r>
      <w:r w:rsidRPr="00254FA7">
        <w:fldChar w:fldCharType="end"/>
      </w:r>
      <w:r w:rsidRPr="00254FA7">
        <w:tab/>
        <w:t xml:space="preserve">The </w:t>
      </w:r>
      <w:r>
        <w:t>CAJ</w:t>
      </w:r>
      <w:r w:rsidRPr="00254FA7">
        <w:t xml:space="preserve"> is invited to </w:t>
      </w:r>
      <w:r w:rsidR="008D7217">
        <w:t xml:space="preserve">consider the </w:t>
      </w:r>
      <w:r w:rsidR="008D7217" w:rsidRPr="00254FA7">
        <w:t xml:space="preserve">revision of document </w:t>
      </w:r>
      <w:r w:rsidR="008D7217">
        <w:t>TGP/14 “</w:t>
      </w:r>
      <w:r w:rsidR="00043980">
        <w:t>Glossary of Terms Used in UPOV </w:t>
      </w:r>
      <w:r w:rsidR="008D7217" w:rsidRPr="003650DF">
        <w:t>Documents</w:t>
      </w:r>
      <w:r w:rsidR="008D7217">
        <w:t>” (document TGP/14/3)</w:t>
      </w:r>
      <w:r w:rsidR="008D7217" w:rsidRPr="00254FA7">
        <w:t>, on the bas</w:t>
      </w:r>
      <w:r w:rsidR="008D7217">
        <w:t>is of document TGP/14/4 Draft 1, taking into account the conclusions of the TC at its fifty-fifth session.</w:t>
      </w:r>
    </w:p>
    <w:p w:rsidR="006C3063" w:rsidRDefault="006C3063" w:rsidP="00273B07"/>
    <w:p w:rsidR="006C3063" w:rsidRPr="00C33E97" w:rsidRDefault="006C3063" w:rsidP="00273B07"/>
    <w:p w:rsidR="00273B07" w:rsidRPr="00C33E97" w:rsidRDefault="00273B07" w:rsidP="003A7637">
      <w:pPr>
        <w:pStyle w:val="Heading2"/>
      </w:pPr>
      <w:bookmarkStart w:id="30" w:name="_Toc15566521"/>
      <w:r w:rsidRPr="00C33E97">
        <w:t xml:space="preserve">Document TGP/15 </w:t>
      </w:r>
      <w:r w:rsidRPr="00C33E97">
        <w:rPr>
          <w:caps/>
        </w:rPr>
        <w:t>“</w:t>
      </w:r>
      <w:r w:rsidRPr="00C33E97">
        <w:t>Guidance on the use of Biochemical and Molecular Markers in the examination of Distinctness, Uniformity and Stability (DUS)</w:t>
      </w:r>
      <w:r w:rsidR="007355B8">
        <w:t>” (Revision) (document TGP/15/2 </w:t>
      </w:r>
      <w:r w:rsidR="003A7637" w:rsidRPr="00635DA0">
        <w:t>Draft </w:t>
      </w:r>
      <w:r w:rsidR="003A7637">
        <w:t>2)</w:t>
      </w:r>
      <w:bookmarkEnd w:id="30"/>
      <w:r w:rsidR="003A7637">
        <w:t xml:space="preserve"> </w:t>
      </w:r>
    </w:p>
    <w:p w:rsidR="00DE42A3" w:rsidRDefault="00DE42A3" w:rsidP="00AD378E">
      <w:pPr>
        <w:ind w:left="567" w:hanging="567"/>
        <w:rPr>
          <w:rFonts w:cs="Arial"/>
        </w:rPr>
      </w:pPr>
    </w:p>
    <w:p w:rsidR="005755F0" w:rsidRPr="00B642D5" w:rsidRDefault="00A62A4B" w:rsidP="005755F0">
      <w:r w:rsidRPr="00B642D5">
        <w:rPr>
          <w:rFonts w:cs="Arial"/>
        </w:rPr>
        <w:fldChar w:fldCharType="begin"/>
      </w:r>
      <w:r w:rsidRPr="00B642D5">
        <w:rPr>
          <w:rFonts w:cs="Arial"/>
        </w:rPr>
        <w:instrText xml:space="preserve"> AUTONUM  </w:instrText>
      </w:r>
      <w:r w:rsidRPr="00B642D5">
        <w:rPr>
          <w:rFonts w:cs="Arial"/>
        </w:rPr>
        <w:fldChar w:fldCharType="end"/>
      </w:r>
      <w:r w:rsidRPr="00B642D5">
        <w:rPr>
          <w:rFonts w:cs="Arial"/>
        </w:rPr>
        <w:tab/>
      </w:r>
      <w:r w:rsidR="005755F0" w:rsidRPr="00B642D5">
        <w:rPr>
          <w:rFonts w:cs="Arial"/>
        </w:rPr>
        <w:t>The TC, at its fifty-fourth session</w:t>
      </w:r>
      <w:r w:rsidR="00CB2F7B" w:rsidRPr="00B642D5">
        <w:rPr>
          <w:rFonts w:cs="Arial"/>
          <w:vertAlign w:val="superscript"/>
        </w:rPr>
        <w:fldChar w:fldCharType="begin"/>
      </w:r>
      <w:r w:rsidR="00CB2F7B" w:rsidRPr="00B642D5">
        <w:rPr>
          <w:rFonts w:cs="Arial"/>
          <w:vertAlign w:val="superscript"/>
        </w:rPr>
        <w:instrText xml:space="preserve"> NOTEREF _Ref12538883 \h  \* MERGEFORMAT </w:instrText>
      </w:r>
      <w:r w:rsidR="00CB2F7B" w:rsidRPr="00B642D5">
        <w:rPr>
          <w:rFonts w:cs="Arial"/>
          <w:vertAlign w:val="superscript"/>
        </w:rPr>
      </w:r>
      <w:r w:rsidR="00CB2F7B" w:rsidRPr="00B642D5">
        <w:rPr>
          <w:rFonts w:cs="Arial"/>
          <w:vertAlign w:val="superscript"/>
        </w:rPr>
        <w:fldChar w:fldCharType="separate"/>
      </w:r>
      <w:r w:rsidR="00E7053E">
        <w:rPr>
          <w:rFonts w:cs="Arial"/>
          <w:vertAlign w:val="superscript"/>
        </w:rPr>
        <w:t>2</w:t>
      </w:r>
      <w:r w:rsidR="00CB2F7B" w:rsidRPr="00B642D5">
        <w:rPr>
          <w:rFonts w:cs="Arial"/>
          <w:vertAlign w:val="superscript"/>
        </w:rPr>
        <w:fldChar w:fldCharType="end"/>
      </w:r>
      <w:r w:rsidR="005755F0" w:rsidRPr="00B642D5">
        <w:rPr>
          <w:rFonts w:cs="Arial"/>
        </w:rPr>
        <w:t>, agreed</w:t>
      </w:r>
      <w:r w:rsidR="005755F0" w:rsidRPr="00B642D5">
        <w:t xml:space="preserve"> that the following text from document UPOV/INF/18/1 “Possible use of Molecular Markers in the Examination of Distinctness, Uniformity and Stability (DUS)” should be introduced in document TGP/15 “Guidance on the Use of Biochemical and Molecular Markers in the Examination of Distinctness, Uniformity and Stability (DUS)” to clarify that it was the responsibility of the authority to decide on the reliability of the link between the gene and the expression of the characteristic</w:t>
      </w:r>
      <w:r w:rsidR="005755F0" w:rsidRPr="00B642D5">
        <w:rPr>
          <w:rStyle w:val="FootnoteReference"/>
        </w:rPr>
        <w:footnoteReference w:id="14"/>
      </w:r>
      <w:r w:rsidR="005755F0" w:rsidRPr="00B642D5">
        <w:t>:</w:t>
      </w:r>
    </w:p>
    <w:p w:rsidR="005755F0" w:rsidRPr="00B642D5" w:rsidRDefault="005755F0" w:rsidP="005755F0">
      <w:pPr>
        <w:rPr>
          <w:rFonts w:cs="Arial"/>
        </w:rPr>
      </w:pPr>
    </w:p>
    <w:p w:rsidR="005755F0" w:rsidRPr="00B642D5" w:rsidRDefault="005755F0" w:rsidP="005755F0">
      <w:pPr>
        <w:autoSpaceDE w:val="0"/>
        <w:autoSpaceDN w:val="0"/>
        <w:adjustRightInd w:val="0"/>
        <w:ind w:left="567" w:right="567"/>
        <w:rPr>
          <w:sz w:val="18"/>
          <w:lang w:eastAsia="ja-JP"/>
        </w:rPr>
      </w:pPr>
      <w:r w:rsidRPr="00B642D5">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B642D5">
        <w:rPr>
          <w:sz w:val="18"/>
          <w:lang w:eastAsia="ja-JP"/>
        </w:rPr>
        <w:t xml:space="preserve">” </w:t>
      </w:r>
    </w:p>
    <w:p w:rsidR="005755F0" w:rsidRPr="00B642D5" w:rsidRDefault="005755F0" w:rsidP="005755F0">
      <w:pPr>
        <w:pStyle w:val="EndnoteText"/>
      </w:pPr>
    </w:p>
    <w:p w:rsidR="00AD378E" w:rsidRDefault="005755F0" w:rsidP="005755F0">
      <w:r w:rsidRPr="00B642D5">
        <w:rPr>
          <w:rFonts w:cs="Arial"/>
        </w:rPr>
        <w:fldChar w:fldCharType="begin"/>
      </w:r>
      <w:r w:rsidRPr="00B642D5">
        <w:rPr>
          <w:rFonts w:cs="Arial"/>
        </w:rPr>
        <w:instrText xml:space="preserve"> AUTONUM  </w:instrText>
      </w:r>
      <w:r w:rsidRPr="00B642D5">
        <w:rPr>
          <w:rFonts w:cs="Arial"/>
        </w:rPr>
        <w:fldChar w:fldCharType="end"/>
      </w:r>
      <w:r w:rsidRPr="00B642D5">
        <w:rPr>
          <w:rFonts w:cs="Arial"/>
        </w:rPr>
        <w:tab/>
        <w:t xml:space="preserve">The TC, at its fifty-fourth session, considered the proposal by the BMT and agreed </w:t>
      </w:r>
      <w:r w:rsidRPr="00B642D5">
        <w:t>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r w:rsidR="003A7637" w:rsidRPr="00B642D5">
        <w:t>.</w:t>
      </w:r>
    </w:p>
    <w:p w:rsidR="00AD378E" w:rsidRDefault="00AD378E" w:rsidP="00AD378E"/>
    <w:p w:rsidR="003A7637" w:rsidRDefault="00A62A4B" w:rsidP="00AD378E">
      <w:r>
        <w:fldChar w:fldCharType="begin"/>
      </w:r>
      <w:r>
        <w:instrText xml:space="preserve"> AUTONUM  </w:instrText>
      </w:r>
      <w:r>
        <w:fldChar w:fldCharType="end"/>
      </w:r>
      <w:r>
        <w:tab/>
      </w:r>
      <w:r w:rsidR="00AD378E">
        <w:t xml:space="preserve">The TC, at its fifty-fourth session, </w:t>
      </w:r>
      <w:r w:rsidR="00A8721B">
        <w:t xml:space="preserve">further </w:t>
      </w:r>
      <w:r w:rsidR="00AD378E">
        <w:t xml:space="preserve">agreed with the inclusion of a new model </w:t>
      </w:r>
      <w:r w:rsidR="00A8721B">
        <w:t xml:space="preserve">“Genetic selection of similar varieties for the first growing cycle: example French Bean” </w:t>
      </w:r>
      <w:r w:rsidR="00AD378E">
        <w:t xml:space="preserve">in document TGP/15 </w:t>
      </w:r>
      <w:r w:rsidR="003A7637">
        <w:t xml:space="preserve">for using </w:t>
      </w:r>
      <w:r>
        <w:t>biochemical and molecular markers in the examination of Distinctness,</w:t>
      </w:r>
      <w:r w:rsidR="003A7637">
        <w:t xml:space="preserve"> Uniformity and Stability (DUS)</w:t>
      </w:r>
      <w:r w:rsidR="00A8721B" w:rsidRPr="00A8721B">
        <w:t xml:space="preserve"> </w:t>
      </w:r>
      <w:r w:rsidR="00A8721B">
        <w:t xml:space="preserve">on the basis of document TGP/15/2 Draft 1 revised by the TC-EDC, as set out in Annex III to document </w:t>
      </w:r>
      <w:hyperlink r:id="rId12" w:history="1">
        <w:r w:rsidR="008C76A6">
          <w:rPr>
            <w:rStyle w:val="Hyperlink"/>
          </w:rPr>
          <w:t>TC/54/31 Corr.</w:t>
        </w:r>
      </w:hyperlink>
      <w:r w:rsidR="00A8721B">
        <w:t xml:space="preserve"> “Report”</w:t>
      </w:r>
      <w:r w:rsidR="00616F18">
        <w:rPr>
          <w:rStyle w:val="FootnoteReference"/>
        </w:rPr>
        <w:footnoteReference w:id="15"/>
      </w:r>
      <w:r w:rsidR="00616F18">
        <w:t>.</w:t>
      </w:r>
    </w:p>
    <w:p w:rsidR="003A7637" w:rsidRDefault="003A7637" w:rsidP="003A7637"/>
    <w:p w:rsidR="00A8721B" w:rsidRDefault="00A8721B" w:rsidP="00A8721B">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TGP/15/1 (document TGP/15/2 Draft 2) should be put forward for adoption by the Council at its fifty-third ordinary session, subject to the approval of the CAJ at its seventy-sixth session</w:t>
      </w:r>
      <w:r>
        <w:fldChar w:fldCharType="begin"/>
      </w:r>
      <w:r>
        <w:instrText xml:space="preserve"> NOTEREF _Ref12539207 \f \h </w:instrText>
      </w:r>
      <w:r>
        <w:fldChar w:fldCharType="separate"/>
      </w:r>
      <w:r w:rsidR="00E7053E" w:rsidRPr="00E7053E">
        <w:rPr>
          <w:rStyle w:val="FootnoteReference"/>
        </w:rPr>
        <w:t>5</w:t>
      </w:r>
      <w:r>
        <w:fldChar w:fldCharType="end"/>
      </w:r>
      <w:r>
        <w:rPr>
          <w:spacing w:val="-2"/>
        </w:rPr>
        <w:t>.</w:t>
      </w:r>
    </w:p>
    <w:p w:rsidR="00A8721B" w:rsidRDefault="00A8721B" w:rsidP="00A8721B">
      <w:pPr>
        <w:rPr>
          <w:spacing w:val="-2"/>
        </w:rPr>
      </w:pPr>
    </w:p>
    <w:p w:rsidR="00A8721B" w:rsidRDefault="00A8721B" w:rsidP="00A8721B">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TGP/15/2 to the Council.  Document TGP/15/2 Draft 2 incorporates the amendments agreed by the TC, as presented in Annex V to this document, and the linguistic changes made by the relevant members of the Editorial Committee.</w:t>
      </w:r>
    </w:p>
    <w:p w:rsidR="00A8721B" w:rsidRDefault="00A8721B" w:rsidP="00A8721B">
      <w:pPr>
        <w:rPr>
          <w:bCs/>
          <w:snapToGrid w:val="0"/>
          <w:szCs w:val="24"/>
        </w:rPr>
      </w:pPr>
    </w:p>
    <w:p w:rsidR="003A7637" w:rsidRDefault="003A7637" w:rsidP="003A7637">
      <w:r>
        <w:fldChar w:fldCharType="begin"/>
      </w:r>
      <w:r>
        <w:instrText xml:space="preserve"> AUTONUM  </w:instrText>
      </w:r>
      <w:r>
        <w:fldChar w:fldCharType="end"/>
      </w:r>
      <w:r>
        <w:tab/>
        <w:t>The TC, at its fifty-fifth session</w:t>
      </w:r>
      <w:r w:rsidR="00C52246" w:rsidRPr="00C52246">
        <w:rPr>
          <w:vertAlign w:val="superscript"/>
        </w:rPr>
        <w:t xml:space="preserve"> </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rsidR="00A8721B">
        <w:t>,</w:t>
      </w:r>
      <w:r>
        <w:t xml:space="preserve"> will consider </w:t>
      </w:r>
      <w:r w:rsidRPr="00501AC5">
        <w:t>document</w:t>
      </w:r>
      <w:r>
        <w:t xml:space="preserve"> TGP/15/2 </w:t>
      </w:r>
      <w:r w:rsidRPr="00635DA0">
        <w:t>Draft </w:t>
      </w:r>
      <w:r>
        <w:t>2.  Comments made by the TC will be reported to the CAJ at its seventy-sixth session</w:t>
      </w:r>
      <w:r w:rsidR="006F17F3">
        <w:fldChar w:fldCharType="begin"/>
      </w:r>
      <w:r w:rsidR="006F17F3">
        <w:instrText xml:space="preserve"> NOTEREF _Ref12539207 \f \h </w:instrText>
      </w:r>
      <w:r w:rsidR="006F17F3">
        <w:fldChar w:fldCharType="separate"/>
      </w:r>
      <w:r w:rsidR="00E7053E" w:rsidRPr="00E7053E">
        <w:rPr>
          <w:rStyle w:val="FootnoteReference"/>
        </w:rPr>
        <w:t>5</w:t>
      </w:r>
      <w:r w:rsidR="006F17F3">
        <w:fldChar w:fldCharType="end"/>
      </w:r>
      <w:r>
        <w:t>.</w:t>
      </w:r>
    </w:p>
    <w:p w:rsidR="003A7637" w:rsidRDefault="003A7637" w:rsidP="003A7637"/>
    <w:p w:rsidR="00AD378E" w:rsidRPr="00294914" w:rsidRDefault="00AD378E" w:rsidP="00DE42A3">
      <w:pPr>
        <w:pStyle w:val="DecisionParagraphs"/>
        <w:keepNext/>
        <w:keepLines/>
      </w:pPr>
      <w:r w:rsidRPr="00254FA7">
        <w:fldChar w:fldCharType="begin"/>
      </w:r>
      <w:r w:rsidRPr="00254FA7">
        <w:instrText xml:space="preserve"> AUTONUM  </w:instrText>
      </w:r>
      <w:r w:rsidRPr="00254FA7">
        <w:fldChar w:fldCharType="end"/>
      </w:r>
      <w:r w:rsidRPr="00254FA7">
        <w:tab/>
        <w:t xml:space="preserve">The </w:t>
      </w:r>
      <w:r>
        <w:t>CAJ</w:t>
      </w:r>
      <w:r w:rsidRPr="00254FA7">
        <w:t xml:space="preserve"> is invited to </w:t>
      </w:r>
      <w:r>
        <w:t xml:space="preserve">consider the </w:t>
      </w:r>
      <w:r w:rsidRPr="00254FA7">
        <w:t xml:space="preserve">revision of document </w:t>
      </w:r>
      <w:r>
        <w:t xml:space="preserve">TGP/15 </w:t>
      </w:r>
      <w:r w:rsidR="00A62A4B" w:rsidRPr="001239A8">
        <w:rPr>
          <w:caps/>
        </w:rPr>
        <w:t>“</w:t>
      </w:r>
      <w:r w:rsidR="00A62A4B" w:rsidRPr="003E7167">
        <w:t>Guidance on the use of Biochemical and Molecular Markers in the examination of Distinctness, Uniformity and Stability (DUS)”</w:t>
      </w:r>
      <w:r w:rsidR="00A8721B">
        <w:t xml:space="preserve"> (document TGP/15/1)</w:t>
      </w:r>
      <w:r w:rsidRPr="00254FA7">
        <w:t>, on the bas</w:t>
      </w:r>
      <w:r>
        <w:t xml:space="preserve">is of </w:t>
      </w:r>
      <w:r w:rsidR="00043980">
        <w:t xml:space="preserve">document </w:t>
      </w:r>
      <w:r>
        <w:t>TGP/1</w:t>
      </w:r>
      <w:r w:rsidR="00A62A4B">
        <w:t>5</w:t>
      </w:r>
      <w:r>
        <w:t>/</w:t>
      </w:r>
      <w:r w:rsidR="00A62A4B">
        <w:t>2</w:t>
      </w:r>
      <w:r>
        <w:t xml:space="preserve"> Draft </w:t>
      </w:r>
      <w:r w:rsidR="00A62A4B">
        <w:t>2</w:t>
      </w:r>
      <w:r w:rsidR="006F6881">
        <w:t xml:space="preserve">, </w:t>
      </w:r>
      <w:r w:rsidR="006F6881" w:rsidRPr="005768BF">
        <w:rPr>
          <w:spacing w:val="-2"/>
        </w:rPr>
        <w:t>taking into account the conclusions of the TC at its fifty-fifth session</w:t>
      </w:r>
      <w:r>
        <w:t xml:space="preserve">. </w:t>
      </w:r>
    </w:p>
    <w:p w:rsidR="00273B07" w:rsidRDefault="00273B07" w:rsidP="00273B07">
      <w:pPr>
        <w:tabs>
          <w:tab w:val="left" w:pos="5387"/>
        </w:tabs>
      </w:pPr>
    </w:p>
    <w:p w:rsidR="00027ED8" w:rsidRDefault="00027ED8" w:rsidP="00273B07">
      <w:pPr>
        <w:tabs>
          <w:tab w:val="left" w:pos="5387"/>
        </w:tabs>
      </w:pPr>
    </w:p>
    <w:p w:rsidR="00027ED8" w:rsidRPr="003D0EB7" w:rsidRDefault="00027ED8" w:rsidP="0083066D">
      <w:pPr>
        <w:pStyle w:val="Heading2"/>
        <w:rPr>
          <w:snapToGrid w:val="0"/>
        </w:rPr>
      </w:pPr>
      <w:bookmarkStart w:id="31" w:name="_Toc15566522"/>
      <w:r>
        <w:rPr>
          <w:snapToGrid w:val="0"/>
        </w:rPr>
        <w:t xml:space="preserve">Document TGP/0:  </w:t>
      </w:r>
      <w:r w:rsidRPr="003D0EB7">
        <w:rPr>
          <w:snapToGrid w:val="0"/>
        </w:rPr>
        <w:t>List of TGP documents and latest issue dates (Revision) (document TGP/0/11 Draft 1)</w:t>
      </w:r>
      <w:bookmarkEnd w:id="31"/>
      <w:r w:rsidRPr="003D0EB7">
        <w:rPr>
          <w:snapToGrid w:val="0"/>
        </w:rPr>
        <w:t xml:space="preserve"> </w:t>
      </w:r>
    </w:p>
    <w:p w:rsidR="00027ED8" w:rsidRDefault="00027ED8" w:rsidP="00027ED8">
      <w:pPr>
        <w:keepNext/>
      </w:pPr>
    </w:p>
    <w:p w:rsidR="00027ED8" w:rsidRPr="0015114A" w:rsidRDefault="00027ED8" w:rsidP="00027ED8">
      <w:pPr>
        <w:keepNext/>
        <w:rPr>
          <w:rFonts w:cs="Arial"/>
        </w:rPr>
      </w:pPr>
      <w:r w:rsidRPr="00A06E76">
        <w:fldChar w:fldCharType="begin"/>
      </w:r>
      <w:r w:rsidRPr="00A06E76">
        <w:instrText xml:space="preserve"> AUTONUM  </w:instrText>
      </w:r>
      <w:r w:rsidRPr="00A06E76">
        <w:fldChar w:fldCharType="end"/>
      </w:r>
      <w:r w:rsidRPr="00A06E76">
        <w:tab/>
      </w:r>
      <w:r w:rsidRPr="00027ED8">
        <w:t>The CAJ is invited to note that</w:t>
      </w:r>
      <w:r>
        <w:t>,</w:t>
      </w:r>
      <w:r w:rsidRPr="00027ED8">
        <w:t xml:space="preserve"> </w:t>
      </w:r>
      <w:r>
        <w:t>i</w:t>
      </w:r>
      <w:r w:rsidRPr="00A06E76">
        <w:t>n conjunction with</w:t>
      </w:r>
      <w:r w:rsidRPr="0015114A">
        <w:t xml:space="preserve"> the adoption of the revised TGP documents </w:t>
      </w:r>
      <w:r w:rsidRPr="0015114A">
        <w:rPr>
          <w:lang w:eastAsia="zh-CN"/>
        </w:rPr>
        <w:t xml:space="preserve">at the </w:t>
      </w:r>
      <w:r w:rsidRPr="0015114A">
        <w:t>fifty</w:t>
      </w:r>
      <w:r w:rsidRPr="0015114A">
        <w:noBreakHyphen/>
      </w:r>
      <w:r>
        <w:t>third</w:t>
      </w:r>
      <w:r w:rsidRPr="0015114A">
        <w:t> </w:t>
      </w:r>
      <w:r w:rsidRPr="0015114A">
        <w:rPr>
          <w:lang w:eastAsia="zh-CN"/>
        </w:rPr>
        <w:t>ordinary session of the</w:t>
      </w:r>
      <w:r>
        <w:rPr>
          <w:lang w:eastAsia="zh-CN"/>
        </w:rPr>
        <w:t> </w:t>
      </w:r>
      <w:r w:rsidRPr="0015114A">
        <w:rPr>
          <w:lang w:eastAsia="zh-CN"/>
        </w:rPr>
        <w:t>Council</w:t>
      </w:r>
      <w:r w:rsidRPr="0015114A">
        <w:t xml:space="preserve">, </w:t>
      </w:r>
      <w:r>
        <w:t xml:space="preserve">the Council will be invited </w:t>
      </w:r>
      <w:r w:rsidRPr="0015114A">
        <w:t>to adop</w:t>
      </w:r>
      <w:r>
        <w:t>t a revision of document TGP/0 </w:t>
      </w:r>
      <w:r w:rsidRPr="0015114A">
        <w:rPr>
          <w:lang w:eastAsia="zh-CN"/>
        </w:rPr>
        <w:t>“List of TGP documents and latest</w:t>
      </w:r>
      <w:r>
        <w:rPr>
          <w:lang w:eastAsia="zh-CN"/>
        </w:rPr>
        <w:t xml:space="preserve"> issue dates” (document TGP/0/1</w:t>
      </w:r>
      <w:r w:rsidR="00095E9B">
        <w:rPr>
          <w:lang w:eastAsia="zh-CN"/>
        </w:rPr>
        <w:t>0</w:t>
      </w:r>
      <w:r w:rsidRPr="0015114A">
        <w:rPr>
          <w:lang w:eastAsia="zh-CN"/>
        </w:rPr>
        <w:t xml:space="preserve">) </w:t>
      </w:r>
      <w:r w:rsidRPr="0015114A">
        <w:t>o</w:t>
      </w:r>
      <w:r>
        <w:t>n the basis of document TGP/0/11</w:t>
      </w:r>
      <w:r w:rsidRPr="0015114A">
        <w:t> Draft 1</w:t>
      </w:r>
      <w:r w:rsidRPr="0015114A">
        <w:rPr>
          <w:rFonts w:cs="Arial"/>
        </w:rPr>
        <w:t>.</w:t>
      </w:r>
    </w:p>
    <w:p w:rsidR="00027ED8" w:rsidRPr="0015114A" w:rsidRDefault="00027ED8" w:rsidP="00027ED8"/>
    <w:p w:rsidR="00027ED8" w:rsidRDefault="00027ED8" w:rsidP="00027ED8">
      <w:pPr>
        <w:tabs>
          <w:tab w:val="left" w:pos="5387"/>
          <w:tab w:val="left" w:pos="5954"/>
        </w:tabs>
        <w:ind w:left="4820"/>
      </w:pPr>
      <w:r w:rsidRPr="0015114A">
        <w:rPr>
          <w:i/>
        </w:rPr>
        <w:fldChar w:fldCharType="begin"/>
      </w:r>
      <w:r w:rsidRPr="0015114A">
        <w:rPr>
          <w:i/>
        </w:rPr>
        <w:instrText xml:space="preserve"> AUTONUM  </w:instrText>
      </w:r>
      <w:r w:rsidRPr="0015114A">
        <w:rPr>
          <w:i/>
        </w:rPr>
        <w:fldChar w:fldCharType="end"/>
      </w:r>
      <w:r w:rsidRPr="0015114A">
        <w:rPr>
          <w:i/>
        </w:rPr>
        <w:tab/>
        <w:t xml:space="preserve">The </w:t>
      </w:r>
      <w:r>
        <w:rPr>
          <w:i/>
        </w:rPr>
        <w:t xml:space="preserve">CAJ is invited to note that, </w:t>
      </w:r>
      <w:r w:rsidRPr="00027ED8">
        <w:rPr>
          <w:i/>
        </w:rPr>
        <w:t>in conjunction with the adoption of the rev</w:t>
      </w:r>
      <w:r>
        <w:rPr>
          <w:i/>
        </w:rPr>
        <w:t xml:space="preserve">ised TGP documents </w:t>
      </w:r>
      <w:r>
        <w:rPr>
          <w:i/>
        </w:rPr>
        <w:br/>
        <w:t>at the fifty-</w:t>
      </w:r>
      <w:r w:rsidRPr="00027ED8">
        <w:rPr>
          <w:i/>
        </w:rPr>
        <w:t xml:space="preserve">third ordinary session of the Council, </w:t>
      </w:r>
      <w:r>
        <w:rPr>
          <w:i/>
        </w:rPr>
        <w:br/>
      </w:r>
      <w:r w:rsidRPr="00027ED8">
        <w:rPr>
          <w:i/>
        </w:rPr>
        <w:t>the Council will be invited to adopt a revision of document TGP</w:t>
      </w:r>
      <w:r w:rsidR="00095E9B">
        <w:rPr>
          <w:i/>
        </w:rPr>
        <w:t>/</w:t>
      </w:r>
      <w:r w:rsidRPr="00027ED8">
        <w:rPr>
          <w:i/>
        </w:rPr>
        <w:t>0 “List of TGP documents and latest issue dates” (document TGP/0/1</w:t>
      </w:r>
      <w:r w:rsidR="00095E9B">
        <w:rPr>
          <w:i/>
        </w:rPr>
        <w:t>0</w:t>
      </w:r>
      <w:r w:rsidRPr="00027ED8">
        <w:rPr>
          <w:i/>
        </w:rPr>
        <w:t>)</w:t>
      </w:r>
      <w:r w:rsidR="00230C3B">
        <w:rPr>
          <w:i/>
        </w:rPr>
        <w:t>,</w:t>
      </w:r>
      <w:r w:rsidRPr="00027ED8">
        <w:rPr>
          <w:i/>
        </w:rPr>
        <w:t xml:space="preserve"> on the</w:t>
      </w:r>
      <w:r>
        <w:rPr>
          <w:i/>
        </w:rPr>
        <w:t xml:space="preserve"> basis of document </w:t>
      </w:r>
      <w:r w:rsidRPr="00027ED8">
        <w:rPr>
          <w:i/>
        </w:rPr>
        <w:t>TGP/0/11 Draft 1.</w:t>
      </w:r>
      <w:r>
        <w:t xml:space="preserve"> </w:t>
      </w:r>
    </w:p>
    <w:p w:rsidR="00027ED8" w:rsidRPr="00273B07" w:rsidRDefault="00027ED8" w:rsidP="00273B07">
      <w:pPr>
        <w:tabs>
          <w:tab w:val="left" w:pos="5387"/>
        </w:tabs>
      </w:pPr>
    </w:p>
    <w:p w:rsidR="00273B07" w:rsidRDefault="00273B07" w:rsidP="00273B07">
      <w:bookmarkStart w:id="32" w:name="_Toc352678076"/>
      <w:bookmarkStart w:id="33" w:name="_Toc353797757"/>
      <w:bookmarkStart w:id="34" w:name="_Toc386185988"/>
      <w:bookmarkStart w:id="35" w:name="_Toc419124879"/>
      <w:bookmarkEnd w:id="14"/>
      <w:bookmarkEnd w:id="15"/>
      <w:bookmarkEnd w:id="16"/>
      <w:bookmarkEnd w:id="17"/>
    </w:p>
    <w:p w:rsidR="006F17F3" w:rsidRPr="00273B07" w:rsidRDefault="006F17F3" w:rsidP="00273B07"/>
    <w:p w:rsidR="0083066D" w:rsidRDefault="0083066D">
      <w:pPr>
        <w:jc w:val="left"/>
        <w:rPr>
          <w:caps/>
        </w:rPr>
      </w:pPr>
      <w:bookmarkStart w:id="36" w:name="_Toc519608644"/>
      <w:r>
        <w:rPr>
          <w:caps/>
        </w:rPr>
        <w:br w:type="page"/>
      </w:r>
    </w:p>
    <w:p w:rsidR="00273B07" w:rsidRPr="00273B07" w:rsidRDefault="00273B07" w:rsidP="00273B07">
      <w:pPr>
        <w:keepNext/>
        <w:outlineLvl w:val="0"/>
        <w:rPr>
          <w:caps/>
        </w:rPr>
      </w:pPr>
      <w:bookmarkStart w:id="37" w:name="_Toc15566523"/>
      <w:r w:rsidRPr="007B24A5">
        <w:rPr>
          <w:caps/>
        </w:rPr>
        <w:lastRenderedPageBreak/>
        <w:t>Program</w:t>
      </w:r>
      <w:r w:rsidRPr="00273B07">
        <w:rPr>
          <w:caps/>
        </w:rPr>
        <w:t xml:space="preserve"> for the development of TGP documents</w:t>
      </w:r>
      <w:bookmarkEnd w:id="36"/>
      <w:bookmarkEnd w:id="37"/>
    </w:p>
    <w:p w:rsidR="007B24A5" w:rsidRPr="0037327C" w:rsidRDefault="007B24A5" w:rsidP="007B24A5">
      <w:pPr>
        <w:keepNext/>
        <w:rPr>
          <w:rFonts w:cs="Arial"/>
          <w:color w:val="000000"/>
          <w:lang w:eastAsia="ja-JP"/>
        </w:rPr>
      </w:pPr>
    </w:p>
    <w:p w:rsidR="00C95164" w:rsidRPr="00B91569" w:rsidRDefault="007B24A5" w:rsidP="007B24A5">
      <w:pPr>
        <w:keepNext/>
        <w:keepLines/>
      </w:pPr>
      <w:r w:rsidRPr="00B91569">
        <w:rPr>
          <w:rFonts w:cs="Arial"/>
        </w:rPr>
        <w:fldChar w:fldCharType="begin"/>
      </w:r>
      <w:r w:rsidRPr="00B91569">
        <w:rPr>
          <w:rFonts w:cs="Arial"/>
        </w:rPr>
        <w:instrText xml:space="preserve"> AUTONUM  </w:instrText>
      </w:r>
      <w:r w:rsidRPr="00B91569">
        <w:rPr>
          <w:rFonts w:cs="Arial"/>
        </w:rPr>
        <w:fldChar w:fldCharType="end"/>
      </w:r>
      <w:r w:rsidRPr="00B91569">
        <w:rPr>
          <w:rFonts w:cs="Arial"/>
        </w:rPr>
        <w:tab/>
      </w:r>
      <w:bookmarkStart w:id="38" w:name="OLE_LINK10"/>
      <w:r w:rsidRPr="00B91569">
        <w:rPr>
          <w:rFonts w:cs="Arial"/>
          <w:color w:val="000000"/>
          <w:lang w:eastAsia="ja-JP"/>
        </w:rPr>
        <w:t xml:space="preserve">Annex </w:t>
      </w:r>
      <w:r w:rsidR="006D5DC8" w:rsidRPr="00B91569">
        <w:rPr>
          <w:rFonts w:cs="Arial"/>
          <w:color w:val="000000"/>
          <w:lang w:eastAsia="ja-JP"/>
        </w:rPr>
        <w:t>V</w:t>
      </w:r>
      <w:r w:rsidRPr="00B91569">
        <w:rPr>
          <w:rFonts w:cs="Arial"/>
          <w:color w:val="000000"/>
          <w:lang w:eastAsia="ja-JP"/>
        </w:rPr>
        <w:t xml:space="preserve">I </w:t>
      </w:r>
      <w:r w:rsidRPr="00B91569">
        <w:t xml:space="preserve">to this document presents the program for the development of TGP documents </w:t>
      </w:r>
      <w:r w:rsidR="00C95164" w:rsidRPr="00B91569">
        <w:t>as agreed by the TC, at its fifty-fourth session</w:t>
      </w:r>
      <w:r w:rsidR="00CB2F7B" w:rsidRPr="00B91569">
        <w:rPr>
          <w:rFonts w:cs="Arial"/>
          <w:vertAlign w:val="superscript"/>
        </w:rPr>
        <w:fldChar w:fldCharType="begin"/>
      </w:r>
      <w:r w:rsidR="00CB2F7B" w:rsidRPr="00B91569">
        <w:rPr>
          <w:rFonts w:cs="Arial"/>
          <w:vertAlign w:val="superscript"/>
        </w:rPr>
        <w:instrText xml:space="preserve"> NOTEREF _Ref12538883 \h  \* MERGEFORMAT </w:instrText>
      </w:r>
      <w:r w:rsidR="00CB2F7B" w:rsidRPr="00B91569">
        <w:rPr>
          <w:rFonts w:cs="Arial"/>
          <w:vertAlign w:val="superscript"/>
        </w:rPr>
      </w:r>
      <w:r w:rsidR="00CB2F7B" w:rsidRPr="00B91569">
        <w:rPr>
          <w:rFonts w:cs="Arial"/>
          <w:vertAlign w:val="superscript"/>
        </w:rPr>
        <w:fldChar w:fldCharType="separate"/>
      </w:r>
      <w:r w:rsidR="00E7053E">
        <w:rPr>
          <w:rFonts w:cs="Arial"/>
          <w:vertAlign w:val="superscript"/>
        </w:rPr>
        <w:t>2</w:t>
      </w:r>
      <w:r w:rsidR="00CB2F7B" w:rsidRPr="00B91569">
        <w:rPr>
          <w:rFonts w:cs="Arial"/>
          <w:vertAlign w:val="superscript"/>
        </w:rPr>
        <w:fldChar w:fldCharType="end"/>
      </w:r>
      <w:r w:rsidR="00C95164" w:rsidRPr="00B91569">
        <w:t>, and the CAJ, at its seventy-fifth session</w:t>
      </w:r>
      <w:r w:rsidR="00CB2F7B" w:rsidRPr="00B91569">
        <w:rPr>
          <w:vertAlign w:val="superscript"/>
        </w:rPr>
        <w:fldChar w:fldCharType="begin"/>
      </w:r>
      <w:r w:rsidR="00CB2F7B" w:rsidRPr="00B91569">
        <w:rPr>
          <w:vertAlign w:val="superscript"/>
        </w:rPr>
        <w:instrText xml:space="preserve"> NOTEREF _Ref12539907 \h  \* MERGEFORMAT </w:instrText>
      </w:r>
      <w:r w:rsidR="00CB2F7B" w:rsidRPr="00B91569">
        <w:rPr>
          <w:vertAlign w:val="superscript"/>
        </w:rPr>
      </w:r>
      <w:r w:rsidR="00CB2F7B" w:rsidRPr="00B91569">
        <w:rPr>
          <w:vertAlign w:val="superscript"/>
        </w:rPr>
        <w:fldChar w:fldCharType="separate"/>
      </w:r>
      <w:r w:rsidR="00E7053E">
        <w:rPr>
          <w:vertAlign w:val="superscript"/>
        </w:rPr>
        <w:t>3</w:t>
      </w:r>
      <w:r w:rsidR="00CB2F7B" w:rsidRPr="00B91569">
        <w:rPr>
          <w:vertAlign w:val="superscript"/>
        </w:rPr>
        <w:fldChar w:fldCharType="end"/>
      </w:r>
      <w:r w:rsidR="00CB2F7B" w:rsidRPr="00B91569">
        <w:rPr>
          <w:vertAlign w:val="superscript"/>
        </w:rPr>
        <w:t>,</w:t>
      </w:r>
      <w:r w:rsidR="00115EC9" w:rsidRPr="00B91569">
        <w:rPr>
          <w:rStyle w:val="FootnoteReference"/>
        </w:rPr>
        <w:footnoteReference w:id="16"/>
      </w:r>
      <w:r w:rsidR="00C95164" w:rsidRPr="00B91569">
        <w:t>.</w:t>
      </w:r>
    </w:p>
    <w:p w:rsidR="00C95164" w:rsidRPr="00B91569" w:rsidRDefault="00C95164" w:rsidP="007B24A5">
      <w:pPr>
        <w:keepNext/>
        <w:keepLines/>
      </w:pPr>
    </w:p>
    <w:bookmarkEnd w:id="38"/>
    <w:p w:rsidR="007B24A5" w:rsidRPr="00B91569" w:rsidRDefault="00C95164" w:rsidP="007B24A5">
      <w:pPr>
        <w:keepNext/>
        <w:keepLines/>
        <w:rPr>
          <w:rFonts w:cs="Arial"/>
          <w:color w:val="000000"/>
          <w:lang w:eastAsia="ja-JP"/>
        </w:rPr>
      </w:pPr>
      <w:r w:rsidRPr="00B91569">
        <w:rPr>
          <w:rFonts w:cs="Arial"/>
        </w:rPr>
        <w:fldChar w:fldCharType="begin"/>
      </w:r>
      <w:r w:rsidRPr="00B91569">
        <w:rPr>
          <w:rFonts w:cs="Arial"/>
        </w:rPr>
        <w:instrText xml:space="preserve"> AUTONUM  </w:instrText>
      </w:r>
      <w:r w:rsidRPr="00B91569">
        <w:rPr>
          <w:rFonts w:cs="Arial"/>
        </w:rPr>
        <w:fldChar w:fldCharType="end"/>
      </w:r>
      <w:r w:rsidRPr="00B91569">
        <w:rPr>
          <w:rFonts w:cs="Arial"/>
        </w:rPr>
        <w:tab/>
      </w:r>
      <w:r w:rsidR="007B24A5" w:rsidRPr="00B91569">
        <w:rPr>
          <w:rFonts w:cs="Arial"/>
        </w:rPr>
        <w:t xml:space="preserve">A report on the conclusions of the TC, at </w:t>
      </w:r>
      <w:r w:rsidR="007B24A5" w:rsidRPr="00B91569">
        <w:t>its fifty</w:t>
      </w:r>
      <w:r w:rsidR="007B24A5" w:rsidRPr="00B91569">
        <w:noBreakHyphen/>
      </w:r>
      <w:r w:rsidR="00543F98" w:rsidRPr="00B91569">
        <w:t>fifth</w:t>
      </w:r>
      <w:r w:rsidR="007B24A5" w:rsidRPr="00B91569">
        <w:t xml:space="preserve"> session</w:t>
      </w:r>
      <w:r w:rsidR="00C52246" w:rsidRPr="0083066D">
        <w:rPr>
          <w:vertAlign w:val="superscript"/>
        </w:rPr>
        <w:fldChar w:fldCharType="begin"/>
      </w:r>
      <w:r w:rsidR="00C52246" w:rsidRPr="0083066D">
        <w:rPr>
          <w:vertAlign w:val="superscript"/>
        </w:rPr>
        <w:instrText xml:space="preserve"> NOTEREF _Ref13574983 \h </w:instrText>
      </w:r>
      <w:r w:rsidR="00C52246">
        <w:rPr>
          <w:vertAlign w:val="superscript"/>
        </w:rPr>
        <w:instrText xml:space="preserve"> \* MERGEFORMAT </w:instrText>
      </w:r>
      <w:r w:rsidR="00C52246" w:rsidRPr="0083066D">
        <w:rPr>
          <w:vertAlign w:val="superscript"/>
        </w:rPr>
      </w:r>
      <w:r w:rsidR="00C52246" w:rsidRPr="0083066D">
        <w:rPr>
          <w:vertAlign w:val="superscript"/>
        </w:rPr>
        <w:fldChar w:fldCharType="separate"/>
      </w:r>
      <w:r w:rsidR="00E7053E">
        <w:rPr>
          <w:vertAlign w:val="superscript"/>
        </w:rPr>
        <w:t>1</w:t>
      </w:r>
      <w:r w:rsidR="00C52246" w:rsidRPr="0083066D">
        <w:rPr>
          <w:vertAlign w:val="superscript"/>
        </w:rPr>
        <w:fldChar w:fldCharType="end"/>
      </w:r>
      <w:r w:rsidR="00B91569">
        <w:t>,</w:t>
      </w:r>
      <w:r w:rsidR="007B24A5" w:rsidRPr="00B91569">
        <w:t xml:space="preserve"> will be presented in document CAJ/7</w:t>
      </w:r>
      <w:r w:rsidR="00543F98" w:rsidRPr="00B91569">
        <w:t>6</w:t>
      </w:r>
      <w:r w:rsidR="007B24A5" w:rsidRPr="00B91569">
        <w:t>/</w:t>
      </w:r>
      <w:r w:rsidR="00543F98" w:rsidRPr="00B91569">
        <w:t>8</w:t>
      </w:r>
      <w:r w:rsidR="007B24A5" w:rsidRPr="00B91569">
        <w:t xml:space="preserve"> “Report on developments in the Technical Committee”.</w:t>
      </w:r>
    </w:p>
    <w:p w:rsidR="007B24A5" w:rsidRPr="00B91569" w:rsidRDefault="007B24A5" w:rsidP="007B24A5"/>
    <w:p w:rsidR="007B24A5" w:rsidRPr="0037327C" w:rsidRDefault="007B24A5" w:rsidP="007B24A5">
      <w:pPr>
        <w:tabs>
          <w:tab w:val="left" w:pos="5387"/>
        </w:tabs>
        <w:ind w:left="4820"/>
        <w:rPr>
          <w:i/>
        </w:rPr>
      </w:pPr>
      <w:r w:rsidRPr="00B91569">
        <w:rPr>
          <w:i/>
        </w:rPr>
        <w:fldChar w:fldCharType="begin"/>
      </w:r>
      <w:r w:rsidRPr="00B91569">
        <w:rPr>
          <w:i/>
        </w:rPr>
        <w:instrText xml:space="preserve"> AUTONUM  </w:instrText>
      </w:r>
      <w:r w:rsidRPr="00B91569">
        <w:rPr>
          <w:i/>
        </w:rPr>
        <w:fldChar w:fldCharType="end"/>
      </w:r>
      <w:r w:rsidRPr="00B91569">
        <w:rPr>
          <w:i/>
        </w:rPr>
        <w:tab/>
        <w:t xml:space="preserve">The CAJ is invited to consider the program for the development of TGP documents, as set out in </w:t>
      </w:r>
      <w:r w:rsidR="0027574C" w:rsidRPr="00B91569">
        <w:rPr>
          <w:i/>
        </w:rPr>
        <w:t xml:space="preserve">paragraphs </w:t>
      </w:r>
      <w:r w:rsidR="00AF2C7C">
        <w:rPr>
          <w:i/>
        </w:rPr>
        <w:t>3</w:t>
      </w:r>
      <w:r w:rsidR="0083066D">
        <w:rPr>
          <w:i/>
        </w:rPr>
        <w:t>8</w:t>
      </w:r>
      <w:r w:rsidR="0027574C" w:rsidRPr="00B91569">
        <w:rPr>
          <w:i/>
        </w:rPr>
        <w:t xml:space="preserve"> and </w:t>
      </w:r>
      <w:r w:rsidR="0083066D">
        <w:rPr>
          <w:i/>
        </w:rPr>
        <w:t>39</w:t>
      </w:r>
      <w:r w:rsidR="00DE42A3" w:rsidRPr="00B91569">
        <w:rPr>
          <w:i/>
        </w:rPr>
        <w:t xml:space="preserve"> of </w:t>
      </w:r>
      <w:r w:rsidRPr="00B91569">
        <w:rPr>
          <w:i/>
        </w:rPr>
        <w:t>this document</w:t>
      </w:r>
      <w:r w:rsidR="006F6881" w:rsidRPr="00B91569">
        <w:t xml:space="preserve">, </w:t>
      </w:r>
      <w:r w:rsidR="006F6881" w:rsidRPr="00B91569">
        <w:rPr>
          <w:spacing w:val="-2"/>
        </w:rPr>
        <w:t>taking into account the conclusions of the TC at its fifty-fifth session</w:t>
      </w:r>
      <w:r w:rsidRPr="00B91569">
        <w:rPr>
          <w:i/>
        </w:rPr>
        <w:t>.</w:t>
      </w:r>
    </w:p>
    <w:p w:rsidR="007B24A5" w:rsidRPr="00995691" w:rsidRDefault="007B24A5" w:rsidP="00995691"/>
    <w:p w:rsidR="00273B07" w:rsidRPr="00273B07" w:rsidRDefault="00273B07" w:rsidP="00273B07">
      <w:pPr>
        <w:rPr>
          <w:rFonts w:cs="Arial"/>
          <w:bCs/>
          <w:snapToGrid w:val="0"/>
        </w:rPr>
      </w:pPr>
    </w:p>
    <w:p w:rsidR="00273B07" w:rsidRPr="00273B07" w:rsidRDefault="00273B07" w:rsidP="00273B07">
      <w:pPr>
        <w:rPr>
          <w:rFonts w:cs="Arial"/>
          <w:bCs/>
          <w:snapToGrid w:val="0"/>
        </w:rPr>
      </w:pPr>
    </w:p>
    <w:bookmarkEnd w:id="32"/>
    <w:bookmarkEnd w:id="33"/>
    <w:bookmarkEnd w:id="34"/>
    <w:bookmarkEnd w:id="35"/>
    <w:p w:rsidR="00273B07" w:rsidRPr="00273B07" w:rsidRDefault="00273B07" w:rsidP="00273B07">
      <w:pPr>
        <w:jc w:val="right"/>
        <w:rPr>
          <w:snapToGrid w:val="0"/>
        </w:rPr>
      </w:pPr>
      <w:r w:rsidRPr="00273B07">
        <w:rPr>
          <w:snapToGrid w:val="0"/>
        </w:rPr>
        <w:t xml:space="preserve"> [Annexes follow]</w:t>
      </w:r>
    </w:p>
    <w:p w:rsidR="00273B07" w:rsidRPr="00273B07" w:rsidRDefault="00273B07" w:rsidP="00273B07">
      <w:pPr>
        <w:jc w:val="right"/>
        <w:rPr>
          <w:snapToGrid w:val="0"/>
        </w:rPr>
        <w:sectPr w:rsidR="00273B07" w:rsidRPr="00273B07" w:rsidSect="0083066D">
          <w:headerReference w:type="default" r:id="rId13"/>
          <w:footnotePr>
            <w:numRestart w:val="eachSect"/>
          </w:footnotePr>
          <w:pgSz w:w="11907" w:h="16840" w:code="9"/>
          <w:pgMar w:top="567" w:right="1134" w:bottom="993" w:left="1134" w:header="510" w:footer="680" w:gutter="0"/>
          <w:pgNumType w:start="1"/>
          <w:cols w:space="720"/>
          <w:titlePg/>
        </w:sectPr>
      </w:pPr>
    </w:p>
    <w:p w:rsidR="00CB2F7B" w:rsidRPr="002E1B40" w:rsidRDefault="00CB2F7B" w:rsidP="00CB2F7B">
      <w:pPr>
        <w:jc w:val="center"/>
        <w:rPr>
          <w:caps/>
        </w:rPr>
      </w:pPr>
      <w:r w:rsidRPr="002E1B40">
        <w:rPr>
          <w:caps/>
        </w:rPr>
        <w:lastRenderedPageBreak/>
        <w:t>Revision</w:t>
      </w:r>
      <w:r>
        <w:rPr>
          <w:caps/>
        </w:rPr>
        <w:t>s</w:t>
      </w:r>
      <w:r w:rsidRPr="002E1B40">
        <w:rPr>
          <w:caps/>
        </w:rPr>
        <w:t xml:space="preserve"> </w:t>
      </w:r>
      <w:r w:rsidR="00A8721B">
        <w:rPr>
          <w:caps/>
        </w:rPr>
        <w:t>to</w:t>
      </w:r>
      <w:r w:rsidRPr="002E1B40">
        <w:rPr>
          <w:caps/>
        </w:rPr>
        <w:t xml:space="preserve"> document TGP/7 “Development of Test Guidelines” </w:t>
      </w:r>
    </w:p>
    <w:p w:rsidR="00CB2F7B" w:rsidRDefault="00CB2F7B" w:rsidP="00CB2F7B">
      <w:pPr>
        <w:jc w:val="center"/>
      </w:pPr>
      <w:r>
        <w:t>AGREED BY THE TECHNICAL COMMITTEE AT ITS FIFTY-FOURTH SESSION</w:t>
      </w:r>
      <w:r>
        <w:rPr>
          <w:rStyle w:val="FootnoteReference"/>
        </w:rPr>
        <w:footnoteReference w:id="17"/>
      </w:r>
    </w:p>
    <w:p w:rsidR="00CB2F7B" w:rsidRDefault="00CB2F7B" w:rsidP="00CB2F7B">
      <w:pPr>
        <w:jc w:val="center"/>
      </w:pPr>
    </w:p>
    <w:p w:rsidR="00CB2F7B" w:rsidRPr="002E1B40" w:rsidRDefault="00CB2F7B" w:rsidP="00CB2F7B">
      <w:pPr>
        <w:jc w:val="center"/>
      </w:pPr>
    </w:p>
    <w:p w:rsidR="00CB2F7B" w:rsidRPr="002E1B40" w:rsidRDefault="00CB2F7B" w:rsidP="00CB2F7B">
      <w:r w:rsidRPr="002E1B40">
        <w:rPr>
          <w:noProof/>
        </w:rPr>
        <mc:AlternateContent>
          <mc:Choice Requires="wps">
            <w:drawing>
              <wp:anchor distT="0" distB="0" distL="114300" distR="114300" simplePos="0" relativeHeight="251659264" behindDoc="0" locked="0" layoutInCell="1" allowOverlap="1" wp14:anchorId="2E50CAC8" wp14:editId="6C803086">
                <wp:simplePos x="0" y="0"/>
                <wp:positionH relativeFrom="column">
                  <wp:align>center</wp:align>
                </wp:positionH>
                <wp:positionV relativeFrom="paragraph">
                  <wp:posOffset>0</wp:posOffset>
                </wp:positionV>
                <wp:extent cx="4119842" cy="402609"/>
                <wp:effectExtent l="0" t="0" r="1460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B2F7B" w:rsidRDefault="00CB2F7B" w:rsidP="00CB2F7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B2F7B" w:rsidRDefault="00CB2F7B" w:rsidP="00CB2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CAC8"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">
                <v:textbox>
                  <w:txbxContent>
                    <w:p w:rsidR="00CB2F7B" w:rsidRDefault="00CB2F7B" w:rsidP="00CB2F7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B2F7B" w:rsidRDefault="00CB2F7B" w:rsidP="00CB2F7B"/>
                  </w:txbxContent>
                </v:textbox>
              </v:shape>
            </w:pict>
          </mc:Fallback>
        </mc:AlternateContent>
      </w:r>
    </w:p>
    <w:p w:rsidR="00CB2F7B" w:rsidRPr="002E1B40" w:rsidRDefault="00CB2F7B" w:rsidP="00CB2F7B"/>
    <w:p w:rsidR="00CB2F7B" w:rsidRPr="002E1B40" w:rsidRDefault="00CB2F7B" w:rsidP="00CB2F7B"/>
    <w:p w:rsidR="00CB2F7B" w:rsidRPr="002E1B40" w:rsidRDefault="00CB2F7B" w:rsidP="00CB2F7B"/>
    <w:p w:rsidR="00CB2F7B" w:rsidRPr="00273B07" w:rsidRDefault="00CB2F7B" w:rsidP="00CB2F7B"/>
    <w:p w:rsidR="00CB2F7B" w:rsidRPr="00273B07" w:rsidRDefault="00CB2F7B" w:rsidP="00CB2F7B">
      <w:pPr>
        <w:rPr>
          <w:u w:val="single"/>
        </w:rPr>
      </w:pPr>
      <w:r w:rsidRPr="00273B07">
        <w:rPr>
          <w:u w:val="single"/>
        </w:rPr>
        <w:t xml:space="preserve">Duration of DUS tests: </w:t>
      </w:r>
    </w:p>
    <w:p w:rsidR="00CB2F7B" w:rsidRPr="00273B07" w:rsidRDefault="00CB2F7B" w:rsidP="00CB2F7B">
      <w:pPr>
        <w:rPr>
          <w:u w:val="single"/>
        </w:rPr>
      </w:pPr>
    </w:p>
    <w:p w:rsidR="00CB2F7B" w:rsidRPr="00273B07" w:rsidRDefault="00CB2F7B" w:rsidP="00CB2F7B">
      <w:pPr>
        <w:rPr>
          <w:i/>
        </w:rPr>
      </w:pPr>
      <w:r w:rsidRPr="00273B07">
        <w:rPr>
          <w:i/>
        </w:rPr>
        <w:t>Universal Standard Wording: Section 3.1: Number of Growing Cycles</w:t>
      </w:r>
    </w:p>
    <w:p w:rsidR="00CB2F7B" w:rsidRPr="00273B07" w:rsidRDefault="00CB2F7B" w:rsidP="00CB2F7B"/>
    <w:p w:rsidR="00CB2F7B" w:rsidRPr="00273B07" w:rsidRDefault="00CB2F7B" w:rsidP="00CB2F7B">
      <w:r w:rsidRPr="00273B07">
        <w:t xml:space="preserve">The TC agreed that the following sentence should be </w:t>
      </w:r>
      <w:r w:rsidRPr="00FE42F1">
        <w:t>included as standard wordi</w:t>
      </w:r>
      <w:bookmarkStart w:id="39" w:name="_GoBack"/>
      <w:bookmarkEnd w:id="39"/>
      <w:r w:rsidRPr="00FE42F1">
        <w:t>ng</w:t>
      </w:r>
      <w:r w:rsidRPr="00273B07">
        <w:t xml:space="preserve"> in Test Guidelines</w:t>
      </w:r>
      <w:r>
        <w:t xml:space="preserve"> </w:t>
      </w:r>
      <w:r w:rsidRPr="00273B07">
        <w:t>(see document TC/54/31</w:t>
      </w:r>
      <w:r w:rsidR="00C50128">
        <w:t> Corr.</w:t>
      </w:r>
      <w:r w:rsidRPr="00273B07">
        <w:t xml:space="preserve"> “Report”, paragraphs 210 to 212):</w:t>
      </w:r>
    </w:p>
    <w:p w:rsidR="00CB2F7B" w:rsidRPr="00273B07" w:rsidRDefault="00CB2F7B" w:rsidP="00CB2F7B">
      <w:pPr>
        <w:rPr>
          <w:sz w:val="18"/>
          <w:highlight w:val="yellow"/>
        </w:rPr>
      </w:pPr>
    </w:p>
    <w:p w:rsidR="00CB2F7B" w:rsidRPr="00273B07" w:rsidRDefault="00CB2F7B" w:rsidP="00CB2F7B">
      <w:pPr>
        <w:ind w:left="567" w:right="567"/>
        <w:rPr>
          <w:sz w:val="18"/>
          <w:u w:val="single"/>
        </w:rPr>
      </w:pPr>
      <w:r w:rsidRPr="00273B07">
        <w:rPr>
          <w:sz w:val="18"/>
          <w:highlight w:val="lightGray"/>
          <w:u w:val="single"/>
        </w:rPr>
        <w:t>“The testing of a variety may be concluded when the competent authority can determine with certainty the outcome of the test.”</w:t>
      </w:r>
    </w:p>
    <w:p w:rsidR="00CB2F7B" w:rsidRPr="00273B07" w:rsidRDefault="00CB2F7B" w:rsidP="00CB2F7B"/>
    <w:p w:rsidR="00CB2F7B" w:rsidRDefault="00CB2F7B" w:rsidP="00CB2F7B">
      <w:pPr>
        <w:rPr>
          <w:rFonts w:eastAsia="MS Mincho"/>
          <w:u w:val="single"/>
        </w:rPr>
      </w:pPr>
    </w:p>
    <w:p w:rsidR="00CB2F7B" w:rsidRPr="00273B07" w:rsidRDefault="00CB2F7B" w:rsidP="00CB2F7B">
      <w:pPr>
        <w:rPr>
          <w:rFonts w:eastAsia="MS Mincho"/>
          <w:u w:val="single"/>
        </w:rPr>
      </w:pPr>
      <w:r w:rsidRPr="00273B07">
        <w:rPr>
          <w:rFonts w:eastAsia="MS Mincho"/>
          <w:u w:val="single"/>
        </w:rPr>
        <w:t xml:space="preserve">Procedure for the adoption of Test Guidelines by </w:t>
      </w:r>
      <w:r w:rsidRPr="00FE42F1">
        <w:rPr>
          <w:rFonts w:eastAsia="MS Mincho"/>
          <w:u w:val="single"/>
        </w:rPr>
        <w:t>correspondence</w:t>
      </w:r>
      <w:r w:rsidRPr="00273B07">
        <w:rPr>
          <w:rFonts w:eastAsia="MS Mincho"/>
          <w:u w:val="single"/>
        </w:rPr>
        <w:t xml:space="preserve"> </w:t>
      </w:r>
    </w:p>
    <w:p w:rsidR="00CB2F7B" w:rsidRPr="00273B07" w:rsidRDefault="00CB2F7B" w:rsidP="00CB2F7B">
      <w:pPr>
        <w:rPr>
          <w:i/>
        </w:rPr>
      </w:pPr>
    </w:p>
    <w:p w:rsidR="00CB2F7B" w:rsidRDefault="00CB2F7B" w:rsidP="00CB2F7B">
      <w:pPr>
        <w:rPr>
          <w:i/>
        </w:rPr>
      </w:pPr>
      <w:r w:rsidRPr="00273B07">
        <w:rPr>
          <w:i/>
        </w:rPr>
        <w:t>Section 2.2 “Procedure for the Introduction of Test Guidelines”</w:t>
      </w:r>
    </w:p>
    <w:p w:rsidR="00CB2F7B" w:rsidRPr="00273B07" w:rsidRDefault="00CB2F7B" w:rsidP="00CB2F7B">
      <w:pPr>
        <w:rPr>
          <w:i/>
        </w:rPr>
      </w:pPr>
    </w:p>
    <w:p w:rsidR="00CB2F7B" w:rsidRPr="00273B07" w:rsidRDefault="00CB2F7B" w:rsidP="00CB2F7B">
      <w:r w:rsidRPr="00273B07">
        <w:t>The TC agreed that guidance in document TGP/7 should be revised to read as follows</w:t>
      </w:r>
      <w:r>
        <w:t xml:space="preserve"> </w:t>
      </w:r>
      <w:r w:rsidRPr="00273B07">
        <w:t xml:space="preserve">(see document </w:t>
      </w:r>
      <w:r w:rsidR="00C50128">
        <w:t>TC/54/31 Corr.</w:t>
      </w:r>
      <w:r w:rsidRPr="00273B07">
        <w:t xml:space="preserve"> “Report”, paragraphs 217 to 220): </w:t>
      </w:r>
    </w:p>
    <w:p w:rsidR="00CB2F7B" w:rsidRPr="00273B07" w:rsidRDefault="00CB2F7B" w:rsidP="00CB2F7B"/>
    <w:p w:rsidR="00CB2F7B" w:rsidRPr="00273B07" w:rsidRDefault="00CB2F7B" w:rsidP="00CB2F7B">
      <w:pPr>
        <w:ind w:left="567" w:right="567"/>
        <w:rPr>
          <w:sz w:val="18"/>
          <w:szCs w:val="18"/>
          <w:u w:val="single"/>
        </w:rPr>
      </w:pPr>
      <w:r w:rsidRPr="00273B07">
        <w:rPr>
          <w:sz w:val="18"/>
          <w:szCs w:val="18"/>
          <w:u w:val="single"/>
        </w:rPr>
        <w:t>“2.2.7</w:t>
      </w:r>
      <w:r w:rsidRPr="00273B07">
        <w:rPr>
          <w:sz w:val="18"/>
          <w:szCs w:val="18"/>
          <w:u w:val="single"/>
        </w:rPr>
        <w:tab/>
      </w:r>
      <w:r w:rsidRPr="00273B07">
        <w:rPr>
          <w:sz w:val="18"/>
          <w:szCs w:val="18"/>
          <w:u w:val="single"/>
          <w:bdr w:val="single" w:sz="4" w:space="0" w:color="auto"/>
        </w:rPr>
        <w:t>STEP 7</w:t>
      </w:r>
      <w:r w:rsidRPr="00273B07">
        <w:rPr>
          <w:sz w:val="18"/>
          <w:szCs w:val="18"/>
          <w:u w:val="single"/>
        </w:rPr>
        <w:tab/>
        <w:t xml:space="preserve">Consideration of Draft Test Guidelines by the TC-EDC  </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rPr>
      </w:pPr>
      <w:r w:rsidRPr="00273B07">
        <w:rPr>
          <w:sz w:val="18"/>
          <w:szCs w:val="18"/>
        </w:rPr>
        <w:t>“2.2.7.1</w:t>
      </w:r>
      <w:r w:rsidRPr="00273B07">
        <w:rPr>
          <w:sz w:val="18"/>
          <w:szCs w:val="18"/>
        </w:rPr>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rPr>
      </w:pPr>
      <w:r w:rsidRPr="00273B07">
        <w:rPr>
          <w:sz w:val="18"/>
          <w:szCs w:val="18"/>
        </w:rPr>
        <w:t>“2.2.7.2</w:t>
      </w:r>
      <w:r w:rsidRPr="00273B07">
        <w:rPr>
          <w:sz w:val="18"/>
          <w:szCs w:val="18"/>
        </w:rPr>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CB2F7B" w:rsidRPr="00273B07" w:rsidRDefault="00CB2F7B" w:rsidP="00CB2F7B">
      <w:pPr>
        <w:ind w:left="567" w:right="567"/>
        <w:rPr>
          <w:sz w:val="18"/>
          <w:szCs w:val="18"/>
        </w:rPr>
      </w:pPr>
    </w:p>
    <w:p w:rsidR="00CB2F7B" w:rsidRPr="00273B07" w:rsidRDefault="00CB2F7B" w:rsidP="00CB2F7B">
      <w:pPr>
        <w:ind w:left="567" w:right="567"/>
        <w:rPr>
          <w:strike/>
          <w:sz w:val="18"/>
          <w:szCs w:val="18"/>
          <w:highlight w:val="lightGray"/>
        </w:rPr>
      </w:pPr>
      <w:r w:rsidRPr="00273B07">
        <w:rPr>
          <w:strike/>
          <w:sz w:val="18"/>
          <w:szCs w:val="18"/>
          <w:highlight w:val="lightGray"/>
        </w:rPr>
        <w:t>“2.2.7.3</w:t>
      </w:r>
      <w:r w:rsidRPr="00273B07">
        <w:rPr>
          <w:strike/>
          <w:sz w:val="18"/>
          <w:szCs w:val="18"/>
          <w:highlight w:val="lightGray"/>
        </w:rPr>
        <w:tab/>
        <w:t xml:space="preserve">If it considers that there are technical issues to be resolved, the TC-EDC may seek to resolve the issues with the Leading Expert, prior to consideration of the </w:t>
      </w:r>
      <w:r w:rsidRPr="00273B07">
        <w:rPr>
          <w:strike/>
          <w:color w:val="000000"/>
          <w:sz w:val="18"/>
          <w:szCs w:val="18"/>
          <w:highlight w:val="lightGray"/>
        </w:rPr>
        <w:t>Test Guidelines</w:t>
      </w:r>
      <w:r w:rsidRPr="00273B07">
        <w:rPr>
          <w:strike/>
          <w:sz w:val="18"/>
          <w:szCs w:val="18"/>
          <w:highlight w:val="lightGray"/>
        </w:rPr>
        <w:t xml:space="preserve"> by the Technical Committee.  Where this is not possible, the TC-EDC may recommend that the Technical Committee:</w:t>
      </w:r>
    </w:p>
    <w:p w:rsidR="00CB2F7B" w:rsidRPr="00273B07" w:rsidRDefault="00CB2F7B" w:rsidP="00CB2F7B">
      <w:pPr>
        <w:ind w:left="567" w:right="567"/>
        <w:rPr>
          <w:strike/>
          <w:sz w:val="18"/>
          <w:szCs w:val="18"/>
          <w:highlight w:val="lightGray"/>
        </w:rPr>
      </w:pPr>
    </w:p>
    <w:p w:rsidR="00CB2F7B" w:rsidRPr="00273B07" w:rsidRDefault="00CB2F7B" w:rsidP="00CB2F7B">
      <w:pPr>
        <w:ind w:left="567" w:right="567"/>
        <w:rPr>
          <w:strike/>
          <w:sz w:val="18"/>
          <w:szCs w:val="18"/>
          <w:highlight w:val="lightGray"/>
        </w:rPr>
      </w:pPr>
      <w:r w:rsidRPr="00273B07">
        <w:rPr>
          <w:strike/>
          <w:sz w:val="18"/>
          <w:szCs w:val="18"/>
          <w:highlight w:val="lightGray"/>
        </w:rPr>
        <w:tab/>
        <w:t>(a)</w:t>
      </w:r>
      <w:r w:rsidRPr="00273B07">
        <w:rPr>
          <w:strike/>
          <w:sz w:val="18"/>
          <w:szCs w:val="18"/>
          <w:highlight w:val="lightGray"/>
        </w:rPr>
        <w:tab/>
        <w:t xml:space="preserve">refer the Test Guidelines back to the TWP (Step 4) or, </w:t>
      </w:r>
    </w:p>
    <w:p w:rsidR="00CB2F7B" w:rsidRPr="00273B07" w:rsidRDefault="00CB2F7B" w:rsidP="00CB2F7B">
      <w:pPr>
        <w:ind w:left="567" w:right="567"/>
        <w:rPr>
          <w:strike/>
          <w:sz w:val="18"/>
          <w:szCs w:val="18"/>
        </w:rPr>
      </w:pPr>
      <w:r w:rsidRPr="00273B07">
        <w:rPr>
          <w:strike/>
          <w:sz w:val="18"/>
          <w:szCs w:val="18"/>
          <w:highlight w:val="lightGray"/>
        </w:rPr>
        <w:tab/>
        <w:t>(b)</w:t>
      </w:r>
      <w:r w:rsidRPr="00273B07">
        <w:rPr>
          <w:strike/>
          <w:sz w:val="18"/>
          <w:szCs w:val="18"/>
          <w:highlight w:val="lightGray"/>
        </w:rPr>
        <w:tab/>
        <w:t>adopt the Test Guidelines subject to further information being provided by the Leading Expert with the agreement of all interested experts and the Chairperson of the TWP concerned.</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Unless otherwise agreed by the TC, the TC-EDC meets twice each year, once in the period March/April and once in conjunction with the TC session (October/November).  The TC-EDC will consider Test Guidelines submitted by the Technical Working Parties at least 14 weeks prior to the TC</w:t>
      </w:r>
      <w:r w:rsidRPr="00273B07">
        <w:rPr>
          <w:sz w:val="18"/>
          <w:szCs w:val="18"/>
          <w:highlight w:val="lightGray"/>
          <w:u w:val="single"/>
        </w:rPr>
        <w:noBreakHyphen/>
        <w:t>EDC meeting.  Test Guidelines submitted less than 14 weeks prior to the TC</w:t>
      </w:r>
      <w:r w:rsidRPr="00273B07">
        <w:rPr>
          <w:sz w:val="18"/>
          <w:szCs w:val="18"/>
          <w:highlight w:val="lightGray"/>
          <w:u w:val="single"/>
        </w:rPr>
        <w:noBreakHyphen/>
        <w:t>EDC meeting will be considered at its subsequent meeting.</w:t>
      </w:r>
    </w:p>
    <w:p w:rsidR="00CB2F7B" w:rsidRPr="00273B07" w:rsidRDefault="00CB2F7B" w:rsidP="00CB2F7B">
      <w:pPr>
        <w:tabs>
          <w:tab w:val="left" w:pos="567"/>
          <w:tab w:val="left" w:pos="1134"/>
          <w:tab w:val="left" w:pos="5387"/>
        </w:tabs>
        <w:ind w:left="567" w:right="567"/>
        <w:rPr>
          <w:sz w:val="18"/>
          <w:szCs w:val="18"/>
          <w:highlight w:val="lightGray"/>
          <w:u w:val="single"/>
        </w:rPr>
      </w:pPr>
    </w:p>
    <w:p w:rsidR="00CB2F7B" w:rsidRPr="00273B07" w:rsidRDefault="00CB2F7B" w:rsidP="00CB2F7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potential outcomes for Test Guidelines considered by the TC-EDC are as follows:</w:t>
      </w:r>
    </w:p>
    <w:p w:rsidR="00CB2F7B" w:rsidRPr="00273B07" w:rsidRDefault="00CB2F7B" w:rsidP="00CB2F7B">
      <w:pPr>
        <w:ind w:left="567" w:right="567"/>
        <w:rPr>
          <w:sz w:val="18"/>
          <w:szCs w:val="18"/>
          <w:highlight w:val="lightGray"/>
          <w:u w:val="single"/>
        </w:rPr>
      </w:pPr>
    </w:p>
    <w:p w:rsidR="00CB2F7B" w:rsidRPr="00273B07" w:rsidRDefault="00CB2F7B" w:rsidP="00CB2F7B">
      <w:pPr>
        <w:numPr>
          <w:ilvl w:val="0"/>
          <w:numId w:val="6"/>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no changes required to the Test Guidelines, or strictly editorial changes for which recommendations are agreed by the TC-EDC; or</w:t>
      </w:r>
    </w:p>
    <w:p w:rsidR="00CB2F7B" w:rsidRPr="00273B07" w:rsidRDefault="00CB2F7B" w:rsidP="00CB2F7B">
      <w:pPr>
        <w:numPr>
          <w:ilvl w:val="0"/>
          <w:numId w:val="6"/>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editorial clarifications required; or</w:t>
      </w:r>
    </w:p>
    <w:p w:rsidR="00CB2F7B" w:rsidRPr="00273B07" w:rsidRDefault="00CB2F7B" w:rsidP="00CB2F7B">
      <w:pPr>
        <w:numPr>
          <w:ilvl w:val="0"/>
          <w:numId w:val="6"/>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technical issues to be resolved.</w:t>
      </w:r>
    </w:p>
    <w:p w:rsidR="00CB2F7B" w:rsidRPr="00273B07" w:rsidRDefault="00CB2F7B" w:rsidP="00CB2F7B">
      <w:pPr>
        <w:ind w:left="567" w:right="567"/>
        <w:rPr>
          <w:sz w:val="18"/>
          <w:szCs w:val="18"/>
          <w:highlight w:val="lightGray"/>
          <w:u w:val="single"/>
        </w:rPr>
      </w:pPr>
    </w:p>
    <w:p w:rsidR="00CB2F7B" w:rsidRPr="00273B07" w:rsidRDefault="00CB2F7B" w:rsidP="00CB2F7B">
      <w:pPr>
        <w:ind w:left="567" w:right="567"/>
        <w:rPr>
          <w:sz w:val="18"/>
          <w:szCs w:val="18"/>
          <w:highlight w:val="lightGray"/>
          <w:u w:val="single"/>
        </w:rPr>
      </w:pPr>
      <w:r w:rsidRPr="00273B07">
        <w:rPr>
          <w:sz w:val="18"/>
          <w:szCs w:val="18"/>
          <w:highlight w:val="lightGray"/>
          <w:u w:val="single"/>
        </w:rPr>
        <w:lastRenderedPageBreak/>
        <w:t>“NEW</w:t>
      </w:r>
      <w:r w:rsidRPr="00273B07">
        <w:rPr>
          <w:sz w:val="18"/>
          <w:szCs w:val="18"/>
          <w:highlight w:val="lightGray"/>
          <w:u w:val="single"/>
        </w:rPr>
        <w:tab/>
      </w:r>
      <w:r w:rsidRPr="00273B07">
        <w:rPr>
          <w:sz w:val="18"/>
          <w:szCs w:val="18"/>
          <w:highlight w:val="lightGray"/>
          <w:u w:val="single"/>
        </w:rPr>
        <w:tab/>
        <w:t xml:space="preserve">In cases where no changes are required to the Test Guidelines, or strictly editorial changes for which recommendations are agreed by the TC-EDC, the Test Guidelines will be put forward for adoption by the Technical Committee. </w:t>
      </w:r>
    </w:p>
    <w:p w:rsidR="00CB2F7B" w:rsidRPr="00273B07" w:rsidRDefault="00CB2F7B" w:rsidP="00CB2F7B">
      <w:pPr>
        <w:ind w:left="567" w:right="567"/>
        <w:rPr>
          <w:sz w:val="18"/>
          <w:szCs w:val="18"/>
          <w:highlight w:val="lightGray"/>
          <w:u w:val="single"/>
        </w:rPr>
      </w:pPr>
    </w:p>
    <w:p w:rsidR="00CB2F7B" w:rsidRPr="00273B07" w:rsidRDefault="00CB2F7B" w:rsidP="00CB2F7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 xml:space="preserve">The following procedure applies for Test Guidelines when editorial clarifications are required: </w:t>
      </w:r>
    </w:p>
    <w:p w:rsidR="00CB2F7B" w:rsidRPr="00273B07" w:rsidRDefault="00CB2F7B" w:rsidP="00CB2F7B">
      <w:pPr>
        <w:ind w:left="567" w:right="567"/>
        <w:rPr>
          <w:rFonts w:cs="Arial"/>
          <w:sz w:val="18"/>
          <w:szCs w:val="18"/>
          <w:highlight w:val="lightGray"/>
          <w:u w:val="single"/>
        </w:rPr>
      </w:pPr>
    </w:p>
    <w:p w:rsidR="00CB2F7B" w:rsidRPr="00273B07" w:rsidRDefault="00CB2F7B" w:rsidP="00CB2F7B">
      <w:pPr>
        <w:numPr>
          <w:ilvl w:val="0"/>
          <w:numId w:val="4"/>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request for clarifications is transmitted to the Leading Expert;</w:t>
      </w:r>
    </w:p>
    <w:p w:rsidR="00CB2F7B" w:rsidRPr="00273B07" w:rsidRDefault="00CB2F7B" w:rsidP="00CB2F7B">
      <w:pPr>
        <w:numPr>
          <w:ilvl w:val="0"/>
          <w:numId w:val="4"/>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clarifications to be provided within four weeks;</w:t>
      </w:r>
    </w:p>
    <w:p w:rsidR="00CB2F7B" w:rsidRPr="00273B07" w:rsidRDefault="00CB2F7B" w:rsidP="00CB2F7B">
      <w:pPr>
        <w:numPr>
          <w:ilvl w:val="0"/>
          <w:numId w:val="4"/>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the clarifications are agreed by the TC-EDC, the Test Guidelines will be recommended for adoption at the TC-EDC meeting;</w:t>
      </w:r>
    </w:p>
    <w:p w:rsidR="00CB2F7B" w:rsidRPr="00273B07" w:rsidRDefault="00CB2F7B" w:rsidP="00CB2F7B">
      <w:pPr>
        <w:numPr>
          <w:ilvl w:val="0"/>
          <w:numId w:val="4"/>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Test Guidelines are considered for adoption by the TC.</w:t>
      </w:r>
    </w:p>
    <w:p w:rsidR="00CB2F7B" w:rsidRPr="00273B07" w:rsidRDefault="00CB2F7B" w:rsidP="00CB2F7B">
      <w:pPr>
        <w:ind w:left="993" w:right="567" w:hanging="426"/>
        <w:rPr>
          <w:sz w:val="18"/>
          <w:szCs w:val="18"/>
          <w:highlight w:val="lightGray"/>
          <w:u w:val="single"/>
        </w:rPr>
      </w:pPr>
    </w:p>
    <w:p w:rsidR="00CB2F7B" w:rsidRPr="00273B07" w:rsidRDefault="00CB2F7B" w:rsidP="00CB2F7B">
      <w:pPr>
        <w:ind w:left="993" w:right="567" w:hanging="426"/>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following procedure applies for Test Guidelines with technical issues to be resolved:</w:t>
      </w:r>
    </w:p>
    <w:p w:rsidR="00CB2F7B" w:rsidRPr="00273B07" w:rsidRDefault="00CB2F7B" w:rsidP="00CB2F7B">
      <w:pPr>
        <w:ind w:left="993" w:right="567" w:hanging="426"/>
        <w:rPr>
          <w:rFonts w:cs="Arial"/>
          <w:sz w:val="18"/>
          <w:szCs w:val="18"/>
          <w:highlight w:val="lightGray"/>
          <w:u w:val="single"/>
        </w:rPr>
      </w:pPr>
    </w:p>
    <w:p w:rsidR="00CB2F7B" w:rsidRPr="00273B07" w:rsidRDefault="00CB2F7B" w:rsidP="00CB2F7B">
      <w:pPr>
        <w:numPr>
          <w:ilvl w:val="0"/>
          <w:numId w:val="5"/>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 xml:space="preserve">technical issues to be transmitted to the Leading Expert </w:t>
      </w:r>
    </w:p>
    <w:p w:rsidR="00CB2F7B" w:rsidRPr="00273B07" w:rsidRDefault="00CB2F7B" w:rsidP="00CB2F7B">
      <w:pPr>
        <w:numPr>
          <w:ilvl w:val="0"/>
          <w:numId w:val="5"/>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 xml:space="preserve">the technical issues are to be addressed at the respective Technical Working Party by means of a TWP document prepared by the Leading Expert at least four weeks before TWP session (new draft Test Guidelines should not be prepared)  </w:t>
      </w:r>
    </w:p>
    <w:p w:rsidR="00CB2F7B" w:rsidRPr="00273B07" w:rsidRDefault="00CB2F7B" w:rsidP="00CB2F7B">
      <w:pPr>
        <w:numPr>
          <w:ilvl w:val="0"/>
          <w:numId w:val="5"/>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resolution of the issues to be provided to the TC-EDC at least seven weeks before the TC-EDC meeting;</w:t>
      </w:r>
    </w:p>
    <w:p w:rsidR="00CB2F7B" w:rsidRPr="00273B07" w:rsidRDefault="00CB2F7B" w:rsidP="00CB2F7B">
      <w:pPr>
        <w:numPr>
          <w:ilvl w:val="0"/>
          <w:numId w:val="4"/>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agreed by the TC-EDC, the Test Guidelines would be recommended for adoption at the TC</w:t>
      </w:r>
      <w:r w:rsidRPr="00273B07">
        <w:rPr>
          <w:rFonts w:cs="Arial"/>
          <w:sz w:val="18"/>
          <w:szCs w:val="18"/>
          <w:highlight w:val="lightGray"/>
          <w:u w:val="single"/>
          <w:lang w:val="en-GB" w:eastAsia="en-GB"/>
        </w:rPr>
        <w:noBreakHyphen/>
        <w:t>EDC meeting;</w:t>
      </w:r>
    </w:p>
    <w:p w:rsidR="00CB2F7B" w:rsidRPr="00273B07" w:rsidRDefault="00CB2F7B" w:rsidP="00CB2F7B">
      <w:pPr>
        <w:numPr>
          <w:ilvl w:val="0"/>
          <w:numId w:val="4"/>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Test Guidelines are considered for adoption by the TC.</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u w:val="single"/>
        </w:rPr>
      </w:pPr>
      <w:r w:rsidRPr="00273B07">
        <w:rPr>
          <w:sz w:val="18"/>
          <w:szCs w:val="18"/>
          <w:u w:val="single"/>
        </w:rPr>
        <w:t>“2.2.8</w:t>
      </w:r>
      <w:r w:rsidRPr="00273B07">
        <w:rPr>
          <w:sz w:val="18"/>
          <w:szCs w:val="18"/>
          <w:u w:val="single"/>
        </w:rPr>
        <w:tab/>
      </w:r>
      <w:r w:rsidRPr="00273B07">
        <w:rPr>
          <w:sz w:val="18"/>
          <w:szCs w:val="18"/>
          <w:u w:val="single"/>
          <w:bdr w:val="single" w:sz="4" w:space="0" w:color="auto"/>
        </w:rPr>
        <w:t>STEP 8</w:t>
      </w:r>
      <w:r w:rsidRPr="00273B07">
        <w:rPr>
          <w:sz w:val="18"/>
          <w:szCs w:val="18"/>
          <w:u w:val="single"/>
        </w:rPr>
        <w:tab/>
        <w:t xml:space="preserve">Adoption of Draft Test Guidelines by the Technical Committee  </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rPr>
      </w:pPr>
      <w:r w:rsidRPr="00273B07">
        <w:rPr>
          <w:sz w:val="18"/>
          <w:szCs w:val="18"/>
        </w:rPr>
        <w:t>“2.2.8.1</w:t>
      </w:r>
      <w:r w:rsidRPr="00273B07">
        <w:rPr>
          <w:sz w:val="18"/>
          <w:szCs w:val="18"/>
        </w:rPr>
        <w:tab/>
        <w:t>The Technical Committee will, on the basis of the recommendations of the TC</w:t>
      </w:r>
      <w:r w:rsidRPr="00273B07">
        <w:rPr>
          <w:sz w:val="18"/>
          <w:szCs w:val="18"/>
        </w:rPr>
        <w:noBreakHyphen/>
        <w:t>EDC, decide whether to adopt the Test Guidelines, or refer them back to the TWP concerned.</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Technical Committee may adopt Test Guidelines at its session or by correspondence.  Test Guidelines may be adopted by correspondence according to the following procedure:</w:t>
      </w:r>
    </w:p>
    <w:p w:rsidR="00CB2F7B" w:rsidRPr="00273B07" w:rsidRDefault="00CB2F7B" w:rsidP="00CB2F7B">
      <w:pPr>
        <w:ind w:left="567" w:right="567"/>
        <w:rPr>
          <w:sz w:val="18"/>
          <w:szCs w:val="18"/>
          <w:highlight w:val="lightGray"/>
          <w:u w:val="single"/>
        </w:rPr>
      </w:pPr>
    </w:p>
    <w:p w:rsidR="00CB2F7B" w:rsidRPr="00273B07" w:rsidRDefault="00CB2F7B" w:rsidP="00CB2F7B">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draft Test Guidelines are circulated to the TC for adoption by correspondence with the recommendations by the TC-EDC;</w:t>
      </w:r>
    </w:p>
    <w:p w:rsidR="00CB2F7B" w:rsidRPr="00273B07" w:rsidRDefault="00CB2F7B" w:rsidP="00CB2F7B">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draft Test Guidelines are considered as adopted if no comments are received within six weeks;</w:t>
      </w:r>
    </w:p>
    <w:p w:rsidR="00CB2F7B" w:rsidRPr="00273B07" w:rsidRDefault="00CB2F7B" w:rsidP="00CB2F7B">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any comments are received, the draft Test Guidelines are referred to the relevant TWP to address those comments.</w:t>
      </w:r>
    </w:p>
    <w:p w:rsidR="00CB2F7B" w:rsidRPr="00273B07" w:rsidRDefault="00CB2F7B" w:rsidP="00CB2F7B">
      <w:pPr>
        <w:ind w:left="567" w:right="567"/>
        <w:rPr>
          <w:sz w:val="18"/>
          <w:szCs w:val="18"/>
        </w:rPr>
      </w:pPr>
    </w:p>
    <w:p w:rsidR="00CB2F7B" w:rsidRPr="00273B07" w:rsidRDefault="00CB2F7B" w:rsidP="00CB2F7B">
      <w:pPr>
        <w:ind w:left="567" w:right="567"/>
        <w:rPr>
          <w:sz w:val="18"/>
          <w:szCs w:val="18"/>
        </w:rPr>
      </w:pPr>
      <w:r w:rsidRPr="00273B07">
        <w:rPr>
          <w:sz w:val="18"/>
          <w:szCs w:val="18"/>
        </w:rPr>
        <w:t>“2.2.8.2</w:t>
      </w:r>
      <w:r w:rsidRPr="00273B07">
        <w:rPr>
          <w:sz w:val="18"/>
          <w:szCs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CB2F7B" w:rsidRPr="00273B07" w:rsidRDefault="00CB2F7B" w:rsidP="00CB2F7B">
      <w:pPr>
        <w:ind w:left="567" w:right="567"/>
        <w:rPr>
          <w:strike/>
          <w:sz w:val="18"/>
          <w:szCs w:val="18"/>
        </w:rPr>
      </w:pPr>
    </w:p>
    <w:p w:rsidR="00CB2F7B" w:rsidRPr="00273B07" w:rsidRDefault="00CB2F7B" w:rsidP="00CB2F7B">
      <w:pPr>
        <w:ind w:left="567" w:right="567"/>
        <w:rPr>
          <w:strike/>
          <w:sz w:val="18"/>
          <w:szCs w:val="18"/>
        </w:rPr>
      </w:pPr>
      <w:r w:rsidRPr="00273B07">
        <w:rPr>
          <w:strike/>
          <w:sz w:val="18"/>
          <w:szCs w:val="18"/>
          <w:highlight w:val="lightGray"/>
        </w:rPr>
        <w:t>“2.2.8.3</w:t>
      </w:r>
      <w:r w:rsidRPr="00273B07">
        <w:rPr>
          <w:strike/>
          <w:sz w:val="18"/>
          <w:szCs w:val="18"/>
          <w:highlight w:val="lightGray"/>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273B07">
        <w:rPr>
          <w:strike/>
          <w:sz w:val="18"/>
          <w:szCs w:val="18"/>
          <w:highlight w:val="lightGray"/>
        </w:rPr>
        <w:noBreakHyphen/>
        <w:t>presented at the TWP concerned (Step 4).”</w:t>
      </w:r>
    </w:p>
    <w:p w:rsidR="00CB2F7B" w:rsidRPr="00273B07" w:rsidRDefault="00CB2F7B" w:rsidP="00CB2F7B"/>
    <w:p w:rsidR="00273B07" w:rsidRPr="00273B07" w:rsidRDefault="00273B07" w:rsidP="00273B07"/>
    <w:p w:rsidR="00273B07" w:rsidRPr="00273B07" w:rsidRDefault="00273B07" w:rsidP="00273B07"/>
    <w:p w:rsidR="00273B07" w:rsidRPr="00273B07" w:rsidRDefault="00273B07" w:rsidP="00273B07">
      <w:pPr>
        <w:jc w:val="right"/>
      </w:pPr>
      <w:r w:rsidRPr="00273B07">
        <w:t>[Annex II follows]</w:t>
      </w:r>
    </w:p>
    <w:p w:rsidR="00273B07" w:rsidRPr="00273B07" w:rsidRDefault="00273B07" w:rsidP="00273B07"/>
    <w:p w:rsidR="00273B07" w:rsidRPr="00273B07" w:rsidRDefault="00273B07" w:rsidP="00273B07">
      <w:pPr>
        <w:sectPr w:rsidR="00273B07" w:rsidRPr="00273B07" w:rsidSect="00273B07">
          <w:headerReference w:type="default" r:id="rId14"/>
          <w:footerReference w:type="default" r:id="rId15"/>
          <w:headerReference w:type="first" r:id="rId16"/>
          <w:footnotePr>
            <w:numRestart w:val="eachSect"/>
          </w:footnotePr>
          <w:pgSz w:w="11907" w:h="16840" w:code="9"/>
          <w:pgMar w:top="510" w:right="1134" w:bottom="709" w:left="1134" w:header="510" w:footer="680" w:gutter="0"/>
          <w:pgNumType w:start="1"/>
          <w:cols w:space="720"/>
          <w:titlePg/>
        </w:sectPr>
      </w:pPr>
    </w:p>
    <w:p w:rsidR="00CB2F7B" w:rsidRDefault="00A8721B" w:rsidP="00CB2F7B">
      <w:pPr>
        <w:jc w:val="center"/>
        <w:rPr>
          <w:caps/>
        </w:rPr>
      </w:pPr>
      <w:r>
        <w:rPr>
          <w:caps/>
        </w:rPr>
        <w:lastRenderedPageBreak/>
        <w:t>REVISIONS TO</w:t>
      </w:r>
      <w:r w:rsidR="00CB2F7B">
        <w:rPr>
          <w:caps/>
        </w:rPr>
        <w:t xml:space="preserve"> document TGP/8</w:t>
      </w:r>
      <w:r w:rsidR="00CB2F7B" w:rsidRPr="002E1B40">
        <w:rPr>
          <w:caps/>
        </w:rPr>
        <w:t xml:space="preserve"> “</w:t>
      </w:r>
      <w:r w:rsidR="00CB2F7B" w:rsidRPr="00C315A0">
        <w:rPr>
          <w:caps/>
        </w:rPr>
        <w:t>Trial Design and Techniques Used in the Examination of Distinctness, Uniformity and Stability</w:t>
      </w:r>
      <w:r w:rsidR="00CB2F7B" w:rsidRPr="002E1B40">
        <w:rPr>
          <w:caps/>
        </w:rPr>
        <w:t xml:space="preserve">” </w:t>
      </w:r>
    </w:p>
    <w:p w:rsidR="00CB2F7B" w:rsidRDefault="00CB2F7B" w:rsidP="00CB2F7B">
      <w:pPr>
        <w:jc w:val="center"/>
      </w:pPr>
      <w:r>
        <w:t>AGREED BY THE TECHNICAL COMMITTEE AT ITS FIFTY-THIRD</w:t>
      </w:r>
      <w:bookmarkStart w:id="40" w:name="_Ref13509596"/>
      <w:r>
        <w:rPr>
          <w:rStyle w:val="FootnoteReference"/>
        </w:rPr>
        <w:footnoteReference w:id="18"/>
      </w:r>
      <w:bookmarkEnd w:id="40"/>
      <w:r>
        <w:t xml:space="preserve"> AND FIFTY-FOURTH</w:t>
      </w:r>
      <w:bookmarkStart w:id="41" w:name="_Ref13509615"/>
      <w:r>
        <w:rPr>
          <w:rStyle w:val="FootnoteReference"/>
        </w:rPr>
        <w:footnoteReference w:id="19"/>
      </w:r>
      <w:bookmarkEnd w:id="41"/>
      <w:r>
        <w:t xml:space="preserve"> SESSIONS</w:t>
      </w:r>
    </w:p>
    <w:p w:rsidR="00CB2F7B" w:rsidRPr="002E1B40" w:rsidRDefault="00CB2F7B" w:rsidP="00CB2F7B">
      <w:pPr>
        <w:jc w:val="center"/>
        <w:rPr>
          <w:caps/>
        </w:rPr>
      </w:pPr>
    </w:p>
    <w:p w:rsidR="00CB2F7B" w:rsidRPr="002E1B40" w:rsidRDefault="00CB2F7B" w:rsidP="00CB2F7B">
      <w:pPr>
        <w:jc w:val="center"/>
      </w:pPr>
    </w:p>
    <w:p w:rsidR="00CB2F7B" w:rsidRPr="002E1B40" w:rsidRDefault="00CB2F7B" w:rsidP="00CB2F7B">
      <w:r w:rsidRPr="002E1B40">
        <w:rPr>
          <w:noProof/>
        </w:rPr>
        <mc:AlternateContent>
          <mc:Choice Requires="wps">
            <w:drawing>
              <wp:anchor distT="0" distB="0" distL="114300" distR="114300" simplePos="0" relativeHeight="251661312" behindDoc="0" locked="0" layoutInCell="1" allowOverlap="1" wp14:anchorId="1C322EB0" wp14:editId="4C35CFEE">
                <wp:simplePos x="0" y="0"/>
                <wp:positionH relativeFrom="column">
                  <wp:align>center</wp:align>
                </wp:positionH>
                <wp:positionV relativeFrom="paragraph">
                  <wp:posOffset>0</wp:posOffset>
                </wp:positionV>
                <wp:extent cx="4119842" cy="402609"/>
                <wp:effectExtent l="0" t="0" r="1460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B2F7B" w:rsidRDefault="00CB2F7B" w:rsidP="00CB2F7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B2F7B" w:rsidRDefault="00CB2F7B" w:rsidP="00CB2F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22EB0" id="_x0000_s1027" type="#_x0000_t202" style="position:absolute;left:0;text-align:left;margin-left:0;margin-top:0;width:324.4pt;height:31.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JQIAAEsEAAAOAAAAZHJzL2Uyb0RvYy54bWysVNuO2yAQfa/Uf0C8N77I2W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">
                <v:textbox>
                  <w:txbxContent>
                    <w:p w:rsidR="00CB2F7B" w:rsidRDefault="00CB2F7B" w:rsidP="00CB2F7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B2F7B" w:rsidRDefault="00CB2F7B" w:rsidP="00CB2F7B"/>
                  </w:txbxContent>
                </v:textbox>
              </v:shape>
            </w:pict>
          </mc:Fallback>
        </mc:AlternateContent>
      </w:r>
    </w:p>
    <w:p w:rsidR="00CB2F7B" w:rsidRPr="002E1B40" w:rsidRDefault="00CB2F7B" w:rsidP="00CB2F7B"/>
    <w:p w:rsidR="00CB2F7B" w:rsidRPr="002E1B40" w:rsidRDefault="00CB2F7B" w:rsidP="00CB2F7B"/>
    <w:p w:rsidR="00CB2F7B" w:rsidRPr="002E1B40" w:rsidRDefault="00CB2F7B" w:rsidP="00CB2F7B"/>
    <w:p w:rsidR="00CB2F7B" w:rsidRDefault="00CB2F7B" w:rsidP="00CB2F7B"/>
    <w:p w:rsidR="00CB2F7B" w:rsidRPr="00273B07" w:rsidRDefault="00CB2F7B" w:rsidP="00CB2F7B">
      <w:pPr>
        <w:keepNext/>
        <w:rPr>
          <w:caps/>
        </w:rPr>
      </w:pPr>
    </w:p>
    <w:p w:rsidR="00CB2F7B" w:rsidRPr="00273B07" w:rsidRDefault="00CB2F7B" w:rsidP="00CB2F7B">
      <w:pPr>
        <w:keepNext/>
        <w:rPr>
          <w:u w:val="single"/>
        </w:rPr>
      </w:pPr>
      <w:r w:rsidRPr="00273B07">
        <w:rPr>
          <w:u w:val="single"/>
        </w:rPr>
        <w:t>Examining DUS in Bulk Samples</w:t>
      </w:r>
    </w:p>
    <w:p w:rsidR="00CB2F7B" w:rsidRDefault="00CB2F7B" w:rsidP="00CB2F7B">
      <w:pPr>
        <w:keepNext/>
      </w:pPr>
    </w:p>
    <w:p w:rsidR="00CB2F7B" w:rsidRPr="00273B07" w:rsidRDefault="00CB2F7B" w:rsidP="00CB2F7B">
      <w:pPr>
        <w:keepNext/>
        <w:rPr>
          <w:i/>
        </w:rPr>
      </w:pPr>
      <w:r w:rsidRPr="00273B07">
        <w:rPr>
          <w:i/>
        </w:rPr>
        <w:t>New Section 12: Examining characteristics on the basis of bulk samples</w:t>
      </w:r>
    </w:p>
    <w:p w:rsidR="00CB2F7B" w:rsidRPr="00273B07" w:rsidRDefault="00CB2F7B" w:rsidP="00CB2F7B">
      <w:pPr>
        <w:keepNext/>
      </w:pPr>
    </w:p>
    <w:p w:rsidR="00CB2F7B" w:rsidRDefault="00CB2F7B" w:rsidP="00CB2F7B">
      <w:pPr>
        <w:keepNext/>
      </w:pPr>
      <w:r w:rsidRPr="00273B07">
        <w:t>The TC, at its fifty-third session</w:t>
      </w:r>
      <w:r w:rsidRPr="003E1190">
        <w:rPr>
          <w:vertAlign w:val="superscript"/>
        </w:rPr>
        <w:fldChar w:fldCharType="begin"/>
      </w:r>
      <w:r w:rsidRPr="003E1190">
        <w:rPr>
          <w:vertAlign w:val="superscript"/>
        </w:rPr>
        <w:instrText xml:space="preserve"> NOTEREF _Ref13509596 \h </w:instrText>
      </w:r>
      <w:r>
        <w:rPr>
          <w:vertAlign w:val="superscript"/>
        </w:rPr>
        <w:instrText xml:space="preserve"> \* MERGEFORMAT </w:instrText>
      </w:r>
      <w:r w:rsidRPr="003E1190">
        <w:rPr>
          <w:vertAlign w:val="superscript"/>
        </w:rPr>
      </w:r>
      <w:r w:rsidRPr="003E1190">
        <w:rPr>
          <w:vertAlign w:val="superscript"/>
        </w:rPr>
        <w:fldChar w:fldCharType="separate"/>
      </w:r>
      <w:r w:rsidR="00E7053E">
        <w:rPr>
          <w:vertAlign w:val="superscript"/>
        </w:rPr>
        <w:t>1</w:t>
      </w:r>
      <w:r w:rsidRPr="003E1190">
        <w:rPr>
          <w:vertAlign w:val="superscript"/>
        </w:rPr>
        <w:fldChar w:fldCharType="end"/>
      </w:r>
      <w:r w:rsidRPr="00273B07">
        <w:t>, agreed a list of criteria as the basis for the development of guidance for inclusion in a future revision of document TGP/8, as follows (see document T</w:t>
      </w:r>
      <w:r>
        <w:t>C/53/31 “Report”, paragraphs </w:t>
      </w:r>
      <w:r w:rsidRPr="00273B07">
        <w:t>113 to 116):</w:t>
      </w:r>
    </w:p>
    <w:p w:rsidR="00CB2F7B" w:rsidRDefault="00CB2F7B" w:rsidP="00CB2F7B">
      <w:pPr>
        <w:keepNext/>
      </w:pPr>
    </w:p>
    <w:p w:rsidR="00CB2F7B" w:rsidRPr="00CD0F11" w:rsidRDefault="00CB2F7B" w:rsidP="00CB2F7B">
      <w:pPr>
        <w:keepNext/>
        <w:ind w:left="567" w:right="567"/>
        <w:rPr>
          <w:b/>
          <w:sz w:val="18"/>
          <w:highlight w:val="lightGray"/>
          <w:u w:val="single"/>
        </w:rPr>
      </w:pPr>
      <w:r w:rsidRPr="00CD0F11">
        <w:rPr>
          <w:b/>
          <w:sz w:val="18"/>
          <w:highlight w:val="lightGray"/>
          <w:u w:val="single"/>
        </w:rPr>
        <w:t>12.</w:t>
      </w:r>
      <w:r w:rsidRPr="00CD0F11">
        <w:rPr>
          <w:b/>
          <w:sz w:val="18"/>
          <w:highlight w:val="lightGray"/>
          <w:u w:val="single"/>
        </w:rPr>
        <w:tab/>
        <w:t>EXAMINING CHARACTERISTICS ON THE BASIS OF BULK SAMPLES</w:t>
      </w:r>
    </w:p>
    <w:p w:rsidR="00CB2F7B" w:rsidRPr="00CD0F11" w:rsidRDefault="00CB2F7B" w:rsidP="00CB2F7B">
      <w:pPr>
        <w:keepNext/>
        <w:ind w:left="567" w:right="567"/>
        <w:rPr>
          <w:sz w:val="18"/>
          <w:highlight w:val="lightGray"/>
          <w:u w:val="single"/>
        </w:rPr>
      </w:pPr>
    </w:p>
    <w:p w:rsidR="00CB2F7B" w:rsidRPr="00CD0F11" w:rsidRDefault="00CB2F7B" w:rsidP="00CB2F7B">
      <w:pPr>
        <w:keepNext/>
        <w:ind w:left="567" w:right="567"/>
        <w:rPr>
          <w:sz w:val="18"/>
          <w:u w:val="single"/>
        </w:rPr>
      </w:pPr>
      <w:r w:rsidRPr="00CD0F11">
        <w:rPr>
          <w:sz w:val="18"/>
          <w:highlight w:val="lightGray"/>
          <w:u w:val="single"/>
        </w:rPr>
        <w:t>The following criteria should be observed when examining characteristics on the basis of bulk samples:</w:t>
      </w:r>
    </w:p>
    <w:p w:rsidR="00CB2F7B" w:rsidRPr="00CD0F11" w:rsidRDefault="00CB2F7B" w:rsidP="00CB2F7B">
      <w:pPr>
        <w:keepNext/>
        <w:ind w:left="567" w:right="567"/>
        <w:rPr>
          <w:sz w:val="18"/>
        </w:rPr>
      </w:pPr>
    </w:p>
    <w:p w:rsidR="00CB2F7B" w:rsidRPr="00CD0F11" w:rsidRDefault="00CB2F7B" w:rsidP="00CB2F7B">
      <w:pPr>
        <w:numPr>
          <w:ilvl w:val="0"/>
          <w:numId w:val="15"/>
        </w:numPr>
        <w:ind w:left="1134" w:right="567" w:hanging="567"/>
        <w:rPr>
          <w:sz w:val="18"/>
          <w:highlight w:val="lightGray"/>
          <w:u w:val="single"/>
        </w:rPr>
      </w:pPr>
      <w:r w:rsidRPr="00CD0F11">
        <w:rPr>
          <w:iCs/>
          <w:sz w:val="18"/>
          <w:highlight w:val="lightGray"/>
          <w:u w:val="single"/>
        </w:rPr>
        <w:t xml:space="preserve">“the characteristic should fulfill the requirements </w:t>
      </w:r>
      <w:r w:rsidRPr="00CD0F11">
        <w:rPr>
          <w:sz w:val="18"/>
          <w:highlight w:val="lightGray"/>
          <w:u w:val="single"/>
        </w:rPr>
        <w:t>of a characteristic, as set out in the “General Introduction to the Examination of Distinctness, Uniformity and Stability and the Development of Harmonized Descriptions of new Varieties of Plants” (see document TG/1/3, Section 4.2.1);</w:t>
      </w:r>
    </w:p>
    <w:p w:rsidR="00CB2F7B" w:rsidRPr="00CD0F11" w:rsidRDefault="00CB2F7B" w:rsidP="00CB2F7B">
      <w:pPr>
        <w:ind w:left="1134" w:right="567" w:hanging="567"/>
        <w:rPr>
          <w:sz w:val="18"/>
          <w:highlight w:val="lightGray"/>
          <w:u w:val="single"/>
        </w:rPr>
      </w:pPr>
    </w:p>
    <w:p w:rsidR="00CB2F7B" w:rsidRPr="00CD0F11" w:rsidRDefault="00CB2F7B" w:rsidP="00CB2F7B">
      <w:pPr>
        <w:numPr>
          <w:ilvl w:val="0"/>
          <w:numId w:val="15"/>
        </w:numPr>
        <w:ind w:left="1134" w:right="567" w:hanging="567"/>
        <w:rPr>
          <w:sz w:val="18"/>
          <w:highlight w:val="lightGray"/>
          <w:u w:val="single"/>
        </w:rPr>
      </w:pPr>
      <w:r w:rsidRPr="00CD0F11">
        <w:rPr>
          <w:sz w:val="18"/>
          <w:highlight w:val="lightGray"/>
          <w:u w:val="single"/>
        </w:rPr>
        <w:t>“there should be knowledge of the genetic control of the characteristic;</w:t>
      </w:r>
    </w:p>
    <w:p w:rsidR="00CB2F7B" w:rsidRPr="00CD0F11" w:rsidRDefault="00CB2F7B" w:rsidP="00CB2F7B">
      <w:pPr>
        <w:ind w:left="1134" w:right="567" w:hanging="567"/>
        <w:rPr>
          <w:iCs/>
          <w:sz w:val="18"/>
          <w:highlight w:val="lightGray"/>
          <w:u w:val="single"/>
        </w:rPr>
      </w:pPr>
    </w:p>
    <w:p w:rsidR="00CB2F7B" w:rsidRPr="00CD0F11" w:rsidRDefault="00CB2F7B" w:rsidP="00CB2F7B">
      <w:pPr>
        <w:numPr>
          <w:ilvl w:val="0"/>
          <w:numId w:val="15"/>
        </w:numPr>
        <w:ind w:left="1134" w:right="567" w:hanging="567"/>
        <w:rPr>
          <w:iCs/>
          <w:sz w:val="18"/>
          <w:highlight w:val="lightGray"/>
          <w:u w:val="single"/>
        </w:rPr>
      </w:pPr>
      <w:r w:rsidRPr="00CD0F11">
        <w:rPr>
          <w:iCs/>
          <w:sz w:val="18"/>
          <w:highlight w:val="lightGray"/>
          <w:u w:val="single"/>
        </w:rPr>
        <w:t xml:space="preserve">“the suitability of the characteristic should be validated through an initial assessment of uniformity on individual plants; </w:t>
      </w:r>
    </w:p>
    <w:p w:rsidR="00CB2F7B" w:rsidRPr="00CD0F11" w:rsidRDefault="00CB2F7B" w:rsidP="00CB2F7B">
      <w:pPr>
        <w:ind w:left="1134" w:right="567" w:hanging="567"/>
        <w:rPr>
          <w:iCs/>
          <w:sz w:val="18"/>
          <w:highlight w:val="lightGray"/>
          <w:u w:val="single"/>
        </w:rPr>
      </w:pPr>
    </w:p>
    <w:p w:rsidR="00CB2F7B" w:rsidRPr="00CD0F11" w:rsidRDefault="00CB2F7B" w:rsidP="00CB2F7B">
      <w:pPr>
        <w:numPr>
          <w:ilvl w:val="0"/>
          <w:numId w:val="15"/>
        </w:numPr>
        <w:ind w:left="1134" w:right="567" w:hanging="567"/>
        <w:rPr>
          <w:iCs/>
          <w:sz w:val="18"/>
          <w:highlight w:val="lightGray"/>
          <w:u w:val="single"/>
        </w:rPr>
      </w:pPr>
      <w:r w:rsidRPr="00CD0F11">
        <w:rPr>
          <w:sz w:val="18"/>
          <w:highlight w:val="lightGray"/>
          <w:u w:val="single"/>
        </w:rPr>
        <w:t xml:space="preserve">“information on plant-by-plant variation and differences between growing cycles should be provided (data from </w:t>
      </w:r>
      <w:r w:rsidRPr="00CD0F11">
        <w:rPr>
          <w:iCs/>
          <w:sz w:val="18"/>
          <w:highlight w:val="lightGray"/>
          <w:u w:val="single"/>
        </w:rPr>
        <w:t>routine measurement of the characteristic from different years);</w:t>
      </w:r>
    </w:p>
    <w:p w:rsidR="00CB2F7B" w:rsidRPr="00CD0F11" w:rsidRDefault="00CB2F7B" w:rsidP="00CB2F7B">
      <w:pPr>
        <w:ind w:left="1134" w:right="567" w:hanging="567"/>
        <w:rPr>
          <w:iCs/>
          <w:sz w:val="18"/>
          <w:highlight w:val="lightGray"/>
          <w:u w:val="single"/>
        </w:rPr>
      </w:pPr>
    </w:p>
    <w:p w:rsidR="00CB2F7B" w:rsidRPr="00CD0F11" w:rsidRDefault="00CB2F7B" w:rsidP="00CB2F7B">
      <w:pPr>
        <w:numPr>
          <w:ilvl w:val="0"/>
          <w:numId w:val="15"/>
        </w:numPr>
        <w:ind w:left="1134" w:right="567" w:hanging="567"/>
        <w:rPr>
          <w:sz w:val="18"/>
          <w:highlight w:val="lightGray"/>
          <w:u w:val="single"/>
        </w:rPr>
      </w:pPr>
      <w:r w:rsidRPr="00CD0F11">
        <w:rPr>
          <w:sz w:val="18"/>
          <w:highlight w:val="lightGray"/>
          <w:u w:val="single"/>
        </w:rPr>
        <w:t>“a full description of the method of assessment should be provided;</w:t>
      </w:r>
    </w:p>
    <w:p w:rsidR="00CB2F7B" w:rsidRPr="00CD0F11" w:rsidRDefault="00CB2F7B" w:rsidP="00CB2F7B">
      <w:pPr>
        <w:ind w:left="1134" w:right="567" w:hanging="567"/>
        <w:rPr>
          <w:sz w:val="18"/>
          <w:highlight w:val="lightGray"/>
          <w:u w:val="single"/>
        </w:rPr>
      </w:pPr>
    </w:p>
    <w:p w:rsidR="00CB2F7B" w:rsidRPr="00CD0F11" w:rsidRDefault="00CB2F7B" w:rsidP="00CB2F7B">
      <w:pPr>
        <w:numPr>
          <w:ilvl w:val="0"/>
          <w:numId w:val="15"/>
        </w:numPr>
        <w:ind w:left="1134" w:right="567" w:hanging="567"/>
        <w:rPr>
          <w:sz w:val="18"/>
          <w:highlight w:val="lightGray"/>
          <w:u w:val="single"/>
        </w:rPr>
      </w:pPr>
      <w:r w:rsidRPr="00CD0F11">
        <w:rPr>
          <w:sz w:val="18"/>
          <w:highlight w:val="lightGray"/>
          <w:u w:val="single"/>
        </w:rPr>
        <w:t>“states of expression should be based on existing variation between varieties considering environmental influence.”</w:t>
      </w:r>
    </w:p>
    <w:p w:rsidR="00CB2F7B" w:rsidRDefault="00CB2F7B" w:rsidP="00CB2F7B">
      <w:pPr>
        <w:rPr>
          <w:u w:val="single"/>
        </w:rPr>
      </w:pPr>
    </w:p>
    <w:p w:rsidR="00CB2F7B" w:rsidRPr="00CD0F11" w:rsidRDefault="00CB2F7B" w:rsidP="00CB2F7B">
      <w:pPr>
        <w:rPr>
          <w:u w:val="single"/>
        </w:rPr>
      </w:pPr>
    </w:p>
    <w:p w:rsidR="00CB2F7B" w:rsidRPr="003E1190" w:rsidRDefault="00CB2F7B" w:rsidP="00CB2F7B">
      <w:pPr>
        <w:keepNext/>
        <w:rPr>
          <w:i/>
        </w:rPr>
      </w:pPr>
      <w:r w:rsidRPr="003E1190">
        <w:rPr>
          <w:i/>
        </w:rPr>
        <w:t>Method for more than one single test (year)</w:t>
      </w:r>
    </w:p>
    <w:p w:rsidR="00CB2F7B" w:rsidRDefault="00CB2F7B" w:rsidP="00CB2F7B">
      <w:pPr>
        <w:keepNext/>
      </w:pPr>
    </w:p>
    <w:p w:rsidR="00CB2F7B" w:rsidRDefault="00CB2F7B" w:rsidP="00CB2F7B">
      <w:pPr>
        <w:keepNext/>
      </w:pPr>
      <w:r w:rsidRPr="00273B07">
        <w:t>The TC</w:t>
      </w:r>
      <w:r>
        <w:t>,</w:t>
      </w:r>
      <w:r w:rsidRPr="00273B07">
        <w:t xml:space="preserve"> </w:t>
      </w:r>
      <w:r>
        <w:t>at its fifty-fourth session</w:t>
      </w:r>
      <w:r w:rsidRPr="003E1190">
        <w:rPr>
          <w:vertAlign w:val="superscript"/>
        </w:rPr>
        <w:fldChar w:fldCharType="begin"/>
      </w:r>
      <w:r w:rsidRPr="003E1190">
        <w:rPr>
          <w:vertAlign w:val="superscript"/>
        </w:rPr>
        <w:instrText xml:space="preserve"> NOTEREF _Ref13509615 \h </w:instrText>
      </w:r>
      <w:r>
        <w:rPr>
          <w:vertAlign w:val="superscript"/>
        </w:rPr>
        <w:instrText xml:space="preserve"> \* MERGEFORMAT </w:instrText>
      </w:r>
      <w:r w:rsidRPr="003E1190">
        <w:rPr>
          <w:vertAlign w:val="superscript"/>
        </w:rPr>
      </w:r>
      <w:r w:rsidRPr="003E1190">
        <w:rPr>
          <w:vertAlign w:val="superscript"/>
        </w:rPr>
        <w:fldChar w:fldCharType="separate"/>
      </w:r>
      <w:r w:rsidR="00E7053E">
        <w:rPr>
          <w:vertAlign w:val="superscript"/>
        </w:rPr>
        <w:t>2</w:t>
      </w:r>
      <w:r w:rsidRPr="003E1190">
        <w:rPr>
          <w:vertAlign w:val="superscript"/>
        </w:rPr>
        <w:fldChar w:fldCharType="end"/>
      </w:r>
      <w:r>
        <w:t xml:space="preserve">, </w:t>
      </w:r>
      <w:r w:rsidRPr="00273B07">
        <w:t xml:space="preserve">noted that guidance on </w:t>
      </w:r>
      <w:r w:rsidRPr="00CD0F11">
        <w:t xml:space="preserve">“Examining characteristics on the basis of bulk samples” </w:t>
      </w:r>
      <w:r w:rsidRPr="00273B07">
        <w:t>had been developed for document TGP/10 and agreed that the current guidance in document TGP/8/2: Part II: Section 8: Subsection 8.1.7 should be replaced by a cross-reference to the new guidance on “Assessing uniformity by off-types on the basis of more than one growing cycle or on the basis of sub-samples” to be included in document TGP/10 “Examining Uniformity”</w:t>
      </w:r>
      <w:r>
        <w:t>:</w:t>
      </w:r>
    </w:p>
    <w:p w:rsidR="00CB2F7B" w:rsidRDefault="00CB2F7B" w:rsidP="00CB2F7B">
      <w:pPr>
        <w:keepNext/>
      </w:pPr>
    </w:p>
    <w:p w:rsidR="00CB2F7B" w:rsidRPr="00CD0F11" w:rsidRDefault="00CB2F7B" w:rsidP="00CB2F7B">
      <w:pPr>
        <w:keepNext/>
        <w:tabs>
          <w:tab w:val="left" w:pos="1276"/>
        </w:tabs>
        <w:ind w:left="567" w:right="567"/>
        <w:rPr>
          <w:sz w:val="18"/>
        </w:rPr>
      </w:pPr>
      <w:r w:rsidRPr="00CD0F11">
        <w:rPr>
          <w:sz w:val="18"/>
        </w:rPr>
        <w:t>8.1.7</w:t>
      </w:r>
      <w:r w:rsidRPr="00CD0F11">
        <w:rPr>
          <w:sz w:val="18"/>
        </w:rPr>
        <w:tab/>
        <w:t>Method for more than one single test (year)</w:t>
      </w:r>
    </w:p>
    <w:p w:rsidR="00CB2F7B" w:rsidRPr="00CD0F11" w:rsidRDefault="00CB2F7B" w:rsidP="00CB2F7B">
      <w:pPr>
        <w:keepNext/>
        <w:tabs>
          <w:tab w:val="left" w:pos="1276"/>
        </w:tabs>
        <w:ind w:left="567" w:right="567"/>
        <w:rPr>
          <w:sz w:val="18"/>
        </w:rPr>
      </w:pPr>
    </w:p>
    <w:p w:rsidR="00CB2F7B" w:rsidRPr="003E1190" w:rsidRDefault="00CB2F7B" w:rsidP="00CB2F7B">
      <w:pPr>
        <w:keepNext/>
        <w:tabs>
          <w:tab w:val="left" w:pos="1276"/>
        </w:tabs>
        <w:ind w:left="567" w:right="567"/>
        <w:rPr>
          <w:sz w:val="18"/>
          <w:u w:val="single"/>
        </w:rPr>
      </w:pPr>
      <w:r w:rsidRPr="00CD0F11">
        <w:rPr>
          <w:sz w:val="18"/>
          <w:highlight w:val="lightGray"/>
          <w:u w:val="single"/>
        </w:rPr>
        <w:t>8.1.7.1</w:t>
      </w:r>
      <w:r w:rsidRPr="00CD0F11">
        <w:rPr>
          <w:sz w:val="18"/>
          <w:highlight w:val="lightGray"/>
          <w:u w:val="single"/>
        </w:rPr>
        <w:tab/>
        <w:t>Guidance on assessing uniformity by off-types on the basis of more than one growing cycle and on the basis of sub-samples within a single test/trial is provided in document TGP/10 “Assessing Uniformity”.</w:t>
      </w:r>
    </w:p>
    <w:p w:rsidR="00CB2F7B" w:rsidRPr="00273B07" w:rsidRDefault="00CB2F7B" w:rsidP="00CB2F7B">
      <w:pPr>
        <w:keepNext/>
      </w:pPr>
    </w:p>
    <w:p w:rsidR="00273B07" w:rsidRPr="00273B07" w:rsidRDefault="00273B07" w:rsidP="00273B07"/>
    <w:p w:rsidR="00273B07" w:rsidRPr="00273B07" w:rsidRDefault="00273B07" w:rsidP="00273B07"/>
    <w:p w:rsidR="00273B07" w:rsidRPr="00273B07" w:rsidRDefault="00273B07" w:rsidP="00273B07">
      <w:pPr>
        <w:jc w:val="right"/>
      </w:pPr>
      <w:r w:rsidRPr="00273B07">
        <w:t xml:space="preserve">[Annex III </w:t>
      </w:r>
      <w:r w:rsidRPr="00C33E97">
        <w:t>follows</w:t>
      </w:r>
      <w:r w:rsidRPr="00273B07">
        <w:t>]</w:t>
      </w:r>
    </w:p>
    <w:p w:rsidR="00273B07" w:rsidRPr="00273B07" w:rsidRDefault="00273B07" w:rsidP="00273B07"/>
    <w:p w:rsidR="00273B07" w:rsidRPr="00273B07" w:rsidRDefault="00273B07" w:rsidP="00273B07">
      <w:pPr>
        <w:sectPr w:rsidR="00273B07" w:rsidRPr="00273B07" w:rsidSect="00273B07">
          <w:headerReference w:type="first" r:id="rId17"/>
          <w:footnotePr>
            <w:numRestart w:val="eachSect"/>
          </w:footnotePr>
          <w:pgSz w:w="11907" w:h="16840" w:code="9"/>
          <w:pgMar w:top="510" w:right="1134" w:bottom="709" w:left="1134" w:header="510" w:footer="680" w:gutter="0"/>
          <w:pgNumType w:start="1"/>
          <w:cols w:space="720"/>
          <w:titlePg/>
        </w:sectPr>
      </w:pPr>
    </w:p>
    <w:p w:rsidR="00CB2F7B" w:rsidRPr="002E1B40" w:rsidRDefault="00A8721B" w:rsidP="00CB2F7B">
      <w:pPr>
        <w:jc w:val="center"/>
        <w:rPr>
          <w:caps/>
        </w:rPr>
      </w:pPr>
      <w:r>
        <w:rPr>
          <w:caps/>
        </w:rPr>
        <w:lastRenderedPageBreak/>
        <w:t>REVISIONS TO</w:t>
      </w:r>
      <w:r w:rsidR="00CB2F7B">
        <w:rPr>
          <w:caps/>
        </w:rPr>
        <w:t xml:space="preserve"> document TGP/10</w:t>
      </w:r>
      <w:r w:rsidR="00CB2F7B" w:rsidRPr="002E1B40">
        <w:rPr>
          <w:caps/>
        </w:rPr>
        <w:t xml:space="preserve"> “</w:t>
      </w:r>
      <w:r w:rsidR="00CB2F7B" w:rsidRPr="00E23559">
        <w:rPr>
          <w:caps/>
        </w:rPr>
        <w:t>Examining Uniformity”</w:t>
      </w:r>
      <w:r w:rsidR="00CB2F7B" w:rsidRPr="002E1B40">
        <w:rPr>
          <w:caps/>
        </w:rPr>
        <w:t xml:space="preserve"> </w:t>
      </w:r>
    </w:p>
    <w:p w:rsidR="00CB2F7B" w:rsidRDefault="00CB2F7B" w:rsidP="00CB2F7B">
      <w:pPr>
        <w:jc w:val="center"/>
      </w:pPr>
      <w:r>
        <w:t>AGREED BY THE TECHNICAL COMMITTEE AT ITS FIFTY-FOURTH SESSION</w:t>
      </w:r>
      <w:r>
        <w:rPr>
          <w:rStyle w:val="FootnoteReference"/>
        </w:rPr>
        <w:footnoteReference w:id="20"/>
      </w:r>
    </w:p>
    <w:p w:rsidR="00CB2F7B" w:rsidRDefault="00CB2F7B" w:rsidP="00CB2F7B">
      <w:pPr>
        <w:rPr>
          <w:sz w:val="18"/>
        </w:rPr>
      </w:pPr>
    </w:p>
    <w:p w:rsidR="00CB2F7B" w:rsidRPr="00273B07" w:rsidRDefault="00CB2F7B" w:rsidP="00CB2F7B">
      <w:pPr>
        <w:rPr>
          <w:sz w:val="18"/>
        </w:rPr>
      </w:pPr>
    </w:p>
    <w:p w:rsidR="00CB2F7B" w:rsidRPr="00EF65E9" w:rsidRDefault="00CB2F7B" w:rsidP="00CB2F7B">
      <w:pPr>
        <w:rPr>
          <w:u w:val="single"/>
        </w:rPr>
      </w:pPr>
      <w:r w:rsidRPr="00EF65E9">
        <w:rPr>
          <w:rFonts w:eastAsia="MS Mincho"/>
          <w:u w:val="single"/>
        </w:rPr>
        <w:t>New Section 4.7: Assessing Uniformity by Off-Types on the Basis of More than One Growing Cycle</w:t>
      </w:r>
    </w:p>
    <w:p w:rsidR="00CB2F7B" w:rsidRPr="00EF65E9" w:rsidRDefault="00CB2F7B" w:rsidP="00CB2F7B"/>
    <w:p w:rsidR="00CB2F7B" w:rsidRPr="00EF65E9" w:rsidRDefault="00CB2F7B" w:rsidP="00CB2F7B">
      <w:pPr>
        <w:rPr>
          <w:szCs w:val="24"/>
        </w:rPr>
      </w:pPr>
      <w:r w:rsidRPr="00EF65E9">
        <w:t>Two independent growing cycles could take place in a single location in different years, or in different locations in the same year, according to document TGP/8 Part I, Sections 1.2 and 1.3.</w:t>
      </w:r>
    </w:p>
    <w:p w:rsidR="00CB2F7B" w:rsidRPr="00EF65E9" w:rsidRDefault="00CB2F7B" w:rsidP="00CB2F7B">
      <w:pPr>
        <w:rPr>
          <w:szCs w:val="24"/>
        </w:rPr>
      </w:pPr>
    </w:p>
    <w:p w:rsidR="00CB2F7B" w:rsidRPr="00EF65E9" w:rsidRDefault="00CB2F7B" w:rsidP="00CB2F7B">
      <w:pPr>
        <w:rPr>
          <w:szCs w:val="24"/>
        </w:rPr>
      </w:pPr>
      <w:r w:rsidRPr="00EF65E9">
        <w:t>The following guidance is not intended to be used for the assessment of uniformity by off-types on the same plants in two growing cycles.  Results from growing cycles using different lots of plant material should not be combined.</w:t>
      </w:r>
    </w:p>
    <w:p w:rsidR="00CB2F7B" w:rsidRPr="00EF65E9" w:rsidRDefault="00CB2F7B" w:rsidP="00CB2F7B">
      <w:pPr>
        <w:rPr>
          <w:sz w:val="22"/>
          <w:szCs w:val="24"/>
        </w:rPr>
      </w:pPr>
    </w:p>
    <w:p w:rsidR="00CB2F7B" w:rsidRPr="00EF65E9" w:rsidRDefault="00CB2F7B" w:rsidP="00CB2F7B">
      <w:pPr>
        <w:ind w:firstLine="567"/>
        <w:rPr>
          <w:i/>
          <w:szCs w:val="24"/>
        </w:rPr>
      </w:pPr>
      <w:r w:rsidRPr="00EF65E9">
        <w:rPr>
          <w:i/>
          <w:szCs w:val="24"/>
        </w:rPr>
        <w:t xml:space="preserve">Approach 1:  Third growing cycle in the case of inconsistent results </w:t>
      </w:r>
    </w:p>
    <w:p w:rsidR="00CB2F7B" w:rsidRPr="00EF65E9" w:rsidRDefault="00CB2F7B" w:rsidP="00CB2F7B">
      <w:pPr>
        <w:jc w:val="center"/>
        <w:rPr>
          <w:b/>
          <w:szCs w:val="24"/>
        </w:rPr>
      </w:pPr>
    </w:p>
    <w:p w:rsidR="00CB2F7B" w:rsidRPr="00EF65E9" w:rsidRDefault="00CB2F7B" w:rsidP="00CB2F7B">
      <w:pPr>
        <w:rPr>
          <w:rFonts w:eastAsia="SimSun"/>
          <w:szCs w:val="24"/>
          <w:lang w:eastAsia="zh-CN"/>
        </w:rPr>
      </w:pPr>
      <w:r w:rsidRPr="00EF65E9">
        <w:rPr>
          <w:rFonts w:eastAsia="SimSun"/>
          <w:szCs w:val="24"/>
          <w:lang w:eastAsia="zh-CN"/>
        </w:rPr>
        <w:t>A variety is considered uniform if it is within the uniformity standard in both of the two growing cycles.</w:t>
      </w:r>
    </w:p>
    <w:p w:rsidR="00CB2F7B" w:rsidRPr="00EF65E9" w:rsidRDefault="00CB2F7B" w:rsidP="00CB2F7B">
      <w:pPr>
        <w:rPr>
          <w:rFonts w:eastAsia="SimSun"/>
          <w:szCs w:val="24"/>
          <w:lang w:eastAsia="zh-CN"/>
        </w:rPr>
      </w:pPr>
    </w:p>
    <w:p w:rsidR="00CB2F7B" w:rsidRPr="00EF65E9" w:rsidRDefault="00CB2F7B" w:rsidP="00CB2F7B">
      <w:pPr>
        <w:rPr>
          <w:rFonts w:eastAsia="SimSun"/>
          <w:szCs w:val="24"/>
          <w:lang w:eastAsia="zh-CN"/>
        </w:rPr>
      </w:pPr>
      <w:r w:rsidRPr="00EF65E9">
        <w:rPr>
          <w:rFonts w:eastAsia="SimSun"/>
          <w:szCs w:val="24"/>
          <w:lang w:eastAsia="zh-CN"/>
        </w:rPr>
        <w:t>A variety is considered non-uniform if it fails to meet the uniformity standard in both of the two growing cycles.</w:t>
      </w:r>
    </w:p>
    <w:p w:rsidR="00CB2F7B" w:rsidRPr="00EF65E9" w:rsidRDefault="00CB2F7B" w:rsidP="00CB2F7B">
      <w:pPr>
        <w:rPr>
          <w:rFonts w:eastAsia="SimSun"/>
          <w:szCs w:val="24"/>
          <w:lang w:eastAsia="zh-CN"/>
        </w:rPr>
      </w:pPr>
    </w:p>
    <w:p w:rsidR="00CB2F7B" w:rsidRPr="00EF65E9" w:rsidRDefault="00CB2F7B" w:rsidP="00CB2F7B">
      <w:pPr>
        <w:rPr>
          <w:rFonts w:eastAsia="SimSun"/>
          <w:lang w:eastAsia="zh-CN"/>
        </w:rPr>
      </w:pPr>
      <w:r w:rsidRPr="00EF65E9">
        <w:rPr>
          <w:rFonts w:eastAsia="SimSun"/>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CB2F7B" w:rsidRPr="00EF65E9" w:rsidRDefault="00CB2F7B" w:rsidP="00CB2F7B">
      <w:pPr>
        <w:rPr>
          <w:color w:val="000000"/>
        </w:rPr>
      </w:pPr>
    </w:p>
    <w:p w:rsidR="00CB2F7B" w:rsidRPr="00EF65E9" w:rsidRDefault="00CB2F7B" w:rsidP="00CB2F7B">
      <w:r w:rsidRPr="00EF65E9">
        <w:rPr>
          <w:color w:val="000000"/>
        </w:rPr>
        <w:t xml:space="preserve">Care is needed when considering results that were very different in each of the growing cycles, such as when a type of off-type was observed at a high level in one growing cycle and was absent in another growing cycle.  </w:t>
      </w:r>
      <w:r w:rsidRPr="00EF65E9">
        <w:t>It is important to identify whether differences in number of off</w:t>
      </w:r>
      <w:r w:rsidRPr="00EF65E9">
        <w:noBreakHyphen/>
        <w:t xml:space="preserve">types between growing cycles were due to environmental reasons or sampling variation.  </w:t>
      </w:r>
    </w:p>
    <w:p w:rsidR="00CB2F7B" w:rsidRPr="00EF65E9" w:rsidRDefault="00CB2F7B" w:rsidP="00CB2F7B"/>
    <w:p w:rsidR="00CB2F7B" w:rsidRPr="00EF65E9" w:rsidRDefault="00CB2F7B" w:rsidP="00CB2F7B">
      <w:pPr>
        <w:rPr>
          <w:rFonts w:eastAsia="SimSun"/>
          <w:lang w:eastAsia="zh-CN"/>
        </w:rPr>
      </w:pPr>
      <w:r w:rsidRPr="00EF65E9">
        <w:rPr>
          <w:rFonts w:eastAsia="SimSun"/>
          <w:lang w:eastAsia="zh-CN"/>
        </w:rPr>
        <w:t>Furthermore, if in the first growing cycle a variety exceeds a predefined upper limit of off-types the variety may be rejected after a single growing cycle.</w:t>
      </w:r>
      <w:r w:rsidRPr="00EF65E9">
        <w:t xml:space="preserve"> </w:t>
      </w:r>
    </w:p>
    <w:p w:rsidR="00CB2F7B" w:rsidRPr="00EF65E9" w:rsidRDefault="00CB2F7B" w:rsidP="00CB2F7B">
      <w:pPr>
        <w:keepNext/>
        <w:keepLines/>
        <w:rPr>
          <w:rFonts w:eastAsia="SimSun"/>
          <w:szCs w:val="24"/>
          <w:lang w:eastAsia="zh-CN"/>
        </w:rPr>
      </w:pPr>
    </w:p>
    <w:p w:rsidR="00CB2F7B" w:rsidRPr="00EF65E9" w:rsidRDefault="00CB2F7B" w:rsidP="00CB2F7B">
      <w:pPr>
        <w:ind w:firstLine="567"/>
        <w:rPr>
          <w:i/>
          <w:szCs w:val="24"/>
        </w:rPr>
      </w:pPr>
      <w:r w:rsidRPr="00EF65E9">
        <w:rPr>
          <w:i/>
          <w:szCs w:val="24"/>
        </w:rPr>
        <w:t>Approach 2:  Combining the results of two growing cycles in the case of inconsistent results</w:t>
      </w:r>
    </w:p>
    <w:p w:rsidR="00CB2F7B" w:rsidRPr="00EF65E9" w:rsidRDefault="00CB2F7B" w:rsidP="00CB2F7B">
      <w:pPr>
        <w:keepNext/>
        <w:keepLines/>
        <w:rPr>
          <w:rFonts w:eastAsia="MS Mincho"/>
          <w:color w:val="000000"/>
          <w:lang w:eastAsia="ja-JP"/>
        </w:rPr>
      </w:pPr>
    </w:p>
    <w:p w:rsidR="00CB2F7B" w:rsidRPr="00EF65E9" w:rsidRDefault="00CB2F7B" w:rsidP="00CB2F7B">
      <w:pPr>
        <w:rPr>
          <w:rFonts w:eastAsia="SimSun"/>
          <w:lang w:eastAsia="zh-CN"/>
        </w:rPr>
      </w:pPr>
      <w:r w:rsidRPr="00EF65E9">
        <w:rPr>
          <w:rFonts w:eastAsia="SimSun"/>
          <w:lang w:eastAsia="zh-CN"/>
        </w:rPr>
        <w:t>A variety is considered uniform if it is within the uniformity standard in both of the two growing cycles.</w:t>
      </w:r>
    </w:p>
    <w:p w:rsidR="00CB2F7B" w:rsidRPr="00EF65E9" w:rsidRDefault="00CB2F7B" w:rsidP="00CB2F7B">
      <w:pPr>
        <w:rPr>
          <w:rFonts w:eastAsia="SimSun"/>
          <w:lang w:eastAsia="zh-CN"/>
        </w:rPr>
      </w:pPr>
    </w:p>
    <w:p w:rsidR="00CB2F7B" w:rsidRPr="00EF65E9" w:rsidRDefault="00CB2F7B" w:rsidP="00CB2F7B">
      <w:pPr>
        <w:rPr>
          <w:rFonts w:eastAsia="SimSun"/>
          <w:lang w:eastAsia="zh-CN"/>
        </w:rPr>
      </w:pPr>
      <w:r w:rsidRPr="00EF65E9">
        <w:rPr>
          <w:rFonts w:eastAsia="SimSun"/>
          <w:lang w:eastAsia="zh-CN"/>
        </w:rPr>
        <w:t>A variety is considered non-uniform if it fails to meet the uniformity standard in both of the two growing cycles.</w:t>
      </w:r>
    </w:p>
    <w:p w:rsidR="00CB2F7B" w:rsidRPr="00EF65E9" w:rsidRDefault="00CB2F7B" w:rsidP="00CB2F7B">
      <w:pPr>
        <w:rPr>
          <w:rFonts w:eastAsia="SimSun"/>
          <w:lang w:eastAsia="zh-CN"/>
        </w:rPr>
      </w:pPr>
    </w:p>
    <w:p w:rsidR="00CB2F7B" w:rsidRPr="00EF65E9" w:rsidRDefault="00CB2F7B" w:rsidP="00CB2F7B">
      <w:pPr>
        <w:rPr>
          <w:rFonts w:eastAsia="SimSun"/>
          <w:lang w:eastAsia="zh-CN"/>
        </w:rPr>
      </w:pPr>
      <w:r w:rsidRPr="00EF65E9">
        <w:rPr>
          <w:rFonts w:eastAsia="SimSun"/>
          <w:lang w:eastAsia="zh-CN"/>
        </w:rPr>
        <w:t>If at the end of the two growing cycles the variety is within the uniformity standard in one growing cycle but is not within the uniformity standard in the other growing cycle, a</w:t>
      </w:r>
      <w:r w:rsidRPr="00EF65E9" w:rsidDel="00882017">
        <w:rPr>
          <w:rFonts w:eastAsia="SimSun"/>
          <w:lang w:eastAsia="zh-CN"/>
        </w:rPr>
        <w:t xml:space="preserve"> </w:t>
      </w:r>
      <w:r w:rsidRPr="00EF65E9">
        <w:rPr>
          <w:rFonts w:eastAsia="SimSun"/>
          <w:lang w:eastAsia="zh-CN"/>
        </w:rPr>
        <w:t>variety is considered uniform if the total number of off</w:t>
      </w:r>
      <w:r w:rsidRPr="00EF65E9">
        <w:rPr>
          <w:rFonts w:eastAsia="SimSun"/>
          <w:lang w:eastAsia="zh-CN"/>
        </w:rPr>
        <w:noBreakHyphen/>
        <w:t>types at the end of the two growing cycles does not exceed the number of allowed off-types for the sample size of growing cycles 1 and 2 combined.</w:t>
      </w:r>
    </w:p>
    <w:p w:rsidR="00CB2F7B" w:rsidRPr="00EF65E9" w:rsidRDefault="00CB2F7B" w:rsidP="00CB2F7B">
      <w:pPr>
        <w:rPr>
          <w:rFonts w:eastAsia="SimSun"/>
          <w:lang w:eastAsia="zh-CN"/>
        </w:rPr>
      </w:pPr>
    </w:p>
    <w:p w:rsidR="00CB2F7B" w:rsidRPr="00EF65E9" w:rsidRDefault="00CB2F7B" w:rsidP="00CB2F7B">
      <w:pPr>
        <w:rPr>
          <w:rFonts w:eastAsia="SimSun"/>
          <w:szCs w:val="24"/>
          <w:lang w:eastAsia="zh-CN"/>
        </w:rPr>
      </w:pPr>
      <w:r w:rsidRPr="00EF65E9">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EF65E9">
        <w:t>A statistical test for consistency should be applied when appropriate.  It is important to identify whether differences in number of off</w:t>
      </w:r>
      <w:r w:rsidRPr="00EF65E9">
        <w:noBreakHyphen/>
        <w:t xml:space="preserve">types between growing cycles were due to environmental reasons or sampling variation.  </w:t>
      </w:r>
    </w:p>
    <w:p w:rsidR="00CB2F7B" w:rsidRPr="00EF65E9" w:rsidRDefault="00CB2F7B" w:rsidP="00CB2F7B"/>
    <w:p w:rsidR="00CB2F7B" w:rsidRPr="00EF65E9" w:rsidRDefault="00CB2F7B" w:rsidP="00CB2F7B">
      <w:pPr>
        <w:rPr>
          <w:rFonts w:eastAsia="SimSun"/>
          <w:szCs w:val="24"/>
          <w:u w:val="single"/>
          <w:lang w:eastAsia="zh-CN"/>
        </w:rPr>
      </w:pPr>
      <w:r w:rsidRPr="00EF65E9">
        <w:rPr>
          <w:rFonts w:eastAsia="SimSun"/>
          <w:szCs w:val="24"/>
          <w:lang w:eastAsia="zh-CN"/>
        </w:rPr>
        <w:t>Furthermore, if in the first growing cycle a variety exceeds a predefined upper limit of off-types the variety may be rejected after a single growing cycle.</w:t>
      </w:r>
    </w:p>
    <w:p w:rsidR="00CB2F7B" w:rsidRPr="00EF65E9" w:rsidRDefault="00CB2F7B" w:rsidP="00CB2F7B">
      <w:pPr>
        <w:rPr>
          <w:rFonts w:eastAsia="SimSun"/>
          <w:szCs w:val="24"/>
          <w:lang w:eastAsia="zh-CN"/>
        </w:rPr>
      </w:pPr>
    </w:p>
    <w:p w:rsidR="00CB2F7B" w:rsidRPr="00EF65E9" w:rsidRDefault="00CB2F7B" w:rsidP="00CB2F7B">
      <w:pPr>
        <w:keepNext/>
        <w:ind w:firstLine="567"/>
        <w:rPr>
          <w:bCs/>
          <w:i/>
        </w:rPr>
      </w:pPr>
      <w:r w:rsidRPr="00EF65E9">
        <w:rPr>
          <w:bCs/>
          <w:i/>
        </w:rPr>
        <w:t>Approach 3:  Combining the results of two growing cycles</w:t>
      </w:r>
    </w:p>
    <w:p w:rsidR="00CB2F7B" w:rsidRPr="00EF65E9" w:rsidRDefault="00CB2F7B" w:rsidP="00CB2F7B">
      <w:pPr>
        <w:keepNext/>
      </w:pPr>
    </w:p>
    <w:p w:rsidR="00CB2F7B" w:rsidRPr="00EF65E9" w:rsidRDefault="00CB2F7B" w:rsidP="00CB2F7B">
      <w:r w:rsidRPr="00EF65E9">
        <w:t>A variety is considered uniform if the total number of off-types at the end of the two growing cycles does not exceed the number of allowed off-types for the combined sample.</w:t>
      </w:r>
    </w:p>
    <w:p w:rsidR="00CB2F7B" w:rsidRPr="00EF65E9" w:rsidRDefault="00CB2F7B" w:rsidP="00CB2F7B"/>
    <w:p w:rsidR="00CB2F7B" w:rsidRPr="00EF65E9" w:rsidRDefault="00CB2F7B" w:rsidP="00CB2F7B">
      <w:r w:rsidRPr="00EF65E9">
        <w:t>A variety is considered non-uniform if the total number of off-types at the end of the two growing cycles exceeds the number of allowed off-types for the combined sample.</w:t>
      </w:r>
    </w:p>
    <w:p w:rsidR="00CB2F7B" w:rsidRPr="00EF65E9" w:rsidRDefault="00CB2F7B" w:rsidP="00CB2F7B"/>
    <w:p w:rsidR="00CB2F7B" w:rsidRPr="00EF65E9" w:rsidRDefault="00CB2F7B" w:rsidP="00CB2F7B">
      <w:pPr>
        <w:spacing w:after="120"/>
      </w:pPr>
      <w:r w:rsidRPr="00EF65E9">
        <w:lastRenderedPageBreak/>
        <w:t>A variety may be rejected after a single growing cycle, if the number of off-types exceeds the number of allowed off-types for the combined sample (over two cycles).</w:t>
      </w:r>
    </w:p>
    <w:p w:rsidR="00CB2F7B" w:rsidRPr="00EF65E9" w:rsidRDefault="00CB2F7B" w:rsidP="00CB2F7B">
      <w:pPr>
        <w:spacing w:after="120"/>
      </w:pPr>
    </w:p>
    <w:p w:rsidR="00CB2F7B" w:rsidRPr="00EF65E9" w:rsidRDefault="00CB2F7B" w:rsidP="00CB2F7B">
      <w:pPr>
        <w:keepNext/>
        <w:keepLines/>
        <w:rPr>
          <w:rFonts w:eastAsia="SimSun"/>
          <w:szCs w:val="24"/>
          <w:lang w:eastAsia="zh-CN"/>
        </w:rPr>
      </w:pPr>
      <w:r w:rsidRPr="00EF65E9">
        <w:t xml:space="preserve">Care is needed when considering results that are very different in each of the growing cycles, such as when a type of off-type is observed at a high level in one growing cycle and is absent in another growing cycle. </w:t>
      </w:r>
      <w:r w:rsidRPr="00EF65E9">
        <w:rPr>
          <w:rFonts w:eastAsia="SimSun"/>
          <w:lang w:eastAsia="zh-CN"/>
        </w:rPr>
        <w:t xml:space="preserve">A statistical test for consistency should be applied when appropriate.  </w:t>
      </w:r>
      <w:r w:rsidRPr="00EF65E9">
        <w:t>It is important to identify whether differences in number of off</w:t>
      </w:r>
      <w:r w:rsidRPr="00EF65E9">
        <w:noBreakHyphen/>
        <w:t>types between growing cycles were due to environmental reasons or sampling variation.</w:t>
      </w:r>
      <w:r w:rsidRPr="00EF65E9">
        <w:rPr>
          <w:highlight w:val="lightGray"/>
          <w:u w:val="single"/>
        </w:rPr>
        <w:t xml:space="preserve"> </w:t>
      </w:r>
    </w:p>
    <w:p w:rsidR="00CB2F7B" w:rsidRPr="00EF65E9" w:rsidRDefault="00CB2F7B" w:rsidP="00CB2F7B">
      <w:pPr>
        <w:keepNext/>
        <w:keepLines/>
        <w:jc w:val="left"/>
        <w:rPr>
          <w:sz w:val="22"/>
          <w:szCs w:val="24"/>
        </w:rPr>
      </w:pPr>
    </w:p>
    <w:p w:rsidR="00CB2F7B" w:rsidRPr="00EF65E9" w:rsidRDefault="00CB2F7B" w:rsidP="00CB2F7B">
      <w:pPr>
        <w:keepNext/>
        <w:keepLines/>
        <w:ind w:firstLine="567"/>
        <w:jc w:val="left"/>
        <w:rPr>
          <w:i/>
          <w:szCs w:val="24"/>
        </w:rPr>
      </w:pPr>
      <w:r w:rsidRPr="00EF65E9">
        <w:rPr>
          <w:i/>
          <w:szCs w:val="24"/>
        </w:rPr>
        <w:t>Example:</w:t>
      </w:r>
    </w:p>
    <w:p w:rsidR="00CB2F7B" w:rsidRPr="00EF65E9" w:rsidRDefault="00CB2F7B" w:rsidP="00CB2F7B">
      <w:pPr>
        <w:keepNext/>
        <w:keepLines/>
        <w:jc w:val="left"/>
        <w:rPr>
          <w:sz w:val="22"/>
          <w:szCs w:val="24"/>
        </w:rPr>
      </w:pPr>
    </w:p>
    <w:tbl>
      <w:tblPr>
        <w:tblW w:w="7734" w:type="dxa"/>
        <w:tblInd w:w="709" w:type="dxa"/>
        <w:tblLayout w:type="fixed"/>
        <w:tblLook w:val="04A0" w:firstRow="1" w:lastRow="0" w:firstColumn="1" w:lastColumn="0" w:noHBand="0" w:noVBand="1"/>
      </w:tblPr>
      <w:tblGrid>
        <w:gridCol w:w="567"/>
        <w:gridCol w:w="236"/>
        <w:gridCol w:w="756"/>
        <w:gridCol w:w="993"/>
        <w:gridCol w:w="35"/>
        <w:gridCol w:w="977"/>
        <w:gridCol w:w="1050"/>
        <w:gridCol w:w="1561"/>
        <w:gridCol w:w="35"/>
        <w:gridCol w:w="1524"/>
      </w:tblGrid>
      <w:tr w:rsidR="00CB2F7B" w:rsidRPr="00EF65E9" w:rsidTr="003E1190">
        <w:trPr>
          <w:gridAfter w:val="2"/>
          <w:wAfter w:w="1559" w:type="dxa"/>
          <w:trHeight w:val="255"/>
        </w:trPr>
        <w:tc>
          <w:tcPr>
            <w:tcW w:w="567" w:type="dxa"/>
            <w:tcBorders>
              <w:top w:val="nil"/>
              <w:left w:val="nil"/>
              <w:bottom w:val="nil"/>
            </w:tcBorders>
            <w:shd w:val="clear" w:color="auto" w:fill="auto"/>
            <w:noWrap/>
            <w:vAlign w:val="bottom"/>
          </w:tcPr>
          <w:p w:rsidR="00CB2F7B" w:rsidRPr="00EF65E9" w:rsidRDefault="00CB2F7B" w:rsidP="003E1190">
            <w:pPr>
              <w:jc w:val="left"/>
              <w:rPr>
                <w:rFonts w:cs="Arial"/>
                <w:color w:val="000000"/>
                <w:szCs w:val="18"/>
              </w:rPr>
            </w:pPr>
          </w:p>
        </w:tc>
        <w:tc>
          <w:tcPr>
            <w:tcW w:w="5608" w:type="dxa"/>
            <w:gridSpan w:val="7"/>
            <w:tcBorders>
              <w:top w:val="nil"/>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 xml:space="preserve">Population Standard  = 1%  </w:t>
            </w:r>
          </w:p>
        </w:tc>
      </w:tr>
      <w:tr w:rsidR="00CB2F7B" w:rsidRPr="00EF65E9" w:rsidTr="003E1190">
        <w:trPr>
          <w:gridAfter w:val="2"/>
          <w:wAfter w:w="1559" w:type="dxa"/>
          <w:trHeight w:val="270"/>
        </w:trPr>
        <w:tc>
          <w:tcPr>
            <w:tcW w:w="567" w:type="dxa"/>
            <w:tcBorders>
              <w:top w:val="nil"/>
              <w:left w:val="nil"/>
              <w:bottom w:val="nil"/>
            </w:tcBorders>
            <w:shd w:val="clear" w:color="auto" w:fill="auto"/>
            <w:noWrap/>
            <w:vAlign w:val="bottom"/>
            <w:hideMark/>
          </w:tcPr>
          <w:p w:rsidR="00CB2F7B" w:rsidRPr="00EF65E9" w:rsidRDefault="00CB2F7B" w:rsidP="003E1190">
            <w:pPr>
              <w:jc w:val="left"/>
              <w:rPr>
                <w:rFonts w:cs="Arial"/>
                <w:color w:val="000000"/>
                <w:szCs w:val="18"/>
              </w:rPr>
            </w:pPr>
          </w:p>
        </w:tc>
        <w:tc>
          <w:tcPr>
            <w:tcW w:w="5608" w:type="dxa"/>
            <w:gridSpan w:val="7"/>
            <w:tcBorders>
              <w:top w:val="nil"/>
              <w:bottom w:val="single" w:sz="4" w:space="0" w:color="auto"/>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Acceptance Probability ≥ 95%</w:t>
            </w:r>
          </w:p>
        </w:tc>
      </w:tr>
      <w:tr w:rsidR="00CB2F7B" w:rsidRPr="00EF65E9" w:rsidTr="003E1190">
        <w:trPr>
          <w:gridBefore w:val="1"/>
          <w:gridAfter w:val="2"/>
          <w:wBefore w:w="567" w:type="dxa"/>
          <w:wAfter w:w="1559" w:type="dxa"/>
          <w:trHeight w:val="255"/>
        </w:trPr>
        <w:tc>
          <w:tcPr>
            <w:tcW w:w="5608"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Sample Size in each of growing cycles 1 and 2 = 50</w:t>
            </w:r>
          </w:p>
        </w:tc>
      </w:tr>
      <w:tr w:rsidR="00CB2F7B" w:rsidRPr="00EF65E9" w:rsidTr="003E1190">
        <w:trPr>
          <w:gridBefore w:val="1"/>
          <w:gridAfter w:val="2"/>
          <w:wBefore w:w="567" w:type="dxa"/>
          <w:wAfter w:w="1559" w:type="dxa"/>
          <w:trHeight w:val="270"/>
        </w:trPr>
        <w:tc>
          <w:tcPr>
            <w:tcW w:w="5608"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Maximum number of Off-Types = 2</w:t>
            </w:r>
          </w:p>
        </w:tc>
      </w:tr>
      <w:tr w:rsidR="00CB2F7B" w:rsidRPr="00EF65E9" w:rsidTr="003E1190">
        <w:trPr>
          <w:gridBefore w:val="1"/>
          <w:gridAfter w:val="2"/>
          <w:wBefore w:w="567" w:type="dxa"/>
          <w:wAfter w:w="1559" w:type="dxa"/>
          <w:trHeight w:val="270"/>
        </w:trPr>
        <w:tc>
          <w:tcPr>
            <w:tcW w:w="5608" w:type="dxa"/>
            <w:gridSpan w:val="7"/>
            <w:tcBorders>
              <w:top w:val="single" w:sz="4" w:space="0" w:color="auto"/>
              <w:left w:val="single" w:sz="4" w:space="0" w:color="auto"/>
              <w:bottom w:val="nil"/>
              <w:right w:val="single" w:sz="4" w:space="0" w:color="auto"/>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Sample Size in growing cycles 1 and 2 combined = 100</w:t>
            </w:r>
          </w:p>
        </w:tc>
      </w:tr>
      <w:tr w:rsidR="00CB2F7B" w:rsidRPr="00EF65E9" w:rsidTr="003E1190">
        <w:trPr>
          <w:gridBefore w:val="1"/>
          <w:gridAfter w:val="2"/>
          <w:wBefore w:w="567" w:type="dxa"/>
          <w:wAfter w:w="1559" w:type="dxa"/>
          <w:trHeight w:val="270"/>
        </w:trPr>
        <w:tc>
          <w:tcPr>
            <w:tcW w:w="5608" w:type="dxa"/>
            <w:gridSpan w:val="7"/>
            <w:tcBorders>
              <w:top w:val="nil"/>
              <w:left w:val="single" w:sz="4" w:space="0" w:color="auto"/>
              <w:bottom w:val="single" w:sz="4" w:space="0" w:color="auto"/>
              <w:right w:val="single" w:sz="4" w:space="0" w:color="auto"/>
            </w:tcBorders>
            <w:shd w:val="clear" w:color="auto" w:fill="auto"/>
            <w:vAlign w:val="bottom"/>
          </w:tcPr>
          <w:p w:rsidR="00CB2F7B" w:rsidRPr="00EF65E9" w:rsidRDefault="00CB2F7B" w:rsidP="003E1190">
            <w:pPr>
              <w:jc w:val="left"/>
              <w:rPr>
                <w:rFonts w:cs="Arial"/>
                <w:color w:val="000000"/>
                <w:szCs w:val="18"/>
              </w:rPr>
            </w:pPr>
            <w:r w:rsidRPr="00EF65E9">
              <w:rPr>
                <w:rFonts w:cs="Arial"/>
                <w:color w:val="000000"/>
                <w:szCs w:val="18"/>
              </w:rPr>
              <w:t>Maximum number of Off-Types = 3</w:t>
            </w:r>
          </w:p>
        </w:tc>
      </w:tr>
      <w:tr w:rsidR="00CB2F7B" w:rsidRPr="00EF65E9" w:rsidTr="003E1190">
        <w:trPr>
          <w:gridBefore w:val="1"/>
          <w:gridAfter w:val="1"/>
          <w:wBefore w:w="567" w:type="dxa"/>
          <w:wAfter w:w="1524" w:type="dxa"/>
          <w:trHeight w:val="239"/>
        </w:trPr>
        <w:tc>
          <w:tcPr>
            <w:tcW w:w="236" w:type="dxa"/>
            <w:tcBorders>
              <w:top w:val="nil"/>
              <w:left w:val="nil"/>
              <w:bottom w:val="single" w:sz="4" w:space="0" w:color="auto"/>
              <w:right w:val="nil"/>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c>
          <w:tcPr>
            <w:tcW w:w="1784" w:type="dxa"/>
            <w:gridSpan w:val="3"/>
            <w:tcBorders>
              <w:top w:val="nil"/>
              <w:left w:val="nil"/>
              <w:bottom w:val="single" w:sz="4" w:space="0" w:color="auto"/>
              <w:right w:val="nil"/>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c>
          <w:tcPr>
            <w:tcW w:w="977" w:type="dxa"/>
            <w:tcBorders>
              <w:top w:val="nil"/>
              <w:left w:val="nil"/>
              <w:bottom w:val="single" w:sz="4" w:space="0" w:color="auto"/>
              <w:right w:val="nil"/>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c>
          <w:tcPr>
            <w:tcW w:w="2646" w:type="dxa"/>
            <w:gridSpan w:val="3"/>
            <w:tcBorders>
              <w:top w:val="nil"/>
              <w:left w:val="nil"/>
              <w:bottom w:val="single" w:sz="4" w:space="0" w:color="auto"/>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r>
      <w:tr w:rsidR="00CB2F7B" w:rsidRPr="00EF65E9" w:rsidTr="003E1190">
        <w:trPr>
          <w:trHeight w:val="380"/>
        </w:trPr>
        <w:tc>
          <w:tcPr>
            <w:tcW w:w="567" w:type="dxa"/>
            <w:tcBorders>
              <w:top w:val="nil"/>
              <w:left w:val="nil"/>
              <w:bottom w:val="nil"/>
              <w:right w:val="single" w:sz="4" w:space="0" w:color="auto"/>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Growing cycle</w:t>
            </w:r>
          </w:p>
        </w:tc>
        <w:tc>
          <w:tcPr>
            <w:tcW w:w="5182" w:type="dxa"/>
            <w:gridSpan w:val="6"/>
            <w:tcBorders>
              <w:top w:val="single" w:sz="4" w:space="0" w:color="auto"/>
              <w:left w:val="nil"/>
              <w:bottom w:val="single" w:sz="4" w:space="0" w:color="auto"/>
              <w:right w:val="single" w:sz="4" w:space="0" w:color="auto"/>
            </w:tcBorders>
            <w:shd w:val="clear" w:color="auto" w:fill="auto"/>
            <w:noWrap/>
            <w:vAlign w:val="center"/>
            <w:hideMark/>
          </w:tcPr>
          <w:p w:rsidR="00CB2F7B" w:rsidRPr="00EF65E9" w:rsidRDefault="00CB2F7B" w:rsidP="003E1190">
            <w:pPr>
              <w:jc w:val="center"/>
              <w:rPr>
                <w:szCs w:val="18"/>
              </w:rPr>
            </w:pPr>
            <w:r w:rsidRPr="00EF65E9">
              <w:rPr>
                <w:rFonts w:cs="Arial"/>
                <w:color w:val="000000"/>
                <w:szCs w:val="18"/>
              </w:rPr>
              <w:t>Decision</w:t>
            </w:r>
          </w:p>
        </w:tc>
      </w:tr>
      <w:tr w:rsidR="00CB2F7B" w:rsidRPr="00EF65E9" w:rsidTr="003E1190">
        <w:trPr>
          <w:trHeight w:val="236"/>
        </w:trPr>
        <w:tc>
          <w:tcPr>
            <w:tcW w:w="567" w:type="dxa"/>
            <w:tcBorders>
              <w:top w:val="nil"/>
              <w:left w:val="nil"/>
              <w:bottom w:val="single" w:sz="4" w:space="0" w:color="auto"/>
              <w:right w:val="single" w:sz="4" w:space="0" w:color="auto"/>
            </w:tcBorders>
            <w:shd w:val="clear" w:color="auto" w:fill="auto"/>
            <w:noWrap/>
            <w:vAlign w:val="bottom"/>
            <w:hideMark/>
          </w:tcPr>
          <w:p w:rsidR="00CB2F7B" w:rsidRPr="00EF65E9" w:rsidRDefault="00CB2F7B" w:rsidP="003E1190">
            <w:pPr>
              <w:jc w:val="left"/>
              <w:rPr>
                <w:rFonts w:cs="Arial"/>
                <w:color w:val="000000"/>
                <w:szCs w:val="18"/>
              </w:rPr>
            </w:pPr>
            <w:r w:rsidRPr="00EF65E9">
              <w:rPr>
                <w:rFonts w:cs="Arial"/>
                <w:color w:val="000000"/>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B2F7B" w:rsidRPr="00EF65E9" w:rsidRDefault="00CB2F7B" w:rsidP="003E1190">
            <w:pPr>
              <w:spacing w:after="100" w:afterAutospacing="1"/>
              <w:jc w:val="center"/>
              <w:rPr>
                <w:rFonts w:cs="Arial"/>
                <w:color w:val="000000"/>
                <w:szCs w:val="18"/>
              </w:rPr>
            </w:pPr>
            <w:r w:rsidRPr="00EF65E9">
              <w:rPr>
                <w:rFonts w:cs="Arial"/>
                <w:color w:val="000000"/>
                <w:szCs w:val="18"/>
              </w:rPr>
              <w:t>First</w:t>
            </w:r>
          </w:p>
        </w:tc>
        <w:tc>
          <w:tcPr>
            <w:tcW w:w="993" w:type="dxa"/>
            <w:tcBorders>
              <w:top w:val="nil"/>
              <w:left w:val="nil"/>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Second</w:t>
            </w:r>
          </w:p>
        </w:tc>
        <w:tc>
          <w:tcPr>
            <w:tcW w:w="2062" w:type="dxa"/>
            <w:gridSpan w:val="3"/>
            <w:tcBorders>
              <w:top w:val="nil"/>
              <w:left w:val="nil"/>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Approach 1</w:t>
            </w:r>
          </w:p>
        </w:tc>
        <w:tc>
          <w:tcPr>
            <w:tcW w:w="1560" w:type="dxa"/>
            <w:tcBorders>
              <w:top w:val="nil"/>
              <w:left w:val="nil"/>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Approach 2</w:t>
            </w:r>
          </w:p>
        </w:tc>
        <w:tc>
          <w:tcPr>
            <w:tcW w:w="1559" w:type="dxa"/>
            <w:gridSpan w:val="2"/>
            <w:tcBorders>
              <w:top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Approach 3</w:t>
            </w:r>
          </w:p>
        </w:tc>
      </w:tr>
      <w:tr w:rsidR="00CB2F7B" w:rsidRPr="00EF65E9" w:rsidTr="003E1190">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rsidR="00CB2F7B" w:rsidRPr="00EF65E9" w:rsidRDefault="00CB2F7B" w:rsidP="003E1190">
            <w:pPr>
              <w:jc w:val="center"/>
              <w:rPr>
                <w:rFonts w:cs="Arial"/>
                <w:color w:val="000000"/>
                <w:szCs w:val="18"/>
              </w:rPr>
            </w:pPr>
            <w:r w:rsidRPr="00EF65E9">
              <w:rPr>
                <w:rFonts w:cs="Arial"/>
                <w:color w:val="000000"/>
                <w:szCs w:val="18"/>
              </w:rPr>
              <w:t xml:space="preserve">Number of </w:t>
            </w:r>
            <w:r w:rsidRPr="00EF65E9">
              <w:rPr>
                <w:rFonts w:cs="Arial"/>
                <w:color w:val="000000"/>
                <w:szCs w:val="18"/>
              </w:rPr>
              <w:br/>
              <w:t>Off-Types</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CB2F7B" w:rsidRPr="00EF65E9" w:rsidRDefault="00CB2F7B" w:rsidP="003E1190">
            <w:pPr>
              <w:jc w:val="center"/>
              <w:rPr>
                <w:rFonts w:cs="Arial"/>
                <w:color w:val="000000"/>
                <w:szCs w:val="18"/>
              </w:rPr>
            </w:pPr>
            <w:r w:rsidRPr="00EF65E9">
              <w:rPr>
                <w:rFonts w:cs="Arial"/>
                <w:color w:val="000000"/>
                <w:szCs w:val="18"/>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rsidR="00CB2F7B" w:rsidRPr="00EF65E9" w:rsidRDefault="00CB2F7B" w:rsidP="003E1190">
            <w:pPr>
              <w:jc w:val="center"/>
              <w:rPr>
                <w:rFonts w:cs="Arial"/>
                <w:color w:val="000000"/>
                <w:szCs w:val="18"/>
              </w:rPr>
            </w:pPr>
            <w:r w:rsidRPr="00EF65E9">
              <w:rPr>
                <w:rFonts w:cs="Arial"/>
                <w:color w:val="000000"/>
                <w:szCs w:val="18"/>
              </w:rPr>
              <w:t>1</w:t>
            </w:r>
          </w:p>
        </w:tc>
        <w:tc>
          <w:tcPr>
            <w:tcW w:w="2062" w:type="dxa"/>
            <w:gridSpan w:val="3"/>
            <w:tcBorders>
              <w:top w:val="single" w:sz="4" w:space="0" w:color="auto"/>
              <w:left w:val="single" w:sz="6" w:space="0" w:color="auto"/>
              <w:bottom w:val="single" w:sz="6" w:space="0" w:color="auto"/>
              <w:right w:val="single" w:sz="6" w:space="0" w:color="auto"/>
            </w:tcBorders>
            <w:shd w:val="clear" w:color="auto" w:fill="auto"/>
            <w:noWrap/>
            <w:vAlign w:val="center"/>
          </w:tcPr>
          <w:p w:rsidR="00CB2F7B" w:rsidRPr="00EF65E9" w:rsidRDefault="00CB2F7B" w:rsidP="003E1190">
            <w:pPr>
              <w:jc w:val="center"/>
              <w:rPr>
                <w:rFonts w:cs="Arial"/>
                <w:color w:val="000000"/>
                <w:szCs w:val="18"/>
              </w:rPr>
            </w:pPr>
            <w:r w:rsidRPr="00EF65E9">
              <w:rPr>
                <w:rFonts w:cs="Arial"/>
                <w:color w:val="000000"/>
                <w:szCs w:val="18"/>
              </w:rPr>
              <w:t>uniform</w:t>
            </w:r>
          </w:p>
        </w:tc>
        <w:tc>
          <w:tcPr>
            <w:tcW w:w="1560" w:type="dxa"/>
            <w:tcBorders>
              <w:top w:val="single" w:sz="4" w:space="0" w:color="auto"/>
              <w:left w:val="single" w:sz="6" w:space="0" w:color="auto"/>
              <w:bottom w:val="single" w:sz="6" w:space="0" w:color="auto"/>
              <w:right w:val="single" w:sz="4" w:space="0" w:color="auto"/>
            </w:tcBorders>
            <w:shd w:val="clear" w:color="auto" w:fill="auto"/>
            <w:vAlign w:val="center"/>
          </w:tcPr>
          <w:p w:rsidR="00CB2F7B" w:rsidRPr="00EF65E9" w:rsidRDefault="00CB2F7B" w:rsidP="003E1190">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rFonts w:cs="Arial"/>
                <w:color w:val="000000"/>
                <w:szCs w:val="18"/>
              </w:rPr>
              <w:t>uniform</w:t>
            </w:r>
          </w:p>
        </w:tc>
      </w:tr>
      <w:tr w:rsidR="00CB2F7B" w:rsidRPr="00EF65E9" w:rsidTr="003E1190">
        <w:trPr>
          <w:trHeight w:val="240"/>
        </w:trPr>
        <w:tc>
          <w:tcPr>
            <w:tcW w:w="567" w:type="dxa"/>
            <w:vMerge/>
            <w:tcBorders>
              <w:left w:val="single" w:sz="4" w:space="0" w:color="auto"/>
              <w:right w:val="single" w:sz="4" w:space="0" w:color="auto"/>
            </w:tcBorders>
            <w:shd w:val="clear" w:color="auto" w:fill="auto"/>
            <w:textDirection w:val="btLr"/>
            <w:vAlign w:val="center"/>
            <w:hideMark/>
          </w:tcPr>
          <w:p w:rsidR="00CB2F7B" w:rsidRPr="00EF65E9" w:rsidRDefault="00CB2F7B" w:rsidP="003E1190">
            <w:pPr>
              <w:jc w:val="center"/>
              <w:rPr>
                <w:rFonts w:cs="Arial"/>
                <w:color w:val="000000"/>
                <w:szCs w:val="18"/>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2</w:t>
            </w:r>
          </w:p>
        </w:tc>
        <w:tc>
          <w:tcPr>
            <w:tcW w:w="2062"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uniform</w:t>
            </w:r>
          </w:p>
        </w:tc>
        <w:tc>
          <w:tcPr>
            <w:tcW w:w="1560"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non-uniform</w:t>
            </w:r>
          </w:p>
        </w:tc>
      </w:tr>
      <w:tr w:rsidR="00CB2F7B" w:rsidRPr="00EF65E9" w:rsidTr="003E1190">
        <w:trPr>
          <w:trHeight w:val="273"/>
        </w:trPr>
        <w:tc>
          <w:tcPr>
            <w:tcW w:w="567" w:type="dxa"/>
            <w:vMerge/>
            <w:tcBorders>
              <w:left w:val="single" w:sz="4" w:space="0" w:color="auto"/>
              <w:right w:val="single" w:sz="4" w:space="0" w:color="000000"/>
            </w:tcBorders>
            <w:vAlign w:val="center"/>
            <w:hideMark/>
          </w:tcPr>
          <w:p w:rsidR="00CB2F7B" w:rsidRPr="00EF65E9" w:rsidRDefault="00CB2F7B" w:rsidP="003E1190">
            <w:pPr>
              <w:jc w:val="left"/>
              <w:rPr>
                <w:rFonts w:cs="Arial"/>
                <w:color w:val="000000"/>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3*</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rPr>
                <w:rFonts w:cs="Arial"/>
                <w:color w:val="000000"/>
                <w:szCs w:val="18"/>
              </w:rPr>
            </w:pPr>
            <w:r w:rsidRPr="00EF65E9">
              <w:rPr>
                <w:rFonts w:cs="Arial"/>
                <w:color w:val="000000"/>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uniform*</w:t>
            </w:r>
          </w:p>
        </w:tc>
      </w:tr>
      <w:tr w:rsidR="00CB2F7B" w:rsidRPr="00EF65E9" w:rsidTr="003E1190">
        <w:trPr>
          <w:trHeight w:val="248"/>
        </w:trPr>
        <w:tc>
          <w:tcPr>
            <w:tcW w:w="567" w:type="dxa"/>
            <w:vMerge/>
            <w:tcBorders>
              <w:left w:val="single" w:sz="4" w:space="0" w:color="auto"/>
              <w:right w:val="single" w:sz="4" w:space="0" w:color="auto"/>
            </w:tcBorders>
            <w:vAlign w:val="center"/>
            <w:hideMark/>
          </w:tcPr>
          <w:p w:rsidR="00CB2F7B" w:rsidRPr="00EF65E9" w:rsidRDefault="00CB2F7B" w:rsidP="003E1190">
            <w:pPr>
              <w:jc w:val="left"/>
              <w:rPr>
                <w:rFonts w:cs="Arial"/>
                <w:color w:val="000000"/>
                <w:szCs w:val="18"/>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3*</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CB2F7B" w:rsidRPr="00EF65E9" w:rsidRDefault="00CB2F7B" w:rsidP="003E1190">
            <w:pPr>
              <w:rPr>
                <w:rFonts w:cs="Arial"/>
                <w:color w:val="000000"/>
                <w:szCs w:val="18"/>
              </w:rPr>
            </w:pPr>
            <w:r w:rsidRPr="00EF65E9">
              <w:rPr>
                <w:rFonts w:cs="Arial"/>
                <w:color w:val="000000"/>
                <w:szCs w:val="18"/>
              </w:rPr>
              <w:t>third growing cycle*</w:t>
            </w:r>
          </w:p>
        </w:tc>
        <w:tc>
          <w:tcPr>
            <w:tcW w:w="156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non-uniform*</w:t>
            </w:r>
          </w:p>
        </w:tc>
      </w:tr>
      <w:tr w:rsidR="00CB2F7B" w:rsidRPr="00EF65E9" w:rsidTr="003E1190">
        <w:trPr>
          <w:trHeight w:val="267"/>
        </w:trPr>
        <w:tc>
          <w:tcPr>
            <w:tcW w:w="567" w:type="dxa"/>
            <w:vMerge/>
            <w:tcBorders>
              <w:left w:val="single" w:sz="4" w:space="0" w:color="auto"/>
              <w:right w:val="single" w:sz="4" w:space="0" w:color="000000"/>
            </w:tcBorders>
            <w:vAlign w:val="center"/>
            <w:hideMark/>
          </w:tcPr>
          <w:p w:rsidR="00CB2F7B" w:rsidRPr="00EF65E9" w:rsidRDefault="00CB2F7B" w:rsidP="003E1190">
            <w:pPr>
              <w:jc w:val="left"/>
              <w:rPr>
                <w:rFonts w:cs="Arial"/>
                <w:color w:val="000000"/>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B2F7B" w:rsidRPr="00EF65E9" w:rsidRDefault="00CB2F7B" w:rsidP="003E1190">
            <w:pPr>
              <w:ind w:left="49"/>
              <w:jc w:val="center"/>
              <w:rPr>
                <w:rFonts w:cs="Arial"/>
                <w:color w:val="000000"/>
                <w:szCs w:val="18"/>
              </w:rPr>
            </w:pPr>
            <w:r w:rsidRPr="00EF65E9">
              <w:rPr>
                <w:rFonts w:cs="Arial"/>
                <w:color w:val="000000"/>
                <w:szCs w:val="18"/>
              </w:rPr>
              <w:t>4*</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rPr>
                <w:rFonts w:cs="Arial"/>
                <w:color w:val="000000"/>
                <w:szCs w:val="18"/>
              </w:rPr>
            </w:pPr>
            <w:r w:rsidRPr="00EF65E9">
              <w:rPr>
                <w:rFonts w:cs="Arial"/>
                <w:color w:val="000000"/>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B2F7B" w:rsidRPr="00EF65E9" w:rsidRDefault="00CB2F7B" w:rsidP="003E1190">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non-uniform*</w:t>
            </w:r>
          </w:p>
        </w:tc>
      </w:tr>
      <w:tr w:rsidR="00CB2F7B" w:rsidRPr="00EF65E9" w:rsidTr="003E1190">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rsidR="00CB2F7B" w:rsidRPr="00EF65E9" w:rsidRDefault="00CB2F7B" w:rsidP="003E1190">
            <w:pPr>
              <w:jc w:val="left"/>
              <w:rPr>
                <w:rFonts w:cs="Arial"/>
                <w:color w:val="000000"/>
                <w:szCs w:val="18"/>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rsidR="00CB2F7B" w:rsidRPr="00EF65E9" w:rsidRDefault="00CB2F7B" w:rsidP="003E1190">
            <w:pPr>
              <w:ind w:left="49"/>
              <w:jc w:val="center"/>
              <w:rPr>
                <w:rFonts w:cs="Arial"/>
                <w:color w:val="000000"/>
                <w:szCs w:val="18"/>
              </w:rPr>
            </w:pPr>
            <w:r w:rsidRPr="00EF65E9">
              <w:rPr>
                <w:rFonts w:cs="Arial"/>
                <w:color w:val="000000"/>
                <w:szCs w:val="18"/>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1*</w:t>
            </w:r>
          </w:p>
        </w:tc>
        <w:tc>
          <w:tcPr>
            <w:tcW w:w="2062" w:type="dxa"/>
            <w:gridSpan w:val="3"/>
            <w:tcBorders>
              <w:top w:val="nil"/>
              <w:left w:val="single" w:sz="4" w:space="0" w:color="auto"/>
              <w:bottom w:val="single" w:sz="4" w:space="0" w:color="auto"/>
              <w:right w:val="single" w:sz="4" w:space="0" w:color="auto"/>
            </w:tcBorders>
            <w:shd w:val="clear" w:color="auto" w:fill="auto"/>
            <w:noWrap/>
            <w:vAlign w:val="center"/>
            <w:hideMark/>
          </w:tcPr>
          <w:p w:rsidR="00CB2F7B" w:rsidRPr="00EF65E9" w:rsidRDefault="00CB2F7B" w:rsidP="003E1190">
            <w:pPr>
              <w:rPr>
                <w:rFonts w:cs="Arial"/>
                <w:color w:val="000000"/>
                <w:szCs w:val="18"/>
              </w:rPr>
            </w:pPr>
            <w:r w:rsidRPr="00EF65E9">
              <w:rPr>
                <w:rFonts w:cs="Arial"/>
                <w:color w:val="000000"/>
                <w:szCs w:val="18"/>
              </w:rPr>
              <w:t>third growing cycle*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B2F7B" w:rsidRPr="00EF65E9" w:rsidRDefault="00CB2F7B" w:rsidP="003E1190">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CB2F7B" w:rsidRPr="00EF65E9" w:rsidRDefault="00CB2F7B" w:rsidP="003E1190">
            <w:pPr>
              <w:jc w:val="center"/>
              <w:rPr>
                <w:szCs w:val="18"/>
              </w:rPr>
            </w:pPr>
            <w:r w:rsidRPr="00EF65E9">
              <w:rPr>
                <w:szCs w:val="18"/>
              </w:rPr>
              <w:t>non-uniform*</w:t>
            </w:r>
          </w:p>
        </w:tc>
      </w:tr>
    </w:tbl>
    <w:p w:rsidR="00CB2F7B" w:rsidRPr="00EF65E9" w:rsidRDefault="00CB2F7B" w:rsidP="00CB2F7B">
      <w:pPr>
        <w:spacing w:after="240"/>
        <w:rPr>
          <w:b/>
          <w:caps/>
          <w:sz w:val="14"/>
          <w:szCs w:val="24"/>
        </w:rPr>
      </w:pPr>
    </w:p>
    <w:p w:rsidR="00CB2F7B" w:rsidRPr="00EF65E9" w:rsidRDefault="00CB2F7B" w:rsidP="00CB2F7B">
      <w:pPr>
        <w:keepNext/>
        <w:keepLines/>
        <w:rPr>
          <w:sz w:val="16"/>
          <w:u w:val="single"/>
        </w:rPr>
      </w:pPr>
      <w:r w:rsidRPr="00EF65E9">
        <w:rPr>
          <w:sz w:val="18"/>
          <w:szCs w:val="24"/>
        </w:rPr>
        <w:t xml:space="preserve">*  </w:t>
      </w:r>
      <w:r w:rsidRPr="00EF65E9">
        <w:rPr>
          <w:rFonts w:eastAsia="SimSun"/>
          <w:sz w:val="18"/>
          <w:lang w:eastAsia="zh-CN"/>
        </w:rPr>
        <w:t>Care is needed when considering results that were very different in each of the growing cycles, such as when a type of off</w:t>
      </w:r>
      <w:r w:rsidRPr="00EF65E9">
        <w:rPr>
          <w:rFonts w:eastAsia="SimSun"/>
          <w:sz w:val="18"/>
          <w:lang w:eastAsia="zh-CN"/>
        </w:rPr>
        <w:noBreakHyphen/>
        <w:t xml:space="preserve">type was observed at a high level in one growing cycle and was absent in another growing cycle.  </w:t>
      </w:r>
      <w:r w:rsidRPr="00EF65E9">
        <w:rPr>
          <w:sz w:val="18"/>
        </w:rPr>
        <w:t xml:space="preserve">A statistical test for consistency should be applied when appropriate. </w:t>
      </w:r>
      <w:r w:rsidRPr="00EF65E9">
        <w:rPr>
          <w:sz w:val="16"/>
        </w:rPr>
        <w:t xml:space="preserve"> </w:t>
      </w:r>
      <w:r w:rsidRPr="00EF65E9">
        <w:rPr>
          <w:sz w:val="18"/>
        </w:rPr>
        <w:t>It is important to identify whether differences in number of off types between growing cycles were due to environmental reasons or sampling variation.</w:t>
      </w:r>
    </w:p>
    <w:p w:rsidR="00CB2F7B" w:rsidRPr="00EF65E9" w:rsidRDefault="00CB2F7B" w:rsidP="00CB2F7B">
      <w:pPr>
        <w:keepNext/>
        <w:keepLines/>
        <w:rPr>
          <w:sz w:val="18"/>
        </w:rPr>
      </w:pPr>
    </w:p>
    <w:p w:rsidR="00CB2F7B" w:rsidRPr="00EF65E9" w:rsidRDefault="00CB2F7B" w:rsidP="00CB2F7B">
      <w:pPr>
        <w:jc w:val="left"/>
      </w:pPr>
      <w:r w:rsidRPr="00EF65E9">
        <w:rPr>
          <w:sz w:val="18"/>
        </w:rPr>
        <w:t>**  if in the first growing cycle a variety exceeds a predefined upper limit of off-types the variety may be rejected after a single growing cycle.</w:t>
      </w:r>
    </w:p>
    <w:p w:rsidR="00CB2F7B" w:rsidRPr="00EF65E9" w:rsidRDefault="00CB2F7B" w:rsidP="00CB2F7B"/>
    <w:p w:rsidR="00CB2F7B" w:rsidRPr="00EF65E9" w:rsidRDefault="00CB2F7B" w:rsidP="00CB2F7B"/>
    <w:p w:rsidR="00CB2F7B" w:rsidRPr="00EF65E9" w:rsidRDefault="00CB2F7B" w:rsidP="00CB2F7B">
      <w:pPr>
        <w:rPr>
          <w:u w:val="single"/>
        </w:rPr>
      </w:pPr>
      <w:r w:rsidRPr="00EF65E9">
        <w:rPr>
          <w:u w:val="single"/>
        </w:rPr>
        <w:t xml:space="preserve">New Section 4.8: Assessing uniformity by off-types on the basis of sub-samples within a single test/trial </w:t>
      </w:r>
    </w:p>
    <w:p w:rsidR="00CB2F7B" w:rsidRPr="00EF65E9" w:rsidRDefault="00CB2F7B" w:rsidP="00CB2F7B"/>
    <w:p w:rsidR="00CB2F7B" w:rsidRPr="00EF65E9" w:rsidRDefault="00CB2F7B" w:rsidP="00CB2F7B">
      <w:pPr>
        <w:ind w:firstLine="567"/>
        <w:rPr>
          <w:i/>
        </w:rPr>
      </w:pPr>
      <w:r w:rsidRPr="00EF65E9">
        <w:rPr>
          <w:i/>
        </w:rPr>
        <w:t>Approach:  Use of sub-sample as a first step of assessment</w:t>
      </w:r>
    </w:p>
    <w:p w:rsidR="00CB2F7B" w:rsidRPr="00EF65E9" w:rsidRDefault="00CB2F7B" w:rsidP="00CB2F7B">
      <w:pPr>
        <w:rPr>
          <w:b/>
        </w:rPr>
      </w:pPr>
    </w:p>
    <w:p w:rsidR="00CB2F7B" w:rsidRPr="00EF65E9" w:rsidRDefault="00CB2F7B" w:rsidP="00CB2F7B">
      <w:r w:rsidRPr="00EF65E9">
        <w:t>A variety is considered uniform if the number of off-types does not exceed a predefined lower limit in the sub</w:t>
      </w:r>
      <w:r w:rsidRPr="00EF65E9">
        <w:noBreakHyphen/>
        <w:t>sample.</w:t>
      </w:r>
    </w:p>
    <w:p w:rsidR="00CB2F7B" w:rsidRPr="00EF65E9" w:rsidRDefault="00CB2F7B" w:rsidP="00CB2F7B"/>
    <w:p w:rsidR="00CB2F7B" w:rsidRPr="00EF65E9" w:rsidRDefault="00CB2F7B" w:rsidP="00CB2F7B">
      <w:r w:rsidRPr="00EF65E9">
        <w:t>A variety is considered non–uniform if the number of off-types exceeds a predefined upper limit in the sub</w:t>
      </w:r>
      <w:r w:rsidRPr="00EF65E9">
        <w:noBreakHyphen/>
        <w:t>sample.</w:t>
      </w:r>
    </w:p>
    <w:p w:rsidR="00CB2F7B" w:rsidRPr="00EF65E9" w:rsidRDefault="00CB2F7B" w:rsidP="00CB2F7B"/>
    <w:p w:rsidR="00CB2F7B" w:rsidRPr="00EF65E9" w:rsidRDefault="00CB2F7B" w:rsidP="00CB2F7B">
      <w:r w:rsidRPr="00EF65E9">
        <w:t>If the number of off-types is between the predefined lower and upper limits, the whole sample is assessed. The lower and upper limits have to be chosen considering comparable type I and type II errors in the sub</w:t>
      </w:r>
      <w:r w:rsidRPr="00EF65E9">
        <w:noBreakHyphen/>
        <w:t>sample and the whole sample.</w:t>
      </w:r>
    </w:p>
    <w:p w:rsidR="00CB2F7B" w:rsidRPr="00EF65E9" w:rsidRDefault="00CB2F7B" w:rsidP="00CB2F7B"/>
    <w:p w:rsidR="00CB2F7B" w:rsidRPr="00EF65E9" w:rsidRDefault="00CB2F7B" w:rsidP="00CB2F7B">
      <w:pPr>
        <w:ind w:firstLine="567"/>
        <w:rPr>
          <w:i/>
          <w:szCs w:val="24"/>
        </w:rPr>
      </w:pPr>
      <w:r w:rsidRPr="00EF65E9">
        <w:rPr>
          <w:i/>
          <w:szCs w:val="24"/>
        </w:rPr>
        <w:t>Example:</w:t>
      </w:r>
    </w:p>
    <w:p w:rsidR="00CB2F7B" w:rsidRPr="00EF65E9" w:rsidRDefault="00CB2F7B" w:rsidP="00CB2F7B">
      <w:pPr>
        <w:rPr>
          <w:szCs w:val="24"/>
        </w:rPr>
      </w:pPr>
    </w:p>
    <w:p w:rsidR="00CB2F7B" w:rsidRPr="00EF65E9" w:rsidRDefault="00CB2F7B" w:rsidP="00CB2F7B">
      <w:pPr>
        <w:autoSpaceDE w:val="0"/>
        <w:autoSpaceDN w:val="0"/>
        <w:adjustRightInd w:val="0"/>
        <w:rPr>
          <w:color w:val="000000"/>
          <w:szCs w:val="24"/>
        </w:rPr>
      </w:pPr>
      <w:r w:rsidRPr="00EF65E9">
        <w:rPr>
          <w:color w:val="000000"/>
          <w:szCs w:val="24"/>
        </w:rPr>
        <w:t>In a sample size of 100 plants, the acceptable number of off-types is 3 (based on a population standard of 1% and an acceptance probability of at least 95%).</w:t>
      </w:r>
    </w:p>
    <w:p w:rsidR="00CB2F7B" w:rsidRPr="00EF65E9" w:rsidRDefault="00CB2F7B" w:rsidP="00CB2F7B">
      <w:pPr>
        <w:autoSpaceDE w:val="0"/>
        <w:autoSpaceDN w:val="0"/>
        <w:adjustRightInd w:val="0"/>
        <w:rPr>
          <w:color w:val="000000"/>
          <w:szCs w:val="24"/>
        </w:rPr>
      </w:pPr>
    </w:p>
    <w:p w:rsidR="00CB2F7B" w:rsidRPr="00EF65E9" w:rsidRDefault="00CB2F7B" w:rsidP="00CB2F7B">
      <w:pPr>
        <w:autoSpaceDE w:val="0"/>
        <w:autoSpaceDN w:val="0"/>
        <w:adjustRightInd w:val="0"/>
        <w:rPr>
          <w:color w:val="000000"/>
          <w:szCs w:val="24"/>
        </w:rPr>
      </w:pPr>
      <w:r w:rsidRPr="00EF65E9">
        <w:rPr>
          <w:color w:val="000000"/>
          <w:szCs w:val="24"/>
        </w:rPr>
        <w:t>In a subsample of 20 plants used in the context of the sample size of 100 plants above:</w:t>
      </w:r>
    </w:p>
    <w:p w:rsidR="00CB2F7B" w:rsidRPr="00EF65E9" w:rsidRDefault="00CB2F7B" w:rsidP="00CB2F7B">
      <w:pPr>
        <w:autoSpaceDE w:val="0"/>
        <w:autoSpaceDN w:val="0"/>
        <w:adjustRightInd w:val="0"/>
        <w:rPr>
          <w:color w:val="000000"/>
          <w:szCs w:val="24"/>
        </w:rPr>
      </w:pPr>
    </w:p>
    <w:p w:rsidR="00CB2F7B" w:rsidRPr="00EF65E9" w:rsidRDefault="00CB2F7B" w:rsidP="00CB2F7B">
      <w:r w:rsidRPr="00EF65E9">
        <w:t>A variety is considered uniform if no off-types are observed in the sub-sample.</w:t>
      </w:r>
    </w:p>
    <w:p w:rsidR="00CB2F7B" w:rsidRPr="00EF65E9" w:rsidRDefault="00CB2F7B" w:rsidP="00CB2F7B"/>
    <w:p w:rsidR="00CB2F7B" w:rsidRPr="00EF65E9" w:rsidRDefault="00CB2F7B" w:rsidP="00CB2F7B">
      <w:r w:rsidRPr="00EF65E9">
        <w:lastRenderedPageBreak/>
        <w:t>A variety is considered non–uniform if the number of off-types in the sub-sample exceeds 3.</w:t>
      </w:r>
    </w:p>
    <w:p w:rsidR="00CB2F7B" w:rsidRPr="00EF65E9" w:rsidRDefault="00CB2F7B" w:rsidP="00CB2F7B"/>
    <w:p w:rsidR="00CB2F7B" w:rsidRPr="00EF65E9" w:rsidRDefault="00CB2F7B" w:rsidP="00CB2F7B">
      <w:r w:rsidRPr="00EF65E9">
        <w:t>If the number of off-types is 1 to 3, the whole sample of 100 plants is assessed.</w:t>
      </w:r>
    </w:p>
    <w:p w:rsidR="00CB2F7B" w:rsidRPr="00EF65E9" w:rsidRDefault="00CB2F7B" w:rsidP="00CB2F7B"/>
    <w:p w:rsidR="00CB2F7B" w:rsidRPr="00EF65E9" w:rsidRDefault="00CB2F7B" w:rsidP="00CB2F7B">
      <w:r w:rsidRPr="00EF65E9">
        <w:rPr>
          <w:rFonts w:cs="Arial"/>
        </w:rPr>
        <w:t>If the number of off-types in the sample of 100 plants exceeds 3, the variety is considered non-uniform.</w:t>
      </w:r>
    </w:p>
    <w:p w:rsidR="00273B07" w:rsidRPr="00273B07" w:rsidRDefault="00273B07" w:rsidP="00273B07"/>
    <w:p w:rsidR="00273B07" w:rsidRDefault="00273B07" w:rsidP="00273B07"/>
    <w:p w:rsidR="00CB2F7B" w:rsidRDefault="00CB2F7B" w:rsidP="00273B07"/>
    <w:p w:rsidR="00273B07" w:rsidRPr="00273B07" w:rsidRDefault="00273B07" w:rsidP="006C40C4">
      <w:pPr>
        <w:jc w:val="right"/>
      </w:pPr>
      <w:r w:rsidRPr="00273B07">
        <w:t>[Annex IV follows]</w:t>
      </w:r>
    </w:p>
    <w:p w:rsidR="00273B07" w:rsidRPr="00273B07" w:rsidRDefault="00273B07" w:rsidP="00273B07">
      <w:pPr>
        <w:sectPr w:rsidR="00273B07" w:rsidRPr="00273B07" w:rsidSect="00273B07">
          <w:headerReference w:type="default" r:id="rId18"/>
          <w:headerReference w:type="first" r:id="rId19"/>
          <w:footnotePr>
            <w:numRestart w:val="eachSect"/>
          </w:footnotePr>
          <w:pgSz w:w="11907" w:h="16840" w:code="9"/>
          <w:pgMar w:top="510" w:right="1134" w:bottom="709" w:left="1134" w:header="510" w:footer="680" w:gutter="0"/>
          <w:pgNumType w:start="1"/>
          <w:cols w:space="720"/>
          <w:titlePg/>
        </w:sectPr>
      </w:pPr>
    </w:p>
    <w:p w:rsidR="00CB2F7B" w:rsidRPr="002E1B40" w:rsidRDefault="00A8721B" w:rsidP="00CB2F7B">
      <w:pPr>
        <w:jc w:val="center"/>
        <w:rPr>
          <w:caps/>
        </w:rPr>
      </w:pPr>
      <w:r>
        <w:rPr>
          <w:caps/>
        </w:rPr>
        <w:lastRenderedPageBreak/>
        <w:t>REVISIONS TO</w:t>
      </w:r>
      <w:r w:rsidR="00CB2F7B">
        <w:rPr>
          <w:caps/>
        </w:rPr>
        <w:t xml:space="preserve"> document TGP/14</w:t>
      </w:r>
      <w:r w:rsidR="00CB2F7B" w:rsidRPr="002E1B40">
        <w:rPr>
          <w:caps/>
        </w:rPr>
        <w:t xml:space="preserve"> “</w:t>
      </w:r>
      <w:r w:rsidR="00CB2F7B" w:rsidRPr="00E23559">
        <w:rPr>
          <w:caps/>
        </w:rPr>
        <w:t>Glossary of Terms Used in UPOV Documents”</w:t>
      </w:r>
      <w:r w:rsidR="00CB2F7B" w:rsidRPr="002E1B40">
        <w:rPr>
          <w:caps/>
        </w:rPr>
        <w:t xml:space="preserve"> </w:t>
      </w:r>
    </w:p>
    <w:p w:rsidR="00CB2F7B" w:rsidRDefault="00CB2F7B" w:rsidP="00CB2F7B">
      <w:pPr>
        <w:jc w:val="center"/>
      </w:pPr>
      <w:r>
        <w:t>AGREED BY THE TECHNICAL COMMITTEE AT ITS FIFTY-THIRD</w:t>
      </w:r>
      <w:r>
        <w:rPr>
          <w:rStyle w:val="FootnoteReference"/>
        </w:rPr>
        <w:footnoteReference w:id="21"/>
      </w:r>
      <w:r>
        <w:t xml:space="preserve"> AND FIFTY-FOURTH</w:t>
      </w:r>
      <w:r>
        <w:rPr>
          <w:rStyle w:val="FootnoteReference"/>
        </w:rPr>
        <w:footnoteReference w:id="22"/>
      </w:r>
      <w:r>
        <w:t xml:space="preserve"> SESSIONS</w:t>
      </w:r>
    </w:p>
    <w:p w:rsidR="00CB2F7B" w:rsidRPr="00273B07" w:rsidRDefault="00CB2F7B" w:rsidP="00CB2F7B"/>
    <w:p w:rsidR="00CB2F7B" w:rsidRPr="00273B07" w:rsidRDefault="00CB2F7B" w:rsidP="00CB2F7B"/>
    <w:p w:rsidR="00CB2F7B" w:rsidRPr="00273B07" w:rsidRDefault="00CB2F7B" w:rsidP="00CB2F7B">
      <w:pPr>
        <w:rPr>
          <w:u w:val="single"/>
        </w:rPr>
      </w:pPr>
      <w:r w:rsidRPr="00273B07">
        <w:rPr>
          <w:u w:val="single"/>
        </w:rPr>
        <w:t>(</w:t>
      </w:r>
      <w:proofErr w:type="spellStart"/>
      <w:r w:rsidRPr="00273B07">
        <w:rPr>
          <w:u w:val="single"/>
        </w:rPr>
        <w:t>i</w:t>
      </w:r>
      <w:proofErr w:type="spellEnd"/>
      <w:r w:rsidRPr="00273B07">
        <w:rPr>
          <w:u w:val="single"/>
        </w:rPr>
        <w:t>)</w:t>
      </w:r>
      <w:r w:rsidRPr="00273B07">
        <w:rPr>
          <w:u w:val="single"/>
        </w:rPr>
        <w:tab/>
        <w:t>Illustrations for shape and ratio characteristics</w:t>
      </w:r>
    </w:p>
    <w:p w:rsidR="00CB2F7B" w:rsidRPr="00273B07" w:rsidRDefault="00CB2F7B" w:rsidP="00CB2F7B">
      <w:pPr>
        <w:rPr>
          <w:snapToGrid w:val="0"/>
        </w:rPr>
      </w:pPr>
    </w:p>
    <w:p w:rsidR="00CB2F7B" w:rsidRPr="00273B07" w:rsidRDefault="00CB2F7B" w:rsidP="00CB2F7B">
      <w:r w:rsidRPr="00273B07">
        <w:t>The TC, at its fifty-third session,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to read as follows (see document TC/53/31 “Report”, paragraph 141) (</w:t>
      </w:r>
      <w:r w:rsidRPr="00273B07">
        <w:rPr>
          <w:strike/>
          <w:highlight w:val="lightGray"/>
        </w:rPr>
        <w:t>highlighting and strikethrough</w:t>
      </w:r>
      <w:r w:rsidRPr="00273B07">
        <w:t xml:space="preserve"> for deletions and </w:t>
      </w:r>
      <w:r w:rsidRPr="00273B07">
        <w:rPr>
          <w:highlight w:val="lightGray"/>
          <w:u w:val="single"/>
        </w:rPr>
        <w:t>highlighting and underline</w:t>
      </w:r>
      <w:r w:rsidRPr="00273B07">
        <w:t xml:space="preserve"> for addition):</w:t>
      </w:r>
    </w:p>
    <w:p w:rsidR="00CB2F7B" w:rsidRPr="00273B07" w:rsidRDefault="00CB2F7B" w:rsidP="00CB2F7B">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CB2F7B" w:rsidRPr="00273B07" w:rsidTr="003E1190">
        <w:trPr>
          <w:gridBefore w:val="1"/>
          <w:gridAfter w:val="1"/>
          <w:wBefore w:w="379" w:type="dxa"/>
          <w:wAfter w:w="14" w:type="dxa"/>
          <w:cantSplit/>
          <w:jc w:val="center"/>
        </w:trPr>
        <w:tc>
          <w:tcPr>
            <w:tcW w:w="422" w:type="dxa"/>
            <w:tcBorders>
              <w:top w:val="nil"/>
              <w:left w:val="nil"/>
              <w:bottom w:val="nil"/>
              <w:right w:val="nil"/>
            </w:tcBorders>
          </w:tcPr>
          <w:p w:rsidR="00CB2F7B" w:rsidRPr="00273B07" w:rsidRDefault="00CB2F7B" w:rsidP="003E1190">
            <w:pPr>
              <w:keepNext/>
              <w:keepLines/>
              <w:jc w:val="center"/>
              <w:rPr>
                <w:sz w:val="18"/>
              </w:rPr>
            </w:pPr>
          </w:p>
        </w:tc>
        <w:tc>
          <w:tcPr>
            <w:tcW w:w="283" w:type="dxa"/>
            <w:gridSpan w:val="2"/>
            <w:tcBorders>
              <w:top w:val="nil"/>
              <w:left w:val="nil"/>
              <w:bottom w:val="nil"/>
              <w:right w:val="nil"/>
            </w:tcBorders>
          </w:tcPr>
          <w:p w:rsidR="00CB2F7B" w:rsidRPr="00273B07" w:rsidRDefault="00CB2F7B" w:rsidP="003E1190">
            <w:pPr>
              <w:keepNext/>
              <w:keepLines/>
              <w:jc w:val="center"/>
              <w:rPr>
                <w:sz w:val="18"/>
              </w:rPr>
            </w:pPr>
          </w:p>
        </w:tc>
        <w:tc>
          <w:tcPr>
            <w:tcW w:w="8357" w:type="dxa"/>
            <w:gridSpan w:val="9"/>
            <w:tcBorders>
              <w:left w:val="single" w:sz="4" w:space="0" w:color="auto"/>
              <w:bottom w:val="nil"/>
            </w:tcBorders>
          </w:tcPr>
          <w:p w:rsidR="00CB2F7B" w:rsidRPr="00273B07" w:rsidRDefault="00CB2F7B" w:rsidP="003E1190">
            <w:pPr>
              <w:keepNext/>
              <w:keepLines/>
              <w:jc w:val="center"/>
              <w:rPr>
                <w:sz w:val="18"/>
              </w:rPr>
            </w:pPr>
            <w:r w:rsidRPr="00273B07">
              <w:rPr>
                <w:noProof/>
                <w:sz w:val="18"/>
              </w:rPr>
              <w:tab/>
            </w:r>
            <w:r w:rsidRPr="00273B07">
              <w:rPr>
                <w:noProof/>
                <w:sz w:val="18"/>
              </w:rPr>
              <w:sym w:font="Wingdings" w:char="F0DF"/>
            </w:r>
            <w:r w:rsidRPr="00273B07">
              <w:rPr>
                <w:noProof/>
                <w:sz w:val="18"/>
              </w:rPr>
              <w:tab/>
            </w:r>
            <w:r w:rsidRPr="00273B07">
              <w:rPr>
                <w:noProof/>
                <w:sz w:val="18"/>
              </w:rPr>
              <w:tab/>
            </w:r>
            <w:r w:rsidRPr="00273B07">
              <w:rPr>
                <w:sz w:val="18"/>
              </w:rPr>
              <w:t>broadest part</w:t>
            </w:r>
            <w:r w:rsidRPr="00273B07">
              <w:rPr>
                <w:sz w:val="18"/>
              </w:rPr>
              <w:tab/>
            </w:r>
            <w:r w:rsidRPr="00273B07">
              <w:rPr>
                <w:sz w:val="18"/>
              </w:rPr>
              <w:tab/>
            </w:r>
            <w:r w:rsidRPr="00273B07">
              <w:rPr>
                <w:noProof/>
                <w:sz w:val="18"/>
              </w:rPr>
              <w:sym w:font="Wingdings" w:char="F0E0"/>
            </w:r>
            <w:r w:rsidRPr="00273B07">
              <w:rPr>
                <w:noProof/>
                <w:sz w:val="18"/>
              </w:rPr>
              <w:t xml:space="preserve"> </w:t>
            </w:r>
            <w:r w:rsidRPr="00273B07">
              <w:rPr>
                <w:noProof/>
                <w:sz w:val="18"/>
              </w:rPr>
              <w:tab/>
            </w:r>
          </w:p>
        </w:tc>
      </w:tr>
      <w:tr w:rsidR="00CB2F7B" w:rsidRPr="00273B07" w:rsidTr="003E1190">
        <w:trPr>
          <w:gridBefore w:val="1"/>
          <w:gridAfter w:val="1"/>
          <w:wBefore w:w="379" w:type="dxa"/>
          <w:wAfter w:w="14" w:type="dxa"/>
          <w:cantSplit/>
          <w:jc w:val="center"/>
        </w:trPr>
        <w:tc>
          <w:tcPr>
            <w:tcW w:w="422" w:type="dxa"/>
            <w:tcBorders>
              <w:top w:val="nil"/>
              <w:left w:val="nil"/>
              <w:bottom w:val="nil"/>
              <w:right w:val="nil"/>
            </w:tcBorders>
          </w:tcPr>
          <w:p w:rsidR="00CB2F7B" w:rsidRPr="00273B07" w:rsidRDefault="00CB2F7B" w:rsidP="003E1190">
            <w:pPr>
              <w:jc w:val="center"/>
              <w:rPr>
                <w:sz w:val="18"/>
              </w:rPr>
            </w:pP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2835" w:type="dxa"/>
            <w:gridSpan w:val="4"/>
            <w:tcBorders>
              <w:top w:val="single" w:sz="4" w:space="0" w:color="auto"/>
              <w:left w:val="single" w:sz="4" w:space="0" w:color="auto"/>
              <w:bottom w:val="single" w:sz="4" w:space="0" w:color="auto"/>
              <w:right w:val="single" w:sz="4" w:space="0" w:color="auto"/>
            </w:tcBorders>
          </w:tcPr>
          <w:p w:rsidR="00CB2F7B" w:rsidRPr="00273B07" w:rsidRDefault="00CB2F7B" w:rsidP="003E1190">
            <w:pPr>
              <w:jc w:val="center"/>
              <w:rPr>
                <w:sz w:val="18"/>
              </w:rPr>
            </w:pPr>
            <w:r w:rsidRPr="00273B07">
              <w:rPr>
                <w:noProof/>
                <w:sz w:val="18"/>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CB2F7B" w:rsidRPr="00273B07" w:rsidRDefault="00CB2F7B" w:rsidP="003E1190">
            <w:pPr>
              <w:jc w:val="center"/>
              <w:rPr>
                <w:sz w:val="18"/>
              </w:rPr>
            </w:pPr>
            <w:r w:rsidRPr="00273B07">
              <w:rPr>
                <w:sz w:val="18"/>
              </w:rPr>
              <w:t>at middle</w:t>
            </w:r>
          </w:p>
        </w:tc>
        <w:tc>
          <w:tcPr>
            <w:tcW w:w="4104" w:type="dxa"/>
            <w:gridSpan w:val="3"/>
            <w:tcBorders>
              <w:top w:val="single" w:sz="4" w:space="0" w:color="auto"/>
              <w:left w:val="single" w:sz="4" w:space="0" w:color="auto"/>
              <w:bottom w:val="single" w:sz="4" w:space="0" w:color="auto"/>
              <w:right w:val="single" w:sz="4" w:space="0" w:color="auto"/>
            </w:tcBorders>
          </w:tcPr>
          <w:p w:rsidR="00CB2F7B" w:rsidRPr="00273B07" w:rsidRDefault="00CB2F7B" w:rsidP="003E1190">
            <w:pPr>
              <w:jc w:val="center"/>
              <w:rPr>
                <w:sz w:val="18"/>
              </w:rPr>
            </w:pPr>
            <w:r w:rsidRPr="00273B07">
              <w:rPr>
                <w:noProof/>
                <w:sz w:val="18"/>
              </w:rPr>
              <w:t>(above middle)</w:t>
            </w:r>
          </w:p>
        </w:tc>
      </w:tr>
      <w:tr w:rsidR="00CB2F7B" w:rsidRPr="00273B07" w:rsidTr="003E1190">
        <w:trPr>
          <w:gridBefore w:val="1"/>
          <w:wBefore w:w="379" w:type="dxa"/>
          <w:trHeight w:val="163"/>
          <w:jc w:val="center"/>
        </w:trPr>
        <w:tc>
          <w:tcPr>
            <w:tcW w:w="429" w:type="dxa"/>
            <w:gridSpan w:val="2"/>
            <w:tcBorders>
              <w:top w:val="nil"/>
              <w:left w:val="nil"/>
              <w:bottom w:val="nil"/>
              <w:right w:val="nil"/>
            </w:tcBorders>
          </w:tcPr>
          <w:p w:rsidR="00CB2F7B" w:rsidRPr="00273B07" w:rsidRDefault="00CB2F7B" w:rsidP="003E1190">
            <w:pPr>
              <w:jc w:val="center"/>
              <w:rPr>
                <w:sz w:val="18"/>
              </w:rPr>
            </w:pP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1420" w:type="dxa"/>
            <w:tcBorders>
              <w:top w:val="nil"/>
              <w:left w:val="nil"/>
              <w:bottom w:val="nil"/>
              <w:right w:val="nil"/>
            </w:tcBorders>
          </w:tcPr>
          <w:p w:rsidR="00CB2F7B" w:rsidRPr="00273B07" w:rsidRDefault="00CB2F7B" w:rsidP="003E1190">
            <w:pPr>
              <w:jc w:val="center"/>
              <w:rPr>
                <w:sz w:val="18"/>
              </w:rPr>
            </w:pPr>
          </w:p>
        </w:tc>
        <w:tc>
          <w:tcPr>
            <w:tcW w:w="1389" w:type="dxa"/>
            <w:tcBorders>
              <w:top w:val="nil"/>
              <w:left w:val="nil"/>
              <w:bottom w:val="nil"/>
              <w:right w:val="nil"/>
            </w:tcBorders>
          </w:tcPr>
          <w:p w:rsidR="00CB2F7B" w:rsidRPr="00273B07" w:rsidRDefault="00CB2F7B" w:rsidP="003E1190">
            <w:pPr>
              <w:jc w:val="center"/>
              <w:rPr>
                <w:sz w:val="18"/>
              </w:rPr>
            </w:pPr>
          </w:p>
        </w:tc>
        <w:tc>
          <w:tcPr>
            <w:tcW w:w="1389" w:type="dxa"/>
            <w:gridSpan w:val="2"/>
            <w:tcBorders>
              <w:top w:val="nil"/>
              <w:left w:val="nil"/>
              <w:bottom w:val="nil"/>
              <w:right w:val="nil"/>
            </w:tcBorders>
          </w:tcPr>
          <w:p w:rsidR="00CB2F7B" w:rsidRPr="00273B07" w:rsidRDefault="00CB2F7B" w:rsidP="003E1190">
            <w:pPr>
              <w:jc w:val="center"/>
              <w:rPr>
                <w:sz w:val="18"/>
              </w:rPr>
            </w:pPr>
          </w:p>
        </w:tc>
        <w:tc>
          <w:tcPr>
            <w:tcW w:w="1388" w:type="dxa"/>
            <w:gridSpan w:val="2"/>
            <w:tcBorders>
              <w:top w:val="nil"/>
              <w:left w:val="nil"/>
              <w:bottom w:val="nil"/>
              <w:right w:val="nil"/>
            </w:tcBorders>
          </w:tcPr>
          <w:p w:rsidR="00CB2F7B" w:rsidRPr="00273B07" w:rsidRDefault="00CB2F7B" w:rsidP="003E1190">
            <w:pPr>
              <w:jc w:val="center"/>
              <w:rPr>
                <w:sz w:val="18"/>
              </w:rPr>
            </w:pPr>
          </w:p>
        </w:tc>
        <w:tc>
          <w:tcPr>
            <w:tcW w:w="1389" w:type="dxa"/>
            <w:tcBorders>
              <w:top w:val="nil"/>
              <w:left w:val="nil"/>
              <w:bottom w:val="nil"/>
              <w:right w:val="nil"/>
            </w:tcBorders>
          </w:tcPr>
          <w:p w:rsidR="00CB2F7B" w:rsidRPr="00273B07" w:rsidRDefault="00CB2F7B" w:rsidP="003E1190">
            <w:pPr>
              <w:jc w:val="center"/>
              <w:rPr>
                <w:sz w:val="18"/>
              </w:rPr>
            </w:pPr>
          </w:p>
        </w:tc>
        <w:tc>
          <w:tcPr>
            <w:tcW w:w="1389" w:type="dxa"/>
            <w:gridSpan w:val="2"/>
            <w:tcBorders>
              <w:top w:val="nil"/>
              <w:left w:val="nil"/>
              <w:bottom w:val="nil"/>
              <w:right w:val="nil"/>
            </w:tcBorders>
          </w:tcPr>
          <w:p w:rsidR="00CB2F7B" w:rsidRPr="00273B07" w:rsidRDefault="00CB2F7B" w:rsidP="003E1190">
            <w:pPr>
              <w:jc w:val="center"/>
              <w:rPr>
                <w:sz w:val="18"/>
              </w:rPr>
            </w:pPr>
          </w:p>
        </w:tc>
      </w:tr>
      <w:tr w:rsidR="00CB2F7B" w:rsidRPr="00273B07" w:rsidTr="003E1190">
        <w:trPr>
          <w:cantSplit/>
          <w:jc w:val="center"/>
        </w:trPr>
        <w:tc>
          <w:tcPr>
            <w:tcW w:w="379" w:type="dxa"/>
            <w:vMerge w:val="restart"/>
            <w:shd w:val="clear" w:color="auto" w:fill="auto"/>
            <w:textDirection w:val="btLr"/>
          </w:tcPr>
          <w:p w:rsidR="00CB2F7B" w:rsidRPr="00273B07" w:rsidRDefault="00CB2F7B" w:rsidP="003E1190">
            <w:pPr>
              <w:ind w:left="113" w:right="113"/>
              <w:jc w:val="center"/>
              <w:rPr>
                <w:noProof/>
                <w:sz w:val="18"/>
                <w:u w:val="single"/>
              </w:rPr>
            </w:pPr>
            <w:r w:rsidRPr="00273B07">
              <w:rPr>
                <w:noProof/>
                <w:sz w:val="18"/>
                <w:highlight w:val="lightGray"/>
                <w:u w:val="single"/>
              </w:rPr>
              <w:sym w:font="Wingdings" w:char="F0DF"/>
            </w:r>
            <w:r w:rsidRPr="00273B07">
              <w:rPr>
                <w:noProof/>
                <w:sz w:val="18"/>
                <w:highlight w:val="lightGray"/>
                <w:u w:val="single"/>
              </w:rPr>
              <w:t xml:space="preserve">                  relative </w:t>
            </w:r>
            <w:r w:rsidRPr="00273B07">
              <w:rPr>
                <w:sz w:val="18"/>
                <w:highlight w:val="lightGray"/>
                <w:u w:val="single"/>
              </w:rPr>
              <w:t xml:space="preserve">width                 </w:t>
            </w:r>
            <w:r w:rsidRPr="00273B07">
              <w:rPr>
                <w:noProof/>
                <w:sz w:val="18"/>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CB2F7B" w:rsidRPr="00273B07" w:rsidRDefault="00CB2F7B" w:rsidP="003E1190">
            <w:pPr>
              <w:ind w:left="113" w:right="113"/>
              <w:jc w:val="center"/>
              <w:rPr>
                <w:sz w:val="18"/>
              </w:rPr>
            </w:pPr>
            <w:r w:rsidRPr="00273B07">
              <w:rPr>
                <w:noProof/>
                <w:sz w:val="18"/>
              </w:rPr>
              <w:t xml:space="preserve">broad </w:t>
            </w:r>
            <w:r w:rsidRPr="00273B07">
              <w:rPr>
                <w:strike/>
                <w:noProof/>
                <w:sz w:val="18"/>
                <w:highlight w:val="lightGray"/>
              </w:rPr>
              <w:t>(</w:t>
            </w:r>
            <w:r w:rsidRPr="00273B07">
              <w:rPr>
                <w:i/>
                <w:strike/>
                <w:sz w:val="18"/>
                <w:highlight w:val="lightGray"/>
              </w:rPr>
              <w:t>low)</w:t>
            </w:r>
            <w:r w:rsidRPr="00273B07">
              <w:rPr>
                <w:noProof/>
                <w:sz w:val="18"/>
              </w:rPr>
              <w:sym w:font="Wingdings" w:char="F0DF"/>
            </w:r>
            <w:r w:rsidRPr="00273B07">
              <w:rPr>
                <w:noProof/>
                <w:sz w:val="18"/>
              </w:rPr>
              <w:tab/>
            </w:r>
            <w:r w:rsidRPr="00273B07">
              <w:rPr>
                <w:strike/>
                <w:sz w:val="18"/>
                <w:highlight w:val="lightGray"/>
              </w:rPr>
              <w:t>width</w:t>
            </w:r>
            <w:r w:rsidRPr="00273B07">
              <w:rPr>
                <w:strike/>
                <w:sz w:val="18"/>
              </w:rPr>
              <w:t xml:space="preserve"> </w:t>
            </w:r>
            <w:r w:rsidRPr="00273B07">
              <w:rPr>
                <w:strike/>
                <w:sz w:val="18"/>
                <w:highlight w:val="lightGray"/>
              </w:rPr>
              <w:t>(</w:t>
            </w:r>
            <w:r w:rsidRPr="00273B07">
              <w:rPr>
                <w:strike/>
                <w:color w:val="000000"/>
                <w:sz w:val="18"/>
                <w:highlight w:val="lightGray"/>
              </w:rPr>
              <w:t>ratio length/width)</w:t>
            </w:r>
            <w:r w:rsidRPr="00273B07">
              <w:rPr>
                <w:sz w:val="18"/>
              </w:rPr>
              <w:tab/>
            </w:r>
            <w:r w:rsidRPr="00273B07">
              <w:rPr>
                <w:noProof/>
                <w:sz w:val="18"/>
              </w:rPr>
              <w:sym w:font="Wingdings" w:char="F0E0"/>
            </w:r>
            <w:r w:rsidRPr="00273B07">
              <w:rPr>
                <w:noProof/>
                <w:sz w:val="18"/>
              </w:rPr>
              <w:t xml:space="preserve"> narrow </w:t>
            </w:r>
            <w:r w:rsidRPr="00273B07">
              <w:rPr>
                <w:strike/>
                <w:noProof/>
                <w:sz w:val="18"/>
                <w:highlight w:val="lightGray"/>
              </w:rPr>
              <w:t>(</w:t>
            </w:r>
            <w:r w:rsidRPr="00273B07">
              <w:rPr>
                <w:i/>
                <w:strike/>
                <w:sz w:val="18"/>
                <w:highlight w:val="lightGray"/>
              </w:rPr>
              <w:t>high</w:t>
            </w:r>
            <w:r w:rsidRPr="00273B07">
              <w:rPr>
                <w:strike/>
                <w:noProof/>
                <w:sz w:val="18"/>
                <w:highlight w:val="lightGray"/>
              </w:rPr>
              <w:t>)</w:t>
            </w: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1420" w:type="dxa"/>
            <w:tcBorders>
              <w:left w:val="single" w:sz="4" w:space="0" w:color="auto"/>
            </w:tcBorders>
          </w:tcPr>
          <w:p w:rsidR="00CB2F7B" w:rsidRPr="00273B07" w:rsidRDefault="00CB2F7B" w:rsidP="003E1190">
            <w:pPr>
              <w:jc w:val="center"/>
              <w:rPr>
                <w:sz w:val="18"/>
              </w:rPr>
            </w:pP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r w:rsidRPr="00273B07">
              <w:rPr>
                <w:noProof/>
                <w:sz w:val="18"/>
              </w:rPr>
              <w:drawing>
                <wp:inline distT="0" distB="0" distL="0" distR="0" wp14:anchorId="22D25399" wp14:editId="79DDDAF0">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 xml:space="preserve">6 </w:t>
            </w:r>
          </w:p>
          <w:p w:rsidR="00CB2F7B" w:rsidRPr="00273B07" w:rsidRDefault="00CB2F7B" w:rsidP="003E1190">
            <w:pPr>
              <w:jc w:val="center"/>
              <w:rPr>
                <w:sz w:val="18"/>
              </w:rPr>
            </w:pPr>
            <w:r w:rsidRPr="00273B07">
              <w:rPr>
                <w:sz w:val="18"/>
              </w:rPr>
              <w:t>linear</w:t>
            </w:r>
          </w:p>
        </w:tc>
        <w:tc>
          <w:tcPr>
            <w:tcW w:w="1388" w:type="dxa"/>
            <w:gridSpan w:val="2"/>
          </w:tcPr>
          <w:p w:rsidR="00CB2F7B" w:rsidRPr="00273B07" w:rsidRDefault="00CB2F7B" w:rsidP="003E1190">
            <w:pPr>
              <w:jc w:val="center"/>
              <w:rPr>
                <w:sz w:val="18"/>
              </w:rPr>
            </w:pP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p>
        </w:tc>
      </w:tr>
      <w:tr w:rsidR="00CB2F7B" w:rsidRPr="00273B07" w:rsidTr="003E1190">
        <w:trPr>
          <w:cantSplit/>
          <w:jc w:val="center"/>
        </w:trPr>
        <w:tc>
          <w:tcPr>
            <w:tcW w:w="379" w:type="dxa"/>
            <w:vMerge/>
            <w:shd w:val="clear" w:color="auto" w:fill="auto"/>
          </w:tcPr>
          <w:p w:rsidR="00CB2F7B" w:rsidRPr="00273B07" w:rsidRDefault="00CB2F7B" w:rsidP="003E1190">
            <w:pPr>
              <w:jc w:val="center"/>
              <w:rPr>
                <w:sz w:val="18"/>
              </w:rPr>
            </w:pPr>
          </w:p>
        </w:tc>
        <w:tc>
          <w:tcPr>
            <w:tcW w:w="429" w:type="dxa"/>
            <w:gridSpan w:val="2"/>
            <w:vMerge/>
            <w:tcBorders>
              <w:right w:val="single" w:sz="4" w:space="0" w:color="auto"/>
            </w:tcBorders>
          </w:tcPr>
          <w:p w:rsidR="00CB2F7B" w:rsidRPr="00273B07" w:rsidRDefault="00CB2F7B" w:rsidP="003E1190">
            <w:pPr>
              <w:jc w:val="center"/>
              <w:rPr>
                <w:sz w:val="18"/>
              </w:rPr>
            </w:pP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1420" w:type="dxa"/>
            <w:tcBorders>
              <w:left w:val="single" w:sz="4" w:space="0" w:color="auto"/>
            </w:tcBorders>
          </w:tcPr>
          <w:p w:rsidR="00CB2F7B" w:rsidRPr="00273B07" w:rsidRDefault="00CB2F7B" w:rsidP="003E1190">
            <w:pPr>
              <w:jc w:val="center"/>
              <w:rPr>
                <w:sz w:val="18"/>
              </w:rPr>
            </w:pP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r w:rsidRPr="00273B07">
              <w:rPr>
                <w:noProof/>
                <w:sz w:val="18"/>
              </w:rPr>
              <w:drawing>
                <wp:inline distT="0" distB="0" distL="0" distR="0" wp14:anchorId="4F251888" wp14:editId="5D2AF03F">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5</w:t>
            </w:r>
          </w:p>
          <w:p w:rsidR="00CB2F7B" w:rsidRPr="00273B07" w:rsidRDefault="00CB2F7B" w:rsidP="003E1190">
            <w:pPr>
              <w:jc w:val="center"/>
              <w:rPr>
                <w:sz w:val="18"/>
              </w:rPr>
            </w:pPr>
            <w:r w:rsidRPr="00273B07">
              <w:rPr>
                <w:sz w:val="18"/>
              </w:rPr>
              <w:t>oblong</w:t>
            </w:r>
          </w:p>
        </w:tc>
        <w:tc>
          <w:tcPr>
            <w:tcW w:w="1388" w:type="dxa"/>
            <w:gridSpan w:val="2"/>
          </w:tcPr>
          <w:p w:rsidR="00CB2F7B" w:rsidRPr="00273B07" w:rsidRDefault="00CB2F7B" w:rsidP="003E1190">
            <w:pPr>
              <w:jc w:val="center"/>
              <w:rPr>
                <w:sz w:val="18"/>
              </w:rPr>
            </w:pPr>
            <w:r w:rsidRPr="00273B07">
              <w:rPr>
                <w:noProof/>
                <w:sz w:val="18"/>
              </w:rPr>
              <w:drawing>
                <wp:inline distT="0" distB="0" distL="0" distR="0" wp14:anchorId="534F8EBB" wp14:editId="2E2380B7">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8</w:t>
            </w:r>
          </w:p>
          <w:p w:rsidR="00CB2F7B" w:rsidRPr="00273B07" w:rsidRDefault="00CB2F7B" w:rsidP="003E1190">
            <w:pPr>
              <w:jc w:val="center"/>
              <w:rPr>
                <w:sz w:val="18"/>
              </w:rPr>
            </w:pPr>
            <w:r w:rsidRPr="00273B07">
              <w:rPr>
                <w:sz w:val="18"/>
              </w:rPr>
              <w:t>oblanceolate</w:t>
            </w:r>
          </w:p>
        </w:tc>
        <w:tc>
          <w:tcPr>
            <w:tcW w:w="1389" w:type="dxa"/>
          </w:tcPr>
          <w:p w:rsidR="00CB2F7B" w:rsidRPr="00273B07" w:rsidRDefault="00CB2F7B" w:rsidP="003E1190">
            <w:pPr>
              <w:jc w:val="center"/>
              <w:rPr>
                <w:sz w:val="18"/>
              </w:rPr>
            </w:pPr>
            <w:r w:rsidRPr="00273B07">
              <w:rPr>
                <w:noProof/>
                <w:sz w:val="18"/>
              </w:rPr>
              <w:drawing>
                <wp:inline distT="0" distB="0" distL="0" distR="0" wp14:anchorId="230DABB9" wp14:editId="5E81975F">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9</w:t>
            </w:r>
          </w:p>
          <w:p w:rsidR="00CB2F7B" w:rsidRPr="00273B07" w:rsidRDefault="00CB2F7B" w:rsidP="003E1190">
            <w:pPr>
              <w:jc w:val="center"/>
              <w:rPr>
                <w:sz w:val="18"/>
              </w:rPr>
            </w:pPr>
            <w:proofErr w:type="spellStart"/>
            <w:r w:rsidRPr="00273B07">
              <w:rPr>
                <w:sz w:val="18"/>
              </w:rPr>
              <w:t>spatulate</w:t>
            </w:r>
            <w:proofErr w:type="spellEnd"/>
          </w:p>
        </w:tc>
        <w:tc>
          <w:tcPr>
            <w:tcW w:w="1389" w:type="dxa"/>
            <w:gridSpan w:val="2"/>
          </w:tcPr>
          <w:p w:rsidR="00CB2F7B" w:rsidRPr="00273B07" w:rsidRDefault="00CB2F7B" w:rsidP="003E1190">
            <w:pPr>
              <w:jc w:val="center"/>
              <w:rPr>
                <w:sz w:val="18"/>
              </w:rPr>
            </w:pPr>
          </w:p>
        </w:tc>
      </w:tr>
      <w:tr w:rsidR="00CB2F7B" w:rsidRPr="00273B07" w:rsidTr="003E1190">
        <w:trPr>
          <w:cantSplit/>
          <w:jc w:val="center"/>
        </w:trPr>
        <w:tc>
          <w:tcPr>
            <w:tcW w:w="379" w:type="dxa"/>
            <w:vMerge/>
            <w:shd w:val="clear" w:color="auto" w:fill="auto"/>
          </w:tcPr>
          <w:p w:rsidR="00CB2F7B" w:rsidRPr="00273B07" w:rsidRDefault="00CB2F7B" w:rsidP="003E1190">
            <w:pPr>
              <w:jc w:val="center"/>
              <w:rPr>
                <w:sz w:val="18"/>
              </w:rPr>
            </w:pPr>
          </w:p>
        </w:tc>
        <w:tc>
          <w:tcPr>
            <w:tcW w:w="429" w:type="dxa"/>
            <w:gridSpan w:val="2"/>
            <w:vMerge/>
            <w:tcBorders>
              <w:right w:val="single" w:sz="4" w:space="0" w:color="auto"/>
            </w:tcBorders>
          </w:tcPr>
          <w:p w:rsidR="00CB2F7B" w:rsidRPr="00273B07" w:rsidRDefault="00CB2F7B" w:rsidP="003E1190">
            <w:pPr>
              <w:jc w:val="center"/>
              <w:rPr>
                <w:sz w:val="18"/>
              </w:rPr>
            </w:pP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1420" w:type="dxa"/>
            <w:tcBorders>
              <w:left w:val="single" w:sz="4" w:space="0" w:color="auto"/>
            </w:tcBorders>
          </w:tcPr>
          <w:p w:rsidR="00CB2F7B" w:rsidRPr="00273B07" w:rsidRDefault="00CB2F7B" w:rsidP="003E1190">
            <w:pPr>
              <w:jc w:val="center"/>
              <w:rPr>
                <w:sz w:val="18"/>
              </w:rPr>
            </w:pPr>
            <w:r w:rsidRPr="00273B07">
              <w:rPr>
                <w:noProof/>
                <w:sz w:val="18"/>
              </w:rPr>
              <w:drawing>
                <wp:inline distT="0" distB="0" distL="0" distR="0" wp14:anchorId="2C98F613" wp14:editId="0324F339">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 xml:space="preserve">1 </w:t>
            </w:r>
          </w:p>
          <w:p w:rsidR="00CB2F7B" w:rsidRPr="00273B07" w:rsidRDefault="00CB2F7B" w:rsidP="003E1190">
            <w:pPr>
              <w:jc w:val="center"/>
              <w:rPr>
                <w:sz w:val="18"/>
              </w:rPr>
            </w:pPr>
            <w:r w:rsidRPr="00273B07">
              <w:rPr>
                <w:sz w:val="18"/>
              </w:rPr>
              <w:t>triangular</w:t>
            </w:r>
          </w:p>
        </w:tc>
        <w:tc>
          <w:tcPr>
            <w:tcW w:w="1389" w:type="dxa"/>
          </w:tcPr>
          <w:p w:rsidR="00CB2F7B" w:rsidRPr="00273B07" w:rsidRDefault="00CB2F7B" w:rsidP="003E1190">
            <w:pPr>
              <w:jc w:val="center"/>
              <w:rPr>
                <w:sz w:val="18"/>
              </w:rPr>
            </w:pPr>
            <w:r w:rsidRPr="00273B07">
              <w:rPr>
                <w:noProof/>
                <w:sz w:val="18"/>
              </w:rPr>
              <w:drawing>
                <wp:inline distT="0" distB="0" distL="0" distR="0" wp14:anchorId="3B938DA6" wp14:editId="26ADFF23">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2</w:t>
            </w:r>
          </w:p>
          <w:p w:rsidR="00CB2F7B" w:rsidRPr="00273B07" w:rsidRDefault="00CB2F7B" w:rsidP="003E1190">
            <w:pPr>
              <w:jc w:val="center"/>
              <w:rPr>
                <w:sz w:val="18"/>
              </w:rPr>
            </w:pPr>
            <w:r w:rsidRPr="00273B07">
              <w:rPr>
                <w:sz w:val="18"/>
              </w:rPr>
              <w:t>ovate</w:t>
            </w:r>
          </w:p>
        </w:tc>
        <w:tc>
          <w:tcPr>
            <w:tcW w:w="1389" w:type="dxa"/>
            <w:gridSpan w:val="2"/>
          </w:tcPr>
          <w:p w:rsidR="00CB2F7B" w:rsidRPr="00273B07" w:rsidRDefault="00CB2F7B" w:rsidP="003E1190">
            <w:pPr>
              <w:jc w:val="center"/>
              <w:rPr>
                <w:sz w:val="18"/>
              </w:rPr>
            </w:pPr>
            <w:r w:rsidRPr="00273B07">
              <w:rPr>
                <w:noProof/>
                <w:sz w:val="18"/>
              </w:rPr>
              <w:drawing>
                <wp:inline distT="0" distB="0" distL="0" distR="0" wp14:anchorId="7C21A66C" wp14:editId="31FA6CBB">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4</w:t>
            </w:r>
          </w:p>
          <w:p w:rsidR="00CB2F7B" w:rsidRPr="00273B07" w:rsidRDefault="00CB2F7B" w:rsidP="003E1190">
            <w:pPr>
              <w:jc w:val="center"/>
              <w:rPr>
                <w:sz w:val="18"/>
              </w:rPr>
            </w:pPr>
            <w:r w:rsidRPr="00273B07">
              <w:rPr>
                <w:sz w:val="18"/>
              </w:rPr>
              <w:t>elliptic</w:t>
            </w:r>
          </w:p>
        </w:tc>
        <w:tc>
          <w:tcPr>
            <w:tcW w:w="1388" w:type="dxa"/>
            <w:gridSpan w:val="2"/>
          </w:tcPr>
          <w:p w:rsidR="00CB2F7B" w:rsidRPr="00273B07" w:rsidRDefault="00CB2F7B" w:rsidP="003E1190">
            <w:pPr>
              <w:jc w:val="center"/>
              <w:rPr>
                <w:sz w:val="18"/>
              </w:rPr>
            </w:pPr>
            <w:r w:rsidRPr="00273B07">
              <w:rPr>
                <w:noProof/>
                <w:sz w:val="18"/>
              </w:rPr>
              <w:drawing>
                <wp:inline distT="0" distB="0" distL="0" distR="0" wp14:anchorId="6F2A0032" wp14:editId="39567C32">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7</w:t>
            </w:r>
          </w:p>
          <w:p w:rsidR="00CB2F7B" w:rsidRPr="00273B07" w:rsidRDefault="00CB2F7B" w:rsidP="003E1190">
            <w:pPr>
              <w:jc w:val="center"/>
              <w:rPr>
                <w:sz w:val="18"/>
              </w:rPr>
            </w:pPr>
            <w:r w:rsidRPr="00273B07">
              <w:rPr>
                <w:sz w:val="18"/>
              </w:rPr>
              <w:t>obovate</w:t>
            </w: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r w:rsidRPr="00273B07">
              <w:rPr>
                <w:noProof/>
                <w:sz w:val="18"/>
              </w:rPr>
              <w:drawing>
                <wp:inline distT="0" distB="0" distL="0" distR="0" wp14:anchorId="45E751B8" wp14:editId="5636EB97">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 xml:space="preserve">10 </w:t>
            </w:r>
            <w:proofErr w:type="spellStart"/>
            <w:r w:rsidRPr="00273B07">
              <w:rPr>
                <w:sz w:val="18"/>
              </w:rPr>
              <w:t>obtriangular</w:t>
            </w:r>
            <w:proofErr w:type="spellEnd"/>
          </w:p>
        </w:tc>
      </w:tr>
      <w:tr w:rsidR="00CB2F7B" w:rsidRPr="00273B07" w:rsidTr="003E1190">
        <w:trPr>
          <w:cantSplit/>
          <w:trHeight w:val="2035"/>
          <w:jc w:val="center"/>
        </w:trPr>
        <w:tc>
          <w:tcPr>
            <w:tcW w:w="379" w:type="dxa"/>
            <w:vMerge/>
            <w:shd w:val="clear" w:color="auto" w:fill="auto"/>
          </w:tcPr>
          <w:p w:rsidR="00CB2F7B" w:rsidRPr="00273B07" w:rsidRDefault="00CB2F7B" w:rsidP="003E1190">
            <w:pPr>
              <w:jc w:val="center"/>
              <w:rPr>
                <w:sz w:val="18"/>
              </w:rPr>
            </w:pPr>
          </w:p>
        </w:tc>
        <w:tc>
          <w:tcPr>
            <w:tcW w:w="429" w:type="dxa"/>
            <w:gridSpan w:val="2"/>
            <w:vMerge/>
            <w:tcBorders>
              <w:right w:val="single" w:sz="4" w:space="0" w:color="auto"/>
            </w:tcBorders>
          </w:tcPr>
          <w:p w:rsidR="00CB2F7B" w:rsidRPr="00273B07" w:rsidRDefault="00CB2F7B" w:rsidP="003E1190">
            <w:pPr>
              <w:jc w:val="center"/>
              <w:rPr>
                <w:sz w:val="18"/>
              </w:rPr>
            </w:pPr>
          </w:p>
        </w:tc>
        <w:tc>
          <w:tcPr>
            <w:tcW w:w="283" w:type="dxa"/>
            <w:gridSpan w:val="2"/>
            <w:tcBorders>
              <w:top w:val="nil"/>
              <w:left w:val="nil"/>
              <w:bottom w:val="nil"/>
              <w:right w:val="nil"/>
            </w:tcBorders>
          </w:tcPr>
          <w:p w:rsidR="00CB2F7B" w:rsidRPr="00273B07" w:rsidRDefault="00CB2F7B" w:rsidP="003E1190">
            <w:pPr>
              <w:jc w:val="center"/>
              <w:rPr>
                <w:sz w:val="18"/>
              </w:rPr>
            </w:pPr>
          </w:p>
        </w:tc>
        <w:tc>
          <w:tcPr>
            <w:tcW w:w="1420" w:type="dxa"/>
            <w:tcBorders>
              <w:left w:val="single" w:sz="4" w:space="0" w:color="auto"/>
            </w:tcBorders>
          </w:tcPr>
          <w:p w:rsidR="00CB2F7B" w:rsidRPr="00273B07" w:rsidRDefault="00CB2F7B" w:rsidP="003E1190">
            <w:pPr>
              <w:jc w:val="center"/>
              <w:rPr>
                <w:sz w:val="18"/>
              </w:rPr>
            </w:pP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r w:rsidRPr="00273B07">
              <w:rPr>
                <w:noProof/>
                <w:sz w:val="18"/>
              </w:rPr>
              <w:drawing>
                <wp:inline distT="0" distB="0" distL="0" distR="0" wp14:anchorId="13F8E157" wp14:editId="4DE98625">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CB2F7B" w:rsidRPr="00273B07" w:rsidRDefault="00CB2F7B" w:rsidP="003E1190">
            <w:pPr>
              <w:jc w:val="center"/>
              <w:rPr>
                <w:sz w:val="18"/>
              </w:rPr>
            </w:pPr>
            <w:r w:rsidRPr="00273B07">
              <w:rPr>
                <w:sz w:val="18"/>
              </w:rPr>
              <w:t>3</w:t>
            </w:r>
          </w:p>
          <w:p w:rsidR="00CB2F7B" w:rsidRPr="00273B07" w:rsidRDefault="00CB2F7B" w:rsidP="003E1190">
            <w:pPr>
              <w:jc w:val="center"/>
              <w:rPr>
                <w:sz w:val="18"/>
              </w:rPr>
            </w:pPr>
            <w:r w:rsidRPr="00273B07">
              <w:rPr>
                <w:sz w:val="18"/>
              </w:rPr>
              <w:t>circular</w:t>
            </w:r>
          </w:p>
        </w:tc>
        <w:tc>
          <w:tcPr>
            <w:tcW w:w="1388" w:type="dxa"/>
            <w:gridSpan w:val="2"/>
          </w:tcPr>
          <w:p w:rsidR="00CB2F7B" w:rsidRPr="00273B07" w:rsidRDefault="00CB2F7B" w:rsidP="003E1190">
            <w:pPr>
              <w:jc w:val="center"/>
              <w:rPr>
                <w:sz w:val="18"/>
              </w:rPr>
            </w:pPr>
          </w:p>
        </w:tc>
        <w:tc>
          <w:tcPr>
            <w:tcW w:w="1389" w:type="dxa"/>
          </w:tcPr>
          <w:p w:rsidR="00CB2F7B" w:rsidRPr="00273B07" w:rsidRDefault="00CB2F7B" w:rsidP="003E1190">
            <w:pPr>
              <w:jc w:val="center"/>
              <w:rPr>
                <w:sz w:val="18"/>
              </w:rPr>
            </w:pPr>
          </w:p>
        </w:tc>
        <w:tc>
          <w:tcPr>
            <w:tcW w:w="1389" w:type="dxa"/>
            <w:gridSpan w:val="2"/>
          </w:tcPr>
          <w:p w:rsidR="00CB2F7B" w:rsidRPr="00273B07" w:rsidRDefault="00CB2F7B" w:rsidP="003E1190">
            <w:pPr>
              <w:jc w:val="center"/>
              <w:rPr>
                <w:sz w:val="18"/>
              </w:rPr>
            </w:pPr>
          </w:p>
        </w:tc>
      </w:tr>
    </w:tbl>
    <w:p w:rsidR="00CB2F7B" w:rsidRPr="00273B07" w:rsidRDefault="00CB2F7B" w:rsidP="00CB2F7B"/>
    <w:p w:rsidR="00CB2F7B" w:rsidRPr="00273B07" w:rsidRDefault="00CB2F7B" w:rsidP="00CB2F7B"/>
    <w:p w:rsidR="00CB2F7B" w:rsidRPr="00273B07" w:rsidRDefault="00CB2F7B" w:rsidP="00CB2F7B">
      <w:pPr>
        <w:jc w:val="left"/>
      </w:pPr>
      <w:r w:rsidRPr="00273B07">
        <w:br w:type="page"/>
      </w:r>
    </w:p>
    <w:p w:rsidR="00CB2F7B" w:rsidRPr="003B033C" w:rsidRDefault="00CB2F7B" w:rsidP="00CB2F7B">
      <w:pPr>
        <w:rPr>
          <w:rFonts w:eastAsia="MS Mincho"/>
          <w:u w:val="single"/>
        </w:rPr>
      </w:pPr>
      <w:r w:rsidRPr="003B033C">
        <w:rPr>
          <w:rFonts w:eastAsia="MS Mincho"/>
          <w:u w:val="single"/>
        </w:rPr>
        <w:lastRenderedPageBreak/>
        <w:t>(ii)</w:t>
      </w:r>
      <w:r w:rsidRPr="003B033C">
        <w:rPr>
          <w:rFonts w:eastAsia="MS Mincho"/>
          <w:u w:val="single"/>
        </w:rPr>
        <w:tab/>
        <w:t>Factors to be considered for creating color groups</w:t>
      </w:r>
    </w:p>
    <w:p w:rsidR="00CB2F7B" w:rsidRPr="003B033C" w:rsidRDefault="00CB2F7B" w:rsidP="00CB2F7B"/>
    <w:p w:rsidR="00CB2F7B" w:rsidRPr="003B033C" w:rsidRDefault="00CB2F7B" w:rsidP="00CB2F7B">
      <w:r w:rsidRPr="003B033C">
        <w:t xml:space="preserve">The TC, at its fifty-fourth session, considered document TC/54/22 “Color names for the RHS </w:t>
      </w:r>
      <w:proofErr w:type="spellStart"/>
      <w:r w:rsidRPr="003B033C">
        <w:t>Colour</w:t>
      </w:r>
      <w:proofErr w:type="spellEnd"/>
      <w:r w:rsidRPr="003B033C">
        <w:t xml:space="preserve"> Chart” (see document </w:t>
      </w:r>
      <w:r w:rsidR="00C50128">
        <w:t>TC/54/31 Corr.</w:t>
      </w:r>
      <w:r w:rsidRPr="003B033C">
        <w:t xml:space="preserve"> “Report”, paragraph 244).</w:t>
      </w:r>
    </w:p>
    <w:p w:rsidR="00CB2F7B" w:rsidRPr="003B033C" w:rsidRDefault="00CB2F7B" w:rsidP="00CB2F7B"/>
    <w:p w:rsidR="00CB2F7B" w:rsidRPr="003B033C" w:rsidRDefault="00CB2F7B" w:rsidP="00CB2F7B">
      <w:r w:rsidRPr="003B033C">
        <w:t>The TC agreed to propose the revision of document TGP/14 to include guidance on the factors to be considered for creating color groups for grouping of varieties and organizing the growing trial, as follows:</w:t>
      </w:r>
    </w:p>
    <w:p w:rsidR="00CB2F7B" w:rsidRPr="003B033C" w:rsidRDefault="00CB2F7B" w:rsidP="00CB2F7B">
      <w:pPr>
        <w:rPr>
          <w:rFonts w:eastAsiaTheme="minorEastAsia" w:cs="Arial"/>
        </w:rPr>
      </w:pPr>
    </w:p>
    <w:p w:rsidR="00CB2F7B" w:rsidRPr="00EF65E9" w:rsidRDefault="00CB2F7B" w:rsidP="00CB2F7B">
      <w:pPr>
        <w:ind w:left="567" w:right="567"/>
        <w:rPr>
          <w:rFonts w:eastAsiaTheme="minorEastAsia" w:cs="Arial"/>
          <w:szCs w:val="18"/>
        </w:rPr>
      </w:pPr>
      <w:r w:rsidRPr="00EF65E9">
        <w:rPr>
          <w:rFonts w:eastAsiaTheme="minorEastAsia" w:cs="Arial"/>
          <w:szCs w:val="18"/>
        </w:rPr>
        <w:t>Subsection 3: Color: New Section: 5 “Factors to be considered for creating color groups”</w:t>
      </w:r>
    </w:p>
    <w:p w:rsidR="00CB2F7B" w:rsidRPr="00EF65E9" w:rsidRDefault="00CB2F7B" w:rsidP="00CB2F7B">
      <w:pPr>
        <w:ind w:left="567" w:right="567"/>
        <w:rPr>
          <w:rFonts w:eastAsiaTheme="minorEastAsia" w:cs="Arial"/>
        </w:rPr>
      </w:pPr>
    </w:p>
    <w:p w:rsidR="00CB2F7B" w:rsidRPr="00EF65E9" w:rsidRDefault="00CB2F7B" w:rsidP="00CB2F7B">
      <w:pPr>
        <w:ind w:left="567" w:right="567"/>
        <w:rPr>
          <w:rFonts w:eastAsiaTheme="minorEastAsia" w:cs="Arial"/>
        </w:rPr>
      </w:pPr>
      <w:r w:rsidRPr="00EF65E9">
        <w:rPr>
          <w:rFonts w:eastAsiaTheme="minorEastAsia" w:cs="Arial"/>
        </w:rPr>
        <w:t xml:space="preserve">“When using the color of a plant part for grouping of varieties, a very clear and large difference between the colors is required. However, the color groups are also used in the Technical Questionnaire for applicants who have no RHS </w:t>
      </w:r>
      <w:proofErr w:type="spellStart"/>
      <w:r w:rsidRPr="00EF65E9">
        <w:rPr>
          <w:rFonts w:eastAsiaTheme="minorEastAsia" w:cs="Arial"/>
        </w:rPr>
        <w:t>Colour</w:t>
      </w:r>
      <w:proofErr w:type="spellEnd"/>
      <w:r w:rsidRPr="00EF65E9">
        <w:rPr>
          <w:rFonts w:eastAsiaTheme="minorEastAsia" w:cs="Arial"/>
        </w:rPr>
        <w:t xml:space="preserve"> Chart. Therefore the groups need to be small enough so that applicants are able to give an adequate state of expression for the characteristic.</w:t>
      </w:r>
    </w:p>
    <w:p w:rsidR="00CB2F7B" w:rsidRPr="00EF65E9" w:rsidRDefault="00CB2F7B" w:rsidP="00CB2F7B">
      <w:pPr>
        <w:ind w:left="567" w:right="567"/>
        <w:rPr>
          <w:rFonts w:eastAsiaTheme="minorEastAsia" w:cs="Arial"/>
        </w:rPr>
      </w:pPr>
    </w:p>
    <w:p w:rsidR="00CB2F7B" w:rsidRPr="00EF65E9" w:rsidRDefault="00CB2F7B" w:rsidP="00CB2F7B">
      <w:pPr>
        <w:ind w:left="567" w:right="567"/>
        <w:rPr>
          <w:rFonts w:eastAsiaTheme="minorEastAsia" w:cs="Arial"/>
        </w:rPr>
      </w:pPr>
      <w:r w:rsidRPr="00EF65E9">
        <w:rPr>
          <w:rFonts w:eastAsiaTheme="minorEastAsia" w:cs="Arial"/>
        </w:rPr>
        <w:t>“The following factors have to be considered when creating color groups for grouping:</w:t>
      </w:r>
    </w:p>
    <w:p w:rsidR="00CB2F7B" w:rsidRPr="00EF65E9" w:rsidRDefault="00CB2F7B" w:rsidP="00CB2F7B">
      <w:pPr>
        <w:ind w:left="567" w:right="567"/>
        <w:rPr>
          <w:rFonts w:eastAsiaTheme="minorEastAsia" w:cs="Arial"/>
          <w:sz w:val="12"/>
        </w:rPr>
      </w:pPr>
    </w:p>
    <w:p w:rsidR="00CB2F7B" w:rsidRPr="00EF65E9" w:rsidRDefault="00CB2F7B" w:rsidP="00CB2F7B">
      <w:pPr>
        <w:numPr>
          <w:ilvl w:val="0"/>
          <w:numId w:val="8"/>
        </w:numPr>
        <w:ind w:left="1701" w:right="567" w:hanging="567"/>
        <w:contextualSpacing/>
        <w:rPr>
          <w:rFonts w:eastAsiaTheme="minorEastAsia" w:cs="Arial"/>
        </w:rPr>
      </w:pPr>
      <w:r w:rsidRPr="00EF65E9">
        <w:rPr>
          <w:rFonts w:eastAsiaTheme="minorEastAsia" w:cs="Arial"/>
        </w:rPr>
        <w:t>range of variation of the color of the plant part within the species</w:t>
      </w:r>
    </w:p>
    <w:p w:rsidR="00CB2F7B" w:rsidRPr="00EF65E9" w:rsidRDefault="00CB2F7B" w:rsidP="00CB2F7B">
      <w:pPr>
        <w:numPr>
          <w:ilvl w:val="0"/>
          <w:numId w:val="8"/>
        </w:numPr>
        <w:ind w:left="1701" w:right="567" w:hanging="567"/>
        <w:contextualSpacing/>
        <w:rPr>
          <w:rFonts w:eastAsiaTheme="minorEastAsia" w:cs="Arial"/>
        </w:rPr>
      </w:pPr>
      <w:r w:rsidRPr="00EF65E9">
        <w:rPr>
          <w:rFonts w:eastAsiaTheme="minorEastAsia" w:cs="Arial"/>
        </w:rPr>
        <w:t>difference between colors for varieties to be considered clearly distinguishable</w:t>
      </w:r>
    </w:p>
    <w:p w:rsidR="00CB2F7B" w:rsidRPr="00EF65E9" w:rsidRDefault="00CB2F7B" w:rsidP="00CB2F7B">
      <w:pPr>
        <w:numPr>
          <w:ilvl w:val="0"/>
          <w:numId w:val="8"/>
        </w:numPr>
        <w:ind w:left="1701" w:right="567" w:hanging="567"/>
        <w:contextualSpacing/>
        <w:rPr>
          <w:rFonts w:eastAsiaTheme="minorEastAsia" w:cs="Arial"/>
        </w:rPr>
      </w:pPr>
      <w:r w:rsidRPr="00EF65E9">
        <w:rPr>
          <w:rFonts w:eastAsiaTheme="minorEastAsia" w:cs="Arial"/>
        </w:rPr>
        <w:t>possible influence of the environment on the color of the plant part.</w:t>
      </w:r>
    </w:p>
    <w:p w:rsidR="00CB2F7B" w:rsidRPr="00EF65E9" w:rsidRDefault="00CB2F7B" w:rsidP="00CB2F7B">
      <w:pPr>
        <w:rPr>
          <w:rFonts w:eastAsiaTheme="minorEastAsia"/>
          <w:sz w:val="22"/>
        </w:rPr>
      </w:pPr>
    </w:p>
    <w:p w:rsidR="00CB2F7B" w:rsidRPr="00EF65E9" w:rsidRDefault="00CB2F7B" w:rsidP="00CB2F7B">
      <w:pPr>
        <w:ind w:left="567" w:right="567"/>
        <w:rPr>
          <w:rFonts w:eastAsiaTheme="minorEastAsia" w:cs="Arial"/>
        </w:rPr>
      </w:pPr>
      <w:r w:rsidRPr="00EF65E9">
        <w:rPr>
          <w:rFonts w:eastAsiaTheme="minorEastAsia" w:cs="Arial"/>
        </w:rPr>
        <w:t>“Depending on the species and the plant part observed the color groups for grouping can be different. Examples for color groups in grouping characteristics of different Test Guidelines are listed in the following table.</w:t>
      </w:r>
    </w:p>
    <w:p w:rsidR="00CB2F7B" w:rsidRPr="00EF65E9" w:rsidRDefault="00CB2F7B" w:rsidP="00CB2F7B">
      <w:pPr>
        <w:tabs>
          <w:tab w:val="left" w:pos="8556"/>
        </w:tabs>
        <w:rPr>
          <w:rFonts w:eastAsiaTheme="minorEastAsia" w:cs="Arial"/>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CB2F7B" w:rsidRPr="00EF65E9" w:rsidTr="003E1190">
        <w:trPr>
          <w:cantSplit/>
          <w:trHeight w:val="397"/>
          <w:jc w:val="center"/>
        </w:trPr>
        <w:tc>
          <w:tcPr>
            <w:tcW w:w="1508" w:type="dxa"/>
            <w:tcBorders>
              <w:top w:val="single" w:sz="4" w:space="0" w:color="auto"/>
              <w:left w:val="nil"/>
              <w:bottom w:val="single" w:sz="4" w:space="0" w:color="auto"/>
              <w:right w:val="single" w:sz="4" w:space="0" w:color="auto"/>
            </w:tcBorders>
          </w:tcPr>
          <w:p w:rsidR="00CB2F7B" w:rsidRPr="00EF65E9" w:rsidRDefault="00CB2F7B" w:rsidP="003E1190">
            <w:pPr>
              <w:keepNext/>
              <w:rPr>
                <w:sz w:val="18"/>
              </w:rPr>
            </w:pPr>
            <w:r w:rsidRPr="00EF65E9">
              <w:rPr>
                <w:sz w:val="18"/>
              </w:rPr>
              <w:t>Test Guidelines</w:t>
            </w:r>
          </w:p>
        </w:tc>
        <w:tc>
          <w:tcPr>
            <w:tcW w:w="1786" w:type="dxa"/>
            <w:tcBorders>
              <w:top w:val="single" w:sz="4" w:space="0" w:color="auto"/>
              <w:left w:val="single" w:sz="4" w:space="0" w:color="auto"/>
              <w:bottom w:val="single" w:sz="4" w:space="0" w:color="auto"/>
              <w:right w:val="single" w:sz="4" w:space="0" w:color="auto"/>
            </w:tcBorders>
            <w:hideMark/>
          </w:tcPr>
          <w:p w:rsidR="00CB2F7B" w:rsidRPr="00EF65E9" w:rsidRDefault="00CB2F7B" w:rsidP="003E1190">
            <w:pPr>
              <w:keepNext/>
              <w:rPr>
                <w:sz w:val="18"/>
              </w:rPr>
            </w:pPr>
            <w:r w:rsidRPr="00EF65E9">
              <w:rPr>
                <w:sz w:val="18"/>
              </w:rPr>
              <w:t>Campanula</w:t>
            </w:r>
            <w:r w:rsidRPr="00EF65E9">
              <w:rPr>
                <w:sz w:val="18"/>
              </w:rPr>
              <w:br/>
              <w:t>(TG/305/1)</w:t>
            </w:r>
          </w:p>
        </w:tc>
        <w:tc>
          <w:tcPr>
            <w:tcW w:w="2002" w:type="dxa"/>
            <w:tcBorders>
              <w:top w:val="single" w:sz="4" w:space="0" w:color="auto"/>
              <w:left w:val="single" w:sz="4" w:space="0" w:color="auto"/>
              <w:bottom w:val="single" w:sz="4" w:space="0" w:color="auto"/>
              <w:right w:val="single" w:sz="4" w:space="0" w:color="auto"/>
            </w:tcBorders>
            <w:hideMark/>
          </w:tcPr>
          <w:p w:rsidR="00CB2F7B" w:rsidRPr="00EF65E9" w:rsidRDefault="00CB2F7B" w:rsidP="003E1190">
            <w:pPr>
              <w:keepNext/>
              <w:rPr>
                <w:sz w:val="18"/>
              </w:rPr>
            </w:pPr>
            <w:proofErr w:type="spellStart"/>
            <w:r w:rsidRPr="00EF65E9">
              <w:rPr>
                <w:sz w:val="18"/>
              </w:rPr>
              <w:t>Hosta</w:t>
            </w:r>
            <w:proofErr w:type="spellEnd"/>
            <w:r w:rsidRPr="00EF65E9">
              <w:rPr>
                <w:sz w:val="18"/>
              </w:rPr>
              <w:br/>
              <w:t>(TG/299/1)</w:t>
            </w:r>
          </w:p>
        </w:tc>
        <w:tc>
          <w:tcPr>
            <w:tcW w:w="1741" w:type="dxa"/>
            <w:tcBorders>
              <w:top w:val="single" w:sz="4" w:space="0" w:color="auto"/>
              <w:left w:val="single" w:sz="4" w:space="0" w:color="auto"/>
              <w:bottom w:val="single" w:sz="4" w:space="0" w:color="auto"/>
              <w:right w:val="single" w:sz="4" w:space="0" w:color="auto"/>
            </w:tcBorders>
            <w:hideMark/>
          </w:tcPr>
          <w:p w:rsidR="00CB2F7B" w:rsidRPr="00EF65E9" w:rsidRDefault="00CB2F7B" w:rsidP="003E1190">
            <w:pPr>
              <w:keepNext/>
              <w:rPr>
                <w:sz w:val="18"/>
              </w:rPr>
            </w:pPr>
            <w:proofErr w:type="spellStart"/>
            <w:r w:rsidRPr="00EF65E9">
              <w:rPr>
                <w:sz w:val="18"/>
              </w:rPr>
              <w:t>Cordyline</w:t>
            </w:r>
            <w:proofErr w:type="spellEnd"/>
            <w:r w:rsidRPr="00EF65E9">
              <w:rPr>
                <w:sz w:val="18"/>
              </w:rPr>
              <w:br/>
              <w:t>(TG/317/1)</w:t>
            </w:r>
          </w:p>
        </w:tc>
        <w:tc>
          <w:tcPr>
            <w:tcW w:w="1701" w:type="dxa"/>
            <w:tcBorders>
              <w:top w:val="single" w:sz="4" w:space="0" w:color="auto"/>
              <w:left w:val="single" w:sz="4" w:space="0" w:color="auto"/>
              <w:bottom w:val="single" w:sz="4" w:space="0" w:color="auto"/>
            </w:tcBorders>
            <w:hideMark/>
          </w:tcPr>
          <w:p w:rsidR="00CB2F7B" w:rsidRPr="00EF65E9" w:rsidRDefault="00CB2F7B" w:rsidP="003E1190">
            <w:pPr>
              <w:keepNext/>
              <w:rPr>
                <w:sz w:val="18"/>
              </w:rPr>
            </w:pPr>
            <w:proofErr w:type="spellStart"/>
            <w:r w:rsidRPr="00EF65E9">
              <w:rPr>
                <w:sz w:val="18"/>
              </w:rPr>
              <w:t>Osteospermum</w:t>
            </w:r>
            <w:proofErr w:type="spellEnd"/>
            <w:r w:rsidRPr="00EF65E9">
              <w:rPr>
                <w:sz w:val="18"/>
              </w:rPr>
              <w:br/>
              <w:t>(TG/175/5)</w:t>
            </w:r>
          </w:p>
        </w:tc>
      </w:tr>
      <w:tr w:rsidR="00CB2F7B" w:rsidRPr="00EF65E9" w:rsidTr="003E1190">
        <w:trPr>
          <w:cantSplit/>
          <w:jc w:val="center"/>
        </w:trPr>
        <w:tc>
          <w:tcPr>
            <w:tcW w:w="1508" w:type="dxa"/>
            <w:tcBorders>
              <w:top w:val="nil"/>
              <w:left w:val="nil"/>
              <w:bottom w:val="single" w:sz="4" w:space="0" w:color="auto"/>
              <w:right w:val="single" w:sz="4" w:space="0" w:color="auto"/>
            </w:tcBorders>
          </w:tcPr>
          <w:p w:rsidR="00CB2F7B" w:rsidRPr="00EF65E9" w:rsidRDefault="00CB2F7B" w:rsidP="003E1190">
            <w:pPr>
              <w:keepNext/>
              <w:jc w:val="left"/>
              <w:rPr>
                <w:sz w:val="18"/>
              </w:rPr>
            </w:pPr>
            <w:r w:rsidRPr="00EF65E9">
              <w:rPr>
                <w:sz w:val="18"/>
              </w:rPr>
              <w:t>Characteristic</w:t>
            </w:r>
          </w:p>
        </w:tc>
        <w:tc>
          <w:tcPr>
            <w:tcW w:w="1786" w:type="dxa"/>
            <w:tcBorders>
              <w:top w:val="nil"/>
              <w:left w:val="single" w:sz="4" w:space="0" w:color="auto"/>
              <w:bottom w:val="single" w:sz="4" w:space="0" w:color="auto"/>
              <w:right w:val="single" w:sz="4" w:space="0" w:color="auto"/>
            </w:tcBorders>
            <w:hideMark/>
          </w:tcPr>
          <w:p w:rsidR="00CB2F7B" w:rsidRPr="00EF65E9" w:rsidRDefault="00CB2F7B" w:rsidP="003E1190">
            <w:pPr>
              <w:keepNext/>
              <w:jc w:val="left"/>
              <w:rPr>
                <w:sz w:val="18"/>
              </w:rPr>
            </w:pPr>
            <w:r w:rsidRPr="00EF65E9">
              <w:rPr>
                <w:sz w:val="18"/>
              </w:rPr>
              <w:t>Corolla: main color of inner side</w:t>
            </w:r>
          </w:p>
        </w:tc>
        <w:tc>
          <w:tcPr>
            <w:tcW w:w="2002" w:type="dxa"/>
            <w:tcBorders>
              <w:top w:val="nil"/>
              <w:left w:val="single" w:sz="4" w:space="0" w:color="auto"/>
              <w:bottom w:val="single" w:sz="4" w:space="0" w:color="auto"/>
              <w:right w:val="single" w:sz="4" w:space="0" w:color="auto"/>
            </w:tcBorders>
            <w:hideMark/>
          </w:tcPr>
          <w:p w:rsidR="00CB2F7B" w:rsidRPr="00EF65E9" w:rsidRDefault="00CB2F7B" w:rsidP="003E1190">
            <w:pPr>
              <w:keepNext/>
              <w:jc w:val="left"/>
              <w:rPr>
                <w:sz w:val="18"/>
              </w:rPr>
            </w:pPr>
            <w:r w:rsidRPr="00EF65E9">
              <w:rPr>
                <w:sz w:val="18"/>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CB2F7B" w:rsidRPr="00EF65E9" w:rsidRDefault="00CB2F7B" w:rsidP="003E1190">
            <w:pPr>
              <w:keepNext/>
              <w:jc w:val="left"/>
              <w:rPr>
                <w:sz w:val="18"/>
              </w:rPr>
            </w:pPr>
            <w:r w:rsidRPr="00EF65E9">
              <w:rPr>
                <w:sz w:val="18"/>
              </w:rPr>
              <w:t>Leaf: secondary color</w:t>
            </w:r>
          </w:p>
        </w:tc>
        <w:tc>
          <w:tcPr>
            <w:tcW w:w="1701" w:type="dxa"/>
            <w:tcBorders>
              <w:top w:val="nil"/>
              <w:left w:val="single" w:sz="4" w:space="0" w:color="auto"/>
              <w:bottom w:val="single" w:sz="4" w:space="0" w:color="auto"/>
            </w:tcBorders>
            <w:hideMark/>
          </w:tcPr>
          <w:p w:rsidR="00CB2F7B" w:rsidRPr="00EF65E9" w:rsidRDefault="00CB2F7B" w:rsidP="003E1190">
            <w:pPr>
              <w:keepNext/>
              <w:jc w:val="left"/>
              <w:rPr>
                <w:sz w:val="18"/>
              </w:rPr>
            </w:pPr>
            <w:r w:rsidRPr="00EF65E9">
              <w:rPr>
                <w:sz w:val="18"/>
              </w:rPr>
              <w:t>Ray floret: main color of middle part</w:t>
            </w:r>
          </w:p>
        </w:tc>
      </w:tr>
      <w:tr w:rsidR="00CB2F7B" w:rsidRPr="00EF65E9" w:rsidTr="003E1190">
        <w:trPr>
          <w:cantSplit/>
          <w:jc w:val="center"/>
        </w:trPr>
        <w:tc>
          <w:tcPr>
            <w:tcW w:w="1508" w:type="dxa"/>
            <w:vMerge w:val="restart"/>
            <w:tcBorders>
              <w:top w:val="nil"/>
              <w:left w:val="nil"/>
              <w:right w:val="single" w:sz="4" w:space="0" w:color="auto"/>
            </w:tcBorders>
            <w:hideMark/>
          </w:tcPr>
          <w:p w:rsidR="00CB2F7B" w:rsidRPr="00EF65E9" w:rsidRDefault="00CB2F7B" w:rsidP="003E1190">
            <w:pPr>
              <w:keepNext/>
              <w:rPr>
                <w:sz w:val="18"/>
              </w:rPr>
            </w:pPr>
            <w:r w:rsidRPr="00EF65E9">
              <w:rPr>
                <w:sz w:val="18"/>
              </w:rPr>
              <w:t>Color groups</w:t>
            </w:r>
          </w:p>
          <w:p w:rsidR="00CB2F7B" w:rsidRPr="00EF65E9" w:rsidRDefault="00CB2F7B" w:rsidP="003E1190">
            <w:pPr>
              <w:keepNext/>
              <w:rPr>
                <w:sz w:val="18"/>
              </w:rPr>
            </w:pPr>
            <w:r w:rsidRPr="00EF65E9">
              <w:rPr>
                <w:sz w:val="18"/>
              </w:rPr>
              <w:t>for grouping</w:t>
            </w:r>
          </w:p>
        </w:tc>
        <w:tc>
          <w:tcPr>
            <w:tcW w:w="1786"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white</w:t>
            </w: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white</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white</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white</w:t>
            </w:r>
          </w:p>
        </w:tc>
      </w:tr>
      <w:tr w:rsidR="00CB2F7B" w:rsidRPr="00EF65E9" w:rsidTr="003E1190">
        <w:trPr>
          <w:cantSplit/>
          <w:jc w:val="center"/>
        </w:trPr>
        <w:tc>
          <w:tcPr>
            <w:tcW w:w="1508" w:type="dxa"/>
            <w:vMerge/>
            <w:tcBorders>
              <w:left w:val="nil"/>
              <w:bottom w:val="nil"/>
              <w:right w:val="single" w:sz="4" w:space="0" w:color="auto"/>
            </w:tcBorders>
            <w:hideMark/>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pink</w:t>
            </w: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light yellow</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yellow</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yellow</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red purple</w:t>
            </w: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medium yellow</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green</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orange</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purple</w:t>
            </w: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dark yellow</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red</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pink</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blue</w:t>
            </w: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light green</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purple</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red</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tcPr>
          <w:p w:rsidR="00CB2F7B" w:rsidRPr="00EF65E9" w:rsidRDefault="00CB2F7B" w:rsidP="003E1190">
            <w:pPr>
              <w:keepNext/>
              <w:rPr>
                <w:sz w:val="18"/>
              </w:rPr>
            </w:pP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medium green</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brown</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purple</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keepNext/>
              <w:rPr>
                <w:sz w:val="18"/>
              </w:rPr>
            </w:pPr>
          </w:p>
        </w:tc>
        <w:tc>
          <w:tcPr>
            <w:tcW w:w="1786" w:type="dxa"/>
            <w:tcBorders>
              <w:top w:val="nil"/>
              <w:left w:val="single" w:sz="4" w:space="0" w:color="auto"/>
              <w:bottom w:val="nil"/>
              <w:right w:val="single" w:sz="4" w:space="0" w:color="auto"/>
            </w:tcBorders>
          </w:tcPr>
          <w:p w:rsidR="00CB2F7B" w:rsidRPr="00EF65E9" w:rsidRDefault="00CB2F7B" w:rsidP="003E1190">
            <w:pPr>
              <w:keepNext/>
              <w:rPr>
                <w:sz w:val="18"/>
              </w:rPr>
            </w:pPr>
          </w:p>
        </w:tc>
        <w:tc>
          <w:tcPr>
            <w:tcW w:w="2002"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dark green</w:t>
            </w:r>
          </w:p>
        </w:tc>
        <w:tc>
          <w:tcPr>
            <w:tcW w:w="1741" w:type="dxa"/>
            <w:tcBorders>
              <w:top w:val="nil"/>
              <w:left w:val="single" w:sz="4" w:space="0" w:color="auto"/>
              <w:bottom w:val="nil"/>
              <w:right w:val="single" w:sz="4" w:space="0" w:color="auto"/>
            </w:tcBorders>
            <w:hideMark/>
          </w:tcPr>
          <w:p w:rsidR="00CB2F7B" w:rsidRPr="00EF65E9" w:rsidRDefault="00CB2F7B" w:rsidP="003E1190">
            <w:pPr>
              <w:keepNext/>
              <w:rPr>
                <w:sz w:val="18"/>
              </w:rPr>
            </w:pPr>
            <w:r w:rsidRPr="00EF65E9">
              <w:rPr>
                <w:sz w:val="18"/>
              </w:rPr>
              <w:t>blackish</w:t>
            </w:r>
          </w:p>
        </w:tc>
        <w:tc>
          <w:tcPr>
            <w:tcW w:w="1701" w:type="dxa"/>
            <w:tcBorders>
              <w:top w:val="nil"/>
              <w:left w:val="single" w:sz="4" w:space="0" w:color="auto"/>
              <w:bottom w:val="nil"/>
            </w:tcBorders>
            <w:hideMark/>
          </w:tcPr>
          <w:p w:rsidR="00CB2F7B" w:rsidRPr="00EF65E9" w:rsidRDefault="00CB2F7B" w:rsidP="003E1190">
            <w:pPr>
              <w:keepNext/>
              <w:rPr>
                <w:sz w:val="18"/>
              </w:rPr>
            </w:pPr>
            <w:r w:rsidRPr="00EF65E9">
              <w:rPr>
                <w:sz w:val="18"/>
              </w:rPr>
              <w:t>violet</w:t>
            </w:r>
          </w:p>
        </w:tc>
      </w:tr>
      <w:tr w:rsidR="00CB2F7B" w:rsidRPr="00EF65E9" w:rsidTr="003E1190">
        <w:trPr>
          <w:cantSplit/>
          <w:jc w:val="center"/>
        </w:trPr>
        <w:tc>
          <w:tcPr>
            <w:tcW w:w="1508" w:type="dxa"/>
            <w:tcBorders>
              <w:top w:val="nil"/>
              <w:left w:val="nil"/>
              <w:bottom w:val="nil"/>
              <w:right w:val="single" w:sz="4" w:space="0" w:color="auto"/>
            </w:tcBorders>
          </w:tcPr>
          <w:p w:rsidR="00CB2F7B" w:rsidRPr="00EF65E9" w:rsidRDefault="00CB2F7B" w:rsidP="003E1190">
            <w:pPr>
              <w:rPr>
                <w:sz w:val="18"/>
              </w:rPr>
            </w:pPr>
          </w:p>
        </w:tc>
        <w:tc>
          <w:tcPr>
            <w:tcW w:w="1786" w:type="dxa"/>
            <w:tcBorders>
              <w:top w:val="nil"/>
              <w:left w:val="single" w:sz="4" w:space="0" w:color="auto"/>
              <w:bottom w:val="nil"/>
              <w:right w:val="single" w:sz="4" w:space="0" w:color="auto"/>
            </w:tcBorders>
          </w:tcPr>
          <w:p w:rsidR="00CB2F7B" w:rsidRPr="00EF65E9" w:rsidRDefault="00CB2F7B" w:rsidP="003E1190">
            <w:pPr>
              <w:rPr>
                <w:sz w:val="18"/>
              </w:rPr>
            </w:pPr>
          </w:p>
        </w:tc>
        <w:tc>
          <w:tcPr>
            <w:tcW w:w="2002" w:type="dxa"/>
            <w:tcBorders>
              <w:top w:val="nil"/>
              <w:left w:val="single" w:sz="4" w:space="0" w:color="auto"/>
              <w:bottom w:val="nil"/>
              <w:right w:val="single" w:sz="4" w:space="0" w:color="auto"/>
            </w:tcBorders>
            <w:hideMark/>
          </w:tcPr>
          <w:p w:rsidR="00CB2F7B" w:rsidRPr="00EF65E9" w:rsidRDefault="00CB2F7B" w:rsidP="003E1190">
            <w:pPr>
              <w:rPr>
                <w:sz w:val="18"/>
              </w:rPr>
            </w:pPr>
            <w:r w:rsidRPr="00EF65E9">
              <w:rPr>
                <w:sz w:val="18"/>
              </w:rPr>
              <w:t>blue green</w:t>
            </w:r>
          </w:p>
        </w:tc>
        <w:tc>
          <w:tcPr>
            <w:tcW w:w="1741" w:type="dxa"/>
            <w:tcBorders>
              <w:top w:val="nil"/>
              <w:left w:val="single" w:sz="4" w:space="0" w:color="auto"/>
              <w:bottom w:val="nil"/>
              <w:right w:val="single" w:sz="4" w:space="0" w:color="auto"/>
            </w:tcBorders>
          </w:tcPr>
          <w:p w:rsidR="00CB2F7B" w:rsidRPr="00EF65E9" w:rsidRDefault="00CB2F7B" w:rsidP="003E1190">
            <w:pPr>
              <w:rPr>
                <w:sz w:val="18"/>
              </w:rPr>
            </w:pPr>
          </w:p>
        </w:tc>
        <w:tc>
          <w:tcPr>
            <w:tcW w:w="1701" w:type="dxa"/>
            <w:tcBorders>
              <w:top w:val="nil"/>
              <w:left w:val="single" w:sz="4" w:space="0" w:color="auto"/>
              <w:bottom w:val="nil"/>
            </w:tcBorders>
          </w:tcPr>
          <w:p w:rsidR="00CB2F7B" w:rsidRPr="00EF65E9" w:rsidRDefault="00CB2F7B" w:rsidP="003E1190">
            <w:pPr>
              <w:rPr>
                <w:sz w:val="18"/>
              </w:rPr>
            </w:pPr>
          </w:p>
        </w:tc>
      </w:tr>
    </w:tbl>
    <w:p w:rsidR="00CB2F7B" w:rsidRPr="00EF65E9" w:rsidRDefault="00CB2F7B" w:rsidP="00CB2F7B">
      <w:pPr>
        <w:rPr>
          <w:rFonts w:eastAsiaTheme="minorEastAsia" w:cs="Arial"/>
        </w:rPr>
      </w:pPr>
    </w:p>
    <w:p w:rsidR="00CB2F7B" w:rsidRPr="00EF65E9" w:rsidRDefault="00CB2F7B" w:rsidP="00CB2F7B">
      <w:pPr>
        <w:keepLines/>
        <w:ind w:left="567" w:right="567"/>
        <w:rPr>
          <w:rFonts w:eastAsiaTheme="minorEastAsia" w:cs="Arial"/>
        </w:rPr>
      </w:pPr>
      <w:r w:rsidRPr="00EF65E9">
        <w:rPr>
          <w:rFonts w:eastAsiaTheme="minorEastAsia" w:cs="Arial"/>
        </w:rPr>
        <w:t xml:space="preserve">“It should be emphasized that not all groups are necessarily clearly distinct from each other when information is used that does not come from the same source (same location, same observer) and cannot always be used to exclude varieties from the trial.  E.g. in </w:t>
      </w:r>
      <w:proofErr w:type="spellStart"/>
      <w:r w:rsidRPr="00EF65E9">
        <w:rPr>
          <w:rFonts w:eastAsiaTheme="minorEastAsia" w:cs="Arial"/>
        </w:rPr>
        <w:t>Cordyline</w:t>
      </w:r>
      <w:proofErr w:type="spellEnd"/>
      <w:r w:rsidRPr="00EF65E9">
        <w:rPr>
          <w:rFonts w:eastAsiaTheme="minorEastAsia" w:cs="Arial"/>
        </w:rPr>
        <w:t xml:space="preserve"> for the characteristic ‘Leaf: secondary color’ it might not be possible to clearly distinguish between ‘brown’ and ‘blackish’ when looking at photos on the internet or in a plant catalogue.”</w:t>
      </w:r>
    </w:p>
    <w:p w:rsidR="00CB2F7B" w:rsidRPr="00273B07" w:rsidRDefault="00CB2F7B" w:rsidP="00CB2F7B">
      <w:pPr>
        <w:jc w:val="left"/>
      </w:pPr>
    </w:p>
    <w:p w:rsidR="00273B07" w:rsidRPr="00273B07" w:rsidRDefault="00273B07" w:rsidP="00273B07">
      <w:pPr>
        <w:jc w:val="left"/>
      </w:pPr>
    </w:p>
    <w:p w:rsidR="00273B07" w:rsidRPr="00273B07" w:rsidRDefault="00273B07" w:rsidP="00273B07">
      <w:pPr>
        <w:jc w:val="left"/>
      </w:pPr>
    </w:p>
    <w:p w:rsidR="00273B07" w:rsidRPr="00273B07" w:rsidRDefault="00273B07" w:rsidP="00273B07">
      <w:pPr>
        <w:jc w:val="right"/>
      </w:pPr>
      <w:r w:rsidRPr="00273B07">
        <w:t xml:space="preserve">[Annex V </w:t>
      </w:r>
      <w:r w:rsidRPr="003B033C">
        <w:t>follows</w:t>
      </w:r>
      <w:r w:rsidRPr="00273B07">
        <w:t>]</w:t>
      </w:r>
    </w:p>
    <w:p w:rsidR="00273B07" w:rsidRPr="00273B07" w:rsidRDefault="00273B07" w:rsidP="00273B07">
      <w:pPr>
        <w:jc w:val="left"/>
      </w:pPr>
    </w:p>
    <w:p w:rsidR="00273B07" w:rsidRPr="00273B07" w:rsidRDefault="00273B07" w:rsidP="00273B07">
      <w:pPr>
        <w:jc w:val="left"/>
        <w:sectPr w:rsidR="00273B07" w:rsidRPr="00273B07" w:rsidSect="00273B07">
          <w:headerReference w:type="default" r:id="rId30"/>
          <w:headerReference w:type="first" r:id="rId31"/>
          <w:footnotePr>
            <w:numRestart w:val="eachSect"/>
          </w:footnotePr>
          <w:pgSz w:w="11907" w:h="16840" w:code="9"/>
          <w:pgMar w:top="510" w:right="1134" w:bottom="709" w:left="1134" w:header="510" w:footer="680" w:gutter="0"/>
          <w:pgNumType w:start="1"/>
          <w:cols w:space="720"/>
          <w:titlePg/>
        </w:sectPr>
      </w:pPr>
    </w:p>
    <w:p w:rsidR="00CB2F7B" w:rsidRPr="002E1B40" w:rsidRDefault="00A8721B" w:rsidP="00CB2F7B">
      <w:pPr>
        <w:jc w:val="center"/>
        <w:rPr>
          <w:caps/>
        </w:rPr>
      </w:pPr>
      <w:r>
        <w:rPr>
          <w:caps/>
        </w:rPr>
        <w:lastRenderedPageBreak/>
        <w:t>REVISIONS TO</w:t>
      </w:r>
      <w:r w:rsidR="00CB2F7B">
        <w:rPr>
          <w:caps/>
        </w:rPr>
        <w:t xml:space="preserve"> document TGP/15</w:t>
      </w:r>
      <w:r w:rsidR="00CB2F7B" w:rsidRPr="002E1B40">
        <w:rPr>
          <w:caps/>
        </w:rPr>
        <w:t xml:space="preserve"> “</w:t>
      </w:r>
      <w:r w:rsidR="00CB2F7B" w:rsidRPr="00E23559">
        <w:rPr>
          <w:caps/>
        </w:rPr>
        <w:t>Guidance on the Use of Biochemical and Molecular Markers in the Examination of Distinctness, Uniformity and Stability (DUS)”</w:t>
      </w:r>
      <w:r w:rsidR="00CB2F7B" w:rsidRPr="002E1B40">
        <w:rPr>
          <w:caps/>
        </w:rPr>
        <w:t xml:space="preserve"> </w:t>
      </w:r>
    </w:p>
    <w:p w:rsidR="00CB2F7B" w:rsidRDefault="00CB2F7B" w:rsidP="00CB2F7B">
      <w:pPr>
        <w:jc w:val="center"/>
      </w:pPr>
      <w:r>
        <w:t>AGREED BY THE TECHNICAL COMMITTEE AT ITS FIFTY-FOURTH SESSION</w:t>
      </w:r>
      <w:r>
        <w:rPr>
          <w:rStyle w:val="FootnoteReference"/>
        </w:rPr>
        <w:footnoteReference w:id="23"/>
      </w:r>
    </w:p>
    <w:p w:rsidR="00CB2F7B" w:rsidRPr="00273B07" w:rsidRDefault="00CB2F7B" w:rsidP="00CB2F7B"/>
    <w:p w:rsidR="00CB2F7B" w:rsidRDefault="00CB2F7B" w:rsidP="00CB2F7B"/>
    <w:p w:rsidR="00CB2F7B" w:rsidRPr="0099568D" w:rsidRDefault="00CB2F7B" w:rsidP="00CB2F7B">
      <w:pPr>
        <w:rPr>
          <w:u w:val="single"/>
        </w:rPr>
      </w:pPr>
      <w:r w:rsidRPr="0099568D">
        <w:rPr>
          <w:u w:val="single"/>
        </w:rPr>
        <w:t>Revision of model 1: new text on reliability of the link between the gene and the expression of the characteristic</w:t>
      </w:r>
    </w:p>
    <w:p w:rsidR="00CB2F7B" w:rsidRDefault="00CB2F7B" w:rsidP="00CB2F7B"/>
    <w:p w:rsidR="00CB2F7B" w:rsidRDefault="00CB2F7B" w:rsidP="00CB2F7B">
      <w:r>
        <w:t>Following the agreed proposals by the TC, at its fifty-fourth session, the following sentences are proposed for inclusion in document TGP/15:</w:t>
      </w:r>
    </w:p>
    <w:p w:rsidR="00CB2F7B" w:rsidRDefault="00CB2F7B" w:rsidP="00CB2F7B"/>
    <w:p w:rsidR="00CB2F7B" w:rsidRPr="00A25E6C" w:rsidRDefault="00CB2F7B" w:rsidP="00CB2F7B">
      <w:pPr>
        <w:tabs>
          <w:tab w:val="left" w:pos="1276"/>
        </w:tabs>
        <w:ind w:left="567" w:right="567"/>
        <w:rPr>
          <w:rFonts w:cs="Arial"/>
        </w:rPr>
      </w:pPr>
      <w:r>
        <w:t>“</w:t>
      </w:r>
      <w:r w:rsidRPr="00A25E6C">
        <w:rPr>
          <w:rFonts w:cs="Arial"/>
        </w:rPr>
        <w:t>2.1.2</w:t>
      </w:r>
      <w:r w:rsidRPr="00A25E6C">
        <w:rPr>
          <w:rFonts w:cs="Arial"/>
        </w:rPr>
        <w:tab/>
        <w:t>It is a matter for the relevant authority to consider if the assumptions are met when applying the model and example, as presented in Annex I of this document.</w:t>
      </w:r>
    </w:p>
    <w:p w:rsidR="00CB2F7B" w:rsidRPr="00A25E6C" w:rsidRDefault="00CB2F7B" w:rsidP="00CB2F7B">
      <w:pPr>
        <w:tabs>
          <w:tab w:val="left" w:pos="1276"/>
        </w:tabs>
        <w:ind w:left="567" w:right="567"/>
        <w:rPr>
          <w:rFonts w:cs="Arial"/>
        </w:rPr>
      </w:pPr>
    </w:p>
    <w:p w:rsidR="00CB2F7B" w:rsidRPr="006E0086" w:rsidRDefault="00CB2F7B" w:rsidP="00CB2F7B">
      <w:pPr>
        <w:tabs>
          <w:tab w:val="left" w:pos="1276"/>
        </w:tabs>
        <w:ind w:left="567" w:right="567"/>
        <w:rPr>
          <w:rFonts w:cs="Arial"/>
        </w:rPr>
      </w:pPr>
      <w:r>
        <w:rPr>
          <w:rFonts w:cs="Arial"/>
        </w:rPr>
        <w:t>“</w:t>
      </w:r>
      <w:r w:rsidRPr="00A25E6C">
        <w:rPr>
          <w:rFonts w:cs="Arial"/>
        </w:rPr>
        <w:t>2.1.3</w:t>
      </w:r>
      <w:r w:rsidRPr="00A25E6C">
        <w:rPr>
          <w:rFonts w:cs="Arial"/>
        </w:rPr>
        <w:tab/>
      </w:r>
      <w:r w:rsidRPr="00A25E6C">
        <w:t>In order to include a method based on the model in Annex I of this document in Test Guidelines the relevant Technical Working Party and the TC would need to agree that the requirement for reliability of the link between the gene and the expression of the characteristic was satisfied</w:t>
      </w:r>
      <w:r w:rsidRPr="00A25E6C">
        <w:rPr>
          <w:rFonts w:cs="Arial"/>
        </w:rPr>
        <w:t>.</w:t>
      </w:r>
      <w:r>
        <w:t>”</w:t>
      </w:r>
    </w:p>
    <w:p w:rsidR="00CB2F7B" w:rsidRPr="00273B07" w:rsidRDefault="00CB2F7B" w:rsidP="00CB2F7B"/>
    <w:p w:rsidR="00CB2F7B" w:rsidRPr="00273B07" w:rsidRDefault="00CB2F7B" w:rsidP="00CB2F7B">
      <w:pPr>
        <w:jc w:val="left"/>
      </w:pPr>
    </w:p>
    <w:p w:rsidR="00CB2F7B" w:rsidRPr="00273B07" w:rsidRDefault="00CB2F7B" w:rsidP="00CB2F7B">
      <w:pPr>
        <w:rPr>
          <w:u w:val="single"/>
        </w:rPr>
      </w:pPr>
      <w:r w:rsidRPr="00273B07">
        <w:rPr>
          <w:u w:val="single"/>
        </w:rPr>
        <w:t>New model: “</w:t>
      </w:r>
      <w:r w:rsidRPr="00273B07">
        <w:rPr>
          <w:rFonts w:cs="Arial"/>
          <w:iCs/>
          <w:u w:val="single"/>
        </w:rPr>
        <w:t>Genetic selection of similar varieties for the first growing cycle”</w:t>
      </w:r>
    </w:p>
    <w:p w:rsidR="00CB2F7B" w:rsidRPr="00273B07" w:rsidRDefault="00CB2F7B" w:rsidP="00CB2F7B"/>
    <w:p w:rsidR="00CB2F7B" w:rsidRPr="00273B07" w:rsidRDefault="00CB2F7B" w:rsidP="00CB2F7B">
      <w:r w:rsidRPr="00273B07">
        <w:t xml:space="preserve">The TC, at its fifty-fourth session, agreed with the inclusion of a new model in document TGP/15, as follows (see document </w:t>
      </w:r>
      <w:r w:rsidR="00C50128">
        <w:t>TC/54/31 Corr.</w:t>
      </w:r>
      <w:r w:rsidRPr="00273B07">
        <w:t xml:space="preserve"> “Report”, paragraphs 290 and 291):</w:t>
      </w:r>
    </w:p>
    <w:p w:rsidR="00CB2F7B" w:rsidRPr="00273B07" w:rsidRDefault="00CB2F7B" w:rsidP="00CB2F7B"/>
    <w:p w:rsidR="00CB2F7B" w:rsidRPr="00273B07" w:rsidRDefault="00CB2F7B" w:rsidP="00CB2F7B">
      <w:pPr>
        <w:ind w:left="567" w:right="567"/>
        <w:rPr>
          <w:i/>
        </w:rPr>
      </w:pPr>
      <w:r w:rsidRPr="00273B07">
        <w:rPr>
          <w:i/>
        </w:rPr>
        <w:t>New Section 2.3 “Genetic Selection of Similar Varieties for the First Growing Cycle”</w:t>
      </w:r>
    </w:p>
    <w:p w:rsidR="00CB2F7B" w:rsidRPr="00273B07" w:rsidRDefault="00CB2F7B" w:rsidP="00CB2F7B">
      <w:pPr>
        <w:ind w:left="567" w:right="567"/>
      </w:pPr>
    </w:p>
    <w:p w:rsidR="00CB2F7B" w:rsidRPr="00273B07" w:rsidRDefault="00CB2F7B" w:rsidP="00CB2F7B">
      <w:pPr>
        <w:ind w:left="567" w:right="567"/>
      </w:pPr>
      <w:r w:rsidRPr="00273B07">
        <w:t>2.3</w:t>
      </w:r>
      <w:r w:rsidRPr="00273B07">
        <w:tab/>
        <w:t>Genetic Selection of Similar Varieties for the First Growing Cycle (see Annex III)</w:t>
      </w:r>
    </w:p>
    <w:p w:rsidR="00CB2F7B" w:rsidRPr="00273B07" w:rsidRDefault="00CB2F7B" w:rsidP="00CB2F7B">
      <w:pPr>
        <w:ind w:left="567" w:right="567"/>
      </w:pPr>
    </w:p>
    <w:p w:rsidR="00CB2F7B" w:rsidRPr="00273B07" w:rsidRDefault="00CB2F7B" w:rsidP="00CB2F7B">
      <w:pPr>
        <w:ind w:left="567" w:right="567"/>
      </w:pPr>
      <w:r w:rsidRPr="00273B07">
        <w:t xml:space="preserve">2.3.1 </w:t>
      </w:r>
      <w:r w:rsidRPr="00273B07">
        <w:tab/>
        <w:t>This approach involves a step to check for genetic similarity before the first growing cycle.</w:t>
      </w:r>
    </w:p>
    <w:p w:rsidR="00CB2F7B" w:rsidRPr="00273B07" w:rsidRDefault="00CB2F7B" w:rsidP="00CB2F7B">
      <w:pPr>
        <w:ind w:left="567" w:right="567"/>
      </w:pPr>
    </w:p>
    <w:p w:rsidR="00CB2F7B" w:rsidRPr="00273B07" w:rsidRDefault="00CB2F7B" w:rsidP="00CB2F7B">
      <w:pPr>
        <w:ind w:left="567" w:right="567"/>
      </w:pPr>
      <w:r w:rsidRPr="00273B07">
        <w:t>2.3.2</w:t>
      </w:r>
      <w:r w:rsidRPr="00273B07">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CB2F7B" w:rsidRPr="00273B07" w:rsidRDefault="00CB2F7B" w:rsidP="00CB2F7B">
      <w:pPr>
        <w:ind w:left="567" w:right="567"/>
      </w:pPr>
      <w:r w:rsidRPr="00273B07">
        <w:t xml:space="preserve"> </w:t>
      </w:r>
    </w:p>
    <w:p w:rsidR="00CB2F7B" w:rsidRPr="00273B07" w:rsidRDefault="00CB2F7B" w:rsidP="00CB2F7B">
      <w:pPr>
        <w:ind w:left="567" w:right="567"/>
      </w:pPr>
      <w:r w:rsidRPr="00273B07">
        <w:t>2.3.3</w:t>
      </w:r>
      <w:r w:rsidRPr="00273B07">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CB2F7B" w:rsidRPr="00273B07" w:rsidRDefault="00CB2F7B" w:rsidP="00CB2F7B">
      <w:pPr>
        <w:ind w:left="567" w:right="567"/>
      </w:pPr>
    </w:p>
    <w:p w:rsidR="00CB2F7B" w:rsidRPr="00273B07" w:rsidRDefault="00CB2F7B" w:rsidP="00CB2F7B">
      <w:pPr>
        <w:ind w:left="567" w:right="567"/>
      </w:pPr>
      <w:r w:rsidRPr="00273B07">
        <w:t>2.3.4</w:t>
      </w:r>
      <w:r w:rsidRPr="00273B07">
        <w:tab/>
        <w:t>Annex III to this document “Genetic Selection of Similar Varieties for the First Growing Cycle” provides an example of the genetic selection of similar varieties for the first growing cycle.</w:t>
      </w:r>
    </w:p>
    <w:p w:rsidR="00CB2F7B" w:rsidRPr="00273B07" w:rsidRDefault="00CB2F7B" w:rsidP="00CB2F7B">
      <w:pPr>
        <w:ind w:left="567" w:right="567"/>
      </w:pPr>
    </w:p>
    <w:p w:rsidR="00CB2F7B" w:rsidRPr="00273B07" w:rsidRDefault="00CB2F7B" w:rsidP="00CB2F7B">
      <w:pPr>
        <w:ind w:left="567" w:right="567"/>
        <w:rPr>
          <w:i/>
        </w:rPr>
      </w:pPr>
      <w:r w:rsidRPr="00273B07">
        <w:rPr>
          <w:i/>
        </w:rPr>
        <w:t>Annex III “Model: Genetic Selection of Similar Varieties for the First Growing Cycle”</w:t>
      </w:r>
    </w:p>
    <w:p w:rsidR="00CB2F7B" w:rsidRPr="00273B07" w:rsidRDefault="00CB2F7B" w:rsidP="00CB2F7B">
      <w:pPr>
        <w:ind w:left="567" w:right="567"/>
        <w:jc w:val="center"/>
        <w:rPr>
          <w:snapToGrid w:val="0"/>
          <w:color w:val="000000"/>
        </w:rPr>
      </w:pPr>
    </w:p>
    <w:p w:rsidR="00CB2F7B" w:rsidRPr="00273B07" w:rsidRDefault="00CB2F7B" w:rsidP="00CB2F7B">
      <w:pPr>
        <w:ind w:left="567" w:right="567"/>
        <w:jc w:val="left"/>
        <w:rPr>
          <w:i/>
        </w:rPr>
      </w:pPr>
      <w:r w:rsidRPr="00273B07">
        <w:t>Example:  French Bean (prepared by an expert from the Netherlands)</w:t>
      </w:r>
    </w:p>
    <w:p w:rsidR="00CB2F7B" w:rsidRPr="00273B07" w:rsidRDefault="00CB2F7B" w:rsidP="00CB2F7B">
      <w:pPr>
        <w:ind w:left="567" w:right="567"/>
        <w:jc w:val="center"/>
        <w:rPr>
          <w:rFonts w:cs="Arial"/>
          <w:i/>
        </w:rPr>
      </w:pPr>
    </w:p>
    <w:p w:rsidR="00CB2F7B" w:rsidRPr="00273B07" w:rsidRDefault="00CB2F7B" w:rsidP="00CB2F7B">
      <w:pPr>
        <w:ind w:left="567" w:right="567"/>
      </w:pPr>
      <w:r w:rsidRPr="00273B07">
        <w:t>1.</w:t>
      </w:r>
      <w:r w:rsidRPr="00273B07">
        <w:tab/>
        <w:t>Introduction</w:t>
      </w:r>
    </w:p>
    <w:p w:rsidR="00CB2F7B" w:rsidRPr="00273B07" w:rsidRDefault="00CB2F7B" w:rsidP="00CB2F7B">
      <w:pPr>
        <w:ind w:left="567" w:right="567"/>
      </w:pPr>
    </w:p>
    <w:p w:rsidR="00CB2F7B" w:rsidRPr="00273B07" w:rsidRDefault="00CB2F7B" w:rsidP="00CB2F7B">
      <w:pPr>
        <w:ind w:left="567" w:right="567"/>
      </w:pPr>
      <w:r w:rsidRPr="00273B07">
        <w:t xml:space="preserve">1.1 </w:t>
      </w:r>
      <w:r w:rsidRPr="00273B07">
        <w:tab/>
        <w:t xml:space="preserve">This approach involves a step to check for genetic similarity before the first growing cycle.  </w:t>
      </w:r>
    </w:p>
    <w:p w:rsidR="00CB2F7B" w:rsidRPr="00273B07" w:rsidRDefault="00CB2F7B" w:rsidP="00CB2F7B">
      <w:pPr>
        <w:ind w:left="567" w:right="567"/>
      </w:pPr>
    </w:p>
    <w:p w:rsidR="00CB2F7B" w:rsidRPr="00273B07" w:rsidRDefault="00CB2F7B" w:rsidP="00CB2F7B">
      <w:pPr>
        <w:ind w:left="567" w:right="567"/>
      </w:pPr>
      <w:r w:rsidRPr="00273B07">
        <w:t>1.2</w:t>
      </w:r>
      <w:r w:rsidRPr="00273B07">
        <w:tab/>
        <w:t xml:space="preserve">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  </w:t>
      </w:r>
    </w:p>
    <w:p w:rsidR="00CB2F7B" w:rsidRPr="00273B07" w:rsidRDefault="00CB2F7B" w:rsidP="00CB2F7B">
      <w:pPr>
        <w:ind w:left="567" w:right="567"/>
      </w:pPr>
    </w:p>
    <w:p w:rsidR="00CB2F7B" w:rsidRPr="00273B07" w:rsidRDefault="00CB2F7B" w:rsidP="00CB2F7B">
      <w:pPr>
        <w:ind w:left="567" w:right="567"/>
      </w:pPr>
      <w:r w:rsidRPr="00273B07">
        <w:lastRenderedPageBreak/>
        <w:t>1.3</w:t>
      </w:r>
      <w:r w:rsidRPr="00273B07">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CB2F7B" w:rsidRPr="00273B07" w:rsidRDefault="00CB2F7B" w:rsidP="00CB2F7B">
      <w:pPr>
        <w:ind w:left="567" w:right="567"/>
      </w:pPr>
    </w:p>
    <w:p w:rsidR="00CB2F7B" w:rsidRPr="00273B07" w:rsidRDefault="00CB2F7B" w:rsidP="00CB2F7B">
      <w:pPr>
        <w:ind w:left="567" w:right="567"/>
      </w:pPr>
      <w:r w:rsidRPr="00273B07">
        <w:t>2.</w:t>
      </w:r>
      <w:r w:rsidRPr="00273B07">
        <w:tab/>
        <w:t>Procedure</w:t>
      </w:r>
    </w:p>
    <w:p w:rsidR="00CB2F7B" w:rsidRPr="00273B07" w:rsidRDefault="00CB2F7B" w:rsidP="00CB2F7B">
      <w:pPr>
        <w:keepNext/>
        <w:ind w:left="567" w:right="567"/>
        <w:outlineLvl w:val="2"/>
        <w:rPr>
          <w:rFonts w:eastAsia="MS Mincho"/>
          <w:i/>
        </w:rPr>
      </w:pPr>
      <w:r w:rsidRPr="00273B07">
        <w:rPr>
          <w:rFonts w:eastAsia="MS Mincho"/>
          <w:i/>
        </w:rPr>
        <w:t xml:space="preserve"> </w:t>
      </w:r>
    </w:p>
    <w:p w:rsidR="00CB2F7B" w:rsidRPr="00273B07" w:rsidRDefault="00CB2F7B" w:rsidP="00CB2F7B">
      <w:pPr>
        <w:ind w:left="567" w:right="567"/>
        <w:rPr>
          <w:i/>
        </w:rPr>
      </w:pPr>
      <w:r w:rsidRPr="00273B07">
        <w:rPr>
          <w:i/>
        </w:rPr>
        <w:t>Determine genetic similarity</w:t>
      </w:r>
    </w:p>
    <w:p w:rsidR="00CB2F7B" w:rsidRPr="00273B07" w:rsidRDefault="00CB2F7B" w:rsidP="00CB2F7B">
      <w:pPr>
        <w:ind w:left="567" w:right="567"/>
      </w:pPr>
    </w:p>
    <w:p w:rsidR="00CB2F7B" w:rsidRPr="00273B07" w:rsidRDefault="00CB2F7B" w:rsidP="00CB2F7B">
      <w:pPr>
        <w:ind w:left="567" w:right="567"/>
      </w:pPr>
      <w:r w:rsidRPr="00273B07">
        <w:t>2.1</w:t>
      </w:r>
      <w:r w:rsidRPr="00273B07">
        <w:tab/>
        <w:t>The DNA-profile of the candidate variety is produced as soon as plant material is received.</w:t>
      </w:r>
    </w:p>
    <w:p w:rsidR="00CB2F7B" w:rsidRPr="00273B07" w:rsidRDefault="00CB2F7B" w:rsidP="00CB2F7B">
      <w:pPr>
        <w:ind w:left="567" w:right="567"/>
      </w:pPr>
    </w:p>
    <w:p w:rsidR="00CB2F7B" w:rsidRPr="00273B07" w:rsidRDefault="00CB2F7B" w:rsidP="00CB2F7B">
      <w:pPr>
        <w:ind w:left="567" w:right="567"/>
      </w:pPr>
      <w:r w:rsidRPr="00273B07">
        <w:t>2.2</w:t>
      </w:r>
      <w:r w:rsidRPr="00273B07">
        <w:tab/>
        <w:t xml:space="preserve">The DNA-profile is compared with the profiles of all varieties in the variety collection and genetically similar varieties are identified. </w:t>
      </w:r>
    </w:p>
    <w:p w:rsidR="00CB2F7B" w:rsidRPr="00273B07" w:rsidRDefault="00CB2F7B" w:rsidP="00CB2F7B">
      <w:pPr>
        <w:ind w:left="567" w:right="567"/>
      </w:pPr>
    </w:p>
    <w:p w:rsidR="00CB2F7B" w:rsidRPr="00273B07" w:rsidRDefault="00CB2F7B" w:rsidP="00CB2F7B">
      <w:pPr>
        <w:ind w:left="567" w:right="567"/>
        <w:rPr>
          <w:i/>
        </w:rPr>
      </w:pPr>
      <w:r w:rsidRPr="00273B07">
        <w:rPr>
          <w:i/>
        </w:rPr>
        <w:t>Technical Questionnaire information</w:t>
      </w:r>
    </w:p>
    <w:p w:rsidR="00CB2F7B" w:rsidRPr="00273B07" w:rsidRDefault="00CB2F7B" w:rsidP="00CB2F7B">
      <w:pPr>
        <w:ind w:left="567" w:right="567"/>
      </w:pPr>
    </w:p>
    <w:p w:rsidR="00CB2F7B" w:rsidRPr="00273B07" w:rsidRDefault="00CB2F7B" w:rsidP="00CB2F7B">
      <w:pPr>
        <w:ind w:left="567" w:right="567"/>
      </w:pPr>
      <w:r w:rsidRPr="00273B07">
        <w:t>2.3</w:t>
      </w:r>
      <w:r w:rsidRPr="00273B07">
        <w:tab/>
        <w:t xml:space="preserve">The information provided by the applicant in the Technical Questionnaire (TQ) is then used to see if there are clear differences in DUS characteristics from some of the genetically similar varieties so that they do not need to be compared with candidate varieties in a growing trial.   </w:t>
      </w:r>
    </w:p>
    <w:p w:rsidR="00CB2F7B" w:rsidRPr="00273B07" w:rsidRDefault="00CB2F7B" w:rsidP="00CB2F7B">
      <w:pPr>
        <w:ind w:left="567" w:right="567"/>
      </w:pPr>
    </w:p>
    <w:p w:rsidR="00CB2F7B" w:rsidRPr="00273B07" w:rsidRDefault="00CB2F7B" w:rsidP="00CB2F7B">
      <w:pPr>
        <w:ind w:left="567" w:right="567"/>
        <w:rPr>
          <w:i/>
        </w:rPr>
      </w:pPr>
      <w:r w:rsidRPr="00273B07">
        <w:rPr>
          <w:i/>
        </w:rPr>
        <w:t>Field trial</w:t>
      </w:r>
    </w:p>
    <w:p w:rsidR="00CB2F7B" w:rsidRPr="00273B07" w:rsidRDefault="00CB2F7B" w:rsidP="00CB2F7B">
      <w:pPr>
        <w:ind w:left="567" w:right="567"/>
      </w:pPr>
    </w:p>
    <w:p w:rsidR="00CB2F7B" w:rsidRPr="00273B07" w:rsidRDefault="00CB2F7B" w:rsidP="00CB2F7B">
      <w:pPr>
        <w:ind w:left="567" w:right="567" w:firstLine="567"/>
        <w:rPr>
          <w:u w:val="single"/>
        </w:rPr>
      </w:pPr>
      <w:r w:rsidRPr="00273B07">
        <w:rPr>
          <w:u w:val="single"/>
        </w:rPr>
        <w:t>First growing cycle:</w:t>
      </w:r>
    </w:p>
    <w:p w:rsidR="00CB2F7B" w:rsidRPr="00273B07" w:rsidRDefault="00CB2F7B" w:rsidP="00CB2F7B">
      <w:pPr>
        <w:ind w:left="567" w:right="567"/>
      </w:pPr>
    </w:p>
    <w:p w:rsidR="00CB2F7B" w:rsidRPr="00273B07" w:rsidRDefault="00CB2F7B" w:rsidP="00CB2F7B">
      <w:pPr>
        <w:ind w:left="567" w:right="567"/>
      </w:pPr>
      <w:r w:rsidRPr="00273B07">
        <w:t>2.4</w:t>
      </w:r>
      <w:r w:rsidRPr="00273B07">
        <w:tab/>
        <w:t xml:space="preserve">The candidate and the genetically similar varieties selected by the procedure above are grown in the same field trial. A complete description of the DUS characteristics of the candidate variety is produced and is compared to the descriptions of all varieties in the variety collection using a database containing descriptions produced at the same location in previous years. </w:t>
      </w:r>
    </w:p>
    <w:p w:rsidR="00CB2F7B" w:rsidRPr="00273B07" w:rsidRDefault="00CB2F7B" w:rsidP="00CB2F7B">
      <w:pPr>
        <w:ind w:left="567" w:right="567"/>
      </w:pPr>
    </w:p>
    <w:p w:rsidR="00CB2F7B" w:rsidRPr="00273B07" w:rsidRDefault="00CB2F7B" w:rsidP="00CB2F7B">
      <w:pPr>
        <w:ind w:left="567" w:right="567"/>
      </w:pPr>
      <w:r w:rsidRPr="00273B07">
        <w:t>2.5</w:t>
      </w:r>
      <w:r w:rsidRPr="00273B07">
        <w:tab/>
        <w:t xml:space="preserve">Possible outcomes: </w:t>
      </w:r>
    </w:p>
    <w:p w:rsidR="00CB2F7B" w:rsidRPr="00273B07" w:rsidRDefault="00CB2F7B" w:rsidP="00CB2F7B">
      <w:pPr>
        <w:ind w:left="567" w:right="567"/>
      </w:pPr>
    </w:p>
    <w:p w:rsidR="00CB2F7B" w:rsidRPr="00273B07" w:rsidRDefault="00CB2F7B" w:rsidP="00CB2F7B">
      <w:pPr>
        <w:ind w:left="567" w:right="567"/>
      </w:pPr>
      <w:r w:rsidRPr="00273B07">
        <w:t xml:space="preserve">If the candidate variety is not distinct from the genetically similar varieties on the basis of DUS characteristics, the test will be continued for another growing cycle. </w:t>
      </w:r>
    </w:p>
    <w:p w:rsidR="00CB2F7B" w:rsidRPr="00273B07" w:rsidRDefault="00CB2F7B" w:rsidP="00CB2F7B">
      <w:pPr>
        <w:ind w:left="567" w:right="567"/>
      </w:pPr>
    </w:p>
    <w:p w:rsidR="00CB2F7B" w:rsidRPr="00273B07" w:rsidRDefault="00CB2F7B" w:rsidP="00CB2F7B">
      <w:pPr>
        <w:ind w:left="567" w:right="567"/>
      </w:pPr>
      <w:r w:rsidRPr="00273B07">
        <w:t xml:space="preserve">In any case, the description of the candidate variety produced in the first growing cycle is compared to the descriptions of the varieties in the variety collection using a database containing descriptions produced at the same location. </w:t>
      </w:r>
    </w:p>
    <w:p w:rsidR="00CB2F7B" w:rsidRPr="00273B07" w:rsidRDefault="00CB2F7B" w:rsidP="00CB2F7B">
      <w:pPr>
        <w:ind w:left="567" w:right="567"/>
      </w:pPr>
    </w:p>
    <w:p w:rsidR="00CB2F7B" w:rsidRPr="00273B07" w:rsidRDefault="00CB2F7B" w:rsidP="00CB2F7B">
      <w:pPr>
        <w:ind w:left="567" w:right="567"/>
      </w:pPr>
      <w:r w:rsidRPr="00273B07">
        <w:tab/>
      </w:r>
      <w:r w:rsidRPr="00273B07">
        <w:tab/>
        <w:t>(a) If the candidate variety is found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CB2F7B" w:rsidRPr="00273B07" w:rsidRDefault="00CB2F7B" w:rsidP="00CB2F7B">
      <w:pPr>
        <w:ind w:left="567" w:right="567"/>
      </w:pPr>
    </w:p>
    <w:p w:rsidR="00CB2F7B" w:rsidRPr="00273B07" w:rsidRDefault="00CB2F7B" w:rsidP="00CB2F7B">
      <w:pPr>
        <w:ind w:left="567" w:right="567"/>
      </w:pPr>
      <w:r w:rsidRPr="00273B07">
        <w:tab/>
      </w:r>
      <w:r w:rsidRPr="00273B07">
        <w:tab/>
        <w:t xml:space="preserve">(b) In all other cases a second growing cycle is performed. </w:t>
      </w:r>
    </w:p>
    <w:p w:rsidR="00CB2F7B" w:rsidRPr="00273B07" w:rsidRDefault="00CB2F7B" w:rsidP="00CB2F7B">
      <w:pPr>
        <w:ind w:left="567" w:right="567"/>
      </w:pPr>
    </w:p>
    <w:p w:rsidR="00CB2F7B" w:rsidRPr="00273B07" w:rsidRDefault="00CB2F7B" w:rsidP="00CB2F7B">
      <w:pPr>
        <w:ind w:left="567" w:right="567" w:firstLine="567"/>
        <w:rPr>
          <w:u w:val="single"/>
        </w:rPr>
      </w:pPr>
      <w:r w:rsidRPr="00273B07">
        <w:rPr>
          <w:u w:val="single"/>
        </w:rPr>
        <w:t>Second growing cycle</w:t>
      </w:r>
    </w:p>
    <w:p w:rsidR="00CB2F7B" w:rsidRPr="00273B07" w:rsidRDefault="00CB2F7B" w:rsidP="00CB2F7B">
      <w:pPr>
        <w:ind w:left="567" w:right="567"/>
      </w:pPr>
    </w:p>
    <w:p w:rsidR="00CB2F7B" w:rsidRPr="00273B07" w:rsidRDefault="00CB2F7B" w:rsidP="00CB2F7B">
      <w:pPr>
        <w:ind w:left="567" w:right="567"/>
      </w:pPr>
      <w:r w:rsidRPr="00273B07">
        <w:t>2.6</w:t>
      </w:r>
      <w:r w:rsidRPr="00273B07">
        <w:tab/>
        <w:t xml:space="preserve">In the second growing cycle, the candidate variety is grown with the all varieties in the variety collection from which it was not found to be distinct at the end of the first growing cycle. </w:t>
      </w:r>
    </w:p>
    <w:p w:rsidR="00CB2F7B" w:rsidRPr="00273B07" w:rsidRDefault="00CB2F7B" w:rsidP="00CB2F7B">
      <w:pPr>
        <w:ind w:left="567" w:right="567"/>
      </w:pPr>
    </w:p>
    <w:p w:rsidR="00CB2F7B" w:rsidRPr="00273B07" w:rsidRDefault="00CB2F7B" w:rsidP="00CB2F7B">
      <w:pPr>
        <w:ind w:left="567" w:right="567"/>
      </w:pPr>
      <w:r w:rsidRPr="00273B07">
        <w:t>2.7</w:t>
      </w:r>
      <w:r w:rsidRPr="00273B07">
        <w:tab/>
        <w:t>At the end of the second growing cycle, an assessment of DUS is made.  If it is not possible to reach a decision on DUS at the end of the second growing cycle, a further growing cycle may be conducted.</w:t>
      </w:r>
    </w:p>
    <w:p w:rsidR="00CB2F7B" w:rsidRPr="0053502B" w:rsidRDefault="00CB2F7B" w:rsidP="00CB2F7B"/>
    <w:p w:rsidR="00273B07" w:rsidRPr="00273B07" w:rsidRDefault="00273B07" w:rsidP="00273B07"/>
    <w:p w:rsidR="00273B07" w:rsidRPr="00273B07" w:rsidRDefault="00273B07" w:rsidP="00273B07"/>
    <w:p w:rsidR="00273B07" w:rsidRPr="00273B07" w:rsidRDefault="00273B07" w:rsidP="00273B07">
      <w:pPr>
        <w:jc w:val="right"/>
      </w:pPr>
      <w:r w:rsidRPr="00273B07">
        <w:t>[Annex VI follows]</w:t>
      </w:r>
    </w:p>
    <w:p w:rsidR="00273B07" w:rsidRPr="00273B07" w:rsidRDefault="00273B07" w:rsidP="00273B07">
      <w:pPr>
        <w:jc w:val="right"/>
      </w:pPr>
    </w:p>
    <w:p w:rsidR="00273B07" w:rsidRPr="00273B07" w:rsidRDefault="00273B07" w:rsidP="00273B07">
      <w:pPr>
        <w:jc w:val="right"/>
        <w:sectPr w:rsidR="00273B07" w:rsidRPr="00273B07" w:rsidSect="00273B07">
          <w:headerReference w:type="default" r:id="rId32"/>
          <w:headerReference w:type="first" r:id="rId33"/>
          <w:footnotePr>
            <w:numRestart w:val="eachSect"/>
          </w:footnotePr>
          <w:pgSz w:w="11907" w:h="16840" w:code="9"/>
          <w:pgMar w:top="510" w:right="1134" w:bottom="709" w:left="1134" w:header="510" w:footer="680" w:gutter="0"/>
          <w:pgNumType w:start="1"/>
          <w:cols w:space="720"/>
          <w:titlePg/>
        </w:sectPr>
      </w:pPr>
    </w:p>
    <w:p w:rsidR="00050E16" w:rsidRPr="00C5280D" w:rsidRDefault="008430CA" w:rsidP="00690400">
      <w:pPr>
        <w:jc w:val="left"/>
      </w:pPr>
      <w:r w:rsidRPr="008430CA">
        <w:lastRenderedPageBreak/>
        <w:drawing>
          <wp:inline distT="0" distB="0" distL="0" distR="0">
            <wp:extent cx="9649460" cy="6227166"/>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49460" cy="6227166"/>
                    </a:xfrm>
                    <a:prstGeom prst="rect">
                      <a:avLst/>
                    </a:prstGeom>
                    <a:noFill/>
                    <a:ln>
                      <a:noFill/>
                    </a:ln>
                  </pic:spPr>
                </pic:pic>
              </a:graphicData>
            </a:graphic>
          </wp:inline>
        </w:drawing>
      </w:r>
    </w:p>
    <w:sectPr w:rsidR="00050E16" w:rsidRPr="00C5280D" w:rsidSect="001C26EF">
      <w:headerReference w:type="default" r:id="rId35"/>
      <w:headerReference w:type="first" r:id="rId36"/>
      <w:footerReference w:type="first" r:id="rId37"/>
      <w:footnotePr>
        <w:numRestart w:val="eachSect"/>
      </w:footnotePr>
      <w:pgSz w:w="16840" w:h="11907" w:orient="landscape" w:code="9"/>
      <w:pgMar w:top="1134" w:right="510" w:bottom="1134" w:left="1134" w:header="510" w:footer="34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81" w:rsidRDefault="006F6881" w:rsidP="006655D3">
      <w:r>
        <w:separator/>
      </w:r>
    </w:p>
    <w:p w:rsidR="006F6881" w:rsidRDefault="006F6881" w:rsidP="006655D3"/>
    <w:p w:rsidR="006F6881" w:rsidRDefault="006F6881" w:rsidP="006655D3"/>
  </w:endnote>
  <w:endnote w:type="continuationSeparator" w:id="0">
    <w:p w:rsidR="006F6881" w:rsidRDefault="006F6881" w:rsidP="006655D3">
      <w:r>
        <w:separator/>
      </w:r>
    </w:p>
    <w:p w:rsidR="006F6881" w:rsidRPr="00294751" w:rsidRDefault="006F6881" w:rsidP="00DE42A3">
      <w:pPr>
        <w:pStyle w:val="Footer"/>
        <w:rPr>
          <w:lang w:val="fr-FR"/>
        </w:rPr>
      </w:pPr>
      <w:r w:rsidRPr="00294751">
        <w:rPr>
          <w:lang w:val="fr-FR"/>
        </w:rPr>
        <w:t>[Suite de la note de la page précédente]</w:t>
      </w:r>
    </w:p>
    <w:p w:rsidR="006F6881" w:rsidRPr="00294751" w:rsidRDefault="006F6881" w:rsidP="006655D3">
      <w:pPr>
        <w:rPr>
          <w:lang w:val="fr-FR"/>
        </w:rPr>
      </w:pPr>
    </w:p>
    <w:p w:rsidR="006F6881" w:rsidRPr="00294751" w:rsidRDefault="006F6881" w:rsidP="006655D3">
      <w:pPr>
        <w:rPr>
          <w:lang w:val="fr-FR"/>
        </w:rPr>
      </w:pPr>
    </w:p>
  </w:endnote>
  <w:endnote w:type="continuationNotice" w:id="1">
    <w:p w:rsidR="006F6881" w:rsidRPr="00294751" w:rsidRDefault="006F6881" w:rsidP="006655D3">
      <w:pPr>
        <w:rPr>
          <w:lang w:val="fr-FR"/>
        </w:rPr>
      </w:pPr>
      <w:r w:rsidRPr="00294751">
        <w:rPr>
          <w:lang w:val="fr-FR"/>
        </w:rPr>
        <w:t>[Suite de la note page suivante]</w:t>
      </w:r>
    </w:p>
    <w:p w:rsidR="006F6881" w:rsidRPr="00294751" w:rsidRDefault="006F6881" w:rsidP="006655D3">
      <w:pPr>
        <w:rPr>
          <w:lang w:val="fr-FR"/>
        </w:rPr>
      </w:pPr>
    </w:p>
    <w:p w:rsidR="006F6881" w:rsidRPr="00294751" w:rsidRDefault="006F68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DE7D82" w:rsidRDefault="006F6881" w:rsidP="00DE4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DE42A3" w:rsidRDefault="006F6881" w:rsidP="00DE42A3">
    <w:pPr>
      <w:pStyle w:val="Footer"/>
    </w:pPr>
    <w:r w:rsidRPr="00DE42A3">
      <w:t>[End of Annex VI and of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81" w:rsidRDefault="006F6881" w:rsidP="006655D3">
      <w:r>
        <w:separator/>
      </w:r>
    </w:p>
  </w:footnote>
  <w:footnote w:type="continuationSeparator" w:id="0">
    <w:p w:rsidR="006F6881" w:rsidRDefault="006F6881" w:rsidP="006655D3">
      <w:r>
        <w:separator/>
      </w:r>
    </w:p>
  </w:footnote>
  <w:footnote w:type="continuationNotice" w:id="1">
    <w:p w:rsidR="006F6881" w:rsidRPr="00AB530F" w:rsidRDefault="006F6881" w:rsidP="00DE42A3">
      <w:pPr>
        <w:pStyle w:val="Footer"/>
      </w:pPr>
    </w:p>
  </w:footnote>
  <w:footnote w:id="2">
    <w:p w:rsidR="006F6881" w:rsidRPr="00DF7B75" w:rsidRDefault="006F6881" w:rsidP="006F6881">
      <w:pPr>
        <w:pStyle w:val="FootnoteText"/>
      </w:pPr>
      <w:r>
        <w:rPr>
          <w:rStyle w:val="FootnoteReference"/>
        </w:rPr>
        <w:footnoteRef/>
      </w:r>
      <w:r>
        <w:t xml:space="preserve"> </w:t>
      </w:r>
      <w:r>
        <w:tab/>
        <w:t>To be held in Geneva on October 28 and 29, 2019.</w:t>
      </w:r>
    </w:p>
  </w:footnote>
  <w:footnote w:id="3">
    <w:p w:rsidR="006F6881" w:rsidRPr="00CD62D8" w:rsidRDefault="006F6881" w:rsidP="00AF3246">
      <w:pPr>
        <w:pStyle w:val="FootnoteText"/>
      </w:pPr>
      <w:r>
        <w:rPr>
          <w:rStyle w:val="FootnoteReference"/>
        </w:rPr>
        <w:footnoteRef/>
      </w:r>
      <w:r>
        <w:t xml:space="preserve"> </w:t>
      </w:r>
      <w:r>
        <w:tab/>
        <w:t>H</w:t>
      </w:r>
      <w:r w:rsidRPr="00273B07">
        <w:t>eld in Geneva on October 28 and 29, 2018</w:t>
      </w:r>
      <w:r>
        <w:t>.</w:t>
      </w:r>
    </w:p>
  </w:footnote>
  <w:footnote w:id="4">
    <w:p w:rsidR="006F6881" w:rsidRPr="00CD62D8" w:rsidRDefault="006F6881" w:rsidP="00AF3246">
      <w:pPr>
        <w:pStyle w:val="FootnoteText"/>
      </w:pPr>
      <w:r>
        <w:rPr>
          <w:rStyle w:val="FootnoteReference"/>
        </w:rPr>
        <w:footnoteRef/>
      </w:r>
      <w:r>
        <w:t xml:space="preserve"> </w:t>
      </w:r>
      <w:r>
        <w:tab/>
        <w:t>H</w:t>
      </w:r>
      <w:r w:rsidRPr="00273B07">
        <w:t>eld in Geneva on October 30, 2018</w:t>
      </w:r>
      <w:r>
        <w:t>.</w:t>
      </w:r>
    </w:p>
  </w:footnote>
  <w:footnote w:id="5">
    <w:p w:rsidR="006F6881" w:rsidRPr="005755F0" w:rsidRDefault="006F6881" w:rsidP="00AF3246">
      <w:pPr>
        <w:pStyle w:val="FootnoteText"/>
      </w:pPr>
      <w:r>
        <w:rPr>
          <w:rStyle w:val="FootnoteReference"/>
        </w:rPr>
        <w:footnoteRef/>
      </w:r>
      <w:r w:rsidRPr="005755F0">
        <w:t xml:space="preserve"> </w:t>
      </w:r>
      <w:r w:rsidRPr="005755F0">
        <w:tab/>
        <w:t xml:space="preserve">See document </w:t>
      </w:r>
      <w:hyperlink r:id="rId1" w:history="1">
        <w:hyperlink r:id="rId2" w:history="1">
          <w:r w:rsidR="00C50128">
            <w:rPr>
              <w:rStyle w:val="Hyperlink"/>
            </w:rPr>
            <w:t>TC/54/31 Corr.</w:t>
          </w:r>
        </w:hyperlink>
      </w:hyperlink>
      <w:r w:rsidRPr="005755F0">
        <w:t xml:space="preserve"> “Report”, paragraph 251, and document </w:t>
      </w:r>
      <w:hyperlink r:id="rId3" w:history="1">
        <w:r w:rsidRPr="005755F0">
          <w:rPr>
            <w:rStyle w:val="Hyperlink"/>
          </w:rPr>
          <w:t>CAJ/75/14</w:t>
        </w:r>
      </w:hyperlink>
      <w:r w:rsidRPr="005755F0">
        <w:t xml:space="preserve"> “Report”, paragraph 13.</w:t>
      </w:r>
    </w:p>
  </w:footnote>
  <w:footnote w:id="6">
    <w:p w:rsidR="006F6881" w:rsidRPr="00DF7B75" w:rsidRDefault="006F6881" w:rsidP="00AF3246">
      <w:pPr>
        <w:pStyle w:val="FootnoteText"/>
      </w:pPr>
      <w:r>
        <w:rPr>
          <w:rStyle w:val="FootnoteReference"/>
        </w:rPr>
        <w:footnoteRef/>
      </w:r>
      <w:r>
        <w:t xml:space="preserve"> </w:t>
      </w:r>
      <w:r>
        <w:tab/>
        <w:t>T</w:t>
      </w:r>
      <w:r w:rsidRPr="00FE42F1">
        <w:t>o be held in Geneva on October 30, 2019</w:t>
      </w:r>
      <w:r>
        <w:t>.</w:t>
      </w:r>
    </w:p>
  </w:footnote>
  <w:footnote w:id="7">
    <w:p w:rsidR="006F6881" w:rsidRPr="00DF7B75" w:rsidRDefault="006F6881" w:rsidP="00AF3246">
      <w:pPr>
        <w:pStyle w:val="FootnoteText"/>
      </w:pPr>
      <w:r>
        <w:rPr>
          <w:rStyle w:val="FootnoteReference"/>
        </w:rPr>
        <w:footnoteRef/>
      </w:r>
      <w:r>
        <w:t xml:space="preserve"> </w:t>
      </w:r>
      <w:r w:rsidRPr="00DF7B75">
        <w:tab/>
      </w:r>
      <w:r>
        <w:t>S</w:t>
      </w:r>
      <w:r w:rsidRPr="000279A4">
        <w:t>ee document</w:t>
      </w:r>
      <w:r>
        <w:t> </w:t>
      </w:r>
      <w:hyperlink r:id="rId4" w:history="1">
        <w:hyperlink r:id="rId5" w:history="1">
          <w:r w:rsidR="00C50128">
            <w:rPr>
              <w:rStyle w:val="Hyperlink"/>
            </w:rPr>
            <w:t>TC/54/31 Corr.</w:t>
          </w:r>
        </w:hyperlink>
      </w:hyperlink>
      <w:r>
        <w:t xml:space="preserve"> “Report”, paragraphs 210 to 212 and 217 to 220.</w:t>
      </w:r>
    </w:p>
  </w:footnote>
  <w:footnote w:id="8">
    <w:p w:rsidR="006F6881" w:rsidRPr="000A0EE8" w:rsidRDefault="006F6881" w:rsidP="00AF3246">
      <w:pPr>
        <w:pStyle w:val="FootnoteText"/>
      </w:pPr>
      <w:r>
        <w:rPr>
          <w:rStyle w:val="FootnoteReference"/>
        </w:rPr>
        <w:footnoteRef/>
      </w:r>
      <w:r>
        <w:t xml:space="preserve"> </w:t>
      </w:r>
      <w:r>
        <w:tab/>
        <w:t>Held in Geneva from April 3 to 5, 2017.</w:t>
      </w:r>
    </w:p>
  </w:footnote>
  <w:footnote w:id="9">
    <w:p w:rsidR="006F6881" w:rsidRPr="000A0EE8" w:rsidRDefault="006F6881" w:rsidP="00AF3246">
      <w:pPr>
        <w:pStyle w:val="FootnoteText"/>
      </w:pPr>
      <w:r>
        <w:rPr>
          <w:rStyle w:val="FootnoteReference"/>
        </w:rPr>
        <w:footnoteRef/>
      </w:r>
      <w:r>
        <w:t xml:space="preserve"> </w:t>
      </w:r>
      <w:r w:rsidRPr="000A0EE8">
        <w:tab/>
      </w:r>
      <w:r>
        <w:t>S</w:t>
      </w:r>
      <w:r w:rsidRPr="000279A4">
        <w:t>ee document </w:t>
      </w:r>
      <w:hyperlink r:id="rId6" w:history="1">
        <w:r w:rsidRPr="000A0EE8">
          <w:rPr>
            <w:rStyle w:val="Hyperlink"/>
          </w:rPr>
          <w:t>TC/53/31</w:t>
        </w:r>
      </w:hyperlink>
      <w:r w:rsidRPr="000279A4">
        <w:t xml:space="preserve"> “</w:t>
      </w:r>
      <w:r>
        <w:t>Report”, paragraphs 113 to 116.</w:t>
      </w:r>
    </w:p>
  </w:footnote>
  <w:footnote w:id="10">
    <w:p w:rsidR="006F6881" w:rsidRDefault="006F6881">
      <w:pPr>
        <w:pStyle w:val="FootnoteText"/>
      </w:pPr>
      <w:r>
        <w:rPr>
          <w:rStyle w:val="FootnoteReference"/>
        </w:rPr>
        <w:footnoteRef/>
      </w:r>
      <w:r>
        <w:t xml:space="preserve"> </w:t>
      </w:r>
      <w:r>
        <w:tab/>
        <w:t>S</w:t>
      </w:r>
      <w:r w:rsidRPr="001F64D8">
        <w:t xml:space="preserve">ee </w:t>
      </w:r>
      <w:r w:rsidRPr="000279A4">
        <w:t>document</w:t>
      </w:r>
      <w:r>
        <w:t> </w:t>
      </w:r>
      <w:hyperlink r:id="rId7" w:history="1">
        <w:hyperlink r:id="rId8" w:history="1">
          <w:r w:rsidR="00C50128">
            <w:rPr>
              <w:rStyle w:val="Hyperlink"/>
            </w:rPr>
            <w:t>TC/54/31 Corr.</w:t>
          </w:r>
        </w:hyperlink>
      </w:hyperlink>
      <w:r>
        <w:t xml:space="preserve"> “Report”, paragraphs 231 and 232.</w:t>
      </w:r>
    </w:p>
  </w:footnote>
  <w:footnote w:id="11">
    <w:p w:rsidR="006F6881" w:rsidRPr="005C045D" w:rsidRDefault="006F6881" w:rsidP="00AF3246">
      <w:pPr>
        <w:pStyle w:val="FootnoteText"/>
      </w:pPr>
      <w:r>
        <w:rPr>
          <w:rStyle w:val="FootnoteReference"/>
        </w:rPr>
        <w:footnoteRef/>
      </w:r>
      <w:r>
        <w:t xml:space="preserve"> </w:t>
      </w:r>
      <w:r w:rsidRPr="005C045D">
        <w:tab/>
      </w:r>
      <w:r>
        <w:t xml:space="preserve">See document </w:t>
      </w:r>
      <w:hyperlink r:id="rId9" w:history="1">
        <w:hyperlink r:id="rId10" w:history="1">
          <w:r w:rsidR="00C50128">
            <w:rPr>
              <w:rStyle w:val="Hyperlink"/>
            </w:rPr>
            <w:t>TC/54/31 Corr.</w:t>
          </w:r>
        </w:hyperlink>
      </w:hyperlink>
      <w:r>
        <w:t xml:space="preserve"> “Report”, paragraphs 233 and 234.</w:t>
      </w:r>
    </w:p>
  </w:footnote>
  <w:footnote w:id="12">
    <w:p w:rsidR="006F6881" w:rsidRPr="00685185" w:rsidRDefault="006F6881" w:rsidP="00AF3246">
      <w:pPr>
        <w:pStyle w:val="FootnoteText"/>
      </w:pPr>
      <w:r>
        <w:rPr>
          <w:rStyle w:val="FootnoteReference"/>
        </w:rPr>
        <w:footnoteRef/>
      </w:r>
      <w:r w:rsidRPr="00685185">
        <w:t xml:space="preserve"> </w:t>
      </w:r>
      <w:r w:rsidRPr="00685185">
        <w:tab/>
        <w:t xml:space="preserve">See document </w:t>
      </w:r>
      <w:hyperlink r:id="rId11" w:history="1">
        <w:r w:rsidRPr="000A0EE8">
          <w:rPr>
            <w:rStyle w:val="Hyperlink"/>
          </w:rPr>
          <w:t>TC/53/31</w:t>
        </w:r>
      </w:hyperlink>
      <w:r>
        <w:t xml:space="preserve"> </w:t>
      </w:r>
      <w:r w:rsidRPr="00685185">
        <w:t>“Report”, paragraph 141.</w:t>
      </w:r>
    </w:p>
  </w:footnote>
  <w:footnote w:id="13">
    <w:p w:rsidR="006F6881" w:rsidRPr="00685185" w:rsidRDefault="006F6881" w:rsidP="00AF3246">
      <w:pPr>
        <w:pStyle w:val="FootnoteText"/>
      </w:pPr>
      <w:r>
        <w:rPr>
          <w:rStyle w:val="FootnoteReference"/>
        </w:rPr>
        <w:footnoteRef/>
      </w:r>
      <w:r>
        <w:t xml:space="preserve"> </w:t>
      </w:r>
      <w:r w:rsidRPr="00685185">
        <w:tab/>
        <w:t xml:space="preserve">See document </w:t>
      </w:r>
      <w:hyperlink r:id="rId12" w:history="1">
        <w:hyperlink r:id="rId13" w:history="1">
          <w:r w:rsidR="00C50128">
            <w:rPr>
              <w:rStyle w:val="Hyperlink"/>
            </w:rPr>
            <w:t>TC/54/31 Corr.</w:t>
          </w:r>
        </w:hyperlink>
      </w:hyperlink>
      <w:r>
        <w:t xml:space="preserve"> “Report”, paragraph 244.</w:t>
      </w:r>
    </w:p>
  </w:footnote>
  <w:footnote w:id="14">
    <w:p w:rsidR="006F6881" w:rsidRPr="008F7048" w:rsidRDefault="006F6881" w:rsidP="00AF3246">
      <w:pPr>
        <w:pStyle w:val="FootnoteText"/>
      </w:pPr>
      <w:r>
        <w:rPr>
          <w:rStyle w:val="FootnoteReference"/>
        </w:rPr>
        <w:footnoteRef/>
      </w:r>
      <w:r>
        <w:t xml:space="preserve"> </w:t>
      </w:r>
      <w:r w:rsidRPr="008F7048">
        <w:tab/>
        <w:t xml:space="preserve">See document </w:t>
      </w:r>
      <w:hyperlink r:id="rId14" w:history="1">
        <w:hyperlink r:id="rId15" w:history="1">
          <w:r w:rsidR="00C50128">
            <w:rPr>
              <w:rStyle w:val="Hyperlink"/>
            </w:rPr>
            <w:t>TC/54/31 Corr.</w:t>
          </w:r>
        </w:hyperlink>
      </w:hyperlink>
      <w:r>
        <w:t xml:space="preserve"> “Report”, paragraphs 272 and 273.</w:t>
      </w:r>
    </w:p>
  </w:footnote>
  <w:footnote w:id="15">
    <w:p w:rsidR="006F6881" w:rsidRPr="00616F18" w:rsidRDefault="006F6881" w:rsidP="00AF3246">
      <w:pPr>
        <w:pStyle w:val="FootnoteText"/>
      </w:pPr>
      <w:r>
        <w:rPr>
          <w:rStyle w:val="FootnoteReference"/>
        </w:rPr>
        <w:footnoteRef/>
      </w:r>
      <w:r>
        <w:t xml:space="preserve"> </w:t>
      </w:r>
      <w:r>
        <w:tab/>
      </w:r>
      <w:r w:rsidRPr="008F7048">
        <w:t xml:space="preserve">See document </w:t>
      </w:r>
      <w:hyperlink r:id="rId16" w:history="1">
        <w:r w:rsidR="008C76A6">
          <w:rPr>
            <w:rStyle w:val="Hyperlink"/>
          </w:rPr>
          <w:t>TC/54/31 Corr.</w:t>
        </w:r>
      </w:hyperlink>
      <w:r>
        <w:t xml:space="preserve"> “Report”, paragraphs 290 and 291.</w:t>
      </w:r>
    </w:p>
  </w:footnote>
  <w:footnote w:id="16">
    <w:p w:rsidR="006F6881" w:rsidRPr="002F6D41" w:rsidRDefault="006F6881" w:rsidP="00AF3246">
      <w:pPr>
        <w:pStyle w:val="FootnoteText"/>
      </w:pPr>
      <w:r>
        <w:rPr>
          <w:rStyle w:val="FootnoteReference"/>
        </w:rPr>
        <w:footnoteRef/>
      </w:r>
      <w:r w:rsidRPr="002F6D41">
        <w:t xml:space="preserve"> </w:t>
      </w:r>
      <w:r w:rsidRPr="002F6D41">
        <w:tab/>
        <w:t xml:space="preserve">See document </w:t>
      </w:r>
      <w:hyperlink r:id="rId17" w:history="1">
        <w:r w:rsidR="00C50128">
          <w:rPr>
            <w:rStyle w:val="Hyperlink"/>
          </w:rPr>
          <w:t>TC/54/31 Corr.</w:t>
        </w:r>
      </w:hyperlink>
      <w:r>
        <w:t xml:space="preserve"> </w:t>
      </w:r>
      <w:r w:rsidRPr="002F6D41">
        <w:t xml:space="preserve">“Report”, paragraph 251, and document </w:t>
      </w:r>
      <w:hyperlink r:id="rId18" w:history="1">
        <w:r w:rsidRPr="002F6D41">
          <w:rPr>
            <w:rStyle w:val="Hyperlink"/>
          </w:rPr>
          <w:t>CAJ/75/14</w:t>
        </w:r>
      </w:hyperlink>
      <w:r w:rsidRPr="002F6D41">
        <w:t xml:space="preserve"> “Report”, paragraph 13.</w:t>
      </w:r>
    </w:p>
  </w:footnote>
  <w:footnote w:id="17">
    <w:p w:rsidR="00CB2F7B" w:rsidRDefault="00CB2F7B" w:rsidP="00CB2F7B">
      <w:pPr>
        <w:pStyle w:val="FootnoteText"/>
      </w:pPr>
      <w:r>
        <w:rPr>
          <w:rStyle w:val="FootnoteReference"/>
        </w:rPr>
        <w:footnoteRef/>
      </w:r>
      <w:r>
        <w:t xml:space="preserve"> </w:t>
      </w:r>
      <w:r>
        <w:tab/>
        <w:t>Held in Geneva on October 28 and 29, 2018.</w:t>
      </w:r>
    </w:p>
  </w:footnote>
  <w:footnote w:id="18">
    <w:p w:rsidR="00CB2F7B" w:rsidRDefault="00CB2F7B" w:rsidP="00CB2F7B">
      <w:pPr>
        <w:pStyle w:val="FootnoteText"/>
      </w:pPr>
      <w:r>
        <w:rPr>
          <w:rStyle w:val="FootnoteReference"/>
        </w:rPr>
        <w:footnoteRef/>
      </w:r>
      <w:r>
        <w:tab/>
      </w:r>
      <w:r w:rsidRPr="00273B07">
        <w:t>Held in Geneva from April 3 to 5, 2017</w:t>
      </w:r>
      <w:r>
        <w:t>.</w:t>
      </w:r>
    </w:p>
  </w:footnote>
  <w:footnote w:id="19">
    <w:p w:rsidR="00CB2F7B" w:rsidRDefault="00CB2F7B" w:rsidP="00CB2F7B">
      <w:pPr>
        <w:pStyle w:val="FootnoteText"/>
      </w:pPr>
      <w:r>
        <w:rPr>
          <w:rStyle w:val="FootnoteReference"/>
        </w:rPr>
        <w:footnoteRef/>
      </w:r>
      <w:r>
        <w:t xml:space="preserve"> </w:t>
      </w:r>
      <w:r>
        <w:tab/>
        <w:t>Held in Geneva on October 28 and 29, 2018.</w:t>
      </w:r>
    </w:p>
  </w:footnote>
  <w:footnote w:id="20">
    <w:p w:rsidR="00CB2F7B" w:rsidRDefault="00CB2F7B" w:rsidP="00CB2F7B">
      <w:pPr>
        <w:pStyle w:val="FootnoteText"/>
      </w:pPr>
      <w:r>
        <w:rPr>
          <w:rStyle w:val="FootnoteReference"/>
        </w:rPr>
        <w:footnoteRef/>
      </w:r>
      <w:r>
        <w:t xml:space="preserve"> </w:t>
      </w:r>
      <w:r>
        <w:tab/>
        <w:t>Held in Geneva on October 28 and 29, 2018.</w:t>
      </w:r>
    </w:p>
  </w:footnote>
  <w:footnote w:id="21">
    <w:p w:rsidR="00CB2F7B" w:rsidRDefault="00CB2F7B" w:rsidP="00CB2F7B">
      <w:pPr>
        <w:pStyle w:val="FootnoteText"/>
      </w:pPr>
      <w:r>
        <w:rPr>
          <w:rStyle w:val="FootnoteReference"/>
        </w:rPr>
        <w:footnoteRef/>
      </w:r>
      <w:r>
        <w:tab/>
      </w:r>
      <w:r w:rsidRPr="00273B07">
        <w:t>Held in Geneva from April 3 to 5, 2017</w:t>
      </w:r>
      <w:r>
        <w:t>.</w:t>
      </w:r>
    </w:p>
  </w:footnote>
  <w:footnote w:id="22">
    <w:p w:rsidR="00CB2F7B" w:rsidRDefault="00CB2F7B" w:rsidP="00CB2F7B">
      <w:pPr>
        <w:pStyle w:val="FootnoteText"/>
      </w:pPr>
      <w:r>
        <w:rPr>
          <w:rStyle w:val="FootnoteReference"/>
        </w:rPr>
        <w:footnoteRef/>
      </w:r>
      <w:r>
        <w:t xml:space="preserve"> </w:t>
      </w:r>
      <w:r>
        <w:tab/>
        <w:t>Held in Geneva on October 28 and 29, 2018.</w:t>
      </w:r>
    </w:p>
  </w:footnote>
  <w:footnote w:id="23">
    <w:p w:rsidR="00CB2F7B" w:rsidRDefault="00CB2F7B" w:rsidP="00CB2F7B">
      <w:pPr>
        <w:pStyle w:val="FootnoteText"/>
      </w:pPr>
      <w:r>
        <w:rPr>
          <w:rStyle w:val="FootnoteReference"/>
        </w:rPr>
        <w:footnoteRef/>
      </w:r>
      <w:r>
        <w:t xml:space="preserve"> </w:t>
      </w:r>
      <w:r>
        <w:tab/>
        <w:t>Held in Geneva on October 28 and 29,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2E1B40" w:rsidRDefault="006F6881" w:rsidP="00273B07">
    <w:pPr>
      <w:jc w:val="center"/>
      <w:rPr>
        <w:lang w:val="pt-BR"/>
      </w:rPr>
    </w:pPr>
    <w:r>
      <w:t>CAJ/76/5</w:t>
    </w:r>
  </w:p>
  <w:p w:rsidR="006F6881" w:rsidRPr="002E1B40" w:rsidRDefault="006F6881" w:rsidP="00273B07">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F7251A">
      <w:rPr>
        <w:noProof/>
        <w:lang w:val="pt-BR"/>
      </w:rPr>
      <w:t>6</w:t>
    </w:r>
    <w:r w:rsidRPr="00C5280D">
      <w:fldChar w:fldCharType="end"/>
    </w:r>
  </w:p>
  <w:p w:rsidR="006F6881" w:rsidRPr="002E1B40" w:rsidRDefault="006F6881"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 xml:space="preserve">ANNEX V </w:t>
    </w:r>
  </w:p>
  <w:p w:rsidR="006F6881" w:rsidRPr="004A75CB" w:rsidRDefault="006F6881" w:rsidP="00273B07">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C5280D" w:rsidRDefault="006F6881" w:rsidP="00EB048E">
    <w:pPr>
      <w:pStyle w:val="Header"/>
      <w:rPr>
        <w:rStyle w:val="PageNumber"/>
        <w:lang w:val="en-US"/>
      </w:rPr>
    </w:pPr>
    <w:r>
      <w:rPr>
        <w:rStyle w:val="PageNumber"/>
        <w:lang w:val="en-US"/>
      </w:rPr>
      <w:t>CAJ/76/5</w:t>
    </w:r>
  </w:p>
  <w:p w:rsidR="006F6881" w:rsidRPr="00C5280D" w:rsidRDefault="006F688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053E">
      <w:rPr>
        <w:rStyle w:val="PageNumber"/>
        <w:noProof/>
        <w:lang w:val="en-US"/>
      </w:rPr>
      <w:t>6</w:t>
    </w:r>
    <w:r w:rsidRPr="00C5280D">
      <w:rPr>
        <w:rStyle w:val="PageNumber"/>
        <w:lang w:val="en-US"/>
      </w:rPr>
      <w:fldChar w:fldCharType="end"/>
    </w:r>
  </w:p>
  <w:p w:rsidR="006F6881" w:rsidRPr="00C5280D" w:rsidRDefault="006F6881" w:rsidP="006655D3"/>
  <w:p w:rsidR="006F6881" w:rsidRDefault="006F688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ANNEX VI  -  PROGRAM FOR THE DEVELOPMENT OF TGP DOCUMENTS</w:t>
    </w:r>
  </w:p>
  <w:p w:rsidR="006F6881" w:rsidRPr="004A75CB" w:rsidRDefault="006F6881" w:rsidP="00273B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C5280D" w:rsidRDefault="006F6881" w:rsidP="00EB048E">
    <w:pPr>
      <w:pStyle w:val="Header"/>
      <w:rPr>
        <w:rStyle w:val="PageNumber"/>
        <w:lang w:val="en-US"/>
      </w:rPr>
    </w:pPr>
    <w:r>
      <w:t>CAJ/76/5</w:t>
    </w:r>
  </w:p>
  <w:p w:rsidR="006F6881" w:rsidRPr="00C5280D" w:rsidRDefault="006F688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251A">
      <w:rPr>
        <w:rStyle w:val="PageNumber"/>
        <w:noProof/>
        <w:lang w:val="en-US"/>
      </w:rPr>
      <w:t>2</w:t>
    </w:r>
    <w:r w:rsidRPr="00C5280D">
      <w:rPr>
        <w:rStyle w:val="PageNumber"/>
        <w:lang w:val="en-US"/>
      </w:rPr>
      <w:fldChar w:fldCharType="end"/>
    </w:r>
  </w:p>
  <w:p w:rsidR="006F6881" w:rsidRPr="00C5280D" w:rsidRDefault="006F688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 xml:space="preserve">ANNEX I </w:t>
    </w:r>
  </w:p>
  <w:p w:rsidR="006F6881" w:rsidRPr="004A75CB" w:rsidRDefault="006F6881" w:rsidP="00273B07">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 xml:space="preserve">ANNEX II </w:t>
    </w:r>
  </w:p>
  <w:p w:rsidR="006F6881" w:rsidRPr="004A75CB" w:rsidRDefault="006F6881" w:rsidP="00273B0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436698" w:rsidRDefault="006F6881" w:rsidP="00EB048E">
    <w:pPr>
      <w:pStyle w:val="Header"/>
      <w:rPr>
        <w:rStyle w:val="PageNumber"/>
        <w:lang w:val="fr-CH"/>
      </w:rPr>
    </w:pPr>
    <w:r>
      <w:t>CAJ/76/5</w:t>
    </w:r>
  </w:p>
  <w:p w:rsidR="006F6881" w:rsidRPr="00436698" w:rsidRDefault="006F6881" w:rsidP="00EB048E">
    <w:pPr>
      <w:pStyle w:val="Header"/>
      <w:rPr>
        <w:lang w:val="fr-CH"/>
      </w:rPr>
    </w:pPr>
    <w:proofErr w:type="spellStart"/>
    <w:r w:rsidRPr="00436698">
      <w:rPr>
        <w:lang w:val="fr-CH"/>
      </w:rPr>
      <w:t>Annex</w:t>
    </w:r>
    <w:proofErr w:type="spellEnd"/>
    <w:r w:rsidRPr="00436698">
      <w:rPr>
        <w:lang w:val="fr-CH"/>
      </w:rPr>
      <w:t xml:space="preserve">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F7251A">
      <w:rPr>
        <w:rStyle w:val="PageNumber"/>
        <w:noProof/>
        <w:lang w:val="fr-CH"/>
      </w:rPr>
      <w:t>3</w:t>
    </w:r>
    <w:r w:rsidRPr="00C5280D">
      <w:rPr>
        <w:rStyle w:val="PageNumber"/>
        <w:lang w:val="en-US"/>
      </w:rPr>
      <w:fldChar w:fldCharType="end"/>
    </w:r>
  </w:p>
  <w:p w:rsidR="006F6881" w:rsidRPr="00436698" w:rsidRDefault="006F6881"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 xml:space="preserve">ANNEX III </w:t>
    </w:r>
  </w:p>
  <w:p w:rsidR="006F6881" w:rsidRPr="004A75CB" w:rsidRDefault="006F6881" w:rsidP="00273B0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436698" w:rsidRDefault="006F6881" w:rsidP="00EB048E">
    <w:pPr>
      <w:pStyle w:val="Header"/>
      <w:rPr>
        <w:rStyle w:val="PageNumber"/>
        <w:lang w:val="fr-CH"/>
      </w:rPr>
    </w:pPr>
    <w:r>
      <w:t>CAJ/76/5</w:t>
    </w:r>
  </w:p>
  <w:p w:rsidR="006F6881" w:rsidRPr="00436698" w:rsidRDefault="006F6881" w:rsidP="00EB048E">
    <w:pPr>
      <w:pStyle w:val="Header"/>
      <w:rPr>
        <w:lang w:val="fr-CH"/>
      </w:rPr>
    </w:pPr>
    <w:proofErr w:type="spellStart"/>
    <w:r w:rsidRPr="00436698">
      <w:rPr>
        <w:lang w:val="fr-CH"/>
      </w:rPr>
      <w:t>Annex</w:t>
    </w:r>
    <w:proofErr w:type="spellEnd"/>
    <w:r w:rsidRPr="00436698">
      <w:rPr>
        <w:lang w:val="fr-CH"/>
      </w:rPr>
      <w:t xml:space="preserve">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F7251A">
      <w:rPr>
        <w:rStyle w:val="PageNumber"/>
        <w:noProof/>
        <w:lang w:val="fr-CH"/>
      </w:rPr>
      <w:t>2</w:t>
    </w:r>
    <w:r w:rsidRPr="00C5280D">
      <w:rPr>
        <w:rStyle w:val="PageNumber"/>
        <w:lang w:val="en-US"/>
      </w:rPr>
      <w:fldChar w:fldCharType="end"/>
    </w:r>
  </w:p>
  <w:p w:rsidR="006F6881" w:rsidRPr="00436698" w:rsidRDefault="006F6881"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Default="006F6881" w:rsidP="00273B07">
    <w:pPr>
      <w:jc w:val="center"/>
    </w:pPr>
    <w:r>
      <w:t>CAJ/76/5</w:t>
    </w:r>
  </w:p>
  <w:p w:rsidR="006F6881" w:rsidRDefault="006F6881" w:rsidP="00273B07">
    <w:pPr>
      <w:jc w:val="center"/>
    </w:pPr>
  </w:p>
  <w:p w:rsidR="006F6881" w:rsidRDefault="006F6881" w:rsidP="00273B07">
    <w:pPr>
      <w:jc w:val="center"/>
    </w:pPr>
    <w:r>
      <w:t xml:space="preserve">ANNEX IV </w:t>
    </w:r>
  </w:p>
  <w:p w:rsidR="006F6881" w:rsidRPr="004A75CB" w:rsidRDefault="006F6881" w:rsidP="00273B0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881" w:rsidRPr="00436698" w:rsidRDefault="006F6881" w:rsidP="00EB048E">
    <w:pPr>
      <w:pStyle w:val="Header"/>
      <w:rPr>
        <w:rStyle w:val="PageNumber"/>
        <w:lang w:val="fr-CH"/>
      </w:rPr>
    </w:pPr>
    <w:r>
      <w:t>CAJ/76/5</w:t>
    </w:r>
  </w:p>
  <w:p w:rsidR="006F6881" w:rsidRPr="00436698" w:rsidRDefault="006F6881" w:rsidP="00EB048E">
    <w:pPr>
      <w:pStyle w:val="Header"/>
      <w:rPr>
        <w:lang w:val="fr-CH"/>
      </w:rPr>
    </w:pPr>
    <w:proofErr w:type="spellStart"/>
    <w:r w:rsidRPr="00436698">
      <w:rPr>
        <w:lang w:val="fr-CH"/>
      </w:rPr>
      <w:t>Annex</w:t>
    </w:r>
    <w:proofErr w:type="spellEnd"/>
    <w:r w:rsidRPr="00436698">
      <w:rPr>
        <w:lang w:val="fr-CH"/>
      </w:rPr>
      <w:t xml:space="preserve"> 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F7251A">
      <w:rPr>
        <w:rStyle w:val="PageNumber"/>
        <w:noProof/>
        <w:lang w:val="fr-CH"/>
      </w:rPr>
      <w:t>2</w:t>
    </w:r>
    <w:r w:rsidRPr="00C5280D">
      <w:rPr>
        <w:rStyle w:val="PageNumber"/>
        <w:lang w:val="en-US"/>
      </w:rPr>
      <w:fldChar w:fldCharType="end"/>
    </w:r>
  </w:p>
  <w:p w:rsidR="006F6881" w:rsidRPr="00436698" w:rsidRDefault="006F6881"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96"/>
    <w:multiLevelType w:val="hybridMultilevel"/>
    <w:tmpl w:val="CFB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
  </w:num>
  <w:num w:numId="3">
    <w:abstractNumId w:val="11"/>
  </w:num>
  <w:num w:numId="4">
    <w:abstractNumId w:val="14"/>
  </w:num>
  <w:num w:numId="5">
    <w:abstractNumId w:val="5"/>
  </w:num>
  <w:num w:numId="6">
    <w:abstractNumId w:val="4"/>
  </w:num>
  <w:num w:numId="7">
    <w:abstractNumId w:val="9"/>
  </w:num>
  <w:num w:numId="8">
    <w:abstractNumId w:val="2"/>
  </w:num>
  <w:num w:numId="9">
    <w:abstractNumId w:val="3"/>
  </w:num>
  <w:num w:numId="10">
    <w:abstractNumId w:val="10"/>
  </w:num>
  <w:num w:numId="11">
    <w:abstractNumId w:val="8"/>
  </w:num>
  <w:num w:numId="12">
    <w:abstractNumId w:val="15"/>
  </w:num>
  <w:num w:numId="13">
    <w:abstractNumId w:val="13"/>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0377F"/>
    <w:rsid w:val="00010CF3"/>
    <w:rsid w:val="00011E27"/>
    <w:rsid w:val="000148BC"/>
    <w:rsid w:val="00024AB8"/>
    <w:rsid w:val="00027ED8"/>
    <w:rsid w:val="00030854"/>
    <w:rsid w:val="00033DC7"/>
    <w:rsid w:val="00036028"/>
    <w:rsid w:val="00043980"/>
    <w:rsid w:val="00044642"/>
    <w:rsid w:val="000446B9"/>
    <w:rsid w:val="00047E21"/>
    <w:rsid w:val="00050E16"/>
    <w:rsid w:val="000771BD"/>
    <w:rsid w:val="00085505"/>
    <w:rsid w:val="00095E9B"/>
    <w:rsid w:val="000963B5"/>
    <w:rsid w:val="000A0EE8"/>
    <w:rsid w:val="000A2621"/>
    <w:rsid w:val="000A6EA8"/>
    <w:rsid w:val="000C4E25"/>
    <w:rsid w:val="000C7021"/>
    <w:rsid w:val="000D6BBC"/>
    <w:rsid w:val="000D7780"/>
    <w:rsid w:val="000E636A"/>
    <w:rsid w:val="000F1B57"/>
    <w:rsid w:val="000F2F11"/>
    <w:rsid w:val="000F7CEF"/>
    <w:rsid w:val="00105929"/>
    <w:rsid w:val="001060C1"/>
    <w:rsid w:val="00106AE2"/>
    <w:rsid w:val="00110BED"/>
    <w:rsid w:val="00110C36"/>
    <w:rsid w:val="001131D5"/>
    <w:rsid w:val="00115EC9"/>
    <w:rsid w:val="00141DB8"/>
    <w:rsid w:val="00172084"/>
    <w:rsid w:val="0017474A"/>
    <w:rsid w:val="001758C6"/>
    <w:rsid w:val="00182B99"/>
    <w:rsid w:val="001867DA"/>
    <w:rsid w:val="0019194C"/>
    <w:rsid w:val="00191B62"/>
    <w:rsid w:val="001B2AAD"/>
    <w:rsid w:val="001C1525"/>
    <w:rsid w:val="001C26EF"/>
    <w:rsid w:val="001D6F7D"/>
    <w:rsid w:val="001D6F91"/>
    <w:rsid w:val="001E1491"/>
    <w:rsid w:val="001F501C"/>
    <w:rsid w:val="0021332C"/>
    <w:rsid w:val="00213982"/>
    <w:rsid w:val="0021694A"/>
    <w:rsid w:val="00230C3B"/>
    <w:rsid w:val="0024416D"/>
    <w:rsid w:val="00271911"/>
    <w:rsid w:val="00273B07"/>
    <w:rsid w:val="0027574C"/>
    <w:rsid w:val="002800A0"/>
    <w:rsid w:val="002801B3"/>
    <w:rsid w:val="00281060"/>
    <w:rsid w:val="002940E8"/>
    <w:rsid w:val="00294751"/>
    <w:rsid w:val="002A6E50"/>
    <w:rsid w:val="002B4298"/>
    <w:rsid w:val="002B73B3"/>
    <w:rsid w:val="002B7A36"/>
    <w:rsid w:val="002C256A"/>
    <w:rsid w:val="002E39F3"/>
    <w:rsid w:val="002F6D41"/>
    <w:rsid w:val="003035E1"/>
    <w:rsid w:val="00305A7F"/>
    <w:rsid w:val="003152FE"/>
    <w:rsid w:val="00327436"/>
    <w:rsid w:val="00344BD6"/>
    <w:rsid w:val="0035528D"/>
    <w:rsid w:val="00361821"/>
    <w:rsid w:val="00361E9E"/>
    <w:rsid w:val="003650DF"/>
    <w:rsid w:val="00386A20"/>
    <w:rsid w:val="00392E8B"/>
    <w:rsid w:val="003A2170"/>
    <w:rsid w:val="003A7637"/>
    <w:rsid w:val="003B033C"/>
    <w:rsid w:val="003C55FC"/>
    <w:rsid w:val="003C7FBE"/>
    <w:rsid w:val="003D227C"/>
    <w:rsid w:val="003D2B4D"/>
    <w:rsid w:val="003E3EC0"/>
    <w:rsid w:val="003E76C2"/>
    <w:rsid w:val="003F2C68"/>
    <w:rsid w:val="004043D7"/>
    <w:rsid w:val="0041246A"/>
    <w:rsid w:val="004162B6"/>
    <w:rsid w:val="00444A88"/>
    <w:rsid w:val="00457E49"/>
    <w:rsid w:val="00474DA4"/>
    <w:rsid w:val="00474EB8"/>
    <w:rsid w:val="00476B4D"/>
    <w:rsid w:val="004774B1"/>
    <w:rsid w:val="004805FA"/>
    <w:rsid w:val="00487379"/>
    <w:rsid w:val="004935D2"/>
    <w:rsid w:val="004A12AE"/>
    <w:rsid w:val="004A65CA"/>
    <w:rsid w:val="004B1215"/>
    <w:rsid w:val="004C3068"/>
    <w:rsid w:val="004D047D"/>
    <w:rsid w:val="004D4680"/>
    <w:rsid w:val="004E123D"/>
    <w:rsid w:val="004F1E9E"/>
    <w:rsid w:val="004F305A"/>
    <w:rsid w:val="004F5BEF"/>
    <w:rsid w:val="0050161D"/>
    <w:rsid w:val="00501AC5"/>
    <w:rsid w:val="00511E92"/>
    <w:rsid w:val="00512164"/>
    <w:rsid w:val="0051462F"/>
    <w:rsid w:val="00520297"/>
    <w:rsid w:val="00525015"/>
    <w:rsid w:val="005338F9"/>
    <w:rsid w:val="0054281C"/>
    <w:rsid w:val="00543F98"/>
    <w:rsid w:val="00544581"/>
    <w:rsid w:val="0055268D"/>
    <w:rsid w:val="00555B9E"/>
    <w:rsid w:val="005638F9"/>
    <w:rsid w:val="0056533D"/>
    <w:rsid w:val="0057143A"/>
    <w:rsid w:val="005755F0"/>
    <w:rsid w:val="005768BF"/>
    <w:rsid w:val="00576A55"/>
    <w:rsid w:val="00576BE4"/>
    <w:rsid w:val="005779DB"/>
    <w:rsid w:val="00597C41"/>
    <w:rsid w:val="005A400A"/>
    <w:rsid w:val="005B72F4"/>
    <w:rsid w:val="005C045D"/>
    <w:rsid w:val="005C282E"/>
    <w:rsid w:val="005C5A47"/>
    <w:rsid w:val="005E125A"/>
    <w:rsid w:val="005F08BB"/>
    <w:rsid w:val="005F7B92"/>
    <w:rsid w:val="00612379"/>
    <w:rsid w:val="006153B6"/>
    <w:rsid w:val="0061555F"/>
    <w:rsid w:val="00616F18"/>
    <w:rsid w:val="00636CA6"/>
    <w:rsid w:val="00641200"/>
    <w:rsid w:val="00645CA8"/>
    <w:rsid w:val="006655D3"/>
    <w:rsid w:val="00667404"/>
    <w:rsid w:val="006846C6"/>
    <w:rsid w:val="00685185"/>
    <w:rsid w:val="00685AE9"/>
    <w:rsid w:val="00687EB4"/>
    <w:rsid w:val="00690400"/>
    <w:rsid w:val="00691F62"/>
    <w:rsid w:val="00695C56"/>
    <w:rsid w:val="006A5CDE"/>
    <w:rsid w:val="006A644A"/>
    <w:rsid w:val="006B0A48"/>
    <w:rsid w:val="006B17D2"/>
    <w:rsid w:val="006B682C"/>
    <w:rsid w:val="006C224E"/>
    <w:rsid w:val="006C3063"/>
    <w:rsid w:val="006C3AB9"/>
    <w:rsid w:val="006C40C4"/>
    <w:rsid w:val="006D1FE0"/>
    <w:rsid w:val="006D5DC8"/>
    <w:rsid w:val="006D780A"/>
    <w:rsid w:val="006E0086"/>
    <w:rsid w:val="006F17F3"/>
    <w:rsid w:val="006F6881"/>
    <w:rsid w:val="0071271E"/>
    <w:rsid w:val="00732DEC"/>
    <w:rsid w:val="007355B8"/>
    <w:rsid w:val="00735BD5"/>
    <w:rsid w:val="007451EC"/>
    <w:rsid w:val="00751613"/>
    <w:rsid w:val="00753EE9"/>
    <w:rsid w:val="007556F6"/>
    <w:rsid w:val="00760EEF"/>
    <w:rsid w:val="007612CE"/>
    <w:rsid w:val="007614DE"/>
    <w:rsid w:val="00777EE5"/>
    <w:rsid w:val="00784836"/>
    <w:rsid w:val="0079023E"/>
    <w:rsid w:val="007A2800"/>
    <w:rsid w:val="007A2854"/>
    <w:rsid w:val="007B24A5"/>
    <w:rsid w:val="007C1D92"/>
    <w:rsid w:val="007C269B"/>
    <w:rsid w:val="007C2FEB"/>
    <w:rsid w:val="007C4CB9"/>
    <w:rsid w:val="007D0B9D"/>
    <w:rsid w:val="007D19B0"/>
    <w:rsid w:val="007F498F"/>
    <w:rsid w:val="0080679D"/>
    <w:rsid w:val="008108B0"/>
    <w:rsid w:val="00811B20"/>
    <w:rsid w:val="00812609"/>
    <w:rsid w:val="00812FB5"/>
    <w:rsid w:val="008200AE"/>
    <w:rsid w:val="008211B5"/>
    <w:rsid w:val="0082296E"/>
    <w:rsid w:val="00824099"/>
    <w:rsid w:val="00824EE7"/>
    <w:rsid w:val="0083066D"/>
    <w:rsid w:val="008312EA"/>
    <w:rsid w:val="008370F2"/>
    <w:rsid w:val="008430CA"/>
    <w:rsid w:val="00846D7C"/>
    <w:rsid w:val="008534A6"/>
    <w:rsid w:val="00867AC1"/>
    <w:rsid w:val="00884E6C"/>
    <w:rsid w:val="00890DF8"/>
    <w:rsid w:val="008A743F"/>
    <w:rsid w:val="008B2804"/>
    <w:rsid w:val="008C0970"/>
    <w:rsid w:val="008C76A6"/>
    <w:rsid w:val="008D0BC5"/>
    <w:rsid w:val="008D2CF7"/>
    <w:rsid w:val="008D7217"/>
    <w:rsid w:val="008F5C8B"/>
    <w:rsid w:val="008F7048"/>
    <w:rsid w:val="00900C26"/>
    <w:rsid w:val="0090197F"/>
    <w:rsid w:val="00903264"/>
    <w:rsid w:val="00906523"/>
    <w:rsid w:val="00906DDC"/>
    <w:rsid w:val="0091141B"/>
    <w:rsid w:val="00934E09"/>
    <w:rsid w:val="00936253"/>
    <w:rsid w:val="009379D4"/>
    <w:rsid w:val="00940D46"/>
    <w:rsid w:val="00952DD4"/>
    <w:rsid w:val="0095487F"/>
    <w:rsid w:val="00965AE7"/>
    <w:rsid w:val="00970FED"/>
    <w:rsid w:val="00992D82"/>
    <w:rsid w:val="00993ED3"/>
    <w:rsid w:val="0099568D"/>
    <w:rsid w:val="00995691"/>
    <w:rsid w:val="00997029"/>
    <w:rsid w:val="009A7339"/>
    <w:rsid w:val="009B440E"/>
    <w:rsid w:val="009C2233"/>
    <w:rsid w:val="009D3A71"/>
    <w:rsid w:val="009D690D"/>
    <w:rsid w:val="009E65B6"/>
    <w:rsid w:val="009F4C91"/>
    <w:rsid w:val="009F77CF"/>
    <w:rsid w:val="00A0355F"/>
    <w:rsid w:val="00A15001"/>
    <w:rsid w:val="00A20189"/>
    <w:rsid w:val="00A24C10"/>
    <w:rsid w:val="00A42AC3"/>
    <w:rsid w:val="00A430CF"/>
    <w:rsid w:val="00A54309"/>
    <w:rsid w:val="00A5775F"/>
    <w:rsid w:val="00A62A4B"/>
    <w:rsid w:val="00A722BC"/>
    <w:rsid w:val="00A75A38"/>
    <w:rsid w:val="00A80F2A"/>
    <w:rsid w:val="00A81377"/>
    <w:rsid w:val="00A8721B"/>
    <w:rsid w:val="00A943E6"/>
    <w:rsid w:val="00AB2B93"/>
    <w:rsid w:val="00AB530F"/>
    <w:rsid w:val="00AB7E5B"/>
    <w:rsid w:val="00AC2883"/>
    <w:rsid w:val="00AC69C9"/>
    <w:rsid w:val="00AD378E"/>
    <w:rsid w:val="00AD6D1D"/>
    <w:rsid w:val="00AE0EF1"/>
    <w:rsid w:val="00AE2937"/>
    <w:rsid w:val="00AE31A6"/>
    <w:rsid w:val="00AF2C7C"/>
    <w:rsid w:val="00AF3246"/>
    <w:rsid w:val="00B0556F"/>
    <w:rsid w:val="00B07301"/>
    <w:rsid w:val="00B114C1"/>
    <w:rsid w:val="00B11F3E"/>
    <w:rsid w:val="00B12265"/>
    <w:rsid w:val="00B224DE"/>
    <w:rsid w:val="00B324D4"/>
    <w:rsid w:val="00B4171A"/>
    <w:rsid w:val="00B43C19"/>
    <w:rsid w:val="00B46575"/>
    <w:rsid w:val="00B61777"/>
    <w:rsid w:val="00B622E6"/>
    <w:rsid w:val="00B642D5"/>
    <w:rsid w:val="00B74047"/>
    <w:rsid w:val="00B84BBD"/>
    <w:rsid w:val="00B91569"/>
    <w:rsid w:val="00B91A3D"/>
    <w:rsid w:val="00BA43FB"/>
    <w:rsid w:val="00BA666A"/>
    <w:rsid w:val="00BB1E7B"/>
    <w:rsid w:val="00BC127D"/>
    <w:rsid w:val="00BC1FE6"/>
    <w:rsid w:val="00BF010E"/>
    <w:rsid w:val="00C061B6"/>
    <w:rsid w:val="00C07BC4"/>
    <w:rsid w:val="00C2446C"/>
    <w:rsid w:val="00C33E97"/>
    <w:rsid w:val="00C36AE5"/>
    <w:rsid w:val="00C41F17"/>
    <w:rsid w:val="00C50128"/>
    <w:rsid w:val="00C52246"/>
    <w:rsid w:val="00C527FA"/>
    <w:rsid w:val="00C5280D"/>
    <w:rsid w:val="00C53EB3"/>
    <w:rsid w:val="00C5791C"/>
    <w:rsid w:val="00C64766"/>
    <w:rsid w:val="00C66290"/>
    <w:rsid w:val="00C72B7A"/>
    <w:rsid w:val="00C936F0"/>
    <w:rsid w:val="00C95164"/>
    <w:rsid w:val="00C973F2"/>
    <w:rsid w:val="00CA16E8"/>
    <w:rsid w:val="00CA304C"/>
    <w:rsid w:val="00CA774A"/>
    <w:rsid w:val="00CB2272"/>
    <w:rsid w:val="00CB2F7B"/>
    <w:rsid w:val="00CC11B0"/>
    <w:rsid w:val="00CC2841"/>
    <w:rsid w:val="00CD34A5"/>
    <w:rsid w:val="00CD62D8"/>
    <w:rsid w:val="00CF1330"/>
    <w:rsid w:val="00CF7E36"/>
    <w:rsid w:val="00D118C7"/>
    <w:rsid w:val="00D1372C"/>
    <w:rsid w:val="00D241D3"/>
    <w:rsid w:val="00D3708D"/>
    <w:rsid w:val="00D40426"/>
    <w:rsid w:val="00D57C96"/>
    <w:rsid w:val="00D57D18"/>
    <w:rsid w:val="00D72F7D"/>
    <w:rsid w:val="00D91203"/>
    <w:rsid w:val="00D95174"/>
    <w:rsid w:val="00DA1E95"/>
    <w:rsid w:val="00DA4973"/>
    <w:rsid w:val="00DA6F36"/>
    <w:rsid w:val="00DB04F5"/>
    <w:rsid w:val="00DB596E"/>
    <w:rsid w:val="00DB7773"/>
    <w:rsid w:val="00DC00EA"/>
    <w:rsid w:val="00DC3802"/>
    <w:rsid w:val="00DE42A3"/>
    <w:rsid w:val="00DE4929"/>
    <w:rsid w:val="00DE4939"/>
    <w:rsid w:val="00DF7B75"/>
    <w:rsid w:val="00E046B0"/>
    <w:rsid w:val="00E07D87"/>
    <w:rsid w:val="00E13E52"/>
    <w:rsid w:val="00E249C8"/>
    <w:rsid w:val="00E32F7E"/>
    <w:rsid w:val="00E3538E"/>
    <w:rsid w:val="00E44682"/>
    <w:rsid w:val="00E5267B"/>
    <w:rsid w:val="00E628C2"/>
    <w:rsid w:val="00E63C0E"/>
    <w:rsid w:val="00E7053E"/>
    <w:rsid w:val="00E7252C"/>
    <w:rsid w:val="00E72D49"/>
    <w:rsid w:val="00E75593"/>
    <w:rsid w:val="00E7593C"/>
    <w:rsid w:val="00E7678A"/>
    <w:rsid w:val="00E81C16"/>
    <w:rsid w:val="00E92852"/>
    <w:rsid w:val="00E935F1"/>
    <w:rsid w:val="00E94A81"/>
    <w:rsid w:val="00EA0432"/>
    <w:rsid w:val="00EA1FFB"/>
    <w:rsid w:val="00EB048E"/>
    <w:rsid w:val="00EB4E9C"/>
    <w:rsid w:val="00EC5814"/>
    <w:rsid w:val="00ED0947"/>
    <w:rsid w:val="00ED567F"/>
    <w:rsid w:val="00ED5DD2"/>
    <w:rsid w:val="00EE34DF"/>
    <w:rsid w:val="00EF2F89"/>
    <w:rsid w:val="00EF4894"/>
    <w:rsid w:val="00F03E98"/>
    <w:rsid w:val="00F05CFF"/>
    <w:rsid w:val="00F1022E"/>
    <w:rsid w:val="00F1237A"/>
    <w:rsid w:val="00F14645"/>
    <w:rsid w:val="00F22CBD"/>
    <w:rsid w:val="00F272F1"/>
    <w:rsid w:val="00F31412"/>
    <w:rsid w:val="00F4205C"/>
    <w:rsid w:val="00F45372"/>
    <w:rsid w:val="00F549A0"/>
    <w:rsid w:val="00F560F7"/>
    <w:rsid w:val="00F6334D"/>
    <w:rsid w:val="00F63599"/>
    <w:rsid w:val="00F643C9"/>
    <w:rsid w:val="00F65508"/>
    <w:rsid w:val="00F7251A"/>
    <w:rsid w:val="00F928F4"/>
    <w:rsid w:val="00FA49AB"/>
    <w:rsid w:val="00FE39C7"/>
    <w:rsid w:val="00FE42F1"/>
    <w:rsid w:val="00FE56B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8975B32"/>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73B0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B07"/>
    <w:rPr>
      <w:rFonts w:ascii="Arial" w:hAnsi="Arial"/>
      <w:caps/>
    </w:rPr>
  </w:style>
  <w:style w:type="character" w:customStyle="1" w:styleId="Heading2Char">
    <w:name w:val="Heading 2 Char"/>
    <w:link w:val="Heading2"/>
    <w:locked/>
    <w:rsid w:val="00273B07"/>
    <w:rPr>
      <w:rFonts w:ascii="Arial" w:hAnsi="Arial"/>
      <w:u w:val="single"/>
    </w:rPr>
  </w:style>
  <w:style w:type="character" w:customStyle="1" w:styleId="Heading3Char">
    <w:name w:val="Heading 3 Char"/>
    <w:basedOn w:val="DefaultParagraphFont"/>
    <w:link w:val="Heading3"/>
    <w:rsid w:val="00273B07"/>
    <w:rPr>
      <w:rFonts w:ascii="Arial" w:hAnsi="Arial"/>
      <w:i/>
    </w:rPr>
  </w:style>
  <w:style w:type="character" w:customStyle="1" w:styleId="Heading4Char">
    <w:name w:val="Heading 4 Char"/>
    <w:link w:val="Heading4"/>
    <w:rsid w:val="00273B07"/>
    <w:rPr>
      <w:rFonts w:ascii="Arial" w:hAnsi="Arial"/>
      <w:u w:val="single"/>
      <w:lang w:val="fr-FR"/>
    </w:rPr>
  </w:style>
  <w:style w:type="character" w:customStyle="1" w:styleId="Heading6Char">
    <w:name w:val="Heading 6 Char"/>
    <w:basedOn w:val="DefaultParagraphFont"/>
    <w:link w:val="Heading6"/>
    <w:semiHidden/>
    <w:rsid w:val="00273B07"/>
    <w:rPr>
      <w:rFonts w:asciiTheme="majorHAnsi" w:eastAsiaTheme="majorEastAsia" w:hAnsiTheme="majorHAnsi" w:cstheme="majorBidi"/>
      <w:color w:val="243F60" w:themeColor="accent1" w:themeShade="7F"/>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B07"/>
    <w:rPr>
      <w:rFonts w:ascii="Arial" w:hAnsi="Arial"/>
      <w:lang w:val="fr-FR"/>
    </w:rPr>
  </w:style>
  <w:style w:type="paragraph" w:styleId="Footer">
    <w:name w:val="footer"/>
    <w:aliases w:val="doc_path_name"/>
    <w:autoRedefine/>
    <w:rsid w:val="00DE42A3"/>
    <w:pPr>
      <w:ind w:right="595"/>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AF324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106AE2"/>
    <w:pPr>
      <w:tabs>
        <w:tab w:val="right" w:leader="dot" w:pos="9639"/>
      </w:tabs>
      <w:spacing w:after="120"/>
      <w:ind w:left="284" w:right="283"/>
    </w:pPr>
    <w:rPr>
      <w:rFonts w:ascii="Arial" w:hAnsi="Arial"/>
      <w:noProof/>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6AE2"/>
    <w:pPr>
      <w:tabs>
        <w:tab w:val="right" w:leader="dot" w:pos="9639"/>
      </w:tabs>
      <w:spacing w:after="120"/>
      <w:jc w:val="center"/>
    </w:pPr>
    <w:rPr>
      <w:rFonts w:ascii="Arial" w:hAnsi="Arial"/>
      <w:caps/>
      <w:noProof/>
      <w:snapToGrid w:val="0"/>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73B07"/>
    <w:rPr>
      <w:b/>
    </w:rPr>
  </w:style>
  <w:style w:type="paragraph" w:customStyle="1" w:styleId="Sessiontwpplacedate">
    <w:name w:val="Session_twp_place_date"/>
    <w:basedOn w:val="Normal"/>
    <w:next w:val="Normal"/>
    <w:qFormat/>
    <w:rsid w:val="00273B07"/>
  </w:style>
  <w:style w:type="paragraph" w:styleId="ListParagraph">
    <w:name w:val="List Paragraph"/>
    <w:basedOn w:val="Normal"/>
    <w:uiPriority w:val="34"/>
    <w:qFormat/>
    <w:rsid w:val="00273B07"/>
    <w:pPr>
      <w:ind w:left="720"/>
      <w:contextualSpacing/>
    </w:pPr>
  </w:style>
  <w:style w:type="table" w:styleId="TableGrid">
    <w:name w:val="Table Grid"/>
    <w:basedOn w:val="TableNormal"/>
    <w:rsid w:val="0027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73B07"/>
    <w:rPr>
      <w:color w:val="800080" w:themeColor="followedHyperlink"/>
      <w:u w:val="single"/>
    </w:rPr>
  </w:style>
  <w:style w:type="character" w:customStyle="1" w:styleId="DecisionParagraphsChar">
    <w:name w:val="DecisionParagraphs Char"/>
    <w:basedOn w:val="DefaultParagraphFont"/>
    <w:link w:val="DecisionParagraphs"/>
    <w:rsid w:val="003A2170"/>
    <w:rPr>
      <w:rFonts w:ascii="Arial" w:hAnsi="Arial"/>
      <w:i/>
    </w:rPr>
  </w:style>
  <w:style w:type="character" w:styleId="CommentReference">
    <w:name w:val="annotation reference"/>
    <w:basedOn w:val="DefaultParagraphFont"/>
    <w:semiHidden/>
    <w:unhideWhenUsed/>
    <w:rsid w:val="00A722BC"/>
    <w:rPr>
      <w:sz w:val="16"/>
      <w:szCs w:val="16"/>
    </w:rPr>
  </w:style>
  <w:style w:type="paragraph" w:styleId="CommentText">
    <w:name w:val="annotation text"/>
    <w:basedOn w:val="Normal"/>
    <w:link w:val="CommentTextChar"/>
    <w:semiHidden/>
    <w:unhideWhenUsed/>
    <w:rsid w:val="00A722BC"/>
  </w:style>
  <w:style w:type="character" w:customStyle="1" w:styleId="CommentTextChar">
    <w:name w:val="Comment Text Char"/>
    <w:basedOn w:val="DefaultParagraphFont"/>
    <w:link w:val="CommentText"/>
    <w:semiHidden/>
    <w:rsid w:val="00A722BC"/>
    <w:rPr>
      <w:rFonts w:ascii="Arial" w:hAnsi="Arial"/>
    </w:rPr>
  </w:style>
  <w:style w:type="paragraph" w:styleId="CommentSubject">
    <w:name w:val="annotation subject"/>
    <w:basedOn w:val="CommentText"/>
    <w:next w:val="CommentText"/>
    <w:link w:val="CommentSubjectChar"/>
    <w:semiHidden/>
    <w:unhideWhenUsed/>
    <w:rsid w:val="00A722BC"/>
    <w:rPr>
      <w:b/>
      <w:bCs/>
    </w:rPr>
  </w:style>
  <w:style w:type="character" w:customStyle="1" w:styleId="CommentSubjectChar">
    <w:name w:val="Comment Subject Char"/>
    <w:basedOn w:val="CommentTextChar"/>
    <w:link w:val="CommentSubject"/>
    <w:semiHidden/>
    <w:rsid w:val="00A722BC"/>
    <w:rPr>
      <w:rFonts w:ascii="Arial" w:hAnsi="Arial"/>
      <w:b/>
      <w:bCs/>
    </w:rPr>
  </w:style>
  <w:style w:type="character" w:customStyle="1" w:styleId="EndnoteTextChar">
    <w:name w:val="Endnote Text Char"/>
    <w:basedOn w:val="DefaultParagraphFont"/>
    <w:link w:val="EndnoteText"/>
    <w:semiHidden/>
    <w:rsid w:val="005755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50">
      <w:bodyDiv w:val="1"/>
      <w:marLeft w:val="0"/>
      <w:marRight w:val="0"/>
      <w:marTop w:val="0"/>
      <w:marBottom w:val="0"/>
      <w:divBdr>
        <w:top w:val="none" w:sz="0" w:space="0" w:color="auto"/>
        <w:left w:val="none" w:sz="0" w:space="0" w:color="auto"/>
        <w:bottom w:val="none" w:sz="0" w:space="0" w:color="auto"/>
        <w:right w:val="none" w:sz="0" w:space="0" w:color="auto"/>
      </w:divBdr>
    </w:div>
    <w:div w:id="449326419">
      <w:bodyDiv w:val="1"/>
      <w:marLeft w:val="0"/>
      <w:marRight w:val="0"/>
      <w:marTop w:val="0"/>
      <w:marBottom w:val="0"/>
      <w:divBdr>
        <w:top w:val="none" w:sz="0" w:space="0" w:color="auto"/>
        <w:left w:val="none" w:sz="0" w:space="0" w:color="auto"/>
        <w:bottom w:val="none" w:sz="0" w:space="0" w:color="auto"/>
        <w:right w:val="none" w:sz="0" w:space="0" w:color="auto"/>
      </w:divBdr>
    </w:div>
    <w:div w:id="189696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yperlink" Target="https://www.upov.int/edocs/mdocs/upov/en/tc_54/tc_54_31.pdf" TargetMode="External"/><Relationship Id="rId17" Type="http://schemas.openxmlformats.org/officeDocument/2006/relationships/header" Target="header4.xml"/><Relationship Id="rId25" Type="http://schemas.openxmlformats.org/officeDocument/2006/relationships/image" Target="media/image7.w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upov_collection/en/" TargetMode="External"/><Relationship Id="rId24" Type="http://schemas.openxmlformats.org/officeDocument/2006/relationships/image" Target="media/image6.wmf"/><Relationship Id="rId32" Type="http://schemas.openxmlformats.org/officeDocument/2006/relationships/header" Target="header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2.xml"/><Relationship Id="rId10" Type="http://schemas.openxmlformats.org/officeDocument/2006/relationships/hyperlink" Target="https://www.upov.int/edocs/mdocs/upov/en/caj_75/caj_75_13.pdf" TargetMode="Externa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upov.int/edocs/mdocs/upov/en/tc_54/tc_54_5_rev.pdf" TargetMode="Externa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upov.int/edocs/mdocs/upov/en/tc_54/tc_54_31.pdf" TargetMode="External"/><Relationship Id="rId13" Type="http://schemas.openxmlformats.org/officeDocument/2006/relationships/hyperlink" Target="https://www.upov.int/edocs/mdocs/upov/en/tc_54/tc_54_31.pdf" TargetMode="External"/><Relationship Id="rId18" Type="http://schemas.openxmlformats.org/officeDocument/2006/relationships/hyperlink" Target="https://www.upov.int/edocs/mdocs/upov/en/caj_75/caj_75_14.pdf" TargetMode="External"/><Relationship Id="rId3" Type="http://schemas.openxmlformats.org/officeDocument/2006/relationships/hyperlink" Target="https://www.upov.int/edocs/mdocs/upov/en/caj_75/caj_75_14.pdf" TargetMode="External"/><Relationship Id="rId7" Type="http://schemas.openxmlformats.org/officeDocument/2006/relationships/hyperlink" Target="https://www.upov.int/meetings/en/doc_details.jsp?meeting_id=48107&amp;doc_id=419311" TargetMode="External"/><Relationship Id="rId12" Type="http://schemas.openxmlformats.org/officeDocument/2006/relationships/hyperlink" Target="https://www.upov.int/meetings/en/doc_details.jsp?meeting_id=48107&amp;doc_id=419311" TargetMode="External"/><Relationship Id="rId17" Type="http://schemas.openxmlformats.org/officeDocument/2006/relationships/hyperlink" Target="https://www.upov.int/edocs/mdocs/upov/en/tc_54/tc_54_31.pdf" TargetMode="External"/><Relationship Id="rId2" Type="http://schemas.openxmlformats.org/officeDocument/2006/relationships/hyperlink" Target="https://www.upov.int/edocs/mdocs/upov/en/tc_54/tc_54_31.pdf" TargetMode="External"/><Relationship Id="rId16" Type="http://schemas.openxmlformats.org/officeDocument/2006/relationships/hyperlink" Target="https://www.upov.int/edocs/mdocs/upov/en/tc_54/tc_54_31.pdf" TargetMode="External"/><Relationship Id="rId1" Type="http://schemas.openxmlformats.org/officeDocument/2006/relationships/hyperlink" Target="https://www.upov.int/meetings/en/doc_details.jsp?meeting_id=48107&amp;doc_id=419311" TargetMode="External"/><Relationship Id="rId6" Type="http://schemas.openxmlformats.org/officeDocument/2006/relationships/hyperlink" Target="https://www.upov.int/edocs/mdocs/upov/en/tc_53/tc_53_31.pdf" TargetMode="External"/><Relationship Id="rId11" Type="http://schemas.openxmlformats.org/officeDocument/2006/relationships/hyperlink" Target="https://www.upov.int/edocs/mdocs/upov/en/tc_53/tc_53_31.pdf" TargetMode="External"/><Relationship Id="rId5" Type="http://schemas.openxmlformats.org/officeDocument/2006/relationships/hyperlink" Target="https://www.upov.int/edocs/mdocs/upov/en/tc_54/tc_54_31.pdf" TargetMode="External"/><Relationship Id="rId15" Type="http://schemas.openxmlformats.org/officeDocument/2006/relationships/hyperlink" Target="https://www.upov.int/edocs/mdocs/upov/en/tc_54/tc_54_31.pdf" TargetMode="External"/><Relationship Id="rId10" Type="http://schemas.openxmlformats.org/officeDocument/2006/relationships/hyperlink" Target="https://www.upov.int/edocs/mdocs/upov/en/tc_54/tc_54_31.pdf" TargetMode="External"/><Relationship Id="rId4" Type="http://schemas.openxmlformats.org/officeDocument/2006/relationships/hyperlink" Target="https://www.upov.int/meetings/en/doc_details.jsp?meeting_id=48107&amp;doc_id=419311" TargetMode="External"/><Relationship Id="rId9" Type="http://schemas.openxmlformats.org/officeDocument/2006/relationships/hyperlink" Target="https://www.upov.int/meetings/en/doc_details.jsp?meeting_id=48107&amp;doc_id=419311" TargetMode="External"/><Relationship Id="rId14" Type="http://schemas.openxmlformats.org/officeDocument/2006/relationships/hyperlink" Target="https://www.upov.int/meetings/en/doc_details.jsp?meeting_id=48107&amp;doc_id=4193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4608-038A-47A3-B07F-6385BA0A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30</TotalTime>
  <Pages>17</Pages>
  <Words>6351</Words>
  <Characters>36203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CAJ/76/5</vt:lpstr>
    </vt:vector>
  </TitlesOfParts>
  <Company>UPOV</Company>
  <LinksUpToDate>false</LinksUpToDate>
  <CharactersWithSpaces>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CAJ/76/5</dc:title>
  <dc:creator>SANCHEZ VIZCAINO GOMEZ Rosa Maria</dc:creator>
  <cp:lastModifiedBy>SANCHEZ VIZCAINO GOMEZ Rosa Maria</cp:lastModifiedBy>
  <cp:revision>28</cp:revision>
  <cp:lastPrinted>2019-08-02T10:07:00Z</cp:lastPrinted>
  <dcterms:created xsi:type="dcterms:W3CDTF">2019-07-09T14:13:00Z</dcterms:created>
  <dcterms:modified xsi:type="dcterms:W3CDTF">2019-08-02T10:41:00Z</dcterms:modified>
</cp:coreProperties>
</file>