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F31412">
            <w:pPr>
              <w:pStyle w:val="Sessiontcplacedate"/>
              <w:rPr>
                <w:sz w:val="22"/>
              </w:rPr>
            </w:pPr>
            <w:r>
              <w:t>Seventy-</w:t>
            </w:r>
            <w:r w:rsidR="00F31412">
              <w:t>Six</w:t>
            </w:r>
            <w:r w:rsidR="00110BED">
              <w:t>th</w:t>
            </w:r>
            <w:r w:rsidR="00EB4E9C" w:rsidRPr="00DA4973">
              <w:t xml:space="preserve"> Session</w:t>
            </w:r>
            <w:r w:rsidR="00EB4E9C" w:rsidRPr="00DA4973">
              <w:br/>
              <w:t xml:space="preserve">Geneva, </w:t>
            </w:r>
            <w:r>
              <w:t>October 3</w:t>
            </w:r>
            <w:r w:rsidR="00F31412">
              <w:t>0, 2019</w:t>
            </w:r>
          </w:p>
        </w:tc>
        <w:tc>
          <w:tcPr>
            <w:tcW w:w="3127" w:type="dxa"/>
          </w:tcPr>
          <w:p w:rsidR="00EB4E9C" w:rsidRPr="003C7FBE" w:rsidRDefault="00F31412" w:rsidP="003C7FBE">
            <w:pPr>
              <w:pStyle w:val="Doccode"/>
            </w:pPr>
            <w:r>
              <w:t>CAJ</w:t>
            </w:r>
            <w:r w:rsidR="00511E92">
              <w:t>/76/4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507D5">
            <w:pPr>
              <w:pStyle w:val="Docoriginal"/>
            </w:pPr>
            <w:r w:rsidRPr="00AC2883">
              <w:t>Date:</w:t>
            </w:r>
            <w:r w:rsidRPr="000E636A">
              <w:rPr>
                <w:b w:val="0"/>
                <w:spacing w:val="0"/>
              </w:rPr>
              <w:t xml:space="preserve">  </w:t>
            </w:r>
            <w:r w:rsidR="00ED2A67" w:rsidRPr="00C57415">
              <w:rPr>
                <w:b w:val="0"/>
                <w:spacing w:val="0"/>
              </w:rPr>
              <w:t xml:space="preserve">July </w:t>
            </w:r>
            <w:r w:rsidR="003507D5" w:rsidRPr="00C57415">
              <w:rPr>
                <w:b w:val="0"/>
                <w:spacing w:val="0"/>
              </w:rPr>
              <w:t>23</w:t>
            </w:r>
            <w:r w:rsidRPr="00C57415">
              <w:rPr>
                <w:b w:val="0"/>
                <w:spacing w:val="0"/>
              </w:rPr>
              <w:t>, 201</w:t>
            </w:r>
            <w:r w:rsidR="00F31412" w:rsidRPr="00C57415">
              <w:rPr>
                <w:b w:val="0"/>
                <w:spacing w:val="0"/>
              </w:rPr>
              <w:t>9</w:t>
            </w:r>
          </w:p>
        </w:tc>
      </w:tr>
    </w:tbl>
    <w:p w:rsidR="000D7780" w:rsidRPr="006A644A" w:rsidRDefault="00511E92" w:rsidP="006A644A">
      <w:pPr>
        <w:pStyle w:val="Titleofdoc0"/>
      </w:pPr>
      <w:bookmarkStart w:id="0" w:name="TitleOfDoc"/>
      <w:bookmarkEnd w:id="0"/>
      <w:r w:rsidRPr="00511E92">
        <w:t>Development of information materials concerning the UPOV Convention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D4336" w:rsidRPr="004B0FC0" w:rsidRDefault="00ED4336" w:rsidP="00ED4336">
      <w:pPr>
        <w:pStyle w:val="Heading1"/>
        <w:rPr>
          <w:snapToGrid w:val="0"/>
        </w:rPr>
      </w:pPr>
      <w:bookmarkStart w:id="2" w:name="_Toc522523019"/>
      <w:bookmarkStart w:id="3" w:name="_Toc14799989"/>
      <w:r w:rsidRPr="004B0FC0">
        <w:rPr>
          <w:snapToGrid w:val="0"/>
        </w:rPr>
        <w:t>EXECUTIVE SUMMARY</w:t>
      </w:r>
      <w:bookmarkEnd w:id="2"/>
      <w:bookmarkEnd w:id="3"/>
    </w:p>
    <w:p w:rsidR="00ED4336" w:rsidRPr="004B0FC0" w:rsidRDefault="00ED4336" w:rsidP="00ED4336">
      <w:pPr>
        <w:rPr>
          <w:snapToGrid w:val="0"/>
        </w:rPr>
      </w:pPr>
    </w:p>
    <w:p w:rsidR="00ED4336" w:rsidRPr="004B0FC0" w:rsidRDefault="00ED4336" w:rsidP="00ED4336">
      <w:r w:rsidRPr="004B0FC0">
        <w:fldChar w:fldCharType="begin"/>
      </w:r>
      <w:r w:rsidRPr="004B0FC0">
        <w:instrText xml:space="preserve"> AUTONUM  </w:instrText>
      </w:r>
      <w:r w:rsidRPr="004B0FC0">
        <w:fldChar w:fldCharType="end"/>
      </w:r>
      <w:r w:rsidRPr="004B0FC0">
        <w:tab/>
        <w:t xml:space="preserve">The purpose of this document is to provide background information to assist the Administrative and Legal Committee (CAJ) in its consideration of relevant matters </w:t>
      </w:r>
      <w:r w:rsidR="006D4190">
        <w:t>concerning</w:t>
      </w:r>
      <w:r w:rsidRPr="004B0FC0">
        <w:t xml:space="preserve"> the development of information materials.</w:t>
      </w:r>
    </w:p>
    <w:p w:rsidR="00ED4336" w:rsidRPr="004B0FC0" w:rsidRDefault="00ED4336" w:rsidP="00ED4336"/>
    <w:p w:rsidR="00ED4336" w:rsidRPr="004B0FC0" w:rsidRDefault="00ED4336" w:rsidP="00ED4336">
      <w:pPr>
        <w:keepNext/>
        <w:rPr>
          <w:u w:val="single"/>
        </w:rPr>
      </w:pPr>
      <w:r w:rsidRPr="004B0FC0">
        <w:fldChar w:fldCharType="begin"/>
      </w:r>
      <w:r w:rsidRPr="004B0FC0">
        <w:instrText xml:space="preserve"> AUTONUM  </w:instrText>
      </w:r>
      <w:r w:rsidRPr="004B0FC0">
        <w:fldChar w:fldCharType="end"/>
      </w:r>
      <w:r w:rsidRPr="004B0FC0">
        <w:tab/>
        <w:t xml:space="preserve">The CAJ </w:t>
      </w:r>
      <w:proofErr w:type="gramStart"/>
      <w:r w:rsidRPr="004B0FC0">
        <w:t>is invited</w:t>
      </w:r>
      <w:proofErr w:type="gramEnd"/>
      <w:r w:rsidRPr="004B0FC0">
        <w:t xml:space="preserve"> to:</w:t>
      </w:r>
    </w:p>
    <w:p w:rsidR="00ED4336" w:rsidRDefault="00ED4336" w:rsidP="00ED4336"/>
    <w:p w:rsidR="004A7B3B" w:rsidRDefault="00ED4336" w:rsidP="004A7B3B">
      <w:r>
        <w:tab/>
      </w:r>
      <w:r w:rsidR="004A7B3B">
        <w:t>(a)</w:t>
      </w:r>
      <w:r w:rsidR="004A7B3B">
        <w:tab/>
      </w:r>
      <w:proofErr w:type="gramStart"/>
      <w:r w:rsidR="00061A89" w:rsidRPr="00E06B56">
        <w:t>note</w:t>
      </w:r>
      <w:proofErr w:type="gramEnd"/>
      <w:r w:rsidR="00061A89" w:rsidRPr="00E06B56">
        <w:t xml:space="preserve"> that </w:t>
      </w:r>
      <w:r w:rsidR="00061A89">
        <w:t xml:space="preserve">matters </w:t>
      </w:r>
      <w:r w:rsidR="00061A89" w:rsidRPr="00E06B56">
        <w:t xml:space="preserve">concerning essentially derived varieties </w:t>
      </w:r>
      <w:r w:rsidR="00061A89">
        <w:t>are considered in document CAJ/76/3</w:t>
      </w:r>
      <w:r w:rsidR="004A7B3B">
        <w:t xml:space="preserve">; </w:t>
      </w:r>
    </w:p>
    <w:p w:rsidR="004A7B3B" w:rsidRDefault="004A7B3B" w:rsidP="004A7B3B"/>
    <w:p w:rsidR="004A7B3B" w:rsidRDefault="004A7B3B" w:rsidP="004A7B3B">
      <w:r>
        <w:tab/>
      </w:r>
      <w:r w:rsidR="00061A89">
        <w:t>(b)</w:t>
      </w:r>
      <w:r w:rsidR="00061A89">
        <w:tab/>
      </w:r>
      <w:proofErr w:type="gramStart"/>
      <w:r w:rsidR="00061A89" w:rsidRPr="004F1804">
        <w:t>note</w:t>
      </w:r>
      <w:proofErr w:type="gramEnd"/>
      <w:r w:rsidR="00061A89" w:rsidRPr="004F1804">
        <w:t xml:space="preserve"> that </w:t>
      </w:r>
      <w:r w:rsidR="00061A89">
        <w:t>matters concerning variety denominations are considered in document CAJ/76/6 “Variety denominations”; and</w:t>
      </w:r>
    </w:p>
    <w:p w:rsidR="004A7B3B" w:rsidRDefault="004A7B3B" w:rsidP="004A7B3B"/>
    <w:p w:rsidR="00D1634D" w:rsidRDefault="004A7B3B" w:rsidP="004A7B3B">
      <w:r>
        <w:tab/>
        <w:t>(c)</w:t>
      </w:r>
      <w:r>
        <w:tab/>
      </w:r>
      <w:proofErr w:type="gramStart"/>
      <w:r w:rsidR="00061A89" w:rsidRPr="004F1804">
        <w:t>consider</w:t>
      </w:r>
      <w:proofErr w:type="gramEnd"/>
      <w:r w:rsidR="00061A89" w:rsidRPr="004F1804">
        <w:t xml:space="preserve"> the program for the development of information materials.</w:t>
      </w:r>
    </w:p>
    <w:p w:rsidR="00ED4336" w:rsidRDefault="00ED4336" w:rsidP="00ED4336">
      <w:pPr>
        <w:jc w:val="left"/>
        <w:rPr>
          <w:rFonts w:cs="Arial"/>
        </w:rPr>
      </w:pPr>
    </w:p>
    <w:p w:rsidR="00454FD7" w:rsidRDefault="00454FD7" w:rsidP="00ED4336">
      <w:pPr>
        <w:jc w:val="left"/>
        <w:rPr>
          <w:rFonts w:cs="Arial"/>
        </w:rPr>
      </w:pPr>
    </w:p>
    <w:p w:rsidR="00ED4336" w:rsidRPr="004B0FC0" w:rsidRDefault="00ED4336" w:rsidP="00ED4336">
      <w:pPr>
        <w:keepNext/>
        <w:rPr>
          <w:u w:val="single"/>
        </w:rPr>
      </w:pPr>
      <w:r>
        <w:rPr>
          <w:u w:val="single"/>
        </w:rPr>
        <w:t>T</w:t>
      </w:r>
      <w:r w:rsidRPr="004B0FC0">
        <w:rPr>
          <w:u w:val="single"/>
        </w:rPr>
        <w:t>able of Contents</w:t>
      </w:r>
    </w:p>
    <w:p w:rsidR="00ED4336" w:rsidRPr="004B0FC0" w:rsidRDefault="00ED4336" w:rsidP="00ED4336">
      <w:pPr>
        <w:keepNext/>
      </w:pPr>
    </w:p>
    <w:p w:rsidR="00BD32F6" w:rsidRPr="00C32765" w:rsidRDefault="00ED4336">
      <w:pPr>
        <w:pStyle w:val="TOC1"/>
        <w:rPr>
          <w:rFonts w:asciiTheme="minorHAnsi" w:eastAsiaTheme="minorEastAsia" w:hAnsiTheme="minorHAnsi" w:cstheme="minorBidi"/>
          <w:caps w:val="0"/>
          <w:noProof/>
        </w:rPr>
      </w:pPr>
      <w:r w:rsidRPr="00C32765">
        <w:rPr>
          <w:rFonts w:eastAsia="Arial Unicode MS"/>
          <w:b/>
          <w:bCs/>
          <w:noProof/>
        </w:rPr>
        <w:fldChar w:fldCharType="begin"/>
      </w:r>
      <w:r w:rsidRPr="00C32765">
        <w:rPr>
          <w:rFonts w:eastAsia="Arial Unicode MS"/>
          <w:b/>
        </w:rPr>
        <w:instrText xml:space="preserve"> TOC \"Heading 1;1" </w:instrText>
      </w:r>
      <w:r w:rsidRPr="00C32765">
        <w:rPr>
          <w:rFonts w:eastAsia="Arial Unicode MS"/>
          <w:b/>
          <w:bCs/>
          <w:noProof/>
        </w:rPr>
        <w:fldChar w:fldCharType="separate"/>
      </w:r>
      <w:r w:rsidR="00BD32F6" w:rsidRPr="00C32765">
        <w:rPr>
          <w:noProof/>
          <w:snapToGrid w:val="0"/>
        </w:rPr>
        <w:t>EXECUTIVE SUMMARY</w:t>
      </w:r>
      <w:r w:rsidR="00BD32F6" w:rsidRPr="00C32765">
        <w:rPr>
          <w:noProof/>
        </w:rPr>
        <w:tab/>
      </w:r>
      <w:r w:rsidR="00BD32F6" w:rsidRPr="00C32765">
        <w:rPr>
          <w:noProof/>
        </w:rPr>
        <w:fldChar w:fldCharType="begin"/>
      </w:r>
      <w:r w:rsidR="00BD32F6" w:rsidRPr="00C32765">
        <w:rPr>
          <w:noProof/>
        </w:rPr>
        <w:instrText xml:space="preserve"> PAGEREF _Toc14799989 \h </w:instrText>
      </w:r>
      <w:r w:rsidR="00BD32F6" w:rsidRPr="00C32765">
        <w:rPr>
          <w:noProof/>
        </w:rPr>
      </w:r>
      <w:r w:rsidR="00BD32F6" w:rsidRPr="00C32765">
        <w:rPr>
          <w:noProof/>
        </w:rPr>
        <w:fldChar w:fldCharType="separate"/>
      </w:r>
      <w:r w:rsidR="00BD32F6" w:rsidRPr="00C32765">
        <w:rPr>
          <w:noProof/>
        </w:rPr>
        <w:t>1</w:t>
      </w:r>
      <w:r w:rsidR="00BD32F6" w:rsidRPr="00C32765">
        <w:rPr>
          <w:noProof/>
        </w:rPr>
        <w:fldChar w:fldCharType="end"/>
      </w:r>
    </w:p>
    <w:p w:rsidR="00BD32F6" w:rsidRPr="00C32765" w:rsidRDefault="00BD32F6">
      <w:pPr>
        <w:pStyle w:val="TOC1"/>
        <w:rPr>
          <w:rFonts w:asciiTheme="minorHAnsi" w:eastAsiaTheme="minorEastAsia" w:hAnsiTheme="minorHAnsi" w:cstheme="minorBidi"/>
          <w:caps w:val="0"/>
          <w:noProof/>
        </w:rPr>
      </w:pPr>
      <w:r w:rsidRPr="00C32765">
        <w:rPr>
          <w:noProof/>
        </w:rPr>
        <w:t>INTRODUCTION</w:t>
      </w:r>
      <w:r w:rsidRPr="00C32765">
        <w:rPr>
          <w:noProof/>
        </w:rPr>
        <w:tab/>
      </w:r>
      <w:r w:rsidRPr="00C32765">
        <w:rPr>
          <w:noProof/>
        </w:rPr>
        <w:fldChar w:fldCharType="begin"/>
      </w:r>
      <w:r w:rsidRPr="00C32765">
        <w:rPr>
          <w:noProof/>
        </w:rPr>
        <w:instrText xml:space="preserve"> PAGEREF _Toc14799990 \h </w:instrText>
      </w:r>
      <w:r w:rsidRPr="00C32765">
        <w:rPr>
          <w:noProof/>
        </w:rPr>
      </w:r>
      <w:r w:rsidRPr="00C32765">
        <w:rPr>
          <w:noProof/>
        </w:rPr>
        <w:fldChar w:fldCharType="separate"/>
      </w:r>
      <w:r w:rsidRPr="00C32765">
        <w:rPr>
          <w:noProof/>
        </w:rPr>
        <w:t>2</w:t>
      </w:r>
      <w:r w:rsidRPr="00C32765">
        <w:rPr>
          <w:noProof/>
        </w:rPr>
        <w:fldChar w:fldCharType="end"/>
      </w:r>
    </w:p>
    <w:p w:rsidR="00BD32F6" w:rsidRPr="00C32765" w:rsidRDefault="00BD32F6">
      <w:pPr>
        <w:pStyle w:val="TOC1"/>
        <w:rPr>
          <w:rFonts w:asciiTheme="minorHAnsi" w:eastAsiaTheme="minorEastAsia" w:hAnsiTheme="minorHAnsi" w:cstheme="minorBidi"/>
          <w:caps w:val="0"/>
          <w:noProof/>
        </w:rPr>
      </w:pPr>
      <w:r w:rsidRPr="00C32765">
        <w:rPr>
          <w:rFonts w:cs="Arial"/>
          <w:noProof/>
        </w:rPr>
        <w:t>OVERVIEW OF THE DEVELOPMENT OF INFORMATION MATERIALS</w:t>
      </w:r>
      <w:r w:rsidRPr="00C32765">
        <w:rPr>
          <w:noProof/>
        </w:rPr>
        <w:tab/>
      </w:r>
      <w:r w:rsidRPr="00C32765">
        <w:rPr>
          <w:noProof/>
        </w:rPr>
        <w:fldChar w:fldCharType="begin"/>
      </w:r>
      <w:r w:rsidRPr="00C32765">
        <w:rPr>
          <w:noProof/>
        </w:rPr>
        <w:instrText xml:space="preserve"> PAGEREF _Toc14799991 \h </w:instrText>
      </w:r>
      <w:r w:rsidRPr="00C32765">
        <w:rPr>
          <w:noProof/>
        </w:rPr>
      </w:r>
      <w:r w:rsidRPr="00C32765">
        <w:rPr>
          <w:noProof/>
        </w:rPr>
        <w:fldChar w:fldCharType="separate"/>
      </w:r>
      <w:r w:rsidRPr="00C32765">
        <w:rPr>
          <w:noProof/>
        </w:rPr>
        <w:t>2</w:t>
      </w:r>
      <w:r w:rsidRPr="00C32765">
        <w:rPr>
          <w:noProof/>
        </w:rPr>
        <w:fldChar w:fldCharType="end"/>
      </w:r>
    </w:p>
    <w:p w:rsidR="00BD32F6" w:rsidRPr="00C32765" w:rsidRDefault="00BD32F6">
      <w:pPr>
        <w:pStyle w:val="TOC1"/>
        <w:rPr>
          <w:rFonts w:asciiTheme="minorHAnsi" w:eastAsiaTheme="minorEastAsia" w:hAnsiTheme="minorHAnsi" w:cstheme="minorBidi"/>
          <w:caps w:val="0"/>
          <w:noProof/>
        </w:rPr>
      </w:pPr>
      <w:r w:rsidRPr="00C32765">
        <w:rPr>
          <w:rFonts w:cs="Arial"/>
          <w:noProof/>
        </w:rPr>
        <w:t>INFORMATION MATERIALS</w:t>
      </w:r>
      <w:r w:rsidRPr="00C32765">
        <w:rPr>
          <w:noProof/>
        </w:rPr>
        <w:tab/>
      </w:r>
      <w:r w:rsidRPr="00C32765">
        <w:rPr>
          <w:noProof/>
        </w:rPr>
        <w:fldChar w:fldCharType="begin"/>
      </w:r>
      <w:r w:rsidRPr="00C32765">
        <w:rPr>
          <w:noProof/>
        </w:rPr>
        <w:instrText xml:space="preserve"> PAGEREF _Toc14799992 \h </w:instrText>
      </w:r>
      <w:r w:rsidRPr="00C32765">
        <w:rPr>
          <w:noProof/>
        </w:rPr>
      </w:r>
      <w:r w:rsidRPr="00C32765">
        <w:rPr>
          <w:noProof/>
        </w:rPr>
        <w:fldChar w:fldCharType="separate"/>
      </w:r>
      <w:r w:rsidRPr="00C32765">
        <w:rPr>
          <w:noProof/>
        </w:rPr>
        <w:t>2</w:t>
      </w:r>
      <w:r w:rsidRPr="00C32765">
        <w:rPr>
          <w:noProof/>
        </w:rPr>
        <w:fldChar w:fldCharType="end"/>
      </w:r>
    </w:p>
    <w:p w:rsidR="00BD32F6" w:rsidRPr="00C32765" w:rsidRDefault="00BD32F6">
      <w:pPr>
        <w:pStyle w:val="TOC2"/>
        <w:rPr>
          <w:rFonts w:asciiTheme="minorHAnsi" w:eastAsiaTheme="minorEastAsia" w:hAnsiTheme="minorHAnsi" w:cstheme="minorBidi"/>
          <w:smallCaps/>
          <w:noProof/>
        </w:rPr>
      </w:pPr>
      <w:r w:rsidRPr="00C32765">
        <w:rPr>
          <w:noProof/>
        </w:rPr>
        <w:t>Essentially Derived Varieties</w:t>
      </w:r>
      <w:r w:rsidRPr="00C32765">
        <w:rPr>
          <w:noProof/>
        </w:rPr>
        <w:tab/>
      </w:r>
      <w:r w:rsidRPr="00C32765">
        <w:rPr>
          <w:noProof/>
        </w:rPr>
        <w:fldChar w:fldCharType="begin"/>
      </w:r>
      <w:r w:rsidRPr="00C32765">
        <w:rPr>
          <w:noProof/>
        </w:rPr>
        <w:instrText xml:space="preserve"> PAGEREF _Toc14799993 \h </w:instrText>
      </w:r>
      <w:r w:rsidRPr="00C32765">
        <w:rPr>
          <w:noProof/>
        </w:rPr>
      </w:r>
      <w:r w:rsidRPr="00C32765">
        <w:rPr>
          <w:noProof/>
        </w:rPr>
        <w:fldChar w:fldCharType="separate"/>
      </w:r>
      <w:r w:rsidRPr="00C32765">
        <w:rPr>
          <w:noProof/>
        </w:rPr>
        <w:t>3</w:t>
      </w:r>
      <w:r w:rsidRPr="00C32765">
        <w:rPr>
          <w:noProof/>
        </w:rPr>
        <w:fldChar w:fldCharType="end"/>
      </w:r>
    </w:p>
    <w:p w:rsidR="00BD32F6" w:rsidRPr="00C32765" w:rsidRDefault="00BD32F6">
      <w:pPr>
        <w:pStyle w:val="TOC2"/>
        <w:rPr>
          <w:rFonts w:asciiTheme="minorHAnsi" w:eastAsiaTheme="minorEastAsia" w:hAnsiTheme="minorHAnsi" w:cstheme="minorBidi"/>
          <w:smallCaps/>
          <w:noProof/>
        </w:rPr>
      </w:pPr>
      <w:r w:rsidRPr="00C32765">
        <w:rPr>
          <w:noProof/>
        </w:rPr>
        <w:t>Variety Denominations</w:t>
      </w:r>
      <w:r w:rsidRPr="00C32765">
        <w:rPr>
          <w:noProof/>
        </w:rPr>
        <w:tab/>
      </w:r>
      <w:r w:rsidRPr="00C32765">
        <w:rPr>
          <w:noProof/>
        </w:rPr>
        <w:fldChar w:fldCharType="begin"/>
      </w:r>
      <w:r w:rsidRPr="00C32765">
        <w:rPr>
          <w:noProof/>
        </w:rPr>
        <w:instrText xml:space="preserve"> PAGEREF _Toc14799994 \h </w:instrText>
      </w:r>
      <w:r w:rsidRPr="00C32765">
        <w:rPr>
          <w:noProof/>
        </w:rPr>
      </w:r>
      <w:r w:rsidRPr="00C32765">
        <w:rPr>
          <w:noProof/>
        </w:rPr>
        <w:fldChar w:fldCharType="separate"/>
      </w:r>
      <w:r w:rsidRPr="00C32765">
        <w:rPr>
          <w:noProof/>
        </w:rPr>
        <w:t>3</w:t>
      </w:r>
      <w:r w:rsidRPr="00C32765">
        <w:rPr>
          <w:noProof/>
        </w:rPr>
        <w:fldChar w:fldCharType="end"/>
      </w:r>
    </w:p>
    <w:p w:rsidR="00BD32F6" w:rsidRPr="00C32765" w:rsidRDefault="00BD32F6">
      <w:pPr>
        <w:pStyle w:val="TOC1"/>
        <w:rPr>
          <w:rFonts w:asciiTheme="minorHAnsi" w:eastAsiaTheme="minorEastAsia" w:hAnsiTheme="minorHAnsi" w:cstheme="minorBidi"/>
          <w:caps w:val="0"/>
          <w:noProof/>
        </w:rPr>
      </w:pPr>
      <w:r w:rsidRPr="00C32765">
        <w:rPr>
          <w:noProof/>
        </w:rPr>
        <w:t>TENTATIVE PROGRAM FOR THE DEVELOPMENT OF INFORMATION MATERIALS</w:t>
      </w:r>
      <w:r w:rsidRPr="00C32765">
        <w:rPr>
          <w:noProof/>
        </w:rPr>
        <w:tab/>
      </w:r>
      <w:r w:rsidRPr="00C32765">
        <w:rPr>
          <w:noProof/>
        </w:rPr>
        <w:fldChar w:fldCharType="begin"/>
      </w:r>
      <w:r w:rsidRPr="00C32765">
        <w:rPr>
          <w:noProof/>
        </w:rPr>
        <w:instrText xml:space="preserve"> PAGEREF _Toc14799995 \h </w:instrText>
      </w:r>
      <w:r w:rsidRPr="00C32765">
        <w:rPr>
          <w:noProof/>
        </w:rPr>
      </w:r>
      <w:r w:rsidRPr="00C32765">
        <w:rPr>
          <w:noProof/>
        </w:rPr>
        <w:fldChar w:fldCharType="separate"/>
      </w:r>
      <w:r w:rsidRPr="00C32765">
        <w:rPr>
          <w:noProof/>
        </w:rPr>
        <w:t>4</w:t>
      </w:r>
      <w:r w:rsidRPr="00C32765">
        <w:rPr>
          <w:noProof/>
        </w:rPr>
        <w:fldChar w:fldCharType="end"/>
      </w:r>
    </w:p>
    <w:p w:rsidR="00ED4336" w:rsidRPr="00C32765" w:rsidRDefault="00ED4336" w:rsidP="00C32765">
      <w:pPr>
        <w:spacing w:after="120"/>
        <w:ind w:left="1134" w:right="1134" w:hanging="1134"/>
        <w:jc w:val="left"/>
        <w:rPr>
          <w:rFonts w:eastAsia="Arial Unicode MS"/>
        </w:rPr>
      </w:pPr>
      <w:r w:rsidRPr="00C32765">
        <w:rPr>
          <w:rFonts w:eastAsia="Arial Unicode MS" w:cs="Arial"/>
          <w:b/>
        </w:rPr>
        <w:fldChar w:fldCharType="end"/>
      </w:r>
      <w:r w:rsidRPr="00C32765">
        <w:rPr>
          <w:rFonts w:eastAsia="Arial Unicode MS"/>
        </w:rPr>
        <w:t xml:space="preserve">ANNEX </w:t>
      </w:r>
      <w:r w:rsidRPr="00C32765">
        <w:rPr>
          <w:rFonts w:eastAsia="Arial Unicode MS"/>
        </w:rPr>
        <w:tab/>
        <w:t>OVERVIEW OF THE DEVELOPMENT OF INFORMATION MATERIALS</w:t>
      </w:r>
    </w:p>
    <w:p w:rsidR="00ED4336" w:rsidRDefault="00ED4336" w:rsidP="00ED4336"/>
    <w:p w:rsidR="00ED4336" w:rsidRDefault="00ED4336" w:rsidP="00ED4336"/>
    <w:p w:rsidR="00EC3F80" w:rsidRPr="004B0FC0" w:rsidRDefault="00EC3F80" w:rsidP="00ED4336"/>
    <w:p w:rsidR="00ED4336" w:rsidRPr="004B0FC0" w:rsidRDefault="00ED4336" w:rsidP="00ED4336">
      <w:pPr>
        <w:pStyle w:val="Heading1"/>
      </w:pPr>
      <w:bookmarkStart w:id="4" w:name="_Toc522523020"/>
      <w:bookmarkStart w:id="5" w:name="_Toc14799990"/>
      <w:r w:rsidRPr="004B0FC0">
        <w:t>INTRODUCTION</w:t>
      </w:r>
      <w:bookmarkEnd w:id="4"/>
      <w:bookmarkEnd w:id="5"/>
    </w:p>
    <w:p w:rsidR="00ED4336" w:rsidRPr="004B0FC0" w:rsidRDefault="00ED4336" w:rsidP="00ED4336">
      <w:pPr>
        <w:keepNext/>
      </w:pPr>
    </w:p>
    <w:p w:rsidR="00ED4336" w:rsidRPr="00980611" w:rsidRDefault="00ED4336" w:rsidP="00ED4336">
      <w:pPr>
        <w:autoSpaceDE w:val="0"/>
        <w:rPr>
          <w:rFonts w:cs="Arial"/>
        </w:rPr>
      </w:pPr>
      <w:r w:rsidRPr="00980611">
        <w:rPr>
          <w:rFonts w:cs="Arial"/>
        </w:rPr>
        <w:fldChar w:fldCharType="begin"/>
      </w:r>
      <w:r w:rsidRPr="00980611">
        <w:rPr>
          <w:rFonts w:cs="Arial"/>
        </w:rPr>
        <w:instrText xml:space="preserve"> AUTONUM  </w:instrText>
      </w:r>
      <w:r w:rsidRPr="00980611">
        <w:rPr>
          <w:rFonts w:cs="Arial"/>
        </w:rPr>
        <w:fldChar w:fldCharType="end"/>
      </w:r>
      <w:r w:rsidRPr="00980611">
        <w:rPr>
          <w:rFonts w:cs="Arial"/>
        </w:rPr>
        <w:tab/>
        <w:t>The C</w:t>
      </w:r>
      <w:r>
        <w:rPr>
          <w:rFonts w:cs="Arial"/>
        </w:rPr>
        <w:t>AJ, at its fifty-second session</w:t>
      </w:r>
      <w:r w:rsidRPr="00980611">
        <w:rPr>
          <w:rStyle w:val="FootnoteReference"/>
          <w:rFonts w:cs="Arial"/>
        </w:rPr>
        <w:footnoteReference w:id="2"/>
      </w:r>
      <w:r w:rsidR="003507D5">
        <w:rPr>
          <w:rFonts w:cs="Arial"/>
        </w:rPr>
        <w:t>,</w:t>
      </w:r>
      <w:r>
        <w:rPr>
          <w:rFonts w:cs="Arial"/>
        </w:rPr>
        <w:t xml:space="preserve"> </w:t>
      </w:r>
      <w:r w:rsidRPr="00980611">
        <w:rPr>
          <w:rFonts w:cs="Arial"/>
        </w:rPr>
        <w:t>agreed an approach for the preparation of information materials</w:t>
      </w:r>
      <w:r>
        <w:rPr>
          <w:rFonts w:cs="Arial"/>
        </w:rPr>
        <w:t xml:space="preserve"> concerning the UPOV Convention</w:t>
      </w:r>
      <w:r w:rsidRPr="00980611">
        <w:rPr>
          <w:rStyle w:val="FootnoteReference"/>
          <w:rFonts w:cs="Arial"/>
        </w:rPr>
        <w:footnoteReference w:id="3"/>
      </w:r>
      <w:r>
        <w:rPr>
          <w:rFonts w:cs="Arial"/>
        </w:rPr>
        <w:t>.</w:t>
      </w:r>
      <w:r w:rsidRPr="00980611">
        <w:rPr>
          <w:rFonts w:cs="Arial"/>
        </w:rPr>
        <w:t xml:space="preserve">  It also agreed to the establishment of an</w:t>
      </w:r>
      <w:r w:rsidR="003952E2">
        <w:rPr>
          <w:rFonts w:cs="Arial"/>
        </w:rPr>
        <w:t xml:space="preserve"> advisory group to the CAJ (CAJ</w:t>
      </w:r>
      <w:r w:rsidR="003952E2">
        <w:rPr>
          <w:rFonts w:cs="Arial"/>
        </w:rPr>
        <w:noBreakHyphen/>
      </w:r>
      <w:r w:rsidRPr="00980611">
        <w:rPr>
          <w:rFonts w:cs="Arial"/>
        </w:rPr>
        <w:t>AG) to assist in the preparation of docu</w:t>
      </w:r>
      <w:r>
        <w:rPr>
          <w:rFonts w:cs="Arial"/>
        </w:rPr>
        <w:t>ments concerning such materials</w:t>
      </w:r>
      <w:r w:rsidRPr="00980611">
        <w:rPr>
          <w:rStyle w:val="FootnoteReference"/>
          <w:rFonts w:cs="Arial"/>
        </w:rPr>
        <w:footnoteReference w:id="4"/>
      </w:r>
      <w:r>
        <w:rPr>
          <w:rFonts w:cs="Arial"/>
        </w:rPr>
        <w:t>.</w:t>
      </w:r>
      <w:r w:rsidRPr="00980611">
        <w:rPr>
          <w:rFonts w:cs="Arial"/>
        </w:rPr>
        <w:t xml:space="preserve">  The agreed approach is summarized as follows:  the Office of the Union will develop certain draft </w:t>
      </w:r>
      <w:proofErr w:type="gramStart"/>
      <w:r w:rsidRPr="00980611">
        <w:rPr>
          <w:rFonts w:cs="Arial"/>
        </w:rPr>
        <w:t>materials which</w:t>
      </w:r>
      <w:proofErr w:type="gramEnd"/>
      <w:r w:rsidRPr="00980611">
        <w:rPr>
          <w:rFonts w:cs="Arial"/>
        </w:rPr>
        <w:t xml:space="preserve"> it considers covers aspects of a straightforward nature and will circulate these to the CAJ for comments within a specified time.  </w:t>
      </w:r>
      <w:proofErr w:type="gramStart"/>
      <w:r w:rsidRPr="00980611">
        <w:rPr>
          <w:rFonts w:cs="Arial"/>
        </w:rPr>
        <w:lastRenderedPageBreak/>
        <w:t>In other cases, where it is considered that there are difficult issues, where discussions at a CAJ session would be important for the development of suitable information materials, and also in cases where the drafts on seemingly straightforward materials provoke unexpected concerns when circulated for comments, it was agreed that the assistance of the CAJ-AG would be sought prior to the CAJ being invited to discuss those matters at its sessions.</w:t>
      </w:r>
      <w:proofErr w:type="gramEnd"/>
      <w:r w:rsidRPr="00980611">
        <w:rPr>
          <w:rFonts w:cs="Arial"/>
        </w:rPr>
        <w:t xml:space="preserve"> </w:t>
      </w:r>
    </w:p>
    <w:p w:rsidR="00ED4336" w:rsidRPr="00980611" w:rsidRDefault="00ED4336" w:rsidP="00ED4336">
      <w:pPr>
        <w:rPr>
          <w:rFonts w:cs="Arial"/>
        </w:rPr>
      </w:pPr>
    </w:p>
    <w:p w:rsidR="00ED4336" w:rsidRPr="00980611" w:rsidRDefault="00ED4336" w:rsidP="00ED4336">
      <w:pPr>
        <w:tabs>
          <w:tab w:val="left" w:pos="567"/>
        </w:tabs>
        <w:autoSpaceDE w:val="0"/>
        <w:rPr>
          <w:rFonts w:cs="Arial"/>
        </w:rPr>
      </w:pPr>
      <w:r w:rsidRPr="00980611">
        <w:rPr>
          <w:rFonts w:cs="Arial"/>
        </w:rPr>
        <w:fldChar w:fldCharType="begin"/>
      </w:r>
      <w:r w:rsidRPr="00980611">
        <w:rPr>
          <w:rFonts w:cs="Arial"/>
        </w:rPr>
        <w:instrText xml:space="preserve"> AUTONUM  </w:instrText>
      </w:r>
      <w:r w:rsidRPr="00980611">
        <w:rPr>
          <w:rFonts w:cs="Arial"/>
        </w:rPr>
        <w:fldChar w:fldCharType="end"/>
      </w:r>
      <w:r w:rsidRPr="00980611">
        <w:rPr>
          <w:rFonts w:cs="Arial"/>
        </w:rPr>
        <w:tab/>
        <w:t>The CAJ, at its seventieth session</w:t>
      </w:r>
      <w:r w:rsidRPr="00980611">
        <w:rPr>
          <w:rStyle w:val="FootnoteReference"/>
          <w:rFonts w:cs="Arial"/>
        </w:rPr>
        <w:footnoteReference w:id="5"/>
      </w:r>
      <w:r w:rsidR="003507D5">
        <w:rPr>
          <w:rFonts w:cs="Arial"/>
        </w:rPr>
        <w:t>,</w:t>
      </w:r>
      <w:r w:rsidRPr="00980611">
        <w:rPr>
          <w:rFonts w:cs="Arial"/>
        </w:rPr>
        <w:t xml:space="preserve"> agreed that all matters under con</w:t>
      </w:r>
      <w:r>
        <w:rPr>
          <w:rFonts w:cs="Arial"/>
        </w:rPr>
        <w:t>sideration by the CAJ-AG at its </w:t>
      </w:r>
      <w:r w:rsidRPr="00980611">
        <w:rPr>
          <w:rFonts w:cs="Arial"/>
        </w:rPr>
        <w:t>ninth session</w:t>
      </w:r>
      <w:r w:rsidRPr="00980611">
        <w:rPr>
          <w:rStyle w:val="FootnoteReference"/>
          <w:rFonts w:cs="Arial"/>
        </w:rPr>
        <w:footnoteReference w:id="6"/>
      </w:r>
      <w:r w:rsidRPr="00980611">
        <w:rPr>
          <w:rFonts w:cs="Arial"/>
        </w:rPr>
        <w:t xml:space="preserve"> should, following the ninth session of the CAJ-AG, </w:t>
      </w:r>
      <w:proofErr w:type="gramStart"/>
      <w:r w:rsidRPr="00980611">
        <w:rPr>
          <w:rFonts w:cs="Arial"/>
        </w:rPr>
        <w:t>be con</w:t>
      </w:r>
      <w:r>
        <w:rPr>
          <w:rFonts w:cs="Arial"/>
        </w:rPr>
        <w:t>sidered</w:t>
      </w:r>
      <w:proofErr w:type="gramEnd"/>
      <w:r>
        <w:rPr>
          <w:rFonts w:cs="Arial"/>
        </w:rPr>
        <w:t xml:space="preserve"> by the CAJ and that the </w:t>
      </w:r>
      <w:r w:rsidRPr="00980611">
        <w:rPr>
          <w:rFonts w:cs="Arial"/>
        </w:rPr>
        <w:t xml:space="preserve">CAJ-AG should only be convened, on an </w:t>
      </w:r>
      <w:r w:rsidRPr="00980611">
        <w:rPr>
          <w:rFonts w:cs="Arial"/>
          <w:i/>
        </w:rPr>
        <w:t>ad hoc</w:t>
      </w:r>
      <w:r w:rsidRPr="00980611">
        <w:rPr>
          <w:rFonts w:cs="Arial"/>
        </w:rPr>
        <w:t xml:space="preserve"> basis, as co</w:t>
      </w:r>
      <w:r>
        <w:rPr>
          <w:rFonts w:cs="Arial"/>
        </w:rPr>
        <w:t>nsidered appropriate by the CAJ.</w:t>
      </w:r>
      <w:r w:rsidRPr="00980611">
        <w:rPr>
          <w:rStyle w:val="FootnoteReference"/>
          <w:rFonts w:cs="Arial"/>
        </w:rPr>
        <w:footnoteReference w:id="7"/>
      </w:r>
    </w:p>
    <w:p w:rsidR="00ED4336" w:rsidRDefault="00ED4336" w:rsidP="00ED4336">
      <w:pPr>
        <w:rPr>
          <w:rFonts w:cs="Arial"/>
        </w:rPr>
      </w:pPr>
    </w:p>
    <w:p w:rsidR="00F47727" w:rsidRDefault="00F47727" w:rsidP="00ED4336">
      <w:pPr>
        <w:rPr>
          <w:rFonts w:cs="Arial"/>
        </w:rPr>
      </w:pPr>
      <w:bookmarkStart w:id="6" w:name="_GoBack"/>
      <w:bookmarkEnd w:id="6"/>
    </w:p>
    <w:p w:rsidR="00ED4336" w:rsidRPr="00980611" w:rsidRDefault="00ED4336" w:rsidP="00ED4336">
      <w:pPr>
        <w:rPr>
          <w:rFonts w:cs="Arial"/>
        </w:rPr>
      </w:pPr>
    </w:p>
    <w:p w:rsidR="00ED4336" w:rsidRPr="00A7259F" w:rsidRDefault="00ED4336" w:rsidP="00ED4336">
      <w:pPr>
        <w:pStyle w:val="Heading1"/>
        <w:rPr>
          <w:rFonts w:cs="Arial"/>
        </w:rPr>
      </w:pPr>
      <w:bookmarkStart w:id="7" w:name="_Toc522523021"/>
      <w:bookmarkStart w:id="8" w:name="_Toc14799991"/>
      <w:r w:rsidRPr="00A7259F">
        <w:rPr>
          <w:rFonts w:cs="Arial"/>
        </w:rPr>
        <w:t>OVERVIEW OF THE DEVELOPMENT OF INFORMATION MATERIALS</w:t>
      </w:r>
      <w:bookmarkEnd w:id="7"/>
      <w:bookmarkEnd w:id="8"/>
    </w:p>
    <w:p w:rsidR="00ED4336" w:rsidRPr="00A7259F" w:rsidRDefault="00ED4336" w:rsidP="00ED4336">
      <w:pPr>
        <w:keepNext/>
        <w:rPr>
          <w:rFonts w:cs="Arial"/>
        </w:rPr>
      </w:pPr>
    </w:p>
    <w:p w:rsidR="00ED4336" w:rsidRPr="00980611" w:rsidRDefault="00ED4336" w:rsidP="00ED4336">
      <w:pPr>
        <w:rPr>
          <w:rFonts w:cs="Arial"/>
        </w:rPr>
      </w:pPr>
      <w:r w:rsidRPr="00A7259F">
        <w:rPr>
          <w:rFonts w:cs="Arial"/>
        </w:rPr>
        <w:fldChar w:fldCharType="begin"/>
      </w:r>
      <w:r w:rsidRPr="00A7259F">
        <w:rPr>
          <w:rFonts w:cs="Arial"/>
        </w:rPr>
        <w:instrText xml:space="preserve"> AUTONUM  </w:instrText>
      </w:r>
      <w:r w:rsidRPr="00A7259F">
        <w:rPr>
          <w:rFonts w:cs="Arial"/>
        </w:rPr>
        <w:fldChar w:fldCharType="end"/>
      </w:r>
      <w:r w:rsidRPr="00A7259F">
        <w:rPr>
          <w:rFonts w:cs="Arial"/>
        </w:rPr>
        <w:tab/>
      </w:r>
      <w:r w:rsidRPr="00A7259F">
        <w:rPr>
          <w:rFonts w:cs="Arial"/>
          <w:spacing w:val="-2"/>
        </w:rPr>
        <w:t xml:space="preserve">An overview of the development of information materials </w:t>
      </w:r>
      <w:proofErr w:type="gramStart"/>
      <w:r w:rsidRPr="00A7259F">
        <w:rPr>
          <w:rFonts w:cs="Arial"/>
          <w:spacing w:val="-2"/>
        </w:rPr>
        <w:t>is provided</w:t>
      </w:r>
      <w:proofErr w:type="gramEnd"/>
      <w:r w:rsidRPr="00A7259F">
        <w:rPr>
          <w:rFonts w:cs="Arial"/>
          <w:spacing w:val="-2"/>
        </w:rPr>
        <w:t xml:space="preserve"> in the Annex to this document.</w:t>
      </w:r>
      <w:r w:rsidRPr="00980611">
        <w:rPr>
          <w:rFonts w:cs="Arial"/>
        </w:rPr>
        <w:t xml:space="preserve"> </w:t>
      </w:r>
    </w:p>
    <w:p w:rsidR="00ED4336" w:rsidRDefault="00ED4336" w:rsidP="00ED4336">
      <w:pPr>
        <w:rPr>
          <w:rFonts w:cs="Arial"/>
        </w:rPr>
      </w:pPr>
    </w:p>
    <w:p w:rsidR="00D94A45" w:rsidRDefault="00D94A45" w:rsidP="00ED4336">
      <w:pPr>
        <w:rPr>
          <w:rFonts w:cs="Arial"/>
        </w:rPr>
      </w:pPr>
    </w:p>
    <w:p w:rsidR="00F47727" w:rsidRPr="00980611" w:rsidRDefault="00F47727" w:rsidP="00ED4336">
      <w:pPr>
        <w:rPr>
          <w:rFonts w:cs="Arial"/>
        </w:rPr>
      </w:pPr>
    </w:p>
    <w:p w:rsidR="00ED4336" w:rsidRPr="00980611" w:rsidRDefault="00ED4336" w:rsidP="00ED4336">
      <w:pPr>
        <w:pStyle w:val="Heading1"/>
        <w:rPr>
          <w:rFonts w:cs="Arial"/>
        </w:rPr>
      </w:pPr>
      <w:bookmarkStart w:id="9" w:name="_Toc522523022"/>
      <w:bookmarkStart w:id="10" w:name="_Toc14799992"/>
      <w:r w:rsidRPr="00980611">
        <w:rPr>
          <w:rFonts w:cs="Arial"/>
        </w:rPr>
        <w:t>INFORMATION MATERIALS</w:t>
      </w:r>
      <w:bookmarkEnd w:id="9"/>
      <w:bookmarkEnd w:id="10"/>
      <w:r w:rsidRPr="00980611">
        <w:rPr>
          <w:rFonts w:cs="Arial"/>
        </w:rPr>
        <w:t xml:space="preserve"> </w:t>
      </w:r>
    </w:p>
    <w:p w:rsidR="00ED4336" w:rsidRPr="00DC1C2A" w:rsidRDefault="00ED4336" w:rsidP="00ED4336">
      <w:pPr>
        <w:rPr>
          <w:rFonts w:cs="Arial"/>
        </w:rPr>
      </w:pPr>
    </w:p>
    <w:p w:rsidR="00ED4336" w:rsidRDefault="003952E2" w:rsidP="00ED4336">
      <w:pPr>
        <w:pStyle w:val="Heading2"/>
      </w:pPr>
      <w:bookmarkStart w:id="11" w:name="_Toc522523023"/>
      <w:bookmarkStart w:id="12" w:name="_Toc14799993"/>
      <w:r w:rsidRPr="003952E2">
        <w:t>Essentially Derived Varieties</w:t>
      </w:r>
      <w:bookmarkEnd w:id="11"/>
      <w:bookmarkEnd w:id="12"/>
    </w:p>
    <w:p w:rsidR="00E06B56" w:rsidRDefault="00E06B56" w:rsidP="00E06B56"/>
    <w:p w:rsidR="00E06B56" w:rsidRDefault="00E06B56" w:rsidP="00E06B56">
      <w:r>
        <w:fldChar w:fldCharType="begin"/>
      </w:r>
      <w:r>
        <w:instrText xml:space="preserve"> AUTONUM  </w:instrText>
      </w:r>
      <w:r>
        <w:fldChar w:fldCharType="end"/>
      </w:r>
      <w:r>
        <w:tab/>
        <w:t xml:space="preserve">The CAJ </w:t>
      </w:r>
      <w:proofErr w:type="gramStart"/>
      <w:r>
        <w:t>is invited</w:t>
      </w:r>
      <w:proofErr w:type="gramEnd"/>
      <w:r>
        <w:t xml:space="preserve"> to </w:t>
      </w:r>
      <w:r w:rsidRPr="005F3DD5">
        <w:t xml:space="preserve">note that </w:t>
      </w:r>
      <w:r w:rsidR="006D4190">
        <w:t>matters</w:t>
      </w:r>
      <w:r w:rsidRPr="005F3DD5">
        <w:t xml:space="preserve"> concerning essentially derived varieties</w:t>
      </w:r>
      <w:r w:rsidR="006D4190">
        <w:t xml:space="preserve"> are considered</w:t>
      </w:r>
      <w:r>
        <w:t xml:space="preserve"> in document CAJ/76/3 “Essentially Derived Varieties”.</w:t>
      </w:r>
    </w:p>
    <w:p w:rsidR="00E06B56" w:rsidRDefault="00E06B56" w:rsidP="00E06B56"/>
    <w:p w:rsidR="00E06B56" w:rsidRDefault="00E06B56" w:rsidP="00E06B56">
      <w:pPr>
        <w:rPr>
          <w:rFonts w:eastAsiaTheme="minorEastAsia"/>
        </w:rPr>
      </w:pPr>
      <w:r>
        <w:fldChar w:fldCharType="begin"/>
      </w:r>
      <w:r>
        <w:instrText xml:space="preserve"> AUTONUM  </w:instrText>
      </w:r>
      <w:r>
        <w:fldChar w:fldCharType="end"/>
      </w:r>
      <w:r>
        <w:tab/>
      </w:r>
      <w:r>
        <w:rPr>
          <w:rFonts w:eastAsiaTheme="minorEastAsia"/>
        </w:rPr>
        <w:t xml:space="preserve">The CAJ, </w:t>
      </w:r>
      <w:r w:rsidRPr="009E4242">
        <w:rPr>
          <w:spacing w:val="-2"/>
          <w:kern w:val="28"/>
        </w:rPr>
        <w:t>at its seventy-fifth session</w:t>
      </w:r>
      <w:r>
        <w:rPr>
          <w:rStyle w:val="FootnoteReference"/>
          <w:spacing w:val="-2"/>
          <w:kern w:val="28"/>
        </w:rPr>
        <w:footnoteReference w:id="8"/>
      </w:r>
      <w:r w:rsidR="003507D5">
        <w:rPr>
          <w:spacing w:val="-2"/>
          <w:kern w:val="28"/>
        </w:rPr>
        <w:t>,</w:t>
      </w:r>
      <w:r w:rsidRPr="009E4242">
        <w:rPr>
          <w:spacing w:val="-2"/>
          <w:kern w:val="28"/>
        </w:rPr>
        <w:t xml:space="preserve"> </w:t>
      </w:r>
      <w:r>
        <w:rPr>
          <w:rFonts w:eastAsiaTheme="minorEastAsia"/>
        </w:rPr>
        <w:t xml:space="preserve">agreed that the consideration of the revision of the Explanatory Notes on </w:t>
      </w:r>
      <w:r>
        <w:t xml:space="preserve">EDVs </w:t>
      </w:r>
      <w:r>
        <w:rPr>
          <w:rFonts w:eastAsiaTheme="minorEastAsia"/>
        </w:rPr>
        <w:t xml:space="preserve">would be included in the agenda for the </w:t>
      </w:r>
      <w:r w:rsidRPr="002C2812">
        <w:rPr>
          <w:rFonts w:eastAsiaTheme="minorEastAsia"/>
        </w:rPr>
        <w:t>seventy-sixth session</w:t>
      </w:r>
      <w:bookmarkStart w:id="13" w:name="_Ref14800486"/>
      <w:r w:rsidR="003507D5">
        <w:rPr>
          <w:rStyle w:val="FootnoteReference"/>
          <w:rFonts w:eastAsiaTheme="minorEastAsia"/>
        </w:rPr>
        <w:footnoteReference w:id="9"/>
      </w:r>
      <w:bookmarkEnd w:id="13"/>
      <w:r w:rsidRPr="002C2812">
        <w:rPr>
          <w:rFonts w:eastAsiaTheme="minorEastAsia"/>
        </w:rPr>
        <w:t xml:space="preserve"> </w:t>
      </w:r>
      <w:r>
        <w:rPr>
          <w:rFonts w:eastAsiaTheme="minorEastAsia"/>
        </w:rPr>
        <w:t>of the CAJ, and the outcome of the seminar would be a basis to that consideration (</w:t>
      </w:r>
      <w:r w:rsidRPr="00ED2A67">
        <w:rPr>
          <w:rFonts w:eastAsiaTheme="minorEastAsia"/>
        </w:rPr>
        <w:t xml:space="preserve">see document </w:t>
      </w:r>
      <w:hyperlink r:id="rId9" w:history="1">
        <w:r w:rsidRPr="00C25AC1">
          <w:rPr>
            <w:rStyle w:val="Hyperlink"/>
            <w:rFonts w:eastAsiaTheme="minorEastAsia"/>
          </w:rPr>
          <w:t>CAJ/75/14</w:t>
        </w:r>
      </w:hyperlink>
      <w:r w:rsidRPr="00ED2A67">
        <w:rPr>
          <w:rFonts w:eastAsiaTheme="minorEastAsia"/>
        </w:rPr>
        <w:t xml:space="preserve"> “Report”, paragraph </w:t>
      </w:r>
      <w:r>
        <w:rPr>
          <w:rFonts w:eastAsiaTheme="minorEastAsia"/>
        </w:rPr>
        <w:t>17).</w:t>
      </w:r>
    </w:p>
    <w:p w:rsidR="00E06B56" w:rsidRPr="00ED2A67" w:rsidRDefault="00E06B56" w:rsidP="00E06B56"/>
    <w:p w:rsidR="00E06B56" w:rsidRDefault="009C4083" w:rsidP="00E06B56">
      <w:pPr>
        <w:pStyle w:val="DecisionParagraphs"/>
      </w:pPr>
      <w:r w:rsidRPr="00E06B56">
        <w:fldChar w:fldCharType="begin"/>
      </w:r>
      <w:r w:rsidRPr="00E06B56">
        <w:instrText xml:space="preserve"> AUTONUM  </w:instrText>
      </w:r>
      <w:r w:rsidRPr="00E06B56">
        <w:fldChar w:fldCharType="end"/>
      </w:r>
      <w:r w:rsidRPr="00E06B56">
        <w:tab/>
      </w:r>
      <w:r w:rsidR="003507D5">
        <w:t xml:space="preserve">The </w:t>
      </w:r>
      <w:proofErr w:type="spellStart"/>
      <w:r w:rsidR="003507D5">
        <w:t>CAJ</w:t>
      </w:r>
      <w:proofErr w:type="spellEnd"/>
      <w:r w:rsidR="003507D5">
        <w:t xml:space="preserve"> </w:t>
      </w:r>
      <w:proofErr w:type="gramStart"/>
      <w:r w:rsidR="003507D5">
        <w:t>is invited</w:t>
      </w:r>
      <w:proofErr w:type="gramEnd"/>
      <w:r w:rsidR="003507D5">
        <w:t xml:space="preserve"> to </w:t>
      </w:r>
      <w:r w:rsidR="001218B3" w:rsidRPr="00E06B56">
        <w:t xml:space="preserve">note that </w:t>
      </w:r>
      <w:r w:rsidR="006D4190">
        <w:t xml:space="preserve">matters </w:t>
      </w:r>
      <w:r w:rsidRPr="00E06B56">
        <w:t xml:space="preserve">concerning essentially derived varieties </w:t>
      </w:r>
      <w:r w:rsidR="006D4190">
        <w:t>are considered</w:t>
      </w:r>
      <w:r w:rsidR="003507D5">
        <w:t xml:space="preserve"> in document CAJ/76/3.</w:t>
      </w:r>
    </w:p>
    <w:p w:rsidR="00ED4336" w:rsidRPr="003507D5" w:rsidRDefault="00ED4336" w:rsidP="003507D5"/>
    <w:p w:rsidR="004A7B3B" w:rsidRPr="003507D5" w:rsidRDefault="004A7B3B" w:rsidP="003507D5"/>
    <w:p w:rsidR="004A7B3B" w:rsidRPr="004A7B3B" w:rsidRDefault="004A7B3B" w:rsidP="004A7B3B">
      <w:pPr>
        <w:pStyle w:val="Heading2"/>
      </w:pPr>
      <w:bookmarkStart w:id="14" w:name="_Toc14799994"/>
      <w:r w:rsidRPr="004A7B3B">
        <w:t>Variety</w:t>
      </w:r>
      <w:r>
        <w:t xml:space="preserve"> D</w:t>
      </w:r>
      <w:r w:rsidRPr="004A7B3B">
        <w:t>enominations</w:t>
      </w:r>
      <w:bookmarkEnd w:id="14"/>
    </w:p>
    <w:p w:rsidR="004A7B3B" w:rsidRDefault="004A7B3B" w:rsidP="001218B3"/>
    <w:p w:rsidR="00F71C4C" w:rsidRDefault="004A7B3B" w:rsidP="001218B3">
      <w:r>
        <w:fldChar w:fldCharType="begin"/>
      </w:r>
      <w:r>
        <w:instrText xml:space="preserve"> AUTONUM  </w:instrText>
      </w:r>
      <w:r>
        <w:fldChar w:fldCharType="end"/>
      </w:r>
      <w:r>
        <w:tab/>
      </w:r>
      <w:r w:rsidR="006D4190">
        <w:t xml:space="preserve">Matters concerning variety denominations </w:t>
      </w:r>
      <w:proofErr w:type="gramStart"/>
      <w:r w:rsidR="00F71C4C">
        <w:t xml:space="preserve">are </w:t>
      </w:r>
      <w:r w:rsidR="006D4190">
        <w:t>considered</w:t>
      </w:r>
      <w:proofErr w:type="gramEnd"/>
      <w:r w:rsidR="006D4190">
        <w:t xml:space="preserve"> </w:t>
      </w:r>
      <w:r w:rsidR="00F71C4C">
        <w:t>in document C</w:t>
      </w:r>
      <w:r w:rsidR="003507D5">
        <w:t>AJ/76/6 “Variety denominations”</w:t>
      </w:r>
      <w:r w:rsidR="00F71C4C">
        <w:t>.</w:t>
      </w:r>
    </w:p>
    <w:p w:rsidR="00ED4336" w:rsidRPr="00512874" w:rsidRDefault="00ED4336" w:rsidP="00F71C4C">
      <w:pPr>
        <w:pStyle w:val="DecisionParagraphs"/>
        <w:keepLines/>
        <w:tabs>
          <w:tab w:val="clear" w:pos="5387"/>
          <w:tab w:val="clear" w:pos="5954"/>
        </w:tabs>
        <w:ind w:left="0"/>
        <w:rPr>
          <w:i w:val="0"/>
          <w:highlight w:val="yellow"/>
        </w:rPr>
      </w:pPr>
    </w:p>
    <w:p w:rsidR="00ED4336" w:rsidRPr="00F71C4C" w:rsidRDefault="004A7B3B" w:rsidP="00F71C4C">
      <w:pPr>
        <w:pStyle w:val="DecisionParagraphs"/>
        <w:keepLines/>
      </w:pPr>
      <w:r>
        <w:fldChar w:fldCharType="begin"/>
      </w:r>
      <w:r>
        <w:instrText xml:space="preserve"> AUTONUM  </w:instrText>
      </w:r>
      <w:r>
        <w:fldChar w:fldCharType="end"/>
      </w:r>
      <w:r>
        <w:tab/>
      </w:r>
      <w:r w:rsidR="00ED4336" w:rsidRPr="004F1804">
        <w:t xml:space="preserve">The CAJ </w:t>
      </w:r>
      <w:proofErr w:type="gramStart"/>
      <w:r w:rsidR="00ED4336" w:rsidRPr="004F1804">
        <w:t>is invited</w:t>
      </w:r>
      <w:proofErr w:type="gramEnd"/>
      <w:r w:rsidR="00ED4336" w:rsidRPr="004F1804">
        <w:t xml:space="preserve"> to note that </w:t>
      </w:r>
      <w:r w:rsidR="006D4190">
        <w:t>matters concerning variety denominations are considered in document CAJ/76/6 “Variety denominations”</w:t>
      </w:r>
      <w:r w:rsidR="003507D5">
        <w:t>.</w:t>
      </w:r>
    </w:p>
    <w:p w:rsidR="00D94A45" w:rsidRDefault="00D94A45" w:rsidP="00ED4336">
      <w:pPr>
        <w:rPr>
          <w:lang w:eastAsia="zh-CN"/>
        </w:rPr>
      </w:pPr>
    </w:p>
    <w:p w:rsidR="00F47727" w:rsidRPr="004B0FC0" w:rsidRDefault="00F47727" w:rsidP="00ED4336">
      <w:pPr>
        <w:rPr>
          <w:lang w:eastAsia="zh-CN"/>
        </w:rPr>
      </w:pPr>
    </w:p>
    <w:p w:rsidR="00ED4336" w:rsidRPr="004B0FC0" w:rsidRDefault="00ED4336" w:rsidP="00ED4336"/>
    <w:p w:rsidR="00ED4336" w:rsidRPr="004F1804" w:rsidRDefault="00ED4336" w:rsidP="00ED4336">
      <w:pPr>
        <w:pStyle w:val="Heading1"/>
      </w:pPr>
      <w:bookmarkStart w:id="15" w:name="_Toc522523025"/>
      <w:bookmarkStart w:id="16" w:name="_Toc14799995"/>
      <w:r w:rsidRPr="004F1804">
        <w:t>TENTATIVE PROGRAM FOR THE DEVELOPMENT OF INFORMATION MATERIALS</w:t>
      </w:r>
      <w:bookmarkEnd w:id="15"/>
      <w:bookmarkEnd w:id="16"/>
      <w:r w:rsidRPr="004F1804">
        <w:t xml:space="preserve"> </w:t>
      </w:r>
    </w:p>
    <w:p w:rsidR="00ED4336" w:rsidRPr="004F1804" w:rsidRDefault="00ED4336" w:rsidP="00ED4336">
      <w:pPr>
        <w:pStyle w:val="Heading2"/>
      </w:pPr>
    </w:p>
    <w:p w:rsidR="00ED4336" w:rsidRPr="004F1804" w:rsidRDefault="00ED4336" w:rsidP="00ED4336">
      <w:pPr>
        <w:rPr>
          <w:rFonts w:eastAsia="MS Mincho"/>
        </w:rPr>
      </w:pPr>
      <w:r w:rsidRPr="004F1804">
        <w:rPr>
          <w:rFonts w:eastAsia="MS Mincho"/>
        </w:rPr>
        <w:fldChar w:fldCharType="begin"/>
      </w:r>
      <w:r w:rsidRPr="004F1804">
        <w:rPr>
          <w:rFonts w:eastAsia="MS Mincho"/>
        </w:rPr>
        <w:instrText xml:space="preserve"> AUTONUM  </w:instrText>
      </w:r>
      <w:r w:rsidRPr="004F1804">
        <w:rPr>
          <w:rFonts w:eastAsia="MS Mincho"/>
        </w:rPr>
        <w:fldChar w:fldCharType="end"/>
      </w:r>
      <w:r w:rsidRPr="004F1804">
        <w:rPr>
          <w:rFonts w:eastAsia="MS Mincho"/>
        </w:rPr>
        <w:tab/>
        <w:t xml:space="preserve">The CAJ </w:t>
      </w:r>
      <w:proofErr w:type="gramStart"/>
      <w:r w:rsidRPr="004F1804">
        <w:rPr>
          <w:rFonts w:eastAsia="MS Mincho"/>
        </w:rPr>
        <w:t>is invited</w:t>
      </w:r>
      <w:proofErr w:type="gramEnd"/>
      <w:r w:rsidRPr="004F1804">
        <w:rPr>
          <w:rFonts w:eastAsia="MS Mincho"/>
        </w:rPr>
        <w:t xml:space="preserve"> to consider the program for the development of information materials, as proposed </w:t>
      </w:r>
      <w:r>
        <w:rPr>
          <w:rFonts w:eastAsia="MS Mincho"/>
        </w:rPr>
        <w:t xml:space="preserve">in </w:t>
      </w:r>
      <w:r w:rsidRPr="004F1804">
        <w:rPr>
          <w:rFonts w:eastAsia="MS Mincho"/>
        </w:rPr>
        <w:t xml:space="preserve">the Annex to this document, </w:t>
      </w:r>
      <w:r w:rsidR="006D4190">
        <w:rPr>
          <w:rFonts w:eastAsia="MS Mincho"/>
        </w:rPr>
        <w:t>subject to</w:t>
      </w:r>
      <w:r w:rsidRPr="004F1804">
        <w:rPr>
          <w:rFonts w:eastAsia="MS Mincho"/>
        </w:rPr>
        <w:t xml:space="preserve"> </w:t>
      </w:r>
      <w:r w:rsidR="00807C2A">
        <w:rPr>
          <w:rFonts w:eastAsia="MS Mincho"/>
        </w:rPr>
        <w:t>its</w:t>
      </w:r>
      <w:r w:rsidRPr="004F1804">
        <w:rPr>
          <w:rFonts w:eastAsia="MS Mincho"/>
        </w:rPr>
        <w:t xml:space="preserve"> conclusions at its seventy-</w:t>
      </w:r>
      <w:r w:rsidR="00745870">
        <w:rPr>
          <w:rFonts w:eastAsia="MS Mincho"/>
        </w:rPr>
        <w:t>sixth</w:t>
      </w:r>
      <w:r w:rsidRPr="004F1804">
        <w:rPr>
          <w:rFonts w:eastAsia="MS Mincho"/>
        </w:rPr>
        <w:t xml:space="preserve"> session</w:t>
      </w:r>
      <w:r w:rsidR="003507D5" w:rsidRPr="003507D5">
        <w:rPr>
          <w:rFonts w:eastAsia="MS Mincho"/>
          <w:vertAlign w:val="superscript"/>
        </w:rPr>
        <w:fldChar w:fldCharType="begin"/>
      </w:r>
      <w:r w:rsidR="003507D5" w:rsidRPr="003507D5">
        <w:rPr>
          <w:rFonts w:eastAsia="MS Mincho"/>
          <w:vertAlign w:val="superscript"/>
        </w:rPr>
        <w:instrText xml:space="preserve"> NOTEREF _Ref14800486 \h </w:instrText>
      </w:r>
      <w:r w:rsidR="003507D5">
        <w:rPr>
          <w:rFonts w:eastAsia="MS Mincho"/>
          <w:vertAlign w:val="superscript"/>
        </w:rPr>
        <w:instrText xml:space="preserve"> \* MERGEFORMAT </w:instrText>
      </w:r>
      <w:r w:rsidR="003507D5" w:rsidRPr="003507D5">
        <w:rPr>
          <w:rFonts w:eastAsia="MS Mincho"/>
          <w:vertAlign w:val="superscript"/>
        </w:rPr>
      </w:r>
      <w:r w:rsidR="003507D5" w:rsidRPr="003507D5">
        <w:rPr>
          <w:rFonts w:eastAsia="MS Mincho"/>
          <w:vertAlign w:val="superscript"/>
        </w:rPr>
        <w:fldChar w:fldCharType="separate"/>
      </w:r>
      <w:r w:rsidR="003507D5" w:rsidRPr="003507D5">
        <w:rPr>
          <w:rFonts w:eastAsia="MS Mincho"/>
          <w:vertAlign w:val="superscript"/>
        </w:rPr>
        <w:t>8</w:t>
      </w:r>
      <w:r w:rsidR="003507D5" w:rsidRPr="003507D5">
        <w:rPr>
          <w:rFonts w:eastAsia="MS Mincho"/>
          <w:vertAlign w:val="superscript"/>
        </w:rPr>
        <w:fldChar w:fldCharType="end"/>
      </w:r>
      <w:r w:rsidRPr="004F1804">
        <w:rPr>
          <w:rFonts w:eastAsia="MS Mincho"/>
        </w:rPr>
        <w:t xml:space="preserve"> on the matters above.</w:t>
      </w:r>
    </w:p>
    <w:p w:rsidR="00ED4336" w:rsidRPr="004F1804" w:rsidRDefault="00ED4336" w:rsidP="00ED4336">
      <w:pPr>
        <w:rPr>
          <w:rFonts w:eastAsia="MS Mincho"/>
        </w:rPr>
      </w:pPr>
    </w:p>
    <w:p w:rsidR="00ED4336" w:rsidRDefault="00ED4336" w:rsidP="00ED4336">
      <w:pPr>
        <w:pStyle w:val="DecisionParagraphs"/>
      </w:pPr>
      <w:r w:rsidRPr="004F1804">
        <w:fldChar w:fldCharType="begin"/>
      </w:r>
      <w:r w:rsidRPr="004F1804">
        <w:instrText xml:space="preserve"> AUTONUM  </w:instrText>
      </w:r>
      <w:r w:rsidRPr="004F1804">
        <w:fldChar w:fldCharType="end"/>
      </w:r>
      <w:r w:rsidRPr="004F1804">
        <w:tab/>
        <w:t xml:space="preserve">The CAJ </w:t>
      </w:r>
      <w:proofErr w:type="gramStart"/>
      <w:r w:rsidRPr="004F1804">
        <w:t>is invited</w:t>
      </w:r>
      <w:proofErr w:type="gramEnd"/>
      <w:r w:rsidRPr="004F1804">
        <w:t xml:space="preserve"> </w:t>
      </w:r>
      <w:r w:rsidRPr="004F1804">
        <w:rPr>
          <w:spacing w:val="-2"/>
        </w:rPr>
        <w:t>to</w:t>
      </w:r>
      <w:r w:rsidRPr="004F1804">
        <w:t xml:space="preserve"> consider the program for the development of information materials.</w:t>
      </w:r>
    </w:p>
    <w:p w:rsidR="00ED4336" w:rsidRDefault="00ED4336" w:rsidP="00ED4336">
      <w:pPr>
        <w:pStyle w:val="DecisionParagraphs"/>
      </w:pPr>
    </w:p>
    <w:p w:rsidR="00D94A45" w:rsidRDefault="00D94A45" w:rsidP="00ED4336">
      <w:pPr>
        <w:pStyle w:val="DecisionParagraphs"/>
      </w:pPr>
    </w:p>
    <w:p w:rsidR="0044526F" w:rsidRPr="008663D1" w:rsidRDefault="0044526F" w:rsidP="00ED4336">
      <w:pPr>
        <w:pStyle w:val="DecisionParagraphs"/>
      </w:pPr>
    </w:p>
    <w:p w:rsidR="00ED4336" w:rsidRPr="004B0FC0" w:rsidRDefault="00ED4336" w:rsidP="00D94A45">
      <w:pPr>
        <w:pStyle w:val="DecisionParagraphs"/>
        <w:jc w:val="right"/>
      </w:pPr>
      <w:r>
        <w:rPr>
          <w:i w:val="0"/>
        </w:rPr>
        <w:t>[Annex</w:t>
      </w:r>
      <w:r w:rsidRPr="009E77F3">
        <w:rPr>
          <w:i w:val="0"/>
        </w:rPr>
        <w:t xml:space="preserve"> follow</w:t>
      </w:r>
      <w:r>
        <w:rPr>
          <w:i w:val="0"/>
        </w:rPr>
        <w:t>s</w:t>
      </w:r>
      <w:r w:rsidRPr="009E77F3">
        <w:rPr>
          <w:i w:val="0"/>
        </w:rPr>
        <w:t>]</w:t>
      </w:r>
    </w:p>
    <w:p w:rsidR="00ED4336" w:rsidRPr="004B0FC0" w:rsidRDefault="00ED4336" w:rsidP="00ED4336">
      <w:pPr>
        <w:jc w:val="left"/>
        <w:sectPr w:rsidR="00ED4336" w:rsidRPr="004B0FC0" w:rsidSect="00906B72">
          <w:headerReference w:type="default" r:id="rId10"/>
          <w:pgSz w:w="11907" w:h="16840" w:code="9"/>
          <w:pgMar w:top="510" w:right="1134" w:bottom="1134" w:left="1134" w:header="510" w:footer="624" w:gutter="0"/>
          <w:cols w:space="720"/>
          <w:titlePg/>
        </w:sectPr>
      </w:pPr>
    </w:p>
    <w:p w:rsidR="00ED4336" w:rsidRDefault="00E65C6F" w:rsidP="00ED4336">
      <w:pPr>
        <w:jc w:val="center"/>
      </w:pPr>
      <w:r w:rsidRPr="00E65C6F">
        <w:lastRenderedPageBreak/>
        <w:t>CAJ/76/4</w:t>
      </w:r>
    </w:p>
    <w:p w:rsidR="00E65C6F" w:rsidRPr="004B0FC0" w:rsidRDefault="00E65C6F" w:rsidP="00ED4336">
      <w:pPr>
        <w:jc w:val="center"/>
      </w:pPr>
    </w:p>
    <w:p w:rsidR="00ED4336" w:rsidRDefault="00ED4336" w:rsidP="00ED4336">
      <w:pPr>
        <w:jc w:val="center"/>
      </w:pPr>
      <w:r>
        <w:t>ANNEX</w:t>
      </w:r>
    </w:p>
    <w:p w:rsidR="00ED4336" w:rsidRPr="004B0FC0" w:rsidRDefault="00ED4336" w:rsidP="00ED4336">
      <w:pPr>
        <w:jc w:val="center"/>
      </w:pPr>
    </w:p>
    <w:p w:rsidR="00ED4336" w:rsidRPr="004B0FC0" w:rsidRDefault="00ED4336" w:rsidP="00454FD7">
      <w:pPr>
        <w:jc w:val="center"/>
      </w:pPr>
    </w:p>
    <w:p w:rsidR="00ED4336" w:rsidRPr="004B0FC0" w:rsidRDefault="00ED4336" w:rsidP="00ED4336">
      <w:pPr>
        <w:jc w:val="center"/>
      </w:pPr>
      <w:r w:rsidRPr="004B0FC0">
        <w:t>OVERVIEW OF THE DEVELOPMENT OF INFORMATION MATERIALS</w:t>
      </w:r>
    </w:p>
    <w:p w:rsidR="00ED4336" w:rsidRDefault="00ED4336" w:rsidP="00ED4336">
      <w:pPr>
        <w:jc w:val="left"/>
      </w:pPr>
    </w:p>
    <w:p w:rsidR="00454FD7" w:rsidRPr="004B0FC0" w:rsidRDefault="00454FD7" w:rsidP="00ED4336">
      <w:pPr>
        <w:jc w:val="left"/>
      </w:pPr>
    </w:p>
    <w:p w:rsidR="00ED4336" w:rsidRPr="004B0FC0" w:rsidRDefault="00ED4336" w:rsidP="00ED4336">
      <w:pPr>
        <w:jc w:val="left"/>
      </w:pPr>
      <w:r w:rsidRPr="004B0FC0">
        <w:t>EXPLANATORY NOTES</w:t>
      </w:r>
    </w:p>
    <w:p w:rsidR="00ED4336" w:rsidRPr="004B0FC0" w:rsidRDefault="00ED4336" w:rsidP="00ED4336"/>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41"/>
        <w:gridCol w:w="4717"/>
        <w:gridCol w:w="3912"/>
      </w:tblGrid>
      <w:tr w:rsidR="00ED4336" w:rsidRPr="004B0FC0" w:rsidTr="00510349">
        <w:trPr>
          <w:cantSplit/>
          <w:jc w:val="center"/>
        </w:trPr>
        <w:tc>
          <w:tcPr>
            <w:tcW w:w="1741" w:type="dxa"/>
            <w:shd w:val="clear" w:color="auto" w:fill="D9D9D9"/>
          </w:tcPr>
          <w:p w:rsidR="00ED4336" w:rsidRPr="004B0FC0" w:rsidRDefault="00ED4336" w:rsidP="00AE0CB3">
            <w:pPr>
              <w:jc w:val="left"/>
              <w:rPr>
                <w:sz w:val="18"/>
                <w:szCs w:val="18"/>
              </w:rPr>
            </w:pPr>
            <w:r w:rsidRPr="004B0FC0">
              <w:rPr>
                <w:sz w:val="18"/>
                <w:szCs w:val="18"/>
              </w:rPr>
              <w:t>Reference</w:t>
            </w:r>
          </w:p>
        </w:tc>
        <w:tc>
          <w:tcPr>
            <w:tcW w:w="4717" w:type="dxa"/>
            <w:shd w:val="clear" w:color="auto" w:fill="D9D9D9"/>
          </w:tcPr>
          <w:p w:rsidR="00ED4336" w:rsidRPr="004B0FC0" w:rsidRDefault="00ED4336" w:rsidP="00AE0CB3">
            <w:pPr>
              <w:jc w:val="left"/>
              <w:rPr>
                <w:sz w:val="18"/>
                <w:szCs w:val="18"/>
              </w:rPr>
            </w:pPr>
            <w:r w:rsidRPr="004B0FC0">
              <w:rPr>
                <w:sz w:val="18"/>
                <w:szCs w:val="18"/>
              </w:rPr>
              <w:t>Explanatory Notes on:</w:t>
            </w:r>
          </w:p>
        </w:tc>
        <w:tc>
          <w:tcPr>
            <w:tcW w:w="3912" w:type="dxa"/>
            <w:shd w:val="clear" w:color="auto" w:fill="D9D9D9"/>
          </w:tcPr>
          <w:p w:rsidR="00ED4336" w:rsidRPr="004B0FC0" w:rsidRDefault="00ED4336" w:rsidP="00AE0CB3">
            <w:pPr>
              <w:jc w:val="left"/>
              <w:rPr>
                <w:sz w:val="18"/>
                <w:szCs w:val="18"/>
              </w:rPr>
            </w:pPr>
            <w:r w:rsidRPr="004B0FC0">
              <w:rPr>
                <w:sz w:val="18"/>
                <w:szCs w:val="18"/>
              </w:rPr>
              <w:t>Status</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UPOV/EXN/BRD</w:t>
            </w:r>
          </w:p>
        </w:tc>
        <w:tc>
          <w:tcPr>
            <w:tcW w:w="4717" w:type="dxa"/>
          </w:tcPr>
          <w:p w:rsidR="00ED4336" w:rsidRPr="004B0FC0" w:rsidRDefault="00ED4336" w:rsidP="00AE0CB3">
            <w:pPr>
              <w:jc w:val="left"/>
              <w:rPr>
                <w:sz w:val="18"/>
                <w:szCs w:val="18"/>
              </w:rPr>
            </w:pPr>
            <w:r w:rsidRPr="004B0FC0">
              <w:rPr>
                <w:sz w:val="18"/>
                <w:szCs w:val="18"/>
              </w:rPr>
              <w:t>Definition of Breeder under the 1991 Act of the UPOV Convention</w:t>
            </w:r>
          </w:p>
        </w:tc>
        <w:tc>
          <w:tcPr>
            <w:tcW w:w="3912" w:type="dxa"/>
          </w:tcPr>
          <w:p w:rsidR="00ED4336" w:rsidRPr="004B0FC0" w:rsidRDefault="00ED4336" w:rsidP="00AE0CB3">
            <w:pPr>
              <w:jc w:val="left"/>
              <w:rPr>
                <w:strike/>
                <w:sz w:val="18"/>
                <w:szCs w:val="18"/>
              </w:rPr>
            </w:pPr>
            <w:r w:rsidRPr="004B0FC0">
              <w:rPr>
                <w:iCs/>
                <w:sz w:val="18"/>
                <w:szCs w:val="18"/>
              </w:rPr>
              <w:t>UPOV/EXN/BRD/1 adopted in October 2013</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UPOV/EXN/CAL</w:t>
            </w:r>
          </w:p>
        </w:tc>
        <w:tc>
          <w:tcPr>
            <w:tcW w:w="4717" w:type="dxa"/>
          </w:tcPr>
          <w:p w:rsidR="00ED4336" w:rsidRPr="004B0FC0" w:rsidRDefault="00ED4336" w:rsidP="00AE0CB3">
            <w:pPr>
              <w:jc w:val="left"/>
              <w:rPr>
                <w:sz w:val="18"/>
                <w:szCs w:val="18"/>
              </w:rPr>
            </w:pPr>
            <w:r w:rsidRPr="004B0FC0">
              <w:rPr>
                <w:sz w:val="18"/>
                <w:szCs w:val="18"/>
              </w:rPr>
              <w:t>Conditions and Limitations Concerning the Breeder’s Authorization in Respect of Propagating Material under the UPOV Convention</w:t>
            </w:r>
          </w:p>
        </w:tc>
        <w:tc>
          <w:tcPr>
            <w:tcW w:w="3912" w:type="dxa"/>
          </w:tcPr>
          <w:p w:rsidR="00ED4336" w:rsidRPr="00510349" w:rsidRDefault="00ED4336" w:rsidP="00AE0CB3">
            <w:pPr>
              <w:jc w:val="left"/>
              <w:rPr>
                <w:iCs/>
                <w:sz w:val="18"/>
                <w:szCs w:val="18"/>
              </w:rPr>
            </w:pPr>
            <w:r w:rsidRPr="006D444B">
              <w:rPr>
                <w:sz w:val="18"/>
                <w:szCs w:val="18"/>
              </w:rPr>
              <w:t>UPOV/EXN/CAL/1 adopted in October</w:t>
            </w:r>
            <w:r w:rsidRPr="006D444B">
              <w:rPr>
                <w:iCs/>
                <w:sz w:val="18"/>
                <w:szCs w:val="18"/>
              </w:rPr>
              <w:t xml:space="preserve"> 2010</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UPOV/EXN/CAN</w:t>
            </w:r>
          </w:p>
        </w:tc>
        <w:tc>
          <w:tcPr>
            <w:tcW w:w="4717" w:type="dxa"/>
          </w:tcPr>
          <w:p w:rsidR="00ED4336" w:rsidRPr="004B0FC0" w:rsidRDefault="00ED4336" w:rsidP="00AE0CB3">
            <w:pPr>
              <w:jc w:val="left"/>
              <w:rPr>
                <w:sz w:val="18"/>
                <w:szCs w:val="18"/>
              </w:rPr>
            </w:pPr>
            <w:r w:rsidRPr="004B0FC0">
              <w:rPr>
                <w:sz w:val="18"/>
                <w:szCs w:val="18"/>
              </w:rPr>
              <w:t>Cancellation of the Breeder’s Right under the UPOV Convention</w:t>
            </w:r>
          </w:p>
        </w:tc>
        <w:tc>
          <w:tcPr>
            <w:tcW w:w="3912" w:type="dxa"/>
          </w:tcPr>
          <w:p w:rsidR="00ED4336" w:rsidRPr="006D444B" w:rsidRDefault="00ED4336" w:rsidP="00AE0CB3">
            <w:pPr>
              <w:jc w:val="left"/>
              <w:rPr>
                <w:sz w:val="18"/>
                <w:szCs w:val="18"/>
              </w:rPr>
            </w:pPr>
            <w:r w:rsidRPr="006D444B">
              <w:rPr>
                <w:spacing w:val="-2"/>
                <w:sz w:val="18"/>
                <w:szCs w:val="18"/>
              </w:rPr>
              <w:t>UPOV/EXN/CAN/2 adopted in October 2015</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color w:val="000000"/>
                <w:sz w:val="18"/>
                <w:szCs w:val="18"/>
              </w:rPr>
              <w:t>UPOV/EXN/EDV</w:t>
            </w:r>
          </w:p>
        </w:tc>
        <w:tc>
          <w:tcPr>
            <w:tcW w:w="4717" w:type="dxa"/>
          </w:tcPr>
          <w:p w:rsidR="00ED4336" w:rsidRPr="004B0FC0" w:rsidRDefault="00ED4336" w:rsidP="00AE0CB3">
            <w:pPr>
              <w:jc w:val="left"/>
              <w:rPr>
                <w:color w:val="000000"/>
                <w:sz w:val="18"/>
                <w:szCs w:val="18"/>
              </w:rPr>
            </w:pPr>
            <w:r w:rsidRPr="004B0FC0">
              <w:rPr>
                <w:color w:val="000000"/>
                <w:sz w:val="18"/>
                <w:szCs w:val="18"/>
              </w:rPr>
              <w:t xml:space="preserve">Essentially Derived Varieties under the </w:t>
            </w:r>
            <w:r w:rsidRPr="004B0FC0">
              <w:rPr>
                <w:sz w:val="18"/>
                <w:szCs w:val="18"/>
              </w:rPr>
              <w:t xml:space="preserve">1991 Act of the </w:t>
            </w:r>
            <w:r w:rsidRPr="004B0FC0">
              <w:rPr>
                <w:color w:val="000000"/>
                <w:sz w:val="18"/>
                <w:szCs w:val="18"/>
              </w:rPr>
              <w:t>UPOV Convention</w:t>
            </w:r>
          </w:p>
        </w:tc>
        <w:tc>
          <w:tcPr>
            <w:tcW w:w="3912" w:type="dxa"/>
          </w:tcPr>
          <w:p w:rsidR="00ED4336" w:rsidRPr="006D444B" w:rsidRDefault="00ED4336" w:rsidP="00454FD7">
            <w:pPr>
              <w:spacing w:after="60"/>
              <w:jc w:val="left"/>
              <w:rPr>
                <w:sz w:val="18"/>
                <w:szCs w:val="18"/>
              </w:rPr>
            </w:pPr>
            <w:r w:rsidRPr="006D444B">
              <w:rPr>
                <w:color w:val="000000"/>
                <w:sz w:val="18"/>
                <w:szCs w:val="18"/>
              </w:rPr>
              <w:t>UPOV/EXN/EDV/2 a</w:t>
            </w:r>
            <w:r w:rsidRPr="006D444B">
              <w:rPr>
                <w:sz w:val="18"/>
                <w:szCs w:val="18"/>
              </w:rPr>
              <w:t>dopted in April 2017</w:t>
            </w:r>
          </w:p>
          <w:p w:rsidR="00ED4336" w:rsidRPr="00411E74" w:rsidRDefault="00ED4336" w:rsidP="00EB0CE5">
            <w:pPr>
              <w:jc w:val="left"/>
              <w:rPr>
                <w:i/>
                <w:strike/>
                <w:sz w:val="18"/>
                <w:szCs w:val="18"/>
              </w:rPr>
            </w:pPr>
            <w:r w:rsidRPr="00411E74">
              <w:rPr>
                <w:i/>
                <w:color w:val="000000"/>
                <w:sz w:val="18"/>
                <w:szCs w:val="18"/>
              </w:rPr>
              <w:t>The need for a revision will</w:t>
            </w:r>
            <w:r w:rsidRPr="00411E74">
              <w:rPr>
                <w:i/>
                <w:spacing w:val="-2"/>
                <w:sz w:val="18"/>
                <w:szCs w:val="18"/>
              </w:rPr>
              <w:t xml:space="preserve"> be considered by the CAJ in October </w:t>
            </w:r>
            <w:r w:rsidR="00EB0CE5">
              <w:rPr>
                <w:i/>
                <w:spacing w:val="-2"/>
                <w:sz w:val="18"/>
                <w:szCs w:val="18"/>
              </w:rPr>
              <w:t>2019</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color w:val="000000"/>
                <w:sz w:val="18"/>
                <w:szCs w:val="18"/>
              </w:rPr>
              <w:t>UPOV/EXN/ENF</w:t>
            </w:r>
          </w:p>
        </w:tc>
        <w:tc>
          <w:tcPr>
            <w:tcW w:w="4717" w:type="dxa"/>
          </w:tcPr>
          <w:p w:rsidR="00ED4336" w:rsidRPr="004B0FC0" w:rsidRDefault="00ED4336" w:rsidP="00AE0CB3">
            <w:pPr>
              <w:jc w:val="left"/>
              <w:rPr>
                <w:sz w:val="18"/>
                <w:szCs w:val="18"/>
              </w:rPr>
            </w:pPr>
            <w:r w:rsidRPr="004B0FC0">
              <w:rPr>
                <w:sz w:val="18"/>
                <w:szCs w:val="18"/>
              </w:rPr>
              <w:t>Enforcement of Breeders’ Rights under the UPOV Convention</w:t>
            </w:r>
          </w:p>
        </w:tc>
        <w:tc>
          <w:tcPr>
            <w:tcW w:w="3912" w:type="dxa"/>
          </w:tcPr>
          <w:p w:rsidR="00ED4336" w:rsidRPr="004B0FC0" w:rsidRDefault="00ED4336" w:rsidP="00AE0CB3">
            <w:pPr>
              <w:jc w:val="left"/>
              <w:rPr>
                <w:sz w:val="18"/>
                <w:szCs w:val="18"/>
              </w:rPr>
            </w:pPr>
            <w:r w:rsidRPr="004B0FC0">
              <w:rPr>
                <w:color w:val="000000"/>
                <w:sz w:val="18"/>
                <w:szCs w:val="18"/>
              </w:rPr>
              <w:t>UPOV/EXN/ENF/1 a</w:t>
            </w:r>
            <w:r w:rsidRPr="004B0FC0">
              <w:rPr>
                <w:sz w:val="18"/>
                <w:szCs w:val="18"/>
              </w:rPr>
              <w:t>dopted in October 2009</w:t>
            </w:r>
          </w:p>
        </w:tc>
      </w:tr>
      <w:tr w:rsidR="00ED4336" w:rsidRPr="004B0FC0" w:rsidTr="00510349">
        <w:trPr>
          <w:cantSplit/>
          <w:jc w:val="center"/>
        </w:trPr>
        <w:tc>
          <w:tcPr>
            <w:tcW w:w="1741" w:type="dxa"/>
          </w:tcPr>
          <w:p w:rsidR="00ED4336" w:rsidRPr="004B0FC0" w:rsidRDefault="00ED4336" w:rsidP="00AE0CB3">
            <w:pPr>
              <w:jc w:val="left"/>
              <w:rPr>
                <w:color w:val="000000"/>
                <w:sz w:val="18"/>
                <w:szCs w:val="18"/>
              </w:rPr>
            </w:pPr>
            <w:r w:rsidRPr="004B0FC0">
              <w:rPr>
                <w:color w:val="000000"/>
                <w:sz w:val="18"/>
                <w:szCs w:val="18"/>
              </w:rPr>
              <w:t>UPOV/EXN/EXC</w:t>
            </w:r>
          </w:p>
        </w:tc>
        <w:tc>
          <w:tcPr>
            <w:tcW w:w="4717" w:type="dxa"/>
          </w:tcPr>
          <w:p w:rsidR="00ED4336" w:rsidRPr="004B0FC0" w:rsidRDefault="00ED4336" w:rsidP="00AE0CB3">
            <w:pPr>
              <w:jc w:val="left"/>
              <w:rPr>
                <w:color w:val="000000"/>
                <w:sz w:val="18"/>
                <w:szCs w:val="18"/>
              </w:rPr>
            </w:pPr>
            <w:r w:rsidRPr="004B0FC0">
              <w:rPr>
                <w:color w:val="000000"/>
                <w:sz w:val="18"/>
                <w:szCs w:val="18"/>
              </w:rPr>
              <w:t xml:space="preserve">Exceptions to the Breeder’s Right under the </w:t>
            </w:r>
            <w:r w:rsidRPr="004B0FC0">
              <w:rPr>
                <w:sz w:val="18"/>
                <w:szCs w:val="18"/>
              </w:rPr>
              <w:t xml:space="preserve">1991 Act of the </w:t>
            </w:r>
            <w:r w:rsidRPr="004B0FC0">
              <w:rPr>
                <w:color w:val="000000"/>
                <w:sz w:val="18"/>
                <w:szCs w:val="18"/>
              </w:rPr>
              <w:t>UPOV Convention</w:t>
            </w:r>
          </w:p>
        </w:tc>
        <w:tc>
          <w:tcPr>
            <w:tcW w:w="3912" w:type="dxa"/>
          </w:tcPr>
          <w:p w:rsidR="00ED4336" w:rsidRPr="004B0FC0" w:rsidRDefault="00ED4336" w:rsidP="00AE0CB3">
            <w:pPr>
              <w:jc w:val="left"/>
              <w:rPr>
                <w:sz w:val="18"/>
                <w:szCs w:val="18"/>
              </w:rPr>
            </w:pPr>
            <w:r w:rsidRPr="004B0FC0">
              <w:rPr>
                <w:color w:val="000000"/>
                <w:sz w:val="18"/>
                <w:szCs w:val="18"/>
              </w:rPr>
              <w:t>UPOV/EXN/EXC/1 a</w:t>
            </w:r>
            <w:r w:rsidRPr="004B0FC0">
              <w:rPr>
                <w:sz w:val="18"/>
                <w:szCs w:val="18"/>
              </w:rPr>
              <w:t>dopted in October 2009</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UPOV/EXN/GEN</w:t>
            </w:r>
          </w:p>
        </w:tc>
        <w:tc>
          <w:tcPr>
            <w:tcW w:w="4717" w:type="dxa"/>
          </w:tcPr>
          <w:p w:rsidR="00ED4336" w:rsidRPr="004B0FC0" w:rsidRDefault="00ED4336" w:rsidP="00AE0CB3">
            <w:pPr>
              <w:jc w:val="left"/>
              <w:rPr>
                <w:sz w:val="18"/>
                <w:szCs w:val="18"/>
              </w:rPr>
            </w:pPr>
            <w:r w:rsidRPr="004B0FC0">
              <w:rPr>
                <w:sz w:val="18"/>
                <w:szCs w:val="18"/>
              </w:rPr>
              <w:t>Genera and Species to be Protected under the 1991 Act of the UPOV Convention</w:t>
            </w:r>
          </w:p>
        </w:tc>
        <w:tc>
          <w:tcPr>
            <w:tcW w:w="3912" w:type="dxa"/>
          </w:tcPr>
          <w:p w:rsidR="00ED4336" w:rsidRPr="004B0FC0" w:rsidRDefault="00ED4336" w:rsidP="00AE0CB3">
            <w:pPr>
              <w:jc w:val="left"/>
              <w:rPr>
                <w:sz w:val="18"/>
                <w:szCs w:val="18"/>
              </w:rPr>
            </w:pPr>
            <w:r w:rsidRPr="004B0FC0">
              <w:rPr>
                <w:sz w:val="18"/>
                <w:szCs w:val="18"/>
              </w:rPr>
              <w:t>UPOV/EXN/GEN/1 adopted in October 2009</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UPOV/EXN/HRV</w:t>
            </w:r>
          </w:p>
        </w:tc>
        <w:tc>
          <w:tcPr>
            <w:tcW w:w="4717" w:type="dxa"/>
          </w:tcPr>
          <w:p w:rsidR="00ED4336" w:rsidRPr="004B0FC0" w:rsidRDefault="00ED4336" w:rsidP="00AE0CB3">
            <w:pPr>
              <w:jc w:val="left"/>
              <w:rPr>
                <w:sz w:val="18"/>
                <w:szCs w:val="18"/>
              </w:rPr>
            </w:pPr>
            <w:r w:rsidRPr="004B0FC0">
              <w:rPr>
                <w:sz w:val="18"/>
                <w:szCs w:val="18"/>
              </w:rPr>
              <w:t>Acts in Respect of Harvested Material under the 1991 Act of the UPOV Convention</w:t>
            </w:r>
          </w:p>
        </w:tc>
        <w:tc>
          <w:tcPr>
            <w:tcW w:w="3912" w:type="dxa"/>
          </w:tcPr>
          <w:p w:rsidR="00ED4336" w:rsidRPr="004B0FC0" w:rsidRDefault="00ED4336" w:rsidP="00AE0CB3">
            <w:pPr>
              <w:jc w:val="left"/>
              <w:rPr>
                <w:color w:val="000000"/>
                <w:sz w:val="18"/>
                <w:szCs w:val="18"/>
              </w:rPr>
            </w:pPr>
            <w:r w:rsidRPr="004B0FC0">
              <w:rPr>
                <w:iCs/>
                <w:sz w:val="18"/>
                <w:szCs w:val="18"/>
              </w:rPr>
              <w:t>UPOV/EXN/HRV/1 adopted in October 2013</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UPOV/EXN/NAT</w:t>
            </w:r>
          </w:p>
        </w:tc>
        <w:tc>
          <w:tcPr>
            <w:tcW w:w="4717" w:type="dxa"/>
          </w:tcPr>
          <w:p w:rsidR="00ED4336" w:rsidRPr="004B0FC0" w:rsidRDefault="00ED4336" w:rsidP="00AE0CB3">
            <w:pPr>
              <w:jc w:val="left"/>
              <w:rPr>
                <w:sz w:val="18"/>
                <w:szCs w:val="18"/>
              </w:rPr>
            </w:pPr>
            <w:r w:rsidRPr="004B0FC0">
              <w:rPr>
                <w:sz w:val="18"/>
                <w:szCs w:val="18"/>
              </w:rPr>
              <w:t>National Treatment under the 1991 Act of the UPOV Convention</w:t>
            </w:r>
          </w:p>
        </w:tc>
        <w:tc>
          <w:tcPr>
            <w:tcW w:w="3912" w:type="dxa"/>
          </w:tcPr>
          <w:p w:rsidR="00ED4336" w:rsidRPr="004B0FC0" w:rsidRDefault="00ED4336" w:rsidP="00AE0CB3">
            <w:pPr>
              <w:jc w:val="left"/>
              <w:rPr>
                <w:sz w:val="18"/>
                <w:szCs w:val="18"/>
              </w:rPr>
            </w:pPr>
            <w:r w:rsidRPr="004B0FC0">
              <w:rPr>
                <w:sz w:val="18"/>
                <w:szCs w:val="18"/>
              </w:rPr>
              <w:t>UPOV/EXN/NAT/1 adopted in October 2009</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UPOV/EXN/NOV</w:t>
            </w:r>
          </w:p>
        </w:tc>
        <w:tc>
          <w:tcPr>
            <w:tcW w:w="4717" w:type="dxa"/>
          </w:tcPr>
          <w:p w:rsidR="00454FD7" w:rsidRPr="004B0FC0" w:rsidRDefault="00ED4336" w:rsidP="00AE0CB3">
            <w:pPr>
              <w:jc w:val="left"/>
              <w:rPr>
                <w:sz w:val="18"/>
                <w:szCs w:val="18"/>
              </w:rPr>
            </w:pPr>
            <w:r w:rsidRPr="004B0FC0">
              <w:rPr>
                <w:sz w:val="18"/>
                <w:szCs w:val="18"/>
              </w:rPr>
              <w:t>Novelty under the UPOV Convention</w:t>
            </w:r>
          </w:p>
        </w:tc>
        <w:tc>
          <w:tcPr>
            <w:tcW w:w="3912" w:type="dxa"/>
          </w:tcPr>
          <w:p w:rsidR="00ED4336" w:rsidRPr="004B0FC0" w:rsidRDefault="00ED4336" w:rsidP="00AE0CB3">
            <w:pPr>
              <w:jc w:val="left"/>
              <w:rPr>
                <w:sz w:val="18"/>
                <w:szCs w:val="18"/>
              </w:rPr>
            </w:pPr>
            <w:r w:rsidRPr="004B0FC0">
              <w:rPr>
                <w:sz w:val="18"/>
                <w:szCs w:val="18"/>
              </w:rPr>
              <w:t>UPOV/EXN/NOV/1 adopted in October 2009</w:t>
            </w:r>
          </w:p>
        </w:tc>
      </w:tr>
      <w:tr w:rsidR="00ED4336" w:rsidRPr="004B0FC0" w:rsidTr="00510349">
        <w:trPr>
          <w:cantSplit/>
          <w:jc w:val="center"/>
        </w:trPr>
        <w:tc>
          <w:tcPr>
            <w:tcW w:w="1741" w:type="dxa"/>
          </w:tcPr>
          <w:p w:rsidR="00ED4336" w:rsidRPr="004B0FC0" w:rsidRDefault="00ED4336" w:rsidP="00AE0CB3">
            <w:pPr>
              <w:jc w:val="left"/>
              <w:rPr>
                <w:color w:val="000000"/>
                <w:sz w:val="18"/>
                <w:szCs w:val="18"/>
              </w:rPr>
            </w:pPr>
            <w:r w:rsidRPr="004B0FC0">
              <w:rPr>
                <w:color w:val="000000"/>
                <w:sz w:val="18"/>
                <w:szCs w:val="18"/>
              </w:rPr>
              <w:t>UPOV/EXN/NUL</w:t>
            </w:r>
          </w:p>
        </w:tc>
        <w:tc>
          <w:tcPr>
            <w:tcW w:w="4717" w:type="dxa"/>
          </w:tcPr>
          <w:p w:rsidR="00ED4336" w:rsidRPr="004B0FC0" w:rsidRDefault="00ED4336" w:rsidP="00AE0CB3">
            <w:pPr>
              <w:jc w:val="left"/>
              <w:rPr>
                <w:sz w:val="18"/>
                <w:szCs w:val="18"/>
              </w:rPr>
            </w:pPr>
            <w:r w:rsidRPr="004B0FC0">
              <w:rPr>
                <w:sz w:val="18"/>
                <w:szCs w:val="18"/>
              </w:rPr>
              <w:t>Nullity of the Breeder’s Right under the UPOV Convention</w:t>
            </w:r>
          </w:p>
        </w:tc>
        <w:tc>
          <w:tcPr>
            <w:tcW w:w="3912" w:type="dxa"/>
          </w:tcPr>
          <w:p w:rsidR="00ED4336" w:rsidRPr="004B0FC0" w:rsidRDefault="00ED4336" w:rsidP="00AE0CB3">
            <w:pPr>
              <w:jc w:val="left"/>
              <w:rPr>
                <w:sz w:val="18"/>
                <w:szCs w:val="18"/>
              </w:rPr>
            </w:pPr>
            <w:r w:rsidRPr="004B0FC0">
              <w:rPr>
                <w:spacing w:val="-2"/>
                <w:sz w:val="18"/>
                <w:szCs w:val="18"/>
              </w:rPr>
              <w:t>UPOV/EXN/NUL/2 adopted in October 2015</w:t>
            </w:r>
          </w:p>
        </w:tc>
      </w:tr>
      <w:tr w:rsidR="00ED4336" w:rsidRPr="004B0FC0" w:rsidTr="00510349">
        <w:trPr>
          <w:cantSplit/>
          <w:jc w:val="center"/>
        </w:trPr>
        <w:tc>
          <w:tcPr>
            <w:tcW w:w="1741" w:type="dxa"/>
            <w:tcBorders>
              <w:bottom w:val="single" w:sz="2" w:space="0" w:color="auto"/>
            </w:tcBorders>
          </w:tcPr>
          <w:p w:rsidR="00ED4336" w:rsidRPr="004B0FC0" w:rsidRDefault="00ED4336" w:rsidP="00AE0CB3">
            <w:pPr>
              <w:jc w:val="left"/>
              <w:rPr>
                <w:sz w:val="18"/>
                <w:szCs w:val="18"/>
              </w:rPr>
            </w:pPr>
            <w:r w:rsidRPr="004B0FC0">
              <w:rPr>
                <w:sz w:val="18"/>
                <w:szCs w:val="18"/>
              </w:rPr>
              <w:t>UPOV/EXN/PPM</w:t>
            </w:r>
          </w:p>
        </w:tc>
        <w:tc>
          <w:tcPr>
            <w:tcW w:w="4717" w:type="dxa"/>
            <w:tcBorders>
              <w:bottom w:val="single" w:sz="2" w:space="0" w:color="auto"/>
            </w:tcBorders>
          </w:tcPr>
          <w:p w:rsidR="00ED4336" w:rsidRPr="004B0FC0" w:rsidRDefault="00ED4336" w:rsidP="00AE0CB3">
            <w:pPr>
              <w:jc w:val="left"/>
              <w:rPr>
                <w:sz w:val="18"/>
                <w:szCs w:val="18"/>
              </w:rPr>
            </w:pPr>
            <w:r w:rsidRPr="004B0FC0">
              <w:rPr>
                <w:sz w:val="18"/>
                <w:szCs w:val="18"/>
              </w:rPr>
              <w:t>Propagating Material under the 1991 Act of the UPOV </w:t>
            </w:r>
            <w:r>
              <w:rPr>
                <w:sz w:val="18"/>
                <w:szCs w:val="18"/>
              </w:rPr>
              <w:t>Convention</w:t>
            </w:r>
          </w:p>
        </w:tc>
        <w:tc>
          <w:tcPr>
            <w:tcW w:w="3912" w:type="dxa"/>
            <w:tcBorders>
              <w:bottom w:val="single" w:sz="2" w:space="0" w:color="auto"/>
            </w:tcBorders>
          </w:tcPr>
          <w:p w:rsidR="00ED4336" w:rsidRPr="004B0FC0" w:rsidRDefault="00ED4336" w:rsidP="00AE0CB3">
            <w:pPr>
              <w:jc w:val="left"/>
              <w:rPr>
                <w:spacing w:val="-2"/>
                <w:sz w:val="18"/>
                <w:szCs w:val="18"/>
              </w:rPr>
            </w:pPr>
            <w:r w:rsidRPr="004B0FC0">
              <w:rPr>
                <w:spacing w:val="-2"/>
                <w:sz w:val="18"/>
                <w:szCs w:val="18"/>
              </w:rPr>
              <w:t>UPOV/EXN/PPM/1 adopted in April 2017</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UPOV/EXN/PRI</w:t>
            </w:r>
          </w:p>
        </w:tc>
        <w:tc>
          <w:tcPr>
            <w:tcW w:w="4717" w:type="dxa"/>
          </w:tcPr>
          <w:p w:rsidR="00454FD7" w:rsidRPr="004B0FC0" w:rsidRDefault="00ED4336" w:rsidP="00AE0CB3">
            <w:pPr>
              <w:jc w:val="left"/>
              <w:rPr>
                <w:sz w:val="18"/>
                <w:szCs w:val="18"/>
              </w:rPr>
            </w:pPr>
            <w:r w:rsidRPr="004B0FC0">
              <w:rPr>
                <w:sz w:val="18"/>
                <w:szCs w:val="18"/>
              </w:rPr>
              <w:t>Right of Priority under the UPOV Convention</w:t>
            </w:r>
          </w:p>
        </w:tc>
        <w:tc>
          <w:tcPr>
            <w:tcW w:w="3912" w:type="dxa"/>
          </w:tcPr>
          <w:p w:rsidR="00ED4336" w:rsidRPr="004B0FC0" w:rsidRDefault="00ED4336" w:rsidP="00AE0CB3">
            <w:pPr>
              <w:jc w:val="left"/>
              <w:rPr>
                <w:sz w:val="18"/>
                <w:szCs w:val="18"/>
              </w:rPr>
            </w:pPr>
            <w:r w:rsidRPr="004B0FC0">
              <w:rPr>
                <w:sz w:val="18"/>
                <w:szCs w:val="18"/>
              </w:rPr>
              <w:t>UPOV/EXN/PRI/1 adopted in October 2009</w:t>
            </w:r>
          </w:p>
        </w:tc>
      </w:tr>
      <w:tr w:rsidR="00ED4336" w:rsidRPr="004B0FC0" w:rsidTr="00510349">
        <w:trPr>
          <w:cantSplit/>
          <w:jc w:val="center"/>
        </w:trPr>
        <w:tc>
          <w:tcPr>
            <w:tcW w:w="1741" w:type="dxa"/>
          </w:tcPr>
          <w:p w:rsidR="00ED4336" w:rsidRPr="004B0FC0" w:rsidRDefault="00ED4336" w:rsidP="00AE0CB3">
            <w:pPr>
              <w:jc w:val="left"/>
              <w:rPr>
                <w:sz w:val="18"/>
                <w:szCs w:val="18"/>
              </w:rPr>
            </w:pPr>
            <w:r w:rsidRPr="004B0FC0">
              <w:rPr>
                <w:sz w:val="18"/>
                <w:szCs w:val="18"/>
              </w:rPr>
              <w:t>UPOV/EXN/PRP</w:t>
            </w:r>
          </w:p>
        </w:tc>
        <w:tc>
          <w:tcPr>
            <w:tcW w:w="4717" w:type="dxa"/>
          </w:tcPr>
          <w:p w:rsidR="00ED4336" w:rsidRPr="006D444B" w:rsidRDefault="00ED4336" w:rsidP="00AE0CB3">
            <w:pPr>
              <w:jc w:val="left"/>
              <w:rPr>
                <w:sz w:val="18"/>
                <w:szCs w:val="18"/>
              </w:rPr>
            </w:pPr>
            <w:r w:rsidRPr="006D444B">
              <w:rPr>
                <w:sz w:val="18"/>
                <w:szCs w:val="18"/>
              </w:rPr>
              <w:t>Provisional Protection under the UPOV Convention</w:t>
            </w:r>
          </w:p>
        </w:tc>
        <w:tc>
          <w:tcPr>
            <w:tcW w:w="3912" w:type="dxa"/>
          </w:tcPr>
          <w:p w:rsidR="00ED4336" w:rsidRPr="00510349" w:rsidRDefault="00ED4336" w:rsidP="00AE0CB3">
            <w:pPr>
              <w:jc w:val="left"/>
              <w:rPr>
                <w:spacing w:val="-2"/>
                <w:sz w:val="18"/>
                <w:szCs w:val="18"/>
              </w:rPr>
            </w:pPr>
            <w:r w:rsidRPr="006D444B">
              <w:rPr>
                <w:spacing w:val="-2"/>
                <w:sz w:val="18"/>
                <w:szCs w:val="18"/>
              </w:rPr>
              <w:t>UPOV/EXN/PRP/2 adopted in October 2015</w:t>
            </w:r>
          </w:p>
        </w:tc>
      </w:tr>
      <w:tr w:rsidR="00ED4336" w:rsidRPr="004B0FC0" w:rsidTr="00510349">
        <w:trPr>
          <w:cantSplit/>
          <w:jc w:val="center"/>
        </w:trPr>
        <w:tc>
          <w:tcPr>
            <w:tcW w:w="1741" w:type="dxa"/>
            <w:tcBorders>
              <w:bottom w:val="single" w:sz="2" w:space="0" w:color="auto"/>
            </w:tcBorders>
          </w:tcPr>
          <w:p w:rsidR="00ED4336" w:rsidRPr="004B0FC0" w:rsidRDefault="00ED4336" w:rsidP="00AE0CB3">
            <w:pPr>
              <w:jc w:val="left"/>
              <w:rPr>
                <w:sz w:val="18"/>
                <w:szCs w:val="18"/>
              </w:rPr>
            </w:pPr>
            <w:r w:rsidRPr="004B0FC0">
              <w:rPr>
                <w:sz w:val="18"/>
                <w:szCs w:val="18"/>
              </w:rPr>
              <w:t>UPOV/EXN/VAR</w:t>
            </w:r>
          </w:p>
        </w:tc>
        <w:tc>
          <w:tcPr>
            <w:tcW w:w="4717" w:type="dxa"/>
            <w:tcBorders>
              <w:bottom w:val="single" w:sz="2" w:space="0" w:color="auto"/>
            </w:tcBorders>
          </w:tcPr>
          <w:p w:rsidR="00ED4336" w:rsidRPr="004B0FC0" w:rsidRDefault="00ED4336" w:rsidP="00AE0CB3">
            <w:pPr>
              <w:jc w:val="left"/>
              <w:rPr>
                <w:sz w:val="18"/>
                <w:szCs w:val="18"/>
              </w:rPr>
            </w:pPr>
            <w:r w:rsidRPr="004B0FC0">
              <w:rPr>
                <w:sz w:val="18"/>
                <w:szCs w:val="18"/>
              </w:rPr>
              <w:t>Definition of Variety under the 1991 Act of the UPOV Convention</w:t>
            </w:r>
          </w:p>
        </w:tc>
        <w:tc>
          <w:tcPr>
            <w:tcW w:w="3912" w:type="dxa"/>
            <w:tcBorders>
              <w:bottom w:val="single" w:sz="2" w:space="0" w:color="auto"/>
            </w:tcBorders>
          </w:tcPr>
          <w:p w:rsidR="00ED4336" w:rsidRPr="004B0FC0" w:rsidRDefault="00ED4336" w:rsidP="00AE0CB3">
            <w:pPr>
              <w:jc w:val="left"/>
              <w:rPr>
                <w:sz w:val="18"/>
                <w:szCs w:val="18"/>
              </w:rPr>
            </w:pPr>
            <w:r w:rsidRPr="004B0FC0">
              <w:rPr>
                <w:sz w:val="18"/>
                <w:szCs w:val="18"/>
              </w:rPr>
              <w:t>UPOV/EXN/VAR/1 adopted in October 2010</w:t>
            </w:r>
          </w:p>
        </w:tc>
      </w:tr>
    </w:tbl>
    <w:p w:rsidR="00E65C6F" w:rsidRDefault="00ED4336" w:rsidP="009C5CAF">
      <w:pPr>
        <w:jc w:val="center"/>
      </w:pPr>
      <w:r w:rsidRPr="004B0FC0">
        <w:rPr>
          <w:sz w:val="18"/>
          <w:szCs w:val="18"/>
        </w:rPr>
        <w:br w:type="page"/>
      </w:r>
    </w:p>
    <w:p w:rsidR="00ED4336" w:rsidRPr="004B0FC0" w:rsidRDefault="00ED4336" w:rsidP="00ED4336">
      <w:r w:rsidRPr="004B0FC0">
        <w:lastRenderedPageBreak/>
        <w:t>INFORMATION DOCUMENTS</w:t>
      </w:r>
    </w:p>
    <w:p w:rsidR="00ED4336" w:rsidRPr="004B0FC0" w:rsidRDefault="00ED4336" w:rsidP="00ED4336"/>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58"/>
        <w:gridCol w:w="4807"/>
        <w:gridCol w:w="3920"/>
      </w:tblGrid>
      <w:tr w:rsidR="00ED4336" w:rsidRPr="004B0FC0" w:rsidTr="009D7CAB">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ED4336" w:rsidRPr="004B0FC0" w:rsidRDefault="00ED4336" w:rsidP="00AE0CB3">
            <w:pPr>
              <w:jc w:val="left"/>
              <w:rPr>
                <w:sz w:val="18"/>
                <w:szCs w:val="18"/>
              </w:rPr>
            </w:pPr>
            <w:r w:rsidRPr="004B0FC0">
              <w:rPr>
                <w:sz w:val="18"/>
                <w:szCs w:val="18"/>
              </w:rPr>
              <w:t>Latest reference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ED4336" w:rsidRPr="004B0FC0" w:rsidRDefault="00ED4336" w:rsidP="00AE0CB3">
            <w:pPr>
              <w:jc w:val="center"/>
              <w:rPr>
                <w:sz w:val="18"/>
                <w:szCs w:val="18"/>
              </w:rPr>
            </w:pPr>
            <w:r w:rsidRPr="004B0FC0">
              <w:rPr>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ED4336" w:rsidRPr="004B0FC0" w:rsidRDefault="00ED4336" w:rsidP="00AE0CB3">
            <w:pPr>
              <w:jc w:val="left"/>
              <w:rPr>
                <w:sz w:val="18"/>
                <w:szCs w:val="18"/>
              </w:rPr>
            </w:pPr>
            <w:r w:rsidRPr="004B0FC0">
              <w:rPr>
                <w:sz w:val="18"/>
                <w:szCs w:val="18"/>
              </w:rPr>
              <w:t>Status</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UPOV/INF-EXN</w:t>
            </w:r>
          </w:p>
        </w:tc>
        <w:tc>
          <w:tcPr>
            <w:tcW w:w="4807" w:type="dxa"/>
          </w:tcPr>
          <w:p w:rsidR="00ED4336" w:rsidRPr="004B0FC0" w:rsidRDefault="00ED4336" w:rsidP="00AE0CB3">
            <w:pPr>
              <w:jc w:val="left"/>
              <w:rPr>
                <w:sz w:val="18"/>
                <w:szCs w:val="18"/>
              </w:rPr>
            </w:pPr>
            <w:r w:rsidRPr="004B0FC0">
              <w:rPr>
                <w:sz w:val="18"/>
                <w:szCs w:val="18"/>
              </w:rPr>
              <w:t>List of UPOV/INF-EXN Documents and Latest Issue Dates</w:t>
            </w:r>
          </w:p>
        </w:tc>
        <w:tc>
          <w:tcPr>
            <w:tcW w:w="3920" w:type="dxa"/>
          </w:tcPr>
          <w:p w:rsidR="00ED4336" w:rsidRPr="006D444B" w:rsidRDefault="00D1634D" w:rsidP="00061A89">
            <w:pPr>
              <w:spacing w:after="60"/>
              <w:jc w:val="left"/>
              <w:rPr>
                <w:sz w:val="18"/>
                <w:szCs w:val="18"/>
              </w:rPr>
            </w:pPr>
            <w:r>
              <w:rPr>
                <w:sz w:val="18"/>
                <w:szCs w:val="18"/>
              </w:rPr>
              <w:t>UPOV/INF-EXN/12</w:t>
            </w:r>
            <w:r w:rsidR="00ED4336" w:rsidRPr="006D444B">
              <w:rPr>
                <w:sz w:val="18"/>
                <w:szCs w:val="18"/>
              </w:rPr>
              <w:t xml:space="preserve"> adopted </w:t>
            </w:r>
            <w:r>
              <w:rPr>
                <w:spacing w:val="-2"/>
                <w:sz w:val="18"/>
                <w:szCs w:val="18"/>
              </w:rPr>
              <w:t>in November 2018</w:t>
            </w:r>
          </w:p>
          <w:p w:rsidR="00ED4336" w:rsidRPr="006D444B" w:rsidRDefault="00ED4336" w:rsidP="00EB0CE5">
            <w:pPr>
              <w:jc w:val="left"/>
              <w:rPr>
                <w:sz w:val="18"/>
                <w:szCs w:val="18"/>
              </w:rPr>
            </w:pPr>
            <w:r w:rsidRPr="00513D05">
              <w:rPr>
                <w:i/>
                <w:sz w:val="18"/>
                <w:szCs w:val="18"/>
              </w:rPr>
              <w:t>UPOV/INF-EXN/1</w:t>
            </w:r>
            <w:r w:rsidR="00EB0CE5">
              <w:rPr>
                <w:i/>
                <w:sz w:val="18"/>
                <w:szCs w:val="18"/>
              </w:rPr>
              <w:t>3</w:t>
            </w:r>
            <w:r w:rsidRPr="00513D05">
              <w:rPr>
                <w:i/>
                <w:sz w:val="18"/>
                <w:szCs w:val="18"/>
              </w:rPr>
              <w:t xml:space="preserve"> Draft 1</w:t>
            </w:r>
            <w:r w:rsidRPr="006D444B">
              <w:rPr>
                <w:sz w:val="18"/>
                <w:szCs w:val="18"/>
              </w:rPr>
              <w:t xml:space="preserve"> </w:t>
            </w:r>
            <w:r w:rsidRPr="00513D05">
              <w:rPr>
                <w:i/>
                <w:sz w:val="18"/>
                <w:szCs w:val="18"/>
              </w:rPr>
              <w:t xml:space="preserve">to be considered by the Council in </w:t>
            </w:r>
            <w:r w:rsidR="00EB0CE5">
              <w:rPr>
                <w:i/>
                <w:sz w:val="18"/>
                <w:szCs w:val="18"/>
              </w:rPr>
              <w:t>November 2019</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UPOV/INF/4</w:t>
            </w:r>
          </w:p>
        </w:tc>
        <w:tc>
          <w:tcPr>
            <w:tcW w:w="4807" w:type="dxa"/>
          </w:tcPr>
          <w:p w:rsidR="00ED4336" w:rsidRPr="004B0FC0" w:rsidRDefault="00ED4336" w:rsidP="00AE0CB3">
            <w:pPr>
              <w:jc w:val="left"/>
              <w:rPr>
                <w:sz w:val="18"/>
                <w:szCs w:val="18"/>
              </w:rPr>
            </w:pPr>
            <w:r w:rsidRPr="004B0FC0">
              <w:rPr>
                <w:sz w:val="18"/>
                <w:szCs w:val="18"/>
              </w:rPr>
              <w:t>Financial Regulations and Rules of UPOV</w:t>
            </w:r>
          </w:p>
        </w:tc>
        <w:tc>
          <w:tcPr>
            <w:tcW w:w="3920" w:type="dxa"/>
          </w:tcPr>
          <w:p w:rsidR="00ED4336" w:rsidRPr="006D444B" w:rsidRDefault="00EB0CE5" w:rsidP="00EB0CE5">
            <w:pPr>
              <w:jc w:val="left"/>
              <w:rPr>
                <w:sz w:val="18"/>
                <w:szCs w:val="18"/>
              </w:rPr>
            </w:pPr>
            <w:r>
              <w:rPr>
                <w:sz w:val="18"/>
                <w:szCs w:val="18"/>
              </w:rPr>
              <w:t>UPOV/INF/4/5</w:t>
            </w:r>
            <w:r w:rsidR="00ED4336">
              <w:rPr>
                <w:sz w:val="18"/>
                <w:szCs w:val="18"/>
              </w:rPr>
              <w:t xml:space="preserve"> </w:t>
            </w:r>
            <w:r w:rsidR="00ED4336" w:rsidRPr="006D444B">
              <w:rPr>
                <w:sz w:val="18"/>
                <w:szCs w:val="18"/>
              </w:rPr>
              <w:t xml:space="preserve">adopted </w:t>
            </w:r>
            <w:r w:rsidR="00ED4336" w:rsidRPr="00EB0CE5">
              <w:rPr>
                <w:sz w:val="18"/>
                <w:szCs w:val="18"/>
              </w:rPr>
              <w:t xml:space="preserve">in </w:t>
            </w:r>
            <w:r>
              <w:rPr>
                <w:sz w:val="18"/>
                <w:szCs w:val="18"/>
              </w:rPr>
              <w:t>November 2018</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UPOV/INF/5</w:t>
            </w:r>
          </w:p>
        </w:tc>
        <w:tc>
          <w:tcPr>
            <w:tcW w:w="4807" w:type="dxa"/>
          </w:tcPr>
          <w:p w:rsidR="00ED4336" w:rsidRPr="004B0FC0" w:rsidRDefault="00ED4336" w:rsidP="00AE0CB3">
            <w:pPr>
              <w:jc w:val="left"/>
              <w:rPr>
                <w:sz w:val="18"/>
                <w:szCs w:val="18"/>
              </w:rPr>
            </w:pPr>
            <w:r w:rsidRPr="004B0FC0">
              <w:rPr>
                <w:sz w:val="18"/>
                <w:szCs w:val="18"/>
              </w:rPr>
              <w:t>UPOV model plant breeders' rights gazette</w:t>
            </w:r>
          </w:p>
        </w:tc>
        <w:tc>
          <w:tcPr>
            <w:tcW w:w="3920" w:type="dxa"/>
          </w:tcPr>
          <w:p w:rsidR="00ED4336" w:rsidRPr="006D444B" w:rsidRDefault="00ED4336" w:rsidP="00061A89">
            <w:pPr>
              <w:spacing w:after="60"/>
              <w:jc w:val="left"/>
              <w:rPr>
                <w:sz w:val="18"/>
                <w:szCs w:val="18"/>
              </w:rPr>
            </w:pPr>
            <w:r w:rsidRPr="006D444B">
              <w:rPr>
                <w:sz w:val="18"/>
                <w:szCs w:val="18"/>
              </w:rPr>
              <w:t>UPOV/INF/5 adopted in October 1979</w:t>
            </w:r>
          </w:p>
          <w:p w:rsidR="00ED4336" w:rsidRPr="00D1634D" w:rsidRDefault="00043D56" w:rsidP="00043D56">
            <w:pPr>
              <w:jc w:val="left"/>
              <w:rPr>
                <w:i/>
                <w:sz w:val="18"/>
                <w:szCs w:val="18"/>
              </w:rPr>
            </w:pPr>
            <w:r w:rsidRPr="00D1634D">
              <w:rPr>
                <w:i/>
                <w:sz w:val="18"/>
                <w:szCs w:val="18"/>
              </w:rPr>
              <w:t>UPOV/INF/5/2 Draft 2</w:t>
            </w:r>
            <w:r w:rsidR="00ED4336" w:rsidRPr="00D1634D">
              <w:rPr>
                <w:i/>
                <w:sz w:val="18"/>
                <w:szCs w:val="18"/>
              </w:rPr>
              <w:t xml:space="preserve"> to be considered by the </w:t>
            </w:r>
            <w:r w:rsidRPr="00D1634D">
              <w:rPr>
                <w:i/>
                <w:sz w:val="18"/>
                <w:szCs w:val="18"/>
              </w:rPr>
              <w:t>Council</w:t>
            </w:r>
            <w:r w:rsidR="00ED4336" w:rsidRPr="00D1634D">
              <w:rPr>
                <w:i/>
                <w:sz w:val="18"/>
                <w:szCs w:val="18"/>
              </w:rPr>
              <w:t xml:space="preserve"> in </w:t>
            </w:r>
            <w:r w:rsidRPr="00D1634D">
              <w:rPr>
                <w:i/>
                <w:sz w:val="18"/>
                <w:szCs w:val="18"/>
              </w:rPr>
              <w:t>November 2019</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UPOV/INF/6</w:t>
            </w:r>
          </w:p>
        </w:tc>
        <w:tc>
          <w:tcPr>
            <w:tcW w:w="4807" w:type="dxa"/>
          </w:tcPr>
          <w:p w:rsidR="00ED4336" w:rsidRPr="004B0FC0" w:rsidRDefault="00ED4336" w:rsidP="00AE0CB3">
            <w:pPr>
              <w:jc w:val="left"/>
              <w:rPr>
                <w:sz w:val="18"/>
                <w:szCs w:val="18"/>
              </w:rPr>
            </w:pPr>
            <w:r w:rsidRPr="004B0FC0">
              <w:rPr>
                <w:sz w:val="18"/>
                <w:szCs w:val="18"/>
              </w:rPr>
              <w:t>Guidance for the preparation of laws based on the 1991 Act of the UPOV Convention</w:t>
            </w:r>
          </w:p>
        </w:tc>
        <w:tc>
          <w:tcPr>
            <w:tcW w:w="3920" w:type="dxa"/>
          </w:tcPr>
          <w:p w:rsidR="00ED4336" w:rsidRPr="006D444B" w:rsidRDefault="00ED4336" w:rsidP="00AE0CB3">
            <w:pPr>
              <w:jc w:val="left"/>
              <w:rPr>
                <w:sz w:val="18"/>
                <w:szCs w:val="18"/>
              </w:rPr>
            </w:pPr>
            <w:r w:rsidRPr="006D444B">
              <w:rPr>
                <w:sz w:val="18"/>
                <w:szCs w:val="18"/>
              </w:rPr>
              <w:t>UPOV/INF/6/5 adopted in April 2017</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UPOV/INF/7</w:t>
            </w:r>
          </w:p>
        </w:tc>
        <w:tc>
          <w:tcPr>
            <w:tcW w:w="4807" w:type="dxa"/>
          </w:tcPr>
          <w:p w:rsidR="00ED4336" w:rsidRPr="004B0FC0" w:rsidRDefault="00ED4336" w:rsidP="00AE0CB3">
            <w:pPr>
              <w:jc w:val="left"/>
              <w:rPr>
                <w:sz w:val="18"/>
                <w:szCs w:val="18"/>
              </w:rPr>
            </w:pPr>
            <w:r w:rsidRPr="004B0FC0">
              <w:rPr>
                <w:sz w:val="18"/>
                <w:szCs w:val="18"/>
              </w:rPr>
              <w:t>Rules of Procedure of the Council</w:t>
            </w:r>
          </w:p>
        </w:tc>
        <w:tc>
          <w:tcPr>
            <w:tcW w:w="3920" w:type="dxa"/>
          </w:tcPr>
          <w:p w:rsidR="00ED4336" w:rsidRPr="006D444B" w:rsidRDefault="00ED4336" w:rsidP="00AE0CB3">
            <w:pPr>
              <w:jc w:val="left"/>
              <w:rPr>
                <w:sz w:val="18"/>
                <w:szCs w:val="18"/>
              </w:rPr>
            </w:pPr>
            <w:r w:rsidRPr="006D444B">
              <w:rPr>
                <w:sz w:val="18"/>
                <w:szCs w:val="18"/>
              </w:rPr>
              <w:t>UPOV/INF/7 adopted in October 1982</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UPOV/INF/8</w:t>
            </w:r>
          </w:p>
        </w:tc>
        <w:tc>
          <w:tcPr>
            <w:tcW w:w="4807" w:type="dxa"/>
          </w:tcPr>
          <w:p w:rsidR="00ED4336" w:rsidRPr="004B0FC0" w:rsidRDefault="00ED4336" w:rsidP="00AE0CB3">
            <w:pPr>
              <w:jc w:val="left"/>
              <w:rPr>
                <w:sz w:val="18"/>
                <w:szCs w:val="18"/>
              </w:rPr>
            </w:pPr>
            <w:r w:rsidRPr="004B0FC0">
              <w:rPr>
                <w:sz w:val="18"/>
                <w:szCs w:val="18"/>
              </w:rPr>
              <w:t>Agreement between the World Intellectual Property Organization and the International Union for the Protection of New Varieties of Plants</w:t>
            </w:r>
          </w:p>
        </w:tc>
        <w:tc>
          <w:tcPr>
            <w:tcW w:w="3920" w:type="dxa"/>
          </w:tcPr>
          <w:p w:rsidR="00ED4336" w:rsidRPr="006D444B" w:rsidRDefault="00ED4336" w:rsidP="00AE0CB3">
            <w:pPr>
              <w:jc w:val="left"/>
              <w:rPr>
                <w:sz w:val="18"/>
                <w:szCs w:val="18"/>
              </w:rPr>
            </w:pPr>
            <w:r w:rsidRPr="006D444B">
              <w:rPr>
                <w:sz w:val="18"/>
                <w:szCs w:val="18"/>
              </w:rPr>
              <w:t>UPOV/INF/8 signed in November 1982</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UPOV/INF/9</w:t>
            </w:r>
          </w:p>
        </w:tc>
        <w:tc>
          <w:tcPr>
            <w:tcW w:w="4807" w:type="dxa"/>
          </w:tcPr>
          <w:p w:rsidR="00ED4336" w:rsidRPr="004B0FC0" w:rsidRDefault="00ED4336" w:rsidP="00AE0CB3">
            <w:pPr>
              <w:jc w:val="left"/>
              <w:rPr>
                <w:sz w:val="18"/>
                <w:szCs w:val="18"/>
              </w:rPr>
            </w:pPr>
            <w:r w:rsidRPr="004B0FC0">
              <w:rPr>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ED4336" w:rsidRPr="006D444B" w:rsidRDefault="00ED4336" w:rsidP="00AE0CB3">
            <w:pPr>
              <w:jc w:val="left"/>
              <w:rPr>
                <w:sz w:val="18"/>
                <w:szCs w:val="18"/>
              </w:rPr>
            </w:pPr>
            <w:r w:rsidRPr="006D444B">
              <w:rPr>
                <w:sz w:val="18"/>
                <w:szCs w:val="18"/>
              </w:rPr>
              <w:t>UPOV/INF/9 signed in November 1983</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UPOV/INF/10</w:t>
            </w:r>
          </w:p>
        </w:tc>
        <w:tc>
          <w:tcPr>
            <w:tcW w:w="4807" w:type="dxa"/>
          </w:tcPr>
          <w:p w:rsidR="00ED4336" w:rsidRPr="004B0FC0" w:rsidRDefault="00ED4336" w:rsidP="00AE0CB3">
            <w:pPr>
              <w:jc w:val="left"/>
              <w:rPr>
                <w:sz w:val="18"/>
                <w:szCs w:val="18"/>
              </w:rPr>
            </w:pPr>
            <w:r w:rsidRPr="004B0FC0">
              <w:rPr>
                <w:sz w:val="18"/>
                <w:szCs w:val="18"/>
              </w:rPr>
              <w:t>Internal Audit</w:t>
            </w:r>
          </w:p>
        </w:tc>
        <w:tc>
          <w:tcPr>
            <w:tcW w:w="3920" w:type="dxa"/>
          </w:tcPr>
          <w:p w:rsidR="00ED4336" w:rsidRPr="006D444B" w:rsidRDefault="00ED4336" w:rsidP="00AE0CB3">
            <w:pPr>
              <w:jc w:val="left"/>
              <w:rPr>
                <w:sz w:val="18"/>
                <w:szCs w:val="18"/>
              </w:rPr>
            </w:pPr>
            <w:r w:rsidRPr="006D444B">
              <w:rPr>
                <w:sz w:val="18"/>
                <w:szCs w:val="18"/>
              </w:rPr>
              <w:t>UPOV/INF/10/1 adopted in October 2010</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UPOV/INF/12</w:t>
            </w:r>
          </w:p>
        </w:tc>
        <w:tc>
          <w:tcPr>
            <w:tcW w:w="4807" w:type="dxa"/>
          </w:tcPr>
          <w:p w:rsidR="00ED4336" w:rsidRPr="004B0FC0" w:rsidRDefault="00ED4336" w:rsidP="00AE0CB3">
            <w:pPr>
              <w:jc w:val="left"/>
              <w:rPr>
                <w:sz w:val="18"/>
                <w:szCs w:val="18"/>
              </w:rPr>
            </w:pPr>
            <w:r w:rsidRPr="004B0FC0">
              <w:rPr>
                <w:sz w:val="18"/>
                <w:szCs w:val="18"/>
              </w:rPr>
              <w:t>Explanatory Notes on Variety Denominations under the UPOV Convention</w:t>
            </w:r>
          </w:p>
        </w:tc>
        <w:tc>
          <w:tcPr>
            <w:tcW w:w="3920" w:type="dxa"/>
          </w:tcPr>
          <w:p w:rsidR="00ED4336" w:rsidRPr="006D444B" w:rsidRDefault="00ED4336" w:rsidP="00061A89">
            <w:pPr>
              <w:spacing w:after="60"/>
              <w:jc w:val="left"/>
              <w:rPr>
                <w:bCs/>
                <w:snapToGrid w:val="0"/>
                <w:sz w:val="18"/>
                <w:szCs w:val="18"/>
              </w:rPr>
            </w:pPr>
            <w:r w:rsidRPr="006D444B">
              <w:rPr>
                <w:sz w:val="18"/>
                <w:szCs w:val="18"/>
              </w:rPr>
              <w:t>UPOV/INF/12/5 adopted</w:t>
            </w:r>
            <w:r w:rsidRPr="006D444B">
              <w:rPr>
                <w:bCs/>
                <w:snapToGrid w:val="0"/>
                <w:sz w:val="18"/>
                <w:szCs w:val="18"/>
              </w:rPr>
              <w:t xml:space="preserve"> in October 2015</w:t>
            </w:r>
          </w:p>
          <w:p w:rsidR="00ED4336" w:rsidRPr="006D444B" w:rsidRDefault="00043D56" w:rsidP="00043D56">
            <w:pPr>
              <w:jc w:val="left"/>
              <w:rPr>
                <w:spacing w:val="-2"/>
                <w:sz w:val="18"/>
                <w:szCs w:val="18"/>
              </w:rPr>
            </w:pPr>
            <w:r>
              <w:rPr>
                <w:i/>
                <w:sz w:val="18"/>
                <w:szCs w:val="18"/>
              </w:rPr>
              <w:t>UPOV/EXN/DEN/1 Draft 2</w:t>
            </w:r>
            <w:r w:rsidR="00ED4336">
              <w:rPr>
                <w:sz w:val="18"/>
                <w:szCs w:val="18"/>
              </w:rPr>
              <w:t xml:space="preserve"> </w:t>
            </w:r>
            <w:r w:rsidR="00ED4336" w:rsidRPr="00513D05">
              <w:rPr>
                <w:i/>
                <w:sz w:val="18"/>
                <w:szCs w:val="18"/>
              </w:rPr>
              <w:t xml:space="preserve">to be considered by the </w:t>
            </w:r>
            <w:r>
              <w:rPr>
                <w:i/>
                <w:sz w:val="18"/>
                <w:szCs w:val="18"/>
              </w:rPr>
              <w:t xml:space="preserve">CAJ </w:t>
            </w:r>
            <w:r w:rsidR="00ED4336" w:rsidRPr="00513D05">
              <w:rPr>
                <w:bCs/>
                <w:i/>
                <w:snapToGrid w:val="0"/>
                <w:sz w:val="18"/>
                <w:szCs w:val="18"/>
              </w:rPr>
              <w:t>in October</w:t>
            </w:r>
            <w:r>
              <w:rPr>
                <w:bCs/>
                <w:i/>
                <w:snapToGrid w:val="0"/>
                <w:sz w:val="18"/>
                <w:szCs w:val="18"/>
              </w:rPr>
              <w:t xml:space="preserve"> 2019</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UPOV/INF/13</w:t>
            </w:r>
          </w:p>
        </w:tc>
        <w:tc>
          <w:tcPr>
            <w:tcW w:w="4807" w:type="dxa"/>
          </w:tcPr>
          <w:p w:rsidR="00ED4336" w:rsidRPr="004B0FC0" w:rsidRDefault="00ED4336" w:rsidP="00AE0CB3">
            <w:pPr>
              <w:jc w:val="left"/>
              <w:rPr>
                <w:sz w:val="18"/>
                <w:szCs w:val="18"/>
              </w:rPr>
            </w:pPr>
            <w:r w:rsidRPr="004B0FC0">
              <w:rPr>
                <w:sz w:val="18"/>
                <w:szCs w:val="18"/>
              </w:rPr>
              <w:t>Guidance on how to become a member of UPOV</w:t>
            </w:r>
          </w:p>
        </w:tc>
        <w:tc>
          <w:tcPr>
            <w:tcW w:w="3920" w:type="dxa"/>
          </w:tcPr>
          <w:p w:rsidR="00ED4336" w:rsidRPr="006D444B" w:rsidRDefault="00ED4336" w:rsidP="00AE0CB3">
            <w:pPr>
              <w:jc w:val="left"/>
              <w:rPr>
                <w:sz w:val="18"/>
                <w:szCs w:val="18"/>
              </w:rPr>
            </w:pPr>
            <w:r w:rsidRPr="006D444B">
              <w:rPr>
                <w:sz w:val="18"/>
                <w:szCs w:val="18"/>
              </w:rPr>
              <w:t>UPOV/INF/13/2 adopted in October 2017</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UPOV/INF/14</w:t>
            </w:r>
          </w:p>
        </w:tc>
        <w:tc>
          <w:tcPr>
            <w:tcW w:w="4807" w:type="dxa"/>
          </w:tcPr>
          <w:p w:rsidR="00ED4336" w:rsidRPr="004B0FC0" w:rsidRDefault="00ED4336" w:rsidP="00AE0CB3">
            <w:pPr>
              <w:jc w:val="left"/>
              <w:rPr>
                <w:sz w:val="18"/>
                <w:szCs w:val="18"/>
              </w:rPr>
            </w:pPr>
            <w:r w:rsidRPr="004B0FC0">
              <w:rPr>
                <w:sz w:val="18"/>
                <w:szCs w:val="18"/>
              </w:rPr>
              <w:t>Guidance for members of UPOV on how to ratify, or accede to, the 1991 Act of the UPOV Convention</w:t>
            </w:r>
          </w:p>
        </w:tc>
        <w:tc>
          <w:tcPr>
            <w:tcW w:w="3920" w:type="dxa"/>
          </w:tcPr>
          <w:p w:rsidR="00ED4336" w:rsidRPr="006D444B" w:rsidRDefault="00ED4336" w:rsidP="00AE0CB3">
            <w:pPr>
              <w:jc w:val="left"/>
              <w:rPr>
                <w:sz w:val="18"/>
                <w:szCs w:val="18"/>
              </w:rPr>
            </w:pPr>
            <w:r w:rsidRPr="006D444B">
              <w:rPr>
                <w:sz w:val="18"/>
                <w:szCs w:val="18"/>
              </w:rPr>
              <w:t>UPOV/INF/14/1 adopted in October 2009</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UPOV/INF/15</w:t>
            </w:r>
          </w:p>
        </w:tc>
        <w:tc>
          <w:tcPr>
            <w:tcW w:w="4807" w:type="dxa"/>
          </w:tcPr>
          <w:p w:rsidR="00ED4336" w:rsidRPr="004B0FC0" w:rsidRDefault="00ED4336" w:rsidP="00043D56">
            <w:pPr>
              <w:jc w:val="left"/>
              <w:rPr>
                <w:sz w:val="18"/>
                <w:szCs w:val="18"/>
              </w:rPr>
            </w:pPr>
            <w:r w:rsidRPr="004B0FC0">
              <w:rPr>
                <w:sz w:val="18"/>
                <w:szCs w:val="18"/>
              </w:rPr>
              <w:t xml:space="preserve">Guidance for Members of UPOV </w:t>
            </w:r>
          </w:p>
        </w:tc>
        <w:tc>
          <w:tcPr>
            <w:tcW w:w="3920" w:type="dxa"/>
          </w:tcPr>
          <w:p w:rsidR="00ED4336" w:rsidRPr="006D444B" w:rsidRDefault="00ED4336" w:rsidP="00AE0CB3">
            <w:pPr>
              <w:jc w:val="left"/>
              <w:rPr>
                <w:sz w:val="18"/>
                <w:szCs w:val="18"/>
              </w:rPr>
            </w:pPr>
            <w:r w:rsidRPr="006D444B">
              <w:rPr>
                <w:sz w:val="18"/>
                <w:szCs w:val="18"/>
              </w:rPr>
              <w:t xml:space="preserve">UPOV/INF/15/3 adopted in March 2015 </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UPOV/INF/16</w:t>
            </w:r>
          </w:p>
        </w:tc>
        <w:tc>
          <w:tcPr>
            <w:tcW w:w="4807" w:type="dxa"/>
          </w:tcPr>
          <w:p w:rsidR="00ED4336" w:rsidRPr="004B0FC0" w:rsidRDefault="00ED4336" w:rsidP="00AE0CB3">
            <w:pPr>
              <w:jc w:val="left"/>
              <w:rPr>
                <w:sz w:val="18"/>
                <w:szCs w:val="18"/>
              </w:rPr>
            </w:pPr>
            <w:r w:rsidRPr="004B0FC0">
              <w:rPr>
                <w:sz w:val="18"/>
                <w:szCs w:val="18"/>
              </w:rPr>
              <w:t>Exchangeable Software</w:t>
            </w:r>
          </w:p>
        </w:tc>
        <w:tc>
          <w:tcPr>
            <w:tcW w:w="3920" w:type="dxa"/>
          </w:tcPr>
          <w:p w:rsidR="00ED4336" w:rsidRPr="006D444B" w:rsidRDefault="008A20FB" w:rsidP="00AE0CB3">
            <w:pPr>
              <w:jc w:val="left"/>
              <w:rPr>
                <w:sz w:val="18"/>
                <w:szCs w:val="18"/>
              </w:rPr>
            </w:pPr>
            <w:r>
              <w:rPr>
                <w:sz w:val="18"/>
                <w:szCs w:val="18"/>
              </w:rPr>
              <w:t>UPOV/INF/16/8</w:t>
            </w:r>
            <w:r w:rsidR="00ED4336" w:rsidRPr="006D444B">
              <w:rPr>
                <w:sz w:val="18"/>
                <w:szCs w:val="18"/>
              </w:rPr>
              <w:t xml:space="preserve"> adopted in </w:t>
            </w:r>
            <w:r>
              <w:rPr>
                <w:sz w:val="18"/>
                <w:szCs w:val="18"/>
              </w:rPr>
              <w:t>November 2018</w:t>
            </w:r>
            <w:r w:rsidR="00ED4336" w:rsidRPr="006D444B">
              <w:rPr>
                <w:sz w:val="18"/>
                <w:szCs w:val="18"/>
              </w:rPr>
              <w:t xml:space="preserve"> </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UPOV/INF/17</w:t>
            </w:r>
          </w:p>
        </w:tc>
        <w:tc>
          <w:tcPr>
            <w:tcW w:w="4807" w:type="dxa"/>
          </w:tcPr>
          <w:p w:rsidR="00ED4336" w:rsidRPr="004B0FC0" w:rsidRDefault="00ED4336" w:rsidP="00AE0CB3">
            <w:pPr>
              <w:jc w:val="left"/>
              <w:rPr>
                <w:sz w:val="18"/>
                <w:szCs w:val="18"/>
              </w:rPr>
            </w:pPr>
            <w:r w:rsidRPr="004B0FC0">
              <w:rPr>
                <w:sz w:val="18"/>
                <w:szCs w:val="18"/>
              </w:rPr>
              <w:t>Guidelines for DNA-Profiling: Molecular Marker Selection and Database Construction (“BMT Guidelines”)</w:t>
            </w:r>
          </w:p>
        </w:tc>
        <w:tc>
          <w:tcPr>
            <w:tcW w:w="3920" w:type="dxa"/>
          </w:tcPr>
          <w:p w:rsidR="00ED4336" w:rsidRPr="006D444B" w:rsidRDefault="00ED4336" w:rsidP="00AE0CB3">
            <w:pPr>
              <w:jc w:val="left"/>
              <w:rPr>
                <w:sz w:val="18"/>
                <w:szCs w:val="18"/>
              </w:rPr>
            </w:pPr>
            <w:r w:rsidRPr="006D444B">
              <w:rPr>
                <w:sz w:val="18"/>
                <w:szCs w:val="18"/>
              </w:rPr>
              <w:t>UPOV/INF/17/1 adopted in October 2010</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UPOV/INF/18</w:t>
            </w:r>
          </w:p>
        </w:tc>
        <w:tc>
          <w:tcPr>
            <w:tcW w:w="4807" w:type="dxa"/>
          </w:tcPr>
          <w:p w:rsidR="00ED4336" w:rsidRPr="004B0FC0" w:rsidRDefault="00ED4336" w:rsidP="00AE0CB3">
            <w:pPr>
              <w:jc w:val="left"/>
              <w:rPr>
                <w:sz w:val="18"/>
                <w:szCs w:val="18"/>
              </w:rPr>
            </w:pPr>
            <w:r w:rsidRPr="004B0FC0">
              <w:rPr>
                <w:sz w:val="18"/>
                <w:szCs w:val="18"/>
              </w:rPr>
              <w:t>Possible use of Molecular Markers in the Examination of Distinctness, Uniformity and Stability (DUS)</w:t>
            </w:r>
          </w:p>
        </w:tc>
        <w:tc>
          <w:tcPr>
            <w:tcW w:w="3920" w:type="dxa"/>
          </w:tcPr>
          <w:p w:rsidR="00ED4336" w:rsidRPr="006D444B" w:rsidRDefault="00ED4336" w:rsidP="00AE0CB3">
            <w:pPr>
              <w:jc w:val="left"/>
              <w:rPr>
                <w:sz w:val="18"/>
                <w:szCs w:val="18"/>
              </w:rPr>
            </w:pPr>
            <w:r w:rsidRPr="006D444B">
              <w:rPr>
                <w:sz w:val="18"/>
                <w:szCs w:val="18"/>
              </w:rPr>
              <w:t>UPOV/INF/18/1 adopted in October 2011</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UPOV/INF/19</w:t>
            </w:r>
          </w:p>
        </w:tc>
        <w:tc>
          <w:tcPr>
            <w:tcW w:w="4807" w:type="dxa"/>
          </w:tcPr>
          <w:p w:rsidR="00ED4336" w:rsidRPr="004B0FC0" w:rsidRDefault="00ED4336" w:rsidP="00AE0CB3">
            <w:pPr>
              <w:jc w:val="left"/>
              <w:rPr>
                <w:sz w:val="18"/>
                <w:szCs w:val="18"/>
              </w:rPr>
            </w:pPr>
            <w:r w:rsidRPr="004B0FC0">
              <w:rPr>
                <w:sz w:val="18"/>
                <w:szCs w:val="18"/>
              </w:rPr>
              <w:t>Rules governing the granting of observer status to States, intergovernmental organizations and international non-governmental organizations in UPOV bodies</w:t>
            </w:r>
          </w:p>
        </w:tc>
        <w:tc>
          <w:tcPr>
            <w:tcW w:w="3920" w:type="dxa"/>
          </w:tcPr>
          <w:p w:rsidR="00ED4336" w:rsidRPr="006D444B" w:rsidRDefault="00ED4336" w:rsidP="00AE0CB3">
            <w:pPr>
              <w:jc w:val="left"/>
              <w:rPr>
                <w:iCs/>
                <w:sz w:val="18"/>
                <w:szCs w:val="18"/>
              </w:rPr>
            </w:pPr>
            <w:r w:rsidRPr="006D444B">
              <w:rPr>
                <w:sz w:val="18"/>
                <w:szCs w:val="18"/>
              </w:rPr>
              <w:t xml:space="preserve">UPOV/INF/19/1 </w:t>
            </w:r>
            <w:r w:rsidRPr="006D444B">
              <w:rPr>
                <w:iCs/>
                <w:sz w:val="18"/>
                <w:szCs w:val="18"/>
              </w:rPr>
              <w:t>adopted in November 2012</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UPOV/INF/20</w:t>
            </w:r>
          </w:p>
        </w:tc>
        <w:tc>
          <w:tcPr>
            <w:tcW w:w="4807" w:type="dxa"/>
          </w:tcPr>
          <w:p w:rsidR="00ED4336" w:rsidRPr="004B0FC0" w:rsidRDefault="00ED4336" w:rsidP="00AE0CB3">
            <w:pPr>
              <w:jc w:val="left"/>
              <w:rPr>
                <w:sz w:val="18"/>
                <w:szCs w:val="18"/>
              </w:rPr>
            </w:pPr>
            <w:r w:rsidRPr="004B0FC0">
              <w:rPr>
                <w:sz w:val="18"/>
                <w:szCs w:val="18"/>
              </w:rPr>
              <w:t>Rules governing access to UPOV documents</w:t>
            </w:r>
          </w:p>
        </w:tc>
        <w:tc>
          <w:tcPr>
            <w:tcW w:w="3920" w:type="dxa"/>
          </w:tcPr>
          <w:p w:rsidR="00ED4336" w:rsidRPr="006D444B" w:rsidRDefault="00ED4336" w:rsidP="00AE0CB3">
            <w:pPr>
              <w:jc w:val="left"/>
              <w:rPr>
                <w:iCs/>
                <w:sz w:val="18"/>
                <w:szCs w:val="18"/>
              </w:rPr>
            </w:pPr>
            <w:r w:rsidRPr="006D444B">
              <w:rPr>
                <w:sz w:val="18"/>
                <w:szCs w:val="18"/>
              </w:rPr>
              <w:t xml:space="preserve">UPOV/INF/20/1 </w:t>
            </w:r>
            <w:r w:rsidRPr="006D444B">
              <w:rPr>
                <w:iCs/>
                <w:sz w:val="18"/>
                <w:szCs w:val="18"/>
              </w:rPr>
              <w:t>adopted in November 2012</w:t>
            </w:r>
          </w:p>
        </w:tc>
      </w:tr>
      <w:tr w:rsidR="00ED4336" w:rsidRPr="004B0FC0" w:rsidTr="009D7CAB">
        <w:trPr>
          <w:cantSplit/>
          <w:jc w:val="center"/>
        </w:trPr>
        <w:tc>
          <w:tcPr>
            <w:tcW w:w="1758" w:type="dxa"/>
          </w:tcPr>
          <w:p w:rsidR="00ED4336" w:rsidRPr="004B0FC0" w:rsidRDefault="00ED4336" w:rsidP="00AE0CB3">
            <w:pPr>
              <w:jc w:val="left"/>
              <w:rPr>
                <w:sz w:val="18"/>
                <w:szCs w:val="18"/>
              </w:rPr>
            </w:pPr>
            <w:r w:rsidRPr="004B0FC0">
              <w:rPr>
                <w:sz w:val="18"/>
                <w:szCs w:val="18"/>
              </w:rPr>
              <w:t>UPOV/INF/21</w:t>
            </w:r>
          </w:p>
        </w:tc>
        <w:tc>
          <w:tcPr>
            <w:tcW w:w="4807" w:type="dxa"/>
          </w:tcPr>
          <w:p w:rsidR="00ED4336" w:rsidRPr="004B0FC0" w:rsidRDefault="00ED4336" w:rsidP="00AE0CB3">
            <w:pPr>
              <w:jc w:val="left"/>
              <w:rPr>
                <w:sz w:val="18"/>
                <w:szCs w:val="18"/>
              </w:rPr>
            </w:pPr>
            <w:r w:rsidRPr="004B0FC0">
              <w:rPr>
                <w:sz w:val="18"/>
                <w:szCs w:val="18"/>
              </w:rPr>
              <w:t>Alternative Dispute Settlement Mechanisms</w:t>
            </w:r>
          </w:p>
        </w:tc>
        <w:tc>
          <w:tcPr>
            <w:tcW w:w="3920" w:type="dxa"/>
          </w:tcPr>
          <w:p w:rsidR="00ED4336" w:rsidRPr="006D444B" w:rsidRDefault="00ED4336" w:rsidP="00AE0CB3">
            <w:pPr>
              <w:jc w:val="left"/>
              <w:rPr>
                <w:sz w:val="18"/>
                <w:szCs w:val="18"/>
              </w:rPr>
            </w:pPr>
            <w:r w:rsidRPr="006D444B">
              <w:rPr>
                <w:sz w:val="18"/>
                <w:szCs w:val="18"/>
              </w:rPr>
              <w:t xml:space="preserve">UPOV/INF/21/1 adopted </w:t>
            </w:r>
            <w:r w:rsidRPr="006D444B">
              <w:rPr>
                <w:iCs/>
                <w:sz w:val="18"/>
                <w:szCs w:val="18"/>
              </w:rPr>
              <w:t>in November 2012</w:t>
            </w:r>
          </w:p>
        </w:tc>
      </w:tr>
      <w:tr w:rsidR="00ED4336" w:rsidRPr="004B0FC0" w:rsidTr="009D7CAB">
        <w:trPr>
          <w:cantSplit/>
          <w:jc w:val="center"/>
        </w:trPr>
        <w:tc>
          <w:tcPr>
            <w:tcW w:w="1758" w:type="dxa"/>
          </w:tcPr>
          <w:p w:rsidR="00ED4336" w:rsidRPr="004B0FC0" w:rsidRDefault="00ED4336" w:rsidP="00AE0CB3">
            <w:pPr>
              <w:rPr>
                <w:sz w:val="18"/>
                <w:szCs w:val="18"/>
              </w:rPr>
            </w:pPr>
            <w:r w:rsidRPr="004B0FC0">
              <w:rPr>
                <w:sz w:val="18"/>
                <w:szCs w:val="18"/>
              </w:rPr>
              <w:t>UPOV/INF/22</w:t>
            </w:r>
          </w:p>
        </w:tc>
        <w:tc>
          <w:tcPr>
            <w:tcW w:w="4807" w:type="dxa"/>
          </w:tcPr>
          <w:p w:rsidR="00ED4336" w:rsidRPr="004B0FC0" w:rsidRDefault="00ED4336" w:rsidP="00AE0CB3">
            <w:pPr>
              <w:rPr>
                <w:sz w:val="18"/>
                <w:szCs w:val="18"/>
              </w:rPr>
            </w:pPr>
            <w:r w:rsidRPr="004B0FC0">
              <w:rPr>
                <w:sz w:val="18"/>
                <w:szCs w:val="18"/>
              </w:rPr>
              <w:t xml:space="preserve">Software and Equipment Used by Members of the Union </w:t>
            </w:r>
          </w:p>
        </w:tc>
        <w:tc>
          <w:tcPr>
            <w:tcW w:w="3920" w:type="dxa"/>
          </w:tcPr>
          <w:p w:rsidR="00ED4336" w:rsidRPr="00CF6569" w:rsidRDefault="00ED4336" w:rsidP="00061A89">
            <w:pPr>
              <w:spacing w:after="60"/>
              <w:jc w:val="left"/>
              <w:rPr>
                <w:sz w:val="18"/>
                <w:szCs w:val="18"/>
              </w:rPr>
            </w:pPr>
            <w:r w:rsidRPr="00CF6569">
              <w:rPr>
                <w:sz w:val="18"/>
                <w:szCs w:val="18"/>
              </w:rPr>
              <w:t>UPOV/INF/22/</w:t>
            </w:r>
            <w:r w:rsidR="008A20FB">
              <w:rPr>
                <w:sz w:val="18"/>
                <w:szCs w:val="18"/>
              </w:rPr>
              <w:t>5</w:t>
            </w:r>
            <w:r w:rsidRPr="00CF6569">
              <w:rPr>
                <w:sz w:val="18"/>
                <w:szCs w:val="18"/>
              </w:rPr>
              <w:t xml:space="preserve"> adopted in </w:t>
            </w:r>
            <w:r w:rsidR="008A20FB">
              <w:rPr>
                <w:iCs/>
                <w:sz w:val="18"/>
                <w:szCs w:val="18"/>
              </w:rPr>
              <w:t>November 2018</w:t>
            </w:r>
          </w:p>
          <w:p w:rsidR="00ED4336" w:rsidRPr="00513D05" w:rsidRDefault="00ED4336" w:rsidP="008A20FB">
            <w:pPr>
              <w:jc w:val="left"/>
              <w:rPr>
                <w:i/>
                <w:sz w:val="18"/>
                <w:szCs w:val="18"/>
              </w:rPr>
            </w:pPr>
            <w:r w:rsidRPr="00CF6569">
              <w:rPr>
                <w:i/>
                <w:sz w:val="18"/>
                <w:szCs w:val="18"/>
              </w:rPr>
              <w:t>UPOV/INF/22/</w:t>
            </w:r>
            <w:r w:rsidR="008A20FB">
              <w:rPr>
                <w:i/>
                <w:sz w:val="18"/>
                <w:szCs w:val="18"/>
              </w:rPr>
              <w:t>6</w:t>
            </w:r>
            <w:r w:rsidRPr="00CF6569">
              <w:rPr>
                <w:i/>
                <w:sz w:val="18"/>
                <w:szCs w:val="18"/>
              </w:rPr>
              <w:t xml:space="preserve"> Draft 1 to be considered by the CAJ and the Council in </w:t>
            </w:r>
            <w:r w:rsidR="008A20FB">
              <w:rPr>
                <w:i/>
                <w:sz w:val="18"/>
                <w:szCs w:val="18"/>
              </w:rPr>
              <w:t>November 2019</w:t>
            </w:r>
          </w:p>
        </w:tc>
      </w:tr>
    </w:tbl>
    <w:p w:rsidR="00ED4336" w:rsidRPr="004B0FC0" w:rsidRDefault="00ED4336" w:rsidP="00ED4336"/>
    <w:p w:rsidR="00ED4336" w:rsidRDefault="00ED4336" w:rsidP="00ED4336"/>
    <w:p w:rsidR="00E65C6F" w:rsidRPr="004B0FC0" w:rsidRDefault="00E65C6F" w:rsidP="00ED4336"/>
    <w:p w:rsidR="00ED4336" w:rsidRDefault="00ED4336" w:rsidP="00ED4336">
      <w:pPr>
        <w:jc w:val="right"/>
      </w:pPr>
      <w:r w:rsidRPr="00C5280D">
        <w:t xml:space="preserve">[End of </w:t>
      </w:r>
      <w:r>
        <w:t xml:space="preserve">Annex and of </w:t>
      </w:r>
      <w:r w:rsidRPr="00C5280D">
        <w:t>document]</w:t>
      </w:r>
    </w:p>
    <w:p w:rsidR="00ED4336" w:rsidRDefault="00ED4336" w:rsidP="00ED4336">
      <w:pPr>
        <w:jc w:val="left"/>
      </w:pPr>
    </w:p>
    <w:p w:rsidR="00ED4336" w:rsidRPr="00C5280D" w:rsidRDefault="00ED4336" w:rsidP="00ED4336">
      <w:pPr>
        <w:jc w:val="left"/>
      </w:pPr>
    </w:p>
    <w:sectPr w:rsidR="00ED4336" w:rsidRPr="00C5280D" w:rsidSect="009C5CAF">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DC9" w:rsidRDefault="00676DC9" w:rsidP="006655D3">
      <w:r>
        <w:separator/>
      </w:r>
    </w:p>
    <w:p w:rsidR="00676DC9" w:rsidRDefault="00676DC9" w:rsidP="006655D3"/>
    <w:p w:rsidR="00676DC9" w:rsidRDefault="00676DC9" w:rsidP="006655D3"/>
  </w:endnote>
  <w:endnote w:type="continuationSeparator" w:id="0">
    <w:p w:rsidR="00676DC9" w:rsidRDefault="00676DC9" w:rsidP="006655D3">
      <w:r>
        <w:separator/>
      </w:r>
    </w:p>
    <w:p w:rsidR="00676DC9" w:rsidRPr="00294751" w:rsidRDefault="00676DC9">
      <w:pPr>
        <w:pStyle w:val="Footer"/>
        <w:spacing w:after="60"/>
        <w:rPr>
          <w:sz w:val="18"/>
          <w:lang w:val="fr-FR"/>
        </w:rPr>
      </w:pPr>
      <w:r w:rsidRPr="00294751">
        <w:rPr>
          <w:sz w:val="18"/>
          <w:lang w:val="fr-FR"/>
        </w:rPr>
        <w:t>[Suite de la note de la page précédente]</w:t>
      </w:r>
    </w:p>
    <w:p w:rsidR="00676DC9" w:rsidRPr="00294751" w:rsidRDefault="00676DC9" w:rsidP="006655D3">
      <w:pPr>
        <w:rPr>
          <w:lang w:val="fr-FR"/>
        </w:rPr>
      </w:pPr>
    </w:p>
    <w:p w:rsidR="00676DC9" w:rsidRPr="00294751" w:rsidRDefault="00676DC9" w:rsidP="006655D3">
      <w:pPr>
        <w:rPr>
          <w:lang w:val="fr-FR"/>
        </w:rPr>
      </w:pPr>
    </w:p>
  </w:endnote>
  <w:endnote w:type="continuationNotice" w:id="1">
    <w:p w:rsidR="00676DC9" w:rsidRPr="00294751" w:rsidRDefault="00676DC9" w:rsidP="006655D3">
      <w:pPr>
        <w:rPr>
          <w:lang w:val="fr-FR"/>
        </w:rPr>
      </w:pPr>
      <w:r w:rsidRPr="00294751">
        <w:rPr>
          <w:lang w:val="fr-FR"/>
        </w:rPr>
        <w:t>[Suite de la note page suivante]</w:t>
      </w:r>
    </w:p>
    <w:p w:rsidR="00676DC9" w:rsidRPr="00294751" w:rsidRDefault="00676DC9" w:rsidP="006655D3">
      <w:pPr>
        <w:rPr>
          <w:lang w:val="fr-FR"/>
        </w:rPr>
      </w:pPr>
    </w:p>
    <w:p w:rsidR="00676DC9" w:rsidRPr="00294751" w:rsidRDefault="00676DC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DC9" w:rsidRDefault="00676DC9" w:rsidP="006655D3">
      <w:r>
        <w:separator/>
      </w:r>
    </w:p>
  </w:footnote>
  <w:footnote w:type="continuationSeparator" w:id="0">
    <w:p w:rsidR="00676DC9" w:rsidRDefault="00676DC9" w:rsidP="006655D3">
      <w:r>
        <w:separator/>
      </w:r>
    </w:p>
  </w:footnote>
  <w:footnote w:type="continuationNotice" w:id="1">
    <w:p w:rsidR="00676DC9" w:rsidRPr="00AB530F" w:rsidRDefault="00676DC9" w:rsidP="00AB530F">
      <w:pPr>
        <w:pStyle w:val="Footer"/>
      </w:pPr>
    </w:p>
  </w:footnote>
  <w:footnote w:id="2">
    <w:p w:rsidR="00ED4336" w:rsidRPr="0021431F" w:rsidRDefault="00ED4336" w:rsidP="003507D5">
      <w:pPr>
        <w:pStyle w:val="FootnoteText"/>
      </w:pPr>
      <w:r w:rsidRPr="0021431F">
        <w:rPr>
          <w:rStyle w:val="FootnoteReference"/>
          <w:szCs w:val="16"/>
        </w:rPr>
        <w:footnoteRef/>
      </w:r>
      <w:r w:rsidRPr="0021431F">
        <w:t xml:space="preserve"> </w:t>
      </w:r>
      <w:r w:rsidRPr="0021431F">
        <w:tab/>
        <w:t>Held in Geneva on October 24, 2005.</w:t>
      </w:r>
    </w:p>
  </w:footnote>
  <w:footnote w:id="3">
    <w:p w:rsidR="00ED4336" w:rsidRPr="0021431F" w:rsidRDefault="00ED4336" w:rsidP="003507D5">
      <w:pPr>
        <w:pStyle w:val="FootnoteText"/>
      </w:pPr>
      <w:r w:rsidRPr="0021431F">
        <w:rPr>
          <w:rStyle w:val="FootnoteReference"/>
          <w:szCs w:val="16"/>
        </w:rPr>
        <w:footnoteRef/>
      </w:r>
      <w:r w:rsidRPr="0021431F">
        <w:t xml:space="preserve"> </w:t>
      </w:r>
      <w:r w:rsidRPr="0021431F">
        <w:tab/>
        <w:t xml:space="preserve">See document </w:t>
      </w:r>
      <w:hyperlink r:id="rId1" w:history="1">
        <w:r w:rsidRPr="001C0517">
          <w:rPr>
            <w:rStyle w:val="Hyperlink"/>
          </w:rPr>
          <w:t>CAJ/52/4</w:t>
        </w:r>
      </w:hyperlink>
      <w:r w:rsidRPr="0021431F">
        <w:t xml:space="preserve"> </w:t>
      </w:r>
      <w:r>
        <w:t>“</w:t>
      </w:r>
      <w:r w:rsidRPr="0021431F">
        <w:t>Approach for the development of information materials concerning the UPOV Convention”, paragraphs 8 to 10.</w:t>
      </w:r>
    </w:p>
  </w:footnote>
  <w:footnote w:id="4">
    <w:p w:rsidR="00ED4336" w:rsidRPr="0021431F" w:rsidRDefault="00ED4336" w:rsidP="003507D5">
      <w:pPr>
        <w:pStyle w:val="FootnoteText"/>
      </w:pPr>
      <w:r w:rsidRPr="0021431F">
        <w:rPr>
          <w:rStyle w:val="FootnoteReference"/>
          <w:szCs w:val="16"/>
        </w:rPr>
        <w:footnoteRef/>
      </w:r>
      <w:r w:rsidRPr="0021431F">
        <w:t xml:space="preserve"> </w:t>
      </w:r>
      <w:r w:rsidRPr="0021431F">
        <w:tab/>
        <w:t xml:space="preserve">See document </w:t>
      </w:r>
      <w:hyperlink r:id="rId2" w:history="1">
        <w:r w:rsidR="00C25AC1" w:rsidRPr="001C0517">
          <w:rPr>
            <w:rStyle w:val="Hyperlink"/>
          </w:rPr>
          <w:t>CAJ/52/4</w:t>
        </w:r>
      </w:hyperlink>
      <w:r w:rsidRPr="0021431F">
        <w:t xml:space="preserve">, paragraphs 11 to 14 and document </w:t>
      </w:r>
      <w:hyperlink r:id="rId3" w:history="1">
        <w:r w:rsidRPr="00AC55B3">
          <w:rPr>
            <w:rStyle w:val="Hyperlink"/>
          </w:rPr>
          <w:t>CAJ/52/5</w:t>
        </w:r>
      </w:hyperlink>
      <w:r w:rsidRPr="0021431F">
        <w:t xml:space="preserve"> “Report”, paragraph 67.</w:t>
      </w:r>
    </w:p>
  </w:footnote>
  <w:footnote w:id="5">
    <w:p w:rsidR="00ED4336" w:rsidRPr="0021431F" w:rsidRDefault="00ED4336" w:rsidP="003507D5">
      <w:pPr>
        <w:pStyle w:val="FootnoteText"/>
      </w:pPr>
      <w:r w:rsidRPr="0021431F">
        <w:rPr>
          <w:rStyle w:val="FootnoteReference"/>
          <w:szCs w:val="16"/>
        </w:rPr>
        <w:footnoteRef/>
      </w:r>
      <w:r w:rsidRPr="0021431F">
        <w:t xml:space="preserve"> </w:t>
      </w:r>
      <w:r w:rsidRPr="0021431F">
        <w:tab/>
        <w:t>Held in Geneva on October 13, 2014</w:t>
      </w:r>
      <w:r>
        <w:t>.</w:t>
      </w:r>
    </w:p>
  </w:footnote>
  <w:footnote w:id="6">
    <w:p w:rsidR="00ED4336" w:rsidRPr="0021431F" w:rsidRDefault="00ED4336" w:rsidP="003507D5">
      <w:pPr>
        <w:pStyle w:val="FootnoteText"/>
      </w:pPr>
      <w:r w:rsidRPr="0021431F">
        <w:rPr>
          <w:rStyle w:val="FootnoteReference"/>
          <w:szCs w:val="16"/>
        </w:rPr>
        <w:footnoteRef/>
      </w:r>
      <w:r w:rsidRPr="0021431F">
        <w:t xml:space="preserve"> </w:t>
      </w:r>
      <w:r w:rsidRPr="0021431F">
        <w:tab/>
        <w:t>Held in Geneva on October 14 and 17, 2014.</w:t>
      </w:r>
    </w:p>
  </w:footnote>
  <w:footnote w:id="7">
    <w:p w:rsidR="00ED4336" w:rsidRPr="0021431F" w:rsidRDefault="00ED4336" w:rsidP="003507D5">
      <w:pPr>
        <w:pStyle w:val="FootnoteText"/>
      </w:pPr>
      <w:r w:rsidRPr="0021431F">
        <w:rPr>
          <w:rStyle w:val="FootnoteReference"/>
          <w:szCs w:val="16"/>
        </w:rPr>
        <w:footnoteRef/>
      </w:r>
      <w:r w:rsidRPr="0021431F">
        <w:t xml:space="preserve"> </w:t>
      </w:r>
      <w:r w:rsidRPr="0021431F">
        <w:tab/>
        <w:t xml:space="preserve">See document </w:t>
      </w:r>
      <w:hyperlink r:id="rId4" w:history="1">
        <w:r w:rsidR="003507D5" w:rsidRPr="003507D5">
          <w:rPr>
            <w:rStyle w:val="Hyperlink"/>
          </w:rPr>
          <w:t>CAJ/70/10</w:t>
        </w:r>
      </w:hyperlink>
      <w:r>
        <w:t xml:space="preserve"> “</w:t>
      </w:r>
      <w:r w:rsidRPr="0021431F">
        <w:t>Report on the Conclusions”, paragraphs 38 to 41.</w:t>
      </w:r>
    </w:p>
  </w:footnote>
  <w:footnote w:id="8">
    <w:p w:rsidR="00E06B56" w:rsidRPr="00E06B56" w:rsidRDefault="00E06B56" w:rsidP="003507D5">
      <w:pPr>
        <w:pStyle w:val="FootnoteText"/>
      </w:pPr>
      <w:r>
        <w:rPr>
          <w:rStyle w:val="FootnoteReference"/>
        </w:rPr>
        <w:footnoteRef/>
      </w:r>
      <w:r>
        <w:t xml:space="preserve"> </w:t>
      </w:r>
      <w:r>
        <w:tab/>
        <w:t>H</w:t>
      </w:r>
      <w:r w:rsidRPr="00E06B56">
        <w:t>eld in Geneva on October 31, 2018</w:t>
      </w:r>
      <w:r>
        <w:t>.</w:t>
      </w:r>
    </w:p>
  </w:footnote>
  <w:footnote w:id="9">
    <w:p w:rsidR="003507D5" w:rsidRDefault="003507D5">
      <w:pPr>
        <w:pStyle w:val="FootnoteText"/>
      </w:pPr>
      <w:r>
        <w:rPr>
          <w:rStyle w:val="FootnoteReference"/>
        </w:rPr>
        <w:footnoteRef/>
      </w:r>
      <w:r>
        <w:t xml:space="preserve"> </w:t>
      </w:r>
      <w:r>
        <w:tab/>
        <w:t>To be held in Geneva on October 30,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336" w:rsidRPr="00C5280D" w:rsidRDefault="00E65C6F" w:rsidP="00906B72">
    <w:pPr>
      <w:pStyle w:val="Header"/>
      <w:rPr>
        <w:rStyle w:val="PageNumber"/>
        <w:lang w:val="en-US"/>
      </w:rPr>
    </w:pPr>
    <w:r>
      <w:rPr>
        <w:rStyle w:val="PageNumber"/>
        <w:lang w:val="en-US"/>
      </w:rPr>
      <w:t>CAJ/76/4</w:t>
    </w:r>
  </w:p>
  <w:p w:rsidR="00ED4336" w:rsidRPr="00C5280D" w:rsidRDefault="00ED4336" w:rsidP="00906B72">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7727">
      <w:rPr>
        <w:rStyle w:val="PageNumber"/>
        <w:noProof/>
        <w:lang w:val="en-US"/>
      </w:rPr>
      <w:t>2</w:t>
    </w:r>
    <w:r w:rsidRPr="00C5280D">
      <w:rPr>
        <w:rStyle w:val="PageNumber"/>
        <w:lang w:val="en-US"/>
      </w:rPr>
      <w:fldChar w:fldCharType="end"/>
    </w:r>
  </w:p>
  <w:p w:rsidR="00ED4336" w:rsidRPr="00C5280D" w:rsidRDefault="00ED4336" w:rsidP="00906B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CAF" w:rsidRPr="00C5280D" w:rsidRDefault="009C5CAF" w:rsidP="009C5CAF">
    <w:pPr>
      <w:pStyle w:val="Header"/>
      <w:rPr>
        <w:rStyle w:val="PageNumber"/>
        <w:lang w:val="en-US"/>
      </w:rPr>
    </w:pPr>
    <w:r>
      <w:rPr>
        <w:rStyle w:val="PageNumber"/>
        <w:lang w:val="en-US"/>
      </w:rPr>
      <w:t>CAJ/76/4</w:t>
    </w:r>
  </w:p>
  <w:p w:rsidR="009C5CAF" w:rsidRPr="00C5280D" w:rsidRDefault="009C5CAF" w:rsidP="009C5CAF">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7727">
      <w:rPr>
        <w:rStyle w:val="PageNumber"/>
        <w:noProof/>
        <w:lang w:val="en-US"/>
      </w:rPr>
      <w:t>2</w:t>
    </w:r>
    <w:r w:rsidRPr="00C5280D">
      <w:rPr>
        <w:rStyle w:val="PageNumber"/>
        <w:lang w:val="en-US"/>
      </w:rPr>
      <w:fldChar w:fldCharType="end"/>
    </w:r>
  </w:p>
  <w:p w:rsidR="00182B99" w:rsidRPr="00C5280D" w:rsidRDefault="00182B99" w:rsidP="009C5CAF">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09C6"/>
    <w:multiLevelType w:val="hybridMultilevel"/>
    <w:tmpl w:val="546044F2"/>
    <w:lvl w:ilvl="0" w:tplc="3132AA8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4DE33CB8"/>
    <w:multiLevelType w:val="hybridMultilevel"/>
    <w:tmpl w:val="786AFC40"/>
    <w:lvl w:ilvl="0" w:tplc="83D892F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273BB"/>
    <w:multiLevelType w:val="hybridMultilevel"/>
    <w:tmpl w:val="4956DB84"/>
    <w:lvl w:ilvl="0" w:tplc="E990ED3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24AB8"/>
    <w:rsid w:val="00030854"/>
    <w:rsid w:val="00036028"/>
    <w:rsid w:val="00043D56"/>
    <w:rsid w:val="00044642"/>
    <w:rsid w:val="000446B9"/>
    <w:rsid w:val="00047E21"/>
    <w:rsid w:val="00050E16"/>
    <w:rsid w:val="00061A89"/>
    <w:rsid w:val="00085505"/>
    <w:rsid w:val="000C4E25"/>
    <w:rsid w:val="000C7021"/>
    <w:rsid w:val="000D6BBC"/>
    <w:rsid w:val="000D7780"/>
    <w:rsid w:val="000E636A"/>
    <w:rsid w:val="000F2F11"/>
    <w:rsid w:val="000F3948"/>
    <w:rsid w:val="00105929"/>
    <w:rsid w:val="00110BED"/>
    <w:rsid w:val="00110C36"/>
    <w:rsid w:val="001131D5"/>
    <w:rsid w:val="001218B3"/>
    <w:rsid w:val="00141DB8"/>
    <w:rsid w:val="00172084"/>
    <w:rsid w:val="0017474A"/>
    <w:rsid w:val="001758C6"/>
    <w:rsid w:val="00182B99"/>
    <w:rsid w:val="001C1525"/>
    <w:rsid w:val="0021332C"/>
    <w:rsid w:val="00213982"/>
    <w:rsid w:val="0024416D"/>
    <w:rsid w:val="00271911"/>
    <w:rsid w:val="002800A0"/>
    <w:rsid w:val="002801B3"/>
    <w:rsid w:val="00281060"/>
    <w:rsid w:val="002940E8"/>
    <w:rsid w:val="00294751"/>
    <w:rsid w:val="002A6E50"/>
    <w:rsid w:val="002B4298"/>
    <w:rsid w:val="002B7A36"/>
    <w:rsid w:val="002C256A"/>
    <w:rsid w:val="00305A7F"/>
    <w:rsid w:val="003152FE"/>
    <w:rsid w:val="00327436"/>
    <w:rsid w:val="003358AC"/>
    <w:rsid w:val="00344BD6"/>
    <w:rsid w:val="003507D5"/>
    <w:rsid w:val="0035528D"/>
    <w:rsid w:val="00361821"/>
    <w:rsid w:val="00361E9E"/>
    <w:rsid w:val="003952E2"/>
    <w:rsid w:val="003C7FBE"/>
    <w:rsid w:val="003D227C"/>
    <w:rsid w:val="003D2B4D"/>
    <w:rsid w:val="00443F99"/>
    <w:rsid w:val="00444A88"/>
    <w:rsid w:val="0044526F"/>
    <w:rsid w:val="00454FD7"/>
    <w:rsid w:val="00474DA4"/>
    <w:rsid w:val="00476B4D"/>
    <w:rsid w:val="004805FA"/>
    <w:rsid w:val="004935D2"/>
    <w:rsid w:val="004A7B3B"/>
    <w:rsid w:val="004B1215"/>
    <w:rsid w:val="004D047D"/>
    <w:rsid w:val="004E4103"/>
    <w:rsid w:val="004F1E9E"/>
    <w:rsid w:val="004F305A"/>
    <w:rsid w:val="00510349"/>
    <w:rsid w:val="00511E92"/>
    <w:rsid w:val="00512164"/>
    <w:rsid w:val="00512874"/>
    <w:rsid w:val="00520297"/>
    <w:rsid w:val="005262ED"/>
    <w:rsid w:val="005338F9"/>
    <w:rsid w:val="0054281C"/>
    <w:rsid w:val="00544581"/>
    <w:rsid w:val="0055268D"/>
    <w:rsid w:val="00556D8A"/>
    <w:rsid w:val="005638F9"/>
    <w:rsid w:val="00576BE4"/>
    <w:rsid w:val="005779DB"/>
    <w:rsid w:val="005A400A"/>
    <w:rsid w:val="005F3DD5"/>
    <w:rsid w:val="005F7B92"/>
    <w:rsid w:val="00612379"/>
    <w:rsid w:val="006153B6"/>
    <w:rsid w:val="0061555F"/>
    <w:rsid w:val="00636CA6"/>
    <w:rsid w:val="00641200"/>
    <w:rsid w:val="00645CA8"/>
    <w:rsid w:val="00664838"/>
    <w:rsid w:val="006655D3"/>
    <w:rsid w:val="00667404"/>
    <w:rsid w:val="00676DC9"/>
    <w:rsid w:val="0067753D"/>
    <w:rsid w:val="00687EB4"/>
    <w:rsid w:val="00695C56"/>
    <w:rsid w:val="006A5CDE"/>
    <w:rsid w:val="006A644A"/>
    <w:rsid w:val="006B17D2"/>
    <w:rsid w:val="006B682C"/>
    <w:rsid w:val="006C224E"/>
    <w:rsid w:val="006D4190"/>
    <w:rsid w:val="006D780A"/>
    <w:rsid w:val="0071271E"/>
    <w:rsid w:val="00732DEC"/>
    <w:rsid w:val="00735BD5"/>
    <w:rsid w:val="007451EC"/>
    <w:rsid w:val="00745870"/>
    <w:rsid w:val="00751613"/>
    <w:rsid w:val="00753EE9"/>
    <w:rsid w:val="007556F6"/>
    <w:rsid w:val="00760EEF"/>
    <w:rsid w:val="00777EE5"/>
    <w:rsid w:val="00784836"/>
    <w:rsid w:val="0079023E"/>
    <w:rsid w:val="007A2854"/>
    <w:rsid w:val="007C1D92"/>
    <w:rsid w:val="007C4CB9"/>
    <w:rsid w:val="007D0B9D"/>
    <w:rsid w:val="007D19B0"/>
    <w:rsid w:val="007F10AB"/>
    <w:rsid w:val="007F498F"/>
    <w:rsid w:val="0080679D"/>
    <w:rsid w:val="00807C2A"/>
    <w:rsid w:val="008108B0"/>
    <w:rsid w:val="00811B20"/>
    <w:rsid w:val="00812609"/>
    <w:rsid w:val="008211B5"/>
    <w:rsid w:val="0082296E"/>
    <w:rsid w:val="00824099"/>
    <w:rsid w:val="00846D7C"/>
    <w:rsid w:val="008663D1"/>
    <w:rsid w:val="00867AC1"/>
    <w:rsid w:val="00877B9B"/>
    <w:rsid w:val="00886DEB"/>
    <w:rsid w:val="00890DF8"/>
    <w:rsid w:val="008A20FB"/>
    <w:rsid w:val="008A743F"/>
    <w:rsid w:val="008C0970"/>
    <w:rsid w:val="008D0BC5"/>
    <w:rsid w:val="008D2CF7"/>
    <w:rsid w:val="008D7E15"/>
    <w:rsid w:val="00900C26"/>
    <w:rsid w:val="0090197F"/>
    <w:rsid w:val="00903264"/>
    <w:rsid w:val="00906DDC"/>
    <w:rsid w:val="00926ACA"/>
    <w:rsid w:val="00934E09"/>
    <w:rsid w:val="00936253"/>
    <w:rsid w:val="00940D46"/>
    <w:rsid w:val="00946B32"/>
    <w:rsid w:val="00952DD4"/>
    <w:rsid w:val="009538C4"/>
    <w:rsid w:val="00965AE7"/>
    <w:rsid w:val="00970FED"/>
    <w:rsid w:val="00992D82"/>
    <w:rsid w:val="00997029"/>
    <w:rsid w:val="009A7339"/>
    <w:rsid w:val="009B3507"/>
    <w:rsid w:val="009B440E"/>
    <w:rsid w:val="009C4083"/>
    <w:rsid w:val="009C5CAF"/>
    <w:rsid w:val="009D690D"/>
    <w:rsid w:val="009D7CAB"/>
    <w:rsid w:val="009E4242"/>
    <w:rsid w:val="009E65B6"/>
    <w:rsid w:val="009F77CF"/>
    <w:rsid w:val="00A06FCF"/>
    <w:rsid w:val="00A24C10"/>
    <w:rsid w:val="00A42AC3"/>
    <w:rsid w:val="00A430CF"/>
    <w:rsid w:val="00A54309"/>
    <w:rsid w:val="00A7259F"/>
    <w:rsid w:val="00A80F2A"/>
    <w:rsid w:val="00AB2B93"/>
    <w:rsid w:val="00AB530F"/>
    <w:rsid w:val="00AB7E5B"/>
    <w:rsid w:val="00AC2883"/>
    <w:rsid w:val="00AD6D1D"/>
    <w:rsid w:val="00AE0EF1"/>
    <w:rsid w:val="00AE2937"/>
    <w:rsid w:val="00B07301"/>
    <w:rsid w:val="00B11F3E"/>
    <w:rsid w:val="00B224DE"/>
    <w:rsid w:val="00B25BFB"/>
    <w:rsid w:val="00B324D4"/>
    <w:rsid w:val="00B46575"/>
    <w:rsid w:val="00B61777"/>
    <w:rsid w:val="00B622E6"/>
    <w:rsid w:val="00B84BBD"/>
    <w:rsid w:val="00BA43FB"/>
    <w:rsid w:val="00BC127D"/>
    <w:rsid w:val="00BC1FE6"/>
    <w:rsid w:val="00BD32F6"/>
    <w:rsid w:val="00BF010E"/>
    <w:rsid w:val="00C061B6"/>
    <w:rsid w:val="00C06E7D"/>
    <w:rsid w:val="00C2446C"/>
    <w:rsid w:val="00C25AC1"/>
    <w:rsid w:val="00C32765"/>
    <w:rsid w:val="00C36AE5"/>
    <w:rsid w:val="00C41F17"/>
    <w:rsid w:val="00C527FA"/>
    <w:rsid w:val="00C5280D"/>
    <w:rsid w:val="00C53EB3"/>
    <w:rsid w:val="00C57415"/>
    <w:rsid w:val="00C5791C"/>
    <w:rsid w:val="00C66290"/>
    <w:rsid w:val="00C72B7A"/>
    <w:rsid w:val="00C973F2"/>
    <w:rsid w:val="00CA304C"/>
    <w:rsid w:val="00CA774A"/>
    <w:rsid w:val="00CB2272"/>
    <w:rsid w:val="00CC11B0"/>
    <w:rsid w:val="00CC2841"/>
    <w:rsid w:val="00CF1330"/>
    <w:rsid w:val="00CF7E36"/>
    <w:rsid w:val="00D1634D"/>
    <w:rsid w:val="00D3708D"/>
    <w:rsid w:val="00D40426"/>
    <w:rsid w:val="00D57C96"/>
    <w:rsid w:val="00D57D18"/>
    <w:rsid w:val="00D91203"/>
    <w:rsid w:val="00D94A45"/>
    <w:rsid w:val="00D95174"/>
    <w:rsid w:val="00DA4973"/>
    <w:rsid w:val="00DA6F36"/>
    <w:rsid w:val="00DB596E"/>
    <w:rsid w:val="00DB7773"/>
    <w:rsid w:val="00DC00EA"/>
    <w:rsid w:val="00DC3802"/>
    <w:rsid w:val="00E06B56"/>
    <w:rsid w:val="00E07D87"/>
    <w:rsid w:val="00E249C8"/>
    <w:rsid w:val="00E32F7E"/>
    <w:rsid w:val="00E5267B"/>
    <w:rsid w:val="00E63C0E"/>
    <w:rsid w:val="00E65C6F"/>
    <w:rsid w:val="00E72D49"/>
    <w:rsid w:val="00E7593C"/>
    <w:rsid w:val="00E7678A"/>
    <w:rsid w:val="00E935F1"/>
    <w:rsid w:val="00E94A81"/>
    <w:rsid w:val="00EA1FFB"/>
    <w:rsid w:val="00EB048E"/>
    <w:rsid w:val="00EB0CE5"/>
    <w:rsid w:val="00EB4E9C"/>
    <w:rsid w:val="00EC3F80"/>
    <w:rsid w:val="00ED2A67"/>
    <w:rsid w:val="00ED4336"/>
    <w:rsid w:val="00EE34DF"/>
    <w:rsid w:val="00EE4664"/>
    <w:rsid w:val="00EF2F89"/>
    <w:rsid w:val="00EF7AAA"/>
    <w:rsid w:val="00F03E98"/>
    <w:rsid w:val="00F1237A"/>
    <w:rsid w:val="00F22CBD"/>
    <w:rsid w:val="00F272F1"/>
    <w:rsid w:val="00F31412"/>
    <w:rsid w:val="00F45372"/>
    <w:rsid w:val="00F47727"/>
    <w:rsid w:val="00F560F7"/>
    <w:rsid w:val="00F6334D"/>
    <w:rsid w:val="00F63599"/>
    <w:rsid w:val="00F71C4C"/>
    <w:rsid w:val="00FA49AB"/>
    <w:rsid w:val="00FE39C7"/>
    <w:rsid w:val="00FF4D07"/>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C9AC39"/>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A7B3B"/>
    <w:pPr>
      <w:keepNext/>
      <w:jc w:val="both"/>
      <w:outlineLvl w:val="1"/>
    </w:pPr>
    <w:rPr>
      <w:rFonts w:ascii="Arial" w:hAnsi="Arial" w:cs="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3507D5"/>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C32765"/>
    <w:pPr>
      <w:tabs>
        <w:tab w:val="right" w:leader="dot" w:pos="9639"/>
      </w:tabs>
      <w:spacing w:after="120"/>
      <w:ind w:left="454" w:right="851" w:hanging="284"/>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D4336"/>
    <w:rPr>
      <w:rFonts w:ascii="Arial" w:hAnsi="Arial"/>
      <w:caps/>
    </w:rPr>
  </w:style>
  <w:style w:type="character" w:customStyle="1" w:styleId="Heading2Char">
    <w:name w:val="Heading 2 Char"/>
    <w:basedOn w:val="DefaultParagraphFont"/>
    <w:link w:val="Heading2"/>
    <w:rsid w:val="004A7B3B"/>
    <w:rPr>
      <w:rFonts w:ascii="Arial" w:hAnsi="Arial" w:cs="Arial"/>
      <w:u w:val="single"/>
    </w:rPr>
  </w:style>
  <w:style w:type="character" w:customStyle="1" w:styleId="HeaderChar">
    <w:name w:val="Header Char"/>
    <w:basedOn w:val="DefaultParagraphFont"/>
    <w:link w:val="Header"/>
    <w:rsid w:val="00ED4336"/>
    <w:rPr>
      <w:rFonts w:ascii="Arial" w:hAnsi="Arial"/>
      <w:lang w:val="fr-FR"/>
    </w:rPr>
  </w:style>
  <w:style w:type="character" w:customStyle="1" w:styleId="DecisionParagraphsChar">
    <w:name w:val="DecisionParagraphs Char"/>
    <w:basedOn w:val="DefaultParagraphFont"/>
    <w:link w:val="DecisionParagraphs"/>
    <w:rsid w:val="00ED4336"/>
    <w:rPr>
      <w:rFonts w:ascii="Arial" w:hAnsi="Arial"/>
      <w:i/>
    </w:rPr>
  </w:style>
  <w:style w:type="character" w:customStyle="1" w:styleId="FootnoteTextChar">
    <w:name w:val="Footnote Text Char"/>
    <w:basedOn w:val="DefaultParagraphFont"/>
    <w:link w:val="FootnoteText"/>
    <w:rsid w:val="003507D5"/>
    <w:rPr>
      <w:rFonts w:ascii="Arial" w:hAnsi="Arial"/>
      <w:sz w:val="16"/>
    </w:rPr>
  </w:style>
  <w:style w:type="paragraph" w:styleId="ListParagraph">
    <w:name w:val="List Paragraph"/>
    <w:basedOn w:val="Normal"/>
    <w:uiPriority w:val="34"/>
    <w:qFormat/>
    <w:rsid w:val="001218B3"/>
    <w:pPr>
      <w:ind w:left="720"/>
      <w:contextualSpacing/>
    </w:pPr>
  </w:style>
  <w:style w:type="character" w:styleId="FollowedHyperlink">
    <w:name w:val="FollowedHyperlink"/>
    <w:basedOn w:val="DefaultParagraphFont"/>
    <w:semiHidden/>
    <w:unhideWhenUsed/>
    <w:rsid w:val="00350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caj_75/caj_75_1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edocs/mdocs/upov/en/caj/52/caj_52_05.pdf" TargetMode="External"/><Relationship Id="rId2" Type="http://schemas.openxmlformats.org/officeDocument/2006/relationships/hyperlink" Target="https://www.upov.int/edocs/mdocs/upov/en/caj/52/caj_52_04.pdf" TargetMode="External"/><Relationship Id="rId1" Type="http://schemas.openxmlformats.org/officeDocument/2006/relationships/hyperlink" Target="https://www.upov.int/edocs/mdocs/upov/en/caj/52/caj_52_04.pdf" TargetMode="External"/><Relationship Id="rId4" Type="http://schemas.openxmlformats.org/officeDocument/2006/relationships/hyperlink" Target="https://www.upov.int/edocs/mdocs/upov/en/caj_70/caj_70_1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AC1C-9675-4620-A47A-F6041032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caj_76_EN.dotx</Template>
  <TotalTime>28</TotalTime>
  <Pages>4</Pages>
  <Words>1249</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CAJ/76/4</vt:lpstr>
    </vt:vector>
  </TitlesOfParts>
  <Company>UPOV</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CAJ/76/4</dc:title>
  <dc:creator>SANCHEZ VIZCAINO GOMEZ Rosa Maria</dc:creator>
  <cp:lastModifiedBy>SANTOS Carla Marina</cp:lastModifiedBy>
  <cp:revision>21</cp:revision>
  <cp:lastPrinted>2019-07-23T16:46:00Z</cp:lastPrinted>
  <dcterms:created xsi:type="dcterms:W3CDTF">2019-07-23T16:46:00Z</dcterms:created>
  <dcterms:modified xsi:type="dcterms:W3CDTF">2019-08-01T09:52:00Z</dcterms:modified>
</cp:coreProperties>
</file>