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B622E6" w:rsidP="00AC2883">
            <w:pPr>
              <w:pStyle w:val="Sessiontc"/>
              <w:spacing w:line="240" w:lineRule="auto"/>
            </w:pPr>
            <w:r>
              <w:t>Administrative and Legal</w:t>
            </w:r>
            <w:r w:rsidR="00EB4E9C" w:rsidRPr="00DA4973">
              <w:t xml:space="preserve"> Committee</w:t>
            </w:r>
          </w:p>
          <w:p w:rsidR="00EB4E9C" w:rsidRPr="00DC3802" w:rsidRDefault="00B622E6" w:rsidP="00110BED">
            <w:pPr>
              <w:pStyle w:val="Sessiontcplacedate"/>
              <w:rPr>
                <w:sz w:val="22"/>
              </w:rPr>
            </w:pPr>
            <w:r>
              <w:t>Seventy-</w:t>
            </w:r>
            <w:r w:rsidR="00110BED">
              <w:t>Fifth</w:t>
            </w:r>
            <w:r w:rsidR="00EB4E9C" w:rsidRPr="00DA4973">
              <w:t xml:space="preserve"> Session</w:t>
            </w:r>
            <w:r w:rsidR="00EB4E9C" w:rsidRPr="00DA4973">
              <w:br/>
              <w:t xml:space="preserve">Geneva, </w:t>
            </w:r>
            <w:r>
              <w:t>October 3</w:t>
            </w:r>
            <w:r w:rsidR="00110BED">
              <w:t>1, 2018</w:t>
            </w:r>
          </w:p>
        </w:tc>
        <w:tc>
          <w:tcPr>
            <w:tcW w:w="3127" w:type="dxa"/>
          </w:tcPr>
          <w:p w:rsidR="00EB4E9C" w:rsidRPr="003C7FBE" w:rsidRDefault="00110BED" w:rsidP="003C7FBE">
            <w:pPr>
              <w:pStyle w:val="Doccode"/>
            </w:pPr>
            <w:r>
              <w:t>CAJ/75</w:t>
            </w:r>
            <w:r w:rsidR="00EB4E9C" w:rsidRPr="00AC2883">
              <w:t>/</w:t>
            </w:r>
            <w:r w:rsidR="00E96A53">
              <w:t>4</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8473F9">
            <w:pPr>
              <w:pStyle w:val="Docoriginal"/>
            </w:pPr>
            <w:r w:rsidRPr="00AC2883">
              <w:t>Date</w:t>
            </w:r>
            <w:r w:rsidRPr="00517CDB">
              <w:t>:</w:t>
            </w:r>
            <w:r w:rsidRPr="00517CDB">
              <w:rPr>
                <w:b w:val="0"/>
                <w:spacing w:val="0"/>
              </w:rPr>
              <w:t xml:space="preserve">  </w:t>
            </w:r>
            <w:r w:rsidR="006A373E" w:rsidRPr="00517CDB">
              <w:rPr>
                <w:b w:val="0"/>
                <w:spacing w:val="0"/>
              </w:rPr>
              <w:t>October 11</w:t>
            </w:r>
            <w:r w:rsidR="00C7517A" w:rsidRPr="00517CDB">
              <w:rPr>
                <w:b w:val="0"/>
                <w:spacing w:val="0"/>
              </w:rPr>
              <w:t>, 2018</w:t>
            </w:r>
          </w:p>
        </w:tc>
      </w:tr>
    </w:tbl>
    <w:p w:rsidR="000D7780" w:rsidRPr="006A644A" w:rsidRDefault="00E96A53" w:rsidP="006A644A">
      <w:pPr>
        <w:pStyle w:val="Titleofdoc0"/>
      </w:pPr>
      <w:bookmarkStart w:id="0" w:name="TitleOfDoc"/>
      <w:bookmarkEnd w:id="0"/>
      <w:r>
        <w:t>Presentations on conditions and limitations concerning the breeder’s authorization in respect of propagating material</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E96A53" w:rsidRPr="00361B6D" w:rsidRDefault="00E96A53" w:rsidP="00361B6D">
      <w:pPr>
        <w:pStyle w:val="Heading1"/>
      </w:pPr>
      <w:bookmarkStart w:id="2" w:name="_Toc438649862"/>
      <w:bookmarkStart w:id="3" w:name="_Ref438649598"/>
      <w:bookmarkStart w:id="4" w:name="_Toc477358702"/>
      <w:bookmarkStart w:id="5" w:name="_Toc515611749"/>
      <w:r w:rsidRPr="00361B6D">
        <w:t>EXECUTIVE SUMMARY</w:t>
      </w:r>
      <w:bookmarkStart w:id="6" w:name="_GoBack"/>
      <w:bookmarkEnd w:id="2"/>
      <w:bookmarkEnd w:id="3"/>
      <w:bookmarkEnd w:id="4"/>
      <w:bookmarkEnd w:id="5"/>
      <w:bookmarkEnd w:id="6"/>
    </w:p>
    <w:p w:rsidR="00E96A53" w:rsidRPr="007678AB" w:rsidRDefault="00E96A53" w:rsidP="00E96A53">
      <w:pPr>
        <w:rPr>
          <w:rFonts w:eastAsia="MS Mincho"/>
          <w:lang w:eastAsia="ja-JP"/>
        </w:rPr>
      </w:pPr>
    </w:p>
    <w:p w:rsidR="00C7517A" w:rsidRDefault="00E96A53" w:rsidP="00E96A53">
      <w:pPr>
        <w:rPr>
          <w:snapToGrid w:val="0"/>
        </w:rPr>
      </w:pPr>
      <w:r w:rsidRPr="007678AB">
        <w:rPr>
          <w:rFonts w:eastAsiaTheme="minorEastAsia" w:cs="Arial"/>
          <w:snapToGrid w:val="0"/>
        </w:rPr>
        <w:fldChar w:fldCharType="begin"/>
      </w:r>
      <w:r w:rsidRPr="007678AB">
        <w:rPr>
          <w:rFonts w:eastAsiaTheme="minorEastAsia" w:cs="Arial"/>
          <w:snapToGrid w:val="0"/>
        </w:rPr>
        <w:instrText xml:space="preserve"> AUTONUM  </w:instrText>
      </w:r>
      <w:r w:rsidRPr="007678AB">
        <w:rPr>
          <w:rFonts w:eastAsiaTheme="minorEastAsia" w:cs="Arial"/>
          <w:snapToGrid w:val="0"/>
        </w:rPr>
        <w:fldChar w:fldCharType="end"/>
      </w:r>
      <w:r w:rsidRPr="007678AB">
        <w:rPr>
          <w:rFonts w:eastAsiaTheme="minorEastAsia" w:cs="Arial"/>
          <w:snapToGrid w:val="0"/>
        </w:rPr>
        <w:tab/>
      </w:r>
      <w:r w:rsidRPr="00BF1C03">
        <w:rPr>
          <w:rFonts w:eastAsiaTheme="minorEastAsia" w:cs="Arial"/>
          <w:snapToGrid w:val="0"/>
        </w:rPr>
        <w:t xml:space="preserve">The </w:t>
      </w:r>
      <w:r w:rsidR="00BF1C03" w:rsidRPr="00BF1C03">
        <w:rPr>
          <w:rFonts w:eastAsiaTheme="minorEastAsia" w:cs="Arial"/>
          <w:snapToGrid w:val="0"/>
        </w:rPr>
        <w:t>purpose</w:t>
      </w:r>
      <w:r w:rsidR="00BF1C03" w:rsidRPr="00A777FE">
        <w:rPr>
          <w:rFonts w:eastAsiaTheme="minorEastAsia" w:cs="Arial"/>
          <w:snapToGrid w:val="0"/>
        </w:rPr>
        <w:t xml:space="preserve"> of this document is to </w:t>
      </w:r>
      <w:r w:rsidR="00BF1C03" w:rsidRPr="00A777FE">
        <w:rPr>
          <w:snapToGrid w:val="0"/>
        </w:rPr>
        <w:t xml:space="preserve">invite the </w:t>
      </w:r>
      <w:r w:rsidR="00BF1C03" w:rsidRPr="00A777FE">
        <w:rPr>
          <w:snapToGrid w:val="0"/>
          <w:color w:val="000000"/>
        </w:rPr>
        <w:t>Administrative and Legal Committee (CAJ)</w:t>
      </w:r>
      <w:r w:rsidR="00BF1C03" w:rsidRPr="00A777FE">
        <w:rPr>
          <w:snapToGrid w:val="0"/>
        </w:rPr>
        <w:t xml:space="preserve"> to</w:t>
      </w:r>
      <w:r w:rsidR="00C7517A">
        <w:rPr>
          <w:snapToGrid w:val="0"/>
        </w:rPr>
        <w:t xml:space="preserve"> consider:</w:t>
      </w:r>
      <w:r w:rsidR="00BF1C03" w:rsidRPr="00A777FE">
        <w:rPr>
          <w:snapToGrid w:val="0"/>
        </w:rPr>
        <w:t xml:space="preserve"> </w:t>
      </w:r>
    </w:p>
    <w:p w:rsidR="00C7517A" w:rsidRDefault="00C7517A" w:rsidP="00E96A53">
      <w:pPr>
        <w:rPr>
          <w:snapToGrid w:val="0"/>
        </w:rPr>
      </w:pPr>
    </w:p>
    <w:p w:rsidR="00C7517A" w:rsidRPr="00C7517A" w:rsidRDefault="00C7517A" w:rsidP="00C7517A">
      <w:pPr>
        <w:rPr>
          <w:snapToGrid w:val="0"/>
        </w:rPr>
      </w:pPr>
      <w:r w:rsidRPr="00C7517A">
        <w:rPr>
          <w:snapToGrid w:val="0"/>
        </w:rPr>
        <w:tab/>
        <w:t>(a)</w:t>
      </w:r>
      <w:r w:rsidRPr="00C7517A">
        <w:rPr>
          <w:snapToGrid w:val="0"/>
        </w:rPr>
        <w:tab/>
        <w:t xml:space="preserve"> the presentations from the European Seed Association (ESA) and the International Seed Federation (ISF) on the conditions and limitations concerning the breeder’s authorization in respect of propagati</w:t>
      </w:r>
      <w:r>
        <w:rPr>
          <w:snapToGrid w:val="0"/>
        </w:rPr>
        <w:t>ng material,</w:t>
      </w:r>
      <w:r w:rsidRPr="00C7517A">
        <w:rPr>
          <w:rFonts w:eastAsiaTheme="minorEastAsia" w:cs="Arial"/>
          <w:snapToGrid w:val="0"/>
          <w:spacing w:val="2"/>
        </w:rPr>
        <w:t xml:space="preserve"> </w:t>
      </w:r>
      <w:r>
        <w:rPr>
          <w:rFonts w:eastAsiaTheme="minorEastAsia" w:cs="Arial"/>
          <w:snapToGrid w:val="0"/>
          <w:spacing w:val="2"/>
        </w:rPr>
        <w:t>as set out in paragraph </w:t>
      </w:r>
      <w:proofErr w:type="gramStart"/>
      <w:r>
        <w:rPr>
          <w:rFonts w:eastAsiaTheme="minorEastAsia" w:cs="Arial"/>
          <w:snapToGrid w:val="0"/>
          <w:spacing w:val="2"/>
        </w:rPr>
        <w:t>5</w:t>
      </w:r>
      <w:r w:rsidRPr="00C7517A">
        <w:rPr>
          <w:snapToGrid w:val="0"/>
        </w:rPr>
        <w:t>;  and</w:t>
      </w:r>
      <w:proofErr w:type="gramEnd"/>
    </w:p>
    <w:p w:rsidR="00C7517A" w:rsidRPr="00C7517A" w:rsidRDefault="00C7517A" w:rsidP="00C7517A">
      <w:pPr>
        <w:rPr>
          <w:snapToGrid w:val="0"/>
        </w:rPr>
      </w:pPr>
    </w:p>
    <w:p w:rsidR="00C7517A" w:rsidRPr="00C7517A" w:rsidRDefault="00C7517A" w:rsidP="00C7517A">
      <w:pPr>
        <w:rPr>
          <w:snapToGrid w:val="0"/>
        </w:rPr>
      </w:pPr>
      <w:r w:rsidRPr="00C7517A">
        <w:rPr>
          <w:snapToGrid w:val="0"/>
        </w:rPr>
        <w:tab/>
        <w:t>(b)</w:t>
      </w:r>
      <w:r w:rsidRPr="00C7517A">
        <w:rPr>
          <w:snapToGrid w:val="0"/>
        </w:rPr>
        <w:tab/>
      </w:r>
      <w:r w:rsidR="00500A51" w:rsidRPr="006A373E">
        <w:rPr>
          <w:snapToGrid w:val="0"/>
        </w:rPr>
        <w:t>whether</w:t>
      </w:r>
      <w:r w:rsidRPr="006A373E">
        <w:rPr>
          <w:rFonts w:eastAsiaTheme="minorEastAsia" w:cs="Arial"/>
          <w:snapToGrid w:val="0"/>
        </w:rPr>
        <w:t xml:space="preserve"> there is a</w:t>
      </w:r>
      <w:r w:rsidR="006A373E" w:rsidRPr="006A373E">
        <w:rPr>
          <w:rFonts w:eastAsiaTheme="minorEastAsia" w:cs="Arial"/>
          <w:snapToGrid w:val="0"/>
        </w:rPr>
        <w:t xml:space="preserve"> </w:t>
      </w:r>
      <w:r w:rsidRPr="006A373E">
        <w:rPr>
          <w:snapToGrid w:val="0"/>
        </w:rPr>
        <w:t>need for</w:t>
      </w:r>
      <w:r w:rsidRPr="00C7517A">
        <w:rPr>
          <w:snapToGrid w:val="0"/>
        </w:rPr>
        <w:t xml:space="preserve"> a revision of the current guidance on the conditions and limitations concerning the breeder’s authorization in respect of propagating material.</w:t>
      </w:r>
    </w:p>
    <w:p w:rsidR="00C7517A" w:rsidRDefault="00C7517A" w:rsidP="00E96A53">
      <w:pPr>
        <w:rPr>
          <w:snapToGrid w:val="0"/>
        </w:rPr>
      </w:pPr>
    </w:p>
    <w:p w:rsidR="00C7517A" w:rsidRDefault="00C7517A" w:rsidP="00E96A53">
      <w:pPr>
        <w:rPr>
          <w:snapToGrid w:val="0"/>
        </w:rPr>
      </w:pPr>
    </w:p>
    <w:p w:rsidR="00E96A53" w:rsidRDefault="00E96A53" w:rsidP="00E96A53"/>
    <w:p w:rsidR="00361B6D" w:rsidRDefault="00361B6D" w:rsidP="00361B6D">
      <w:pPr>
        <w:pStyle w:val="Heading1"/>
      </w:pPr>
      <w:r w:rsidRPr="00D95DAC">
        <w:t>BACKGROUND</w:t>
      </w:r>
    </w:p>
    <w:p w:rsidR="00361B6D" w:rsidRPr="00D95DAC" w:rsidRDefault="00361B6D" w:rsidP="00361B6D">
      <w:pPr>
        <w:keepNext/>
        <w:rPr>
          <w:rFonts w:eastAsia="MS Mincho"/>
          <w:caps/>
        </w:rPr>
      </w:pPr>
    </w:p>
    <w:p w:rsidR="00361B6D" w:rsidRDefault="00361B6D" w:rsidP="00C7517A">
      <w:pPr>
        <w:keepNext/>
      </w:pPr>
      <w:r>
        <w:fldChar w:fldCharType="begin"/>
      </w:r>
      <w:r>
        <w:instrText xml:space="preserve"> AUTONUM  </w:instrText>
      </w:r>
      <w:r>
        <w:fldChar w:fldCharType="end"/>
      </w:r>
      <w:r>
        <w:tab/>
        <w:t>At its seventy-fourth session, held in Geneva October 23 and 24, 2017, the Administrative and Legal Committee (CAJ)</w:t>
      </w:r>
      <w:r w:rsidR="00A127F4">
        <w:t>,</w:t>
      </w:r>
      <w:r>
        <w:t xml:space="preserve"> </w:t>
      </w:r>
      <w:r w:rsidR="00C7517A">
        <w:t>a</w:t>
      </w:r>
      <w:r>
        <w:t>fter discussion of the comments in document CAJ/74/2</w:t>
      </w:r>
      <w:r w:rsidR="00C7517A">
        <w:t xml:space="preserve"> “</w:t>
      </w:r>
      <w:r w:rsidR="00C7517A" w:rsidRPr="00961BC2">
        <w:t>Development of information materials concerning the UPOV Convention</w:t>
      </w:r>
      <w:r w:rsidR="00C7517A">
        <w:t>”</w:t>
      </w:r>
      <w:r>
        <w:t>, agreed to include</w:t>
      </w:r>
      <w:r w:rsidR="00C7517A">
        <w:t xml:space="preserve"> in the program for its seventy</w:t>
      </w:r>
      <w:r w:rsidR="00C7517A">
        <w:noBreakHyphen/>
      </w:r>
      <w:r>
        <w:t>fifth session the following three items and to invite presentations by members and observers to share their perspectives on the indicated substantive matters:</w:t>
      </w:r>
    </w:p>
    <w:p w:rsidR="00361B6D" w:rsidRDefault="00361B6D" w:rsidP="00361B6D"/>
    <w:p w:rsidR="00361B6D" w:rsidRPr="009B318A" w:rsidRDefault="00361B6D" w:rsidP="00361B6D">
      <w:pPr>
        <w:keepLines/>
        <w:ind w:left="1134" w:right="567"/>
        <w:rPr>
          <w:sz w:val="18"/>
        </w:rPr>
      </w:pPr>
      <w:r>
        <w:rPr>
          <w:sz w:val="18"/>
        </w:rPr>
        <w:t>“</w:t>
      </w:r>
      <w:r w:rsidRPr="009B318A">
        <w:rPr>
          <w:sz w:val="18"/>
        </w:rPr>
        <w:t xml:space="preserve">(a) </w:t>
      </w:r>
      <w:r w:rsidRPr="009B318A">
        <w:rPr>
          <w:sz w:val="18"/>
        </w:rPr>
        <w:tab/>
        <w:t>Essentially Derived Varieties</w:t>
      </w:r>
    </w:p>
    <w:p w:rsidR="00361B6D" w:rsidRPr="009B318A" w:rsidRDefault="00361B6D" w:rsidP="00361B6D">
      <w:pPr>
        <w:keepLines/>
        <w:ind w:left="1134" w:right="567" w:firstLine="567"/>
        <w:rPr>
          <w:sz w:val="18"/>
        </w:rPr>
      </w:pPr>
    </w:p>
    <w:p w:rsidR="00361B6D" w:rsidRPr="009B318A" w:rsidRDefault="00361B6D" w:rsidP="00361B6D">
      <w:pPr>
        <w:keepLines/>
        <w:ind w:left="1134" w:right="567" w:firstLine="567"/>
        <w:rPr>
          <w:sz w:val="18"/>
        </w:rPr>
      </w:pPr>
      <w:r w:rsidRPr="009B318A">
        <w:rPr>
          <w:sz w:val="18"/>
        </w:rPr>
        <w:t>(</w:t>
      </w:r>
      <w:proofErr w:type="spellStart"/>
      <w:r w:rsidRPr="009B318A">
        <w:rPr>
          <w:sz w:val="18"/>
        </w:rPr>
        <w:t>i</w:t>
      </w:r>
      <w:proofErr w:type="spellEnd"/>
      <w:r w:rsidRPr="009B318A">
        <w:rPr>
          <w:sz w:val="18"/>
        </w:rPr>
        <w:t>)</w:t>
      </w:r>
      <w:r w:rsidRPr="009B318A">
        <w:rPr>
          <w:sz w:val="18"/>
        </w:rPr>
        <w:tab/>
        <w:t xml:space="preserve">essential characteristics </w:t>
      </w:r>
    </w:p>
    <w:p w:rsidR="00361B6D" w:rsidRPr="009B318A" w:rsidRDefault="00361B6D" w:rsidP="00361B6D">
      <w:pPr>
        <w:keepLines/>
        <w:ind w:left="1134" w:right="567" w:firstLine="567"/>
        <w:rPr>
          <w:sz w:val="18"/>
        </w:rPr>
      </w:pPr>
      <w:r w:rsidRPr="009B318A">
        <w:rPr>
          <w:sz w:val="18"/>
        </w:rPr>
        <w:t xml:space="preserve">(ii) </w:t>
      </w:r>
      <w:r w:rsidRPr="009B318A">
        <w:rPr>
          <w:sz w:val="18"/>
        </w:rPr>
        <w:tab/>
        <w:t>predominantly derived</w:t>
      </w:r>
    </w:p>
    <w:p w:rsidR="00361B6D" w:rsidRPr="009B318A" w:rsidRDefault="00361B6D" w:rsidP="00361B6D">
      <w:pPr>
        <w:keepLines/>
        <w:ind w:left="1134" w:right="567" w:firstLine="567"/>
        <w:rPr>
          <w:sz w:val="18"/>
        </w:rPr>
      </w:pPr>
      <w:r w:rsidRPr="009B318A">
        <w:rPr>
          <w:sz w:val="18"/>
        </w:rPr>
        <w:t>(iii)</w:t>
      </w:r>
      <w:r w:rsidRPr="009B318A">
        <w:rPr>
          <w:sz w:val="18"/>
        </w:rPr>
        <w:tab/>
        <w:t xml:space="preserve">indirect derivation, including in relation to parent lines and hybrids </w:t>
      </w:r>
    </w:p>
    <w:p w:rsidR="00361B6D" w:rsidRPr="009B318A" w:rsidRDefault="00361B6D" w:rsidP="00361B6D">
      <w:pPr>
        <w:keepLines/>
        <w:ind w:left="1134" w:right="567" w:firstLine="567"/>
        <w:rPr>
          <w:sz w:val="18"/>
        </w:rPr>
      </w:pPr>
      <w:r w:rsidRPr="009B318A">
        <w:rPr>
          <w:sz w:val="18"/>
        </w:rPr>
        <w:t>(iv)</w:t>
      </w:r>
      <w:r w:rsidRPr="009B318A">
        <w:rPr>
          <w:sz w:val="18"/>
        </w:rPr>
        <w:tab/>
        <w:t xml:space="preserve">assessment of essentially derived varieties </w:t>
      </w:r>
    </w:p>
    <w:p w:rsidR="00361B6D" w:rsidRPr="009B318A" w:rsidRDefault="00361B6D" w:rsidP="00361B6D">
      <w:pPr>
        <w:keepLines/>
        <w:ind w:left="1134" w:right="567"/>
        <w:rPr>
          <w:sz w:val="18"/>
        </w:rPr>
      </w:pPr>
    </w:p>
    <w:p w:rsidR="00361B6D" w:rsidRPr="009B318A" w:rsidRDefault="00361B6D" w:rsidP="00361B6D">
      <w:pPr>
        <w:keepLines/>
        <w:ind w:left="1134" w:right="567"/>
        <w:rPr>
          <w:sz w:val="18"/>
        </w:rPr>
      </w:pPr>
      <w:r w:rsidRPr="009B318A">
        <w:rPr>
          <w:sz w:val="18"/>
        </w:rPr>
        <w:t>(b)</w:t>
      </w:r>
      <w:r w:rsidRPr="009B318A">
        <w:rPr>
          <w:sz w:val="18"/>
        </w:rPr>
        <w:tab/>
        <w:t>Conditions and Limitations Concerning the Breeder’s Authorization in Respect of Propagating Material</w:t>
      </w:r>
    </w:p>
    <w:p w:rsidR="00361B6D" w:rsidRPr="009B318A" w:rsidRDefault="00361B6D" w:rsidP="00361B6D">
      <w:pPr>
        <w:keepLines/>
        <w:ind w:left="1134" w:right="567"/>
        <w:rPr>
          <w:sz w:val="18"/>
        </w:rPr>
      </w:pPr>
    </w:p>
    <w:p w:rsidR="00361B6D" w:rsidRPr="009B318A" w:rsidRDefault="00361B6D" w:rsidP="00361B6D">
      <w:pPr>
        <w:keepLines/>
        <w:ind w:left="1134" w:right="567"/>
        <w:rPr>
          <w:sz w:val="18"/>
        </w:rPr>
      </w:pPr>
      <w:r w:rsidRPr="009B318A">
        <w:rPr>
          <w:sz w:val="18"/>
        </w:rPr>
        <w:tab/>
        <w:t>- suitable examples of conditions and limitations</w:t>
      </w:r>
    </w:p>
    <w:p w:rsidR="00361B6D" w:rsidRPr="009B318A" w:rsidRDefault="00361B6D" w:rsidP="00361B6D">
      <w:pPr>
        <w:keepLines/>
        <w:ind w:left="1134" w:right="567"/>
        <w:rPr>
          <w:sz w:val="18"/>
        </w:rPr>
      </w:pPr>
    </w:p>
    <w:p w:rsidR="00361B6D" w:rsidRPr="009B318A" w:rsidRDefault="00361B6D" w:rsidP="00361B6D">
      <w:pPr>
        <w:keepLines/>
        <w:ind w:left="1134" w:right="567"/>
        <w:rPr>
          <w:sz w:val="18"/>
        </w:rPr>
      </w:pPr>
      <w:r w:rsidRPr="009B318A">
        <w:rPr>
          <w:sz w:val="18"/>
        </w:rPr>
        <w:t>(c)</w:t>
      </w:r>
      <w:r w:rsidRPr="009B318A">
        <w:rPr>
          <w:sz w:val="18"/>
        </w:rPr>
        <w:tab/>
        <w:t xml:space="preserve">Scope of Provisional </w:t>
      </w:r>
      <w:r>
        <w:rPr>
          <w:sz w:val="18"/>
        </w:rPr>
        <w:t>Protection”</w:t>
      </w:r>
      <w:r w:rsidRPr="009716CD">
        <w:rPr>
          <w:rStyle w:val="FootnoteReference"/>
        </w:rPr>
        <w:t xml:space="preserve"> </w:t>
      </w:r>
      <w:r>
        <w:rPr>
          <w:rStyle w:val="FootnoteReference"/>
        </w:rPr>
        <w:footnoteReference w:id="2"/>
      </w:r>
    </w:p>
    <w:p w:rsidR="00361B6D" w:rsidRDefault="00361B6D" w:rsidP="00361B6D"/>
    <w:p w:rsidR="00361B6D" w:rsidRDefault="00361B6D" w:rsidP="00361B6D">
      <w:r>
        <w:fldChar w:fldCharType="begin"/>
      </w:r>
      <w:r>
        <w:instrText xml:space="preserve"> AUTONUM  </w:instrText>
      </w:r>
      <w:r>
        <w:fldChar w:fldCharType="end"/>
      </w:r>
      <w:r>
        <w:tab/>
        <w:t>On the above basis, the CAJ would consider the need for a revision of the current guidance.</w:t>
      </w:r>
    </w:p>
    <w:p w:rsidR="00E96A53" w:rsidRDefault="00E96A53" w:rsidP="00E96A53"/>
    <w:p w:rsidR="00E96A53" w:rsidRDefault="00E96A53" w:rsidP="00E96A53"/>
    <w:p w:rsidR="00E96A53" w:rsidRDefault="00E96A53" w:rsidP="00E96A53"/>
    <w:p w:rsidR="00361B6D" w:rsidRPr="00361B6D" w:rsidRDefault="00361B6D" w:rsidP="00361B6D">
      <w:pPr>
        <w:pStyle w:val="Heading1"/>
      </w:pPr>
      <w:r w:rsidRPr="00361B6D">
        <w:lastRenderedPageBreak/>
        <w:t>Presentations on THE conditions and limitations concerning the breeder’s authorization in respect of propagating material</w:t>
      </w:r>
    </w:p>
    <w:p w:rsidR="00361B6D" w:rsidRDefault="00361B6D" w:rsidP="00361B6D">
      <w:pPr>
        <w:keepNext/>
        <w:keepLines/>
      </w:pPr>
    </w:p>
    <w:p w:rsidR="00361B6D" w:rsidRDefault="00361B6D" w:rsidP="00361B6D">
      <w:pPr>
        <w:keepNext/>
        <w:keepLines/>
      </w:pPr>
      <w:r w:rsidRPr="00361B6D">
        <w:fldChar w:fldCharType="begin"/>
      </w:r>
      <w:r w:rsidRPr="00361B6D">
        <w:instrText xml:space="preserve"> AUTONUM  </w:instrText>
      </w:r>
      <w:r w:rsidRPr="00361B6D">
        <w:fldChar w:fldCharType="end"/>
      </w:r>
      <w:r w:rsidRPr="00361B6D">
        <w:tab/>
        <w:t xml:space="preserve">On April 30, 2018, UPOV Circular E-18/045 </w:t>
      </w:r>
      <w:r w:rsidR="00500A51">
        <w:t xml:space="preserve">invited </w:t>
      </w:r>
      <w:r>
        <w:t xml:space="preserve">members and observers to </w:t>
      </w:r>
      <w:r w:rsidR="00500A51">
        <w:t xml:space="preserve">present </w:t>
      </w:r>
      <w:r>
        <w:t xml:space="preserve">their perspectives on </w:t>
      </w:r>
      <w:r w:rsidR="00C7517A">
        <w:t>the matters</w:t>
      </w:r>
      <w:r w:rsidR="001566AC">
        <w:t xml:space="preserve"> </w:t>
      </w:r>
      <w:r w:rsidR="00500A51">
        <w:t xml:space="preserve">identified </w:t>
      </w:r>
      <w:r w:rsidR="00C7517A">
        <w:t xml:space="preserve">in </w:t>
      </w:r>
      <w:r w:rsidR="00C7517A" w:rsidRPr="00C7517A">
        <w:t>paragraph 2</w:t>
      </w:r>
      <w:r w:rsidR="001566AC">
        <w:t>,</w:t>
      </w:r>
      <w:r w:rsidR="00C7517A" w:rsidRPr="00C7517A">
        <w:t xml:space="preserve"> above</w:t>
      </w:r>
      <w:r>
        <w:t>:</w:t>
      </w:r>
    </w:p>
    <w:p w:rsidR="00361B6D" w:rsidRDefault="00361B6D" w:rsidP="00361B6D"/>
    <w:p w:rsidR="00C7517A" w:rsidRPr="006A373E" w:rsidRDefault="00361B6D" w:rsidP="00C7517A">
      <w:pPr>
        <w:keepNext/>
        <w:keepLines/>
        <w:rPr>
          <w:snapToGrid w:val="0"/>
          <w:spacing w:val="-2"/>
        </w:rPr>
      </w:pPr>
      <w:r w:rsidRPr="006A373E">
        <w:rPr>
          <w:rFonts w:cs="Arial"/>
          <w:spacing w:val="-2"/>
        </w:rPr>
        <w:fldChar w:fldCharType="begin"/>
      </w:r>
      <w:r w:rsidRPr="006A373E">
        <w:rPr>
          <w:rFonts w:cs="Arial"/>
          <w:spacing w:val="-2"/>
        </w:rPr>
        <w:instrText xml:space="preserve"> AUTONUM  </w:instrText>
      </w:r>
      <w:r w:rsidRPr="006A373E">
        <w:rPr>
          <w:rFonts w:cs="Arial"/>
          <w:spacing w:val="-2"/>
        </w:rPr>
        <w:fldChar w:fldCharType="end"/>
      </w:r>
      <w:r w:rsidRPr="006A373E">
        <w:rPr>
          <w:rFonts w:cs="Arial"/>
          <w:spacing w:val="-2"/>
        </w:rPr>
        <w:tab/>
        <w:t xml:space="preserve">In reply to UPOV </w:t>
      </w:r>
      <w:r w:rsidRPr="006A373E">
        <w:rPr>
          <w:spacing w:val="-2"/>
        </w:rPr>
        <w:t xml:space="preserve">Circular E-18/045, the European Seed Association (ESA) and the International Seed Federation (ISF) confirmed their intention to make presentations on the conditions and limitations concerning the breeder’s authorization in respect of propagating material.  </w:t>
      </w:r>
      <w:r w:rsidR="006A373E" w:rsidRPr="006A373E">
        <w:rPr>
          <w:spacing w:val="-2"/>
        </w:rPr>
        <w:t xml:space="preserve">The presentations </w:t>
      </w:r>
      <w:r w:rsidR="006A373E" w:rsidRPr="006A373E">
        <w:rPr>
          <w:snapToGrid w:val="0"/>
          <w:spacing w:val="-2"/>
        </w:rPr>
        <w:t>will be published on the CAJ/75 section of the UPOV website.</w:t>
      </w:r>
    </w:p>
    <w:p w:rsidR="00BF1C03" w:rsidRPr="008A22DD" w:rsidRDefault="00BF1C03" w:rsidP="00BF1C03">
      <w:pPr>
        <w:rPr>
          <w:sz w:val="18"/>
        </w:rPr>
      </w:pPr>
    </w:p>
    <w:p w:rsidR="00BF1C03" w:rsidRDefault="00BF1C03" w:rsidP="00BF1C03">
      <w:pPr>
        <w:pStyle w:val="DecisionParagraphs"/>
        <w:rPr>
          <w:snapToGrid w:val="0"/>
        </w:rPr>
      </w:pPr>
      <w:r w:rsidRPr="00F27C1E">
        <w:rPr>
          <w:snapToGrid w:val="0"/>
        </w:rPr>
        <w:fldChar w:fldCharType="begin"/>
      </w:r>
      <w:r w:rsidRPr="00F27C1E">
        <w:rPr>
          <w:snapToGrid w:val="0"/>
        </w:rPr>
        <w:instrText xml:space="preserve"> AUTONUM  </w:instrText>
      </w:r>
      <w:r w:rsidRPr="00F27C1E">
        <w:rPr>
          <w:snapToGrid w:val="0"/>
        </w:rPr>
        <w:fldChar w:fldCharType="end"/>
      </w:r>
      <w:r w:rsidRPr="00F27C1E">
        <w:rPr>
          <w:snapToGrid w:val="0"/>
        </w:rPr>
        <w:tab/>
        <w:t xml:space="preserve">The CAJ is invited </w:t>
      </w:r>
      <w:r>
        <w:rPr>
          <w:snapToGrid w:val="0"/>
        </w:rPr>
        <w:t>to</w:t>
      </w:r>
      <w:r w:rsidR="001A1891" w:rsidRPr="001A1891">
        <w:rPr>
          <w:snapToGrid w:val="0"/>
        </w:rPr>
        <w:t xml:space="preserve"> </w:t>
      </w:r>
      <w:r w:rsidR="001A1891">
        <w:rPr>
          <w:snapToGrid w:val="0"/>
        </w:rPr>
        <w:t>consider</w:t>
      </w:r>
      <w:r>
        <w:rPr>
          <w:snapToGrid w:val="0"/>
        </w:rPr>
        <w:t>:</w:t>
      </w:r>
    </w:p>
    <w:p w:rsidR="00BF1C03" w:rsidRDefault="00BF1C03" w:rsidP="00BF1C03">
      <w:pPr>
        <w:pStyle w:val="DecisionParagraphs"/>
        <w:rPr>
          <w:snapToGrid w:val="0"/>
        </w:rPr>
      </w:pPr>
    </w:p>
    <w:p w:rsidR="00BF1C03" w:rsidRPr="00A777FE" w:rsidRDefault="00D92958" w:rsidP="00D92958">
      <w:pPr>
        <w:pStyle w:val="DecisionParagraphs"/>
        <w:rPr>
          <w:snapToGrid w:val="0"/>
        </w:rPr>
      </w:pPr>
      <w:r>
        <w:rPr>
          <w:snapToGrid w:val="0"/>
        </w:rPr>
        <w:tab/>
        <w:t>(a)</w:t>
      </w:r>
      <w:r>
        <w:rPr>
          <w:snapToGrid w:val="0"/>
        </w:rPr>
        <w:tab/>
        <w:t xml:space="preserve"> </w:t>
      </w:r>
      <w:r w:rsidR="00BF1C03" w:rsidRPr="00BF1C03">
        <w:rPr>
          <w:snapToGrid w:val="0"/>
        </w:rPr>
        <w:t xml:space="preserve">the presentations from the European Seed Association (ESA) and the International Seed Federation (ISF) on the conditions and limitations concerning the breeder’s authorization in respect of propagating material, </w:t>
      </w:r>
      <w:r w:rsidR="00C7517A">
        <w:rPr>
          <w:snapToGrid w:val="0"/>
        </w:rPr>
        <w:t>as set out in paragraph </w:t>
      </w:r>
      <w:proofErr w:type="gramStart"/>
      <w:r w:rsidR="00C7517A">
        <w:rPr>
          <w:snapToGrid w:val="0"/>
        </w:rPr>
        <w:t>5</w:t>
      </w:r>
      <w:r w:rsidR="00B6145B" w:rsidRPr="00BF1C03">
        <w:rPr>
          <w:snapToGrid w:val="0"/>
        </w:rPr>
        <w:t xml:space="preserve">; </w:t>
      </w:r>
      <w:r w:rsidR="00B6145B">
        <w:rPr>
          <w:snapToGrid w:val="0"/>
        </w:rPr>
        <w:t xml:space="preserve"> </w:t>
      </w:r>
      <w:r w:rsidR="00B6145B" w:rsidRPr="00BF1C03">
        <w:rPr>
          <w:snapToGrid w:val="0"/>
        </w:rPr>
        <w:t>and</w:t>
      </w:r>
      <w:proofErr w:type="gramEnd"/>
    </w:p>
    <w:p w:rsidR="00D92958" w:rsidRDefault="00D92958" w:rsidP="00D92958">
      <w:pPr>
        <w:pStyle w:val="DecisionParagraphs"/>
        <w:rPr>
          <w:highlight w:val="yellow"/>
        </w:rPr>
      </w:pPr>
    </w:p>
    <w:p w:rsidR="00BF1C03" w:rsidRPr="00210AE8" w:rsidRDefault="00D92958" w:rsidP="00D92958">
      <w:pPr>
        <w:pStyle w:val="DecisionParagraphs"/>
        <w:rPr>
          <w:snapToGrid w:val="0"/>
          <w:highlight w:val="yellow"/>
        </w:rPr>
      </w:pPr>
      <w:r w:rsidRPr="00D92958">
        <w:tab/>
        <w:t>(b)</w:t>
      </w:r>
      <w:r w:rsidRPr="00D92958">
        <w:tab/>
      </w:r>
      <w:r w:rsidR="00B17E53" w:rsidRPr="006A373E">
        <w:t>whether</w:t>
      </w:r>
      <w:r w:rsidR="00C7517A" w:rsidRPr="006A373E">
        <w:t xml:space="preserve"> there is a </w:t>
      </w:r>
      <w:r w:rsidR="00BF1C03" w:rsidRPr="006A373E">
        <w:t>need</w:t>
      </w:r>
      <w:r w:rsidR="00BF1C03" w:rsidRPr="00C7517A">
        <w:t xml:space="preserve"> for a revision of the current guidance </w:t>
      </w:r>
      <w:r w:rsidR="00210AE8" w:rsidRPr="00C7517A">
        <w:t>on the conditions and limitations concerning the breeder’s authorization in respect of propagating material</w:t>
      </w:r>
      <w:r w:rsidR="00BF1C03" w:rsidRPr="00C7517A">
        <w:rPr>
          <w:snapToGrid w:val="0"/>
        </w:rPr>
        <w:t>.</w:t>
      </w:r>
      <w:r w:rsidR="00C7517A">
        <w:rPr>
          <w:snapToGrid w:val="0"/>
        </w:rPr>
        <w:t xml:space="preserve"> </w:t>
      </w:r>
    </w:p>
    <w:p w:rsidR="00E96A53" w:rsidRDefault="00E96A53" w:rsidP="00E96A53">
      <w:pPr>
        <w:pStyle w:val="DecisionParagraphs"/>
        <w:rPr>
          <w:snapToGrid w:val="0"/>
        </w:rPr>
      </w:pPr>
    </w:p>
    <w:p w:rsidR="00E96A53" w:rsidRDefault="00E96A53" w:rsidP="00E96A53">
      <w:pPr>
        <w:pStyle w:val="DecisionParagraphs"/>
        <w:rPr>
          <w:snapToGrid w:val="0"/>
        </w:rPr>
      </w:pPr>
    </w:p>
    <w:p w:rsidR="008D18DB" w:rsidRDefault="008D18DB" w:rsidP="00E96A53">
      <w:pPr>
        <w:pStyle w:val="DecisionParagraphs"/>
        <w:rPr>
          <w:snapToGrid w:val="0"/>
        </w:rPr>
      </w:pPr>
    </w:p>
    <w:p w:rsidR="00BF1C03" w:rsidRDefault="00BF1C03" w:rsidP="00C7517A">
      <w:pPr>
        <w:jc w:val="right"/>
      </w:pPr>
      <w:r w:rsidRPr="00C5280D">
        <w:t>[</w:t>
      </w:r>
      <w:r w:rsidR="001A1891">
        <w:t>End of document</w:t>
      </w:r>
      <w:r w:rsidRPr="00C5280D">
        <w:t>]</w:t>
      </w:r>
    </w:p>
    <w:p w:rsidR="00C7517A" w:rsidRDefault="00C7517A" w:rsidP="00C7517A">
      <w:pPr>
        <w:jc w:val="right"/>
      </w:pPr>
    </w:p>
    <w:p w:rsidR="00C7517A" w:rsidRDefault="00C7517A" w:rsidP="00C7517A">
      <w:pPr>
        <w:jc w:val="right"/>
      </w:pPr>
    </w:p>
    <w:p w:rsidR="007F7FB2" w:rsidRPr="00935659" w:rsidRDefault="007F7FB2" w:rsidP="00C7517A">
      <w:pPr>
        <w:jc w:val="center"/>
        <w:rPr>
          <w:lang w:val="es-ES"/>
        </w:rPr>
      </w:pPr>
    </w:p>
    <w:sectPr w:rsidR="007F7FB2" w:rsidRPr="00935659" w:rsidSect="00C7517A">
      <w:headerReference w:type="default" r:id="rId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3E5" w:rsidRDefault="002A53E5" w:rsidP="006655D3">
      <w:r>
        <w:separator/>
      </w:r>
    </w:p>
    <w:p w:rsidR="002A53E5" w:rsidRDefault="002A53E5" w:rsidP="006655D3"/>
    <w:p w:rsidR="002A53E5" w:rsidRDefault="002A53E5" w:rsidP="006655D3"/>
  </w:endnote>
  <w:endnote w:type="continuationSeparator" w:id="0">
    <w:p w:rsidR="002A53E5" w:rsidRDefault="002A53E5" w:rsidP="006655D3">
      <w:r>
        <w:separator/>
      </w:r>
    </w:p>
    <w:p w:rsidR="002A53E5" w:rsidRPr="00294751" w:rsidRDefault="002A53E5">
      <w:pPr>
        <w:pStyle w:val="Footer"/>
        <w:spacing w:after="60"/>
        <w:rPr>
          <w:sz w:val="18"/>
          <w:lang w:val="fr-FR"/>
        </w:rPr>
      </w:pPr>
      <w:r w:rsidRPr="00294751">
        <w:rPr>
          <w:sz w:val="18"/>
          <w:lang w:val="fr-FR"/>
        </w:rPr>
        <w:t>[Suite de la note de la page précédente]</w:t>
      </w:r>
    </w:p>
    <w:p w:rsidR="002A53E5" w:rsidRPr="00294751" w:rsidRDefault="002A53E5" w:rsidP="006655D3">
      <w:pPr>
        <w:rPr>
          <w:lang w:val="fr-FR"/>
        </w:rPr>
      </w:pPr>
    </w:p>
    <w:p w:rsidR="002A53E5" w:rsidRPr="00294751" w:rsidRDefault="002A53E5" w:rsidP="006655D3">
      <w:pPr>
        <w:rPr>
          <w:lang w:val="fr-FR"/>
        </w:rPr>
      </w:pPr>
    </w:p>
  </w:endnote>
  <w:endnote w:type="continuationNotice" w:id="1">
    <w:p w:rsidR="002A53E5" w:rsidRPr="00294751" w:rsidRDefault="002A53E5" w:rsidP="006655D3">
      <w:pPr>
        <w:rPr>
          <w:lang w:val="fr-FR"/>
        </w:rPr>
      </w:pPr>
      <w:r w:rsidRPr="00294751">
        <w:rPr>
          <w:lang w:val="fr-FR"/>
        </w:rPr>
        <w:t>[Suite de la note page suivante]</w:t>
      </w:r>
    </w:p>
    <w:p w:rsidR="002A53E5" w:rsidRPr="00294751" w:rsidRDefault="002A53E5" w:rsidP="006655D3">
      <w:pPr>
        <w:rPr>
          <w:lang w:val="fr-FR"/>
        </w:rPr>
      </w:pPr>
    </w:p>
    <w:p w:rsidR="002A53E5" w:rsidRPr="00294751" w:rsidRDefault="002A53E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3E5" w:rsidRDefault="002A53E5" w:rsidP="006655D3">
      <w:r>
        <w:separator/>
      </w:r>
    </w:p>
  </w:footnote>
  <w:footnote w:type="continuationSeparator" w:id="0">
    <w:p w:rsidR="002A53E5" w:rsidRDefault="002A53E5" w:rsidP="006655D3">
      <w:r>
        <w:separator/>
      </w:r>
    </w:p>
  </w:footnote>
  <w:footnote w:type="continuationNotice" w:id="1">
    <w:p w:rsidR="002A53E5" w:rsidRPr="00AB530F" w:rsidRDefault="002A53E5" w:rsidP="00AB530F">
      <w:pPr>
        <w:pStyle w:val="Footer"/>
      </w:pPr>
    </w:p>
  </w:footnote>
  <w:footnote w:id="2">
    <w:p w:rsidR="00361B6D" w:rsidRDefault="00361B6D" w:rsidP="00361B6D">
      <w:pPr>
        <w:pStyle w:val="FootnoteText"/>
      </w:pPr>
      <w:r>
        <w:rPr>
          <w:rStyle w:val="FootnoteReference"/>
        </w:rPr>
        <w:footnoteRef/>
      </w:r>
      <w:r>
        <w:t xml:space="preserve"> </w:t>
      </w:r>
      <w:r>
        <w:tab/>
      </w:r>
      <w:r w:rsidRPr="00975C3B">
        <w:t xml:space="preserve">see document </w:t>
      </w:r>
      <w:hyperlink r:id="rId1" w:history="1">
        <w:r w:rsidRPr="003339C3">
          <w:rPr>
            <w:rStyle w:val="Hyperlink"/>
          </w:rPr>
          <w:t>CAJ/74/10</w:t>
        </w:r>
      </w:hyperlink>
      <w:r w:rsidRPr="00975C3B">
        <w:t xml:space="preserve"> “Report”, paragraphs 10 and 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17A" w:rsidRPr="00C5280D" w:rsidRDefault="00C7517A" w:rsidP="00C7517A">
    <w:pPr>
      <w:pStyle w:val="Header"/>
      <w:rPr>
        <w:rStyle w:val="PageNumber"/>
        <w:lang w:val="en-US"/>
      </w:rPr>
    </w:pPr>
    <w:r>
      <w:rPr>
        <w:rStyle w:val="PageNumber"/>
        <w:lang w:val="en-US"/>
      </w:rPr>
      <w:t>CAJ/75/4</w:t>
    </w:r>
  </w:p>
  <w:p w:rsidR="00C7517A" w:rsidRPr="00C5280D" w:rsidRDefault="00C7517A" w:rsidP="00C7517A">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17CDB">
      <w:rPr>
        <w:rStyle w:val="PageNumber"/>
        <w:noProof/>
        <w:lang w:val="en-US"/>
      </w:rPr>
      <w:t>2</w:t>
    </w:r>
    <w:r w:rsidRPr="00C5280D">
      <w:rPr>
        <w:rStyle w:val="PageNumber"/>
        <w:lang w:val="en-US"/>
      </w:rPr>
      <w:fldChar w:fldCharType="end"/>
    </w:r>
  </w:p>
  <w:p w:rsidR="00C7517A" w:rsidRDefault="00C75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75F32"/>
    <w:multiLevelType w:val="hybridMultilevel"/>
    <w:tmpl w:val="82F20D7A"/>
    <w:lvl w:ilvl="0" w:tplc="CA72146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15:restartNumberingAfterBreak="0">
    <w:nsid w:val="50C13A41"/>
    <w:multiLevelType w:val="hybridMultilevel"/>
    <w:tmpl w:val="8B06D0B2"/>
    <w:lvl w:ilvl="0" w:tplc="D3B0B23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85"/>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BED"/>
    <w:rsid w:val="00110C36"/>
    <w:rsid w:val="001131D5"/>
    <w:rsid w:val="00141DB8"/>
    <w:rsid w:val="001566AC"/>
    <w:rsid w:val="00172084"/>
    <w:rsid w:val="0017474A"/>
    <w:rsid w:val="001758C6"/>
    <w:rsid w:val="00182B99"/>
    <w:rsid w:val="001A1891"/>
    <w:rsid w:val="001C1525"/>
    <w:rsid w:val="00210AE8"/>
    <w:rsid w:val="0021332C"/>
    <w:rsid w:val="00213982"/>
    <w:rsid w:val="00243E11"/>
    <w:rsid w:val="0024416D"/>
    <w:rsid w:val="00271911"/>
    <w:rsid w:val="002800A0"/>
    <w:rsid w:val="002801B3"/>
    <w:rsid w:val="00281060"/>
    <w:rsid w:val="002940E8"/>
    <w:rsid w:val="00294751"/>
    <w:rsid w:val="002A53E5"/>
    <w:rsid w:val="002A6E50"/>
    <w:rsid w:val="002B4298"/>
    <w:rsid w:val="002B7A36"/>
    <w:rsid w:val="002C256A"/>
    <w:rsid w:val="002D41F7"/>
    <w:rsid w:val="00305A7F"/>
    <w:rsid w:val="003152FE"/>
    <w:rsid w:val="00327436"/>
    <w:rsid w:val="003339C3"/>
    <w:rsid w:val="00344BD6"/>
    <w:rsid w:val="0035528D"/>
    <w:rsid w:val="00361821"/>
    <w:rsid w:val="00361B6D"/>
    <w:rsid w:val="00361E9E"/>
    <w:rsid w:val="003A1F3B"/>
    <w:rsid w:val="003C7FBE"/>
    <w:rsid w:val="003D227C"/>
    <w:rsid w:val="003D2B4D"/>
    <w:rsid w:val="00444A88"/>
    <w:rsid w:val="00474DA4"/>
    <w:rsid w:val="00476B4D"/>
    <w:rsid w:val="004805FA"/>
    <w:rsid w:val="004935D2"/>
    <w:rsid w:val="004A0BF1"/>
    <w:rsid w:val="004B1215"/>
    <w:rsid w:val="004D047D"/>
    <w:rsid w:val="004F1E9E"/>
    <w:rsid w:val="004F305A"/>
    <w:rsid w:val="00500A51"/>
    <w:rsid w:val="00512164"/>
    <w:rsid w:val="00517CDB"/>
    <w:rsid w:val="00520297"/>
    <w:rsid w:val="005338F9"/>
    <w:rsid w:val="0054281C"/>
    <w:rsid w:val="00544581"/>
    <w:rsid w:val="0055268D"/>
    <w:rsid w:val="00576BE4"/>
    <w:rsid w:val="005779DB"/>
    <w:rsid w:val="005A400A"/>
    <w:rsid w:val="005A5C14"/>
    <w:rsid w:val="005F7B92"/>
    <w:rsid w:val="00612379"/>
    <w:rsid w:val="006153B6"/>
    <w:rsid w:val="0061555F"/>
    <w:rsid w:val="00636CA6"/>
    <w:rsid w:val="00641200"/>
    <w:rsid w:val="00645CA8"/>
    <w:rsid w:val="006655D3"/>
    <w:rsid w:val="00667404"/>
    <w:rsid w:val="00687EB4"/>
    <w:rsid w:val="00695C56"/>
    <w:rsid w:val="006A373E"/>
    <w:rsid w:val="006A5CDE"/>
    <w:rsid w:val="006A644A"/>
    <w:rsid w:val="006B17D2"/>
    <w:rsid w:val="006C224E"/>
    <w:rsid w:val="006D780A"/>
    <w:rsid w:val="0071271E"/>
    <w:rsid w:val="00732DEC"/>
    <w:rsid w:val="00735BD5"/>
    <w:rsid w:val="007451EC"/>
    <w:rsid w:val="00751613"/>
    <w:rsid w:val="00753EE9"/>
    <w:rsid w:val="007556F6"/>
    <w:rsid w:val="00760EEF"/>
    <w:rsid w:val="00777EE5"/>
    <w:rsid w:val="00784836"/>
    <w:rsid w:val="0079023E"/>
    <w:rsid w:val="00790355"/>
    <w:rsid w:val="007A2854"/>
    <w:rsid w:val="007C1D92"/>
    <w:rsid w:val="007C4CB9"/>
    <w:rsid w:val="007D0B9D"/>
    <w:rsid w:val="007D19B0"/>
    <w:rsid w:val="007F498F"/>
    <w:rsid w:val="007F7FB2"/>
    <w:rsid w:val="00803746"/>
    <w:rsid w:val="0080679D"/>
    <w:rsid w:val="008108B0"/>
    <w:rsid w:val="00811B20"/>
    <w:rsid w:val="00812609"/>
    <w:rsid w:val="008211B5"/>
    <w:rsid w:val="0082296E"/>
    <w:rsid w:val="00824099"/>
    <w:rsid w:val="00846D7C"/>
    <w:rsid w:val="008473F9"/>
    <w:rsid w:val="00861231"/>
    <w:rsid w:val="008653F2"/>
    <w:rsid w:val="00867AC1"/>
    <w:rsid w:val="00871585"/>
    <w:rsid w:val="00890DF8"/>
    <w:rsid w:val="008A743F"/>
    <w:rsid w:val="008C0970"/>
    <w:rsid w:val="008D0BC5"/>
    <w:rsid w:val="008D18DB"/>
    <w:rsid w:val="008D2CF7"/>
    <w:rsid w:val="00900C26"/>
    <w:rsid w:val="0090197F"/>
    <w:rsid w:val="00903264"/>
    <w:rsid w:val="00906DDC"/>
    <w:rsid w:val="00911754"/>
    <w:rsid w:val="00934E09"/>
    <w:rsid w:val="00935659"/>
    <w:rsid w:val="00936253"/>
    <w:rsid w:val="00940D46"/>
    <w:rsid w:val="00952DD4"/>
    <w:rsid w:val="00965AE7"/>
    <w:rsid w:val="00970FED"/>
    <w:rsid w:val="00992D82"/>
    <w:rsid w:val="00997029"/>
    <w:rsid w:val="009A7339"/>
    <w:rsid w:val="009B440E"/>
    <w:rsid w:val="009B6C34"/>
    <w:rsid w:val="009D690D"/>
    <w:rsid w:val="009E65B6"/>
    <w:rsid w:val="009F6360"/>
    <w:rsid w:val="009F77CF"/>
    <w:rsid w:val="00A11C99"/>
    <w:rsid w:val="00A127F4"/>
    <w:rsid w:val="00A24C10"/>
    <w:rsid w:val="00A42AC3"/>
    <w:rsid w:val="00A430CF"/>
    <w:rsid w:val="00A54309"/>
    <w:rsid w:val="00A80F2A"/>
    <w:rsid w:val="00A9331D"/>
    <w:rsid w:val="00AA1CE4"/>
    <w:rsid w:val="00AB2B93"/>
    <w:rsid w:val="00AB530F"/>
    <w:rsid w:val="00AB7E5B"/>
    <w:rsid w:val="00AC2883"/>
    <w:rsid w:val="00AE0EF1"/>
    <w:rsid w:val="00AE2937"/>
    <w:rsid w:val="00B07301"/>
    <w:rsid w:val="00B11F3E"/>
    <w:rsid w:val="00B17E53"/>
    <w:rsid w:val="00B224DE"/>
    <w:rsid w:val="00B324D4"/>
    <w:rsid w:val="00B46575"/>
    <w:rsid w:val="00B6145B"/>
    <w:rsid w:val="00B61777"/>
    <w:rsid w:val="00B622E6"/>
    <w:rsid w:val="00B84BBD"/>
    <w:rsid w:val="00BA43FB"/>
    <w:rsid w:val="00BC127D"/>
    <w:rsid w:val="00BC1FE6"/>
    <w:rsid w:val="00BF1C03"/>
    <w:rsid w:val="00C061B6"/>
    <w:rsid w:val="00C2446C"/>
    <w:rsid w:val="00C2451A"/>
    <w:rsid w:val="00C36AE5"/>
    <w:rsid w:val="00C41F17"/>
    <w:rsid w:val="00C527FA"/>
    <w:rsid w:val="00C5280D"/>
    <w:rsid w:val="00C53EB3"/>
    <w:rsid w:val="00C5791C"/>
    <w:rsid w:val="00C66290"/>
    <w:rsid w:val="00C72B7A"/>
    <w:rsid w:val="00C7517A"/>
    <w:rsid w:val="00C973F2"/>
    <w:rsid w:val="00CA304C"/>
    <w:rsid w:val="00CA774A"/>
    <w:rsid w:val="00CC11B0"/>
    <w:rsid w:val="00CC2841"/>
    <w:rsid w:val="00CF1330"/>
    <w:rsid w:val="00CF7E36"/>
    <w:rsid w:val="00D3708D"/>
    <w:rsid w:val="00D40426"/>
    <w:rsid w:val="00D57C96"/>
    <w:rsid w:val="00D57D18"/>
    <w:rsid w:val="00D91203"/>
    <w:rsid w:val="00D92958"/>
    <w:rsid w:val="00D95174"/>
    <w:rsid w:val="00DA4973"/>
    <w:rsid w:val="00DA6F36"/>
    <w:rsid w:val="00DB596E"/>
    <w:rsid w:val="00DB7773"/>
    <w:rsid w:val="00DC00EA"/>
    <w:rsid w:val="00DC3802"/>
    <w:rsid w:val="00E07D87"/>
    <w:rsid w:val="00E249C8"/>
    <w:rsid w:val="00E32F7E"/>
    <w:rsid w:val="00E5267B"/>
    <w:rsid w:val="00E63C0E"/>
    <w:rsid w:val="00E72D49"/>
    <w:rsid w:val="00E7593C"/>
    <w:rsid w:val="00E7678A"/>
    <w:rsid w:val="00E834FF"/>
    <w:rsid w:val="00E935F1"/>
    <w:rsid w:val="00E94A81"/>
    <w:rsid w:val="00E96A53"/>
    <w:rsid w:val="00EA1FFB"/>
    <w:rsid w:val="00EB048E"/>
    <w:rsid w:val="00EB4E9C"/>
    <w:rsid w:val="00EE34DF"/>
    <w:rsid w:val="00EF2F89"/>
    <w:rsid w:val="00F03E98"/>
    <w:rsid w:val="00F1237A"/>
    <w:rsid w:val="00F22CBD"/>
    <w:rsid w:val="00F272F1"/>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0F317E2-06CC-469C-B01C-9FC8EC6F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361B6D"/>
    <w:pPr>
      <w:keepNext/>
      <w:keepLines/>
      <w:jc w:val="both"/>
      <w:outlineLvl w:val="0"/>
    </w:pPr>
    <w:rPr>
      <w:rFonts w:ascii="Arial" w:eastAsia="MS Mincho"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361B6D"/>
    <w:rPr>
      <w:rFonts w:ascii="Arial" w:eastAsia="MS Mincho" w:hAnsi="Arial"/>
      <w:caps/>
    </w:rPr>
  </w:style>
  <w:style w:type="character" w:customStyle="1" w:styleId="FootnoteTextChar">
    <w:name w:val="Footnote Text Char"/>
    <w:basedOn w:val="DefaultParagraphFont"/>
    <w:link w:val="FootnoteText"/>
    <w:rsid w:val="00E96A53"/>
    <w:rPr>
      <w:rFonts w:ascii="Arial" w:hAnsi="Arial"/>
      <w:sz w:val="16"/>
    </w:rPr>
  </w:style>
  <w:style w:type="character" w:customStyle="1" w:styleId="DecisionParagraphsChar">
    <w:name w:val="DecisionParagraphs Char"/>
    <w:basedOn w:val="DefaultParagraphFont"/>
    <w:link w:val="DecisionParagraphs"/>
    <w:rsid w:val="00E96A53"/>
    <w:rPr>
      <w:rFonts w:ascii="Arial" w:hAnsi="Arial"/>
      <w:i/>
    </w:rPr>
  </w:style>
  <w:style w:type="character" w:customStyle="1" w:styleId="HeaderChar">
    <w:name w:val="Header Char"/>
    <w:basedOn w:val="DefaultParagraphFont"/>
    <w:link w:val="Header"/>
    <w:rsid w:val="00AA1CE4"/>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meetings/en/doc_details.jsp?meeting_id=44404&amp;doc_id=3885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5_(2018)\templates\caj_7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caj_75_EN.dotx</Template>
  <TotalTime>3</TotalTime>
  <Pages>2</Pages>
  <Words>442</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CAJ/75</vt:lpstr>
    </vt:vector>
  </TitlesOfParts>
  <Company>UPOV</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CAJ/75</dc:title>
  <dc:creator>SANTOS Carla Marina</dc:creator>
  <cp:lastModifiedBy>SANTOS Carla Marina</cp:lastModifiedBy>
  <cp:revision>6</cp:revision>
  <cp:lastPrinted>2018-10-10T15:54:00Z</cp:lastPrinted>
  <dcterms:created xsi:type="dcterms:W3CDTF">2018-10-11T14:11:00Z</dcterms:created>
  <dcterms:modified xsi:type="dcterms:W3CDTF">2018-10-12T12:39:00Z</dcterms:modified>
</cp:coreProperties>
</file>