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0730D6" w:rsidTr="00EB4E9C">
        <w:tc>
          <w:tcPr>
            <w:tcW w:w="6522" w:type="dxa"/>
          </w:tcPr>
          <w:p w:rsidR="00DC3802" w:rsidRPr="000730D6" w:rsidRDefault="00DC3802" w:rsidP="00AC2883">
            <w:r w:rsidRPr="000730D6">
              <w:rPr>
                <w:noProof/>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0730D6" w:rsidRDefault="00DC3802" w:rsidP="00AC2883">
            <w:pPr>
              <w:pStyle w:val="Lettrine"/>
            </w:pPr>
            <w:r w:rsidRPr="000730D6">
              <w:t>E</w:t>
            </w:r>
          </w:p>
        </w:tc>
      </w:tr>
      <w:tr w:rsidR="00DC3802" w:rsidRPr="000730D6" w:rsidTr="00645CA8">
        <w:trPr>
          <w:trHeight w:val="219"/>
        </w:trPr>
        <w:tc>
          <w:tcPr>
            <w:tcW w:w="6522" w:type="dxa"/>
          </w:tcPr>
          <w:p w:rsidR="00DC3802" w:rsidRPr="000730D6" w:rsidRDefault="00DC3802" w:rsidP="00AC2883">
            <w:pPr>
              <w:pStyle w:val="upove"/>
            </w:pPr>
            <w:r w:rsidRPr="000730D6">
              <w:t>International Union for the Protection of New Varieties of Plants</w:t>
            </w:r>
          </w:p>
        </w:tc>
        <w:tc>
          <w:tcPr>
            <w:tcW w:w="3117" w:type="dxa"/>
          </w:tcPr>
          <w:p w:rsidR="00DC3802" w:rsidRPr="000730D6" w:rsidRDefault="00DC3802" w:rsidP="00DA4973"/>
        </w:tc>
      </w:tr>
    </w:tbl>
    <w:p w:rsidR="00DC3802" w:rsidRPr="000730D6" w:rsidRDefault="00DC3802" w:rsidP="00DC3802"/>
    <w:p w:rsidR="00DA4973" w:rsidRPr="000730D6"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0730D6" w:rsidTr="00EB4E9C">
        <w:tc>
          <w:tcPr>
            <w:tcW w:w="6512" w:type="dxa"/>
          </w:tcPr>
          <w:p w:rsidR="00EB4E9C" w:rsidRPr="000730D6" w:rsidRDefault="00B622E6" w:rsidP="00AC2883">
            <w:pPr>
              <w:pStyle w:val="Sessiontc"/>
              <w:spacing w:line="240" w:lineRule="auto"/>
            </w:pPr>
            <w:r w:rsidRPr="000730D6">
              <w:t>Administrative and Legal</w:t>
            </w:r>
            <w:r w:rsidR="00EB4E9C" w:rsidRPr="000730D6">
              <w:t xml:space="preserve"> Committee</w:t>
            </w:r>
          </w:p>
          <w:p w:rsidR="00EB4E9C" w:rsidRPr="000730D6" w:rsidRDefault="00B622E6" w:rsidP="00110BED">
            <w:pPr>
              <w:pStyle w:val="Sessiontcplacedate"/>
              <w:rPr>
                <w:sz w:val="22"/>
              </w:rPr>
            </w:pPr>
            <w:r w:rsidRPr="000730D6">
              <w:t>Seventy-</w:t>
            </w:r>
            <w:r w:rsidR="00110BED" w:rsidRPr="000730D6">
              <w:t>Fifth</w:t>
            </w:r>
            <w:r w:rsidR="00EB4E9C" w:rsidRPr="000730D6">
              <w:t xml:space="preserve"> Session</w:t>
            </w:r>
            <w:r w:rsidR="00EB4E9C" w:rsidRPr="000730D6">
              <w:br/>
              <w:t xml:space="preserve">Geneva, </w:t>
            </w:r>
            <w:r w:rsidRPr="000730D6">
              <w:t>October 3</w:t>
            </w:r>
            <w:r w:rsidR="00110BED" w:rsidRPr="000730D6">
              <w:t>1, 2018</w:t>
            </w:r>
          </w:p>
        </w:tc>
        <w:tc>
          <w:tcPr>
            <w:tcW w:w="3127" w:type="dxa"/>
          </w:tcPr>
          <w:p w:rsidR="00EB4E9C" w:rsidRPr="000730D6" w:rsidRDefault="00AC6F2C" w:rsidP="003C7FBE">
            <w:pPr>
              <w:pStyle w:val="Doccode"/>
            </w:pPr>
            <w:r w:rsidRPr="000730D6">
              <w:t>CAJ/75/13</w:t>
            </w:r>
          </w:p>
          <w:p w:rsidR="00EB4E9C" w:rsidRPr="000730D6" w:rsidRDefault="00EB4E9C" w:rsidP="003C7FBE">
            <w:pPr>
              <w:pStyle w:val="Docoriginal"/>
            </w:pPr>
            <w:r w:rsidRPr="000730D6">
              <w:t>Original:</w:t>
            </w:r>
            <w:r w:rsidRPr="000730D6">
              <w:rPr>
                <w:b w:val="0"/>
                <w:spacing w:val="0"/>
              </w:rPr>
              <w:t xml:space="preserve">  English</w:t>
            </w:r>
          </w:p>
          <w:p w:rsidR="00EB4E9C" w:rsidRPr="000730D6" w:rsidRDefault="00EB4E9C" w:rsidP="00AC6F2C">
            <w:pPr>
              <w:pStyle w:val="Docoriginal"/>
            </w:pPr>
            <w:r w:rsidRPr="000730D6">
              <w:t>Date:</w:t>
            </w:r>
            <w:r w:rsidRPr="000730D6">
              <w:rPr>
                <w:b w:val="0"/>
                <w:spacing w:val="0"/>
              </w:rPr>
              <w:t xml:space="preserve">  </w:t>
            </w:r>
            <w:r w:rsidR="008D3CB4" w:rsidRPr="000730D6">
              <w:rPr>
                <w:b w:val="0"/>
                <w:spacing w:val="0"/>
              </w:rPr>
              <w:t>October</w:t>
            </w:r>
            <w:r w:rsidR="00805EBD" w:rsidRPr="000730D6">
              <w:rPr>
                <w:b w:val="0"/>
                <w:spacing w:val="0"/>
              </w:rPr>
              <w:t xml:space="preserve"> </w:t>
            </w:r>
            <w:r w:rsidR="00AC6F2C" w:rsidRPr="000730D6">
              <w:rPr>
                <w:b w:val="0"/>
                <w:spacing w:val="0"/>
              </w:rPr>
              <w:t>30</w:t>
            </w:r>
            <w:r w:rsidRPr="000730D6">
              <w:rPr>
                <w:b w:val="0"/>
                <w:spacing w:val="0"/>
              </w:rPr>
              <w:t>, 201</w:t>
            </w:r>
            <w:r w:rsidR="00110BED" w:rsidRPr="000730D6">
              <w:rPr>
                <w:b w:val="0"/>
                <w:spacing w:val="0"/>
              </w:rPr>
              <w:t>8</w:t>
            </w:r>
          </w:p>
        </w:tc>
      </w:tr>
    </w:tbl>
    <w:p w:rsidR="00805EBD" w:rsidRPr="000730D6" w:rsidRDefault="00AC6F2C" w:rsidP="00805EBD">
      <w:pPr>
        <w:pStyle w:val="Titleofdoc0"/>
      </w:pPr>
      <w:bookmarkStart w:id="0" w:name="TitleOfDoc"/>
      <w:bookmarkEnd w:id="0"/>
      <w:r w:rsidRPr="000730D6">
        <w:t>REPORT ON DEVELOPMENTS IN THE TECHNICAL COMMITTEE</w:t>
      </w:r>
    </w:p>
    <w:p w:rsidR="00805EBD" w:rsidRPr="000730D6" w:rsidRDefault="00805EBD" w:rsidP="00841212">
      <w:pPr>
        <w:pStyle w:val="preparedby1"/>
        <w:jc w:val="left"/>
      </w:pPr>
      <w:bookmarkStart w:id="1" w:name="Prepared"/>
      <w:bookmarkEnd w:id="1"/>
      <w:r w:rsidRPr="000730D6">
        <w:t>Document prepared by the Office of the Union</w:t>
      </w:r>
    </w:p>
    <w:p w:rsidR="00805EBD" w:rsidRPr="000730D6" w:rsidRDefault="00805EBD" w:rsidP="00841212">
      <w:pPr>
        <w:pStyle w:val="Disclaimer"/>
      </w:pPr>
      <w:r w:rsidRPr="000730D6">
        <w:t>Disclaimer:  this document doe</w:t>
      </w:r>
      <w:bookmarkStart w:id="2" w:name="_GoBack"/>
      <w:bookmarkEnd w:id="2"/>
      <w:r w:rsidRPr="000730D6">
        <w:t>s not represent UPOV policies or guidance</w:t>
      </w:r>
    </w:p>
    <w:p w:rsidR="00805EBD" w:rsidRPr="000730D6" w:rsidRDefault="00AC6F2C" w:rsidP="00AC6F2C">
      <w:r w:rsidRPr="000730D6">
        <w:t>The purpose of this document is to report on developments in the Technical Committee (TC) at its fifty-fourth session, held in Geneva from October 29 to 30, 2018, of particular relevance for matters to be considered by the Administrative and Legal Committee (CAJ) at its seventy-fifth session, to be held in Geneva on</w:t>
      </w:r>
      <w:r w:rsidR="009D4584">
        <w:t xml:space="preserve"> October </w:t>
      </w:r>
      <w:r w:rsidRPr="000730D6">
        <w:t xml:space="preserve">31, 2018. </w:t>
      </w:r>
      <w:r w:rsidR="009D4584">
        <w:t xml:space="preserve"> </w:t>
      </w:r>
      <w:r w:rsidRPr="000730D6">
        <w:t>Those developments are reported in the Annex to this document.  The report of the TC is available in document TC/54/31 “Report”</w:t>
      </w:r>
      <w:r w:rsidR="009D4584">
        <w:t>.</w:t>
      </w:r>
    </w:p>
    <w:p w:rsidR="00805EBD" w:rsidRPr="000730D6" w:rsidRDefault="00805EBD" w:rsidP="00805EBD">
      <w:pPr>
        <w:rPr>
          <w:lang w:eastAsia="ja-JP"/>
        </w:rPr>
      </w:pPr>
    </w:p>
    <w:p w:rsidR="00AC6F2C" w:rsidRPr="000730D6" w:rsidRDefault="00AC6F2C" w:rsidP="00805EBD">
      <w:pPr>
        <w:rPr>
          <w:lang w:eastAsia="ja-JP"/>
        </w:rPr>
      </w:pPr>
    </w:p>
    <w:p w:rsidR="00AC6F2C" w:rsidRPr="000730D6" w:rsidRDefault="00AC6F2C" w:rsidP="00805EBD">
      <w:pPr>
        <w:rPr>
          <w:lang w:eastAsia="ja-JP"/>
        </w:rPr>
      </w:pPr>
    </w:p>
    <w:p w:rsidR="00AC6F2C" w:rsidRPr="000730D6" w:rsidRDefault="00AC6F2C" w:rsidP="00AC6F2C">
      <w:pPr>
        <w:jc w:val="right"/>
        <w:rPr>
          <w:lang w:eastAsia="ja-JP"/>
        </w:rPr>
      </w:pPr>
      <w:r w:rsidRPr="000730D6">
        <w:rPr>
          <w:lang w:eastAsia="ja-JP"/>
        </w:rPr>
        <w:t>[Annex follows]</w:t>
      </w:r>
    </w:p>
    <w:p w:rsidR="00AC6F2C" w:rsidRPr="000730D6" w:rsidRDefault="00AC6F2C" w:rsidP="00AC6F2C">
      <w:pPr>
        <w:jc w:val="right"/>
        <w:rPr>
          <w:lang w:eastAsia="ja-JP"/>
        </w:rPr>
        <w:sectPr w:rsidR="00AC6F2C" w:rsidRPr="000730D6" w:rsidSect="00AC6F2C">
          <w:headerReference w:type="default" r:id="rId9"/>
          <w:pgSz w:w="11907" w:h="16840" w:code="9"/>
          <w:pgMar w:top="510" w:right="1134" w:bottom="851" w:left="1134" w:header="510" w:footer="680" w:gutter="0"/>
          <w:cols w:space="720"/>
          <w:titlePg/>
        </w:sectPr>
      </w:pPr>
    </w:p>
    <w:p w:rsidR="00AC6F2C" w:rsidRPr="000730D6" w:rsidRDefault="00AC6F2C" w:rsidP="00AC6F2C">
      <w:pPr>
        <w:jc w:val="center"/>
        <w:rPr>
          <w:lang w:eastAsia="ja-JP"/>
        </w:rPr>
      </w:pPr>
      <w:r w:rsidRPr="000730D6">
        <w:rPr>
          <w:lang w:eastAsia="ja-JP"/>
        </w:rPr>
        <w:lastRenderedPageBreak/>
        <w:t>CAJ/75/13</w:t>
      </w:r>
    </w:p>
    <w:p w:rsidR="00AC6F2C" w:rsidRPr="000730D6" w:rsidRDefault="00AC6F2C" w:rsidP="00AC6F2C">
      <w:pPr>
        <w:jc w:val="center"/>
        <w:rPr>
          <w:lang w:eastAsia="ja-JP"/>
        </w:rPr>
      </w:pPr>
    </w:p>
    <w:p w:rsidR="00AC6F2C" w:rsidRPr="000730D6" w:rsidRDefault="00AC6F2C" w:rsidP="00AC6F2C">
      <w:pPr>
        <w:jc w:val="center"/>
        <w:rPr>
          <w:lang w:eastAsia="ja-JP"/>
        </w:rPr>
      </w:pPr>
      <w:r w:rsidRPr="000730D6">
        <w:rPr>
          <w:lang w:eastAsia="ja-JP"/>
        </w:rPr>
        <w:t>ANNEX</w:t>
      </w:r>
    </w:p>
    <w:p w:rsidR="00AC6F2C" w:rsidRPr="000730D6" w:rsidRDefault="00AC6F2C" w:rsidP="00AC6F2C">
      <w:pPr>
        <w:jc w:val="center"/>
        <w:rPr>
          <w:lang w:eastAsia="ja-JP"/>
        </w:rPr>
      </w:pPr>
    </w:p>
    <w:p w:rsidR="00AC6F2C" w:rsidRPr="000730D6" w:rsidRDefault="00AC6F2C" w:rsidP="00AC6F2C">
      <w:pPr>
        <w:jc w:val="center"/>
      </w:pPr>
      <w:r w:rsidRPr="000730D6">
        <w:t>CONCLUSIONS OF THE TECHNICAL COMMITTEE IN RELATION TO MATTERS</w:t>
      </w:r>
      <w:r w:rsidRPr="000730D6">
        <w:br/>
        <w:t>TO BE CONSIDERED BY THE ADMINISTRATIVE AND LEGAL COMMITTEE</w:t>
      </w:r>
    </w:p>
    <w:p w:rsidR="00AC6F2C" w:rsidRPr="000730D6" w:rsidRDefault="00AC6F2C" w:rsidP="00AC6F2C">
      <w:pPr>
        <w:jc w:val="center"/>
      </w:pPr>
    </w:p>
    <w:p w:rsidR="00AC6F2C" w:rsidRPr="000730D6" w:rsidRDefault="00AC6F2C" w:rsidP="00AC6F2C">
      <w:pPr>
        <w:jc w:val="center"/>
      </w:pPr>
    </w:p>
    <w:p w:rsidR="00AC6F2C" w:rsidRPr="001E2269" w:rsidRDefault="006524D9" w:rsidP="001E2269">
      <w:pPr>
        <w:pStyle w:val="Heading1"/>
      </w:pPr>
      <w:r w:rsidRPr="001E2269">
        <w:t xml:space="preserve">Agenda </w:t>
      </w:r>
      <w:r w:rsidR="00AC6F2C" w:rsidRPr="001E2269">
        <w:t xml:space="preserve">item 4:  </w:t>
      </w:r>
      <w:r w:rsidRPr="001E2269">
        <w:t xml:space="preserve">TGP documents </w:t>
      </w:r>
    </w:p>
    <w:p w:rsidR="006524D9" w:rsidRPr="009D4584" w:rsidRDefault="006524D9" w:rsidP="006524D9">
      <w:pPr>
        <w:rPr>
          <w:lang w:val="fr-FR" w:eastAsia="ja-JP"/>
        </w:rPr>
      </w:pPr>
    </w:p>
    <w:p w:rsidR="006524D9" w:rsidRPr="00F313AA" w:rsidRDefault="006524D9" w:rsidP="001E2269">
      <w:pPr>
        <w:pStyle w:val="Heading2"/>
        <w:rPr>
          <w:lang w:val="fr-FR"/>
        </w:rPr>
      </w:pPr>
      <w:r w:rsidRPr="00F313AA">
        <w:rPr>
          <w:lang w:val="fr-FR"/>
        </w:rPr>
        <w:t>TGP documents (document CAJ/75/2)</w:t>
      </w:r>
    </w:p>
    <w:p w:rsidR="00622FE9" w:rsidRPr="009D4584" w:rsidRDefault="00622FE9" w:rsidP="00622FE9">
      <w:pPr>
        <w:rPr>
          <w:lang w:val="fr-FR"/>
        </w:rPr>
      </w:pPr>
    </w:p>
    <w:p w:rsidR="001E2269" w:rsidRPr="001E2269" w:rsidRDefault="001E2269" w:rsidP="001E2269">
      <w:pPr>
        <w:pStyle w:val="Heading3"/>
        <w:rPr>
          <w:lang w:val="en-US"/>
        </w:rPr>
      </w:pPr>
      <w:bookmarkStart w:id="3" w:name="_Toc519608622"/>
      <w:r w:rsidRPr="001E2269">
        <w:rPr>
          <w:lang w:val="en-US"/>
        </w:rPr>
        <w:t>TGP/7:  Development of Test Guidelines</w:t>
      </w:r>
      <w:bookmarkEnd w:id="3"/>
    </w:p>
    <w:p w:rsidR="00622FE9" w:rsidRPr="001E2269" w:rsidRDefault="00622FE9" w:rsidP="001E2269">
      <w:pPr>
        <w:pStyle w:val="Heading3"/>
        <w:rPr>
          <w:lang w:val="en-US"/>
        </w:rPr>
      </w:pPr>
    </w:p>
    <w:p w:rsidR="00622FE9" w:rsidRPr="000730D6" w:rsidRDefault="00622FE9" w:rsidP="00622FE9">
      <w:r w:rsidRPr="000730D6">
        <w:fldChar w:fldCharType="begin"/>
      </w:r>
      <w:r w:rsidRPr="000730D6">
        <w:instrText xml:space="preserve"> AUTONUM  </w:instrText>
      </w:r>
      <w:r w:rsidRPr="000730D6">
        <w:fldChar w:fldCharType="end"/>
      </w:r>
      <w:r w:rsidRPr="000730D6">
        <w:tab/>
        <w:t>The TC noted that the proposed revisions to document TGP/7 on “Drafter’s kit for Test Guidelines” and “Presentation of different types of example varieties”, agreed by the TC at its fifty-third session, would be proposed for adoption by the Council at its fifty</w:t>
      </w:r>
      <w:r w:rsidRPr="000730D6">
        <w:noBreakHyphen/>
        <w:t>second ordinary session, to be held in Geneva on November 2, 2018, subject to approval by the CAJ, at its seventy</w:t>
      </w:r>
      <w:r w:rsidRPr="000730D6">
        <w:noBreakHyphen/>
        <w:t xml:space="preserve">fifth session, to be held in Geneva on October 31, 2018, on the basis of document TGP/7/6 </w:t>
      </w:r>
      <w:r w:rsidR="001E2269" w:rsidRPr="000730D6">
        <w:t xml:space="preserve">Draft </w:t>
      </w:r>
      <w:r w:rsidR="00B345AA">
        <w:t>2</w:t>
      </w:r>
      <w:r w:rsidRPr="000730D6">
        <w:t>.</w:t>
      </w:r>
    </w:p>
    <w:p w:rsidR="00622FE9" w:rsidRPr="000730D6" w:rsidRDefault="00622FE9" w:rsidP="001E2269">
      <w:pPr>
        <w:spacing w:line="360" w:lineRule="auto"/>
      </w:pPr>
    </w:p>
    <w:p w:rsidR="00622FE9" w:rsidRPr="001E2269" w:rsidRDefault="001E2269" w:rsidP="001E2269">
      <w:pPr>
        <w:pStyle w:val="Heading3"/>
        <w:rPr>
          <w:lang w:val="en-US"/>
        </w:rPr>
      </w:pPr>
      <w:bookmarkStart w:id="4" w:name="_Toc525919377"/>
      <w:r w:rsidRPr="001E2269">
        <w:rPr>
          <w:lang w:val="en-US"/>
        </w:rPr>
        <w:t xml:space="preserve">TGP/5 </w:t>
      </w:r>
      <w:r w:rsidR="00622FE9" w:rsidRPr="001E2269">
        <w:rPr>
          <w:lang w:val="en-US"/>
        </w:rPr>
        <w:t>Section 1:</w:t>
      </w:r>
      <w:r w:rsidRPr="001E2269">
        <w:rPr>
          <w:lang w:val="en-US"/>
        </w:rPr>
        <w:t xml:space="preserve">  </w:t>
      </w:r>
      <w:r w:rsidR="00622FE9" w:rsidRPr="001E2269">
        <w:rPr>
          <w:lang w:val="en-US"/>
        </w:rPr>
        <w:t>“Model administrative agreement for international cooperation in the testing of varieties”</w:t>
      </w:r>
      <w:bookmarkEnd w:id="4"/>
    </w:p>
    <w:p w:rsidR="00622FE9" w:rsidRPr="000730D6" w:rsidRDefault="00622FE9" w:rsidP="00622FE9"/>
    <w:p w:rsidR="00622FE9" w:rsidRPr="000730D6" w:rsidRDefault="00622FE9" w:rsidP="00622FE9">
      <w:r w:rsidRPr="000730D6">
        <w:fldChar w:fldCharType="begin"/>
      </w:r>
      <w:r w:rsidRPr="000730D6">
        <w:instrText xml:space="preserve"> AUTONUM  </w:instrText>
      </w:r>
      <w:r w:rsidRPr="000730D6">
        <w:fldChar w:fldCharType="end"/>
      </w:r>
      <w:r w:rsidRPr="000730D6">
        <w:tab/>
        <w:t xml:space="preserve">The TC considered the proposed guidance on confidentiality of molecular information as set out in document TGP/5, Section 1/3 </w:t>
      </w:r>
      <w:r w:rsidR="001E2269">
        <w:t>Draft</w:t>
      </w:r>
      <w:r w:rsidRPr="000730D6">
        <w:t xml:space="preserve"> </w:t>
      </w:r>
      <w:r w:rsidR="00B345AA">
        <w:t>2</w:t>
      </w:r>
      <w:r w:rsidRPr="000730D6">
        <w:t xml:space="preserve">: </w:t>
      </w:r>
      <w:r w:rsidR="00B345AA">
        <w:t xml:space="preserve"> </w:t>
      </w:r>
      <w:r w:rsidRPr="000730D6">
        <w:t>“Model administrative agreement for international cooperation in the testing of varieties”.  The TC agreed with the TWPs that document TGP/5, Section 1, Articles 4 and 6 should be revised to read as follows:</w:t>
      </w:r>
    </w:p>
    <w:p w:rsidR="00622FE9" w:rsidRPr="000730D6" w:rsidRDefault="00622FE9" w:rsidP="00622FE9"/>
    <w:p w:rsidR="00622FE9" w:rsidRPr="000730D6" w:rsidRDefault="00622FE9" w:rsidP="00622FE9">
      <w:pPr>
        <w:keepNext/>
        <w:ind w:left="567" w:right="567"/>
        <w:rPr>
          <w:sz w:val="18"/>
        </w:rPr>
      </w:pPr>
      <w:r w:rsidRPr="000730D6">
        <w:rPr>
          <w:sz w:val="18"/>
          <w:u w:val="single"/>
        </w:rPr>
        <w:t>“Article 4</w:t>
      </w:r>
    </w:p>
    <w:p w:rsidR="00622FE9" w:rsidRPr="000730D6" w:rsidRDefault="00622FE9" w:rsidP="00622FE9">
      <w:pPr>
        <w:keepNext/>
        <w:ind w:left="567" w:right="567"/>
        <w:rPr>
          <w:sz w:val="18"/>
        </w:rPr>
      </w:pPr>
    </w:p>
    <w:p w:rsidR="00622FE9" w:rsidRPr="000730D6" w:rsidRDefault="00622FE9" w:rsidP="00622FE9">
      <w:pPr>
        <w:keepNext/>
        <w:ind w:left="567" w:right="567"/>
        <w:rPr>
          <w:sz w:val="18"/>
        </w:rPr>
      </w:pPr>
      <w:r w:rsidRPr="000730D6">
        <w:rPr>
          <w:sz w:val="18"/>
        </w:rPr>
        <w:t>“(1)</w:t>
      </w:r>
      <w:r w:rsidRPr="000730D6">
        <w:rPr>
          <w:sz w:val="18"/>
        </w:rPr>
        <w:tab/>
        <w:t>The Authorities shall take all necessary steps to safeguard the rights of the applicant.</w:t>
      </w:r>
    </w:p>
    <w:p w:rsidR="00622FE9" w:rsidRPr="000730D6" w:rsidRDefault="00622FE9" w:rsidP="00622FE9">
      <w:pPr>
        <w:keepNext/>
        <w:ind w:left="567" w:right="567"/>
        <w:rPr>
          <w:sz w:val="18"/>
        </w:rPr>
      </w:pPr>
    </w:p>
    <w:p w:rsidR="00622FE9" w:rsidRPr="000730D6" w:rsidRDefault="00622FE9" w:rsidP="00622FE9">
      <w:pPr>
        <w:keepNext/>
        <w:ind w:left="567" w:right="567"/>
        <w:rPr>
          <w:sz w:val="18"/>
        </w:rPr>
      </w:pPr>
      <w:r w:rsidRPr="000730D6">
        <w:rPr>
          <w:sz w:val="18"/>
        </w:rPr>
        <w:t>“(2)</w:t>
      </w:r>
      <w:r w:rsidRPr="000730D6">
        <w:rPr>
          <w:sz w:val="18"/>
        </w:rPr>
        <w:tab/>
        <w:t>Except with the specific authorization of the Receiving Authority and the applicant, the Executing Authority shall refrain from passing on to a third person any material</w:t>
      </w:r>
      <w:r w:rsidRPr="000730D6">
        <w:rPr>
          <w:sz w:val="18"/>
          <w:highlight w:val="lightGray"/>
          <w:u w:val="single"/>
        </w:rPr>
        <w:t>, including DNA, or molecular information</w:t>
      </w:r>
      <w:r w:rsidRPr="000730D6">
        <w:rPr>
          <w:sz w:val="18"/>
          <w:u w:val="single"/>
        </w:rPr>
        <w:t>,</w:t>
      </w:r>
      <w:r w:rsidRPr="000730D6">
        <w:rPr>
          <w:sz w:val="18"/>
        </w:rPr>
        <w:t xml:space="preserve"> of the varieties for which testing has been requested.”</w:t>
      </w:r>
    </w:p>
    <w:p w:rsidR="00622FE9" w:rsidRPr="000730D6" w:rsidRDefault="00622FE9" w:rsidP="00622FE9">
      <w:pPr>
        <w:ind w:left="567" w:right="567"/>
        <w:rPr>
          <w:sz w:val="18"/>
        </w:rPr>
      </w:pPr>
    </w:p>
    <w:p w:rsidR="00622FE9" w:rsidRPr="000730D6" w:rsidRDefault="00622FE9" w:rsidP="00622FE9">
      <w:pPr>
        <w:ind w:left="567" w:right="567"/>
        <w:rPr>
          <w:sz w:val="18"/>
        </w:rPr>
      </w:pPr>
      <w:r w:rsidRPr="000730D6">
        <w:rPr>
          <w:sz w:val="18"/>
        </w:rPr>
        <w:t xml:space="preserve">[…] </w:t>
      </w:r>
    </w:p>
    <w:p w:rsidR="00622FE9" w:rsidRPr="000730D6" w:rsidRDefault="00622FE9" w:rsidP="00622FE9">
      <w:pPr>
        <w:ind w:left="567" w:right="567"/>
        <w:rPr>
          <w:sz w:val="18"/>
        </w:rPr>
      </w:pPr>
    </w:p>
    <w:p w:rsidR="00622FE9" w:rsidRPr="000730D6" w:rsidRDefault="00622FE9" w:rsidP="00622FE9">
      <w:pPr>
        <w:keepNext/>
        <w:keepLines/>
        <w:ind w:left="567" w:right="567"/>
        <w:rPr>
          <w:sz w:val="18"/>
        </w:rPr>
      </w:pPr>
      <w:r w:rsidRPr="000730D6">
        <w:rPr>
          <w:sz w:val="18"/>
          <w:u w:val="single"/>
        </w:rPr>
        <w:t>“Article 6</w:t>
      </w:r>
    </w:p>
    <w:p w:rsidR="00622FE9" w:rsidRPr="000730D6" w:rsidRDefault="00622FE9" w:rsidP="00622FE9">
      <w:pPr>
        <w:keepNext/>
        <w:keepLines/>
        <w:ind w:left="567" w:right="567"/>
        <w:rPr>
          <w:sz w:val="18"/>
        </w:rPr>
      </w:pPr>
    </w:p>
    <w:p w:rsidR="00622FE9" w:rsidRPr="000730D6" w:rsidRDefault="00622FE9" w:rsidP="00622FE9">
      <w:pPr>
        <w:keepNext/>
        <w:keepLines/>
        <w:ind w:left="567" w:right="567"/>
        <w:rPr>
          <w:sz w:val="18"/>
        </w:rPr>
      </w:pPr>
      <w:r w:rsidRPr="000730D6">
        <w:rPr>
          <w:sz w:val="18"/>
        </w:rPr>
        <w:tab/>
        <w:t xml:space="preserve">“Practical details arising out of this Agreement –regarding in particular the provisions relating to the considerations, application forms, technical questionnaires and requirements as to propagating material, testing methods, exchange of reference samples, </w:t>
      </w:r>
      <w:r w:rsidRPr="000730D6">
        <w:rPr>
          <w:sz w:val="18"/>
          <w:highlight w:val="lightGray"/>
          <w:u w:val="single"/>
        </w:rPr>
        <w:t>exchange of molecular information,</w:t>
      </w:r>
      <w:r w:rsidRPr="000730D6">
        <w:rPr>
          <w:sz w:val="18"/>
        </w:rPr>
        <w:t xml:space="preserve"> maintenance of reference collections and the presentation of the results– shall be specified in this Agreement or settled between the Authorities by correspondence.”</w:t>
      </w:r>
    </w:p>
    <w:p w:rsidR="00622FE9" w:rsidRPr="000730D6" w:rsidRDefault="00622FE9" w:rsidP="00622FE9"/>
    <w:p w:rsidR="00622FE9" w:rsidRPr="000730D6" w:rsidRDefault="00622FE9" w:rsidP="00622FE9">
      <w:r w:rsidRPr="000730D6">
        <w:fldChar w:fldCharType="begin"/>
      </w:r>
      <w:r w:rsidRPr="000730D6">
        <w:instrText xml:space="preserve"> AUTONUM  </w:instrText>
      </w:r>
      <w:r w:rsidRPr="000730D6">
        <w:fldChar w:fldCharType="end"/>
      </w:r>
      <w:r w:rsidRPr="000730D6">
        <w:tab/>
        <w:t>The TC noted that, subject to the agreement by the CAJ, at its session to be held on October 31, 2018, the proposed guidance on confidentiality of molecular information would be put forward for adoption by the Council, at its session in 2018.</w:t>
      </w:r>
    </w:p>
    <w:p w:rsidR="00B30D7E" w:rsidRDefault="00B30D7E" w:rsidP="00F313AA">
      <w:pPr>
        <w:spacing w:line="360" w:lineRule="auto"/>
      </w:pPr>
    </w:p>
    <w:p w:rsidR="00F313AA" w:rsidRPr="0069219D" w:rsidRDefault="00F313AA" w:rsidP="00F313AA">
      <w:pPr>
        <w:pStyle w:val="Heading3"/>
        <w:rPr>
          <w:lang w:val="en-US"/>
        </w:rPr>
      </w:pPr>
      <w:bookmarkStart w:id="5" w:name="_Toc519608644"/>
      <w:r w:rsidRPr="0069219D">
        <w:rPr>
          <w:lang w:val="en-US"/>
        </w:rPr>
        <w:t>Program for the development of TGP documents</w:t>
      </w:r>
      <w:bookmarkEnd w:id="5"/>
    </w:p>
    <w:p w:rsidR="00F313AA" w:rsidRPr="00916BB5" w:rsidRDefault="00F313AA" w:rsidP="00F313AA"/>
    <w:p w:rsidR="00F313AA" w:rsidRPr="00916BB5" w:rsidRDefault="00F313AA" w:rsidP="00F313AA">
      <w:r w:rsidRPr="00916BB5">
        <w:fldChar w:fldCharType="begin"/>
      </w:r>
      <w:r w:rsidRPr="00916BB5">
        <w:instrText xml:space="preserve"> AUTONUM  </w:instrText>
      </w:r>
      <w:r w:rsidRPr="00916BB5">
        <w:fldChar w:fldCharType="end"/>
      </w:r>
      <w:r w:rsidRPr="00916BB5">
        <w:tab/>
        <w:t xml:space="preserve">The TC agreed the program for the development of TGP documents, as set out in </w:t>
      </w:r>
      <w:r>
        <w:t>the Appendix to this document</w:t>
      </w:r>
      <w:r w:rsidRPr="00916BB5">
        <w:t>.</w:t>
      </w:r>
    </w:p>
    <w:p w:rsidR="00F313AA" w:rsidRPr="00916BB5" w:rsidRDefault="00F313AA" w:rsidP="00F313AA"/>
    <w:p w:rsidR="00CD464F" w:rsidRDefault="00CD464F" w:rsidP="00622FE9"/>
    <w:p w:rsidR="00400F0A" w:rsidRDefault="00400F0A" w:rsidP="00622FE9"/>
    <w:p w:rsidR="009D4584" w:rsidRPr="00CD464F" w:rsidRDefault="009D4584" w:rsidP="001E2269">
      <w:pPr>
        <w:pStyle w:val="Heading1"/>
        <w:rPr>
          <w:lang w:val="en-US"/>
        </w:rPr>
      </w:pPr>
      <w:r w:rsidRPr="00CD464F">
        <w:rPr>
          <w:lang w:val="en-US"/>
        </w:rPr>
        <w:lastRenderedPageBreak/>
        <w:t>AGENDA ITEM 8:  Joint presentation by CIOPORA and AIPH on minimum distance</w:t>
      </w:r>
    </w:p>
    <w:p w:rsidR="009D4584" w:rsidRPr="000730D6" w:rsidRDefault="009D4584" w:rsidP="00CD464F">
      <w:pPr>
        <w:keepNext/>
        <w:rPr>
          <w:lang w:eastAsia="ja-JP"/>
        </w:rPr>
      </w:pPr>
    </w:p>
    <w:p w:rsidR="009D4584" w:rsidRPr="001E2269" w:rsidRDefault="009D4584" w:rsidP="00CD464F">
      <w:pPr>
        <w:pStyle w:val="Heading2"/>
      </w:pPr>
      <w:r w:rsidRPr="001E2269">
        <w:t>Joint presentation by CIOPORA and AIPH on minimum distance (document CAJ/75/12)</w:t>
      </w:r>
    </w:p>
    <w:p w:rsidR="009D4584" w:rsidRDefault="009D4584" w:rsidP="00CD464F">
      <w:pPr>
        <w:keepNext/>
      </w:pPr>
    </w:p>
    <w:p w:rsidR="00B345AA" w:rsidRPr="00916BB5" w:rsidRDefault="00B345AA" w:rsidP="00CD464F">
      <w:r w:rsidRPr="00916BB5">
        <w:fldChar w:fldCharType="begin"/>
      </w:r>
      <w:r w:rsidRPr="00916BB5">
        <w:instrText xml:space="preserve"> AUTONUM  \* Arabic </w:instrText>
      </w:r>
      <w:r w:rsidRPr="00916BB5">
        <w:fldChar w:fldCharType="end"/>
      </w:r>
      <w:r w:rsidRPr="00916BB5">
        <w:tab/>
        <w:t>The TC considered the agenda for its fifty-fourth session a</w:t>
      </w:r>
      <w:r>
        <w:t>s presented in document TC/54/1 </w:t>
      </w:r>
      <w:r w:rsidRPr="00916BB5">
        <w:t xml:space="preserve">Rev.  </w:t>
      </w:r>
      <w:r>
        <w:t>The </w:t>
      </w:r>
      <w:r w:rsidRPr="00916BB5">
        <w:t>TC agreed to postpone until its next session, to be held in 2019, the discussions session scheduled under item 15</w:t>
      </w:r>
      <w:r>
        <w:t xml:space="preserve"> </w:t>
      </w:r>
      <w:r w:rsidR="00CD464F">
        <w:t>[</w:t>
      </w:r>
      <w:r>
        <w:t>Discussion on min</w:t>
      </w:r>
      <w:r w:rsidR="00CD464F">
        <w:t>imum distance between varieties]</w:t>
      </w:r>
      <w:r w:rsidRPr="00916BB5">
        <w:t>.  The TC adopted the agenda presented in document TC/54/1 Rev., with that amendment.</w:t>
      </w:r>
    </w:p>
    <w:p w:rsidR="00B345AA" w:rsidRPr="00916BB5" w:rsidRDefault="00B345AA" w:rsidP="00B345AA"/>
    <w:p w:rsidR="00B345AA" w:rsidRDefault="00B345AA" w:rsidP="00B345AA">
      <w:r w:rsidRPr="00916BB5">
        <w:fldChar w:fldCharType="begin"/>
      </w:r>
      <w:r w:rsidRPr="00916BB5">
        <w:instrText xml:space="preserve"> AUTONUM  </w:instrText>
      </w:r>
      <w:r w:rsidRPr="00916BB5">
        <w:fldChar w:fldCharType="end"/>
      </w:r>
      <w:r w:rsidRPr="00916BB5">
        <w:tab/>
        <w:t>The TC considered discussions on minimum distances between varieties at the TWPs, at their sessions in 2017 and 2018, as set out in paragraphs 26 to 41 of document TC/54/3</w:t>
      </w:r>
      <w:r>
        <w:t xml:space="preserve"> “Matters arising from the Technical Working Parties”.</w:t>
      </w:r>
    </w:p>
    <w:p w:rsidR="00B345AA" w:rsidRPr="00916BB5" w:rsidRDefault="00B345AA" w:rsidP="00B345AA"/>
    <w:p w:rsidR="00B345AA" w:rsidRPr="00916BB5" w:rsidRDefault="00B345AA" w:rsidP="00400F0A">
      <w:pPr>
        <w:spacing w:after="720"/>
      </w:pPr>
      <w:r w:rsidRPr="00916BB5">
        <w:fldChar w:fldCharType="begin"/>
      </w:r>
      <w:r w:rsidRPr="00916BB5">
        <w:instrText xml:space="preserve"> AUTONUM  </w:instrText>
      </w:r>
      <w:r w:rsidRPr="00916BB5">
        <w:fldChar w:fldCharType="end"/>
      </w:r>
      <w:r w:rsidRPr="00916BB5">
        <w:tab/>
      </w:r>
      <w:r w:rsidRPr="00B345AA">
        <w:t>The TC noted that a follow-up</w:t>
      </w:r>
      <w:r w:rsidRPr="00916BB5">
        <w:t xml:space="preserve"> project based on field trials was being considered with the participation of breeders of protected varieties and agreed to include an agenda item for its fifty-fifth session for a report on developments. </w:t>
      </w:r>
    </w:p>
    <w:p w:rsidR="00E64891" w:rsidRPr="00F313AA" w:rsidRDefault="00E64891" w:rsidP="001E2269">
      <w:pPr>
        <w:pStyle w:val="Heading1"/>
        <w:rPr>
          <w:lang w:val="en-US"/>
        </w:rPr>
      </w:pPr>
      <w:r w:rsidRPr="00F313AA">
        <w:rPr>
          <w:lang w:val="en-US"/>
        </w:rPr>
        <w:t xml:space="preserve">AGENDA ITEM 10:  Variety denominations </w:t>
      </w:r>
    </w:p>
    <w:p w:rsidR="00E64891" w:rsidRPr="000730D6" w:rsidRDefault="00E64891" w:rsidP="00E64891">
      <w:pPr>
        <w:rPr>
          <w:lang w:eastAsia="ja-JP"/>
        </w:rPr>
      </w:pPr>
    </w:p>
    <w:p w:rsidR="00E64891" w:rsidRPr="001E2269" w:rsidRDefault="00E64891" w:rsidP="00CD464F">
      <w:pPr>
        <w:pStyle w:val="Heading2"/>
      </w:pPr>
      <w:r w:rsidRPr="001E2269">
        <w:t>Variety denominations (documents CAJ/75/7 and CAJ/75/7 Add.)</w:t>
      </w:r>
    </w:p>
    <w:p w:rsidR="00E64891" w:rsidRPr="000730D6" w:rsidRDefault="00E64891" w:rsidP="00E64891"/>
    <w:p w:rsidR="008776BB" w:rsidRDefault="008776BB" w:rsidP="008776BB">
      <w:pPr>
        <w:ind w:left="567" w:hanging="567"/>
        <w:rPr>
          <w:rFonts w:cs="Arial"/>
        </w:rPr>
      </w:pPr>
      <w:r>
        <w:rPr>
          <w:rFonts w:cs="Arial"/>
          <w:snapToGrid w:val="0"/>
        </w:rPr>
        <w:fldChar w:fldCharType="begin"/>
      </w:r>
      <w:r>
        <w:rPr>
          <w:rFonts w:cs="Arial"/>
          <w:snapToGrid w:val="0"/>
        </w:rPr>
        <w:instrText xml:space="preserve"> AUTONUM  </w:instrText>
      </w:r>
      <w:r>
        <w:rPr>
          <w:rFonts w:cs="Arial"/>
          <w:snapToGrid w:val="0"/>
        </w:rPr>
        <w:fldChar w:fldCharType="end"/>
      </w:r>
      <w:r>
        <w:rPr>
          <w:rFonts w:cs="Arial"/>
          <w:snapToGrid w:val="0"/>
        </w:rPr>
        <w:tab/>
        <w:t xml:space="preserve">The TC considered </w:t>
      </w:r>
      <w:r>
        <w:rPr>
          <w:rFonts w:cs="Arial"/>
        </w:rPr>
        <w:t>document TC/54/12.</w:t>
      </w:r>
    </w:p>
    <w:p w:rsidR="008776BB" w:rsidRDefault="008776BB" w:rsidP="008776BB">
      <w:pPr>
        <w:ind w:left="567" w:hanging="567"/>
        <w:rPr>
          <w:rFonts w:cs="Arial"/>
        </w:rPr>
      </w:pPr>
    </w:p>
    <w:p w:rsidR="00197D9F" w:rsidRDefault="00197D9F" w:rsidP="00197D9F">
      <w:pPr>
        <w:rPr>
          <w:rFonts w:cs="Arial"/>
        </w:rPr>
      </w:pPr>
      <w:r>
        <w:rPr>
          <w:rFonts w:cs="Arial"/>
        </w:rPr>
        <w:fldChar w:fldCharType="begin"/>
      </w:r>
      <w:r>
        <w:rPr>
          <w:rFonts w:cs="Arial"/>
        </w:rPr>
        <w:instrText xml:space="preserve"> AUTONUM  </w:instrText>
      </w:r>
      <w:r>
        <w:rPr>
          <w:rFonts w:cs="Arial"/>
        </w:rPr>
        <w:fldChar w:fldCharType="end"/>
      </w:r>
      <w:r>
        <w:rPr>
          <w:rFonts w:cs="Arial"/>
        </w:rPr>
        <w:tab/>
        <w:t xml:space="preserve">The TC noted </w:t>
      </w:r>
      <w:r w:rsidRPr="00292CE5">
        <w:t>development</w:t>
      </w:r>
      <w:r>
        <w:rPr>
          <w:rFonts w:hint="eastAsia"/>
          <w:lang w:eastAsia="ja-JP"/>
        </w:rPr>
        <w:t>s concerning</w:t>
      </w:r>
      <w:r w:rsidRPr="00292CE5">
        <w:t xml:space="preserve"> </w:t>
      </w:r>
      <w:r>
        <w:rPr>
          <w:rFonts w:hint="eastAsia"/>
          <w:lang w:eastAsia="ja-JP"/>
        </w:rPr>
        <w:t>a p</w:t>
      </w:r>
      <w:r>
        <w:rPr>
          <w:lang w:eastAsia="ja-JP"/>
        </w:rPr>
        <w:t xml:space="preserve">ossible </w:t>
      </w:r>
      <w:r>
        <w:rPr>
          <w:rFonts w:hint="eastAsia"/>
          <w:lang w:eastAsia="ja-JP"/>
        </w:rPr>
        <w:t>r</w:t>
      </w:r>
      <w:r>
        <w:rPr>
          <w:lang w:eastAsia="ja-JP"/>
        </w:rPr>
        <w:t xml:space="preserve">evision </w:t>
      </w:r>
      <w:r>
        <w:rPr>
          <w:rFonts w:hint="eastAsia"/>
          <w:lang w:eastAsia="ja-JP"/>
        </w:rPr>
        <w:t>o</w:t>
      </w:r>
      <w:r>
        <w:rPr>
          <w:lang w:eastAsia="ja-JP"/>
        </w:rPr>
        <w:t xml:space="preserve">f </w:t>
      </w:r>
      <w:r>
        <w:rPr>
          <w:rFonts w:hint="eastAsia"/>
          <w:lang w:eastAsia="ja-JP"/>
        </w:rPr>
        <w:t>d</w:t>
      </w:r>
      <w:r w:rsidRPr="00EF1E08">
        <w:rPr>
          <w:lang w:eastAsia="ja-JP"/>
        </w:rPr>
        <w:t>ocument UPOV/INF/12</w:t>
      </w:r>
      <w:r>
        <w:rPr>
          <w:rFonts w:hint="eastAsia"/>
          <w:lang w:eastAsia="ja-JP"/>
        </w:rPr>
        <w:t xml:space="preserve"> </w:t>
      </w:r>
      <w:r w:rsidRPr="00132C88">
        <w:rPr>
          <w:rFonts w:cs="Arial"/>
          <w:lang w:eastAsia="ja-JP"/>
        </w:rPr>
        <w:t>“Explanatory Notes on Variety Denominati</w:t>
      </w:r>
      <w:r w:rsidRPr="002A35F3">
        <w:rPr>
          <w:rFonts w:cs="Arial"/>
          <w:lang w:eastAsia="ja-JP"/>
        </w:rPr>
        <w:t>ons under the UPOV Convention”</w:t>
      </w:r>
      <w:r w:rsidRPr="002A35F3">
        <w:t xml:space="preserve">, as set out in </w:t>
      </w:r>
      <w:r>
        <w:rPr>
          <w:rFonts w:cs="Arial"/>
        </w:rPr>
        <w:t xml:space="preserve">document TC/54/12, </w:t>
      </w:r>
      <w:r w:rsidRPr="00E30729">
        <w:t>paragraphs</w:t>
      </w:r>
      <w:r>
        <w:t> </w:t>
      </w:r>
      <w:r w:rsidRPr="00E30729">
        <w:t xml:space="preserve">6 to </w:t>
      </w:r>
      <w:r w:rsidRPr="00E30729">
        <w:rPr>
          <w:rFonts w:hint="eastAsia"/>
          <w:lang w:eastAsia="ja-JP"/>
        </w:rPr>
        <w:t>1</w:t>
      </w:r>
      <w:r>
        <w:rPr>
          <w:lang w:eastAsia="ja-JP"/>
        </w:rPr>
        <w:t>0</w:t>
      </w:r>
      <w:r>
        <w:rPr>
          <w:rFonts w:cs="Arial"/>
        </w:rPr>
        <w:t>.</w:t>
      </w:r>
    </w:p>
    <w:p w:rsidR="00197D9F" w:rsidRDefault="00197D9F" w:rsidP="00197D9F">
      <w:pPr>
        <w:ind w:left="567" w:hanging="567"/>
        <w:rPr>
          <w:rFonts w:cs="Arial"/>
        </w:rPr>
      </w:pPr>
    </w:p>
    <w:p w:rsidR="00197D9F" w:rsidRPr="007678AB" w:rsidRDefault="00197D9F" w:rsidP="00197D9F">
      <w:r w:rsidRPr="001D54D3">
        <w:rPr>
          <w:rFonts w:cs="Arial"/>
        </w:rPr>
        <w:fldChar w:fldCharType="begin"/>
      </w:r>
      <w:r w:rsidRPr="001D54D3">
        <w:rPr>
          <w:rFonts w:cs="Arial"/>
        </w:rPr>
        <w:instrText xml:space="preserve"> AUTONUM  </w:instrText>
      </w:r>
      <w:r w:rsidRPr="001D54D3">
        <w:rPr>
          <w:rFonts w:cs="Arial"/>
        </w:rPr>
        <w:fldChar w:fldCharType="end"/>
      </w:r>
      <w:r w:rsidRPr="001D54D3">
        <w:rPr>
          <w:rFonts w:cs="Arial"/>
        </w:rPr>
        <w:tab/>
        <w:t>The TC noted that t</w:t>
      </w:r>
      <w:r w:rsidRPr="001D54D3">
        <w:rPr>
          <w:rFonts w:cs="Arial"/>
          <w:lang w:eastAsia="ja-JP"/>
        </w:rPr>
        <w:t>he WG-DEN</w:t>
      </w:r>
      <w:r w:rsidRPr="001D54D3">
        <w:rPr>
          <w:lang w:eastAsia="ja-JP"/>
        </w:rPr>
        <w:t xml:space="preserve">, at its </w:t>
      </w:r>
      <w:r w:rsidRPr="001D54D3">
        <w:rPr>
          <w:rFonts w:eastAsiaTheme="minorEastAsia"/>
          <w:lang w:eastAsia="ja-JP"/>
        </w:rPr>
        <w:t>fourth</w:t>
      </w:r>
      <w:r w:rsidRPr="001D54D3">
        <w:rPr>
          <w:lang w:eastAsia="ja-JP"/>
        </w:rPr>
        <w:t xml:space="preserve"> meeting,</w:t>
      </w:r>
      <w:r w:rsidRPr="001D54D3">
        <w:t xml:space="preserve"> </w:t>
      </w:r>
      <w:r w:rsidR="0069219D">
        <w:t xml:space="preserve">had </w:t>
      </w:r>
      <w:r w:rsidRPr="001D54D3">
        <w:rPr>
          <w:lang w:eastAsia="ja-JP"/>
        </w:rPr>
        <w:t>agreed that agenda item 4 “</w:t>
      </w:r>
      <w:r w:rsidRPr="001D54D3">
        <w:rPr>
          <w:snapToGrid w:val="0"/>
        </w:rPr>
        <w:t>UPOV Denomination Similarity Search Tool</w:t>
      </w:r>
      <w:r w:rsidRPr="001D54D3">
        <w:rPr>
          <w:lang w:eastAsia="ja-JP"/>
        </w:rPr>
        <w:t>” would be considered at a later meeting on the basis of the document presented at the second meeting</w:t>
      </w:r>
      <w:r w:rsidRPr="001D54D3">
        <w:t>.</w:t>
      </w:r>
      <w:r w:rsidRPr="001D54D3">
        <w:rPr>
          <w:rFonts w:hint="eastAsia"/>
        </w:rPr>
        <w:t xml:space="preserve">  </w:t>
      </w:r>
    </w:p>
    <w:p w:rsidR="00197D9F" w:rsidRDefault="00197D9F" w:rsidP="00197D9F">
      <w:pPr>
        <w:ind w:left="567" w:hanging="567"/>
        <w:rPr>
          <w:rFonts w:cs="Arial"/>
        </w:rPr>
      </w:pPr>
    </w:p>
    <w:p w:rsidR="00197D9F" w:rsidRDefault="00197D9F" w:rsidP="00197D9F">
      <w:pPr>
        <w:rPr>
          <w:rFonts w:cs="Arial"/>
        </w:rPr>
      </w:pPr>
      <w:r w:rsidRPr="001D54D3">
        <w:rPr>
          <w:rFonts w:cs="Arial"/>
        </w:rPr>
        <w:fldChar w:fldCharType="begin"/>
      </w:r>
      <w:r w:rsidRPr="001D54D3">
        <w:rPr>
          <w:rFonts w:cs="Arial"/>
        </w:rPr>
        <w:instrText xml:space="preserve"> AUTONUM  </w:instrText>
      </w:r>
      <w:r w:rsidRPr="001D54D3">
        <w:rPr>
          <w:rFonts w:cs="Arial"/>
        </w:rPr>
        <w:fldChar w:fldCharType="end"/>
      </w:r>
      <w:r w:rsidRPr="001D54D3">
        <w:rPr>
          <w:rFonts w:cs="Arial"/>
        </w:rPr>
        <w:tab/>
        <w:t xml:space="preserve">The TC noted </w:t>
      </w:r>
      <w:r w:rsidRPr="001D54D3">
        <w:rPr>
          <w:lang w:eastAsia="ja-JP"/>
        </w:rPr>
        <w:t>that t</w:t>
      </w:r>
      <w:r w:rsidRPr="001D54D3">
        <w:rPr>
          <w:rFonts w:cs="Arial"/>
          <w:lang w:eastAsia="ja-JP"/>
        </w:rPr>
        <w:t>he WG-DEN</w:t>
      </w:r>
      <w:r w:rsidRPr="001D54D3">
        <w:rPr>
          <w:lang w:eastAsia="ja-JP"/>
        </w:rPr>
        <w:t xml:space="preserve">, at its </w:t>
      </w:r>
      <w:r w:rsidRPr="001D54D3">
        <w:rPr>
          <w:rFonts w:eastAsiaTheme="minorEastAsia"/>
          <w:lang w:eastAsia="ja-JP"/>
        </w:rPr>
        <w:t>fourth</w:t>
      </w:r>
      <w:r w:rsidRPr="001D54D3">
        <w:rPr>
          <w:lang w:eastAsia="ja-JP"/>
        </w:rPr>
        <w:t xml:space="preserve"> meeting,</w:t>
      </w:r>
      <w:r w:rsidRPr="001D54D3">
        <w:t xml:space="preserve"> </w:t>
      </w:r>
      <w:r w:rsidR="0069219D">
        <w:t xml:space="preserve">had </w:t>
      </w:r>
      <w:r w:rsidRPr="001D54D3">
        <w:rPr>
          <w:lang w:eastAsia="ja-JP"/>
        </w:rPr>
        <w:t>agreed that agenda item 5 “Expansion of the content of the PLUTO database” would be considered at a later meeting on the basis of the document presented at the second meeting</w:t>
      </w:r>
      <w:r w:rsidRPr="001D54D3">
        <w:t>.</w:t>
      </w:r>
      <w:r w:rsidRPr="001D54D3">
        <w:rPr>
          <w:rFonts w:hint="eastAsia"/>
        </w:rPr>
        <w:t xml:space="preserve">  </w:t>
      </w:r>
    </w:p>
    <w:p w:rsidR="00197D9F" w:rsidRDefault="00197D9F" w:rsidP="00197D9F">
      <w:pPr>
        <w:ind w:left="567" w:hanging="567"/>
        <w:rPr>
          <w:rFonts w:cs="Arial"/>
        </w:rPr>
      </w:pPr>
    </w:p>
    <w:p w:rsidR="00197D9F" w:rsidRDefault="00197D9F" w:rsidP="00197D9F">
      <w:r w:rsidRPr="00C37CCD">
        <w:rPr>
          <w:rFonts w:cs="Arial"/>
        </w:rPr>
        <w:fldChar w:fldCharType="begin"/>
      </w:r>
      <w:r w:rsidRPr="00C37CCD">
        <w:rPr>
          <w:rFonts w:cs="Arial"/>
        </w:rPr>
        <w:instrText xml:space="preserve"> AUTONUM  </w:instrText>
      </w:r>
      <w:r w:rsidRPr="00C37CCD">
        <w:rPr>
          <w:rFonts w:cs="Arial"/>
        </w:rPr>
        <w:fldChar w:fldCharType="end"/>
      </w:r>
      <w:r w:rsidRPr="00C37CCD">
        <w:rPr>
          <w:rFonts w:cs="Arial"/>
        </w:rPr>
        <w:tab/>
        <w:t>The TC noted that t</w:t>
      </w:r>
      <w:r w:rsidRPr="00C37CCD">
        <w:rPr>
          <w:rFonts w:cs="Arial"/>
          <w:lang w:eastAsia="ja-JP"/>
        </w:rPr>
        <w:t>he WG-DEN</w:t>
      </w:r>
      <w:r w:rsidRPr="00C37CCD">
        <w:rPr>
          <w:lang w:eastAsia="ja-JP"/>
        </w:rPr>
        <w:t xml:space="preserve">, at its </w:t>
      </w:r>
      <w:r w:rsidRPr="00C37CCD">
        <w:rPr>
          <w:rFonts w:eastAsiaTheme="minorEastAsia"/>
          <w:lang w:eastAsia="ja-JP"/>
        </w:rPr>
        <w:t>fourth</w:t>
      </w:r>
      <w:r w:rsidRPr="00C37CCD">
        <w:rPr>
          <w:lang w:eastAsia="ja-JP"/>
        </w:rPr>
        <w:t xml:space="preserve"> meeting,</w:t>
      </w:r>
      <w:r w:rsidRPr="00C37CCD">
        <w:t xml:space="preserve"> </w:t>
      </w:r>
      <w:r w:rsidR="0069219D">
        <w:t xml:space="preserve">had </w:t>
      </w:r>
      <w:r w:rsidRPr="00C37CCD">
        <w:rPr>
          <w:lang w:eastAsia="ja-JP"/>
        </w:rPr>
        <w:t>agreed that agenda item 6 “Non-acceptable terms” would be considered at a later meeting on the basis of the document presented at the second meeting</w:t>
      </w:r>
      <w:r w:rsidRPr="00C37CCD">
        <w:t>.</w:t>
      </w:r>
      <w:r w:rsidRPr="00C37CCD">
        <w:rPr>
          <w:rFonts w:hint="eastAsia"/>
        </w:rPr>
        <w:t xml:space="preserve">  </w:t>
      </w:r>
    </w:p>
    <w:p w:rsidR="00197D9F" w:rsidRDefault="00197D9F" w:rsidP="00197D9F">
      <w:pPr>
        <w:rPr>
          <w:rFonts w:cs="Arial"/>
        </w:rPr>
      </w:pPr>
    </w:p>
    <w:p w:rsidR="00197D9F" w:rsidRDefault="00197D9F" w:rsidP="00197D9F">
      <w:pPr>
        <w:ind w:left="567" w:hanging="567"/>
        <w:rPr>
          <w:rFonts w:cs="Arial"/>
        </w:rPr>
      </w:pPr>
      <w:r>
        <w:rPr>
          <w:rFonts w:cs="Arial"/>
        </w:rPr>
        <w:fldChar w:fldCharType="begin"/>
      </w:r>
      <w:r>
        <w:rPr>
          <w:rFonts w:cs="Arial"/>
        </w:rPr>
        <w:instrText xml:space="preserve"> AUTONUM  </w:instrText>
      </w:r>
      <w:r>
        <w:rPr>
          <w:rFonts w:cs="Arial"/>
        </w:rPr>
        <w:fldChar w:fldCharType="end"/>
      </w:r>
      <w:r>
        <w:rPr>
          <w:rFonts w:cs="Arial"/>
        </w:rPr>
        <w:tab/>
        <w:t xml:space="preserve">The TC noted </w:t>
      </w:r>
      <w:r>
        <w:rPr>
          <w:rFonts w:eastAsia="MS Mincho" w:cs="Arial"/>
          <w:lang w:eastAsia="ja-JP"/>
        </w:rPr>
        <w:t xml:space="preserve">that </w:t>
      </w:r>
      <w:r w:rsidRPr="00284D6E">
        <w:rPr>
          <w:rFonts w:eastAsiaTheme="minorEastAsia"/>
          <w:snapToGrid w:val="0"/>
          <w:lang w:eastAsia="ja-JP"/>
        </w:rPr>
        <w:t>the fifth meeting of the WG-DEN would be held in Geneva, on October 30, 2018</w:t>
      </w:r>
      <w:r>
        <w:rPr>
          <w:rFonts w:cs="Arial"/>
          <w:lang w:eastAsia="ja-JP"/>
        </w:rPr>
        <w:t>.</w:t>
      </w:r>
    </w:p>
    <w:p w:rsidR="00197D9F" w:rsidRDefault="00197D9F" w:rsidP="00197D9F">
      <w:pPr>
        <w:ind w:left="567" w:hanging="567"/>
        <w:rPr>
          <w:rFonts w:cs="Arial"/>
        </w:rPr>
      </w:pPr>
    </w:p>
    <w:p w:rsidR="00197D9F" w:rsidRDefault="00197D9F" w:rsidP="00197D9F">
      <w:pPr>
        <w:rPr>
          <w:rFonts w:cs="Arial"/>
        </w:rPr>
      </w:pPr>
      <w:r>
        <w:rPr>
          <w:rFonts w:cs="Arial"/>
        </w:rPr>
        <w:fldChar w:fldCharType="begin"/>
      </w:r>
      <w:r>
        <w:rPr>
          <w:rFonts w:cs="Arial"/>
        </w:rPr>
        <w:instrText xml:space="preserve"> AUTONUM  </w:instrText>
      </w:r>
      <w:r>
        <w:rPr>
          <w:rFonts w:cs="Arial"/>
        </w:rPr>
        <w:fldChar w:fldCharType="end"/>
      </w:r>
      <w:r>
        <w:rPr>
          <w:rFonts w:cs="Arial"/>
        </w:rPr>
        <w:tab/>
        <w:t xml:space="preserve">The TC noted </w:t>
      </w:r>
      <w:r>
        <w:rPr>
          <w:rFonts w:eastAsia="MS Mincho" w:hint="eastAsia"/>
          <w:snapToGrid w:val="0"/>
          <w:lang w:eastAsia="ja-JP"/>
        </w:rPr>
        <w:t>the</w:t>
      </w:r>
      <w:r>
        <w:rPr>
          <w:rFonts w:eastAsia="MS Mincho"/>
          <w:snapToGrid w:val="0"/>
          <w:lang w:eastAsia="ja-JP"/>
        </w:rPr>
        <w:t xml:space="preserve"> agenda of the</w:t>
      </w:r>
      <w:r>
        <w:rPr>
          <w:rFonts w:eastAsia="MS Mincho" w:hint="eastAsia"/>
          <w:snapToGrid w:val="0"/>
          <w:lang w:eastAsia="ja-JP"/>
        </w:rPr>
        <w:t xml:space="preserve"> </w:t>
      </w:r>
      <w:r w:rsidRPr="00284D6E">
        <w:rPr>
          <w:rFonts w:eastAsiaTheme="minorEastAsia"/>
          <w:snapToGrid w:val="0"/>
          <w:lang w:eastAsia="ja-JP"/>
        </w:rPr>
        <w:t>fifth meeting of the WG-DEN</w:t>
      </w:r>
      <w:r>
        <w:rPr>
          <w:rFonts w:eastAsia="MS Mincho" w:hint="eastAsia"/>
          <w:snapToGrid w:val="0"/>
          <w:lang w:eastAsia="ja-JP"/>
        </w:rPr>
        <w:t>, as set out i</w:t>
      </w:r>
      <w:r w:rsidRPr="00134C4D">
        <w:rPr>
          <w:rFonts w:eastAsia="MS Mincho" w:hint="eastAsia"/>
          <w:snapToGrid w:val="0"/>
          <w:lang w:eastAsia="ja-JP"/>
        </w:rPr>
        <w:t xml:space="preserve">n </w:t>
      </w:r>
      <w:r>
        <w:rPr>
          <w:rFonts w:cs="Arial"/>
        </w:rPr>
        <w:t>document TC/54/12,</w:t>
      </w:r>
      <w:r w:rsidRPr="001D54D3">
        <w:rPr>
          <w:rFonts w:eastAsia="MS Mincho" w:hint="eastAsia"/>
          <w:snapToGrid w:val="0"/>
          <w:lang w:eastAsia="ja-JP"/>
        </w:rPr>
        <w:t xml:space="preserve"> </w:t>
      </w:r>
      <w:r w:rsidRPr="00134C4D">
        <w:rPr>
          <w:rFonts w:eastAsia="MS Mincho" w:hint="eastAsia"/>
          <w:snapToGrid w:val="0"/>
          <w:lang w:eastAsia="ja-JP"/>
        </w:rPr>
        <w:t xml:space="preserve">paragraph </w:t>
      </w:r>
      <w:r>
        <w:rPr>
          <w:rFonts w:eastAsia="MS Mincho"/>
          <w:snapToGrid w:val="0"/>
          <w:lang w:eastAsia="ja-JP"/>
        </w:rPr>
        <w:t>18</w:t>
      </w:r>
      <w:r>
        <w:rPr>
          <w:rFonts w:cs="Arial"/>
        </w:rPr>
        <w:t>.</w:t>
      </w:r>
    </w:p>
    <w:p w:rsidR="00E64891" w:rsidRPr="000730D6" w:rsidRDefault="00E64891" w:rsidP="00E64891"/>
    <w:p w:rsidR="00E64891" w:rsidRPr="000730D6" w:rsidRDefault="00E64891" w:rsidP="00E64891"/>
    <w:p w:rsidR="00E64891" w:rsidRPr="000730D6" w:rsidRDefault="00E64891" w:rsidP="00E64891"/>
    <w:p w:rsidR="00E64891" w:rsidRPr="00F313AA" w:rsidRDefault="00E64891" w:rsidP="001E2269">
      <w:pPr>
        <w:pStyle w:val="Heading1"/>
        <w:rPr>
          <w:lang w:val="en-US"/>
        </w:rPr>
      </w:pPr>
      <w:r w:rsidRPr="00F313AA">
        <w:rPr>
          <w:lang w:val="en-US"/>
        </w:rPr>
        <w:t xml:space="preserve">AGENDA ITEM 11:  information and databases </w:t>
      </w:r>
    </w:p>
    <w:p w:rsidR="00E64891" w:rsidRPr="000730D6" w:rsidRDefault="00E64891" w:rsidP="00E64891">
      <w:pPr>
        <w:rPr>
          <w:lang w:eastAsia="ja-JP"/>
        </w:rPr>
      </w:pPr>
    </w:p>
    <w:p w:rsidR="00E64891" w:rsidRPr="001E2269" w:rsidRDefault="00E64891" w:rsidP="00CD464F">
      <w:pPr>
        <w:pStyle w:val="Heading2"/>
      </w:pPr>
      <w:r w:rsidRPr="001E2269">
        <w:t>Electronic application form (document CAJ/75/8)</w:t>
      </w:r>
    </w:p>
    <w:p w:rsidR="000730D6" w:rsidRDefault="000730D6" w:rsidP="000730D6"/>
    <w:p w:rsidR="00B30D7E" w:rsidRDefault="00B30D7E" w:rsidP="00B30D7E">
      <w:pPr>
        <w:rPr>
          <w:rFonts w:eastAsia="MS Mincho"/>
        </w:rPr>
      </w:pPr>
      <w:r>
        <w:rPr>
          <w:rFonts w:eastAsia="MS Mincho"/>
        </w:rPr>
        <w:fldChar w:fldCharType="begin"/>
      </w:r>
      <w:r>
        <w:rPr>
          <w:rFonts w:eastAsia="MS Mincho"/>
        </w:rPr>
        <w:instrText xml:space="preserve"> AUTONUM  </w:instrText>
      </w:r>
      <w:r>
        <w:rPr>
          <w:rFonts w:eastAsia="MS Mincho"/>
        </w:rPr>
        <w:fldChar w:fldCharType="end"/>
      </w:r>
      <w:r>
        <w:rPr>
          <w:rFonts w:eastAsia="MS Mincho"/>
        </w:rPr>
        <w:tab/>
        <w:t xml:space="preserve">The TC considered document TC/54/7 and received a presentation by the UPOV Office, a copy of which would be made available as an Addendum to document TC/54/7.  </w:t>
      </w:r>
    </w:p>
    <w:p w:rsidR="00B30D7E" w:rsidRDefault="00B30D7E" w:rsidP="00B30D7E">
      <w:pPr>
        <w:rPr>
          <w:rFonts w:eastAsia="MS Mincho"/>
        </w:rPr>
      </w:pPr>
    </w:p>
    <w:p w:rsidR="00B30D7E" w:rsidRDefault="00B30D7E" w:rsidP="00B30D7E">
      <w:pPr>
        <w:rPr>
          <w:rFonts w:eastAsia="MS Mincho"/>
        </w:rPr>
      </w:pPr>
      <w:r>
        <w:rPr>
          <w:rFonts w:eastAsia="MS Mincho"/>
        </w:rPr>
        <w:fldChar w:fldCharType="begin"/>
      </w:r>
      <w:r>
        <w:rPr>
          <w:rFonts w:eastAsia="MS Mincho"/>
        </w:rPr>
        <w:instrText xml:space="preserve"> AUTONUM  </w:instrText>
      </w:r>
      <w:r>
        <w:rPr>
          <w:rFonts w:eastAsia="MS Mincho"/>
        </w:rPr>
        <w:fldChar w:fldCharType="end"/>
      </w:r>
      <w:r>
        <w:rPr>
          <w:rFonts w:eastAsia="MS Mincho"/>
        </w:rPr>
        <w:tab/>
        <w:t>The TC noted that for UPOV members following the UPOV Test Guidelines, where there were no UPOV Test Guidelines for a particular crop/species, a generic TQ was available.  Alternatively, UPOV members could link these crop/species to a suitable UPOV TG.  It was explained that it would not be appropriate to use national TGs for such crops/species because of the high level of maintenance that would result, the translation burden and lack of harmonization.  However, it would be possible for UPOV members participating in UPOV PRISMA to agree a common TQ and thereby to retain harmonization and minimize translation work.</w:t>
      </w:r>
    </w:p>
    <w:p w:rsidR="00B30D7E" w:rsidRDefault="00B30D7E" w:rsidP="00B30D7E">
      <w:pPr>
        <w:rPr>
          <w:rFonts w:eastAsia="MS Mincho"/>
        </w:rPr>
      </w:pPr>
    </w:p>
    <w:p w:rsidR="00B30D7E" w:rsidRDefault="00B30D7E" w:rsidP="00B30D7E">
      <w:pPr>
        <w:rPr>
          <w:rFonts w:eastAsia="MS Mincho"/>
        </w:rPr>
      </w:pPr>
      <w:r>
        <w:rPr>
          <w:rFonts w:eastAsia="MS Mincho"/>
        </w:rPr>
        <w:lastRenderedPageBreak/>
        <w:fldChar w:fldCharType="begin"/>
      </w:r>
      <w:r>
        <w:rPr>
          <w:rFonts w:eastAsia="MS Mincho"/>
        </w:rPr>
        <w:instrText xml:space="preserve"> AUTONUM  </w:instrText>
      </w:r>
      <w:r>
        <w:rPr>
          <w:rFonts w:eastAsia="MS Mincho"/>
        </w:rPr>
        <w:fldChar w:fldCharType="end"/>
      </w:r>
      <w:r>
        <w:rPr>
          <w:rFonts w:eastAsia="MS Mincho"/>
        </w:rPr>
        <w:tab/>
        <w:t>The TC agreed that it would be helpful for the UPOV Office, upon request, to generate a report for participating authorities on the extent to which their forms were harmonized with other UPOV members and the UPOV model application form.  The TC noted that this was a matter that should be reported to the CAJ.</w:t>
      </w:r>
    </w:p>
    <w:p w:rsidR="00B30D7E" w:rsidRDefault="00B30D7E" w:rsidP="00B30D7E">
      <w:pPr>
        <w:rPr>
          <w:rFonts w:eastAsia="MS Mincho"/>
        </w:rPr>
      </w:pPr>
    </w:p>
    <w:p w:rsidR="00B30D7E" w:rsidRDefault="00B30D7E" w:rsidP="00B30D7E">
      <w:pPr>
        <w:rPr>
          <w:rFonts w:eastAsia="MS Mincho"/>
        </w:rPr>
      </w:pPr>
    </w:p>
    <w:p w:rsidR="000730D6" w:rsidRPr="00CD464F" w:rsidRDefault="00E64891" w:rsidP="00CD464F">
      <w:pPr>
        <w:pStyle w:val="Heading2"/>
        <w:rPr>
          <w:lang w:val="fr-FR"/>
        </w:rPr>
      </w:pPr>
      <w:r w:rsidRPr="00CD464F">
        <w:rPr>
          <w:lang w:val="fr-FR"/>
        </w:rPr>
        <w:t>UPOV information databases (document CAJ/75/9)</w:t>
      </w:r>
    </w:p>
    <w:p w:rsidR="000730D6" w:rsidRDefault="000730D6" w:rsidP="00197D9F">
      <w:pPr>
        <w:pStyle w:val="Heading3"/>
      </w:pPr>
    </w:p>
    <w:p w:rsidR="00197D9F" w:rsidRPr="00F313AA" w:rsidRDefault="00197D9F" w:rsidP="00CD464F">
      <w:pPr>
        <w:pStyle w:val="Heading3"/>
        <w:rPr>
          <w:lang w:val="en-US"/>
        </w:rPr>
      </w:pPr>
      <w:bookmarkStart w:id="6" w:name="_Toc316492046"/>
      <w:bookmarkStart w:id="7" w:name="_Toc477797641"/>
      <w:bookmarkStart w:id="8" w:name="_Toc525734053"/>
      <w:bookmarkStart w:id="9" w:name="_Toc525745344"/>
      <w:r w:rsidRPr="00F313AA">
        <w:rPr>
          <w:lang w:val="en-US"/>
        </w:rPr>
        <w:t>UPOV code developments</w:t>
      </w:r>
      <w:bookmarkEnd w:id="6"/>
      <w:bookmarkEnd w:id="7"/>
      <w:bookmarkEnd w:id="8"/>
      <w:bookmarkEnd w:id="9"/>
    </w:p>
    <w:p w:rsidR="00197D9F" w:rsidRDefault="00197D9F" w:rsidP="00CD464F">
      <w:pPr>
        <w:keepNext/>
      </w:pPr>
    </w:p>
    <w:p w:rsidR="00197D9F" w:rsidRDefault="00197D9F" w:rsidP="00CD464F">
      <w:pPr>
        <w:spacing w:after="240"/>
      </w:pPr>
      <w:r>
        <w:fldChar w:fldCharType="begin"/>
      </w:r>
      <w:r>
        <w:instrText xml:space="preserve"> AUTONUM  </w:instrText>
      </w:r>
      <w:r>
        <w:fldChar w:fldCharType="end"/>
      </w:r>
      <w:r>
        <w:tab/>
        <w:t>The TC noted that 440 new UPOV codes had been created in 2017 and that a total of 8,589 UPOV codes are included in the GENIE database.</w:t>
      </w:r>
    </w:p>
    <w:p w:rsidR="00197D9F" w:rsidRDefault="00197D9F" w:rsidP="00197D9F">
      <w:r>
        <w:fldChar w:fldCharType="begin"/>
      </w:r>
      <w:r>
        <w:instrText xml:space="preserve"> AUTONUM  </w:instrText>
      </w:r>
      <w:r>
        <w:fldChar w:fldCharType="end"/>
      </w:r>
      <w:r>
        <w:tab/>
        <w:t xml:space="preserve">The TC noted that the Office of the Union had introduced </w:t>
      </w:r>
      <w:r w:rsidRPr="00C75429">
        <w:t xml:space="preserve">in GENIE </w:t>
      </w:r>
      <w:r>
        <w:t xml:space="preserve">new UPOV codes for 191 forest tree species </w:t>
      </w:r>
      <w:r w:rsidRPr="00C75429">
        <w:t xml:space="preserve">requested by </w:t>
      </w:r>
      <w:r w:rsidRPr="00C75429">
        <w:rPr>
          <w:rFonts w:cs="Arial"/>
        </w:rPr>
        <w:t>the Directorate-General for Health and Food Safety</w:t>
      </w:r>
      <w:r>
        <w:rPr>
          <w:rFonts w:cs="Arial"/>
        </w:rPr>
        <w:t xml:space="preserve"> of the European Commission (DG </w:t>
      </w:r>
      <w:r w:rsidRPr="00C75429">
        <w:rPr>
          <w:rFonts w:cs="Arial"/>
        </w:rPr>
        <w:t>SANTE)</w:t>
      </w:r>
      <w:r w:rsidRPr="00C75429">
        <w:t xml:space="preserve"> , as set out in document TC/54/6, paragraph 8.</w:t>
      </w:r>
    </w:p>
    <w:p w:rsidR="00197D9F" w:rsidRDefault="00197D9F" w:rsidP="00197D9F"/>
    <w:p w:rsidR="00197D9F" w:rsidRDefault="00197D9F" w:rsidP="00197D9F">
      <w:r>
        <w:fldChar w:fldCharType="begin"/>
      </w:r>
      <w:r>
        <w:instrText xml:space="preserve"> AUTONUM  </w:instrText>
      </w:r>
      <w:r>
        <w:fldChar w:fldCharType="end"/>
      </w:r>
      <w:r>
        <w:tab/>
        <w:t>The TC noted that DG SANTE had proposed the establishment of an administrative arrangement between the Office of the Union and the European Commission to cover collaboration in scientific names of plant species present in each other’s databases and, in particular, regarding the attribution of UPOV codes to plant species in FOREMATIS, as set out in document TC/54/6, paragraph 9.</w:t>
      </w:r>
    </w:p>
    <w:p w:rsidR="00197D9F" w:rsidRDefault="00197D9F" w:rsidP="00197D9F">
      <w:pPr>
        <w:spacing w:line="360" w:lineRule="auto"/>
      </w:pPr>
    </w:p>
    <w:p w:rsidR="00197D9F" w:rsidRPr="00F313AA" w:rsidRDefault="00197D9F" w:rsidP="00CD464F">
      <w:pPr>
        <w:pStyle w:val="Heading3"/>
        <w:rPr>
          <w:lang w:val="en-US"/>
        </w:rPr>
      </w:pPr>
      <w:bookmarkStart w:id="10" w:name="_Toc525734054"/>
      <w:bookmarkStart w:id="11" w:name="_Toc525745345"/>
      <w:r w:rsidRPr="00F313AA">
        <w:rPr>
          <w:lang w:val="en-US"/>
        </w:rPr>
        <w:t>UPOV code amendments</w:t>
      </w:r>
      <w:bookmarkEnd w:id="10"/>
      <w:bookmarkEnd w:id="11"/>
    </w:p>
    <w:p w:rsidR="00197D9F" w:rsidRDefault="00197D9F" w:rsidP="00197D9F"/>
    <w:p w:rsidR="00197D9F" w:rsidRPr="00F313AA" w:rsidRDefault="00197D9F" w:rsidP="009C38B6">
      <w:pPr>
        <w:pStyle w:val="Heading4"/>
        <w:rPr>
          <w:lang w:val="en-US"/>
        </w:rPr>
      </w:pPr>
      <w:bookmarkStart w:id="12" w:name="_Toc513813512"/>
      <w:bookmarkStart w:id="13" w:name="_Toc522275164"/>
      <w:bookmarkStart w:id="14" w:name="_Toc525734057"/>
      <w:r w:rsidRPr="00F313AA">
        <w:rPr>
          <w:lang w:val="en-US"/>
        </w:rPr>
        <w:t>UPOV code “ZEAAA_MAY_SAC”, “ZEAAA_MAY_EVE” and “ZEAAA_MAY_MIC”</w:t>
      </w:r>
      <w:bookmarkEnd w:id="12"/>
      <w:bookmarkEnd w:id="13"/>
      <w:bookmarkEnd w:id="14"/>
    </w:p>
    <w:p w:rsidR="00197D9F" w:rsidRDefault="00197D9F" w:rsidP="00197D9F"/>
    <w:p w:rsidR="00197D9F" w:rsidRDefault="00197D9F" w:rsidP="00197D9F">
      <w:r w:rsidRPr="00B32350">
        <w:fldChar w:fldCharType="begin"/>
      </w:r>
      <w:r w:rsidRPr="00B32350">
        <w:instrText xml:space="preserve"> AUTONUM  </w:instrText>
      </w:r>
      <w:r w:rsidRPr="00B32350">
        <w:fldChar w:fldCharType="end"/>
      </w:r>
      <w:r w:rsidRPr="00B32350">
        <w:tab/>
        <w:t xml:space="preserve">The TC </w:t>
      </w:r>
      <w:r>
        <w:t xml:space="preserve">considered the deletion of the UPOV Codes for the subspecies sweet corn and popcorn, following their reclassification as synonyms of maize by GRIN.  </w:t>
      </w:r>
    </w:p>
    <w:p w:rsidR="00197D9F" w:rsidRDefault="00197D9F" w:rsidP="00197D9F"/>
    <w:p w:rsidR="00197D9F" w:rsidRPr="00197D9F" w:rsidRDefault="00197D9F" w:rsidP="00197D9F">
      <w:pPr>
        <w:rPr>
          <w:rFonts w:eastAsia="MS Mincho" w:cs="Arial"/>
        </w:rPr>
      </w:pPr>
      <w:r w:rsidRPr="00197D9F">
        <w:fldChar w:fldCharType="begin"/>
      </w:r>
      <w:r w:rsidRPr="00197D9F">
        <w:instrText xml:space="preserve"> AUTONUM  </w:instrText>
      </w:r>
      <w:r w:rsidRPr="00197D9F">
        <w:fldChar w:fldCharType="end"/>
      </w:r>
      <w:r w:rsidRPr="00197D9F">
        <w:tab/>
        <w:t xml:space="preserve">The TC noted the requests of the TWA, at its forty-seventh session, and the TWV, at its fifty-second session, and agreed not to delete the UPOV Codes for sweet corn and popcorn, therefore creating an exception to the “Guide to the UPOV Code System”. It agreed that this exception should be presented in an amendment to the “Guide to the UPOV Code System” </w:t>
      </w:r>
    </w:p>
    <w:p w:rsidR="00197D9F" w:rsidRPr="0071312A" w:rsidRDefault="00197D9F" w:rsidP="00197D9F"/>
    <w:p w:rsidR="00197D9F" w:rsidRPr="00F313AA" w:rsidRDefault="00197D9F" w:rsidP="009C38B6">
      <w:pPr>
        <w:pStyle w:val="Heading4"/>
        <w:rPr>
          <w:lang w:val="en-US"/>
        </w:rPr>
      </w:pPr>
      <w:bookmarkStart w:id="15" w:name="_Toc513813513"/>
      <w:bookmarkStart w:id="16" w:name="_Toc522275165"/>
      <w:bookmarkStart w:id="17" w:name="_Toc525734058"/>
      <w:r w:rsidRPr="00F313AA">
        <w:rPr>
          <w:lang w:val="en-US"/>
        </w:rPr>
        <w:t>Mucuna genus</w:t>
      </w:r>
      <w:bookmarkEnd w:id="15"/>
      <w:bookmarkEnd w:id="16"/>
      <w:bookmarkEnd w:id="17"/>
    </w:p>
    <w:p w:rsidR="00197D9F" w:rsidRDefault="00197D9F" w:rsidP="00197D9F">
      <w:pPr>
        <w:keepNext/>
      </w:pPr>
    </w:p>
    <w:p w:rsidR="00197D9F" w:rsidRPr="0071312A" w:rsidRDefault="00197D9F" w:rsidP="00197D9F">
      <w:pPr>
        <w:keepNext/>
        <w:rPr>
          <w:rFonts w:eastAsia="MS Mincho"/>
          <w:snapToGrid w:val="0"/>
        </w:rPr>
      </w:pPr>
      <w:r w:rsidRPr="0071312A">
        <w:fldChar w:fldCharType="begin"/>
      </w:r>
      <w:r w:rsidRPr="0071312A">
        <w:instrText xml:space="preserve"> AUTONUM  </w:instrText>
      </w:r>
      <w:r w:rsidRPr="0071312A">
        <w:fldChar w:fldCharType="end"/>
      </w:r>
      <w:r w:rsidRPr="0071312A">
        <w:tab/>
        <w:t xml:space="preserve">The TC agreed to amend the UPOV codes for subspecies in the </w:t>
      </w:r>
      <w:r w:rsidRPr="0071312A">
        <w:rPr>
          <w:i/>
        </w:rPr>
        <w:t>Mucuna</w:t>
      </w:r>
      <w:r w:rsidRPr="0071312A">
        <w:t xml:space="preserve"> genus, as </w:t>
      </w:r>
      <w:r w:rsidRPr="0071312A">
        <w:rPr>
          <w:rFonts w:eastAsia="MS Mincho"/>
          <w:snapToGrid w:val="0"/>
        </w:rPr>
        <w:t>follows:</w:t>
      </w:r>
    </w:p>
    <w:p w:rsidR="00197D9F" w:rsidRPr="0071312A" w:rsidRDefault="00197D9F" w:rsidP="00197D9F">
      <w:pPr>
        <w:keepNext/>
        <w:rPr>
          <w:rFonts w:eastAsia="MS Mincho"/>
          <w:snapToGrid w:val="0"/>
        </w:rPr>
      </w:pPr>
    </w:p>
    <w:tbl>
      <w:tblPr>
        <w:tblStyle w:val="TableGrid"/>
        <w:tblW w:w="0" w:type="auto"/>
        <w:tblLook w:val="04A0" w:firstRow="1" w:lastRow="0" w:firstColumn="1" w:lastColumn="0" w:noHBand="0" w:noVBand="1"/>
      </w:tblPr>
      <w:tblGrid>
        <w:gridCol w:w="1683"/>
        <w:gridCol w:w="1616"/>
        <w:gridCol w:w="1596"/>
        <w:gridCol w:w="1638"/>
        <w:gridCol w:w="1579"/>
        <w:gridCol w:w="1517"/>
      </w:tblGrid>
      <w:tr w:rsidR="00197D9F" w:rsidRPr="00906AD6" w:rsidTr="001C1DC3">
        <w:tc>
          <w:tcPr>
            <w:tcW w:w="4945" w:type="dxa"/>
            <w:gridSpan w:val="3"/>
          </w:tcPr>
          <w:p w:rsidR="00197D9F" w:rsidRPr="00906AD6" w:rsidRDefault="00197D9F" w:rsidP="001C1DC3">
            <w:pPr>
              <w:keepNext/>
              <w:jc w:val="center"/>
              <w:rPr>
                <w:rFonts w:cs="Arial"/>
                <w:sz w:val="16"/>
                <w:szCs w:val="16"/>
                <w:lang w:eastAsia="ja-JP"/>
              </w:rPr>
            </w:pPr>
            <w:r w:rsidRPr="00906AD6">
              <w:rPr>
                <w:rFonts w:cs="Arial"/>
                <w:sz w:val="16"/>
                <w:szCs w:val="16"/>
                <w:lang w:eastAsia="ja-JP"/>
              </w:rPr>
              <w:t>Current</w:t>
            </w:r>
          </w:p>
        </w:tc>
        <w:tc>
          <w:tcPr>
            <w:tcW w:w="4802" w:type="dxa"/>
            <w:gridSpan w:val="3"/>
          </w:tcPr>
          <w:p w:rsidR="00197D9F" w:rsidRPr="00906AD6" w:rsidRDefault="00197D9F" w:rsidP="001C1DC3">
            <w:pPr>
              <w:keepNext/>
              <w:jc w:val="center"/>
              <w:rPr>
                <w:rFonts w:cs="Arial"/>
                <w:sz w:val="16"/>
                <w:szCs w:val="16"/>
                <w:lang w:eastAsia="ja-JP"/>
              </w:rPr>
            </w:pPr>
            <w:r w:rsidRPr="00906AD6">
              <w:rPr>
                <w:rFonts w:cs="Arial"/>
                <w:sz w:val="16"/>
                <w:szCs w:val="16"/>
                <w:lang w:eastAsia="ja-JP"/>
              </w:rPr>
              <w:t>Proposal</w:t>
            </w:r>
          </w:p>
        </w:tc>
      </w:tr>
      <w:tr w:rsidR="00197D9F" w:rsidRPr="00906AD6" w:rsidTr="001C1DC3">
        <w:tc>
          <w:tcPr>
            <w:tcW w:w="1683" w:type="dxa"/>
          </w:tcPr>
          <w:p w:rsidR="00197D9F" w:rsidRPr="00906AD6" w:rsidRDefault="00197D9F" w:rsidP="001C1DC3">
            <w:pPr>
              <w:keepNext/>
              <w:jc w:val="center"/>
              <w:rPr>
                <w:rFonts w:cs="Arial"/>
                <w:sz w:val="16"/>
                <w:szCs w:val="16"/>
                <w:lang w:eastAsia="ja-JP"/>
              </w:rPr>
            </w:pPr>
            <w:r w:rsidRPr="00906AD6">
              <w:rPr>
                <w:rFonts w:cs="Arial"/>
                <w:snapToGrid w:val="0"/>
                <w:sz w:val="16"/>
                <w:szCs w:val="16"/>
              </w:rPr>
              <w:t>UPOV code</w:t>
            </w:r>
          </w:p>
        </w:tc>
        <w:tc>
          <w:tcPr>
            <w:tcW w:w="1636" w:type="dxa"/>
          </w:tcPr>
          <w:p w:rsidR="00197D9F" w:rsidRPr="00906AD6" w:rsidRDefault="00197D9F" w:rsidP="001C1DC3">
            <w:pPr>
              <w:keepNext/>
              <w:jc w:val="center"/>
              <w:rPr>
                <w:rFonts w:cs="Arial"/>
                <w:sz w:val="16"/>
                <w:szCs w:val="16"/>
                <w:lang w:eastAsia="ja-JP"/>
              </w:rPr>
            </w:pPr>
            <w:r w:rsidRPr="00906AD6">
              <w:rPr>
                <w:rFonts w:cs="Arial"/>
                <w:snapToGrid w:val="0"/>
                <w:sz w:val="16"/>
                <w:szCs w:val="16"/>
              </w:rPr>
              <w:t>Principal botanical name</w:t>
            </w:r>
          </w:p>
        </w:tc>
        <w:tc>
          <w:tcPr>
            <w:tcW w:w="1626" w:type="dxa"/>
          </w:tcPr>
          <w:p w:rsidR="00197D9F" w:rsidRPr="00906AD6" w:rsidRDefault="00197D9F" w:rsidP="001C1DC3">
            <w:pPr>
              <w:keepNext/>
              <w:jc w:val="center"/>
              <w:rPr>
                <w:rFonts w:cs="Arial"/>
                <w:sz w:val="16"/>
                <w:szCs w:val="16"/>
                <w:lang w:eastAsia="ja-JP"/>
              </w:rPr>
            </w:pPr>
            <w:r w:rsidRPr="00906AD6">
              <w:rPr>
                <w:rFonts w:cs="Arial"/>
                <w:snapToGrid w:val="0"/>
                <w:sz w:val="16"/>
                <w:szCs w:val="16"/>
              </w:rPr>
              <w:t>Other botanical names</w:t>
            </w:r>
          </w:p>
        </w:tc>
        <w:tc>
          <w:tcPr>
            <w:tcW w:w="1642" w:type="dxa"/>
          </w:tcPr>
          <w:p w:rsidR="00197D9F" w:rsidRPr="00906AD6" w:rsidRDefault="00197D9F" w:rsidP="001C1DC3">
            <w:pPr>
              <w:keepNext/>
              <w:jc w:val="center"/>
              <w:rPr>
                <w:rFonts w:cs="Arial"/>
                <w:sz w:val="16"/>
                <w:szCs w:val="16"/>
                <w:lang w:eastAsia="ja-JP"/>
              </w:rPr>
            </w:pPr>
            <w:r w:rsidRPr="00906AD6">
              <w:rPr>
                <w:rFonts w:cs="Arial"/>
                <w:snapToGrid w:val="0"/>
                <w:sz w:val="16"/>
                <w:szCs w:val="16"/>
              </w:rPr>
              <w:t>UPOV code</w:t>
            </w:r>
          </w:p>
        </w:tc>
        <w:tc>
          <w:tcPr>
            <w:tcW w:w="1631" w:type="dxa"/>
          </w:tcPr>
          <w:p w:rsidR="00197D9F" w:rsidRPr="00906AD6" w:rsidRDefault="00197D9F" w:rsidP="001C1DC3">
            <w:pPr>
              <w:keepNext/>
              <w:jc w:val="center"/>
              <w:rPr>
                <w:rFonts w:cs="Arial"/>
                <w:sz w:val="16"/>
                <w:szCs w:val="16"/>
                <w:lang w:eastAsia="ja-JP"/>
              </w:rPr>
            </w:pPr>
            <w:r w:rsidRPr="00906AD6">
              <w:rPr>
                <w:rFonts w:cs="Arial"/>
                <w:snapToGrid w:val="0"/>
                <w:sz w:val="16"/>
                <w:szCs w:val="16"/>
              </w:rPr>
              <w:t>Principal botanical name</w:t>
            </w:r>
          </w:p>
        </w:tc>
        <w:tc>
          <w:tcPr>
            <w:tcW w:w="1529" w:type="dxa"/>
          </w:tcPr>
          <w:p w:rsidR="00197D9F" w:rsidRPr="00906AD6" w:rsidRDefault="00197D9F" w:rsidP="001C1DC3">
            <w:pPr>
              <w:keepNext/>
              <w:jc w:val="center"/>
              <w:rPr>
                <w:rFonts w:cs="Arial"/>
                <w:sz w:val="16"/>
                <w:szCs w:val="16"/>
                <w:lang w:eastAsia="ja-JP"/>
              </w:rPr>
            </w:pPr>
            <w:r w:rsidRPr="00906AD6">
              <w:rPr>
                <w:rFonts w:cs="Arial"/>
                <w:snapToGrid w:val="0"/>
                <w:sz w:val="16"/>
                <w:szCs w:val="16"/>
              </w:rPr>
              <w:t>Other botanical names</w:t>
            </w:r>
          </w:p>
        </w:tc>
      </w:tr>
      <w:tr w:rsidR="00197D9F" w:rsidRPr="00906AD6" w:rsidTr="001C1DC3">
        <w:tc>
          <w:tcPr>
            <w:tcW w:w="1683" w:type="dxa"/>
          </w:tcPr>
          <w:p w:rsidR="00197D9F" w:rsidRPr="00906AD6" w:rsidRDefault="00197D9F" w:rsidP="001C1DC3">
            <w:pPr>
              <w:keepNext/>
              <w:jc w:val="left"/>
              <w:rPr>
                <w:snapToGrid w:val="0"/>
                <w:sz w:val="16"/>
                <w:szCs w:val="16"/>
              </w:rPr>
            </w:pPr>
            <w:r w:rsidRPr="00906AD6">
              <w:rPr>
                <w:snapToGrid w:val="0"/>
                <w:sz w:val="16"/>
                <w:szCs w:val="16"/>
              </w:rPr>
              <w:t>n.a.</w:t>
            </w:r>
          </w:p>
        </w:tc>
        <w:tc>
          <w:tcPr>
            <w:tcW w:w="1636" w:type="dxa"/>
          </w:tcPr>
          <w:p w:rsidR="00197D9F" w:rsidRPr="00906AD6" w:rsidRDefault="00197D9F" w:rsidP="001C1DC3">
            <w:pPr>
              <w:keepNext/>
              <w:jc w:val="left"/>
              <w:rPr>
                <w:bCs/>
                <w:i/>
                <w:sz w:val="16"/>
                <w:szCs w:val="16"/>
              </w:rPr>
            </w:pPr>
            <w:r w:rsidRPr="00906AD6">
              <w:rPr>
                <w:snapToGrid w:val="0"/>
                <w:sz w:val="16"/>
                <w:szCs w:val="16"/>
              </w:rPr>
              <w:t>n.a.</w:t>
            </w:r>
          </w:p>
        </w:tc>
        <w:tc>
          <w:tcPr>
            <w:tcW w:w="1626" w:type="dxa"/>
          </w:tcPr>
          <w:p w:rsidR="00197D9F" w:rsidRPr="00906AD6" w:rsidRDefault="00197D9F" w:rsidP="001C1DC3">
            <w:pPr>
              <w:keepNext/>
              <w:jc w:val="left"/>
              <w:rPr>
                <w:rFonts w:cs="Arial"/>
                <w:i/>
                <w:sz w:val="16"/>
                <w:szCs w:val="16"/>
                <w:lang w:eastAsia="ja-JP"/>
              </w:rPr>
            </w:pPr>
            <w:r w:rsidRPr="00906AD6">
              <w:rPr>
                <w:snapToGrid w:val="0"/>
                <w:sz w:val="16"/>
                <w:szCs w:val="16"/>
              </w:rPr>
              <w:t>n.a.</w:t>
            </w:r>
          </w:p>
        </w:tc>
        <w:tc>
          <w:tcPr>
            <w:tcW w:w="1642" w:type="dxa"/>
          </w:tcPr>
          <w:p w:rsidR="00197D9F" w:rsidRPr="00906AD6" w:rsidRDefault="00197D9F" w:rsidP="001C1DC3">
            <w:pPr>
              <w:keepNext/>
              <w:jc w:val="left"/>
              <w:rPr>
                <w:rFonts w:cs="Arial"/>
                <w:sz w:val="16"/>
                <w:szCs w:val="16"/>
                <w:lang w:eastAsia="ja-JP"/>
              </w:rPr>
            </w:pPr>
            <w:r w:rsidRPr="00906AD6">
              <w:rPr>
                <w:sz w:val="16"/>
                <w:szCs w:val="16"/>
              </w:rPr>
              <w:t xml:space="preserve">MUCUN_PRU_UTI </w:t>
            </w:r>
          </w:p>
        </w:tc>
        <w:tc>
          <w:tcPr>
            <w:tcW w:w="1631" w:type="dxa"/>
          </w:tcPr>
          <w:p w:rsidR="00197D9F" w:rsidRPr="00906AD6" w:rsidRDefault="00197D9F" w:rsidP="001C1DC3">
            <w:pPr>
              <w:keepNext/>
              <w:jc w:val="left"/>
              <w:rPr>
                <w:i/>
                <w:snapToGrid w:val="0"/>
                <w:sz w:val="16"/>
                <w:szCs w:val="16"/>
              </w:rPr>
            </w:pPr>
            <w:r w:rsidRPr="00906AD6">
              <w:rPr>
                <w:i/>
                <w:snapToGrid w:val="0"/>
                <w:sz w:val="16"/>
                <w:szCs w:val="16"/>
              </w:rPr>
              <w:t xml:space="preserve">Mucuna pruriens </w:t>
            </w:r>
            <w:r w:rsidRPr="00906AD6">
              <w:rPr>
                <w:snapToGrid w:val="0"/>
                <w:sz w:val="16"/>
                <w:szCs w:val="16"/>
              </w:rPr>
              <w:t>(L.) DC. var.</w:t>
            </w:r>
            <w:r w:rsidRPr="00906AD6">
              <w:rPr>
                <w:i/>
                <w:snapToGrid w:val="0"/>
                <w:sz w:val="16"/>
                <w:szCs w:val="16"/>
              </w:rPr>
              <w:t xml:space="preserve"> utilis </w:t>
            </w:r>
            <w:r w:rsidRPr="00906AD6">
              <w:rPr>
                <w:snapToGrid w:val="0"/>
                <w:sz w:val="16"/>
                <w:szCs w:val="16"/>
              </w:rPr>
              <w:t>(Wall. ex Wight) Baker ex Burck</w:t>
            </w:r>
          </w:p>
        </w:tc>
        <w:tc>
          <w:tcPr>
            <w:tcW w:w="1529" w:type="dxa"/>
          </w:tcPr>
          <w:p w:rsidR="00197D9F" w:rsidRPr="00906AD6" w:rsidRDefault="00197D9F" w:rsidP="001C1DC3">
            <w:pPr>
              <w:keepNext/>
              <w:jc w:val="left"/>
              <w:rPr>
                <w:bCs/>
                <w:sz w:val="16"/>
                <w:szCs w:val="16"/>
                <w:lang w:val="es-ES"/>
              </w:rPr>
            </w:pPr>
            <w:r w:rsidRPr="00906AD6">
              <w:rPr>
                <w:i/>
                <w:snapToGrid w:val="0"/>
                <w:sz w:val="16"/>
                <w:szCs w:val="16"/>
                <w:lang w:val="es-ES"/>
              </w:rPr>
              <w:t xml:space="preserve">Mucuna aterrima </w:t>
            </w:r>
            <w:r w:rsidRPr="00906AD6">
              <w:rPr>
                <w:snapToGrid w:val="0"/>
                <w:sz w:val="16"/>
                <w:szCs w:val="16"/>
                <w:lang w:val="es-ES"/>
              </w:rPr>
              <w:t>(Piper &amp; Tracy) Holland</w:t>
            </w:r>
            <w:r w:rsidRPr="00906AD6">
              <w:rPr>
                <w:bCs/>
                <w:sz w:val="16"/>
                <w:szCs w:val="16"/>
                <w:lang w:val="es-ES"/>
              </w:rPr>
              <w:t>;</w:t>
            </w:r>
          </w:p>
          <w:p w:rsidR="00197D9F" w:rsidRPr="00906AD6" w:rsidRDefault="00197D9F" w:rsidP="001C1DC3">
            <w:pPr>
              <w:keepNext/>
              <w:jc w:val="left"/>
              <w:rPr>
                <w:snapToGrid w:val="0"/>
                <w:sz w:val="16"/>
                <w:szCs w:val="16"/>
                <w:lang w:val="fr-CH"/>
              </w:rPr>
            </w:pPr>
            <w:r w:rsidRPr="00906AD6">
              <w:rPr>
                <w:i/>
                <w:iCs/>
                <w:snapToGrid w:val="0"/>
                <w:sz w:val="16"/>
                <w:szCs w:val="16"/>
                <w:lang w:val="fr-CH"/>
              </w:rPr>
              <w:t>Mucuna cochinchinensis</w:t>
            </w:r>
            <w:r w:rsidRPr="00906AD6">
              <w:rPr>
                <w:i/>
                <w:snapToGrid w:val="0"/>
                <w:sz w:val="16"/>
                <w:szCs w:val="16"/>
                <w:lang w:val="fr-CH"/>
              </w:rPr>
              <w:t xml:space="preserve"> </w:t>
            </w:r>
            <w:r w:rsidRPr="00906AD6">
              <w:rPr>
                <w:snapToGrid w:val="0"/>
                <w:sz w:val="16"/>
                <w:szCs w:val="16"/>
                <w:lang w:val="fr-CH"/>
              </w:rPr>
              <w:t>(Lour.) A. Chev.) ;</w:t>
            </w:r>
          </w:p>
          <w:p w:rsidR="00197D9F" w:rsidRPr="00906AD6" w:rsidRDefault="00197D9F" w:rsidP="001C1DC3">
            <w:pPr>
              <w:keepNext/>
              <w:jc w:val="left"/>
              <w:rPr>
                <w:snapToGrid w:val="0"/>
                <w:sz w:val="16"/>
                <w:szCs w:val="16"/>
              </w:rPr>
            </w:pPr>
            <w:r w:rsidRPr="00906AD6">
              <w:rPr>
                <w:i/>
                <w:iCs/>
                <w:snapToGrid w:val="0"/>
                <w:sz w:val="16"/>
                <w:szCs w:val="16"/>
              </w:rPr>
              <w:t>Mucuna deeringiana</w:t>
            </w:r>
            <w:r w:rsidRPr="00906AD6">
              <w:rPr>
                <w:i/>
                <w:snapToGrid w:val="0"/>
                <w:sz w:val="16"/>
                <w:szCs w:val="16"/>
              </w:rPr>
              <w:t xml:space="preserve"> </w:t>
            </w:r>
            <w:r w:rsidRPr="00906AD6">
              <w:rPr>
                <w:snapToGrid w:val="0"/>
                <w:sz w:val="16"/>
                <w:szCs w:val="16"/>
              </w:rPr>
              <w:t>(Bort) Merr.;</w:t>
            </w:r>
          </w:p>
          <w:p w:rsidR="00197D9F" w:rsidRPr="00906AD6" w:rsidRDefault="00197D9F" w:rsidP="001C1DC3">
            <w:pPr>
              <w:keepNext/>
              <w:jc w:val="left"/>
              <w:rPr>
                <w:i/>
                <w:snapToGrid w:val="0"/>
                <w:sz w:val="16"/>
                <w:szCs w:val="16"/>
              </w:rPr>
            </w:pPr>
            <w:r w:rsidRPr="00906AD6">
              <w:rPr>
                <w:bCs/>
                <w:i/>
                <w:sz w:val="16"/>
                <w:szCs w:val="16"/>
              </w:rPr>
              <w:t>Stizolobium deeringianum</w:t>
            </w:r>
            <w:r w:rsidRPr="00906AD6">
              <w:rPr>
                <w:bCs/>
                <w:sz w:val="16"/>
                <w:szCs w:val="16"/>
              </w:rPr>
              <w:t xml:space="preserve"> Bort</w:t>
            </w:r>
          </w:p>
        </w:tc>
      </w:tr>
      <w:tr w:rsidR="00197D9F" w:rsidRPr="00906AD6" w:rsidTr="001C1DC3">
        <w:tc>
          <w:tcPr>
            <w:tcW w:w="1683" w:type="dxa"/>
          </w:tcPr>
          <w:p w:rsidR="00197D9F" w:rsidRPr="00906AD6" w:rsidRDefault="00197D9F" w:rsidP="001C1DC3">
            <w:pPr>
              <w:keepNext/>
              <w:jc w:val="left"/>
              <w:rPr>
                <w:snapToGrid w:val="0"/>
                <w:sz w:val="16"/>
                <w:szCs w:val="16"/>
              </w:rPr>
            </w:pPr>
            <w:r w:rsidRPr="00906AD6">
              <w:rPr>
                <w:snapToGrid w:val="0"/>
                <w:sz w:val="16"/>
                <w:szCs w:val="16"/>
              </w:rPr>
              <w:t>MUCUN_PRU_ATE</w:t>
            </w:r>
          </w:p>
          <w:p w:rsidR="00197D9F" w:rsidRPr="00906AD6" w:rsidRDefault="00197D9F" w:rsidP="001C1DC3">
            <w:pPr>
              <w:keepNext/>
              <w:jc w:val="left"/>
              <w:rPr>
                <w:snapToGrid w:val="0"/>
                <w:sz w:val="16"/>
                <w:szCs w:val="16"/>
              </w:rPr>
            </w:pPr>
          </w:p>
        </w:tc>
        <w:tc>
          <w:tcPr>
            <w:tcW w:w="1636" w:type="dxa"/>
          </w:tcPr>
          <w:p w:rsidR="00197D9F" w:rsidRPr="00906AD6" w:rsidRDefault="00197D9F" w:rsidP="001C1DC3">
            <w:pPr>
              <w:keepNext/>
              <w:jc w:val="left"/>
              <w:rPr>
                <w:i/>
                <w:snapToGrid w:val="0"/>
                <w:sz w:val="16"/>
                <w:szCs w:val="16"/>
                <w:lang w:val="es-ES"/>
              </w:rPr>
            </w:pPr>
            <w:r w:rsidRPr="00906AD6">
              <w:rPr>
                <w:i/>
                <w:snapToGrid w:val="0"/>
                <w:sz w:val="16"/>
                <w:szCs w:val="16"/>
                <w:lang w:val="es-ES"/>
              </w:rPr>
              <w:t xml:space="preserve">Mucuna aterrima </w:t>
            </w:r>
            <w:r w:rsidRPr="00906AD6">
              <w:rPr>
                <w:snapToGrid w:val="0"/>
                <w:sz w:val="16"/>
                <w:szCs w:val="16"/>
                <w:lang w:val="es-ES"/>
              </w:rPr>
              <w:t>(Piper &amp; Tracy) Holland.</w:t>
            </w:r>
          </w:p>
        </w:tc>
        <w:tc>
          <w:tcPr>
            <w:tcW w:w="1626" w:type="dxa"/>
          </w:tcPr>
          <w:p w:rsidR="00197D9F" w:rsidRPr="00906AD6" w:rsidRDefault="00197D9F" w:rsidP="001C1DC3">
            <w:pPr>
              <w:keepNext/>
              <w:jc w:val="left"/>
              <w:rPr>
                <w:rFonts w:cs="Arial"/>
                <w:sz w:val="16"/>
                <w:szCs w:val="16"/>
                <w:lang w:eastAsia="ja-JP"/>
              </w:rPr>
            </w:pPr>
            <w:r w:rsidRPr="00906AD6">
              <w:rPr>
                <w:bCs/>
                <w:sz w:val="16"/>
                <w:szCs w:val="16"/>
              </w:rPr>
              <w:t>n.a.</w:t>
            </w:r>
          </w:p>
        </w:tc>
        <w:tc>
          <w:tcPr>
            <w:tcW w:w="1642" w:type="dxa"/>
          </w:tcPr>
          <w:p w:rsidR="00197D9F" w:rsidRPr="00906AD6" w:rsidRDefault="00197D9F" w:rsidP="001C1DC3">
            <w:pPr>
              <w:keepNext/>
              <w:jc w:val="left"/>
              <w:rPr>
                <w:rFonts w:cs="Arial"/>
                <w:sz w:val="16"/>
                <w:szCs w:val="16"/>
                <w:lang w:eastAsia="ja-JP"/>
              </w:rPr>
            </w:pPr>
            <w:r w:rsidRPr="00906AD6">
              <w:rPr>
                <w:sz w:val="16"/>
                <w:szCs w:val="16"/>
              </w:rPr>
              <w:t>[to delete]</w:t>
            </w:r>
          </w:p>
        </w:tc>
        <w:tc>
          <w:tcPr>
            <w:tcW w:w="1631" w:type="dxa"/>
          </w:tcPr>
          <w:p w:rsidR="00197D9F" w:rsidRPr="00906AD6" w:rsidRDefault="00197D9F" w:rsidP="001C1DC3">
            <w:pPr>
              <w:keepNext/>
              <w:jc w:val="left"/>
              <w:rPr>
                <w:i/>
                <w:snapToGrid w:val="0"/>
                <w:sz w:val="16"/>
                <w:szCs w:val="16"/>
              </w:rPr>
            </w:pPr>
            <w:r w:rsidRPr="00906AD6">
              <w:rPr>
                <w:bCs/>
                <w:sz w:val="16"/>
                <w:szCs w:val="16"/>
              </w:rPr>
              <w:t>n.a.</w:t>
            </w:r>
          </w:p>
        </w:tc>
        <w:tc>
          <w:tcPr>
            <w:tcW w:w="1529" w:type="dxa"/>
          </w:tcPr>
          <w:p w:rsidR="00197D9F" w:rsidRPr="00906AD6" w:rsidRDefault="00197D9F" w:rsidP="001C1DC3">
            <w:pPr>
              <w:keepNext/>
              <w:jc w:val="left"/>
              <w:rPr>
                <w:i/>
                <w:snapToGrid w:val="0"/>
                <w:sz w:val="16"/>
                <w:szCs w:val="16"/>
              </w:rPr>
            </w:pPr>
            <w:r w:rsidRPr="00906AD6">
              <w:rPr>
                <w:bCs/>
                <w:sz w:val="16"/>
                <w:szCs w:val="16"/>
              </w:rPr>
              <w:t>n.a.</w:t>
            </w:r>
          </w:p>
        </w:tc>
      </w:tr>
      <w:tr w:rsidR="00197D9F" w:rsidRPr="00906AD6" w:rsidTr="001C1DC3">
        <w:tc>
          <w:tcPr>
            <w:tcW w:w="1683" w:type="dxa"/>
          </w:tcPr>
          <w:p w:rsidR="00197D9F" w:rsidRPr="00906AD6" w:rsidRDefault="00197D9F" w:rsidP="001C1DC3">
            <w:pPr>
              <w:keepNext/>
              <w:jc w:val="left"/>
              <w:rPr>
                <w:snapToGrid w:val="0"/>
                <w:sz w:val="16"/>
                <w:szCs w:val="16"/>
              </w:rPr>
            </w:pPr>
            <w:r w:rsidRPr="00906AD6">
              <w:rPr>
                <w:snapToGrid w:val="0"/>
                <w:sz w:val="16"/>
                <w:szCs w:val="16"/>
              </w:rPr>
              <w:t>MUCUN_PRU_COC</w:t>
            </w:r>
          </w:p>
          <w:p w:rsidR="00197D9F" w:rsidRPr="00906AD6" w:rsidRDefault="00197D9F" w:rsidP="001C1DC3">
            <w:pPr>
              <w:keepNext/>
              <w:jc w:val="left"/>
              <w:rPr>
                <w:snapToGrid w:val="0"/>
                <w:sz w:val="16"/>
                <w:szCs w:val="16"/>
              </w:rPr>
            </w:pPr>
          </w:p>
        </w:tc>
        <w:tc>
          <w:tcPr>
            <w:tcW w:w="1636" w:type="dxa"/>
          </w:tcPr>
          <w:p w:rsidR="00197D9F" w:rsidRPr="00906AD6" w:rsidRDefault="00197D9F" w:rsidP="001C1DC3">
            <w:pPr>
              <w:keepNext/>
              <w:jc w:val="left"/>
              <w:rPr>
                <w:i/>
                <w:snapToGrid w:val="0"/>
                <w:sz w:val="16"/>
                <w:szCs w:val="16"/>
                <w:lang w:val="fr-CH"/>
              </w:rPr>
            </w:pPr>
            <w:r w:rsidRPr="00906AD6">
              <w:rPr>
                <w:bCs/>
                <w:i/>
                <w:sz w:val="16"/>
                <w:szCs w:val="16"/>
                <w:lang w:val="fr-CH"/>
              </w:rPr>
              <w:t xml:space="preserve">Mucuna cochinchinensis </w:t>
            </w:r>
            <w:r w:rsidRPr="00906AD6">
              <w:rPr>
                <w:bCs/>
                <w:sz w:val="16"/>
                <w:szCs w:val="16"/>
                <w:lang w:val="fr-CH"/>
              </w:rPr>
              <w:t>(Lour.) A. Chev.</w:t>
            </w:r>
          </w:p>
        </w:tc>
        <w:tc>
          <w:tcPr>
            <w:tcW w:w="1626" w:type="dxa"/>
          </w:tcPr>
          <w:p w:rsidR="00197D9F" w:rsidRPr="00906AD6" w:rsidRDefault="00197D9F" w:rsidP="001C1DC3">
            <w:pPr>
              <w:keepNext/>
              <w:jc w:val="left"/>
              <w:rPr>
                <w:rFonts w:cs="Arial"/>
                <w:sz w:val="16"/>
                <w:szCs w:val="16"/>
                <w:lang w:eastAsia="ja-JP"/>
              </w:rPr>
            </w:pPr>
            <w:r w:rsidRPr="00906AD6">
              <w:rPr>
                <w:bCs/>
                <w:sz w:val="16"/>
                <w:szCs w:val="16"/>
              </w:rPr>
              <w:t>n.a.</w:t>
            </w:r>
          </w:p>
        </w:tc>
        <w:tc>
          <w:tcPr>
            <w:tcW w:w="1642" w:type="dxa"/>
          </w:tcPr>
          <w:p w:rsidR="00197D9F" w:rsidRPr="00906AD6" w:rsidRDefault="00197D9F" w:rsidP="001C1DC3">
            <w:pPr>
              <w:keepNext/>
              <w:jc w:val="left"/>
              <w:rPr>
                <w:rFonts w:cs="Arial"/>
                <w:sz w:val="16"/>
                <w:szCs w:val="16"/>
                <w:lang w:eastAsia="ja-JP"/>
              </w:rPr>
            </w:pPr>
            <w:r w:rsidRPr="00906AD6">
              <w:rPr>
                <w:sz w:val="16"/>
                <w:szCs w:val="16"/>
              </w:rPr>
              <w:t>[to delete]</w:t>
            </w:r>
          </w:p>
        </w:tc>
        <w:tc>
          <w:tcPr>
            <w:tcW w:w="1631" w:type="dxa"/>
          </w:tcPr>
          <w:p w:rsidR="00197D9F" w:rsidRPr="00906AD6" w:rsidRDefault="00197D9F" w:rsidP="001C1DC3">
            <w:pPr>
              <w:keepNext/>
              <w:jc w:val="left"/>
              <w:rPr>
                <w:i/>
                <w:snapToGrid w:val="0"/>
                <w:sz w:val="16"/>
                <w:szCs w:val="16"/>
              </w:rPr>
            </w:pPr>
            <w:r w:rsidRPr="00906AD6">
              <w:rPr>
                <w:bCs/>
                <w:sz w:val="16"/>
                <w:szCs w:val="16"/>
              </w:rPr>
              <w:t>n.a.</w:t>
            </w:r>
          </w:p>
        </w:tc>
        <w:tc>
          <w:tcPr>
            <w:tcW w:w="1529" w:type="dxa"/>
          </w:tcPr>
          <w:p w:rsidR="00197D9F" w:rsidRPr="00906AD6" w:rsidRDefault="00197D9F" w:rsidP="001C1DC3">
            <w:pPr>
              <w:keepNext/>
              <w:jc w:val="left"/>
              <w:rPr>
                <w:i/>
                <w:snapToGrid w:val="0"/>
                <w:sz w:val="16"/>
                <w:szCs w:val="16"/>
              </w:rPr>
            </w:pPr>
            <w:r w:rsidRPr="00906AD6">
              <w:rPr>
                <w:bCs/>
                <w:sz w:val="16"/>
                <w:szCs w:val="16"/>
              </w:rPr>
              <w:t>n.a.</w:t>
            </w:r>
          </w:p>
        </w:tc>
      </w:tr>
      <w:tr w:rsidR="00197D9F" w:rsidRPr="00906AD6" w:rsidTr="001C1DC3">
        <w:tc>
          <w:tcPr>
            <w:tcW w:w="1683" w:type="dxa"/>
          </w:tcPr>
          <w:p w:rsidR="00197D9F" w:rsidRPr="00906AD6" w:rsidRDefault="00197D9F" w:rsidP="001C1DC3">
            <w:pPr>
              <w:jc w:val="left"/>
              <w:rPr>
                <w:snapToGrid w:val="0"/>
                <w:sz w:val="16"/>
                <w:szCs w:val="16"/>
              </w:rPr>
            </w:pPr>
            <w:r w:rsidRPr="00906AD6">
              <w:rPr>
                <w:snapToGrid w:val="0"/>
                <w:sz w:val="16"/>
                <w:szCs w:val="16"/>
              </w:rPr>
              <w:t>MUCUN_PRU_DEE</w:t>
            </w:r>
          </w:p>
        </w:tc>
        <w:tc>
          <w:tcPr>
            <w:tcW w:w="1636" w:type="dxa"/>
          </w:tcPr>
          <w:p w:rsidR="00197D9F" w:rsidRPr="00906AD6" w:rsidRDefault="00197D9F" w:rsidP="001C1DC3">
            <w:pPr>
              <w:jc w:val="left"/>
              <w:rPr>
                <w:i/>
                <w:snapToGrid w:val="0"/>
                <w:sz w:val="16"/>
                <w:szCs w:val="16"/>
              </w:rPr>
            </w:pPr>
            <w:r w:rsidRPr="00906AD6">
              <w:rPr>
                <w:bCs/>
                <w:i/>
                <w:sz w:val="16"/>
                <w:szCs w:val="16"/>
              </w:rPr>
              <w:t xml:space="preserve">Mucuna deeringiana </w:t>
            </w:r>
            <w:r w:rsidRPr="00906AD6">
              <w:rPr>
                <w:bCs/>
                <w:sz w:val="16"/>
                <w:szCs w:val="16"/>
              </w:rPr>
              <w:t>(Bort) Merr.</w:t>
            </w:r>
          </w:p>
        </w:tc>
        <w:tc>
          <w:tcPr>
            <w:tcW w:w="1626" w:type="dxa"/>
          </w:tcPr>
          <w:p w:rsidR="00197D9F" w:rsidRPr="00906AD6" w:rsidRDefault="00197D9F" w:rsidP="001C1DC3">
            <w:pPr>
              <w:jc w:val="left"/>
              <w:rPr>
                <w:bCs/>
                <w:sz w:val="16"/>
                <w:szCs w:val="16"/>
              </w:rPr>
            </w:pPr>
            <w:r w:rsidRPr="00906AD6">
              <w:rPr>
                <w:bCs/>
                <w:i/>
                <w:sz w:val="16"/>
                <w:szCs w:val="16"/>
              </w:rPr>
              <w:t>Stizolobium deeringianum</w:t>
            </w:r>
            <w:r w:rsidRPr="00906AD6">
              <w:rPr>
                <w:bCs/>
                <w:sz w:val="16"/>
                <w:szCs w:val="16"/>
              </w:rPr>
              <w:t xml:space="preserve"> Bort</w:t>
            </w:r>
          </w:p>
        </w:tc>
        <w:tc>
          <w:tcPr>
            <w:tcW w:w="1642" w:type="dxa"/>
          </w:tcPr>
          <w:p w:rsidR="00197D9F" w:rsidRPr="00906AD6" w:rsidRDefault="00197D9F" w:rsidP="001C1DC3">
            <w:pPr>
              <w:jc w:val="left"/>
              <w:rPr>
                <w:rFonts w:cs="Arial"/>
                <w:sz w:val="16"/>
                <w:szCs w:val="16"/>
                <w:lang w:eastAsia="ja-JP"/>
              </w:rPr>
            </w:pPr>
            <w:r w:rsidRPr="00906AD6">
              <w:rPr>
                <w:sz w:val="16"/>
                <w:szCs w:val="16"/>
              </w:rPr>
              <w:t>[to delete]</w:t>
            </w:r>
          </w:p>
        </w:tc>
        <w:tc>
          <w:tcPr>
            <w:tcW w:w="1631" w:type="dxa"/>
          </w:tcPr>
          <w:p w:rsidR="00197D9F" w:rsidRPr="00906AD6" w:rsidRDefault="00197D9F" w:rsidP="001C1DC3">
            <w:pPr>
              <w:jc w:val="left"/>
              <w:rPr>
                <w:i/>
                <w:snapToGrid w:val="0"/>
                <w:sz w:val="16"/>
                <w:szCs w:val="16"/>
              </w:rPr>
            </w:pPr>
            <w:r w:rsidRPr="00906AD6">
              <w:rPr>
                <w:bCs/>
                <w:sz w:val="16"/>
                <w:szCs w:val="16"/>
              </w:rPr>
              <w:t>n.a.</w:t>
            </w:r>
          </w:p>
        </w:tc>
        <w:tc>
          <w:tcPr>
            <w:tcW w:w="1529" w:type="dxa"/>
          </w:tcPr>
          <w:p w:rsidR="00197D9F" w:rsidRPr="00906AD6" w:rsidRDefault="00197D9F" w:rsidP="001C1DC3">
            <w:pPr>
              <w:jc w:val="left"/>
              <w:rPr>
                <w:i/>
                <w:snapToGrid w:val="0"/>
                <w:sz w:val="16"/>
                <w:szCs w:val="16"/>
              </w:rPr>
            </w:pPr>
            <w:r w:rsidRPr="00906AD6">
              <w:rPr>
                <w:bCs/>
                <w:sz w:val="16"/>
                <w:szCs w:val="16"/>
              </w:rPr>
              <w:t>n.a.</w:t>
            </w:r>
          </w:p>
        </w:tc>
      </w:tr>
    </w:tbl>
    <w:p w:rsidR="00197D9F" w:rsidRDefault="00197D9F" w:rsidP="00197D9F"/>
    <w:p w:rsidR="00643A10" w:rsidRDefault="00643A10">
      <w:pPr>
        <w:jc w:val="left"/>
        <w:rPr>
          <w:u w:val="single"/>
          <w:lang w:val="fr-FR" w:eastAsia="ja-JP"/>
        </w:rPr>
      </w:pPr>
      <w:bookmarkStart w:id="18" w:name="_Toc522275166"/>
      <w:bookmarkStart w:id="19" w:name="_Toc525734059"/>
      <w:r>
        <w:br w:type="page"/>
      </w:r>
    </w:p>
    <w:p w:rsidR="00197D9F" w:rsidRPr="00643A10" w:rsidRDefault="00197D9F" w:rsidP="009C38B6">
      <w:pPr>
        <w:pStyle w:val="Heading4"/>
        <w:rPr>
          <w:bCs/>
          <w:lang w:val="en-US"/>
        </w:rPr>
      </w:pPr>
      <w:r w:rsidRPr="00643A10">
        <w:rPr>
          <w:lang w:val="en-US"/>
        </w:rPr>
        <w:lastRenderedPageBreak/>
        <w:t xml:space="preserve">UPOV code for Sesbania </w:t>
      </w:r>
      <w:r w:rsidRPr="00643A10">
        <w:rPr>
          <w:bCs/>
          <w:lang w:val="en-US"/>
        </w:rPr>
        <w:t>sesban</w:t>
      </w:r>
      <w:bookmarkEnd w:id="18"/>
      <w:bookmarkEnd w:id="19"/>
    </w:p>
    <w:p w:rsidR="00197D9F" w:rsidRPr="0071312A" w:rsidRDefault="00197D9F" w:rsidP="00197D9F"/>
    <w:p w:rsidR="00197D9F" w:rsidRPr="0071312A" w:rsidRDefault="00197D9F" w:rsidP="00197D9F">
      <w:pPr>
        <w:rPr>
          <w:rFonts w:cs="Arial"/>
        </w:rPr>
      </w:pPr>
      <w:r w:rsidRPr="0071312A">
        <w:fldChar w:fldCharType="begin"/>
      </w:r>
      <w:r w:rsidRPr="0071312A">
        <w:instrText xml:space="preserve"> AUTONUM  </w:instrText>
      </w:r>
      <w:r w:rsidRPr="0071312A">
        <w:fldChar w:fldCharType="end"/>
      </w:r>
      <w:r w:rsidRPr="0071312A">
        <w:tab/>
        <w:t xml:space="preserve">The TC agreed to correct the UPOV Codes for </w:t>
      </w:r>
      <w:r w:rsidRPr="0071312A">
        <w:rPr>
          <w:i/>
        </w:rPr>
        <w:t>Sesbania sesban</w:t>
      </w:r>
      <w:r w:rsidRPr="0071312A">
        <w:t xml:space="preserve">, as </w:t>
      </w:r>
      <w:r w:rsidRPr="0071312A">
        <w:rPr>
          <w:rFonts w:cs="Arial"/>
        </w:rPr>
        <w:t>follows:</w:t>
      </w:r>
    </w:p>
    <w:p w:rsidR="00197D9F" w:rsidRPr="0071312A" w:rsidRDefault="00197D9F" w:rsidP="00197D9F">
      <w:pPr>
        <w:rPr>
          <w:snapToGrid w:val="0"/>
        </w:rPr>
      </w:pPr>
    </w:p>
    <w:tbl>
      <w:tblPr>
        <w:tblStyle w:val="TableGrid"/>
        <w:tblW w:w="0" w:type="auto"/>
        <w:tblLayout w:type="fixed"/>
        <w:tblLook w:val="04A0" w:firstRow="1" w:lastRow="0" w:firstColumn="1" w:lastColumn="0" w:noHBand="0" w:noVBand="1"/>
      </w:tblPr>
      <w:tblGrid>
        <w:gridCol w:w="1418"/>
        <w:gridCol w:w="2268"/>
        <w:gridCol w:w="1276"/>
        <w:gridCol w:w="1275"/>
        <w:gridCol w:w="2268"/>
        <w:gridCol w:w="1134"/>
      </w:tblGrid>
      <w:tr w:rsidR="00197D9F" w:rsidRPr="0071312A" w:rsidTr="00197D9F">
        <w:tc>
          <w:tcPr>
            <w:tcW w:w="4962" w:type="dxa"/>
            <w:gridSpan w:val="3"/>
          </w:tcPr>
          <w:p w:rsidR="00197D9F" w:rsidRPr="0071312A" w:rsidRDefault="00197D9F" w:rsidP="001C1DC3">
            <w:pPr>
              <w:jc w:val="center"/>
              <w:rPr>
                <w:rFonts w:cs="Arial"/>
                <w:sz w:val="16"/>
                <w:szCs w:val="16"/>
                <w:lang w:eastAsia="ja-JP"/>
              </w:rPr>
            </w:pPr>
            <w:r w:rsidRPr="0071312A">
              <w:rPr>
                <w:rFonts w:cs="Arial"/>
                <w:sz w:val="16"/>
                <w:szCs w:val="16"/>
                <w:lang w:eastAsia="ja-JP"/>
              </w:rPr>
              <w:t>Current</w:t>
            </w:r>
          </w:p>
        </w:tc>
        <w:tc>
          <w:tcPr>
            <w:tcW w:w="4677" w:type="dxa"/>
            <w:gridSpan w:val="3"/>
          </w:tcPr>
          <w:p w:rsidR="00197D9F" w:rsidRPr="0071312A" w:rsidRDefault="00197D9F" w:rsidP="001C1DC3">
            <w:pPr>
              <w:jc w:val="center"/>
              <w:rPr>
                <w:rFonts w:cs="Arial"/>
                <w:sz w:val="16"/>
                <w:szCs w:val="16"/>
                <w:lang w:eastAsia="ja-JP"/>
              </w:rPr>
            </w:pPr>
            <w:r w:rsidRPr="0071312A">
              <w:rPr>
                <w:rFonts w:cs="Arial"/>
                <w:sz w:val="16"/>
                <w:szCs w:val="16"/>
                <w:lang w:eastAsia="ja-JP"/>
              </w:rPr>
              <w:t>Proposal</w:t>
            </w:r>
          </w:p>
        </w:tc>
      </w:tr>
      <w:tr w:rsidR="00197D9F" w:rsidRPr="0071312A" w:rsidTr="00197D9F">
        <w:tc>
          <w:tcPr>
            <w:tcW w:w="1418" w:type="dxa"/>
          </w:tcPr>
          <w:p w:rsidR="00197D9F" w:rsidRPr="0071312A" w:rsidRDefault="00197D9F" w:rsidP="001C1DC3">
            <w:pPr>
              <w:jc w:val="center"/>
              <w:rPr>
                <w:rFonts w:cs="Arial"/>
                <w:lang w:eastAsia="ja-JP"/>
              </w:rPr>
            </w:pPr>
            <w:r w:rsidRPr="0071312A">
              <w:rPr>
                <w:rFonts w:cs="Arial"/>
                <w:snapToGrid w:val="0"/>
                <w:sz w:val="16"/>
                <w:szCs w:val="16"/>
              </w:rPr>
              <w:t>UPOV code</w:t>
            </w:r>
          </w:p>
        </w:tc>
        <w:tc>
          <w:tcPr>
            <w:tcW w:w="2268" w:type="dxa"/>
          </w:tcPr>
          <w:p w:rsidR="00197D9F" w:rsidRPr="0071312A" w:rsidRDefault="00197D9F" w:rsidP="001C1DC3">
            <w:pPr>
              <w:jc w:val="center"/>
              <w:rPr>
                <w:rFonts w:cs="Arial"/>
                <w:lang w:eastAsia="ja-JP"/>
              </w:rPr>
            </w:pPr>
            <w:r w:rsidRPr="0071312A">
              <w:rPr>
                <w:rFonts w:cs="Arial"/>
                <w:snapToGrid w:val="0"/>
                <w:sz w:val="16"/>
                <w:szCs w:val="16"/>
              </w:rPr>
              <w:t>Principal botanical name</w:t>
            </w:r>
          </w:p>
        </w:tc>
        <w:tc>
          <w:tcPr>
            <w:tcW w:w="1276" w:type="dxa"/>
          </w:tcPr>
          <w:p w:rsidR="00197D9F" w:rsidRPr="0071312A" w:rsidRDefault="00197D9F" w:rsidP="001C1DC3">
            <w:pPr>
              <w:jc w:val="center"/>
              <w:rPr>
                <w:rFonts w:cs="Arial"/>
                <w:lang w:eastAsia="ja-JP"/>
              </w:rPr>
            </w:pPr>
            <w:r w:rsidRPr="0071312A">
              <w:rPr>
                <w:rFonts w:cs="Arial"/>
                <w:snapToGrid w:val="0"/>
                <w:sz w:val="16"/>
                <w:szCs w:val="16"/>
              </w:rPr>
              <w:t>Other botanical name(s)</w:t>
            </w:r>
          </w:p>
        </w:tc>
        <w:tc>
          <w:tcPr>
            <w:tcW w:w="1275" w:type="dxa"/>
          </w:tcPr>
          <w:p w:rsidR="00197D9F" w:rsidRPr="0071312A" w:rsidRDefault="00197D9F" w:rsidP="001C1DC3">
            <w:pPr>
              <w:jc w:val="center"/>
              <w:rPr>
                <w:rFonts w:cs="Arial"/>
                <w:lang w:eastAsia="ja-JP"/>
              </w:rPr>
            </w:pPr>
            <w:r w:rsidRPr="0071312A">
              <w:rPr>
                <w:rFonts w:cs="Arial"/>
                <w:snapToGrid w:val="0"/>
                <w:sz w:val="16"/>
                <w:szCs w:val="16"/>
              </w:rPr>
              <w:t>UPOV code</w:t>
            </w:r>
          </w:p>
        </w:tc>
        <w:tc>
          <w:tcPr>
            <w:tcW w:w="2268" w:type="dxa"/>
          </w:tcPr>
          <w:p w:rsidR="00197D9F" w:rsidRPr="0071312A" w:rsidRDefault="00197D9F" w:rsidP="001C1DC3">
            <w:pPr>
              <w:jc w:val="center"/>
              <w:rPr>
                <w:rFonts w:cs="Arial"/>
                <w:lang w:eastAsia="ja-JP"/>
              </w:rPr>
            </w:pPr>
            <w:r w:rsidRPr="0071312A">
              <w:rPr>
                <w:rFonts w:cs="Arial"/>
                <w:snapToGrid w:val="0"/>
                <w:sz w:val="16"/>
                <w:szCs w:val="16"/>
              </w:rPr>
              <w:t>Principal botanical name</w:t>
            </w:r>
          </w:p>
        </w:tc>
        <w:tc>
          <w:tcPr>
            <w:tcW w:w="1134" w:type="dxa"/>
          </w:tcPr>
          <w:p w:rsidR="00197D9F" w:rsidRPr="0071312A" w:rsidRDefault="00197D9F" w:rsidP="001C1DC3">
            <w:pPr>
              <w:jc w:val="center"/>
              <w:rPr>
                <w:rFonts w:cs="Arial"/>
                <w:lang w:eastAsia="ja-JP"/>
              </w:rPr>
            </w:pPr>
            <w:r w:rsidRPr="0071312A">
              <w:rPr>
                <w:rFonts w:cs="Arial"/>
                <w:snapToGrid w:val="0"/>
                <w:sz w:val="16"/>
                <w:szCs w:val="16"/>
              </w:rPr>
              <w:t>Other botanical name(s)</w:t>
            </w:r>
          </w:p>
        </w:tc>
      </w:tr>
      <w:tr w:rsidR="00197D9F" w:rsidRPr="00425396" w:rsidTr="00197D9F">
        <w:tc>
          <w:tcPr>
            <w:tcW w:w="1418" w:type="dxa"/>
          </w:tcPr>
          <w:p w:rsidR="00197D9F" w:rsidRPr="0071312A" w:rsidRDefault="00197D9F" w:rsidP="001C1DC3">
            <w:pPr>
              <w:rPr>
                <w:snapToGrid w:val="0"/>
                <w:sz w:val="16"/>
                <w:szCs w:val="16"/>
              </w:rPr>
            </w:pPr>
            <w:r w:rsidRPr="0071312A">
              <w:rPr>
                <w:snapToGrid w:val="0"/>
                <w:sz w:val="16"/>
                <w:szCs w:val="16"/>
              </w:rPr>
              <w:t>SENNA_SES</w:t>
            </w:r>
          </w:p>
        </w:tc>
        <w:tc>
          <w:tcPr>
            <w:tcW w:w="2268" w:type="dxa"/>
          </w:tcPr>
          <w:p w:rsidR="00197D9F" w:rsidRPr="0071312A" w:rsidRDefault="00197D9F" w:rsidP="001C1DC3">
            <w:pPr>
              <w:rPr>
                <w:bCs/>
                <w:sz w:val="16"/>
                <w:szCs w:val="16"/>
              </w:rPr>
            </w:pPr>
            <w:r w:rsidRPr="0071312A">
              <w:rPr>
                <w:bCs/>
                <w:i/>
                <w:sz w:val="16"/>
                <w:szCs w:val="16"/>
              </w:rPr>
              <w:t>Sesbania sesban</w:t>
            </w:r>
            <w:r w:rsidRPr="0071312A">
              <w:rPr>
                <w:bCs/>
                <w:sz w:val="16"/>
                <w:szCs w:val="16"/>
              </w:rPr>
              <w:t xml:space="preserve"> (L.) Merr.</w:t>
            </w:r>
          </w:p>
          <w:p w:rsidR="00197D9F" w:rsidRPr="0071312A" w:rsidRDefault="00197D9F" w:rsidP="001C1DC3">
            <w:pPr>
              <w:rPr>
                <w:bCs/>
                <w:i/>
                <w:sz w:val="16"/>
                <w:szCs w:val="16"/>
              </w:rPr>
            </w:pPr>
          </w:p>
        </w:tc>
        <w:tc>
          <w:tcPr>
            <w:tcW w:w="1276" w:type="dxa"/>
          </w:tcPr>
          <w:p w:rsidR="00197D9F" w:rsidRPr="0071312A" w:rsidRDefault="00197D9F" w:rsidP="001C1DC3">
            <w:pPr>
              <w:jc w:val="left"/>
              <w:rPr>
                <w:rFonts w:cs="Arial"/>
                <w:i/>
                <w:sz w:val="16"/>
                <w:szCs w:val="16"/>
                <w:lang w:eastAsia="ja-JP"/>
              </w:rPr>
            </w:pPr>
            <w:r w:rsidRPr="0071312A">
              <w:rPr>
                <w:bCs/>
                <w:sz w:val="16"/>
                <w:szCs w:val="16"/>
              </w:rPr>
              <w:t>n.a.</w:t>
            </w:r>
          </w:p>
        </w:tc>
        <w:tc>
          <w:tcPr>
            <w:tcW w:w="1275" w:type="dxa"/>
          </w:tcPr>
          <w:p w:rsidR="00197D9F" w:rsidRPr="0071312A" w:rsidRDefault="00197D9F" w:rsidP="001C1DC3">
            <w:pPr>
              <w:jc w:val="left"/>
              <w:rPr>
                <w:rFonts w:cs="Arial"/>
                <w:sz w:val="16"/>
                <w:szCs w:val="16"/>
                <w:lang w:eastAsia="ja-JP"/>
              </w:rPr>
            </w:pPr>
            <w:r w:rsidRPr="0071312A">
              <w:rPr>
                <w:sz w:val="16"/>
                <w:szCs w:val="16"/>
              </w:rPr>
              <w:t>SESBA_SES</w:t>
            </w:r>
          </w:p>
        </w:tc>
        <w:tc>
          <w:tcPr>
            <w:tcW w:w="2268" w:type="dxa"/>
          </w:tcPr>
          <w:p w:rsidR="00197D9F" w:rsidRPr="0071312A" w:rsidRDefault="00197D9F" w:rsidP="001C1DC3">
            <w:pPr>
              <w:rPr>
                <w:i/>
                <w:snapToGrid w:val="0"/>
                <w:sz w:val="16"/>
                <w:szCs w:val="16"/>
              </w:rPr>
            </w:pPr>
            <w:r w:rsidRPr="0071312A">
              <w:rPr>
                <w:bCs/>
                <w:i/>
                <w:sz w:val="16"/>
                <w:szCs w:val="16"/>
              </w:rPr>
              <w:t>Sesbania sesban</w:t>
            </w:r>
            <w:r w:rsidRPr="0071312A">
              <w:rPr>
                <w:bCs/>
                <w:sz w:val="16"/>
                <w:szCs w:val="16"/>
              </w:rPr>
              <w:t xml:space="preserve"> (L.) Merr.</w:t>
            </w:r>
          </w:p>
        </w:tc>
        <w:tc>
          <w:tcPr>
            <w:tcW w:w="1134" w:type="dxa"/>
          </w:tcPr>
          <w:p w:rsidR="00197D9F" w:rsidRPr="00425396" w:rsidRDefault="00197D9F" w:rsidP="001C1DC3">
            <w:pPr>
              <w:jc w:val="left"/>
              <w:rPr>
                <w:i/>
                <w:snapToGrid w:val="0"/>
                <w:sz w:val="16"/>
                <w:szCs w:val="16"/>
              </w:rPr>
            </w:pPr>
            <w:r w:rsidRPr="0071312A">
              <w:rPr>
                <w:bCs/>
                <w:sz w:val="16"/>
                <w:szCs w:val="16"/>
              </w:rPr>
              <w:t>n.a.</w:t>
            </w:r>
          </w:p>
        </w:tc>
      </w:tr>
    </w:tbl>
    <w:p w:rsidR="00197D9F" w:rsidRDefault="00197D9F" w:rsidP="00197D9F"/>
    <w:p w:rsidR="00197D9F" w:rsidRPr="006F241F" w:rsidRDefault="00197D9F" w:rsidP="009C38B6">
      <w:pPr>
        <w:pStyle w:val="Heading4"/>
      </w:pPr>
      <w:bookmarkStart w:id="20" w:name="_Toc525734060"/>
      <w:r w:rsidRPr="006F241F">
        <w:t>Brassica oleracea</w:t>
      </w:r>
      <w:bookmarkEnd w:id="20"/>
      <w:r w:rsidRPr="006F241F">
        <w:t xml:space="preserve"> </w:t>
      </w:r>
    </w:p>
    <w:p w:rsidR="00197D9F" w:rsidRDefault="00197D9F" w:rsidP="00197D9F"/>
    <w:p w:rsidR="00197D9F" w:rsidRDefault="00197D9F" w:rsidP="00197D9F">
      <w:r>
        <w:fldChar w:fldCharType="begin"/>
      </w:r>
      <w:r>
        <w:instrText xml:space="preserve"> AUTONUM  </w:instrText>
      </w:r>
      <w:r>
        <w:fldChar w:fldCharType="end"/>
      </w:r>
      <w:r>
        <w:tab/>
        <w:t xml:space="preserve">The TC considered the proposal to amend the UPOV codes for </w:t>
      </w:r>
      <w:r w:rsidRPr="006F241F">
        <w:rPr>
          <w:i/>
        </w:rPr>
        <w:t>Brassica oleracea</w:t>
      </w:r>
      <w:r>
        <w:t xml:space="preserve"> and agreed that no changes should be implemented </w:t>
      </w:r>
    </w:p>
    <w:p w:rsidR="00197D9F" w:rsidRDefault="00197D9F" w:rsidP="00197D9F"/>
    <w:p w:rsidR="00197D9F" w:rsidRDefault="00197D9F" w:rsidP="00CA506E">
      <w:r w:rsidRPr="00197D9F">
        <w:fldChar w:fldCharType="begin"/>
      </w:r>
      <w:r w:rsidRPr="00197D9F">
        <w:instrText xml:space="preserve"> AUTONUM  </w:instrText>
      </w:r>
      <w:r w:rsidRPr="00197D9F">
        <w:fldChar w:fldCharType="end"/>
      </w:r>
      <w:r w:rsidRPr="00197D9F">
        <w:tab/>
        <w:t xml:space="preserve">The TC noted the opinion provided by the TWV, at its fifty-second session, and agreed not to delete the UPOV Codes for </w:t>
      </w:r>
      <w:r w:rsidRPr="00197D9F">
        <w:rPr>
          <w:i/>
        </w:rPr>
        <w:t>Brassica oleracea</w:t>
      </w:r>
      <w:r w:rsidRPr="00197D9F">
        <w:t>, therefore creating an exception to the “Guide to the UPOV Code System”. It agreed that this exception should be presented in an amendment to the “Guide to the UPOV Code System”</w:t>
      </w:r>
      <w:r w:rsidR="00CA506E">
        <w:t>.</w:t>
      </w:r>
    </w:p>
    <w:p w:rsidR="00CA506E" w:rsidRPr="00197D9F" w:rsidRDefault="00CA506E" w:rsidP="00CA506E">
      <w:pPr>
        <w:rPr>
          <w:rFonts w:eastAsia="MS Mincho"/>
        </w:rPr>
      </w:pPr>
    </w:p>
    <w:p w:rsidR="00197D9F" w:rsidRPr="00F313AA" w:rsidRDefault="00197D9F" w:rsidP="009C38B6">
      <w:pPr>
        <w:pStyle w:val="Heading4"/>
        <w:rPr>
          <w:lang w:val="en-US"/>
        </w:rPr>
      </w:pPr>
      <w:bookmarkStart w:id="21" w:name="_Toc525734061"/>
      <w:r w:rsidRPr="00F313AA">
        <w:rPr>
          <w:lang w:val="en-US"/>
        </w:rPr>
        <w:t>UPOV codes for Epichloe species and Neotyphodium species</w:t>
      </w:r>
      <w:bookmarkEnd w:id="21"/>
    </w:p>
    <w:p w:rsidR="00197D9F" w:rsidRDefault="00197D9F" w:rsidP="00197D9F">
      <w:pPr>
        <w:keepNext/>
      </w:pPr>
    </w:p>
    <w:p w:rsidR="00197D9F" w:rsidRPr="00BC6EC5" w:rsidRDefault="00197D9F" w:rsidP="000F2FEF">
      <w:pPr>
        <w:rPr>
          <w:rFonts w:eastAsia="MS Mincho"/>
          <w:snapToGrid w:val="0"/>
        </w:rPr>
      </w:pPr>
      <w:r w:rsidRPr="00BC6EC5">
        <w:fldChar w:fldCharType="begin"/>
      </w:r>
      <w:r w:rsidRPr="00BC6EC5">
        <w:instrText xml:space="preserve"> AUTONUM  </w:instrText>
      </w:r>
      <w:r w:rsidRPr="00BC6EC5">
        <w:fldChar w:fldCharType="end"/>
      </w:r>
      <w:r w:rsidRPr="00BC6EC5">
        <w:tab/>
        <w:t xml:space="preserve">The TC considered </w:t>
      </w:r>
      <w:r w:rsidRPr="00BC6EC5">
        <w:rPr>
          <w:rFonts w:eastAsia="MS Mincho"/>
          <w:spacing w:val="-2"/>
        </w:rPr>
        <w:t xml:space="preserve">the UPOV codes for </w:t>
      </w:r>
      <w:r w:rsidRPr="00BC6EC5">
        <w:rPr>
          <w:rFonts w:eastAsia="MS Mincho"/>
          <w:i/>
          <w:spacing w:val="-2"/>
        </w:rPr>
        <w:t>Epichloe</w:t>
      </w:r>
      <w:r w:rsidRPr="00BC6EC5">
        <w:rPr>
          <w:rFonts w:eastAsia="MS Mincho"/>
          <w:spacing w:val="-2"/>
        </w:rPr>
        <w:t xml:space="preserve"> species and </w:t>
      </w:r>
      <w:r w:rsidRPr="00BC6EC5">
        <w:rPr>
          <w:rFonts w:eastAsia="MS Mincho"/>
          <w:i/>
          <w:spacing w:val="-2"/>
        </w:rPr>
        <w:t>Neotyphodium</w:t>
      </w:r>
      <w:r w:rsidRPr="00BC6EC5">
        <w:rPr>
          <w:rFonts w:eastAsia="MS Mincho"/>
          <w:spacing w:val="-2"/>
        </w:rPr>
        <w:t xml:space="preserve"> species</w:t>
      </w:r>
      <w:r w:rsidRPr="00BC6EC5">
        <w:rPr>
          <w:rFonts w:cs="Arial"/>
          <w:snapToGrid w:val="0"/>
          <w:spacing w:val="-4"/>
        </w:rPr>
        <w:t>, in conjunction with the comments by the TWV, at its fifty</w:t>
      </w:r>
      <w:r w:rsidRPr="00BC6EC5">
        <w:rPr>
          <w:rFonts w:cs="Arial"/>
          <w:snapToGrid w:val="0"/>
          <w:spacing w:val="-4"/>
        </w:rPr>
        <w:noBreakHyphen/>
        <w:t>second session, and agreed the changes as follows:</w:t>
      </w:r>
    </w:p>
    <w:p w:rsidR="00197D9F" w:rsidRPr="006E12B8" w:rsidRDefault="00197D9F" w:rsidP="000F2FEF">
      <w:pPr>
        <w:rPr>
          <w:rFonts w:eastAsia="MS Mincho"/>
        </w:rPr>
      </w:pPr>
    </w:p>
    <w:tbl>
      <w:tblPr>
        <w:tblStyle w:val="TableGrid"/>
        <w:tblW w:w="0" w:type="auto"/>
        <w:tblLook w:val="04A0" w:firstRow="1" w:lastRow="0" w:firstColumn="1" w:lastColumn="0" w:noHBand="0" w:noVBand="1"/>
      </w:tblPr>
      <w:tblGrid>
        <w:gridCol w:w="1606"/>
        <w:gridCol w:w="1610"/>
        <w:gridCol w:w="1600"/>
        <w:gridCol w:w="1604"/>
        <w:gridCol w:w="1598"/>
        <w:gridCol w:w="1611"/>
      </w:tblGrid>
      <w:tr w:rsidR="00197D9F" w:rsidRPr="006E12B8" w:rsidTr="001C1DC3">
        <w:tc>
          <w:tcPr>
            <w:tcW w:w="4926" w:type="dxa"/>
            <w:gridSpan w:val="3"/>
          </w:tcPr>
          <w:p w:rsidR="00197D9F" w:rsidRPr="006E12B8" w:rsidRDefault="00197D9F" w:rsidP="001C1DC3">
            <w:pPr>
              <w:keepNext/>
              <w:jc w:val="center"/>
              <w:rPr>
                <w:rFonts w:cs="Arial"/>
                <w:sz w:val="16"/>
                <w:szCs w:val="16"/>
                <w:lang w:eastAsia="ja-JP"/>
              </w:rPr>
            </w:pPr>
            <w:r w:rsidRPr="006E12B8">
              <w:rPr>
                <w:rFonts w:cs="Arial"/>
                <w:sz w:val="16"/>
                <w:szCs w:val="16"/>
                <w:lang w:eastAsia="ja-JP"/>
              </w:rPr>
              <w:t>Current</w:t>
            </w:r>
          </w:p>
        </w:tc>
        <w:tc>
          <w:tcPr>
            <w:tcW w:w="4929" w:type="dxa"/>
            <w:gridSpan w:val="3"/>
          </w:tcPr>
          <w:p w:rsidR="00197D9F" w:rsidRPr="006E12B8" w:rsidRDefault="00197D9F" w:rsidP="001C1DC3">
            <w:pPr>
              <w:keepNext/>
              <w:jc w:val="center"/>
              <w:rPr>
                <w:rFonts w:cs="Arial"/>
                <w:sz w:val="16"/>
                <w:szCs w:val="16"/>
                <w:lang w:eastAsia="ja-JP"/>
              </w:rPr>
            </w:pPr>
            <w:r w:rsidRPr="006E12B8">
              <w:rPr>
                <w:rFonts w:cs="Arial"/>
                <w:sz w:val="16"/>
                <w:szCs w:val="16"/>
                <w:lang w:eastAsia="ja-JP"/>
              </w:rPr>
              <w:t>Proposal</w:t>
            </w:r>
          </w:p>
        </w:tc>
      </w:tr>
      <w:tr w:rsidR="00197D9F" w:rsidRPr="006E12B8" w:rsidTr="001C1DC3">
        <w:tc>
          <w:tcPr>
            <w:tcW w:w="1642" w:type="dxa"/>
          </w:tcPr>
          <w:p w:rsidR="00197D9F" w:rsidRPr="006E12B8" w:rsidRDefault="00197D9F" w:rsidP="001C1DC3">
            <w:pPr>
              <w:keepNext/>
              <w:jc w:val="center"/>
              <w:rPr>
                <w:rFonts w:cs="Arial"/>
                <w:lang w:eastAsia="ja-JP"/>
              </w:rPr>
            </w:pPr>
            <w:r w:rsidRPr="006E12B8">
              <w:rPr>
                <w:rFonts w:cs="Arial"/>
                <w:snapToGrid w:val="0"/>
                <w:sz w:val="16"/>
                <w:szCs w:val="16"/>
              </w:rPr>
              <w:t>UPOV code</w:t>
            </w:r>
          </w:p>
        </w:tc>
        <w:tc>
          <w:tcPr>
            <w:tcW w:w="1642" w:type="dxa"/>
          </w:tcPr>
          <w:p w:rsidR="00197D9F" w:rsidRPr="006E12B8" w:rsidRDefault="00197D9F" w:rsidP="001C1DC3">
            <w:pPr>
              <w:keepNext/>
              <w:jc w:val="center"/>
              <w:rPr>
                <w:rFonts w:cs="Arial"/>
                <w:lang w:eastAsia="ja-JP"/>
              </w:rPr>
            </w:pPr>
            <w:r w:rsidRPr="006E12B8">
              <w:rPr>
                <w:rFonts w:cs="Arial"/>
                <w:snapToGrid w:val="0"/>
                <w:sz w:val="16"/>
                <w:szCs w:val="16"/>
              </w:rPr>
              <w:t>Principal botanical name</w:t>
            </w:r>
          </w:p>
        </w:tc>
        <w:tc>
          <w:tcPr>
            <w:tcW w:w="1642" w:type="dxa"/>
          </w:tcPr>
          <w:p w:rsidR="00197D9F" w:rsidRPr="006E12B8" w:rsidRDefault="00197D9F" w:rsidP="001C1DC3">
            <w:pPr>
              <w:keepNext/>
              <w:jc w:val="center"/>
              <w:rPr>
                <w:rFonts w:cs="Arial"/>
                <w:lang w:eastAsia="ja-JP"/>
              </w:rPr>
            </w:pPr>
            <w:r w:rsidRPr="006E12B8">
              <w:rPr>
                <w:rFonts w:cs="Arial"/>
                <w:snapToGrid w:val="0"/>
                <w:sz w:val="16"/>
                <w:szCs w:val="16"/>
              </w:rPr>
              <w:t>Other botanical name(s)</w:t>
            </w:r>
          </w:p>
        </w:tc>
        <w:tc>
          <w:tcPr>
            <w:tcW w:w="1643" w:type="dxa"/>
          </w:tcPr>
          <w:p w:rsidR="00197D9F" w:rsidRPr="006E12B8" w:rsidRDefault="00197D9F" w:rsidP="001C1DC3">
            <w:pPr>
              <w:keepNext/>
              <w:jc w:val="center"/>
              <w:rPr>
                <w:rFonts w:cs="Arial"/>
                <w:lang w:eastAsia="ja-JP"/>
              </w:rPr>
            </w:pPr>
            <w:r w:rsidRPr="006E12B8">
              <w:rPr>
                <w:rFonts w:cs="Arial"/>
                <w:snapToGrid w:val="0"/>
                <w:sz w:val="16"/>
                <w:szCs w:val="16"/>
              </w:rPr>
              <w:t>UPOV code</w:t>
            </w:r>
          </w:p>
        </w:tc>
        <w:tc>
          <w:tcPr>
            <w:tcW w:w="1643" w:type="dxa"/>
          </w:tcPr>
          <w:p w:rsidR="00197D9F" w:rsidRPr="006E12B8" w:rsidRDefault="00197D9F" w:rsidP="001C1DC3">
            <w:pPr>
              <w:keepNext/>
              <w:jc w:val="center"/>
              <w:rPr>
                <w:rFonts w:cs="Arial"/>
                <w:lang w:eastAsia="ja-JP"/>
              </w:rPr>
            </w:pPr>
            <w:r w:rsidRPr="006E12B8">
              <w:rPr>
                <w:rFonts w:cs="Arial"/>
                <w:snapToGrid w:val="0"/>
                <w:sz w:val="16"/>
                <w:szCs w:val="16"/>
              </w:rPr>
              <w:t>Principal botanical name</w:t>
            </w:r>
          </w:p>
        </w:tc>
        <w:tc>
          <w:tcPr>
            <w:tcW w:w="1643" w:type="dxa"/>
          </w:tcPr>
          <w:p w:rsidR="00197D9F" w:rsidRPr="006E12B8" w:rsidRDefault="00197D9F" w:rsidP="001C1DC3">
            <w:pPr>
              <w:keepNext/>
              <w:jc w:val="center"/>
              <w:rPr>
                <w:rFonts w:cs="Arial"/>
                <w:lang w:eastAsia="ja-JP"/>
              </w:rPr>
            </w:pPr>
            <w:r w:rsidRPr="006E12B8">
              <w:rPr>
                <w:rFonts w:cs="Arial"/>
                <w:snapToGrid w:val="0"/>
                <w:sz w:val="16"/>
                <w:szCs w:val="16"/>
              </w:rPr>
              <w:t>Other botanical name(s)</w:t>
            </w:r>
          </w:p>
        </w:tc>
      </w:tr>
      <w:tr w:rsidR="00197D9F" w:rsidRPr="006E12B8" w:rsidTr="001C1DC3">
        <w:tc>
          <w:tcPr>
            <w:tcW w:w="1642" w:type="dxa"/>
          </w:tcPr>
          <w:p w:rsidR="00197D9F" w:rsidRPr="006E12B8" w:rsidRDefault="00197D9F" w:rsidP="001C1DC3">
            <w:pPr>
              <w:keepNext/>
              <w:jc w:val="left"/>
              <w:rPr>
                <w:snapToGrid w:val="0"/>
                <w:sz w:val="16"/>
                <w:szCs w:val="16"/>
              </w:rPr>
            </w:pPr>
            <w:r w:rsidRPr="006E12B8">
              <w:rPr>
                <w:sz w:val="16"/>
                <w:szCs w:val="16"/>
              </w:rPr>
              <w:t>NEOTY</w:t>
            </w:r>
          </w:p>
        </w:tc>
        <w:tc>
          <w:tcPr>
            <w:tcW w:w="1642" w:type="dxa"/>
          </w:tcPr>
          <w:p w:rsidR="00197D9F" w:rsidRPr="006E12B8" w:rsidRDefault="00197D9F" w:rsidP="001C1DC3">
            <w:pPr>
              <w:keepNext/>
              <w:jc w:val="left"/>
              <w:rPr>
                <w:bCs/>
                <w:i/>
                <w:sz w:val="16"/>
                <w:szCs w:val="16"/>
              </w:rPr>
            </w:pPr>
            <w:r w:rsidRPr="006E12B8">
              <w:rPr>
                <w:bCs/>
                <w:i/>
                <w:sz w:val="16"/>
                <w:szCs w:val="16"/>
              </w:rPr>
              <w:t>Neotyphodium</w:t>
            </w:r>
          </w:p>
        </w:tc>
        <w:tc>
          <w:tcPr>
            <w:tcW w:w="1642" w:type="dxa"/>
          </w:tcPr>
          <w:p w:rsidR="00197D9F" w:rsidRPr="006E12B8" w:rsidRDefault="00197D9F" w:rsidP="001C1DC3">
            <w:pPr>
              <w:keepNext/>
              <w:jc w:val="left"/>
              <w:rPr>
                <w:rFonts w:cs="Arial"/>
                <w:i/>
                <w:lang w:eastAsia="ja-JP"/>
              </w:rPr>
            </w:pPr>
            <w:r w:rsidRPr="006E12B8">
              <w:rPr>
                <w:bCs/>
                <w:sz w:val="16"/>
                <w:szCs w:val="16"/>
              </w:rPr>
              <w:t>n.a.</w:t>
            </w:r>
          </w:p>
        </w:tc>
        <w:tc>
          <w:tcPr>
            <w:tcW w:w="1643" w:type="dxa"/>
          </w:tcPr>
          <w:p w:rsidR="00197D9F" w:rsidRPr="006E12B8" w:rsidRDefault="00197D9F" w:rsidP="001C1DC3">
            <w:pPr>
              <w:keepNext/>
              <w:jc w:val="left"/>
              <w:rPr>
                <w:snapToGrid w:val="0"/>
                <w:sz w:val="16"/>
                <w:szCs w:val="16"/>
              </w:rPr>
            </w:pPr>
            <w:r w:rsidRPr="006E12B8">
              <w:rPr>
                <w:sz w:val="16"/>
                <w:szCs w:val="16"/>
              </w:rPr>
              <w:t>EPICH</w:t>
            </w:r>
          </w:p>
        </w:tc>
        <w:tc>
          <w:tcPr>
            <w:tcW w:w="1643" w:type="dxa"/>
          </w:tcPr>
          <w:p w:rsidR="00197D9F" w:rsidRPr="006E12B8" w:rsidRDefault="00197D9F" w:rsidP="001C1DC3">
            <w:pPr>
              <w:keepNext/>
              <w:jc w:val="left"/>
              <w:rPr>
                <w:i/>
                <w:snapToGrid w:val="0"/>
                <w:sz w:val="16"/>
                <w:szCs w:val="16"/>
              </w:rPr>
            </w:pPr>
            <w:r w:rsidRPr="006E12B8">
              <w:rPr>
                <w:bCs/>
                <w:i/>
                <w:sz w:val="16"/>
                <w:szCs w:val="16"/>
              </w:rPr>
              <w:t>Epichloe</w:t>
            </w:r>
            <w:r w:rsidRPr="006E12B8">
              <w:rPr>
                <w:i/>
                <w:sz w:val="16"/>
                <w:szCs w:val="16"/>
              </w:rPr>
              <w:t xml:space="preserve"> </w:t>
            </w:r>
            <w:r w:rsidRPr="006E12B8">
              <w:rPr>
                <w:bCs/>
                <w:sz w:val="16"/>
                <w:szCs w:val="16"/>
              </w:rPr>
              <w:t>(Fr.) Tul. &amp; C. Tul.</w:t>
            </w:r>
          </w:p>
        </w:tc>
        <w:tc>
          <w:tcPr>
            <w:tcW w:w="1643" w:type="dxa"/>
          </w:tcPr>
          <w:p w:rsidR="00197D9F" w:rsidRPr="006E12B8" w:rsidRDefault="00197D9F" w:rsidP="001C1DC3">
            <w:pPr>
              <w:keepNext/>
              <w:jc w:val="left"/>
              <w:rPr>
                <w:bCs/>
                <w:i/>
                <w:sz w:val="16"/>
                <w:szCs w:val="16"/>
              </w:rPr>
            </w:pPr>
            <w:r w:rsidRPr="006E12B8">
              <w:rPr>
                <w:bCs/>
                <w:i/>
                <w:sz w:val="16"/>
                <w:szCs w:val="16"/>
              </w:rPr>
              <w:t xml:space="preserve">Neotyphodium </w:t>
            </w:r>
            <w:r w:rsidRPr="006E12B8">
              <w:rPr>
                <w:bCs/>
                <w:sz w:val="16"/>
                <w:szCs w:val="16"/>
              </w:rPr>
              <w:t>Glenn, C.W. Bacon &amp; Hanlin;</w:t>
            </w:r>
            <w:r w:rsidRPr="006E12B8">
              <w:rPr>
                <w:bCs/>
                <w:i/>
                <w:sz w:val="16"/>
                <w:szCs w:val="16"/>
              </w:rPr>
              <w:t xml:space="preserve"> </w:t>
            </w:r>
          </w:p>
          <w:p w:rsidR="00197D9F" w:rsidRPr="006E12B8" w:rsidRDefault="00197D9F" w:rsidP="001C1DC3">
            <w:pPr>
              <w:keepNext/>
              <w:jc w:val="left"/>
              <w:rPr>
                <w:i/>
                <w:snapToGrid w:val="0"/>
                <w:sz w:val="16"/>
                <w:szCs w:val="16"/>
              </w:rPr>
            </w:pPr>
            <w:r w:rsidRPr="006E12B8">
              <w:rPr>
                <w:bCs/>
                <w:i/>
                <w:sz w:val="16"/>
                <w:szCs w:val="16"/>
              </w:rPr>
              <w:t xml:space="preserve">Cordyceps </w:t>
            </w:r>
            <w:r w:rsidRPr="006E12B8">
              <w:rPr>
                <w:bCs/>
                <w:sz w:val="16"/>
                <w:szCs w:val="16"/>
              </w:rPr>
              <w:t xml:space="preserve">subgen. </w:t>
            </w:r>
            <w:r w:rsidRPr="006E12B8">
              <w:rPr>
                <w:bCs/>
                <w:i/>
                <w:sz w:val="16"/>
                <w:szCs w:val="16"/>
              </w:rPr>
              <w:t xml:space="preserve">Epichloe </w:t>
            </w:r>
            <w:r w:rsidRPr="006E12B8">
              <w:rPr>
                <w:bCs/>
                <w:sz w:val="16"/>
                <w:szCs w:val="16"/>
              </w:rPr>
              <w:t>Fr.</w:t>
            </w:r>
          </w:p>
        </w:tc>
      </w:tr>
      <w:tr w:rsidR="00197D9F" w:rsidRPr="006E12B8" w:rsidTr="001C1DC3">
        <w:tc>
          <w:tcPr>
            <w:tcW w:w="1642" w:type="dxa"/>
          </w:tcPr>
          <w:p w:rsidR="00197D9F" w:rsidRPr="006E12B8" w:rsidRDefault="00197D9F" w:rsidP="001C1DC3">
            <w:pPr>
              <w:keepNext/>
              <w:jc w:val="left"/>
              <w:rPr>
                <w:snapToGrid w:val="0"/>
                <w:sz w:val="16"/>
                <w:szCs w:val="16"/>
              </w:rPr>
            </w:pPr>
            <w:r w:rsidRPr="006E12B8">
              <w:rPr>
                <w:snapToGrid w:val="0"/>
                <w:sz w:val="16"/>
                <w:szCs w:val="16"/>
              </w:rPr>
              <w:t>NEOTY_ACR</w:t>
            </w:r>
          </w:p>
        </w:tc>
        <w:tc>
          <w:tcPr>
            <w:tcW w:w="1642" w:type="dxa"/>
          </w:tcPr>
          <w:p w:rsidR="00197D9F" w:rsidRPr="006E12B8" w:rsidRDefault="00197D9F" w:rsidP="001C1DC3">
            <w:pPr>
              <w:keepNext/>
              <w:jc w:val="left"/>
              <w:rPr>
                <w:bCs/>
                <w:i/>
                <w:sz w:val="16"/>
                <w:szCs w:val="16"/>
              </w:rPr>
            </w:pPr>
            <w:r w:rsidRPr="006E12B8">
              <w:rPr>
                <w:bCs/>
                <w:i/>
                <w:sz w:val="16"/>
                <w:szCs w:val="16"/>
              </w:rPr>
              <w:t>Neotyphodium acremonium</w:t>
            </w:r>
          </w:p>
        </w:tc>
        <w:tc>
          <w:tcPr>
            <w:tcW w:w="1642" w:type="dxa"/>
          </w:tcPr>
          <w:p w:rsidR="00197D9F" w:rsidRPr="006E12B8" w:rsidRDefault="00197D9F" w:rsidP="001C1DC3">
            <w:pPr>
              <w:keepNext/>
              <w:jc w:val="left"/>
              <w:rPr>
                <w:rFonts w:cs="Arial"/>
                <w:i/>
                <w:lang w:eastAsia="ja-JP"/>
              </w:rPr>
            </w:pPr>
            <w:r w:rsidRPr="006E12B8">
              <w:rPr>
                <w:bCs/>
                <w:i/>
                <w:sz w:val="16"/>
                <w:szCs w:val="16"/>
              </w:rPr>
              <w:t>Acremonium</w:t>
            </w:r>
          </w:p>
        </w:tc>
        <w:tc>
          <w:tcPr>
            <w:tcW w:w="1643" w:type="dxa"/>
          </w:tcPr>
          <w:p w:rsidR="00197D9F" w:rsidRPr="006E12B8" w:rsidRDefault="00197D9F" w:rsidP="001C1DC3">
            <w:pPr>
              <w:keepNext/>
              <w:jc w:val="left"/>
              <w:rPr>
                <w:rFonts w:cs="Arial"/>
                <w:lang w:eastAsia="ja-JP"/>
              </w:rPr>
            </w:pPr>
            <w:r w:rsidRPr="006E12B8">
              <w:rPr>
                <w:sz w:val="16"/>
                <w:szCs w:val="16"/>
              </w:rPr>
              <w:t>[to delete]</w:t>
            </w:r>
          </w:p>
        </w:tc>
        <w:tc>
          <w:tcPr>
            <w:tcW w:w="1643" w:type="dxa"/>
          </w:tcPr>
          <w:p w:rsidR="00197D9F" w:rsidRPr="006E12B8" w:rsidRDefault="00197D9F" w:rsidP="001C1DC3">
            <w:pPr>
              <w:keepNext/>
              <w:jc w:val="left"/>
              <w:rPr>
                <w:i/>
                <w:snapToGrid w:val="0"/>
                <w:sz w:val="16"/>
                <w:szCs w:val="16"/>
              </w:rPr>
            </w:pPr>
            <w:r w:rsidRPr="006E12B8">
              <w:rPr>
                <w:bCs/>
                <w:sz w:val="16"/>
                <w:szCs w:val="16"/>
              </w:rPr>
              <w:t>n.a.</w:t>
            </w:r>
          </w:p>
        </w:tc>
        <w:tc>
          <w:tcPr>
            <w:tcW w:w="1643" w:type="dxa"/>
          </w:tcPr>
          <w:p w:rsidR="00197D9F" w:rsidRPr="006E12B8" w:rsidRDefault="00197D9F" w:rsidP="001C1DC3">
            <w:pPr>
              <w:keepNext/>
              <w:jc w:val="left"/>
              <w:rPr>
                <w:i/>
                <w:snapToGrid w:val="0"/>
                <w:sz w:val="16"/>
                <w:szCs w:val="16"/>
              </w:rPr>
            </w:pPr>
            <w:r w:rsidRPr="006E12B8">
              <w:rPr>
                <w:bCs/>
                <w:sz w:val="16"/>
                <w:szCs w:val="16"/>
              </w:rPr>
              <w:t>n.a.</w:t>
            </w:r>
          </w:p>
        </w:tc>
      </w:tr>
      <w:tr w:rsidR="00197D9F" w:rsidRPr="006E12B8" w:rsidTr="001C1DC3">
        <w:tc>
          <w:tcPr>
            <w:tcW w:w="1642" w:type="dxa"/>
          </w:tcPr>
          <w:p w:rsidR="00197D9F" w:rsidRPr="006E12B8" w:rsidRDefault="00197D9F" w:rsidP="001C1DC3">
            <w:pPr>
              <w:keepNext/>
              <w:jc w:val="left"/>
              <w:rPr>
                <w:snapToGrid w:val="0"/>
                <w:sz w:val="16"/>
                <w:szCs w:val="16"/>
              </w:rPr>
            </w:pPr>
            <w:r w:rsidRPr="006E12B8">
              <w:rPr>
                <w:snapToGrid w:val="0"/>
                <w:sz w:val="16"/>
                <w:szCs w:val="16"/>
              </w:rPr>
              <w:t>NEOTY_COE</w:t>
            </w:r>
          </w:p>
        </w:tc>
        <w:tc>
          <w:tcPr>
            <w:tcW w:w="1642" w:type="dxa"/>
          </w:tcPr>
          <w:p w:rsidR="00197D9F" w:rsidRPr="006E12B8" w:rsidRDefault="00197D9F" w:rsidP="001C1DC3">
            <w:pPr>
              <w:keepNext/>
              <w:jc w:val="left"/>
              <w:rPr>
                <w:bCs/>
                <w:i/>
                <w:sz w:val="16"/>
                <w:szCs w:val="16"/>
              </w:rPr>
            </w:pPr>
            <w:r w:rsidRPr="006E12B8">
              <w:rPr>
                <w:bCs/>
                <w:i/>
                <w:sz w:val="16"/>
                <w:szCs w:val="16"/>
              </w:rPr>
              <w:t>Neotyphodium coenophialum</w:t>
            </w:r>
          </w:p>
        </w:tc>
        <w:tc>
          <w:tcPr>
            <w:tcW w:w="1642" w:type="dxa"/>
          </w:tcPr>
          <w:p w:rsidR="00197D9F" w:rsidRPr="006E12B8" w:rsidRDefault="00197D9F" w:rsidP="001C1DC3">
            <w:pPr>
              <w:keepNext/>
              <w:jc w:val="left"/>
              <w:rPr>
                <w:rFonts w:cs="Arial"/>
                <w:lang w:eastAsia="ja-JP"/>
              </w:rPr>
            </w:pPr>
            <w:r w:rsidRPr="006E12B8">
              <w:rPr>
                <w:bCs/>
                <w:sz w:val="16"/>
                <w:szCs w:val="16"/>
              </w:rPr>
              <w:t>n.a.</w:t>
            </w:r>
          </w:p>
        </w:tc>
        <w:tc>
          <w:tcPr>
            <w:tcW w:w="1643" w:type="dxa"/>
          </w:tcPr>
          <w:p w:rsidR="00197D9F" w:rsidRPr="006E12B8" w:rsidRDefault="00197D9F" w:rsidP="001C1DC3">
            <w:pPr>
              <w:keepNext/>
              <w:jc w:val="left"/>
              <w:rPr>
                <w:rFonts w:cs="Arial"/>
                <w:lang w:eastAsia="ja-JP"/>
              </w:rPr>
            </w:pPr>
            <w:r w:rsidRPr="006E12B8">
              <w:rPr>
                <w:sz w:val="16"/>
                <w:szCs w:val="16"/>
              </w:rPr>
              <w:t>EPICH_COE</w:t>
            </w:r>
          </w:p>
        </w:tc>
        <w:tc>
          <w:tcPr>
            <w:tcW w:w="1643" w:type="dxa"/>
          </w:tcPr>
          <w:p w:rsidR="00197D9F" w:rsidRPr="006E12B8" w:rsidRDefault="00197D9F" w:rsidP="001C1DC3">
            <w:pPr>
              <w:keepNext/>
              <w:jc w:val="left"/>
              <w:rPr>
                <w:i/>
                <w:snapToGrid w:val="0"/>
                <w:sz w:val="16"/>
                <w:szCs w:val="16"/>
              </w:rPr>
            </w:pPr>
            <w:r w:rsidRPr="006E12B8">
              <w:rPr>
                <w:i/>
                <w:snapToGrid w:val="0"/>
                <w:sz w:val="16"/>
                <w:szCs w:val="16"/>
              </w:rPr>
              <w:t xml:space="preserve">Epichloe coenophiala </w:t>
            </w:r>
            <w:r w:rsidRPr="006E12B8">
              <w:rPr>
                <w:snapToGrid w:val="0"/>
                <w:sz w:val="16"/>
                <w:szCs w:val="16"/>
              </w:rPr>
              <w:t>(Morgan-Jones &amp; W. Gams) C.W. Bacon &amp; Schardl</w:t>
            </w:r>
          </w:p>
        </w:tc>
        <w:tc>
          <w:tcPr>
            <w:tcW w:w="1643" w:type="dxa"/>
          </w:tcPr>
          <w:p w:rsidR="00197D9F" w:rsidRPr="006E12B8" w:rsidRDefault="00197D9F" w:rsidP="001C1DC3">
            <w:pPr>
              <w:keepNext/>
              <w:jc w:val="left"/>
              <w:rPr>
                <w:snapToGrid w:val="0"/>
                <w:sz w:val="16"/>
                <w:szCs w:val="16"/>
              </w:rPr>
            </w:pPr>
            <w:r w:rsidRPr="006E12B8">
              <w:rPr>
                <w:i/>
                <w:snapToGrid w:val="0"/>
                <w:sz w:val="16"/>
                <w:szCs w:val="16"/>
              </w:rPr>
              <w:t xml:space="preserve">Acremonium coenophialum </w:t>
            </w:r>
            <w:r w:rsidRPr="006E12B8">
              <w:rPr>
                <w:snapToGrid w:val="0"/>
                <w:sz w:val="16"/>
                <w:szCs w:val="16"/>
              </w:rPr>
              <w:t>Morgan-Jones &amp; W. Gams;</w:t>
            </w:r>
            <w:r w:rsidRPr="006E12B8">
              <w:rPr>
                <w:i/>
              </w:rPr>
              <w:t xml:space="preserve"> </w:t>
            </w:r>
            <w:r w:rsidRPr="006E12B8">
              <w:rPr>
                <w:i/>
                <w:snapToGrid w:val="0"/>
                <w:sz w:val="16"/>
                <w:szCs w:val="16"/>
              </w:rPr>
              <w:t xml:space="preserve">Neotyphodium coenophialum </w:t>
            </w:r>
            <w:r w:rsidRPr="006E12B8">
              <w:rPr>
                <w:snapToGrid w:val="0"/>
                <w:sz w:val="16"/>
                <w:szCs w:val="16"/>
              </w:rPr>
              <w:t>(Morgan-Jones &amp; W. Gams) Glenn, C.W. Bacon &amp; Hanlin;</w:t>
            </w:r>
          </w:p>
          <w:p w:rsidR="00197D9F" w:rsidRPr="006E12B8" w:rsidRDefault="00197D9F" w:rsidP="001C1DC3">
            <w:pPr>
              <w:keepNext/>
              <w:jc w:val="left"/>
              <w:rPr>
                <w:i/>
                <w:snapToGrid w:val="0"/>
                <w:sz w:val="16"/>
                <w:szCs w:val="16"/>
              </w:rPr>
            </w:pPr>
            <w:r w:rsidRPr="006E12B8">
              <w:rPr>
                <w:i/>
                <w:snapToGrid w:val="0"/>
                <w:sz w:val="16"/>
                <w:szCs w:val="16"/>
              </w:rPr>
              <w:t xml:space="preserve">Epichloe typhina sensu </w:t>
            </w:r>
            <w:r w:rsidRPr="006E12B8">
              <w:rPr>
                <w:snapToGrid w:val="0"/>
                <w:sz w:val="16"/>
                <w:szCs w:val="16"/>
              </w:rPr>
              <w:t xml:space="preserve">Neill </w:t>
            </w:r>
          </w:p>
        </w:tc>
      </w:tr>
      <w:tr w:rsidR="00197D9F" w:rsidRPr="00E333B1" w:rsidTr="001C1DC3">
        <w:tc>
          <w:tcPr>
            <w:tcW w:w="1642" w:type="dxa"/>
          </w:tcPr>
          <w:p w:rsidR="00197D9F" w:rsidRPr="006E12B8" w:rsidRDefault="00197D9F" w:rsidP="001C1DC3">
            <w:pPr>
              <w:jc w:val="left"/>
              <w:rPr>
                <w:snapToGrid w:val="0"/>
                <w:sz w:val="16"/>
                <w:szCs w:val="16"/>
              </w:rPr>
            </w:pPr>
            <w:r w:rsidRPr="006E12B8">
              <w:rPr>
                <w:snapToGrid w:val="0"/>
                <w:sz w:val="16"/>
                <w:szCs w:val="16"/>
              </w:rPr>
              <w:t>NEOTY_LOL</w:t>
            </w:r>
          </w:p>
        </w:tc>
        <w:tc>
          <w:tcPr>
            <w:tcW w:w="1642" w:type="dxa"/>
          </w:tcPr>
          <w:p w:rsidR="00197D9F" w:rsidRPr="006E12B8" w:rsidRDefault="00197D9F" w:rsidP="001C1DC3">
            <w:pPr>
              <w:jc w:val="left"/>
              <w:rPr>
                <w:bCs/>
                <w:i/>
                <w:sz w:val="16"/>
                <w:szCs w:val="16"/>
              </w:rPr>
            </w:pPr>
            <w:r w:rsidRPr="006E12B8">
              <w:rPr>
                <w:bCs/>
                <w:i/>
                <w:sz w:val="16"/>
                <w:szCs w:val="16"/>
              </w:rPr>
              <w:t>Neotyphodium lolii</w:t>
            </w:r>
          </w:p>
        </w:tc>
        <w:tc>
          <w:tcPr>
            <w:tcW w:w="1642" w:type="dxa"/>
          </w:tcPr>
          <w:p w:rsidR="00197D9F" w:rsidRPr="006E12B8" w:rsidRDefault="00197D9F" w:rsidP="001C1DC3">
            <w:pPr>
              <w:jc w:val="left"/>
              <w:rPr>
                <w:rFonts w:cs="Arial"/>
                <w:lang w:eastAsia="ja-JP"/>
              </w:rPr>
            </w:pPr>
            <w:r w:rsidRPr="006E12B8">
              <w:rPr>
                <w:bCs/>
                <w:sz w:val="16"/>
                <w:szCs w:val="16"/>
              </w:rPr>
              <w:t>n.a.</w:t>
            </w:r>
          </w:p>
        </w:tc>
        <w:tc>
          <w:tcPr>
            <w:tcW w:w="1643" w:type="dxa"/>
          </w:tcPr>
          <w:p w:rsidR="00197D9F" w:rsidRPr="006E12B8" w:rsidRDefault="00197D9F" w:rsidP="001C1DC3">
            <w:pPr>
              <w:jc w:val="left"/>
              <w:rPr>
                <w:bCs/>
                <w:sz w:val="16"/>
                <w:szCs w:val="16"/>
              </w:rPr>
            </w:pPr>
            <w:r w:rsidRPr="006E12B8">
              <w:rPr>
                <w:snapToGrid w:val="0"/>
                <w:sz w:val="16"/>
                <w:szCs w:val="16"/>
              </w:rPr>
              <w:t>[ELSIN_LOL]</w:t>
            </w:r>
          </w:p>
        </w:tc>
        <w:tc>
          <w:tcPr>
            <w:tcW w:w="1643" w:type="dxa"/>
          </w:tcPr>
          <w:p w:rsidR="00197D9F" w:rsidRPr="006E12B8" w:rsidRDefault="00197D9F" w:rsidP="001C1DC3">
            <w:pPr>
              <w:jc w:val="left"/>
              <w:rPr>
                <w:bCs/>
                <w:i/>
                <w:sz w:val="16"/>
                <w:szCs w:val="16"/>
              </w:rPr>
            </w:pPr>
            <w:r w:rsidRPr="006E12B8">
              <w:rPr>
                <w:bCs/>
                <w:i/>
                <w:sz w:val="16"/>
                <w:szCs w:val="16"/>
              </w:rPr>
              <w:t xml:space="preserve">Elsinoe lolii </w:t>
            </w:r>
          </w:p>
          <w:p w:rsidR="00197D9F" w:rsidRPr="006E12B8" w:rsidRDefault="00197D9F" w:rsidP="001C1DC3">
            <w:pPr>
              <w:jc w:val="left"/>
              <w:rPr>
                <w:bCs/>
                <w:i/>
                <w:sz w:val="16"/>
                <w:szCs w:val="16"/>
              </w:rPr>
            </w:pPr>
            <w:r w:rsidRPr="006E12B8">
              <w:rPr>
                <w:bCs/>
                <w:sz w:val="16"/>
                <w:szCs w:val="16"/>
              </w:rPr>
              <w:t>[once published in a Code compliant form]</w:t>
            </w:r>
          </w:p>
        </w:tc>
        <w:tc>
          <w:tcPr>
            <w:tcW w:w="1643" w:type="dxa"/>
          </w:tcPr>
          <w:p w:rsidR="00197D9F" w:rsidRPr="00906AD6" w:rsidRDefault="00197D9F" w:rsidP="001C1DC3">
            <w:pPr>
              <w:jc w:val="left"/>
              <w:rPr>
                <w:i/>
                <w:snapToGrid w:val="0"/>
                <w:sz w:val="16"/>
                <w:szCs w:val="16"/>
              </w:rPr>
            </w:pPr>
            <w:r w:rsidRPr="006E12B8">
              <w:rPr>
                <w:bCs/>
                <w:i/>
                <w:sz w:val="16"/>
                <w:szCs w:val="16"/>
              </w:rPr>
              <w:t xml:space="preserve">Neotyphodium lolii </w:t>
            </w:r>
            <w:r w:rsidRPr="006E12B8">
              <w:rPr>
                <w:bCs/>
                <w:sz w:val="16"/>
                <w:szCs w:val="16"/>
              </w:rPr>
              <w:t xml:space="preserve">(Latch, M.J. Chr. </w:t>
            </w:r>
            <w:r w:rsidRPr="00906AD6">
              <w:rPr>
                <w:bCs/>
                <w:sz w:val="16"/>
                <w:szCs w:val="16"/>
              </w:rPr>
              <w:t>&amp; Samuels) Glenn, C.W. Bacon &amp; Hanlin</w:t>
            </w:r>
          </w:p>
        </w:tc>
      </w:tr>
      <w:tr w:rsidR="00197D9F" w:rsidRPr="00425396" w:rsidTr="001C1DC3">
        <w:tc>
          <w:tcPr>
            <w:tcW w:w="1642" w:type="dxa"/>
          </w:tcPr>
          <w:p w:rsidR="00197D9F" w:rsidRPr="006E12B8" w:rsidRDefault="00197D9F" w:rsidP="001C1DC3">
            <w:pPr>
              <w:jc w:val="left"/>
              <w:rPr>
                <w:snapToGrid w:val="0"/>
                <w:sz w:val="16"/>
                <w:szCs w:val="16"/>
              </w:rPr>
            </w:pPr>
            <w:r w:rsidRPr="006E12B8">
              <w:rPr>
                <w:snapToGrid w:val="0"/>
                <w:sz w:val="16"/>
                <w:szCs w:val="16"/>
              </w:rPr>
              <w:t>NEOTY_UNC</w:t>
            </w:r>
          </w:p>
        </w:tc>
        <w:tc>
          <w:tcPr>
            <w:tcW w:w="1642" w:type="dxa"/>
          </w:tcPr>
          <w:p w:rsidR="00197D9F" w:rsidRPr="006E12B8" w:rsidRDefault="00197D9F" w:rsidP="001C1DC3">
            <w:pPr>
              <w:jc w:val="left"/>
              <w:rPr>
                <w:bCs/>
                <w:i/>
                <w:sz w:val="16"/>
                <w:szCs w:val="16"/>
              </w:rPr>
            </w:pPr>
            <w:r w:rsidRPr="006E12B8">
              <w:rPr>
                <w:bCs/>
                <w:i/>
                <w:sz w:val="16"/>
                <w:szCs w:val="16"/>
              </w:rPr>
              <w:t xml:space="preserve">Neotyphodium uncinatum </w:t>
            </w:r>
            <w:r w:rsidRPr="006E12B8">
              <w:rPr>
                <w:bCs/>
                <w:sz w:val="16"/>
                <w:szCs w:val="16"/>
              </w:rPr>
              <w:t>(W. Gams, Petrini &amp; D. Schmidt) Glenn, C.W. Bacon &amp; Hanlin</w:t>
            </w:r>
          </w:p>
        </w:tc>
        <w:tc>
          <w:tcPr>
            <w:tcW w:w="1642" w:type="dxa"/>
          </w:tcPr>
          <w:p w:rsidR="00197D9F" w:rsidRPr="006E12B8" w:rsidRDefault="00197D9F" w:rsidP="001C1DC3">
            <w:pPr>
              <w:jc w:val="left"/>
              <w:rPr>
                <w:rFonts w:cs="Arial"/>
                <w:lang w:eastAsia="ja-JP"/>
              </w:rPr>
            </w:pPr>
            <w:r w:rsidRPr="006E12B8">
              <w:rPr>
                <w:bCs/>
                <w:sz w:val="16"/>
                <w:szCs w:val="16"/>
              </w:rPr>
              <w:t>n.a.</w:t>
            </w:r>
          </w:p>
        </w:tc>
        <w:tc>
          <w:tcPr>
            <w:tcW w:w="1643" w:type="dxa"/>
          </w:tcPr>
          <w:p w:rsidR="00197D9F" w:rsidRPr="006E12B8" w:rsidRDefault="00197D9F" w:rsidP="001C1DC3">
            <w:pPr>
              <w:jc w:val="left"/>
              <w:rPr>
                <w:bCs/>
                <w:sz w:val="16"/>
                <w:szCs w:val="16"/>
              </w:rPr>
            </w:pPr>
            <w:r w:rsidRPr="006E12B8">
              <w:rPr>
                <w:snapToGrid w:val="0"/>
                <w:sz w:val="16"/>
                <w:szCs w:val="16"/>
              </w:rPr>
              <w:t>EPICH_UNC</w:t>
            </w:r>
          </w:p>
        </w:tc>
        <w:tc>
          <w:tcPr>
            <w:tcW w:w="1643" w:type="dxa"/>
          </w:tcPr>
          <w:p w:rsidR="00197D9F" w:rsidRPr="006E12B8" w:rsidRDefault="00197D9F" w:rsidP="001C1DC3">
            <w:pPr>
              <w:jc w:val="left"/>
              <w:rPr>
                <w:bCs/>
                <w:i/>
                <w:sz w:val="16"/>
                <w:szCs w:val="16"/>
              </w:rPr>
            </w:pPr>
            <w:r w:rsidRPr="006E12B8">
              <w:rPr>
                <w:bCs/>
                <w:i/>
                <w:sz w:val="16"/>
                <w:szCs w:val="16"/>
              </w:rPr>
              <w:t xml:space="preserve">Epichloe uncinata </w:t>
            </w:r>
            <w:r w:rsidRPr="006E12B8">
              <w:rPr>
                <w:bCs/>
                <w:sz w:val="16"/>
                <w:szCs w:val="16"/>
              </w:rPr>
              <w:t>(W. Gams, Petrini &amp; D. Schmidt) Leuchtm. &amp; Schardl</w:t>
            </w:r>
          </w:p>
        </w:tc>
        <w:tc>
          <w:tcPr>
            <w:tcW w:w="1643" w:type="dxa"/>
          </w:tcPr>
          <w:p w:rsidR="00197D9F" w:rsidRPr="006E12B8" w:rsidRDefault="00197D9F" w:rsidP="001C1DC3">
            <w:pPr>
              <w:jc w:val="left"/>
              <w:rPr>
                <w:i/>
                <w:snapToGrid w:val="0"/>
                <w:sz w:val="16"/>
                <w:szCs w:val="16"/>
              </w:rPr>
            </w:pPr>
            <w:r w:rsidRPr="006E12B8">
              <w:rPr>
                <w:i/>
                <w:snapToGrid w:val="0"/>
                <w:sz w:val="16"/>
                <w:szCs w:val="16"/>
              </w:rPr>
              <w:t xml:space="preserve">Acremonium uncinatum </w:t>
            </w:r>
            <w:r w:rsidRPr="006E12B8">
              <w:rPr>
                <w:snapToGrid w:val="0"/>
                <w:sz w:val="16"/>
                <w:szCs w:val="16"/>
              </w:rPr>
              <w:t>W. Gams, Petrini &amp; D. Schmidt;</w:t>
            </w:r>
          </w:p>
          <w:p w:rsidR="00197D9F" w:rsidRPr="00425396" w:rsidRDefault="00197D9F" w:rsidP="001C1DC3">
            <w:pPr>
              <w:jc w:val="left"/>
              <w:rPr>
                <w:i/>
                <w:snapToGrid w:val="0"/>
                <w:sz w:val="16"/>
                <w:szCs w:val="16"/>
              </w:rPr>
            </w:pPr>
            <w:r w:rsidRPr="006E12B8">
              <w:rPr>
                <w:i/>
                <w:snapToGrid w:val="0"/>
                <w:sz w:val="16"/>
                <w:szCs w:val="16"/>
              </w:rPr>
              <w:t xml:space="preserve">Neotyphodium uncinatum </w:t>
            </w:r>
            <w:r w:rsidRPr="006E12B8">
              <w:rPr>
                <w:snapToGrid w:val="0"/>
                <w:sz w:val="16"/>
                <w:szCs w:val="16"/>
              </w:rPr>
              <w:t>(W. Gams, Petrini &amp; D. Schmidt) Glenn, C.W. Bacon &amp; Hanlin</w:t>
            </w:r>
          </w:p>
        </w:tc>
      </w:tr>
    </w:tbl>
    <w:p w:rsidR="00197D9F" w:rsidRDefault="00197D9F" w:rsidP="00197D9F">
      <w:pPr>
        <w:spacing w:line="360" w:lineRule="auto"/>
      </w:pPr>
    </w:p>
    <w:p w:rsidR="00197D9F" w:rsidRPr="00F313AA" w:rsidRDefault="00197D9F" w:rsidP="009C38B6">
      <w:pPr>
        <w:pStyle w:val="Heading3"/>
        <w:rPr>
          <w:lang w:val="en-US"/>
        </w:rPr>
      </w:pPr>
      <w:bookmarkStart w:id="22" w:name="_Toc477797643"/>
      <w:bookmarkStart w:id="23" w:name="_Toc525734062"/>
      <w:bookmarkStart w:id="24" w:name="_Toc525745348"/>
      <w:r w:rsidRPr="00F313AA">
        <w:rPr>
          <w:lang w:val="en-US"/>
        </w:rPr>
        <w:t>PLUTO database</w:t>
      </w:r>
      <w:bookmarkEnd w:id="22"/>
      <w:bookmarkEnd w:id="23"/>
      <w:bookmarkEnd w:id="24"/>
    </w:p>
    <w:p w:rsidR="00197D9F" w:rsidRDefault="00197D9F" w:rsidP="00197D9F">
      <w:pPr>
        <w:keepNext/>
      </w:pPr>
    </w:p>
    <w:p w:rsidR="00197D9F" w:rsidRDefault="00197D9F" w:rsidP="00197D9F">
      <w:r>
        <w:fldChar w:fldCharType="begin"/>
      </w:r>
      <w:r>
        <w:instrText xml:space="preserve"> AUTONUM  </w:instrText>
      </w:r>
      <w:r>
        <w:fldChar w:fldCharType="end"/>
      </w:r>
      <w:r>
        <w:tab/>
        <w:t>The TC noted the summary of contributions to the PLUTO database from 2014 to 2017 and the current situation of members of the Union on data contribution, as presented in document TC/54/6, Annex II.</w:t>
      </w:r>
    </w:p>
    <w:p w:rsidR="00197D9F" w:rsidRDefault="00197D9F" w:rsidP="00197D9F"/>
    <w:p w:rsidR="00197D9F" w:rsidRDefault="00197D9F" w:rsidP="00197D9F">
      <w:r>
        <w:fldChar w:fldCharType="begin"/>
      </w:r>
      <w:r>
        <w:instrText xml:space="preserve"> AUTONUM  </w:instrText>
      </w:r>
      <w:r>
        <w:fldChar w:fldCharType="end"/>
      </w:r>
      <w:r>
        <w:tab/>
        <w:t>The TC noted that the WG-DEN, at its fourth meeting, had agreed that matters under agenda item 5 “Expansion of the content of the PLUTO database” would be considered at its fifth meeting.</w:t>
      </w:r>
    </w:p>
    <w:p w:rsidR="00E64891" w:rsidRPr="001E2269" w:rsidRDefault="00E64891" w:rsidP="009C38B6">
      <w:pPr>
        <w:pStyle w:val="Heading2"/>
      </w:pPr>
      <w:r w:rsidRPr="001E2269">
        <w:lastRenderedPageBreak/>
        <w:t>Exchange and use of software and equipment (document CAJ/75/10)</w:t>
      </w:r>
    </w:p>
    <w:p w:rsidR="00951F96" w:rsidRDefault="00951F96" w:rsidP="00197D9F">
      <w:pPr>
        <w:keepNext/>
      </w:pPr>
    </w:p>
    <w:p w:rsidR="00B30D7E" w:rsidRPr="00F313AA" w:rsidRDefault="00B30D7E" w:rsidP="009C38B6">
      <w:pPr>
        <w:pStyle w:val="Heading3"/>
        <w:rPr>
          <w:rFonts w:eastAsia="MS Mincho"/>
          <w:lang w:val="en-US"/>
        </w:rPr>
      </w:pPr>
      <w:bookmarkStart w:id="25" w:name="_Toc525565779"/>
      <w:r w:rsidRPr="00F313AA">
        <w:rPr>
          <w:snapToGrid w:val="0"/>
          <w:lang w:val="en-US"/>
        </w:rPr>
        <w:t>Document UPOV/INF/16 “Exchangeable Software”</w:t>
      </w:r>
      <w:bookmarkEnd w:id="25"/>
    </w:p>
    <w:p w:rsidR="00B30D7E" w:rsidRDefault="00B30D7E" w:rsidP="00197D9F">
      <w:pPr>
        <w:keepNext/>
        <w:rPr>
          <w:rFonts w:eastAsia="MS Mincho"/>
        </w:rPr>
      </w:pPr>
    </w:p>
    <w:p w:rsidR="00B30D7E" w:rsidRPr="00F313AA" w:rsidRDefault="00B30D7E" w:rsidP="009C38B6">
      <w:pPr>
        <w:pStyle w:val="Heading4"/>
        <w:rPr>
          <w:lang w:val="en-US"/>
        </w:rPr>
      </w:pPr>
      <w:bookmarkStart w:id="26" w:name="_Toc525565780"/>
      <w:r w:rsidRPr="00F313AA">
        <w:rPr>
          <w:rFonts w:hint="eastAsia"/>
          <w:lang w:val="en-US"/>
        </w:rPr>
        <w:t xml:space="preserve">Adoption of </w:t>
      </w:r>
      <w:r w:rsidRPr="00F313AA">
        <w:rPr>
          <w:lang w:val="en-US"/>
        </w:rPr>
        <w:t>document UPOV/INF/16</w:t>
      </w:r>
      <w:r w:rsidRPr="00F313AA">
        <w:rPr>
          <w:rFonts w:hint="eastAsia"/>
          <w:lang w:val="en-US"/>
        </w:rPr>
        <w:t>/</w:t>
      </w:r>
      <w:r w:rsidRPr="00F313AA">
        <w:rPr>
          <w:lang w:val="en-US"/>
        </w:rPr>
        <w:t>7</w:t>
      </w:r>
      <w:bookmarkEnd w:id="26"/>
    </w:p>
    <w:p w:rsidR="00B30D7E" w:rsidRPr="003D7DFF" w:rsidRDefault="00B30D7E" w:rsidP="00197D9F">
      <w:pPr>
        <w:keepNext/>
        <w:rPr>
          <w:rFonts w:eastAsia="MS Mincho"/>
          <w:lang w:eastAsia="ja-JP"/>
        </w:rPr>
      </w:pPr>
    </w:p>
    <w:p w:rsidR="00B30D7E" w:rsidRDefault="00B30D7E" w:rsidP="00F313AA">
      <w:pPr>
        <w:spacing w:after="240"/>
        <w:rPr>
          <w:rFonts w:eastAsia="MS Mincho"/>
        </w:rPr>
      </w:pPr>
      <w:r>
        <w:rPr>
          <w:rFonts w:eastAsia="MS Mincho"/>
        </w:rPr>
        <w:fldChar w:fldCharType="begin"/>
      </w:r>
      <w:r>
        <w:rPr>
          <w:rFonts w:eastAsia="MS Mincho"/>
        </w:rPr>
        <w:instrText xml:space="preserve"> AUTONUM  </w:instrText>
      </w:r>
      <w:r>
        <w:rPr>
          <w:rFonts w:eastAsia="MS Mincho"/>
        </w:rPr>
        <w:fldChar w:fldCharType="end"/>
      </w:r>
      <w:r>
        <w:rPr>
          <w:rFonts w:eastAsia="MS Mincho"/>
        </w:rPr>
        <w:tab/>
        <w:t>The TC noted</w:t>
      </w:r>
      <w:r w:rsidRPr="003D7DFF">
        <w:rPr>
          <w:rFonts w:eastAsia="MS Mincho"/>
        </w:rPr>
        <w:t xml:space="preserve"> that the Council, at its fifty-first ordinary session, held in Geneva, on October 26, 2017, </w:t>
      </w:r>
      <w:r>
        <w:rPr>
          <w:rFonts w:eastAsia="MS Mincho"/>
        </w:rPr>
        <w:t xml:space="preserve">had </w:t>
      </w:r>
      <w:r w:rsidRPr="003D7DFF">
        <w:rPr>
          <w:rFonts w:eastAsia="MS Mincho"/>
        </w:rPr>
        <w:t>adopted document UPOV/INF/16/7 “Exchangeable Software”</w:t>
      </w:r>
      <w:r>
        <w:rPr>
          <w:rFonts w:eastAsia="MS Mincho"/>
        </w:rPr>
        <w:t xml:space="preserve">. </w:t>
      </w:r>
    </w:p>
    <w:p w:rsidR="00B30D7E" w:rsidRPr="00F313AA" w:rsidRDefault="00B30D7E" w:rsidP="009C38B6">
      <w:pPr>
        <w:pStyle w:val="Heading4"/>
        <w:rPr>
          <w:lang w:val="en-US"/>
        </w:rPr>
      </w:pPr>
      <w:bookmarkStart w:id="27" w:name="_Toc525565781"/>
      <w:r w:rsidRPr="00F313AA">
        <w:rPr>
          <w:rFonts w:hint="eastAsia"/>
          <w:lang w:val="en-US"/>
        </w:rPr>
        <w:t xml:space="preserve">Revision of </w:t>
      </w:r>
      <w:r w:rsidRPr="00F313AA">
        <w:rPr>
          <w:lang w:val="en-US"/>
        </w:rPr>
        <w:t>document UPOV/INF/16</w:t>
      </w:r>
      <w:r w:rsidRPr="00F313AA">
        <w:rPr>
          <w:rFonts w:hint="eastAsia"/>
          <w:lang w:val="en-US"/>
        </w:rPr>
        <w:t>/</w:t>
      </w:r>
      <w:r w:rsidRPr="00F313AA">
        <w:rPr>
          <w:lang w:val="en-US"/>
        </w:rPr>
        <w:t>7</w:t>
      </w:r>
      <w:bookmarkEnd w:id="27"/>
    </w:p>
    <w:p w:rsidR="00B30D7E" w:rsidRDefault="00B30D7E" w:rsidP="00197D9F">
      <w:pPr>
        <w:keepNext/>
        <w:rPr>
          <w:rFonts w:eastAsia="MS Mincho"/>
        </w:rPr>
      </w:pPr>
    </w:p>
    <w:p w:rsidR="00B30D7E" w:rsidRDefault="00B30D7E" w:rsidP="00B30D7E">
      <w:pPr>
        <w:rPr>
          <w:lang w:eastAsia="ja-JP"/>
        </w:rPr>
      </w:pPr>
      <w:r>
        <w:rPr>
          <w:rFonts w:eastAsia="MS Mincho"/>
        </w:rPr>
        <w:fldChar w:fldCharType="begin"/>
      </w:r>
      <w:r>
        <w:rPr>
          <w:rFonts w:eastAsia="MS Mincho"/>
        </w:rPr>
        <w:instrText xml:space="preserve"> AUTONUM  </w:instrText>
      </w:r>
      <w:r>
        <w:rPr>
          <w:rFonts w:eastAsia="MS Mincho"/>
        </w:rPr>
        <w:fldChar w:fldCharType="end"/>
      </w:r>
      <w:r>
        <w:rPr>
          <w:rFonts w:eastAsia="MS Mincho"/>
        </w:rPr>
        <w:tab/>
        <w:t xml:space="preserve">The TC </w:t>
      </w:r>
      <w:r>
        <w:rPr>
          <w:lang w:eastAsia="ja-JP"/>
        </w:rPr>
        <w:t xml:space="preserve">agreed to propose a revision of document UPOV/INF/16/7 to </w:t>
      </w:r>
      <w:r w:rsidRPr="00170BBA">
        <w:rPr>
          <w:lang w:eastAsia="ja-JP"/>
        </w:rPr>
        <w:t xml:space="preserve">incorporate </w:t>
      </w:r>
      <w:r>
        <w:rPr>
          <w:lang w:eastAsia="ja-JP"/>
        </w:rPr>
        <w:t xml:space="preserve">the </w:t>
      </w:r>
      <w:r w:rsidRPr="00170BBA">
        <w:rPr>
          <w:lang w:eastAsia="ja-JP"/>
        </w:rPr>
        <w:t>information on the use of GAIA software</w:t>
      </w:r>
      <w:r>
        <w:rPr>
          <w:lang w:eastAsia="ja-JP"/>
        </w:rPr>
        <w:t xml:space="preserve"> currently contained in</w:t>
      </w:r>
      <w:r>
        <w:rPr>
          <w:snapToGrid w:val="0"/>
        </w:rPr>
        <w:t xml:space="preserve"> </w:t>
      </w:r>
      <w:r w:rsidRPr="008C25E1">
        <w:rPr>
          <w:snapToGrid w:val="0"/>
        </w:rPr>
        <w:t>d</w:t>
      </w:r>
      <w:r w:rsidRPr="008C25E1">
        <w:t>ocument</w:t>
      </w:r>
      <w:r>
        <w:t xml:space="preserve"> </w:t>
      </w:r>
      <w:r w:rsidRPr="00294402">
        <w:t>UPOV/INF/</w:t>
      </w:r>
      <w:r>
        <w:t>22/4</w:t>
      </w:r>
      <w:r w:rsidRPr="00170BBA">
        <w:rPr>
          <w:lang w:eastAsia="ja-JP"/>
        </w:rPr>
        <w:t>,</w:t>
      </w:r>
      <w:r>
        <w:rPr>
          <w:lang w:eastAsia="ja-JP"/>
        </w:rPr>
        <w:t xml:space="preserve"> </w:t>
      </w:r>
      <w:r w:rsidRPr="00452EC5">
        <w:rPr>
          <w:lang w:eastAsia="ja-JP"/>
        </w:rPr>
        <w:t>as presented in document UPOV/INF/16/8 Draft 1</w:t>
      </w:r>
      <w:r>
        <w:rPr>
          <w:lang w:eastAsia="ja-JP"/>
        </w:rPr>
        <w:t>.</w:t>
      </w:r>
    </w:p>
    <w:p w:rsidR="00B30D7E" w:rsidRDefault="00B30D7E" w:rsidP="00B30D7E">
      <w:pPr>
        <w:rPr>
          <w:lang w:eastAsia="ja-JP"/>
        </w:rPr>
      </w:pPr>
    </w:p>
    <w:p w:rsidR="00B30D7E" w:rsidRDefault="00B30D7E" w:rsidP="009C38B6">
      <w:pPr>
        <w:spacing w:after="360"/>
        <w:rPr>
          <w:rFonts w:eastAsia="MS Mincho"/>
        </w:rPr>
      </w:pPr>
      <w:r>
        <w:rPr>
          <w:rFonts w:eastAsia="MS Mincho"/>
        </w:rPr>
        <w:fldChar w:fldCharType="begin"/>
      </w:r>
      <w:r>
        <w:rPr>
          <w:rFonts w:eastAsia="MS Mincho"/>
        </w:rPr>
        <w:instrText xml:space="preserve"> AUTONUM  </w:instrText>
      </w:r>
      <w:r>
        <w:rPr>
          <w:rFonts w:eastAsia="MS Mincho"/>
        </w:rPr>
        <w:fldChar w:fldCharType="end"/>
      </w:r>
      <w:r>
        <w:rPr>
          <w:rFonts w:eastAsia="MS Mincho"/>
        </w:rPr>
        <w:tab/>
        <w:t xml:space="preserve">The TC </w:t>
      </w:r>
      <w:r>
        <w:rPr>
          <w:lang w:eastAsia="ja-JP"/>
        </w:rPr>
        <w:t>noted that the comments of the TC, at its fifty-fourth session, concerning the use of software by members of the Union, would be reported to the CAJ at its seventy-fifth session, to be held in Geneva on October 31, 2018, and if agreed by the CAJ, a draft of document UPOV/INF/16/8 would be presented for adoption by the Council at its fifty-second ordinary session, to be held on November 2, 2018, on that basis.</w:t>
      </w:r>
    </w:p>
    <w:p w:rsidR="00B30D7E" w:rsidRPr="009C38B6" w:rsidRDefault="00B30D7E" w:rsidP="009C38B6">
      <w:pPr>
        <w:pStyle w:val="Heading3"/>
        <w:rPr>
          <w:lang w:val="en-US" w:eastAsia="ja-JP"/>
        </w:rPr>
      </w:pPr>
      <w:bookmarkStart w:id="28" w:name="_Toc525565784"/>
      <w:r w:rsidRPr="009C38B6">
        <w:rPr>
          <w:lang w:val="en-US"/>
        </w:rPr>
        <w:t>Document</w:t>
      </w:r>
      <w:r w:rsidRPr="009C38B6">
        <w:rPr>
          <w:rFonts w:hint="eastAsia"/>
          <w:lang w:val="en-US" w:eastAsia="ja-JP"/>
        </w:rPr>
        <w:t xml:space="preserve"> </w:t>
      </w:r>
      <w:r w:rsidRPr="009C38B6">
        <w:rPr>
          <w:snapToGrid w:val="0"/>
          <w:lang w:val="en-US"/>
        </w:rPr>
        <w:t>UPOV/INF/22 “Software and equipment used by members of the Union”</w:t>
      </w:r>
      <w:bookmarkEnd w:id="28"/>
    </w:p>
    <w:p w:rsidR="00B30D7E" w:rsidRDefault="00B30D7E" w:rsidP="00B30D7E">
      <w:pPr>
        <w:keepNext/>
        <w:rPr>
          <w:rFonts w:eastAsia="MS Mincho"/>
          <w:u w:val="single"/>
        </w:rPr>
      </w:pPr>
    </w:p>
    <w:p w:rsidR="00B30D7E" w:rsidRPr="00F313AA" w:rsidRDefault="00B30D7E" w:rsidP="009C38B6">
      <w:pPr>
        <w:pStyle w:val="Heading4"/>
        <w:rPr>
          <w:lang w:val="en-US"/>
        </w:rPr>
      </w:pPr>
      <w:bookmarkStart w:id="29" w:name="_Toc525565785"/>
      <w:r w:rsidRPr="00F313AA">
        <w:rPr>
          <w:lang w:val="en-US"/>
        </w:rPr>
        <w:t>Adoption of document UPOV/INF/22/4</w:t>
      </w:r>
      <w:bookmarkEnd w:id="29"/>
    </w:p>
    <w:p w:rsidR="00B30D7E" w:rsidRDefault="00B30D7E" w:rsidP="00B30D7E">
      <w:pPr>
        <w:keepNext/>
        <w:rPr>
          <w:rFonts w:eastAsia="MS Mincho"/>
          <w:lang w:eastAsia="ja-JP"/>
        </w:rPr>
      </w:pPr>
    </w:p>
    <w:p w:rsidR="00B30D7E" w:rsidRDefault="00B30D7E" w:rsidP="00B30D7E">
      <w:pPr>
        <w:rPr>
          <w:rFonts w:eastAsia="MS Mincho"/>
          <w:lang w:eastAsia="ja-JP"/>
        </w:rPr>
      </w:pPr>
      <w:r>
        <w:fldChar w:fldCharType="begin"/>
      </w:r>
      <w:r>
        <w:instrText xml:space="preserve"> AUTONUM  </w:instrText>
      </w:r>
      <w:r>
        <w:fldChar w:fldCharType="end"/>
      </w:r>
      <w:r>
        <w:tab/>
        <w:t xml:space="preserve">The TC </w:t>
      </w:r>
      <w:r w:rsidRPr="000C3D61">
        <w:rPr>
          <w:rFonts w:eastAsia="MS Mincho"/>
          <w:lang w:eastAsia="ja-JP"/>
        </w:rPr>
        <w:t>note</w:t>
      </w:r>
      <w:r>
        <w:rPr>
          <w:rFonts w:eastAsia="MS Mincho"/>
          <w:lang w:eastAsia="ja-JP"/>
        </w:rPr>
        <w:t>d</w:t>
      </w:r>
      <w:r w:rsidRPr="000C3D61">
        <w:rPr>
          <w:rFonts w:eastAsia="MS Mincho"/>
          <w:lang w:eastAsia="ja-JP"/>
        </w:rPr>
        <w:t xml:space="preserve"> that the Council, at its fifty-first ordinary session, held in Geneva, on October 26, 2017, </w:t>
      </w:r>
      <w:r>
        <w:rPr>
          <w:rFonts w:eastAsia="MS Mincho"/>
          <w:lang w:eastAsia="ja-JP"/>
        </w:rPr>
        <w:t xml:space="preserve">had </w:t>
      </w:r>
      <w:r w:rsidRPr="000C3D61">
        <w:rPr>
          <w:rFonts w:eastAsia="MS Mincho"/>
          <w:lang w:eastAsia="ja-JP"/>
        </w:rPr>
        <w:t>adopted document UPOV/INF/22/4 “Software and equipment used by members of the Union”</w:t>
      </w:r>
      <w:r>
        <w:rPr>
          <w:rFonts w:eastAsia="MS Mincho"/>
          <w:lang w:eastAsia="ja-JP"/>
        </w:rPr>
        <w:t>.</w:t>
      </w:r>
    </w:p>
    <w:p w:rsidR="00B30D7E" w:rsidRDefault="00B30D7E" w:rsidP="00B30D7E">
      <w:pPr>
        <w:rPr>
          <w:rFonts w:eastAsia="MS Mincho"/>
          <w:lang w:eastAsia="ja-JP"/>
        </w:rPr>
      </w:pPr>
    </w:p>
    <w:p w:rsidR="00B30D7E" w:rsidRPr="00F313AA" w:rsidRDefault="00B30D7E" w:rsidP="009C38B6">
      <w:pPr>
        <w:pStyle w:val="Heading4"/>
        <w:rPr>
          <w:lang w:val="en-US"/>
        </w:rPr>
      </w:pPr>
      <w:bookmarkStart w:id="30" w:name="_Toc525565786"/>
      <w:r w:rsidRPr="00F313AA">
        <w:rPr>
          <w:rFonts w:hint="eastAsia"/>
          <w:lang w:val="en-US"/>
        </w:rPr>
        <w:t>Revision of</w:t>
      </w:r>
      <w:r w:rsidRPr="00F313AA">
        <w:rPr>
          <w:lang w:val="en-US"/>
        </w:rPr>
        <w:t xml:space="preserve"> document UPOV/INF/22</w:t>
      </w:r>
      <w:r w:rsidRPr="00F313AA">
        <w:rPr>
          <w:rFonts w:hint="eastAsia"/>
          <w:lang w:val="en-US"/>
        </w:rPr>
        <w:t>/</w:t>
      </w:r>
      <w:r w:rsidRPr="00F313AA">
        <w:rPr>
          <w:lang w:val="en-US"/>
        </w:rPr>
        <w:t>4</w:t>
      </w:r>
      <w:bookmarkEnd w:id="30"/>
    </w:p>
    <w:p w:rsidR="00B30D7E" w:rsidRDefault="00B30D7E" w:rsidP="00B30D7E">
      <w:pPr>
        <w:keepNext/>
      </w:pPr>
    </w:p>
    <w:p w:rsidR="00B30D7E" w:rsidRDefault="00B30D7E" w:rsidP="00197D9F">
      <w:r>
        <w:fldChar w:fldCharType="begin"/>
      </w:r>
      <w:r>
        <w:instrText xml:space="preserve"> AUTONUM  </w:instrText>
      </w:r>
      <w:r>
        <w:fldChar w:fldCharType="end"/>
      </w:r>
      <w:r>
        <w:tab/>
        <w:t xml:space="preserve">The TC agreed to </w:t>
      </w:r>
      <w:r w:rsidRPr="00277169">
        <w:t>propose to include the information on the use of software by members of the Union, as presented in document UPOV/INF/22/5 D</w:t>
      </w:r>
      <w:r>
        <w:t>raft 1, in document UPOV/INF/22.</w:t>
      </w:r>
    </w:p>
    <w:p w:rsidR="00B30D7E" w:rsidRDefault="00B30D7E" w:rsidP="00B30D7E"/>
    <w:p w:rsidR="00B30D7E" w:rsidRDefault="00B30D7E" w:rsidP="00B30D7E">
      <w:r>
        <w:fldChar w:fldCharType="begin"/>
      </w:r>
      <w:r>
        <w:instrText xml:space="preserve"> AUTONUM  </w:instrText>
      </w:r>
      <w:r>
        <w:fldChar w:fldCharType="end"/>
      </w:r>
      <w:r>
        <w:tab/>
        <w:t xml:space="preserve">The TC </w:t>
      </w:r>
      <w:r w:rsidRPr="000C3D61">
        <w:rPr>
          <w:rFonts w:eastAsia="MS Mincho"/>
          <w:lang w:eastAsia="ja-JP"/>
        </w:rPr>
        <w:t>note</w:t>
      </w:r>
      <w:r>
        <w:rPr>
          <w:rFonts w:eastAsia="MS Mincho"/>
          <w:lang w:eastAsia="ja-JP"/>
        </w:rPr>
        <w:t>d</w:t>
      </w:r>
      <w:r w:rsidRPr="000C3D61">
        <w:rPr>
          <w:rFonts w:eastAsia="MS Mincho"/>
          <w:lang w:eastAsia="ja-JP"/>
        </w:rPr>
        <w:t xml:space="preserve"> that t</w:t>
      </w:r>
      <w:r>
        <w:rPr>
          <w:rFonts w:eastAsia="MS Mincho"/>
          <w:lang w:eastAsia="ja-JP"/>
        </w:rPr>
        <w:t>he proposals of the TC, at its </w:t>
      </w:r>
      <w:r w:rsidRPr="000C3D61">
        <w:rPr>
          <w:rFonts w:eastAsia="MS Mincho"/>
          <w:lang w:eastAsia="ja-JP"/>
        </w:rPr>
        <w:t>fifty-fourth session, conc</w:t>
      </w:r>
      <w:r>
        <w:rPr>
          <w:rFonts w:eastAsia="MS Mincho"/>
          <w:lang w:eastAsia="ja-JP"/>
        </w:rPr>
        <w:t>erning the revision of document </w:t>
      </w:r>
      <w:r w:rsidRPr="000C3D61">
        <w:rPr>
          <w:rFonts w:eastAsia="MS Mincho"/>
          <w:lang w:eastAsia="ja-JP"/>
        </w:rPr>
        <w:t>UPOV/INF/22</w:t>
      </w:r>
      <w:r>
        <w:rPr>
          <w:rFonts w:eastAsia="MS Mincho"/>
          <w:lang w:eastAsia="ja-JP"/>
        </w:rPr>
        <w:t xml:space="preserve"> would be reported to the CAJ at </w:t>
      </w:r>
      <w:r w:rsidRPr="000C3D61">
        <w:rPr>
          <w:rFonts w:eastAsia="MS Mincho"/>
          <w:lang w:eastAsia="ja-JP"/>
        </w:rPr>
        <w:t>its seventy-fifth sessi</w:t>
      </w:r>
      <w:r>
        <w:rPr>
          <w:rFonts w:eastAsia="MS Mincho"/>
          <w:lang w:eastAsia="ja-JP"/>
        </w:rPr>
        <w:t>on, and if agreed by the CAJ, a </w:t>
      </w:r>
      <w:r w:rsidRPr="000C3D61">
        <w:rPr>
          <w:rFonts w:eastAsia="MS Mincho"/>
          <w:lang w:eastAsia="ja-JP"/>
        </w:rPr>
        <w:t xml:space="preserve">draft of document UPOV/INF/22/5 </w:t>
      </w:r>
      <w:r>
        <w:rPr>
          <w:rFonts w:eastAsia="MS Mincho"/>
          <w:lang w:eastAsia="ja-JP"/>
        </w:rPr>
        <w:t>would</w:t>
      </w:r>
      <w:r w:rsidRPr="000C3D61">
        <w:rPr>
          <w:rFonts w:eastAsia="MS Mincho"/>
          <w:lang w:eastAsia="ja-JP"/>
        </w:rPr>
        <w:t xml:space="preserve"> be presented for adoption by the Council at its fifty-second ordinary session, to be held on November 2, 2018.</w:t>
      </w:r>
    </w:p>
    <w:p w:rsidR="00B30D7E" w:rsidRDefault="00B30D7E" w:rsidP="00B30D7E"/>
    <w:p w:rsidR="00B30D7E" w:rsidRPr="00F313AA" w:rsidRDefault="00B30D7E" w:rsidP="009C38B6">
      <w:pPr>
        <w:pStyle w:val="Heading4"/>
        <w:rPr>
          <w:lang w:val="en-US"/>
        </w:rPr>
      </w:pPr>
      <w:bookmarkStart w:id="31" w:name="_Toc525565783"/>
      <w:r w:rsidRPr="00F313AA">
        <w:rPr>
          <w:lang w:val="en-US"/>
        </w:rPr>
        <w:t>Availability in a searchable form</w:t>
      </w:r>
      <w:bookmarkEnd w:id="31"/>
      <w:r w:rsidRPr="00F313AA">
        <w:rPr>
          <w:lang w:val="en-US"/>
        </w:rPr>
        <w:t xml:space="preserve"> </w:t>
      </w:r>
    </w:p>
    <w:p w:rsidR="00B30D7E" w:rsidRDefault="00B30D7E" w:rsidP="00B30D7E">
      <w:pPr>
        <w:pStyle w:val="Heading5"/>
      </w:pPr>
    </w:p>
    <w:p w:rsidR="00B30D7E" w:rsidRPr="000C6807" w:rsidRDefault="00B30D7E" w:rsidP="00B30D7E">
      <w:pPr>
        <w:rPr>
          <w:rFonts w:eastAsia="MS Mincho"/>
          <w:lang w:eastAsia="ja-JP"/>
        </w:rPr>
      </w:pPr>
      <w:r>
        <w:rPr>
          <w:rFonts w:eastAsia="MS Mincho"/>
          <w:lang w:eastAsia="ja-JP"/>
        </w:rPr>
        <w:fldChar w:fldCharType="begin"/>
      </w:r>
      <w:r>
        <w:rPr>
          <w:rFonts w:eastAsia="MS Mincho"/>
          <w:lang w:eastAsia="ja-JP"/>
        </w:rPr>
        <w:instrText xml:space="preserve"> AUTONUM  </w:instrText>
      </w:r>
      <w:r>
        <w:rPr>
          <w:rFonts w:eastAsia="MS Mincho"/>
          <w:lang w:eastAsia="ja-JP"/>
        </w:rPr>
        <w:fldChar w:fldCharType="end"/>
      </w:r>
      <w:r>
        <w:rPr>
          <w:rFonts w:eastAsia="MS Mincho"/>
          <w:lang w:eastAsia="ja-JP"/>
        </w:rPr>
        <w:tab/>
      </w:r>
      <w:r w:rsidRPr="000C6807">
        <w:rPr>
          <w:rFonts w:eastAsia="MS Mincho"/>
          <w:lang w:eastAsia="ja-JP"/>
        </w:rPr>
        <w:t>The TC</w:t>
      </w:r>
      <w:r>
        <w:rPr>
          <w:rFonts w:eastAsia="MS Mincho"/>
          <w:lang w:eastAsia="ja-JP"/>
        </w:rPr>
        <w:t xml:space="preserve"> recalled that, at its fifty-third session, it had </w:t>
      </w:r>
      <w:r w:rsidRPr="000C6807">
        <w:rPr>
          <w:rFonts w:eastAsia="MS Mincho"/>
          <w:lang w:eastAsia="ja-JP"/>
        </w:rPr>
        <w:t>agreed that the information in document</w:t>
      </w:r>
      <w:r>
        <w:rPr>
          <w:rFonts w:eastAsia="MS Mincho"/>
          <w:lang w:eastAsia="ja-JP"/>
        </w:rPr>
        <w:t>s </w:t>
      </w:r>
      <w:r w:rsidRPr="000C6807">
        <w:rPr>
          <w:rFonts w:eastAsia="MS Mincho"/>
          <w:lang w:eastAsia="ja-JP"/>
        </w:rPr>
        <w:t>UPOV/INF/16</w:t>
      </w:r>
      <w:r>
        <w:rPr>
          <w:rFonts w:eastAsia="MS Mincho"/>
          <w:lang w:eastAsia="ja-JP"/>
        </w:rPr>
        <w:t xml:space="preserve"> and UPOV/INF/22</w:t>
      </w:r>
      <w:r w:rsidRPr="000C6807">
        <w:rPr>
          <w:rFonts w:eastAsia="MS Mincho"/>
          <w:lang w:eastAsia="ja-JP"/>
        </w:rPr>
        <w:t xml:space="preserve"> should be made available in a searchable form on the UPOV website and that the Office of the Union would investigate a tool for that</w:t>
      </w:r>
      <w:r>
        <w:rPr>
          <w:rFonts w:eastAsia="MS Mincho"/>
          <w:lang w:eastAsia="ja-JP"/>
        </w:rPr>
        <w:t xml:space="preserve"> purpose</w:t>
      </w:r>
      <w:r w:rsidRPr="000C6807">
        <w:rPr>
          <w:rFonts w:eastAsia="MS Mincho"/>
          <w:lang w:eastAsia="ja-JP"/>
        </w:rPr>
        <w:t>.</w:t>
      </w:r>
    </w:p>
    <w:p w:rsidR="00B30D7E" w:rsidRPr="009D653A" w:rsidRDefault="00B30D7E" w:rsidP="00B30D7E"/>
    <w:p w:rsidR="00B30D7E" w:rsidRDefault="00B30D7E" w:rsidP="00B30D7E">
      <w:r>
        <w:fldChar w:fldCharType="begin"/>
      </w:r>
      <w:r>
        <w:instrText xml:space="preserve"> AUTONUM  </w:instrText>
      </w:r>
      <w:r>
        <w:fldChar w:fldCharType="end"/>
      </w:r>
      <w:r>
        <w:tab/>
      </w:r>
      <w:r w:rsidRPr="00093F33">
        <w:t xml:space="preserve">The TC </w:t>
      </w:r>
      <w:r>
        <w:t xml:space="preserve">received a demonstration by the Office of the Union on how the information in </w:t>
      </w:r>
      <w:r w:rsidRPr="000C6807">
        <w:rPr>
          <w:rFonts w:eastAsia="MS Mincho"/>
          <w:lang w:eastAsia="ja-JP"/>
        </w:rPr>
        <w:t>document</w:t>
      </w:r>
      <w:r>
        <w:rPr>
          <w:rFonts w:eastAsia="MS Mincho"/>
          <w:lang w:eastAsia="ja-JP"/>
        </w:rPr>
        <w:t>s </w:t>
      </w:r>
      <w:r w:rsidRPr="000C6807">
        <w:rPr>
          <w:rFonts w:eastAsia="MS Mincho"/>
          <w:lang w:eastAsia="ja-JP"/>
        </w:rPr>
        <w:t>UPOV/INF/16</w:t>
      </w:r>
      <w:r>
        <w:rPr>
          <w:rFonts w:eastAsia="MS Mincho"/>
          <w:lang w:eastAsia="ja-JP"/>
        </w:rPr>
        <w:t xml:space="preserve"> and UPOV/INF/22</w:t>
      </w:r>
      <w:r w:rsidRPr="000C6807">
        <w:rPr>
          <w:rFonts w:eastAsia="MS Mincho"/>
          <w:lang w:eastAsia="ja-JP"/>
        </w:rPr>
        <w:t xml:space="preserve"> </w:t>
      </w:r>
      <w:r>
        <w:rPr>
          <w:rFonts w:eastAsia="MS Mincho"/>
          <w:lang w:eastAsia="ja-JP"/>
        </w:rPr>
        <w:t xml:space="preserve">could be made available in a searchable format on the UPOV website and </w:t>
      </w:r>
      <w:r>
        <w:t xml:space="preserve">agreed that </w:t>
      </w:r>
      <w:r w:rsidRPr="00093F33">
        <w:t>the approach demonstrate</w:t>
      </w:r>
      <w:r>
        <w:t>d</w:t>
      </w:r>
      <w:r w:rsidRPr="00093F33">
        <w:t xml:space="preserve"> </w:t>
      </w:r>
      <w:r>
        <w:t>was</w:t>
      </w:r>
      <w:r w:rsidRPr="00093F33">
        <w:t xml:space="preserve"> </w:t>
      </w:r>
      <w:r>
        <w:t xml:space="preserve">a </w:t>
      </w:r>
      <w:r w:rsidRPr="00093F33">
        <w:t>suitable</w:t>
      </w:r>
      <w:r>
        <w:t xml:space="preserve"> basis</w:t>
      </w:r>
      <w:r w:rsidRPr="00093F33">
        <w:t>.</w:t>
      </w:r>
    </w:p>
    <w:p w:rsidR="00B30D7E" w:rsidRPr="00951F96" w:rsidRDefault="00B30D7E" w:rsidP="00951F96"/>
    <w:p w:rsidR="000730D6" w:rsidRPr="000730D6" w:rsidRDefault="000730D6" w:rsidP="00951F96"/>
    <w:p w:rsidR="000730D6" w:rsidRPr="000730D6" w:rsidRDefault="000730D6" w:rsidP="00951F96"/>
    <w:p w:rsidR="00E64891" w:rsidRDefault="000730D6" w:rsidP="001E2269">
      <w:pPr>
        <w:pStyle w:val="Heading1"/>
      </w:pPr>
      <w:r w:rsidRPr="000730D6">
        <w:t xml:space="preserve">AGENDA ITEM </w:t>
      </w:r>
      <w:r w:rsidR="00E64891" w:rsidRPr="000730D6">
        <w:t>1</w:t>
      </w:r>
      <w:r w:rsidRPr="000730D6">
        <w:t xml:space="preserve">2: </w:t>
      </w:r>
      <w:r w:rsidR="00E64891" w:rsidRPr="000730D6">
        <w:t xml:space="preserve"> Molecular techniques </w:t>
      </w:r>
    </w:p>
    <w:p w:rsidR="000730D6" w:rsidRDefault="000730D6" w:rsidP="000730D6">
      <w:pPr>
        <w:rPr>
          <w:lang w:val="fr-FR" w:eastAsia="ja-JP"/>
        </w:rPr>
      </w:pPr>
    </w:p>
    <w:p w:rsidR="000730D6" w:rsidRPr="00F313AA" w:rsidRDefault="000730D6" w:rsidP="009C38B6">
      <w:pPr>
        <w:pStyle w:val="Heading2"/>
        <w:rPr>
          <w:lang w:val="fr-FR"/>
        </w:rPr>
      </w:pPr>
      <w:r w:rsidRPr="00F313AA">
        <w:rPr>
          <w:lang w:val="fr-FR"/>
        </w:rPr>
        <w:t>Molecular techniques (document CAJ/75/11)</w:t>
      </w:r>
    </w:p>
    <w:p w:rsidR="000730D6" w:rsidRPr="000730D6" w:rsidRDefault="000730D6" w:rsidP="000730D6">
      <w:pPr>
        <w:rPr>
          <w:lang w:val="fr-FR" w:eastAsia="ja-JP"/>
        </w:rPr>
      </w:pPr>
    </w:p>
    <w:p w:rsidR="00B30D7E" w:rsidRDefault="00B30D7E" w:rsidP="00B30D7E">
      <w:r>
        <w:fldChar w:fldCharType="begin"/>
      </w:r>
      <w:r>
        <w:instrText xml:space="preserve"> AUTONUM  </w:instrText>
      </w:r>
      <w:r>
        <w:fldChar w:fldCharType="end"/>
      </w:r>
      <w:r>
        <w:tab/>
        <w:t xml:space="preserve">The TC considered </w:t>
      </w:r>
      <w:r w:rsidRPr="0075796B">
        <w:t>documents TC/54/11 and TC/54/11 Add.</w:t>
      </w:r>
    </w:p>
    <w:p w:rsidR="00B30D7E" w:rsidRDefault="00B30D7E" w:rsidP="00197D9F">
      <w:pPr>
        <w:spacing w:line="360" w:lineRule="auto"/>
      </w:pPr>
    </w:p>
    <w:p w:rsidR="00B30D7E" w:rsidRPr="00F313AA" w:rsidRDefault="00B30D7E" w:rsidP="009C38B6">
      <w:pPr>
        <w:pStyle w:val="Heading3"/>
        <w:rPr>
          <w:lang w:val="en-US"/>
        </w:rPr>
      </w:pPr>
      <w:r w:rsidRPr="00F313AA">
        <w:rPr>
          <w:lang w:val="en-US"/>
        </w:rPr>
        <w:t>D</w:t>
      </w:r>
      <w:r w:rsidRPr="00F313AA">
        <w:rPr>
          <w:rFonts w:hint="eastAsia"/>
          <w:lang w:val="en-US"/>
        </w:rPr>
        <w:t>evelopments at the Technical Working Parties</w:t>
      </w:r>
      <w:r w:rsidRPr="00F313AA">
        <w:rPr>
          <w:lang w:val="en-US"/>
        </w:rPr>
        <w:t xml:space="preserve"> in 2017</w:t>
      </w:r>
    </w:p>
    <w:p w:rsidR="00B30D7E" w:rsidRDefault="00B30D7E" w:rsidP="00B30D7E"/>
    <w:p w:rsidR="00B30D7E" w:rsidRDefault="00B30D7E" w:rsidP="00B30D7E">
      <w:r>
        <w:fldChar w:fldCharType="begin"/>
      </w:r>
      <w:r>
        <w:instrText xml:space="preserve"> AUTONUM  </w:instrText>
      </w:r>
      <w:r>
        <w:fldChar w:fldCharType="end"/>
      </w:r>
      <w:r>
        <w:tab/>
        <w:t xml:space="preserve">The TC noted </w:t>
      </w:r>
      <w:bookmarkStart w:id="32" w:name="_Toc523825190"/>
      <w:r>
        <w:t xml:space="preserve">the </w:t>
      </w:r>
      <w:r w:rsidRPr="00D6236C">
        <w:rPr>
          <w:rFonts w:hint="eastAsia"/>
        </w:rPr>
        <w:t>developments at the Technical Working Parties</w:t>
      </w:r>
      <w:r w:rsidRPr="00D6236C">
        <w:t xml:space="preserve"> </w:t>
      </w:r>
      <w:r>
        <w:t>in</w:t>
      </w:r>
      <w:r w:rsidRPr="00D6236C">
        <w:t xml:space="preserve"> 2017</w:t>
      </w:r>
      <w:bookmarkEnd w:id="32"/>
      <w:r>
        <w:t>.</w:t>
      </w:r>
    </w:p>
    <w:p w:rsidR="00B30D7E" w:rsidRDefault="00B30D7E" w:rsidP="00197D9F">
      <w:pPr>
        <w:spacing w:line="360" w:lineRule="auto"/>
      </w:pPr>
    </w:p>
    <w:p w:rsidR="00B30D7E" w:rsidRPr="00F313AA" w:rsidRDefault="00B30D7E" w:rsidP="009C38B6">
      <w:pPr>
        <w:pStyle w:val="Heading3"/>
        <w:ind w:left="0" w:firstLine="0"/>
        <w:rPr>
          <w:lang w:val="en-US"/>
        </w:rPr>
      </w:pPr>
      <w:bookmarkStart w:id="33" w:name="_Toc523825191"/>
      <w:r w:rsidRPr="00F313AA">
        <w:rPr>
          <w:lang w:val="en-US"/>
        </w:rPr>
        <w:lastRenderedPageBreak/>
        <w:t>D</w:t>
      </w:r>
      <w:r w:rsidRPr="00F313AA">
        <w:rPr>
          <w:rFonts w:hint="eastAsia"/>
          <w:lang w:val="en-US"/>
        </w:rPr>
        <w:t xml:space="preserve">evelopments at the </w:t>
      </w:r>
      <w:r w:rsidRPr="00F313AA">
        <w:rPr>
          <w:lang w:val="en-US"/>
        </w:rPr>
        <w:t>sixtee</w:t>
      </w:r>
      <w:r w:rsidRPr="00F313AA">
        <w:rPr>
          <w:rFonts w:hint="eastAsia"/>
          <w:lang w:val="en-US"/>
        </w:rPr>
        <w:t xml:space="preserve">nth </w:t>
      </w:r>
      <w:r w:rsidRPr="00F313AA">
        <w:rPr>
          <w:lang w:val="en-US"/>
        </w:rPr>
        <w:t xml:space="preserve">and seventeenth </w:t>
      </w:r>
      <w:r w:rsidRPr="00F313AA">
        <w:rPr>
          <w:rFonts w:hint="eastAsia"/>
          <w:lang w:val="en-US"/>
        </w:rPr>
        <w:t>session</w:t>
      </w:r>
      <w:r w:rsidRPr="00F313AA">
        <w:rPr>
          <w:lang w:val="en-US"/>
        </w:rPr>
        <w:t>s</w:t>
      </w:r>
      <w:r w:rsidRPr="00F313AA">
        <w:rPr>
          <w:rFonts w:hint="eastAsia"/>
          <w:lang w:val="en-US"/>
        </w:rPr>
        <w:t xml:space="preserve"> of the </w:t>
      </w:r>
      <w:r w:rsidRPr="00F313AA">
        <w:rPr>
          <w:lang w:val="en-US"/>
        </w:rPr>
        <w:t>Working Group on Biochemical and Molecular Techniques, and DNA-Profiling in Particular</w:t>
      </w:r>
      <w:bookmarkEnd w:id="33"/>
    </w:p>
    <w:p w:rsidR="00B30D7E" w:rsidRDefault="00B30D7E" w:rsidP="00B30D7E">
      <w:pPr>
        <w:rPr>
          <w:snapToGrid w:val="0"/>
        </w:rPr>
      </w:pPr>
    </w:p>
    <w:p w:rsidR="00B30D7E" w:rsidRPr="00F313AA" w:rsidRDefault="00B30D7E" w:rsidP="009C38B6">
      <w:pPr>
        <w:pStyle w:val="Heading4"/>
        <w:rPr>
          <w:lang w:val="en-US"/>
        </w:rPr>
      </w:pPr>
      <w:bookmarkStart w:id="34" w:name="_Toc523825192"/>
      <w:r w:rsidRPr="00F313AA">
        <w:rPr>
          <w:lang w:val="en-US"/>
        </w:rPr>
        <w:t>Papers presented</w:t>
      </w:r>
      <w:bookmarkEnd w:id="34"/>
    </w:p>
    <w:p w:rsidR="00B30D7E" w:rsidRPr="00F313AA" w:rsidRDefault="00B30D7E" w:rsidP="009C38B6">
      <w:pPr>
        <w:pStyle w:val="Heading4"/>
        <w:rPr>
          <w:snapToGrid w:val="0"/>
          <w:lang w:val="en-US"/>
        </w:rPr>
      </w:pPr>
    </w:p>
    <w:p w:rsidR="00B30D7E" w:rsidRPr="0075796B" w:rsidRDefault="00B30D7E" w:rsidP="00B30D7E">
      <w:r>
        <w:fldChar w:fldCharType="begin"/>
      </w:r>
      <w:r>
        <w:instrText xml:space="preserve"> AUTONUM  </w:instrText>
      </w:r>
      <w:r>
        <w:fldChar w:fldCharType="end"/>
      </w:r>
      <w:r>
        <w:tab/>
        <w:t xml:space="preserve">The TC noted the </w:t>
      </w:r>
      <w:r w:rsidRPr="00D6236C">
        <w:t xml:space="preserve">papers presented under each of the agenda items </w:t>
      </w:r>
      <w:r>
        <w:t>of the sixteenth and seventeenth sessions of the </w:t>
      </w:r>
      <w:r w:rsidRPr="00D6236C">
        <w:t>BMT</w:t>
      </w:r>
      <w:r>
        <w:t>.</w:t>
      </w:r>
    </w:p>
    <w:p w:rsidR="00B30D7E" w:rsidRDefault="00B30D7E" w:rsidP="00B30D7E">
      <w:pPr>
        <w:ind w:left="567" w:hanging="567"/>
      </w:pPr>
    </w:p>
    <w:p w:rsidR="00B30D7E" w:rsidRPr="00F313AA" w:rsidRDefault="00B30D7E" w:rsidP="009C38B6">
      <w:pPr>
        <w:pStyle w:val="Heading4"/>
        <w:rPr>
          <w:lang w:val="en-US"/>
        </w:rPr>
      </w:pPr>
      <w:bookmarkStart w:id="35" w:name="_Toc523825198"/>
      <w:r w:rsidRPr="00F313AA">
        <w:rPr>
          <w:lang w:val="en-US"/>
        </w:rPr>
        <w:t>Review of document UPOV/INF/17 “Guidelines for DNA-Profiling: Molecular Marker Selection and Database Construction (‘BMT Guidelines’)</w:t>
      </w:r>
      <w:bookmarkEnd w:id="35"/>
    </w:p>
    <w:p w:rsidR="00B30D7E" w:rsidRDefault="00B30D7E" w:rsidP="000F2FEF">
      <w:pPr>
        <w:keepNext/>
        <w:ind w:left="567" w:hanging="567"/>
      </w:pPr>
    </w:p>
    <w:p w:rsidR="00B30D7E" w:rsidRDefault="00B30D7E" w:rsidP="00B30D7E">
      <w:r w:rsidRPr="00BC33ED">
        <w:fldChar w:fldCharType="begin"/>
      </w:r>
      <w:r w:rsidRPr="00BC33ED">
        <w:instrText xml:space="preserve"> AUTONUM  </w:instrText>
      </w:r>
      <w:r w:rsidRPr="00BC33ED">
        <w:fldChar w:fldCharType="end"/>
      </w:r>
      <w:r w:rsidRPr="00BC33ED">
        <w:tab/>
      </w:r>
      <w:r>
        <w:t xml:space="preserve">The TC </w:t>
      </w:r>
      <w:r>
        <w:rPr>
          <w:snapToGrid w:val="0"/>
          <w:lang w:val="en-GB"/>
        </w:rPr>
        <w:t>noted</w:t>
      </w:r>
      <w:r w:rsidRPr="00D6236C">
        <w:rPr>
          <w:snapToGrid w:val="0"/>
          <w:lang w:val="en-GB"/>
        </w:rPr>
        <w:t xml:space="preserve"> the proposal by the BMT to introduce </w:t>
      </w:r>
      <w:r w:rsidRPr="00D6236C">
        <w:t>a new chapter concerning cooperation in the exchange of data and construction of databases in document UPOV/INF/17.</w:t>
      </w:r>
    </w:p>
    <w:p w:rsidR="00B30D7E" w:rsidRDefault="00B30D7E" w:rsidP="00B30D7E"/>
    <w:p w:rsidR="00B30D7E" w:rsidRDefault="00B30D7E" w:rsidP="00B30D7E">
      <w:r>
        <w:fldChar w:fldCharType="begin"/>
      </w:r>
      <w:r>
        <w:instrText xml:space="preserve"> AUTONUM  </w:instrText>
      </w:r>
      <w:r>
        <w:fldChar w:fldCharType="end"/>
      </w:r>
      <w:r>
        <w:tab/>
      </w:r>
      <w:r w:rsidRPr="00C24DB9">
        <w:t xml:space="preserve">The TC </w:t>
      </w:r>
      <w:r>
        <w:t xml:space="preserve">noted that the BMT, at its seventeenth session, had considered proposals for the revision of document UPOV/INF/17.  The TC agreed with the proposal by the BMT for </w:t>
      </w:r>
      <w:r w:rsidRPr="003C7ECE">
        <w:t>the E</w:t>
      </w:r>
      <w:r>
        <w:t xml:space="preserve">uropean </w:t>
      </w:r>
      <w:r w:rsidRPr="003C7ECE">
        <w:t>U</w:t>
      </w:r>
      <w:r>
        <w:t>nion</w:t>
      </w:r>
      <w:r w:rsidRPr="003C7ECE">
        <w:t>, France</w:t>
      </w:r>
      <w:r>
        <w:t xml:space="preserve"> and</w:t>
      </w:r>
      <w:r w:rsidRPr="003C7ECE">
        <w:t xml:space="preserve"> </w:t>
      </w:r>
      <w:r>
        <w:t xml:space="preserve">the </w:t>
      </w:r>
      <w:r w:rsidRPr="003C7ECE">
        <w:t xml:space="preserve">Netherlands to prepare </w:t>
      </w:r>
      <w:r w:rsidRPr="00CC0B6A">
        <w:t>a new draft of document UPOV/INF/17 for consideration at the eighteenth session of the BMT, as set out in document TC/54/11 Add., paragraph 45.</w:t>
      </w:r>
    </w:p>
    <w:p w:rsidR="00B30D7E" w:rsidRDefault="00B30D7E" w:rsidP="00B30D7E">
      <w:pPr>
        <w:ind w:left="567" w:hanging="567"/>
      </w:pPr>
    </w:p>
    <w:p w:rsidR="00B30D7E" w:rsidRPr="00F313AA" w:rsidRDefault="00B30D7E" w:rsidP="009C38B6">
      <w:pPr>
        <w:pStyle w:val="Heading4"/>
        <w:rPr>
          <w:lang w:val="en-US"/>
        </w:rPr>
      </w:pPr>
      <w:bookmarkStart w:id="36" w:name="_Toc523825199"/>
      <w:r w:rsidRPr="00F313AA">
        <w:rPr>
          <w:lang w:val="en-US"/>
        </w:rPr>
        <w:t>International guidelines on molecular methodologies including cooperation between the OECD, UPOV, ISTA and ISO</w:t>
      </w:r>
      <w:bookmarkEnd w:id="36"/>
    </w:p>
    <w:p w:rsidR="00B30D7E" w:rsidRDefault="00B30D7E" w:rsidP="00B30D7E">
      <w:pPr>
        <w:keepNext/>
        <w:ind w:left="567" w:hanging="567"/>
      </w:pPr>
    </w:p>
    <w:p w:rsidR="00B30D7E" w:rsidRDefault="00B30D7E" w:rsidP="000F2FEF">
      <w:pPr>
        <w:spacing w:after="240"/>
      </w:pPr>
      <w:r>
        <w:fldChar w:fldCharType="begin"/>
      </w:r>
      <w:r>
        <w:instrText xml:space="preserve"> AUTONUM  </w:instrText>
      </w:r>
      <w:r>
        <w:fldChar w:fldCharType="end"/>
      </w:r>
      <w:r>
        <w:tab/>
        <w:t xml:space="preserve">The TC noted that </w:t>
      </w:r>
      <w:r w:rsidRPr="00BC33ED">
        <w:t>practical workshops on “DNA Techniques and Variety Identification” had been held in Roelofarendsveen, Netherlands, from May 8 to 10, 2017</w:t>
      </w:r>
      <w:r>
        <w:t>,</w:t>
      </w:r>
      <w:r w:rsidRPr="00BC33ED">
        <w:t xml:space="preserve"> and from September 20 to 22, 2017</w:t>
      </w:r>
      <w:r>
        <w:t>.</w:t>
      </w:r>
    </w:p>
    <w:p w:rsidR="00B30D7E" w:rsidRDefault="00B30D7E" w:rsidP="00B30D7E">
      <w:r>
        <w:fldChar w:fldCharType="begin"/>
      </w:r>
      <w:r>
        <w:instrText xml:space="preserve"> AUTONUM  </w:instrText>
      </w:r>
      <w:r>
        <w:fldChar w:fldCharType="end"/>
      </w:r>
      <w:r>
        <w:tab/>
        <w:t xml:space="preserve">The TC </w:t>
      </w:r>
      <w:r w:rsidRPr="005D1CAA">
        <w:t>note</w:t>
      </w:r>
      <w:r>
        <w:t>d</w:t>
      </w:r>
      <w:r w:rsidRPr="005D1CAA">
        <w:t xml:space="preserve"> that the BMT </w:t>
      </w:r>
      <w:r>
        <w:t xml:space="preserve">had </w:t>
      </w:r>
      <w:r w:rsidRPr="005D1CAA">
        <w:t>agreed that consideration of possible harmonization of terms and methodologies used for different crops and the possible development of standards, might be advanced through a further international practical workshop, to be jointly coordinated by OECD, UPOV and ISTA and supported by Naktuinbouw and/or another partner with the relevant facilit</w:t>
      </w:r>
      <w:r>
        <w:t xml:space="preserve">ies, as set out in </w:t>
      </w:r>
      <w:r w:rsidRPr="0075796B">
        <w:t>document TC/54/11</w:t>
      </w:r>
      <w:r>
        <w:t>,</w:t>
      </w:r>
      <w:r w:rsidRPr="00B050CA">
        <w:t xml:space="preserve"> </w:t>
      </w:r>
      <w:r>
        <w:t>paragraph 23.</w:t>
      </w:r>
    </w:p>
    <w:p w:rsidR="00B30D7E" w:rsidRDefault="00B30D7E" w:rsidP="00B30D7E">
      <w:pPr>
        <w:rPr>
          <w:rFonts w:cs="Arial"/>
        </w:rPr>
      </w:pPr>
    </w:p>
    <w:p w:rsidR="00B30D7E" w:rsidRPr="00C53F69" w:rsidRDefault="00B30D7E" w:rsidP="00B30D7E">
      <w:pPr>
        <w:rPr>
          <w:rFonts w:cs="Arial"/>
        </w:rPr>
      </w:pPr>
      <w:r w:rsidRPr="00C53F69">
        <w:rPr>
          <w:rFonts w:cs="Arial"/>
        </w:rPr>
        <w:fldChar w:fldCharType="begin"/>
      </w:r>
      <w:r w:rsidRPr="00C53F69">
        <w:rPr>
          <w:rFonts w:cs="Arial"/>
        </w:rPr>
        <w:instrText xml:space="preserve"> AUTONUM  </w:instrText>
      </w:r>
      <w:r w:rsidRPr="00C53F69">
        <w:rPr>
          <w:rFonts w:cs="Arial"/>
        </w:rPr>
        <w:fldChar w:fldCharType="end"/>
      </w:r>
      <w:r w:rsidRPr="00C53F69">
        <w:rPr>
          <w:rFonts w:cs="Arial"/>
        </w:rPr>
        <w:tab/>
        <w:t xml:space="preserve">The TC </w:t>
      </w:r>
      <w:r w:rsidRPr="00C53F69">
        <w:t xml:space="preserve">noted that ISTA was not in a position to agree to the proposed joint activities with UPOV and OECD at the seventeenth session of the BMT, as set out in document TC/54/11 Add., paragraph 49.  </w:t>
      </w:r>
      <w:r w:rsidRPr="00C53F69">
        <w:rPr>
          <w:rFonts w:cs="Arial"/>
        </w:rPr>
        <w:t>The TC agreed to invite</w:t>
      </w:r>
      <w:r w:rsidRPr="00C53F69">
        <w:t xml:space="preserve"> ISTA to join the initiatives when in a position to do so.</w:t>
      </w:r>
    </w:p>
    <w:p w:rsidR="00B30D7E" w:rsidRPr="00C53F69" w:rsidRDefault="00B30D7E" w:rsidP="00B30D7E"/>
    <w:p w:rsidR="00B30D7E" w:rsidRPr="00C53F69" w:rsidRDefault="00B30D7E" w:rsidP="00B30D7E">
      <w:pPr>
        <w:rPr>
          <w:rFonts w:cs="Arial"/>
          <w:iCs/>
        </w:rPr>
      </w:pPr>
      <w:r w:rsidRPr="00C53F69">
        <w:fldChar w:fldCharType="begin"/>
      </w:r>
      <w:r w:rsidRPr="00C53F69">
        <w:instrText xml:space="preserve"> AUTONUM  </w:instrText>
      </w:r>
      <w:r w:rsidRPr="00C53F69">
        <w:fldChar w:fldCharType="end"/>
      </w:r>
      <w:r w:rsidRPr="00C53F69">
        <w:tab/>
        <w:t xml:space="preserve">The TC </w:t>
      </w:r>
      <w:r w:rsidRPr="00C53F69">
        <w:rPr>
          <w:snapToGrid w:val="0"/>
          <w:lang w:val="en-GB"/>
        </w:rPr>
        <w:t xml:space="preserve">agreed that </w:t>
      </w:r>
      <w:r w:rsidRPr="00C53F69">
        <w:rPr>
          <w:iCs/>
        </w:rPr>
        <w:t>UPOV and OECD should make progress on the matters previously agreed by the TC</w:t>
      </w:r>
      <w:r w:rsidRPr="00C53F69">
        <w:t xml:space="preserve">, as set out in document TC/54/11 Add., paragraph 49, </w:t>
      </w:r>
      <w:r w:rsidRPr="00C53F69">
        <w:rPr>
          <w:rFonts w:cs="Arial"/>
          <w:iCs/>
        </w:rPr>
        <w:t>namely:</w:t>
      </w:r>
    </w:p>
    <w:p w:rsidR="00B30D7E" w:rsidRPr="00C53F69" w:rsidRDefault="00B30D7E" w:rsidP="00B30D7E">
      <w:pPr>
        <w:rPr>
          <w:rFonts w:cs="Arial"/>
          <w:iCs/>
        </w:rPr>
      </w:pPr>
    </w:p>
    <w:p w:rsidR="00B30D7E" w:rsidRPr="00C01BF6" w:rsidRDefault="00B30D7E" w:rsidP="00B30D7E">
      <w:pPr>
        <w:ind w:firstLine="567"/>
      </w:pPr>
      <w:r w:rsidRPr="00C01BF6">
        <w:t>(a)</w:t>
      </w:r>
      <w:r w:rsidRPr="00C01BF6">
        <w:tab/>
        <w:t xml:space="preserve">to develop a joint document explaining the principal features of the systems of the OECD, UPOV and ISTA; </w:t>
      </w:r>
    </w:p>
    <w:p w:rsidR="00B30D7E" w:rsidRPr="00C01BF6" w:rsidRDefault="00B30D7E" w:rsidP="00B30D7E">
      <w:pPr>
        <w:ind w:firstLine="567"/>
      </w:pPr>
    </w:p>
    <w:p w:rsidR="00B30D7E" w:rsidRPr="00C01BF6" w:rsidRDefault="00B30D7E" w:rsidP="00B30D7E">
      <w:pPr>
        <w:keepLines/>
        <w:ind w:firstLine="567"/>
      </w:pPr>
      <w:r w:rsidRPr="00C01BF6">
        <w:t>(b)</w:t>
      </w:r>
      <w:r w:rsidRPr="00C01BF6">
        <w:tab/>
        <w:t>to develop an inventory on the use of molecular marker techniques, by crop, with a view to developing a joint OECD/UPOV/ISTA document containing that informati</w:t>
      </w:r>
      <w:r>
        <w:t>on, in a similar format to UPOV </w:t>
      </w:r>
      <w:r w:rsidRPr="00C01BF6">
        <w:t xml:space="preserve">document UPOV/INF/16 “Exchangeable Software”, subject to the approval of the Council and in coordination with OECD and ISTA; </w:t>
      </w:r>
      <w:r>
        <w:t xml:space="preserve"> </w:t>
      </w:r>
      <w:r w:rsidRPr="00C01BF6">
        <w:t xml:space="preserve">and </w:t>
      </w:r>
    </w:p>
    <w:p w:rsidR="00B30D7E" w:rsidRPr="00C01BF6" w:rsidRDefault="00B30D7E" w:rsidP="00B30D7E">
      <w:pPr>
        <w:ind w:firstLine="567"/>
      </w:pPr>
    </w:p>
    <w:p w:rsidR="00B30D7E" w:rsidRDefault="00B30D7E" w:rsidP="00B30D7E">
      <w:pPr>
        <w:ind w:firstLine="567"/>
        <w:rPr>
          <w:rFonts w:cs="Arial"/>
        </w:rPr>
      </w:pPr>
      <w:r w:rsidRPr="00C01BF6">
        <w:t>(c)</w:t>
      </w:r>
      <w:r w:rsidRPr="00C01BF6">
        <w:tab/>
        <w:t>the proposal for the BMT to develop lists of possible joint initiatives with OECD and ISTA in relation to molecular techniques for consideration by the TC.</w:t>
      </w:r>
    </w:p>
    <w:p w:rsidR="00B30D7E" w:rsidRDefault="00B30D7E" w:rsidP="00B30D7E">
      <w:pPr>
        <w:ind w:left="567" w:hanging="567"/>
      </w:pPr>
    </w:p>
    <w:p w:rsidR="00B30D7E" w:rsidRDefault="00B30D7E" w:rsidP="00B30D7E">
      <w:r>
        <w:fldChar w:fldCharType="begin"/>
      </w:r>
      <w:r>
        <w:instrText xml:space="preserve"> AUTONUM  </w:instrText>
      </w:r>
      <w:r>
        <w:fldChar w:fldCharType="end"/>
      </w:r>
      <w:r>
        <w:tab/>
        <w:t xml:space="preserve">The TC </w:t>
      </w:r>
      <w:r>
        <w:rPr>
          <w:snapToGrid w:val="0"/>
          <w:lang w:val="en-GB"/>
        </w:rPr>
        <w:t xml:space="preserve">agreed to invite </w:t>
      </w:r>
      <w:r w:rsidRPr="00D6236C">
        <w:t xml:space="preserve">the BMT </w:t>
      </w:r>
      <w:r>
        <w:t xml:space="preserve">and the TWPs </w:t>
      </w:r>
      <w:r w:rsidRPr="00D6236C">
        <w:t>to develop an inventory on the use of molecular marker techniques, by crop, with a view to developing a joint OECD/UPOV/ISTA document containing that information, in a similar format to UPOV document UPOV/INF/16 “Exchangeable Software</w:t>
      </w:r>
      <w:r>
        <w:t xml:space="preserve">.  </w:t>
      </w:r>
    </w:p>
    <w:p w:rsidR="00B30D7E" w:rsidRDefault="00B30D7E" w:rsidP="00B30D7E">
      <w:pPr>
        <w:ind w:left="567" w:hanging="567"/>
      </w:pPr>
    </w:p>
    <w:p w:rsidR="00B30D7E" w:rsidRDefault="00B30D7E" w:rsidP="00B30D7E">
      <w:r>
        <w:fldChar w:fldCharType="begin"/>
      </w:r>
      <w:r>
        <w:instrText xml:space="preserve"> AUTONUM  </w:instrText>
      </w:r>
      <w:r>
        <w:fldChar w:fldCharType="end"/>
      </w:r>
      <w:r>
        <w:tab/>
        <w:t xml:space="preserve">The TC </w:t>
      </w:r>
      <w:r>
        <w:rPr>
          <w:snapToGrid w:val="0"/>
          <w:lang w:val="en-GB"/>
        </w:rPr>
        <w:t xml:space="preserve">agreed to request the </w:t>
      </w:r>
      <w:r w:rsidRPr="00D6236C">
        <w:t xml:space="preserve">BMT to develop a joint document </w:t>
      </w:r>
      <w:r w:rsidRPr="00D6236C">
        <w:rPr>
          <w:rFonts w:cs="Arial"/>
          <w:lang w:eastAsia="ja-JP"/>
        </w:rPr>
        <w:t>explaining the principal features of the systems of the OECD, UPOV and ISTA</w:t>
      </w:r>
      <w:r>
        <w:t>.</w:t>
      </w:r>
    </w:p>
    <w:p w:rsidR="00B30D7E" w:rsidRDefault="00B30D7E" w:rsidP="00B30D7E">
      <w:pPr>
        <w:rPr>
          <w:rFonts w:cs="Arial"/>
        </w:rPr>
      </w:pPr>
    </w:p>
    <w:p w:rsidR="00B30D7E" w:rsidRDefault="00B30D7E" w:rsidP="00B30D7E">
      <w:pPr>
        <w:rPr>
          <w:rFonts w:cs="Arial"/>
        </w:rPr>
      </w:pPr>
      <w:r>
        <w:rPr>
          <w:rFonts w:cs="Arial"/>
        </w:rPr>
        <w:fldChar w:fldCharType="begin"/>
      </w:r>
      <w:r>
        <w:rPr>
          <w:rFonts w:cs="Arial"/>
        </w:rPr>
        <w:instrText xml:space="preserve"> AUTONUM  </w:instrText>
      </w:r>
      <w:r>
        <w:rPr>
          <w:rFonts w:cs="Arial"/>
        </w:rPr>
        <w:fldChar w:fldCharType="end"/>
      </w:r>
      <w:r>
        <w:rPr>
          <w:rFonts w:cs="Arial"/>
        </w:rPr>
        <w:tab/>
        <w:t xml:space="preserve">The TC noted the information provided by the representative of OECD that a joint ISTA/UPOV/OECD workshop was anticipated to be organized in conjunction with the ISTA Seed Congress to be held in India in 2019. </w:t>
      </w:r>
    </w:p>
    <w:p w:rsidR="00B30D7E" w:rsidRDefault="00B30D7E" w:rsidP="00B30D7E">
      <w:pPr>
        <w:ind w:left="567" w:hanging="567"/>
      </w:pPr>
    </w:p>
    <w:p w:rsidR="00B30D7E" w:rsidRPr="00F313AA" w:rsidRDefault="00B30D7E" w:rsidP="009C38B6">
      <w:pPr>
        <w:pStyle w:val="Heading4"/>
        <w:rPr>
          <w:rFonts w:cs="Arial"/>
          <w:lang w:val="en-US"/>
        </w:rPr>
      </w:pPr>
      <w:bookmarkStart w:id="37" w:name="_Toc525647180"/>
      <w:bookmarkStart w:id="38" w:name="_Toc526175652"/>
      <w:r w:rsidRPr="00F313AA">
        <w:rPr>
          <w:lang w:val="en-US"/>
        </w:rPr>
        <w:lastRenderedPageBreak/>
        <w:t>Report of work on molecular techniques in relation to DUS examination</w:t>
      </w:r>
      <w:bookmarkEnd w:id="37"/>
      <w:bookmarkEnd w:id="38"/>
    </w:p>
    <w:p w:rsidR="00B30D7E" w:rsidRDefault="00B30D7E" w:rsidP="00643A10">
      <w:pPr>
        <w:keepNext/>
        <w:ind w:left="567" w:hanging="567"/>
        <w:rPr>
          <w:rFonts w:cs="Arial"/>
        </w:rPr>
      </w:pPr>
    </w:p>
    <w:p w:rsidR="00B30D7E" w:rsidRDefault="00B30D7E" w:rsidP="00B30D7E">
      <w:r>
        <w:rPr>
          <w:rFonts w:cs="Arial"/>
        </w:rPr>
        <w:fldChar w:fldCharType="begin"/>
      </w:r>
      <w:r>
        <w:rPr>
          <w:rFonts w:cs="Arial"/>
        </w:rPr>
        <w:instrText xml:space="preserve"> AUTONUM  </w:instrText>
      </w:r>
      <w:r>
        <w:rPr>
          <w:rFonts w:cs="Arial"/>
        </w:rPr>
        <w:fldChar w:fldCharType="end"/>
      </w:r>
      <w:r>
        <w:rPr>
          <w:rFonts w:cs="Arial"/>
        </w:rPr>
        <w:tab/>
        <w:t>The TC agreed</w:t>
      </w:r>
      <w:r w:rsidRPr="0089570C">
        <w:t xml:space="preserve"> </w:t>
      </w:r>
      <w:r>
        <w:t xml:space="preserve">that the following text </w:t>
      </w:r>
      <w:r w:rsidRPr="0089570C">
        <w:t xml:space="preserve">from document UPOV/INF/18/1 </w:t>
      </w:r>
      <w:r>
        <w:t xml:space="preserve">should be introduced </w:t>
      </w:r>
      <w:r w:rsidRPr="0089570C">
        <w:t xml:space="preserve">in document TGP/15 to clarify that it </w:t>
      </w:r>
      <w:r>
        <w:t>was</w:t>
      </w:r>
      <w:r w:rsidRPr="0089570C">
        <w:t xml:space="preserve"> the responsibility of the authority to decide on the reliability of the link between the gene and the expression of the characte</w:t>
      </w:r>
      <w:r>
        <w:t>ristic:</w:t>
      </w:r>
    </w:p>
    <w:p w:rsidR="00B30D7E" w:rsidRPr="009176BB" w:rsidRDefault="00B30D7E" w:rsidP="00B30D7E">
      <w:pPr>
        <w:rPr>
          <w:rFonts w:cs="Arial"/>
        </w:rPr>
      </w:pPr>
    </w:p>
    <w:p w:rsidR="00B30D7E" w:rsidRPr="00591EFF" w:rsidRDefault="00B30D7E" w:rsidP="00B30D7E">
      <w:pPr>
        <w:autoSpaceDE w:val="0"/>
        <w:autoSpaceDN w:val="0"/>
        <w:adjustRightInd w:val="0"/>
        <w:ind w:left="567" w:right="567"/>
        <w:rPr>
          <w:sz w:val="18"/>
          <w:lang w:eastAsia="ja-JP"/>
        </w:rPr>
      </w:pPr>
      <w:r w:rsidRPr="00591EFF">
        <w:rPr>
          <w:sz w:val="18"/>
          <w:szCs w:val="18"/>
          <w:lang w:eastAsia="ja-JP"/>
        </w:rPr>
        <w:t>“3.1.4   In considering the model and example, as presented in Annex 1 of this document, the TC emphasized the importance of meeting the assumptions. In that regard, it clarified that it is a matter for the relevant authority to consider if the assumptions are met (see document TC/45/16 “Report”, paragraph 152).</w:t>
      </w:r>
      <w:r w:rsidRPr="00591EFF">
        <w:rPr>
          <w:sz w:val="18"/>
          <w:lang w:eastAsia="ja-JP"/>
        </w:rPr>
        <w:t xml:space="preserve">” </w:t>
      </w:r>
    </w:p>
    <w:p w:rsidR="00B30D7E" w:rsidRDefault="00B30D7E" w:rsidP="00B30D7E">
      <w:pPr>
        <w:ind w:left="567" w:hanging="567"/>
        <w:rPr>
          <w:rFonts w:cs="Arial"/>
        </w:rPr>
      </w:pPr>
    </w:p>
    <w:p w:rsidR="00B30D7E" w:rsidRDefault="00B30D7E" w:rsidP="00B30D7E">
      <w:r>
        <w:rPr>
          <w:rFonts w:cs="Arial"/>
        </w:rPr>
        <w:fldChar w:fldCharType="begin"/>
      </w:r>
      <w:r>
        <w:rPr>
          <w:rFonts w:cs="Arial"/>
        </w:rPr>
        <w:instrText xml:space="preserve"> AUTONUM  </w:instrText>
      </w:r>
      <w:r>
        <w:rPr>
          <w:rFonts w:cs="Arial"/>
        </w:rPr>
        <w:fldChar w:fldCharType="end"/>
      </w:r>
      <w:r>
        <w:rPr>
          <w:rFonts w:cs="Arial"/>
        </w:rPr>
        <w:tab/>
        <w:t xml:space="preserve">The TC considered the proposal by the BMT and agreed </w:t>
      </w:r>
      <w:r w:rsidRPr="0089570C">
        <w:t xml:space="preserve">to include </w:t>
      </w:r>
      <w:r>
        <w:t>an</w:t>
      </w:r>
      <w:r w:rsidRPr="0089570C">
        <w:t xml:space="preserve"> explanation in document TGP/15 that it would be the responsibility of the respective TWP and the TC to assess whether the reliability of the link between the gene and the expression of the characteristic was satisfied in order to include a method in the Test Guidelines</w:t>
      </w:r>
      <w:r>
        <w:t>.</w:t>
      </w:r>
    </w:p>
    <w:p w:rsidR="00B30D7E" w:rsidRDefault="00B30D7E" w:rsidP="00B30D7E"/>
    <w:p w:rsidR="00B30D7E" w:rsidRDefault="00B30D7E" w:rsidP="00B30D7E">
      <w:r>
        <w:fldChar w:fldCharType="begin"/>
      </w:r>
      <w:r>
        <w:instrText xml:space="preserve"> AUTONUM  </w:instrText>
      </w:r>
      <w:r>
        <w:fldChar w:fldCharType="end"/>
      </w:r>
      <w:r>
        <w:tab/>
      </w:r>
      <w:r w:rsidRPr="001446D1">
        <w:t xml:space="preserve">The </w:t>
      </w:r>
      <w:r>
        <w:t xml:space="preserve">TC noted that the </w:t>
      </w:r>
      <w:r w:rsidRPr="001446D1">
        <w:t>BMT</w:t>
      </w:r>
      <w:r>
        <w:t>,</w:t>
      </w:r>
      <w:r w:rsidRPr="000917CA">
        <w:t xml:space="preserve"> </w:t>
      </w:r>
      <w:r>
        <w:t xml:space="preserve">at its seventeenth session, had considered document BMT/17/21 </w:t>
      </w:r>
      <w:r w:rsidRPr="00965F28">
        <w:t>“</w:t>
      </w:r>
      <w:r>
        <w:t>Do </w:t>
      </w:r>
      <w:r w:rsidRPr="00B5431E">
        <w:t>resistance markers for tomato fulfil the requirements of TGP/15</w:t>
      </w:r>
      <w:r w:rsidRPr="00965F28">
        <w:t>”</w:t>
      </w:r>
      <w:r>
        <w:t xml:space="preserve"> </w:t>
      </w:r>
      <w:r w:rsidRPr="00591EFF">
        <w:rPr>
          <w:iCs/>
        </w:rPr>
        <w:t>and received a presentation by</w:t>
      </w:r>
      <w:r w:rsidRPr="00591EFF">
        <w:t xml:space="preserve"> </w:t>
      </w:r>
      <w:r w:rsidRPr="00591EFF">
        <w:rPr>
          <w:iCs/>
        </w:rPr>
        <w:t>Ms. Amanda van Dijk</w:t>
      </w:r>
      <w:r w:rsidRPr="00591EFF">
        <w:rPr>
          <w:iCs/>
        </w:rPr>
        <w:noBreakHyphen/>
        <w:t xml:space="preserve">Veldhuizen (Netherlands), a copy of </w:t>
      </w:r>
      <w:r>
        <w:rPr>
          <w:iCs/>
        </w:rPr>
        <w:t>was</w:t>
      </w:r>
      <w:r w:rsidRPr="00591EFF">
        <w:rPr>
          <w:iCs/>
        </w:rPr>
        <w:t xml:space="preserve"> provided as document</w:t>
      </w:r>
      <w:r>
        <w:rPr>
          <w:iCs/>
        </w:rPr>
        <w:t> </w:t>
      </w:r>
      <w:r w:rsidRPr="00591EFF">
        <w:rPr>
          <w:iCs/>
        </w:rPr>
        <w:t>BMT/17/21 Add.</w:t>
      </w:r>
      <w:r>
        <w:t>.</w:t>
      </w:r>
    </w:p>
    <w:p w:rsidR="00B30D7E" w:rsidRPr="00591EFF" w:rsidRDefault="00B30D7E" w:rsidP="00B30D7E"/>
    <w:p w:rsidR="00B30D7E" w:rsidRPr="00591EFF" w:rsidRDefault="00B30D7E" w:rsidP="00B30D7E">
      <w:r w:rsidRPr="00DE5C5B">
        <w:fldChar w:fldCharType="begin"/>
      </w:r>
      <w:r w:rsidRPr="00DE5C5B">
        <w:instrText xml:space="preserve"> AUTONUM  </w:instrText>
      </w:r>
      <w:r w:rsidRPr="00DE5C5B">
        <w:fldChar w:fldCharType="end"/>
      </w:r>
      <w:r w:rsidRPr="00DE5C5B">
        <w:tab/>
        <w:t xml:space="preserve">The TC agreed </w:t>
      </w:r>
      <w:r>
        <w:t>with the proposal by the BMT that a</w:t>
      </w:r>
      <w:r w:rsidRPr="00DE5C5B">
        <w:t xml:space="preserve"> new example be added to document TGP/15</w:t>
      </w:r>
      <w:r>
        <w:t xml:space="preserve"> </w:t>
      </w:r>
      <w:r w:rsidRPr="00DE5C5B">
        <w:t xml:space="preserve">to illustrate a situation where the characteristic-specific marker did not provide complete information on the state of expression of a characteristic, on the basis of the </w:t>
      </w:r>
      <w:r>
        <w:t>proposal</w:t>
      </w:r>
      <w:r w:rsidRPr="00DE5C5B">
        <w:t xml:space="preserve"> by the Netherlands</w:t>
      </w:r>
      <w:r>
        <w:t xml:space="preserve"> presented in document BMT/17/21</w:t>
      </w:r>
      <w:r w:rsidRPr="00DE5C5B">
        <w:t xml:space="preserve">.  The </w:t>
      </w:r>
      <w:r>
        <w:t>TC agreed to invite the experts from the Netherlands to prepare a proposal to be presented to the TWPs and BMT and agreed that the resultant proposal should be presented</w:t>
      </w:r>
      <w:r w:rsidRPr="00DE5C5B">
        <w:t xml:space="preserve"> to the TC</w:t>
      </w:r>
      <w:r>
        <w:t>,</w:t>
      </w:r>
      <w:r w:rsidRPr="00DE5C5B">
        <w:t xml:space="preserve"> at its </w:t>
      </w:r>
      <w:r>
        <w:t>fifty-fifth</w:t>
      </w:r>
      <w:r w:rsidRPr="00DE5C5B">
        <w:t xml:space="preserve"> session.</w:t>
      </w:r>
    </w:p>
    <w:p w:rsidR="00B30D7E" w:rsidRDefault="00B30D7E" w:rsidP="00B30D7E">
      <w:pPr>
        <w:rPr>
          <w:rFonts w:cs="Arial"/>
        </w:rPr>
      </w:pPr>
    </w:p>
    <w:p w:rsidR="00B30D7E" w:rsidRPr="00F313AA" w:rsidRDefault="00B30D7E" w:rsidP="009C38B6">
      <w:pPr>
        <w:pStyle w:val="Heading4"/>
        <w:rPr>
          <w:rFonts w:cs="Arial"/>
          <w:lang w:val="en-US"/>
        </w:rPr>
      </w:pPr>
      <w:bookmarkStart w:id="39" w:name="_Toc525647215"/>
      <w:bookmarkStart w:id="40" w:name="_Toc526175655"/>
      <w:r w:rsidRPr="00F313AA">
        <w:rPr>
          <w:lang w:val="en-US"/>
        </w:rPr>
        <w:t>The use of molecular techniques in variety identification</w:t>
      </w:r>
      <w:bookmarkEnd w:id="39"/>
      <w:bookmarkEnd w:id="40"/>
    </w:p>
    <w:p w:rsidR="00B30D7E" w:rsidRDefault="00B30D7E" w:rsidP="009C38B6">
      <w:pPr>
        <w:keepNext/>
        <w:ind w:left="567" w:hanging="567"/>
        <w:rPr>
          <w:rFonts w:cs="Arial"/>
        </w:rPr>
      </w:pPr>
    </w:p>
    <w:p w:rsidR="00B30D7E" w:rsidRPr="006A346F" w:rsidRDefault="00B30D7E" w:rsidP="00B30D7E">
      <w:pPr>
        <w:rPr>
          <w:rFonts w:cs="Arial"/>
        </w:rPr>
      </w:pPr>
      <w:r>
        <w:rPr>
          <w:rFonts w:cs="Arial"/>
        </w:rPr>
        <w:fldChar w:fldCharType="begin"/>
      </w:r>
      <w:r>
        <w:rPr>
          <w:rFonts w:cs="Arial"/>
        </w:rPr>
        <w:instrText xml:space="preserve"> AUTONUM  </w:instrText>
      </w:r>
      <w:r>
        <w:rPr>
          <w:rFonts w:cs="Arial"/>
        </w:rPr>
        <w:fldChar w:fldCharType="end"/>
      </w:r>
      <w:r>
        <w:rPr>
          <w:rFonts w:cs="Arial"/>
        </w:rPr>
        <w:tab/>
        <w:t xml:space="preserve">The TC </w:t>
      </w:r>
      <w:r w:rsidRPr="0089570C">
        <w:t>note</w:t>
      </w:r>
      <w:r>
        <w:t>d</w:t>
      </w:r>
      <w:r w:rsidRPr="0089570C">
        <w:t xml:space="preserve"> the offer from Mr. Barry Nelson </w:t>
      </w:r>
      <w:r w:rsidRPr="005C50FF">
        <w:rPr>
          <w:snapToGrid w:val="0"/>
          <w:lang w:eastAsia="ja-JP"/>
        </w:rPr>
        <w:t>(</w:t>
      </w:r>
      <w:r w:rsidRPr="00BC48CA">
        <w:rPr>
          <w:snapToGrid w:val="0"/>
          <w:lang w:eastAsia="ja-JP"/>
        </w:rPr>
        <w:t>Corteva</w:t>
      </w:r>
      <w:r w:rsidRPr="00BC48CA">
        <w:rPr>
          <w:snapToGrid w:val="0"/>
          <w:vertAlign w:val="superscript"/>
          <w:lang w:eastAsia="ja-JP"/>
        </w:rPr>
        <w:t>TM</w:t>
      </w:r>
      <w:r w:rsidRPr="00BC48CA">
        <w:rPr>
          <w:snapToGrid w:val="0"/>
          <w:lang w:eastAsia="ja-JP"/>
        </w:rPr>
        <w:t xml:space="preserve"> Agriscience</w:t>
      </w:r>
      <w:r w:rsidRPr="005C50FF">
        <w:rPr>
          <w:snapToGrid w:val="0"/>
          <w:lang w:eastAsia="ja-JP"/>
        </w:rPr>
        <w:t>)</w:t>
      </w:r>
      <w:r>
        <w:rPr>
          <w:snapToGrid w:val="0"/>
          <w:lang w:eastAsia="ja-JP"/>
        </w:rPr>
        <w:t xml:space="preserve"> </w:t>
      </w:r>
      <w:r w:rsidRPr="0089570C">
        <w:t xml:space="preserve">to explore the possibility to make </w:t>
      </w:r>
      <w:r w:rsidRPr="006A346F">
        <w:t>available to others for further development a software tool for marker selection using the “traveling salesman” algorithm, as set out in document TC/54/11 Add., paragraph 53.</w:t>
      </w:r>
    </w:p>
    <w:p w:rsidR="00B30D7E" w:rsidRPr="006A346F" w:rsidRDefault="00B30D7E" w:rsidP="00B30D7E">
      <w:pPr>
        <w:ind w:left="567" w:hanging="567"/>
        <w:rPr>
          <w:rFonts w:cs="Arial"/>
        </w:rPr>
      </w:pPr>
    </w:p>
    <w:p w:rsidR="00B30D7E" w:rsidRDefault="00B30D7E" w:rsidP="00B30D7E">
      <w:r w:rsidRPr="006A346F">
        <w:rPr>
          <w:rFonts w:cs="Arial"/>
        </w:rPr>
        <w:fldChar w:fldCharType="begin"/>
      </w:r>
      <w:r w:rsidRPr="006A346F">
        <w:rPr>
          <w:rFonts w:cs="Arial"/>
        </w:rPr>
        <w:instrText xml:space="preserve"> AUTONUM  </w:instrText>
      </w:r>
      <w:r w:rsidRPr="006A346F">
        <w:rPr>
          <w:rFonts w:cs="Arial"/>
        </w:rPr>
        <w:fldChar w:fldCharType="end"/>
      </w:r>
      <w:r w:rsidRPr="006A346F">
        <w:rPr>
          <w:rFonts w:cs="Arial"/>
        </w:rPr>
        <w:tab/>
        <w:t xml:space="preserve">The TC </w:t>
      </w:r>
      <w:r w:rsidRPr="006A346F">
        <w:rPr>
          <w:snapToGrid w:val="0"/>
        </w:rPr>
        <w:t>noted that further developments on this matter would be reported to the BMT at its eighteenth session</w:t>
      </w:r>
      <w:r w:rsidRPr="006A346F">
        <w:t>.</w:t>
      </w:r>
    </w:p>
    <w:p w:rsidR="00B30D7E" w:rsidRDefault="00B30D7E" w:rsidP="00B30D7E"/>
    <w:p w:rsidR="00B30D7E" w:rsidRPr="00F313AA" w:rsidRDefault="00B30D7E" w:rsidP="009C38B6">
      <w:pPr>
        <w:pStyle w:val="Heading4"/>
        <w:rPr>
          <w:snapToGrid w:val="0"/>
          <w:lang w:val="en-US"/>
        </w:rPr>
      </w:pPr>
      <w:bookmarkStart w:id="41" w:name="_Toc525647216"/>
      <w:bookmarkStart w:id="42" w:name="_Toc526175656"/>
      <w:bookmarkStart w:id="43" w:name="_Toc523825200"/>
      <w:r w:rsidRPr="00F313AA">
        <w:rPr>
          <w:snapToGrid w:val="0"/>
          <w:lang w:val="en-US"/>
        </w:rPr>
        <w:t>Session to facilitate cooperation</w:t>
      </w:r>
      <w:bookmarkEnd w:id="41"/>
      <w:bookmarkEnd w:id="42"/>
    </w:p>
    <w:bookmarkEnd w:id="43"/>
    <w:p w:rsidR="00B30D7E" w:rsidRDefault="00B30D7E" w:rsidP="00B30D7E">
      <w:pPr>
        <w:ind w:left="567" w:hanging="567"/>
      </w:pPr>
    </w:p>
    <w:p w:rsidR="00B30D7E" w:rsidRDefault="00B30D7E" w:rsidP="00B30D7E">
      <w:r>
        <w:fldChar w:fldCharType="begin"/>
      </w:r>
      <w:r>
        <w:instrText xml:space="preserve"> AUTONUM  </w:instrText>
      </w:r>
      <w:r>
        <w:fldChar w:fldCharType="end"/>
      </w:r>
      <w:r>
        <w:tab/>
      </w:r>
      <w:r w:rsidRPr="00D6236C">
        <w:t>The TC note</w:t>
      </w:r>
      <w:r>
        <w:t>d</w:t>
      </w:r>
      <w:r w:rsidRPr="00D6236C">
        <w:t xml:space="preserve"> </w:t>
      </w:r>
      <w:r>
        <w:t xml:space="preserve">that </w:t>
      </w:r>
      <w:r w:rsidRPr="00D6236C">
        <w:t xml:space="preserve">discussion groups </w:t>
      </w:r>
      <w:r>
        <w:t>had been</w:t>
      </w:r>
      <w:r w:rsidRPr="00D6236C">
        <w:t xml:space="preserve"> formed at the sixteenth session of the BMT for: agricultural crops; fruit crops; ornamental plants and forest trees; and vegetables, for </w:t>
      </w:r>
      <w:r>
        <w:t xml:space="preserve">BMT </w:t>
      </w:r>
      <w:r w:rsidRPr="00D6236C">
        <w:t>participants to exchange information on their work and explore areas for cooperation</w:t>
      </w:r>
      <w:r>
        <w:t>.</w:t>
      </w:r>
    </w:p>
    <w:p w:rsidR="00B30D7E" w:rsidRDefault="00B30D7E" w:rsidP="00B30D7E"/>
    <w:p w:rsidR="00B30D7E" w:rsidRDefault="00B30D7E" w:rsidP="00B30D7E">
      <w:r>
        <w:fldChar w:fldCharType="begin"/>
      </w:r>
      <w:r>
        <w:instrText xml:space="preserve"> AUTONUM  </w:instrText>
      </w:r>
      <w:r>
        <w:fldChar w:fldCharType="end"/>
      </w:r>
      <w:r>
        <w:tab/>
        <w:t xml:space="preserve">The TC noted </w:t>
      </w:r>
      <w:r w:rsidRPr="0089570C">
        <w:t xml:space="preserve">that, at the seventeenth session of the BMT, discussion groups </w:t>
      </w:r>
      <w:r>
        <w:t>had been</w:t>
      </w:r>
      <w:r w:rsidRPr="0089570C">
        <w:t xml:space="preserve"> formed for: maize and soybeans; other agricultural crops; fruit crops and forest trees; ornamental plants; and vegetables, for BMT participants to exchange information on their work and explore areas for cooperation</w:t>
      </w:r>
      <w:r>
        <w:t>.</w:t>
      </w:r>
    </w:p>
    <w:p w:rsidR="00B30D7E" w:rsidRDefault="00B30D7E" w:rsidP="00B30D7E">
      <w:pPr>
        <w:keepNext/>
        <w:keepLines/>
      </w:pPr>
    </w:p>
    <w:p w:rsidR="00B30D7E" w:rsidRDefault="00B30D7E" w:rsidP="00B30D7E">
      <w:r>
        <w:fldChar w:fldCharType="begin"/>
      </w:r>
      <w:r>
        <w:instrText xml:space="preserve"> AUTONUM  </w:instrText>
      </w:r>
      <w:r>
        <w:fldChar w:fldCharType="end"/>
      </w:r>
      <w:r>
        <w:tab/>
        <w:t xml:space="preserve">The TC noted </w:t>
      </w:r>
      <w:r w:rsidRPr="0089570C">
        <w:rPr>
          <w:snapToGrid w:val="0"/>
          <w:lang w:val="en-GB"/>
        </w:rPr>
        <w:t>that</w:t>
      </w:r>
      <w:r w:rsidRPr="0089570C">
        <w:t xml:space="preserve"> the BMT </w:t>
      </w:r>
      <w:r>
        <w:t xml:space="preserve">had </w:t>
      </w:r>
      <w:r w:rsidRPr="0089570C">
        <w:t xml:space="preserve">plans to discuss, at its eighteenth session, </w:t>
      </w:r>
      <w:r w:rsidRPr="0089570C">
        <w:rPr>
          <w:rFonts w:cs="Arial"/>
        </w:rPr>
        <w:t>issues concerning cooperation between partners and service providers, including confidentiality, access to data and material, authorization for work to be performed and availability of results and information to partners</w:t>
      </w:r>
      <w:r>
        <w:t>.</w:t>
      </w:r>
    </w:p>
    <w:p w:rsidR="00B30D7E" w:rsidRDefault="00B30D7E" w:rsidP="00B30D7E"/>
    <w:p w:rsidR="00B30D7E" w:rsidRDefault="00B30D7E" w:rsidP="00B30D7E">
      <w:r>
        <w:fldChar w:fldCharType="begin"/>
      </w:r>
      <w:r>
        <w:instrText xml:space="preserve"> AUTONUM  </w:instrText>
      </w:r>
      <w:r>
        <w:fldChar w:fldCharType="end"/>
      </w:r>
      <w:r>
        <w:tab/>
        <w:t xml:space="preserve">The TC agreed that </w:t>
      </w:r>
      <w:r w:rsidRPr="0089570C">
        <w:rPr>
          <w:rFonts w:cs="Arial"/>
        </w:rPr>
        <w:t>the results of the coordination session in the BMT be reported to the other Technical Working Parties (TWPs)</w:t>
      </w:r>
      <w:r>
        <w:rPr>
          <w:rFonts w:cs="Arial"/>
        </w:rPr>
        <w:t>.  The TC</w:t>
      </w:r>
      <w:r w:rsidRPr="0089570C">
        <w:rPr>
          <w:rFonts w:cs="Arial"/>
        </w:rPr>
        <w:t xml:space="preserve"> </w:t>
      </w:r>
      <w:r>
        <w:rPr>
          <w:rFonts w:cs="Arial"/>
        </w:rPr>
        <w:t xml:space="preserve">agreed to invite </w:t>
      </w:r>
      <w:r w:rsidRPr="0089570C">
        <w:rPr>
          <w:rFonts w:cs="Arial"/>
        </w:rPr>
        <w:t xml:space="preserve">the TWPs to undertake a </w:t>
      </w:r>
      <w:r>
        <w:rPr>
          <w:rFonts w:cs="Arial"/>
        </w:rPr>
        <w:t>similar session to build on the </w:t>
      </w:r>
      <w:r w:rsidRPr="0089570C">
        <w:rPr>
          <w:rFonts w:cs="Arial"/>
        </w:rPr>
        <w:t>BMT outcomes and feed into the future work of the BMT</w:t>
      </w:r>
      <w:r>
        <w:t xml:space="preserve">.  The TC agreed that </w:t>
      </w:r>
      <w:r>
        <w:rPr>
          <w:rFonts w:cs="Arial"/>
        </w:rPr>
        <w:t xml:space="preserve">discussion groups should be formed for the main crops at each TWP to allow participants to </w:t>
      </w:r>
      <w:r w:rsidRPr="0089570C">
        <w:t>exchange information on their work and explore areas for cooperation</w:t>
      </w:r>
      <w:r>
        <w:t xml:space="preserve">.  </w:t>
      </w:r>
    </w:p>
    <w:p w:rsidR="00B30D7E" w:rsidRDefault="00B30D7E" w:rsidP="00B30D7E"/>
    <w:p w:rsidR="00B30D7E" w:rsidRDefault="00B30D7E" w:rsidP="00B30D7E">
      <w:r w:rsidRPr="00DD6BB8">
        <w:fldChar w:fldCharType="begin"/>
      </w:r>
      <w:r w:rsidRPr="00DD6BB8">
        <w:instrText xml:space="preserve"> AUTONUM  </w:instrText>
      </w:r>
      <w:r w:rsidRPr="00DD6BB8">
        <w:fldChar w:fldCharType="end"/>
      </w:r>
      <w:r w:rsidRPr="00DD6BB8">
        <w:tab/>
        <w:t xml:space="preserve">The TC further agreed that the discussion groups could also consider </w:t>
      </w:r>
      <w:r w:rsidRPr="00DD6BB8">
        <w:rPr>
          <w:rFonts w:cs="Arial"/>
        </w:rPr>
        <w:t xml:space="preserve">issues concerning cooperation in DUS examination, to explore </w:t>
      </w:r>
      <w:r w:rsidRPr="00DD6BB8">
        <w:t>technical concerns that prevented cooperation and to consider how to overcome the technical concerns raised, as discussed under agenda item 7 “Cooperation in Examination.</w:t>
      </w:r>
    </w:p>
    <w:p w:rsidR="00B30D7E" w:rsidRDefault="00B30D7E" w:rsidP="00B30D7E">
      <w:pPr>
        <w:rPr>
          <w:rFonts w:cs="Arial"/>
        </w:rPr>
      </w:pPr>
    </w:p>
    <w:p w:rsidR="00E64891" w:rsidRDefault="00E64891" w:rsidP="00E64891"/>
    <w:p w:rsidR="000F2FEF" w:rsidRDefault="00F313AA" w:rsidP="00F313AA">
      <w:pPr>
        <w:jc w:val="right"/>
      </w:pPr>
      <w:r>
        <w:t>[Appendix follows]</w:t>
      </w:r>
    </w:p>
    <w:p w:rsidR="00F313AA" w:rsidRDefault="00F313AA" w:rsidP="00F313AA">
      <w:pPr>
        <w:jc w:val="right"/>
        <w:sectPr w:rsidR="00F313AA" w:rsidSect="000F2FEF">
          <w:headerReference w:type="first" r:id="rId10"/>
          <w:pgSz w:w="11907" w:h="16840" w:code="9"/>
          <w:pgMar w:top="510" w:right="1134" w:bottom="1134" w:left="1134" w:header="510" w:footer="680" w:gutter="0"/>
          <w:pgNumType w:start="1"/>
          <w:cols w:space="720"/>
          <w:titlePg/>
          <w:docGrid w:linePitch="272"/>
        </w:sectPr>
      </w:pPr>
    </w:p>
    <w:p w:rsidR="00F313AA" w:rsidRDefault="00F313AA" w:rsidP="00F313AA">
      <w:pPr>
        <w:jc w:val="center"/>
      </w:pPr>
      <w:r w:rsidRPr="00F313AA">
        <w:rPr>
          <w:noProof/>
        </w:rPr>
        <w:lastRenderedPageBreak/>
        <w:drawing>
          <wp:inline distT="0" distB="0" distL="0" distR="0">
            <wp:extent cx="8965982" cy="5847487"/>
            <wp:effectExtent l="0" t="0" r="6985"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967860" cy="5848712"/>
                    </a:xfrm>
                    <a:prstGeom prst="rect">
                      <a:avLst/>
                    </a:prstGeom>
                    <a:noFill/>
                    <a:ln>
                      <a:noFill/>
                    </a:ln>
                  </pic:spPr>
                </pic:pic>
              </a:graphicData>
            </a:graphic>
          </wp:inline>
        </w:drawing>
      </w:r>
    </w:p>
    <w:p w:rsidR="004317F2" w:rsidRPr="000279A4" w:rsidRDefault="00F313AA" w:rsidP="004317F2">
      <w:pPr>
        <w:jc w:val="right"/>
      </w:pPr>
      <w:r>
        <w:rPr>
          <w:rFonts w:cs="Arial"/>
          <w:noProof/>
        </w:rPr>
        <mc:AlternateContent>
          <mc:Choice Requires="wps">
            <w:drawing>
              <wp:anchor distT="0" distB="0" distL="114300" distR="114300" simplePos="0" relativeHeight="251659264" behindDoc="0" locked="0" layoutInCell="0" allowOverlap="1">
                <wp:simplePos x="0" y="0"/>
                <wp:positionH relativeFrom="column">
                  <wp:posOffset>7326469</wp:posOffset>
                </wp:positionH>
                <wp:positionV relativeFrom="paragraph">
                  <wp:posOffset>167005</wp:posOffset>
                </wp:positionV>
                <wp:extent cx="1920875" cy="228600"/>
                <wp:effectExtent l="0" t="0" r="3175"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087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13AA" w:rsidRDefault="00F313AA" w:rsidP="00F313AA">
                            <w:pPr>
                              <w:jc w:val="right"/>
                            </w:pPr>
                            <w:r>
                              <w:t>[End of Annex and of document]</w:t>
                            </w:r>
                          </w:p>
                          <w:p w:rsidR="00F313AA" w:rsidRPr="009929A5" w:rsidRDefault="00F313AA">
                            <w:pPr>
                              <w:ind w:right="53"/>
                              <w:jc w:val="right"/>
                              <w:rPr>
                                <w:rFonts w:cs="Arial"/>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576.9pt;margin-top:13.15pt;width:151.2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" o:allowincell="f" filled="f" stroked="f">
                <v:textbox inset="0,0,0,0">
                  <w:txbxContent>
                    <w:p w:rsidR="00F313AA" w:rsidRDefault="00F313AA" w:rsidP="00F313AA">
                      <w:pPr>
                        <w:jc w:val="right"/>
                      </w:pPr>
                      <w:r>
                        <w:t>[End of Annex and of document]</w:t>
                      </w:r>
                    </w:p>
                    <w:p w:rsidR="00F313AA" w:rsidRPr="009929A5" w:rsidRDefault="00F313AA">
                      <w:pPr>
                        <w:ind w:right="53"/>
                        <w:jc w:val="right"/>
                        <w:rPr>
                          <w:rFonts w:cs="Arial"/>
                        </w:rPr>
                      </w:pPr>
                    </w:p>
                  </w:txbxContent>
                </v:textbox>
              </v:shape>
            </w:pict>
          </mc:Fallback>
        </mc:AlternateContent>
      </w:r>
    </w:p>
    <w:sectPr w:rsidR="004317F2" w:rsidRPr="000279A4" w:rsidSect="00F313AA">
      <w:pgSz w:w="16840" w:h="11907" w:orient="landscape" w:code="9"/>
      <w:pgMar w:top="454" w:right="1134" w:bottom="567" w:left="1134" w:header="510" w:footer="680"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314D" w:rsidRDefault="0076314D" w:rsidP="006655D3">
      <w:r>
        <w:separator/>
      </w:r>
    </w:p>
    <w:p w:rsidR="0076314D" w:rsidRDefault="0076314D" w:rsidP="006655D3"/>
    <w:p w:rsidR="0076314D" w:rsidRDefault="0076314D" w:rsidP="006655D3"/>
  </w:endnote>
  <w:endnote w:type="continuationSeparator" w:id="0">
    <w:p w:rsidR="0076314D" w:rsidRDefault="0076314D" w:rsidP="006655D3">
      <w:r>
        <w:separator/>
      </w:r>
    </w:p>
    <w:p w:rsidR="0076314D" w:rsidRPr="00294751" w:rsidRDefault="0076314D">
      <w:pPr>
        <w:pStyle w:val="Footer"/>
        <w:spacing w:after="60"/>
        <w:rPr>
          <w:sz w:val="18"/>
          <w:lang w:val="fr-FR"/>
        </w:rPr>
      </w:pPr>
      <w:r w:rsidRPr="00294751">
        <w:rPr>
          <w:sz w:val="18"/>
          <w:lang w:val="fr-FR"/>
        </w:rPr>
        <w:t>[Suite de la note de la page précédente]</w:t>
      </w:r>
    </w:p>
    <w:p w:rsidR="0076314D" w:rsidRPr="00294751" w:rsidRDefault="0076314D" w:rsidP="006655D3">
      <w:pPr>
        <w:rPr>
          <w:lang w:val="fr-FR"/>
        </w:rPr>
      </w:pPr>
    </w:p>
    <w:p w:rsidR="0076314D" w:rsidRPr="00294751" w:rsidRDefault="0076314D" w:rsidP="006655D3">
      <w:pPr>
        <w:rPr>
          <w:lang w:val="fr-FR"/>
        </w:rPr>
      </w:pPr>
    </w:p>
  </w:endnote>
  <w:endnote w:type="continuationNotice" w:id="1">
    <w:p w:rsidR="0076314D" w:rsidRPr="00294751" w:rsidRDefault="0076314D" w:rsidP="006655D3">
      <w:pPr>
        <w:rPr>
          <w:lang w:val="fr-FR"/>
        </w:rPr>
      </w:pPr>
      <w:r w:rsidRPr="00294751">
        <w:rPr>
          <w:lang w:val="fr-FR"/>
        </w:rPr>
        <w:t>[Suite de la note page suivante]</w:t>
      </w:r>
    </w:p>
    <w:p w:rsidR="0076314D" w:rsidRPr="00294751" w:rsidRDefault="0076314D" w:rsidP="006655D3">
      <w:pPr>
        <w:rPr>
          <w:lang w:val="fr-FR"/>
        </w:rPr>
      </w:pPr>
    </w:p>
    <w:p w:rsidR="0076314D" w:rsidRPr="00294751" w:rsidRDefault="0076314D"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314D" w:rsidRDefault="0076314D" w:rsidP="006655D3">
      <w:r>
        <w:separator/>
      </w:r>
    </w:p>
  </w:footnote>
  <w:footnote w:type="continuationSeparator" w:id="0">
    <w:p w:rsidR="0076314D" w:rsidRDefault="0076314D" w:rsidP="006655D3">
      <w:r>
        <w:separator/>
      </w:r>
    </w:p>
  </w:footnote>
  <w:footnote w:type="continuationNotice" w:id="1">
    <w:p w:rsidR="0076314D" w:rsidRPr="00AB530F" w:rsidRDefault="0076314D"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1212" w:rsidRPr="00C5280D" w:rsidRDefault="00AC6F2C" w:rsidP="00EB048E">
    <w:pPr>
      <w:pStyle w:val="Header"/>
      <w:rPr>
        <w:rStyle w:val="PageNumber"/>
        <w:lang w:val="en-US"/>
      </w:rPr>
    </w:pPr>
    <w:r>
      <w:rPr>
        <w:rStyle w:val="PageNumber"/>
        <w:lang w:val="en-US"/>
      </w:rPr>
      <w:t>CAJ/75/13</w:t>
    </w:r>
  </w:p>
  <w:p w:rsidR="00841212" w:rsidRPr="00C5280D" w:rsidRDefault="00841212" w:rsidP="004866D0">
    <w:pPr>
      <w:pStyle w:val="Header"/>
      <w:rPr>
        <w:lang w:val="en-US"/>
      </w:rPr>
    </w:pPr>
    <w:r>
      <w:rPr>
        <w:lang w:val="en-US"/>
      </w:rPr>
      <w:t xml:space="preserve">Annex,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DD39CD">
      <w:rPr>
        <w:rStyle w:val="PageNumber"/>
        <w:noProof/>
        <w:lang w:val="en-US"/>
      </w:rPr>
      <w:t>7</w:t>
    </w:r>
    <w:r w:rsidRPr="00C5280D">
      <w:rPr>
        <w:rStyle w:val="PageNumber"/>
        <w:lang w:val="en-US"/>
      </w:rPr>
      <w:fldChar w:fldCharType="end"/>
    </w:r>
  </w:p>
  <w:p w:rsidR="00841212" w:rsidRDefault="00841212" w:rsidP="008C16EF"/>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464F" w:rsidRDefault="00F313AA" w:rsidP="000F2FEF">
    <w:pPr>
      <w:pStyle w:val="Header"/>
      <w:rPr>
        <w:lang w:val="en-US"/>
      </w:rPr>
    </w:pPr>
    <w:r>
      <w:rPr>
        <w:lang w:val="en-US"/>
      </w:rPr>
      <w:t>CAJ/75/13</w:t>
    </w:r>
  </w:p>
  <w:p w:rsidR="00F313AA" w:rsidRPr="00F313AA" w:rsidRDefault="00F313AA" w:rsidP="000F2FEF">
    <w:pPr>
      <w:pStyle w:val="Header"/>
      <w:rPr>
        <w:sz w:val="12"/>
        <w:lang w:val="en-US"/>
      </w:rPr>
    </w:pPr>
  </w:p>
  <w:p w:rsidR="00F313AA" w:rsidRDefault="00F313AA" w:rsidP="000F2FEF">
    <w:pPr>
      <w:pStyle w:val="Header"/>
      <w:rPr>
        <w:lang w:val="en-US"/>
      </w:rPr>
    </w:pPr>
    <w:r>
      <w:rPr>
        <w:lang w:val="en-US"/>
      </w:rPr>
      <w:t>APPENDIX</w:t>
    </w:r>
  </w:p>
  <w:p w:rsidR="00F313AA" w:rsidRDefault="00F313AA" w:rsidP="000F2FEF">
    <w:pPr>
      <w:pStyle w:val="Header"/>
      <w:rPr>
        <w:lang w:val="en-US"/>
      </w:rPr>
    </w:pPr>
  </w:p>
  <w:p w:rsidR="00F313AA" w:rsidRPr="00F313AA" w:rsidRDefault="00F313AA" w:rsidP="000F2FEF">
    <w:pPr>
      <w:pStyle w:val="Header"/>
      <w:rPr>
        <w:u w:val="single"/>
        <w:lang w:val="en-US"/>
      </w:rPr>
    </w:pPr>
    <w:r w:rsidRPr="00F313AA">
      <w:rPr>
        <w:u w:val="single"/>
        <w:lang w:val="en-US"/>
      </w:rPr>
      <w:t>Program for the development of TGP documents</w:t>
    </w:r>
  </w:p>
  <w:p w:rsidR="00F313AA" w:rsidRPr="00F313AA" w:rsidRDefault="00F313AA" w:rsidP="000F2FEF">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2C5C3128"/>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5A8E75B0"/>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2E363312"/>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BE4620D6"/>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9"/>
    <w:multiLevelType w:val="singleLevel"/>
    <w:tmpl w:val="3AE2654C"/>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7AD7199"/>
    <w:multiLevelType w:val="hybridMultilevel"/>
    <w:tmpl w:val="AE209784"/>
    <w:lvl w:ilvl="0" w:tplc="0E4CF37C">
      <w:start w:val="1"/>
      <w:numFmt w:val="lowerLetter"/>
      <w:lvlText w:val="(%1)"/>
      <w:lvlJc w:val="left"/>
      <w:pPr>
        <w:ind w:left="720" w:hanging="360"/>
      </w:pPr>
      <w:rPr>
        <w:rFonts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6" w15:restartNumberingAfterBreak="0">
    <w:nsid w:val="1D422EB8"/>
    <w:multiLevelType w:val="hybridMultilevel"/>
    <w:tmpl w:val="5B880656"/>
    <w:lvl w:ilvl="0" w:tplc="3FBED5E6">
      <w:start w:val="1"/>
      <w:numFmt w:val="lowerLetter"/>
      <w:lvlText w:val="(%1)"/>
      <w:lvlJc w:val="left"/>
      <w:pPr>
        <w:ind w:left="1287" w:hanging="360"/>
      </w:pPr>
      <w:rPr>
        <w:rFont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7" w15:restartNumberingAfterBreak="0">
    <w:nsid w:val="26536FAE"/>
    <w:multiLevelType w:val="hybridMultilevel"/>
    <w:tmpl w:val="6DE09AB8"/>
    <w:lvl w:ilvl="0" w:tplc="D504746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6AA139A"/>
    <w:multiLevelType w:val="hybridMultilevel"/>
    <w:tmpl w:val="0D3E884A"/>
    <w:lvl w:ilvl="0" w:tplc="0E4CF37C">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9C51CA"/>
    <w:multiLevelType w:val="hybridMultilevel"/>
    <w:tmpl w:val="30FA374C"/>
    <w:lvl w:ilvl="0" w:tplc="FD2AC392">
      <w:start w:val="3"/>
      <w:numFmt w:val="bullet"/>
      <w:lvlText w:val="-"/>
      <w:lvlJc w:val="left"/>
      <w:pPr>
        <w:ind w:left="1440" w:hanging="360"/>
      </w:pPr>
      <w:rPr>
        <w:rFonts w:ascii="Calibri Light" w:eastAsiaTheme="minorHAnsi" w:hAnsi="Calibri Light" w:cs="Calibri Light"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0" w15:restartNumberingAfterBreak="0">
    <w:nsid w:val="2CD23DA3"/>
    <w:multiLevelType w:val="hybridMultilevel"/>
    <w:tmpl w:val="B33483A2"/>
    <w:lvl w:ilvl="0" w:tplc="8210023A">
      <w:start w:val="1"/>
      <w:numFmt w:val="lowerRoman"/>
      <w:lvlText w:val="(%1)"/>
      <w:lvlJc w:val="left"/>
      <w:pPr>
        <w:ind w:left="1410" w:hanging="720"/>
      </w:pPr>
      <w:rPr>
        <w:rFonts w:hint="default"/>
      </w:r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11" w15:restartNumberingAfterBreak="0">
    <w:nsid w:val="2D5B2FE4"/>
    <w:multiLevelType w:val="hybridMultilevel"/>
    <w:tmpl w:val="E716B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825A4E"/>
    <w:multiLevelType w:val="hybridMultilevel"/>
    <w:tmpl w:val="4C0E2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076F1C"/>
    <w:multiLevelType w:val="multilevel"/>
    <w:tmpl w:val="C958C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1086AB5"/>
    <w:multiLevelType w:val="hybridMultilevel"/>
    <w:tmpl w:val="F85C6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F0E577B"/>
    <w:multiLevelType w:val="hybridMultilevel"/>
    <w:tmpl w:val="17884096"/>
    <w:lvl w:ilvl="0" w:tplc="47A042CA">
      <w:start w:val="1"/>
      <w:numFmt w:val="bullet"/>
      <w:pStyle w:val="Heading6"/>
      <w:lvlText w:val=""/>
      <w:lvlJc w:val="left"/>
      <w:pPr>
        <w:ind w:left="1854" w:hanging="360"/>
      </w:pPr>
      <w:rPr>
        <w:rFonts w:ascii="Wingdings" w:hAnsi="Wingdings"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6" w15:restartNumberingAfterBreak="0">
    <w:nsid w:val="62EC4B75"/>
    <w:multiLevelType w:val="hybridMultilevel"/>
    <w:tmpl w:val="133A1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ED03910"/>
    <w:multiLevelType w:val="hybridMultilevel"/>
    <w:tmpl w:val="5B880656"/>
    <w:lvl w:ilvl="0" w:tplc="3FBED5E6">
      <w:start w:val="1"/>
      <w:numFmt w:val="lowerLetter"/>
      <w:lvlText w:val="(%1)"/>
      <w:lvlJc w:val="left"/>
      <w:pPr>
        <w:ind w:left="1287" w:hanging="360"/>
      </w:pPr>
      <w:rPr>
        <w:rFont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10"/>
  </w:num>
  <w:num w:numId="2">
    <w:abstractNumId w:val="17"/>
  </w:num>
  <w:num w:numId="3">
    <w:abstractNumId w:val="6"/>
  </w:num>
  <w:num w:numId="4">
    <w:abstractNumId w:val="11"/>
  </w:num>
  <w:num w:numId="5">
    <w:abstractNumId w:val="9"/>
  </w:num>
  <w:num w:numId="6">
    <w:abstractNumId w:val="7"/>
  </w:num>
  <w:num w:numId="7">
    <w:abstractNumId w:val="13"/>
  </w:num>
  <w:num w:numId="8">
    <w:abstractNumId w:val="14"/>
  </w:num>
  <w:num w:numId="9">
    <w:abstractNumId w:val="16"/>
  </w:num>
  <w:num w:numId="10">
    <w:abstractNumId w:val="12"/>
  </w:num>
  <w:num w:numId="11">
    <w:abstractNumId w:val="8"/>
  </w:num>
  <w:num w:numId="12">
    <w:abstractNumId w:val="5"/>
  </w:num>
  <w:num w:numId="13">
    <w:abstractNumId w:val="4"/>
  </w:num>
  <w:num w:numId="14">
    <w:abstractNumId w:val="3"/>
  </w:num>
  <w:num w:numId="15">
    <w:abstractNumId w:val="2"/>
  </w:num>
  <w:num w:numId="16">
    <w:abstractNumId w:val="1"/>
  </w:num>
  <w:num w:numId="17">
    <w:abstractNumId w:val="0"/>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4577"/>
  </w:hdrShapeDefault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5EBD"/>
    <w:rsid w:val="00010CF3"/>
    <w:rsid w:val="00011E27"/>
    <w:rsid w:val="000148BC"/>
    <w:rsid w:val="00024AB8"/>
    <w:rsid w:val="00030854"/>
    <w:rsid w:val="00036028"/>
    <w:rsid w:val="00041354"/>
    <w:rsid w:val="00044642"/>
    <w:rsid w:val="000446B9"/>
    <w:rsid w:val="00047E21"/>
    <w:rsid w:val="00050E16"/>
    <w:rsid w:val="000730D6"/>
    <w:rsid w:val="00085505"/>
    <w:rsid w:val="000A0391"/>
    <w:rsid w:val="000A345D"/>
    <w:rsid w:val="000A6617"/>
    <w:rsid w:val="000C4E25"/>
    <w:rsid w:val="000C7021"/>
    <w:rsid w:val="000D6BBC"/>
    <w:rsid w:val="000D7780"/>
    <w:rsid w:val="000E636A"/>
    <w:rsid w:val="000F2F11"/>
    <w:rsid w:val="000F2FEF"/>
    <w:rsid w:val="00100156"/>
    <w:rsid w:val="00105929"/>
    <w:rsid w:val="00110BED"/>
    <w:rsid w:val="00110C36"/>
    <w:rsid w:val="001123B6"/>
    <w:rsid w:val="001131D5"/>
    <w:rsid w:val="001220F5"/>
    <w:rsid w:val="00132142"/>
    <w:rsid w:val="00141DB8"/>
    <w:rsid w:val="00160EF8"/>
    <w:rsid w:val="001660EE"/>
    <w:rsid w:val="00172084"/>
    <w:rsid w:val="0017474A"/>
    <w:rsid w:val="001758C6"/>
    <w:rsid w:val="00182343"/>
    <w:rsid w:val="00182B99"/>
    <w:rsid w:val="00195A30"/>
    <w:rsid w:val="00197D9F"/>
    <w:rsid w:val="001A3884"/>
    <w:rsid w:val="001C1525"/>
    <w:rsid w:val="001E2269"/>
    <w:rsid w:val="0021332C"/>
    <w:rsid w:val="00213982"/>
    <w:rsid w:val="0024416D"/>
    <w:rsid w:val="002579FF"/>
    <w:rsid w:val="0026763C"/>
    <w:rsid w:val="00271911"/>
    <w:rsid w:val="002800A0"/>
    <w:rsid w:val="002801B3"/>
    <w:rsid w:val="00281060"/>
    <w:rsid w:val="00286C78"/>
    <w:rsid w:val="002940E8"/>
    <w:rsid w:val="00294751"/>
    <w:rsid w:val="002A6E50"/>
    <w:rsid w:val="002A7453"/>
    <w:rsid w:val="002B0E96"/>
    <w:rsid w:val="002B4298"/>
    <w:rsid w:val="002B5960"/>
    <w:rsid w:val="002B7A36"/>
    <w:rsid w:val="002C256A"/>
    <w:rsid w:val="00305A7F"/>
    <w:rsid w:val="00313628"/>
    <w:rsid w:val="003152FE"/>
    <w:rsid w:val="00323F82"/>
    <w:rsid w:val="00324EF0"/>
    <w:rsid w:val="00327436"/>
    <w:rsid w:val="00330070"/>
    <w:rsid w:val="0033691F"/>
    <w:rsid w:val="00344BD6"/>
    <w:rsid w:val="0035528D"/>
    <w:rsid w:val="00361821"/>
    <w:rsid w:val="00361E9E"/>
    <w:rsid w:val="003638D6"/>
    <w:rsid w:val="0037113B"/>
    <w:rsid w:val="00373ECB"/>
    <w:rsid w:val="003930C8"/>
    <w:rsid w:val="003C7FBE"/>
    <w:rsid w:val="003D227C"/>
    <w:rsid w:val="003D2B4D"/>
    <w:rsid w:val="003F7954"/>
    <w:rsid w:val="00400F0A"/>
    <w:rsid w:val="004105E2"/>
    <w:rsid w:val="004317F2"/>
    <w:rsid w:val="00444A88"/>
    <w:rsid w:val="004525FA"/>
    <w:rsid w:val="004600C6"/>
    <w:rsid w:val="00474DA4"/>
    <w:rsid w:val="00476B4D"/>
    <w:rsid w:val="004805FA"/>
    <w:rsid w:val="00482E07"/>
    <w:rsid w:val="00485CD1"/>
    <w:rsid w:val="004866D0"/>
    <w:rsid w:val="004935D2"/>
    <w:rsid w:val="004B1215"/>
    <w:rsid w:val="004D047D"/>
    <w:rsid w:val="004F1E9E"/>
    <w:rsid w:val="004F305A"/>
    <w:rsid w:val="004F67C5"/>
    <w:rsid w:val="0051005F"/>
    <w:rsid w:val="00512164"/>
    <w:rsid w:val="00520297"/>
    <w:rsid w:val="00526190"/>
    <w:rsid w:val="005338F9"/>
    <w:rsid w:val="00535EFA"/>
    <w:rsid w:val="00540C95"/>
    <w:rsid w:val="0054281C"/>
    <w:rsid w:val="00544581"/>
    <w:rsid w:val="0055268D"/>
    <w:rsid w:val="00576BE4"/>
    <w:rsid w:val="005779DB"/>
    <w:rsid w:val="0058129D"/>
    <w:rsid w:val="005A400A"/>
    <w:rsid w:val="005A7E6A"/>
    <w:rsid w:val="005D5E5B"/>
    <w:rsid w:val="005F2F13"/>
    <w:rsid w:val="005F6C33"/>
    <w:rsid w:val="005F7B92"/>
    <w:rsid w:val="00612379"/>
    <w:rsid w:val="006153B6"/>
    <w:rsid w:val="0061555F"/>
    <w:rsid w:val="00622FE9"/>
    <w:rsid w:val="0062653F"/>
    <w:rsid w:val="006366D6"/>
    <w:rsid w:val="00636CA6"/>
    <w:rsid w:val="00641200"/>
    <w:rsid w:val="00643A10"/>
    <w:rsid w:val="00645CA8"/>
    <w:rsid w:val="00646F34"/>
    <w:rsid w:val="006524D9"/>
    <w:rsid w:val="006655D3"/>
    <w:rsid w:val="00667404"/>
    <w:rsid w:val="006707F3"/>
    <w:rsid w:val="00687EB4"/>
    <w:rsid w:val="0069219D"/>
    <w:rsid w:val="00695C56"/>
    <w:rsid w:val="006A5CDE"/>
    <w:rsid w:val="006A644A"/>
    <w:rsid w:val="006B00AA"/>
    <w:rsid w:val="006B17D2"/>
    <w:rsid w:val="006B2E09"/>
    <w:rsid w:val="006C224E"/>
    <w:rsid w:val="006C5C2B"/>
    <w:rsid w:val="006D780A"/>
    <w:rsid w:val="006E7F5A"/>
    <w:rsid w:val="006F1AE7"/>
    <w:rsid w:val="0071271E"/>
    <w:rsid w:val="00732DEC"/>
    <w:rsid w:val="00735BD5"/>
    <w:rsid w:val="00736436"/>
    <w:rsid w:val="007451EC"/>
    <w:rsid w:val="00751613"/>
    <w:rsid w:val="00753EE9"/>
    <w:rsid w:val="007556F6"/>
    <w:rsid w:val="00760EEF"/>
    <w:rsid w:val="0076314D"/>
    <w:rsid w:val="00777EE5"/>
    <w:rsid w:val="007834CD"/>
    <w:rsid w:val="00784836"/>
    <w:rsid w:val="0079023E"/>
    <w:rsid w:val="007A2854"/>
    <w:rsid w:val="007B01BA"/>
    <w:rsid w:val="007C1D92"/>
    <w:rsid w:val="007C4CB9"/>
    <w:rsid w:val="007D0248"/>
    <w:rsid w:val="007D0B9D"/>
    <w:rsid w:val="007D19B0"/>
    <w:rsid w:val="007F498F"/>
    <w:rsid w:val="00805EBD"/>
    <w:rsid w:val="0080679D"/>
    <w:rsid w:val="008108B0"/>
    <w:rsid w:val="00811B20"/>
    <w:rsid w:val="00812609"/>
    <w:rsid w:val="008211B5"/>
    <w:rsid w:val="0082296E"/>
    <w:rsid w:val="00824099"/>
    <w:rsid w:val="00832083"/>
    <w:rsid w:val="00841212"/>
    <w:rsid w:val="00846D7C"/>
    <w:rsid w:val="008601B6"/>
    <w:rsid w:val="00867AC1"/>
    <w:rsid w:val="008776BB"/>
    <w:rsid w:val="00890DF8"/>
    <w:rsid w:val="008A743F"/>
    <w:rsid w:val="008B1CDF"/>
    <w:rsid w:val="008B29D5"/>
    <w:rsid w:val="008C0970"/>
    <w:rsid w:val="008C16EF"/>
    <w:rsid w:val="008D0BC5"/>
    <w:rsid w:val="008D2CF7"/>
    <w:rsid w:val="008D3CB4"/>
    <w:rsid w:val="008F45C9"/>
    <w:rsid w:val="00900C26"/>
    <w:rsid w:val="0090197F"/>
    <w:rsid w:val="00903264"/>
    <w:rsid w:val="00906DDC"/>
    <w:rsid w:val="00934E09"/>
    <w:rsid w:val="00936253"/>
    <w:rsid w:val="009376E0"/>
    <w:rsid w:val="00940D46"/>
    <w:rsid w:val="009513AF"/>
    <w:rsid w:val="00951F96"/>
    <w:rsid w:val="00952DD4"/>
    <w:rsid w:val="00965AE7"/>
    <w:rsid w:val="00970FED"/>
    <w:rsid w:val="00992D82"/>
    <w:rsid w:val="00993D71"/>
    <w:rsid w:val="00997029"/>
    <w:rsid w:val="009A7339"/>
    <w:rsid w:val="009B440E"/>
    <w:rsid w:val="009C3844"/>
    <w:rsid w:val="009C38B6"/>
    <w:rsid w:val="009C4FDE"/>
    <w:rsid w:val="009D4584"/>
    <w:rsid w:val="009D690D"/>
    <w:rsid w:val="009E2DD3"/>
    <w:rsid w:val="009E65B6"/>
    <w:rsid w:val="009F46C3"/>
    <w:rsid w:val="009F77CF"/>
    <w:rsid w:val="00A12747"/>
    <w:rsid w:val="00A24C10"/>
    <w:rsid w:val="00A319B5"/>
    <w:rsid w:val="00A42AC3"/>
    <w:rsid w:val="00A430CF"/>
    <w:rsid w:val="00A43D76"/>
    <w:rsid w:val="00A50595"/>
    <w:rsid w:val="00A54309"/>
    <w:rsid w:val="00A55BEA"/>
    <w:rsid w:val="00A80F2A"/>
    <w:rsid w:val="00AB2B93"/>
    <w:rsid w:val="00AB530F"/>
    <w:rsid w:val="00AB7E5B"/>
    <w:rsid w:val="00AC2883"/>
    <w:rsid w:val="00AC6F2C"/>
    <w:rsid w:val="00AE0EF1"/>
    <w:rsid w:val="00AE2858"/>
    <w:rsid w:val="00AE2937"/>
    <w:rsid w:val="00B07301"/>
    <w:rsid w:val="00B11F3E"/>
    <w:rsid w:val="00B224DE"/>
    <w:rsid w:val="00B255F8"/>
    <w:rsid w:val="00B30D7E"/>
    <w:rsid w:val="00B324D4"/>
    <w:rsid w:val="00B345AA"/>
    <w:rsid w:val="00B46575"/>
    <w:rsid w:val="00B61777"/>
    <w:rsid w:val="00B622E6"/>
    <w:rsid w:val="00B653EC"/>
    <w:rsid w:val="00B73048"/>
    <w:rsid w:val="00B84BBD"/>
    <w:rsid w:val="00B9174E"/>
    <w:rsid w:val="00B957D5"/>
    <w:rsid w:val="00BA43FB"/>
    <w:rsid w:val="00BC127D"/>
    <w:rsid w:val="00BC1FE6"/>
    <w:rsid w:val="00BC75D7"/>
    <w:rsid w:val="00BD6B46"/>
    <w:rsid w:val="00C061B6"/>
    <w:rsid w:val="00C1467B"/>
    <w:rsid w:val="00C14829"/>
    <w:rsid w:val="00C2446C"/>
    <w:rsid w:val="00C31FD3"/>
    <w:rsid w:val="00C36AE5"/>
    <w:rsid w:val="00C41F17"/>
    <w:rsid w:val="00C527FA"/>
    <w:rsid w:val="00C5280D"/>
    <w:rsid w:val="00C53EB3"/>
    <w:rsid w:val="00C5791C"/>
    <w:rsid w:val="00C628B2"/>
    <w:rsid w:val="00C66290"/>
    <w:rsid w:val="00C72B7A"/>
    <w:rsid w:val="00C962E7"/>
    <w:rsid w:val="00C973F2"/>
    <w:rsid w:val="00CA304C"/>
    <w:rsid w:val="00CA506E"/>
    <w:rsid w:val="00CA774A"/>
    <w:rsid w:val="00CC11B0"/>
    <w:rsid w:val="00CC2841"/>
    <w:rsid w:val="00CC3CFA"/>
    <w:rsid w:val="00CD464F"/>
    <w:rsid w:val="00CF1330"/>
    <w:rsid w:val="00CF38CE"/>
    <w:rsid w:val="00CF7E36"/>
    <w:rsid w:val="00D033BB"/>
    <w:rsid w:val="00D267E4"/>
    <w:rsid w:val="00D3708D"/>
    <w:rsid w:val="00D40426"/>
    <w:rsid w:val="00D57C96"/>
    <w:rsid w:val="00D57D18"/>
    <w:rsid w:val="00D66663"/>
    <w:rsid w:val="00D84273"/>
    <w:rsid w:val="00D91203"/>
    <w:rsid w:val="00D95174"/>
    <w:rsid w:val="00D974C7"/>
    <w:rsid w:val="00DA4973"/>
    <w:rsid w:val="00DA6F36"/>
    <w:rsid w:val="00DB596E"/>
    <w:rsid w:val="00DB7773"/>
    <w:rsid w:val="00DC00EA"/>
    <w:rsid w:val="00DC3802"/>
    <w:rsid w:val="00DC3B07"/>
    <w:rsid w:val="00DC70B7"/>
    <w:rsid w:val="00DD39CD"/>
    <w:rsid w:val="00DD45FF"/>
    <w:rsid w:val="00DF3617"/>
    <w:rsid w:val="00DF4DE6"/>
    <w:rsid w:val="00DF56EE"/>
    <w:rsid w:val="00E07D87"/>
    <w:rsid w:val="00E2178C"/>
    <w:rsid w:val="00E228AB"/>
    <w:rsid w:val="00E249C8"/>
    <w:rsid w:val="00E32F7E"/>
    <w:rsid w:val="00E5267B"/>
    <w:rsid w:val="00E63C0E"/>
    <w:rsid w:val="00E64891"/>
    <w:rsid w:val="00E6568F"/>
    <w:rsid w:val="00E72D49"/>
    <w:rsid w:val="00E7593C"/>
    <w:rsid w:val="00E7678A"/>
    <w:rsid w:val="00E83CC0"/>
    <w:rsid w:val="00E871F1"/>
    <w:rsid w:val="00E935F1"/>
    <w:rsid w:val="00E93867"/>
    <w:rsid w:val="00E94A81"/>
    <w:rsid w:val="00EA1FFB"/>
    <w:rsid w:val="00EB048E"/>
    <w:rsid w:val="00EB1C2D"/>
    <w:rsid w:val="00EB4E9C"/>
    <w:rsid w:val="00EE22F6"/>
    <w:rsid w:val="00EE34DF"/>
    <w:rsid w:val="00EF2F89"/>
    <w:rsid w:val="00F03E98"/>
    <w:rsid w:val="00F1237A"/>
    <w:rsid w:val="00F20902"/>
    <w:rsid w:val="00F20B19"/>
    <w:rsid w:val="00F22CBD"/>
    <w:rsid w:val="00F272F1"/>
    <w:rsid w:val="00F313AA"/>
    <w:rsid w:val="00F45372"/>
    <w:rsid w:val="00F50F5F"/>
    <w:rsid w:val="00F560F7"/>
    <w:rsid w:val="00F6334D"/>
    <w:rsid w:val="00F63599"/>
    <w:rsid w:val="00FA49AB"/>
    <w:rsid w:val="00FE39C7"/>
    <w:rsid w:val="00FF4D07"/>
    <w:rsid w:val="00FF4E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5:docId w15:val="{20498F05-4AA5-445A-8CD1-3936275D0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1F96"/>
    <w:pPr>
      <w:jc w:val="both"/>
    </w:pPr>
    <w:rPr>
      <w:rFonts w:ascii="Arial" w:hAnsi="Arial"/>
    </w:rPr>
  </w:style>
  <w:style w:type="paragraph" w:styleId="Heading1">
    <w:name w:val="heading 1"/>
    <w:next w:val="Normal"/>
    <w:link w:val="Heading1Char"/>
    <w:autoRedefine/>
    <w:qFormat/>
    <w:rsid w:val="001E2269"/>
    <w:pPr>
      <w:keepNext/>
      <w:jc w:val="both"/>
      <w:outlineLvl w:val="0"/>
    </w:pPr>
    <w:rPr>
      <w:rFonts w:ascii="Arial" w:hAnsi="Arial"/>
      <w:caps/>
      <w:spacing w:val="-4"/>
      <w:lang w:val="fr-FR" w:eastAsia="ja-JP"/>
    </w:rPr>
  </w:style>
  <w:style w:type="paragraph" w:styleId="Heading2">
    <w:name w:val="heading 2"/>
    <w:aliases w:val="VARIETY,variety"/>
    <w:next w:val="Normal"/>
    <w:link w:val="Heading2Char"/>
    <w:autoRedefine/>
    <w:qFormat/>
    <w:rsid w:val="004805FA"/>
    <w:pPr>
      <w:keepNext/>
      <w:jc w:val="both"/>
      <w:outlineLvl w:val="1"/>
    </w:pPr>
    <w:rPr>
      <w:rFonts w:ascii="Arial" w:hAnsi="Arial"/>
      <w:u w:val="single"/>
    </w:rPr>
  </w:style>
  <w:style w:type="paragraph" w:styleId="Heading3">
    <w:name w:val="heading 3"/>
    <w:next w:val="Normal"/>
    <w:link w:val="Heading3Char"/>
    <w:autoRedefine/>
    <w:qFormat/>
    <w:rsid w:val="00197D9F"/>
    <w:pPr>
      <w:keepNext/>
      <w:ind w:left="567" w:hanging="567"/>
      <w:jc w:val="both"/>
      <w:outlineLvl w:val="2"/>
    </w:pPr>
    <w:rPr>
      <w:rFonts w:ascii="Arial" w:hAnsi="Arial"/>
      <w:i/>
      <w:lang w:val="fr-FR"/>
    </w:rPr>
  </w:style>
  <w:style w:type="paragraph" w:styleId="Heading4">
    <w:name w:val="heading 4"/>
    <w:next w:val="Normal"/>
    <w:autoRedefine/>
    <w:qFormat/>
    <w:rsid w:val="009C38B6"/>
    <w:pPr>
      <w:keepNext/>
      <w:ind w:left="567"/>
      <w:jc w:val="both"/>
      <w:outlineLvl w:val="3"/>
    </w:pPr>
    <w:rPr>
      <w:rFonts w:ascii="Arial" w:hAnsi="Arial"/>
      <w:u w:val="single"/>
      <w:lang w:val="fr-FR" w:eastAsia="ja-JP"/>
    </w:rPr>
  </w:style>
  <w:style w:type="paragraph" w:styleId="Heading5">
    <w:name w:val="heading 5"/>
    <w:next w:val="Normal"/>
    <w:autoRedefine/>
    <w:qFormat/>
    <w:rsid w:val="00B345AA"/>
    <w:pPr>
      <w:keepNext/>
      <w:ind w:left="2268" w:hanging="1701"/>
      <w:jc w:val="both"/>
      <w:outlineLvl w:val="4"/>
    </w:pPr>
    <w:rPr>
      <w:rFonts w:ascii="Arial" w:hAnsi="Arial"/>
      <w:i/>
    </w:rPr>
  </w:style>
  <w:style w:type="paragraph" w:styleId="Heading6">
    <w:name w:val="heading 6"/>
    <w:basedOn w:val="ListParagraph"/>
    <w:next w:val="Normal"/>
    <w:link w:val="Heading6Char"/>
    <w:unhideWhenUsed/>
    <w:qFormat/>
    <w:rsid w:val="00951F96"/>
    <w:pPr>
      <w:numPr>
        <w:numId w:val="18"/>
      </w:numPr>
      <w:ind w:left="1134" w:hanging="284"/>
      <w:outlineLvl w:val="5"/>
    </w:pPr>
    <w:rPr>
      <w:snapToGrid w:val="0"/>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E2269"/>
    <w:rPr>
      <w:rFonts w:ascii="Arial" w:hAnsi="Arial"/>
      <w:caps/>
      <w:spacing w:val="-4"/>
      <w:lang w:val="fr-FR" w:eastAsia="ja-JP"/>
    </w:rPr>
  </w:style>
  <w:style w:type="paragraph" w:styleId="Header">
    <w:name w:val="header"/>
    <w:link w:val="HeaderChar"/>
    <w:rsid w:val="00AE2937"/>
    <w:pPr>
      <w:jc w:val="center"/>
    </w:pPr>
    <w:rPr>
      <w:rFonts w:ascii="Arial" w:hAnsi="Arial"/>
      <w:lang w:val="fr-FR"/>
    </w:rPr>
  </w:style>
  <w:style w:type="character" w:customStyle="1" w:styleId="HeaderChar">
    <w:name w:val="Header Char"/>
    <w:basedOn w:val="DefaultParagraphFont"/>
    <w:link w:val="Header"/>
    <w:rsid w:val="00805EBD"/>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Code">
    <w:name w:val="Code"/>
    <w:basedOn w:val="Normal"/>
    <w:link w:val="CodeChar"/>
    <w:semiHidden/>
    <w:rsid w:val="00D3708D"/>
    <w:pPr>
      <w:spacing w:line="340" w:lineRule="atLeast"/>
      <w:ind w:left="1276"/>
    </w:pPr>
    <w:rPr>
      <w:b/>
      <w:bCs/>
      <w:spacing w:val="10"/>
    </w:rPr>
  </w:style>
  <w:style w:type="character" w:customStyle="1" w:styleId="CodeChar">
    <w:name w:val="Code Char"/>
    <w:basedOn w:val="DefaultParagraphFont"/>
    <w:link w:val="Code"/>
    <w:rsid w:val="00D3708D"/>
    <w:rPr>
      <w:rFonts w:ascii="Arial" w:hAnsi="Arial"/>
      <w:b/>
      <w:bCs/>
      <w:spacing w:val="10"/>
      <w:lang w:val="fr-FR" w:eastAsia="en-US" w:bidi="ar-SA"/>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customStyle="1" w:styleId="DecisionParagraphs">
    <w:name w:val="DecisionParagraphs"/>
    <w:basedOn w:val="Normal"/>
    <w:uiPriority w:val="99"/>
    <w:rsid w:val="005779DB"/>
    <w:pPr>
      <w:tabs>
        <w:tab w:val="left" w:pos="5387"/>
        <w:tab w:val="left" w:pos="5954"/>
      </w:tabs>
      <w:ind w:left="4820"/>
    </w:pPr>
    <w:rPr>
      <w:i/>
    </w:rPr>
  </w:style>
  <w:style w:type="paragraph" w:styleId="FootnoteText">
    <w:name w:val="footnote text"/>
    <w:link w:val="FootnoteTextChar"/>
    <w:autoRedefine/>
    <w:rsid w:val="009D690D"/>
    <w:pPr>
      <w:spacing w:before="60"/>
      <w:ind w:left="567" w:hanging="567"/>
      <w:jc w:val="both"/>
    </w:pPr>
    <w:rPr>
      <w:rFonts w:ascii="Arial" w:hAnsi="Arial"/>
      <w:sz w:val="16"/>
    </w:rPr>
  </w:style>
  <w:style w:type="character" w:customStyle="1" w:styleId="FootnoteTextChar">
    <w:name w:val="Footnote Text Char"/>
    <w:basedOn w:val="DefaultParagraphFont"/>
    <w:link w:val="FootnoteText"/>
    <w:rsid w:val="00805EBD"/>
    <w:rPr>
      <w:rFonts w:ascii="Arial" w:hAnsi="Arial"/>
      <w:sz w:val="16"/>
    </w:rPr>
  </w:style>
  <w:style w:type="character" w:styleId="FootnoteReference">
    <w:name w:val="footnote reference"/>
    <w:basedOn w:val="DefaultParagraphFont"/>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link w:val="BodyTextChar"/>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TitreUpov">
    <w:name w:val="TitreUpov"/>
    <w:basedOn w:val="Normal"/>
    <w:semiHidden/>
    <w:rsid w:val="00D3708D"/>
    <w:pPr>
      <w:spacing w:before="60"/>
      <w:jc w:val="center"/>
    </w:pPr>
    <w:rPr>
      <w:b/>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paragraph" w:customStyle="1" w:styleId="endofdoc">
    <w:name w:val="end_of_doc"/>
    <w:next w:val="Header"/>
    <w:autoRedefine/>
    <w:rsid w:val="00E32F7E"/>
    <w:pPr>
      <w:spacing w:before="480"/>
      <w:ind w:left="567" w:hanging="567"/>
      <w:jc w:val="right"/>
    </w:pPr>
    <w:rPr>
      <w:rFonts w:ascii="Arial" w:hAnsi="Arial"/>
    </w:rPr>
  </w:style>
  <w:style w:type="paragraph" w:styleId="TOC2">
    <w:name w:val="toc 2"/>
    <w:basedOn w:val="Normal"/>
    <w:next w:val="Normal"/>
    <w:uiPriority w:val="39"/>
    <w:qFormat/>
    <w:rsid w:val="00D033BB"/>
    <w:pPr>
      <w:tabs>
        <w:tab w:val="right" w:leader="dot" w:pos="9639"/>
      </w:tabs>
      <w:ind w:left="284" w:right="851"/>
      <w:jc w:val="left"/>
    </w:pPr>
    <w:rPr>
      <w:rFonts w:eastAsiaTheme="minorHAnsi" w:cs="Arial"/>
      <w:noProof/>
      <w:sz w:val="18"/>
      <w:szCs w:val="18"/>
      <w:lang w:eastAsia="ja-JP"/>
    </w:rPr>
  </w:style>
  <w:style w:type="paragraph" w:styleId="TOC3">
    <w:name w:val="toc 3"/>
    <w:next w:val="Normal"/>
    <w:uiPriority w:val="39"/>
    <w:qFormat/>
    <w:rsid w:val="008C16EF"/>
    <w:pPr>
      <w:tabs>
        <w:tab w:val="right" w:leader="dot" w:pos="9639"/>
      </w:tabs>
      <w:spacing w:after="60"/>
      <w:ind w:left="567" w:right="1418"/>
      <w:contextualSpacing/>
    </w:pPr>
    <w:rPr>
      <w:rFonts w:ascii="Arial" w:eastAsiaTheme="minorEastAsia" w:hAnsi="Arial" w:cs="Arial"/>
      <w:i/>
      <w:noProof/>
      <w:sz w:val="18"/>
      <w:lang w:eastAsia="ja-JP"/>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8C16EF"/>
    <w:pPr>
      <w:tabs>
        <w:tab w:val="right" w:leader="dot" w:pos="9639"/>
      </w:tabs>
      <w:spacing w:before="120"/>
      <w:ind w:left="738" w:right="851" w:hanging="284"/>
    </w:pPr>
    <w:rPr>
      <w:rFonts w:ascii="Arial" w:eastAsiaTheme="minorEastAsia" w:hAnsi="Arial"/>
      <w:i/>
      <w:sz w:val="18"/>
      <w:lang w:val="fr-FR" w:eastAsia="ja-JP"/>
    </w:rPr>
  </w:style>
  <w:style w:type="paragraph" w:styleId="TOC1">
    <w:name w:val="toc 1"/>
    <w:basedOn w:val="Normal"/>
    <w:next w:val="Normal"/>
    <w:uiPriority w:val="39"/>
    <w:qFormat/>
    <w:rsid w:val="00D033BB"/>
    <w:pPr>
      <w:tabs>
        <w:tab w:val="right" w:leader="dot" w:pos="9639"/>
      </w:tabs>
      <w:spacing w:before="60"/>
      <w:ind w:right="1418"/>
      <w:jc w:val="left"/>
    </w:pPr>
    <w:rPr>
      <w:rFonts w:eastAsiaTheme="minorEastAsia" w:cs="Arial"/>
      <w:bCs/>
      <w:caps/>
      <w:noProof/>
      <w:sz w:val="18"/>
      <w:lang w:eastAsia="ja-JP"/>
    </w:rPr>
  </w:style>
  <w:style w:type="paragraph" w:styleId="TOC5">
    <w:name w:val="toc 5"/>
    <w:next w:val="Normal"/>
    <w:autoRedefine/>
    <w:rsid w:val="00753EE9"/>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paragraph" w:customStyle="1" w:styleId="Sessiontwp">
    <w:name w:val="Session_twp"/>
    <w:basedOn w:val="Normal"/>
    <w:next w:val="Normal"/>
    <w:qFormat/>
    <w:rsid w:val="00805EBD"/>
    <w:rPr>
      <w:b/>
    </w:rPr>
  </w:style>
  <w:style w:type="paragraph" w:customStyle="1" w:styleId="Sessiontwpplacedate">
    <w:name w:val="Session_twp_place_date"/>
    <w:basedOn w:val="Normal"/>
    <w:next w:val="Normal"/>
    <w:qFormat/>
    <w:rsid w:val="00805EBD"/>
  </w:style>
  <w:style w:type="paragraph" w:styleId="ListParagraph">
    <w:name w:val="List Paragraph"/>
    <w:basedOn w:val="Normal"/>
    <w:uiPriority w:val="34"/>
    <w:qFormat/>
    <w:rsid w:val="00805EBD"/>
    <w:pPr>
      <w:ind w:left="720"/>
      <w:contextualSpacing/>
    </w:pPr>
    <w:rPr>
      <w:rFonts w:eastAsiaTheme="minorEastAsia"/>
    </w:rPr>
  </w:style>
  <w:style w:type="paragraph" w:styleId="BodyTextIndent">
    <w:name w:val="Body Text Indent"/>
    <w:basedOn w:val="Normal"/>
    <w:link w:val="BodyTextIndentChar"/>
    <w:rsid w:val="00805EBD"/>
    <w:pPr>
      <w:spacing w:after="120"/>
      <w:ind w:left="283"/>
    </w:pPr>
    <w:rPr>
      <w:rFonts w:eastAsiaTheme="minorEastAsia"/>
    </w:rPr>
  </w:style>
  <w:style w:type="character" w:customStyle="1" w:styleId="BodyTextIndentChar">
    <w:name w:val="Body Text Indent Char"/>
    <w:basedOn w:val="DefaultParagraphFont"/>
    <w:link w:val="BodyTextIndent"/>
    <w:rsid w:val="00805EBD"/>
    <w:rPr>
      <w:rFonts w:ascii="Arial" w:eastAsiaTheme="minorEastAsia" w:hAnsi="Arial"/>
    </w:rPr>
  </w:style>
  <w:style w:type="paragraph" w:customStyle="1" w:styleId="Style1">
    <w:name w:val="Style1"/>
    <w:basedOn w:val="Normal"/>
    <w:rsid w:val="00805EBD"/>
    <w:pPr>
      <w:tabs>
        <w:tab w:val="decimal" w:pos="907"/>
        <w:tab w:val="left" w:pos="1077"/>
      </w:tabs>
    </w:pPr>
    <w:rPr>
      <w:rFonts w:ascii="Times New Roman" w:eastAsiaTheme="minorEastAsia" w:hAnsi="Times New Roman"/>
      <w:sz w:val="24"/>
      <w:szCs w:val="24"/>
      <w:lang w:eastAsia="ja-JP"/>
    </w:rPr>
  </w:style>
  <w:style w:type="table" w:customStyle="1" w:styleId="PlainTable41">
    <w:name w:val="Plain Table 41"/>
    <w:basedOn w:val="TableNormal"/>
    <w:uiPriority w:val="44"/>
    <w:rsid w:val="00805EBD"/>
    <w:rPr>
      <w:rFonts w:asciiTheme="minorHAnsi" w:eastAsiaTheme="minorHAnsi" w:hAnsiTheme="minorHAnsi" w:cstheme="minorBidi"/>
      <w:sz w:val="22"/>
      <w:szCs w:val="22"/>
      <w:lang w:val="fr-FR"/>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rmalWeb">
    <w:name w:val="Normal (Web)"/>
    <w:basedOn w:val="Normal"/>
    <w:uiPriority w:val="99"/>
    <w:unhideWhenUsed/>
    <w:rsid w:val="00805EBD"/>
    <w:pPr>
      <w:spacing w:before="100" w:beforeAutospacing="1" w:after="100" w:afterAutospacing="1"/>
      <w:jc w:val="left"/>
    </w:pPr>
    <w:rPr>
      <w:rFonts w:ascii="Times New Roman" w:eastAsiaTheme="minorEastAsia" w:hAnsi="Times New Roman"/>
      <w:sz w:val="24"/>
      <w:szCs w:val="24"/>
      <w:lang w:eastAsia="ja-JP"/>
    </w:rPr>
  </w:style>
  <w:style w:type="character" w:styleId="FollowedHyperlink">
    <w:name w:val="FollowedHyperlink"/>
    <w:basedOn w:val="DefaultParagraphFont"/>
    <w:rsid w:val="00132142"/>
    <w:rPr>
      <w:color w:val="800080" w:themeColor="followedHyperlink"/>
      <w:u w:val="single"/>
    </w:rPr>
  </w:style>
  <w:style w:type="character" w:customStyle="1" w:styleId="Heading6Char">
    <w:name w:val="Heading 6 Char"/>
    <w:basedOn w:val="DefaultParagraphFont"/>
    <w:link w:val="Heading6"/>
    <w:rsid w:val="00951F96"/>
    <w:rPr>
      <w:rFonts w:ascii="Arial" w:eastAsiaTheme="minorEastAsia" w:hAnsi="Arial"/>
      <w:snapToGrid w:val="0"/>
    </w:rPr>
  </w:style>
  <w:style w:type="character" w:customStyle="1" w:styleId="Heading2Char">
    <w:name w:val="Heading 2 Char"/>
    <w:aliases w:val="VARIETY Char,variety Char"/>
    <w:link w:val="Heading2"/>
    <w:locked/>
    <w:rsid w:val="00622FE9"/>
    <w:rPr>
      <w:rFonts w:ascii="Arial" w:hAnsi="Arial"/>
      <w:u w:val="single"/>
    </w:rPr>
  </w:style>
  <w:style w:type="table" w:customStyle="1" w:styleId="TableGrid2">
    <w:name w:val="Table Grid2"/>
    <w:basedOn w:val="TableNormal"/>
    <w:next w:val="TableGrid"/>
    <w:uiPriority w:val="59"/>
    <w:rsid w:val="00622FE9"/>
    <w:rPr>
      <w:rFonts w:ascii="Arial" w:eastAsia="Calibri" w:hAnsi="Arial" w:cs="Arial"/>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197D9F"/>
    <w:rPr>
      <w:rFonts w:ascii="Arial" w:hAnsi="Arial"/>
      <w:i/>
      <w:lang w:val="fr-FR"/>
    </w:rPr>
  </w:style>
  <w:style w:type="table" w:styleId="TableGrid">
    <w:name w:val="Table Grid"/>
    <w:basedOn w:val="TableNormal"/>
    <w:rsid w:val="00622F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rsid w:val="00951F96"/>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Tom\Kasumi%20san\caj%20documents\caj_75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934152-92B1-4F3F-820B-943E8FF4A7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caj_75_EN.dotx</Template>
  <TotalTime>0</TotalTime>
  <Pages>9</Pages>
  <Words>3432</Words>
  <Characters>18815</Characters>
  <Application>Microsoft Office Word</Application>
  <DocSecurity>0</DocSecurity>
  <Lines>587</Lines>
  <Paragraphs>264</Paragraphs>
  <ScaleCrop>false</ScaleCrop>
  <HeadingPairs>
    <vt:vector size="2" baseType="variant">
      <vt:variant>
        <vt:lpstr>Title</vt:lpstr>
      </vt:variant>
      <vt:variant>
        <vt:i4>1</vt:i4>
      </vt:variant>
    </vt:vector>
  </HeadingPairs>
  <TitlesOfParts>
    <vt:vector size="1" baseType="lpstr">
      <vt:lpstr>CAJ/75/11</vt:lpstr>
    </vt:vector>
  </TitlesOfParts>
  <Company>UPOV</Company>
  <LinksUpToDate>false</LinksUpToDate>
  <CharactersWithSpaces>21983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CAJ/75/13</dc:title>
  <dc:creator>FALQUET Kasumi</dc:creator>
  <cp:lastModifiedBy>BESSE Ariane</cp:lastModifiedBy>
  <cp:revision>14</cp:revision>
  <cp:lastPrinted>2018-10-30T19:41:00Z</cp:lastPrinted>
  <dcterms:created xsi:type="dcterms:W3CDTF">2018-10-30T12:08:00Z</dcterms:created>
  <dcterms:modified xsi:type="dcterms:W3CDTF">2018-10-30T21:08:00Z</dcterms:modified>
</cp:coreProperties>
</file>