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E25DFD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3E75C5" w:rsidRDefault="00473CCA" w:rsidP="006655D3">
            <w:pPr>
              <w:pStyle w:val="LogoUPOV"/>
            </w:pPr>
            <w:r w:rsidRPr="003E75C5">
              <w:rPr>
                <w:noProof/>
              </w:rPr>
              <w:drawing>
                <wp:inline distT="0" distB="0" distL="0" distR="0" wp14:anchorId="4BDB9B56" wp14:editId="42E318E5">
                  <wp:extent cx="981710" cy="481330"/>
                  <wp:effectExtent l="0" t="0" r="889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3E75C5" w:rsidRDefault="0024416D" w:rsidP="006655D3">
            <w:pPr>
              <w:pStyle w:val="Lettrine"/>
            </w:pPr>
            <w:r w:rsidRPr="003E75C5">
              <w:t>E</w:t>
            </w:r>
          </w:p>
          <w:p w:rsidR="000D7780" w:rsidRPr="003E75C5" w:rsidRDefault="00667404" w:rsidP="006655D3">
            <w:pPr>
              <w:pStyle w:val="Docoriginal"/>
              <w:rPr>
                <w:lang w:eastAsia="ja-JP"/>
              </w:rPr>
            </w:pPr>
            <w:r w:rsidRPr="003E75C5">
              <w:t>C</w:t>
            </w:r>
            <w:r w:rsidR="00E25DFD" w:rsidRPr="003E75C5">
              <w:rPr>
                <w:rFonts w:hint="eastAsia"/>
                <w:lang w:eastAsia="ja-JP"/>
              </w:rPr>
              <w:t>AJ</w:t>
            </w:r>
            <w:r w:rsidRPr="003E75C5">
              <w:t>/</w:t>
            </w:r>
            <w:r w:rsidR="00E25DFD" w:rsidRPr="003E75C5">
              <w:rPr>
                <w:rFonts w:hint="eastAsia"/>
                <w:lang w:eastAsia="ja-JP"/>
              </w:rPr>
              <w:t>7</w:t>
            </w:r>
            <w:r w:rsidR="0061529B" w:rsidRPr="003E75C5">
              <w:rPr>
                <w:rFonts w:hint="eastAsia"/>
                <w:lang w:eastAsia="ja-JP"/>
              </w:rPr>
              <w:t>2</w:t>
            </w:r>
            <w:r w:rsidRPr="003E75C5">
              <w:t>/</w:t>
            </w:r>
            <w:bookmarkStart w:id="0" w:name="Code"/>
            <w:bookmarkEnd w:id="0"/>
            <w:r w:rsidR="0061529B" w:rsidRPr="003E75C5">
              <w:rPr>
                <w:rFonts w:hint="eastAsia"/>
                <w:lang w:eastAsia="ja-JP"/>
              </w:rPr>
              <w:t>7</w:t>
            </w:r>
          </w:p>
          <w:p w:rsidR="000D7780" w:rsidRPr="003E75C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3E75C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3E75C5">
              <w:rPr>
                <w:rStyle w:val="StyleDoclangBold"/>
                <w:b/>
                <w:bCs/>
                <w:spacing w:val="0"/>
              </w:rPr>
              <w:t>:</w:t>
            </w:r>
            <w:r w:rsidRPr="003E75C5">
              <w:rPr>
                <w:rStyle w:val="StyleDocoriginalNotBold1"/>
                <w:spacing w:val="0"/>
              </w:rPr>
              <w:t xml:space="preserve"> </w:t>
            </w:r>
            <w:r w:rsidR="000D7780" w:rsidRPr="003E75C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3E75C5">
              <w:rPr>
                <w:b w:val="0"/>
                <w:spacing w:val="0"/>
              </w:rPr>
              <w:t>English</w:t>
            </w:r>
          </w:p>
          <w:p w:rsidR="000D7780" w:rsidRPr="00E33D30" w:rsidRDefault="000D7780" w:rsidP="003E75C5">
            <w:pPr>
              <w:pStyle w:val="Docoriginal"/>
              <w:rPr>
                <w:spacing w:val="0"/>
                <w:lang w:eastAsia="ja-JP"/>
              </w:rPr>
            </w:pPr>
            <w:r w:rsidRPr="003E75C5">
              <w:rPr>
                <w:spacing w:val="0"/>
              </w:rPr>
              <w:t>DATE:</w:t>
            </w:r>
            <w:r w:rsidR="0061555F" w:rsidRPr="003E75C5">
              <w:rPr>
                <w:spacing w:val="0"/>
              </w:rPr>
              <w:t xml:space="preserve"> </w:t>
            </w:r>
            <w:r w:rsidRPr="003E75C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3E75C5" w:rsidRPr="003E75C5">
              <w:rPr>
                <w:rStyle w:val="StyleDocoriginalNotBold1"/>
                <w:spacing w:val="0"/>
                <w:lang w:eastAsia="ja-JP"/>
              </w:rPr>
              <w:t>September 16</w:t>
            </w:r>
            <w:r w:rsidR="0024416D" w:rsidRPr="003E75C5">
              <w:rPr>
                <w:b w:val="0"/>
                <w:bCs w:val="0"/>
                <w:spacing w:val="0"/>
              </w:rPr>
              <w:t xml:space="preserve">, </w:t>
            </w:r>
            <w:r w:rsidR="001131D5" w:rsidRPr="003E75C5">
              <w:rPr>
                <w:b w:val="0"/>
                <w:bCs w:val="0"/>
                <w:spacing w:val="0"/>
              </w:rPr>
              <w:t>201</w:t>
            </w:r>
            <w:r w:rsidR="00672912" w:rsidRPr="003E75C5">
              <w:rPr>
                <w:rFonts w:hint="eastAsia"/>
                <w:b w:val="0"/>
                <w:bCs w:val="0"/>
                <w:spacing w:val="0"/>
                <w:lang w:eastAsia="ja-JP"/>
              </w:rPr>
              <w:t>5</w:t>
            </w:r>
          </w:p>
        </w:tc>
      </w:tr>
      <w:tr w:rsidR="000D7780" w:rsidRPr="00C5280D" w:rsidTr="00E25DFD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E25DFD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E25DFD" w:rsidRPr="00997029" w:rsidRDefault="00E25DFD" w:rsidP="00E25DFD">
      <w:pPr>
        <w:pStyle w:val="Sessiontc"/>
      </w:pPr>
      <w:r>
        <w:t>ADministrative and legal committee</w:t>
      </w:r>
    </w:p>
    <w:p w:rsidR="00361821" w:rsidRPr="00C5280D" w:rsidRDefault="00E25DFD" w:rsidP="00E25DFD">
      <w:pPr>
        <w:pStyle w:val="Sessiontcplacedate"/>
        <w:rPr>
          <w:lang w:eastAsia="ja-JP"/>
        </w:rPr>
      </w:pPr>
      <w:r>
        <w:t>Seventy-</w:t>
      </w:r>
      <w:r w:rsidR="0061529B">
        <w:rPr>
          <w:rFonts w:hint="eastAsia"/>
          <w:lang w:eastAsia="ja-JP"/>
        </w:rPr>
        <w:t>Second</w:t>
      </w:r>
      <w:r>
        <w:t xml:space="preserve"> Session</w:t>
      </w:r>
      <w:r w:rsidRPr="00997029">
        <w:br/>
      </w:r>
      <w:r>
        <w:t xml:space="preserve">Geneva, </w:t>
      </w:r>
      <w:r w:rsidR="0061529B">
        <w:rPr>
          <w:rFonts w:hint="eastAsia"/>
          <w:lang w:eastAsia="ja-JP"/>
        </w:rPr>
        <w:t>October 26 and 27</w:t>
      </w:r>
      <w:r>
        <w:t>, 2015</w:t>
      </w:r>
    </w:p>
    <w:p w:rsidR="000D7780" w:rsidRPr="00C5280D" w:rsidRDefault="00934708" w:rsidP="006655D3">
      <w:pPr>
        <w:pStyle w:val="Titleofdoc0"/>
        <w:rPr>
          <w:lang w:eastAsia="ja-JP"/>
        </w:rPr>
      </w:pPr>
      <w:bookmarkStart w:id="3" w:name="TitleOfDoc"/>
      <w:bookmarkEnd w:id="3"/>
      <w:r w:rsidRPr="00192206">
        <w:t>Exchange</w:t>
      </w:r>
      <w:r w:rsidR="003500A0">
        <w:rPr>
          <w:rFonts w:hint="eastAsia"/>
          <w:lang w:eastAsia="ja-JP"/>
        </w:rPr>
        <w:t xml:space="preserve"> and use of </w:t>
      </w:r>
      <w:r w:rsidRPr="00192206">
        <w:t>software</w:t>
      </w:r>
      <w:r w:rsidR="003500A0">
        <w:rPr>
          <w:rFonts w:hint="eastAsia"/>
          <w:lang w:eastAsia="ja-JP"/>
        </w:rPr>
        <w:t xml:space="preserve"> and equipment</w:t>
      </w:r>
    </w:p>
    <w:p w:rsidR="00050E16" w:rsidRPr="00C5280D" w:rsidRDefault="00AE0EF1" w:rsidP="00050E16">
      <w:pPr>
        <w:pStyle w:val="preparedby1"/>
      </w:pPr>
      <w:bookmarkStart w:id="4" w:name="Prepared"/>
      <w:bookmarkEnd w:id="4"/>
      <w:r w:rsidRPr="00A83EC7">
        <w:t xml:space="preserve">Document </w:t>
      </w:r>
      <w:r w:rsidR="0061555F" w:rsidRPr="00A83EC7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  <w:bookmarkStart w:id="5" w:name="_GoBack"/>
      <w:bookmarkEnd w:id="5"/>
    </w:p>
    <w:p w:rsidR="00DB7361" w:rsidRPr="009D77D3" w:rsidRDefault="00DB7361" w:rsidP="00DB7361">
      <w:pPr>
        <w:pStyle w:val="Heading1"/>
      </w:pPr>
      <w:bookmarkStart w:id="6" w:name="_Toc387757149"/>
      <w:bookmarkStart w:id="7" w:name="_Toc404931496"/>
      <w:bookmarkStart w:id="8" w:name="_Toc404931550"/>
      <w:bookmarkStart w:id="9" w:name="_Toc404931721"/>
      <w:bookmarkStart w:id="10" w:name="_Toc404932170"/>
      <w:bookmarkStart w:id="11" w:name="_Toc404935671"/>
      <w:bookmarkStart w:id="12" w:name="_Toc410717532"/>
      <w:bookmarkStart w:id="13" w:name="_Toc410899658"/>
      <w:bookmarkStart w:id="14" w:name="_Toc427071419"/>
      <w:r w:rsidRPr="009D77D3">
        <w:t>Executive summary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DB7361" w:rsidRDefault="00DB7361" w:rsidP="008C35F9">
      <w:pPr>
        <w:rPr>
          <w:snapToGrid w:val="0"/>
          <w:lang w:eastAsia="ja-JP"/>
        </w:rPr>
      </w:pPr>
    </w:p>
    <w:p w:rsidR="00E6753C" w:rsidRDefault="00E6753C" w:rsidP="008C35F9">
      <w:pPr>
        <w:rPr>
          <w:snapToGrid w:val="0"/>
          <w:lang w:eastAsia="ja-JP"/>
        </w:rPr>
      </w:pPr>
      <w:r w:rsidRPr="00640020">
        <w:rPr>
          <w:snapToGrid w:val="0"/>
        </w:rPr>
        <w:fldChar w:fldCharType="begin"/>
      </w:r>
      <w:r w:rsidRPr="00640020">
        <w:rPr>
          <w:snapToGrid w:val="0"/>
        </w:rPr>
        <w:instrText xml:space="preserve"> AUTONUM  </w:instrText>
      </w:r>
      <w:r w:rsidRPr="00640020">
        <w:rPr>
          <w:snapToGrid w:val="0"/>
        </w:rPr>
        <w:fldChar w:fldCharType="end"/>
      </w:r>
      <w:r w:rsidR="001B7B7A">
        <w:rPr>
          <w:snapToGrid w:val="0"/>
        </w:rPr>
        <w:tab/>
      </w:r>
      <w:r w:rsidRPr="00640020">
        <w:rPr>
          <w:snapToGrid w:val="0"/>
        </w:rPr>
        <w:t>The purpose of this document is to report on developments concerning exchange</w:t>
      </w:r>
      <w:r w:rsidR="00C64DAC">
        <w:rPr>
          <w:rFonts w:hint="eastAsia"/>
          <w:snapToGrid w:val="0"/>
          <w:lang w:eastAsia="ja-JP"/>
        </w:rPr>
        <w:t xml:space="preserve"> and use of </w:t>
      </w:r>
      <w:r w:rsidRPr="00640020">
        <w:rPr>
          <w:snapToGrid w:val="0"/>
        </w:rPr>
        <w:t>software</w:t>
      </w:r>
      <w:r w:rsidR="00962F67" w:rsidRPr="00640020">
        <w:rPr>
          <w:snapToGrid w:val="0"/>
        </w:rPr>
        <w:t xml:space="preserve"> </w:t>
      </w:r>
      <w:r w:rsidR="00640020" w:rsidRPr="00640020">
        <w:rPr>
          <w:snapToGrid w:val="0"/>
        </w:rPr>
        <w:t xml:space="preserve">and </w:t>
      </w:r>
      <w:r w:rsidR="00C64DAC">
        <w:rPr>
          <w:rFonts w:hint="eastAsia"/>
          <w:snapToGrid w:val="0"/>
          <w:lang w:eastAsia="ja-JP"/>
        </w:rPr>
        <w:t>equipment</w:t>
      </w:r>
      <w:r w:rsidRPr="00640020">
        <w:rPr>
          <w:snapToGrid w:val="0"/>
        </w:rPr>
        <w:t>.</w:t>
      </w:r>
    </w:p>
    <w:p w:rsidR="00031850" w:rsidRDefault="00031850" w:rsidP="008C35F9">
      <w:pPr>
        <w:rPr>
          <w:snapToGrid w:val="0"/>
          <w:lang w:eastAsia="ja-JP"/>
        </w:rPr>
      </w:pPr>
    </w:p>
    <w:p w:rsidR="0061529B" w:rsidRDefault="00F66A03" w:rsidP="00F66A03">
      <w:pPr>
        <w:tabs>
          <w:tab w:val="left" w:pos="540"/>
        </w:tabs>
        <w:rPr>
          <w:rFonts w:eastAsia="MS Mincho"/>
          <w:lang w:eastAsia="ja-JP"/>
        </w:rPr>
      </w:pPr>
      <w:r w:rsidRPr="00567A9C">
        <w:rPr>
          <w:rFonts w:eastAsia="MS Mincho"/>
        </w:rPr>
        <w:fldChar w:fldCharType="begin"/>
      </w:r>
      <w:r w:rsidRPr="00567A9C">
        <w:rPr>
          <w:rFonts w:eastAsia="MS Mincho"/>
        </w:rPr>
        <w:instrText xml:space="preserve"> AUTONUM  </w:instrText>
      </w:r>
      <w:r w:rsidRPr="00567A9C">
        <w:rPr>
          <w:rFonts w:eastAsia="MS Mincho"/>
        </w:rPr>
        <w:fldChar w:fldCharType="end"/>
      </w:r>
      <w:r w:rsidRPr="00567A9C">
        <w:rPr>
          <w:rFonts w:eastAsia="MS Mincho" w:hint="eastAsia"/>
          <w:lang w:eastAsia="ja-JP"/>
        </w:rPr>
        <w:tab/>
      </w:r>
      <w:r w:rsidR="00D44C21">
        <w:rPr>
          <w:rFonts w:eastAsia="MS Mincho"/>
        </w:rPr>
        <w:t>The CAJ is</w:t>
      </w:r>
      <w:r w:rsidR="006944A7">
        <w:rPr>
          <w:rFonts w:eastAsia="MS Mincho"/>
        </w:rPr>
        <w:t xml:space="preserve"> </w:t>
      </w:r>
      <w:r w:rsidR="0061529B" w:rsidRPr="0061529B">
        <w:rPr>
          <w:rFonts w:eastAsia="MS Mincho"/>
        </w:rPr>
        <w:t xml:space="preserve">invited to note that the TC, at its fifty-second session, </w:t>
      </w:r>
      <w:r w:rsidR="006944A7">
        <w:rPr>
          <w:rFonts w:eastAsia="MS Mincho"/>
        </w:rPr>
        <w:t>to be held in Geneva from March</w:t>
      </w:r>
      <w:r w:rsidR="00BE22F3">
        <w:rPr>
          <w:rFonts w:eastAsia="MS Mincho"/>
        </w:rPr>
        <w:t> </w:t>
      </w:r>
      <w:r w:rsidR="006944A7">
        <w:rPr>
          <w:rFonts w:eastAsia="MS Mincho"/>
        </w:rPr>
        <w:t>4</w:t>
      </w:r>
      <w:r w:rsidR="00BE22F3">
        <w:rPr>
          <w:rFonts w:eastAsia="MS Mincho"/>
        </w:rPr>
        <w:t> </w:t>
      </w:r>
      <w:r w:rsidR="006944A7">
        <w:rPr>
          <w:rFonts w:eastAsia="MS Mincho"/>
        </w:rPr>
        <w:t>to</w:t>
      </w:r>
      <w:r w:rsidR="00BE22F3">
        <w:rPr>
          <w:rFonts w:eastAsia="MS Mincho"/>
        </w:rPr>
        <w:t> </w:t>
      </w:r>
      <w:r w:rsidR="006944A7">
        <w:rPr>
          <w:rFonts w:eastAsia="MS Mincho"/>
        </w:rPr>
        <w:t xml:space="preserve">16, 2016, </w:t>
      </w:r>
      <w:r w:rsidR="0061529B" w:rsidRPr="0061529B">
        <w:rPr>
          <w:rFonts w:eastAsia="MS Mincho"/>
        </w:rPr>
        <w:t xml:space="preserve">will </w:t>
      </w:r>
      <w:r w:rsidR="006944A7">
        <w:rPr>
          <w:rFonts w:eastAsia="MS Mincho"/>
        </w:rPr>
        <w:t>be informed</w:t>
      </w:r>
      <w:r w:rsidR="0061529B" w:rsidRPr="0061529B">
        <w:rPr>
          <w:rFonts w:eastAsia="MS Mincho"/>
        </w:rPr>
        <w:t xml:space="preserve"> that the discussion on the inclusion of the SISNAVA software in document UPOV/INF/</w:t>
      </w:r>
      <w:r w:rsidR="006944A7">
        <w:rPr>
          <w:rFonts w:eastAsia="MS Mincho"/>
        </w:rPr>
        <w:t>16 will</w:t>
      </w:r>
      <w:r w:rsidR="0061529B" w:rsidRPr="0061529B">
        <w:rPr>
          <w:rFonts w:eastAsia="MS Mincho"/>
        </w:rPr>
        <w:t xml:space="preserve"> be continued at the TW</w:t>
      </w:r>
      <w:r w:rsidR="006944A7">
        <w:rPr>
          <w:rFonts w:eastAsia="MS Mincho"/>
        </w:rPr>
        <w:t>C, at its thirty-fourth session in 2016.</w:t>
      </w:r>
    </w:p>
    <w:p w:rsidR="00630931" w:rsidRDefault="00630931">
      <w:pPr>
        <w:jc w:val="left"/>
        <w:rPr>
          <w:color w:val="000000"/>
        </w:rPr>
      </w:pPr>
    </w:p>
    <w:p w:rsidR="00A45FAD" w:rsidRPr="00962F67" w:rsidRDefault="00A45FAD" w:rsidP="00362D8F">
      <w:pPr>
        <w:rPr>
          <w:color w:val="000000"/>
        </w:rPr>
      </w:pPr>
      <w:r w:rsidRPr="00962F67">
        <w:rPr>
          <w:color w:val="000000"/>
        </w:rPr>
        <w:fldChar w:fldCharType="begin"/>
      </w:r>
      <w:r w:rsidRPr="00962F67">
        <w:rPr>
          <w:color w:val="000000"/>
        </w:rPr>
        <w:instrText xml:space="preserve"> AUTONUM  </w:instrText>
      </w:r>
      <w:r w:rsidRPr="00962F67">
        <w:rPr>
          <w:color w:val="000000"/>
        </w:rPr>
        <w:fldChar w:fldCharType="end"/>
      </w:r>
      <w:r w:rsidRPr="00962F67">
        <w:rPr>
          <w:color w:val="000000"/>
        </w:rPr>
        <w:tab/>
        <w:t>The following abbreviations are used in this document:</w:t>
      </w:r>
    </w:p>
    <w:p w:rsidR="00A45FAD" w:rsidRPr="00962F67" w:rsidRDefault="00A45FAD" w:rsidP="00362D8F">
      <w:pPr>
        <w:ind w:left="1692" w:hanging="1125"/>
        <w:jc w:val="left"/>
        <w:rPr>
          <w:color w:val="000000"/>
        </w:rPr>
      </w:pPr>
    </w:p>
    <w:p w:rsidR="00A45FAD" w:rsidRPr="00962F67" w:rsidRDefault="00A45FAD" w:rsidP="00362D8F">
      <w:pPr>
        <w:tabs>
          <w:tab w:val="left" w:pos="567"/>
          <w:tab w:val="left" w:pos="1701"/>
        </w:tabs>
      </w:pPr>
      <w:r w:rsidRPr="00962F67">
        <w:tab/>
        <w:t>CAJ:</w:t>
      </w:r>
      <w:r w:rsidR="001B7B7A">
        <w:tab/>
      </w:r>
      <w:r w:rsidRPr="00962F67">
        <w:t>Administrative and Legal Committee</w:t>
      </w:r>
    </w:p>
    <w:p w:rsidR="00A45FAD" w:rsidRPr="00962F67" w:rsidRDefault="001B7B7A" w:rsidP="00362D8F">
      <w:pPr>
        <w:tabs>
          <w:tab w:val="left" w:pos="567"/>
          <w:tab w:val="left" w:pos="1701"/>
        </w:tabs>
      </w:pPr>
      <w:r>
        <w:tab/>
      </w:r>
      <w:r w:rsidR="00A45FAD" w:rsidRPr="00962F67">
        <w:t>TC:</w:t>
      </w:r>
      <w:r w:rsidR="00A45FAD" w:rsidRPr="00962F67">
        <w:tab/>
        <w:t>Technical Committee</w:t>
      </w:r>
    </w:p>
    <w:p w:rsidR="004B04F6" w:rsidRDefault="001B7B7A" w:rsidP="00362D8F">
      <w:pPr>
        <w:tabs>
          <w:tab w:val="left" w:pos="567"/>
          <w:tab w:val="left" w:pos="1701"/>
        </w:tabs>
      </w:pPr>
      <w:r>
        <w:tab/>
      </w:r>
      <w:r w:rsidR="004B04F6" w:rsidRPr="00962F67">
        <w:t>TWC:</w:t>
      </w:r>
      <w:r w:rsidR="004B04F6" w:rsidRPr="00962F67">
        <w:tab/>
        <w:t>Technical Working Party on Automation and Computer Programs</w:t>
      </w:r>
    </w:p>
    <w:p w:rsidR="006161C2" w:rsidRDefault="001B7B7A" w:rsidP="00362D8F">
      <w:pPr>
        <w:tabs>
          <w:tab w:val="left" w:pos="567"/>
          <w:tab w:val="left" w:pos="1701"/>
        </w:tabs>
      </w:pPr>
      <w:r>
        <w:tab/>
      </w:r>
      <w:r w:rsidR="006161C2" w:rsidRPr="00640020">
        <w:t>TWPs</w:t>
      </w:r>
      <w:r w:rsidR="00043EDF" w:rsidRPr="00640020">
        <w:t>:</w:t>
      </w:r>
      <w:r w:rsidR="00043EDF" w:rsidRPr="00640020">
        <w:tab/>
        <w:t>Technical Working Parties</w:t>
      </w:r>
    </w:p>
    <w:p w:rsidR="002F2BB8" w:rsidRDefault="002F2BB8" w:rsidP="00362D8F">
      <w:pPr>
        <w:pStyle w:val="Heading1"/>
        <w:keepNext w:val="0"/>
        <w:rPr>
          <w:rFonts w:eastAsia="MS Mincho"/>
          <w:lang w:eastAsia="ja-JP"/>
        </w:rPr>
      </w:pPr>
      <w:bookmarkStart w:id="15" w:name="_Toc380588283"/>
    </w:p>
    <w:p w:rsidR="00362D8F" w:rsidRDefault="00362D8F" w:rsidP="00362D8F">
      <w:pPr>
        <w:keepNext/>
      </w:pPr>
      <w:r w:rsidRPr="007C25BD">
        <w:fldChar w:fldCharType="begin"/>
      </w:r>
      <w:r w:rsidRPr="007C25BD">
        <w:instrText xml:space="preserve"> AUTONUM  </w:instrText>
      </w:r>
      <w:r w:rsidRPr="007C25BD">
        <w:fldChar w:fldCharType="end"/>
      </w:r>
      <w:r w:rsidRPr="00F11BFD">
        <w:tab/>
        <w:t>The structure of this document is as follows:</w:t>
      </w:r>
    </w:p>
    <w:p w:rsidR="006977C9" w:rsidRDefault="006977C9" w:rsidP="006977C9"/>
    <w:p w:rsidR="00AE3E8A" w:rsidRDefault="009353D3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  <w:lang w:eastAsia="zh-CN"/>
        </w:rPr>
      </w:pPr>
      <w:r>
        <w:fldChar w:fldCharType="begin"/>
      </w:r>
      <w:r>
        <w:instrText xml:space="preserve"> TOC \o "1-1" \u </w:instrText>
      </w:r>
      <w:r>
        <w:fldChar w:fldCharType="separate"/>
      </w:r>
      <w:r w:rsidR="00AE3E8A">
        <w:rPr>
          <w:noProof/>
        </w:rPr>
        <w:t>Executive summary</w:t>
      </w:r>
      <w:r w:rsidR="00AE3E8A">
        <w:rPr>
          <w:noProof/>
        </w:rPr>
        <w:tab/>
      </w:r>
      <w:r w:rsidR="00AE3E8A">
        <w:rPr>
          <w:noProof/>
        </w:rPr>
        <w:fldChar w:fldCharType="begin"/>
      </w:r>
      <w:r w:rsidR="00AE3E8A">
        <w:rPr>
          <w:noProof/>
        </w:rPr>
        <w:instrText xml:space="preserve"> PAGEREF _Toc427071419 \h </w:instrText>
      </w:r>
      <w:r w:rsidR="00AE3E8A">
        <w:rPr>
          <w:noProof/>
        </w:rPr>
      </w:r>
      <w:r w:rsidR="00AE3E8A">
        <w:rPr>
          <w:noProof/>
        </w:rPr>
        <w:fldChar w:fldCharType="separate"/>
      </w:r>
      <w:r w:rsidR="00E97863">
        <w:rPr>
          <w:noProof/>
        </w:rPr>
        <w:t>1</w:t>
      </w:r>
      <w:r w:rsidR="00AE3E8A">
        <w:rPr>
          <w:noProof/>
        </w:rPr>
        <w:fldChar w:fldCharType="end"/>
      </w:r>
    </w:p>
    <w:p w:rsidR="00AE3E8A" w:rsidRDefault="00AE3E8A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  <w:lang w:eastAsia="zh-CN"/>
        </w:rPr>
      </w:pP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_Toc427071420 \h </w:instrText>
      </w:r>
      <w:r>
        <w:rPr>
          <w:noProof/>
        </w:rPr>
      </w:r>
      <w:r>
        <w:rPr>
          <w:noProof/>
        </w:rPr>
        <w:fldChar w:fldCharType="separate"/>
      </w:r>
      <w:r w:rsidR="00E97863">
        <w:rPr>
          <w:noProof/>
        </w:rPr>
        <w:t>2</w:t>
      </w:r>
      <w:r>
        <w:rPr>
          <w:noProof/>
        </w:rPr>
        <w:fldChar w:fldCharType="end"/>
      </w:r>
    </w:p>
    <w:p w:rsidR="00AE3E8A" w:rsidRDefault="00AE3E8A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  <w:lang w:eastAsia="zh-CN"/>
        </w:rPr>
      </w:pPr>
      <w:r w:rsidRPr="00820D7E">
        <w:rPr>
          <w:rFonts w:eastAsia="MS Mincho" w:cs="Arial"/>
          <w:noProof/>
          <w:snapToGrid w:val="0"/>
        </w:rPr>
        <w:t>document UPOV/INF/16 “Exchangeable Software”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_Toc427071421 \h </w:instrText>
      </w:r>
      <w:r>
        <w:rPr>
          <w:noProof/>
        </w:rPr>
      </w:r>
      <w:r>
        <w:rPr>
          <w:noProof/>
        </w:rPr>
        <w:fldChar w:fldCharType="separate"/>
      </w:r>
      <w:r w:rsidR="00E97863">
        <w:rPr>
          <w:noProof/>
        </w:rPr>
        <w:t>2</w:t>
      </w:r>
      <w:r>
        <w:rPr>
          <w:noProof/>
        </w:rPr>
        <w:fldChar w:fldCharType="end"/>
      </w:r>
    </w:p>
    <w:p w:rsidR="00284BE3" w:rsidRDefault="009353D3" w:rsidP="0061529B">
      <w:pPr>
        <w:rPr>
          <w:caps/>
        </w:rPr>
      </w:pPr>
      <w:r>
        <w:rPr>
          <w:caps/>
        </w:rPr>
        <w:fldChar w:fldCharType="end"/>
      </w:r>
    </w:p>
    <w:p w:rsidR="00630931" w:rsidRDefault="00630931">
      <w:pPr>
        <w:jc w:val="left"/>
        <w:rPr>
          <w:caps/>
        </w:rPr>
      </w:pPr>
    </w:p>
    <w:p w:rsidR="0061529B" w:rsidRDefault="0061529B">
      <w:pPr>
        <w:jc w:val="left"/>
        <w:rPr>
          <w:caps/>
        </w:rPr>
      </w:pPr>
      <w:r>
        <w:br w:type="page"/>
      </w:r>
    </w:p>
    <w:p w:rsidR="00031850" w:rsidRPr="009D77D3" w:rsidRDefault="00031850" w:rsidP="00630931">
      <w:pPr>
        <w:pStyle w:val="Heading1"/>
        <w:keepNext w:val="0"/>
      </w:pPr>
      <w:bookmarkStart w:id="16" w:name="_Toc427071420"/>
      <w:r w:rsidRPr="009D77D3">
        <w:rPr>
          <w:rFonts w:hint="eastAsia"/>
        </w:rPr>
        <w:lastRenderedPageBreak/>
        <w:t>PURPOSE</w:t>
      </w:r>
      <w:bookmarkEnd w:id="16"/>
    </w:p>
    <w:p w:rsidR="00031850" w:rsidRDefault="00031850" w:rsidP="00630931">
      <w:pPr>
        <w:pStyle w:val="Heading1"/>
        <w:keepNext w:val="0"/>
        <w:rPr>
          <w:rFonts w:eastAsia="MS Mincho"/>
          <w:lang w:eastAsia="ja-JP"/>
        </w:rPr>
      </w:pPr>
    </w:p>
    <w:p w:rsidR="00031850" w:rsidRDefault="00031850" w:rsidP="00630931">
      <w:pPr>
        <w:rPr>
          <w:snapToGrid w:val="0"/>
        </w:rPr>
      </w:pPr>
      <w:r w:rsidRPr="00640020">
        <w:rPr>
          <w:snapToGrid w:val="0"/>
        </w:rPr>
        <w:fldChar w:fldCharType="begin"/>
      </w:r>
      <w:r w:rsidRPr="00640020">
        <w:rPr>
          <w:snapToGrid w:val="0"/>
        </w:rPr>
        <w:instrText xml:space="preserve"> AUTONUM  </w:instrText>
      </w:r>
      <w:r w:rsidRPr="00640020">
        <w:rPr>
          <w:snapToGrid w:val="0"/>
        </w:rPr>
        <w:fldChar w:fldCharType="end"/>
      </w:r>
      <w:r>
        <w:rPr>
          <w:snapToGrid w:val="0"/>
        </w:rPr>
        <w:tab/>
      </w:r>
      <w:r w:rsidRPr="00640020">
        <w:rPr>
          <w:snapToGrid w:val="0"/>
        </w:rPr>
        <w:t>The purpose of this document is to report on developments concerning exchange</w:t>
      </w:r>
      <w:r>
        <w:rPr>
          <w:rFonts w:hint="eastAsia"/>
          <w:snapToGrid w:val="0"/>
          <w:lang w:eastAsia="ja-JP"/>
        </w:rPr>
        <w:t xml:space="preserve"> and use of </w:t>
      </w:r>
      <w:r w:rsidRPr="00640020">
        <w:rPr>
          <w:snapToGrid w:val="0"/>
        </w:rPr>
        <w:t xml:space="preserve">software and </w:t>
      </w:r>
      <w:r>
        <w:rPr>
          <w:rFonts w:hint="eastAsia"/>
          <w:snapToGrid w:val="0"/>
          <w:lang w:eastAsia="ja-JP"/>
        </w:rPr>
        <w:t>equipment</w:t>
      </w:r>
      <w:r w:rsidRPr="00640020">
        <w:rPr>
          <w:snapToGrid w:val="0"/>
        </w:rPr>
        <w:t>.</w:t>
      </w:r>
    </w:p>
    <w:p w:rsidR="00031850" w:rsidRDefault="00031850" w:rsidP="00630931">
      <w:pPr>
        <w:pStyle w:val="Heading1"/>
        <w:keepNext w:val="0"/>
        <w:rPr>
          <w:rFonts w:eastAsia="MS Mincho"/>
          <w:lang w:eastAsia="ja-JP"/>
        </w:rPr>
      </w:pPr>
    </w:p>
    <w:p w:rsidR="00031850" w:rsidRDefault="00031850" w:rsidP="00630931">
      <w:pPr>
        <w:pStyle w:val="Heading1"/>
        <w:keepNext w:val="0"/>
        <w:rPr>
          <w:rFonts w:eastAsia="MS Mincho"/>
          <w:lang w:eastAsia="ja-JP"/>
        </w:rPr>
      </w:pPr>
    </w:p>
    <w:p w:rsidR="0033729B" w:rsidRPr="0033729B" w:rsidRDefault="00962F67" w:rsidP="00630931">
      <w:pPr>
        <w:pStyle w:val="Heading1"/>
        <w:keepNext w:val="0"/>
        <w:rPr>
          <w:rFonts w:eastAsia="MS Mincho" w:cs="Arial"/>
          <w:snapToGrid w:val="0"/>
        </w:rPr>
      </w:pPr>
      <w:bookmarkStart w:id="17" w:name="_Toc427071421"/>
      <w:r>
        <w:rPr>
          <w:rFonts w:eastAsia="MS Mincho" w:cs="Arial"/>
          <w:snapToGrid w:val="0"/>
        </w:rPr>
        <w:t>document UPOV/INF/16 “Exchangeable Software”</w:t>
      </w:r>
      <w:bookmarkEnd w:id="15"/>
      <w:bookmarkEnd w:id="17"/>
    </w:p>
    <w:p w:rsidR="00962F67" w:rsidRPr="0033729B" w:rsidRDefault="00962F67" w:rsidP="0033729B">
      <w:pPr>
        <w:rPr>
          <w:rFonts w:eastAsia="MS Mincho"/>
          <w:color w:val="000080"/>
        </w:rPr>
      </w:pPr>
    </w:p>
    <w:p w:rsidR="0033729B" w:rsidRPr="0033729B" w:rsidRDefault="0033729B" w:rsidP="0033729B">
      <w:pPr>
        <w:rPr>
          <w:rFonts w:eastAsia="MS Mincho"/>
        </w:rPr>
      </w:pPr>
      <w:r w:rsidRPr="007025E4">
        <w:rPr>
          <w:rFonts w:eastAsia="MS Mincho"/>
          <w:snapToGrid w:val="0"/>
          <w:color w:val="000000"/>
        </w:rPr>
        <w:fldChar w:fldCharType="begin"/>
      </w:r>
      <w:r w:rsidRPr="007025E4">
        <w:rPr>
          <w:rFonts w:eastAsia="MS Mincho"/>
          <w:snapToGrid w:val="0"/>
          <w:color w:val="000000"/>
        </w:rPr>
        <w:instrText xml:space="preserve"> AUTONUM  </w:instrText>
      </w:r>
      <w:r w:rsidRPr="007025E4">
        <w:rPr>
          <w:rFonts w:eastAsia="MS Mincho"/>
          <w:snapToGrid w:val="0"/>
          <w:color w:val="000000"/>
        </w:rPr>
        <w:fldChar w:fldCharType="end"/>
      </w:r>
      <w:r w:rsidRPr="007025E4">
        <w:rPr>
          <w:rFonts w:eastAsia="MS Mincho"/>
          <w:snapToGrid w:val="0"/>
          <w:color w:val="000000"/>
        </w:rPr>
        <w:tab/>
      </w:r>
      <w:r w:rsidRPr="007025E4">
        <w:rPr>
          <w:rFonts w:eastAsia="MS Mincho"/>
        </w:rPr>
        <w:t>The</w:t>
      </w:r>
      <w:r w:rsidR="00E835D4" w:rsidRPr="007025E4">
        <w:rPr>
          <w:rFonts w:eastAsia="MS Mincho"/>
        </w:rPr>
        <w:t xml:space="preserve"> procedure for considering software</w:t>
      </w:r>
      <w:r w:rsidR="00FA2CD8" w:rsidRPr="007025E4">
        <w:rPr>
          <w:rFonts w:eastAsia="MS Mincho"/>
        </w:rPr>
        <w:t xml:space="preserve"> proposed for inclusion in document UPOV/INF/16 “Exchangeable software” </w:t>
      </w:r>
      <w:r w:rsidRPr="007025E4">
        <w:rPr>
          <w:rFonts w:eastAsia="MS Mincho"/>
        </w:rPr>
        <w:t>is set out in document UPOV/INF/16 “Exchangeable Software”, as follows:</w:t>
      </w:r>
    </w:p>
    <w:p w:rsidR="0033729B" w:rsidRPr="0033729B" w:rsidRDefault="0033729B" w:rsidP="0033729B">
      <w:pPr>
        <w:rPr>
          <w:rFonts w:eastAsia="MS Mincho"/>
        </w:rPr>
      </w:pPr>
    </w:p>
    <w:p w:rsidR="0033729B" w:rsidRPr="0033729B" w:rsidRDefault="00467A5E" w:rsidP="0033729B">
      <w:pPr>
        <w:ind w:left="567" w:right="567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“2.</w:t>
      </w:r>
      <w:r>
        <w:rPr>
          <w:rFonts w:eastAsia="MS Mincho"/>
          <w:sz w:val="18"/>
          <w:szCs w:val="18"/>
        </w:rPr>
        <w:tab/>
      </w:r>
      <w:r w:rsidR="0033729B" w:rsidRPr="0033729B">
        <w:rPr>
          <w:rFonts w:eastAsia="MS Mincho"/>
          <w:sz w:val="18"/>
          <w:szCs w:val="18"/>
        </w:rPr>
        <w:t>Procedure for inclusion of software</w:t>
      </w:r>
    </w:p>
    <w:p w:rsidR="0033729B" w:rsidRPr="0033729B" w:rsidRDefault="0033729B" w:rsidP="0033729B">
      <w:pPr>
        <w:ind w:right="567"/>
        <w:rPr>
          <w:rFonts w:eastAsia="MS Mincho"/>
          <w:sz w:val="18"/>
          <w:szCs w:val="18"/>
        </w:rPr>
      </w:pPr>
    </w:p>
    <w:p w:rsidR="0033729B" w:rsidRPr="0033729B" w:rsidRDefault="0033729B" w:rsidP="0033729B">
      <w:pPr>
        <w:ind w:left="567" w:right="567"/>
        <w:rPr>
          <w:rFonts w:eastAsia="MS Mincho"/>
          <w:sz w:val="18"/>
          <w:szCs w:val="18"/>
        </w:rPr>
      </w:pPr>
      <w:r w:rsidRPr="0033729B">
        <w:rPr>
          <w:rFonts w:eastAsia="MS Mincho"/>
          <w:sz w:val="18"/>
          <w:szCs w:val="18"/>
        </w:rPr>
        <w:t>“</w:t>
      </w:r>
      <w:r w:rsidRPr="00426DE8">
        <w:rPr>
          <w:rFonts w:eastAsia="MS Mincho"/>
          <w:sz w:val="18"/>
          <w:szCs w:val="18"/>
        </w:rPr>
        <w:t>Software proposed for inclusion in document UPOV/INF/16 by members of the Union is, in the first instance, presented for review by the Technical Working Party on Automation and Computer Programs</w:t>
      </w:r>
      <w:r w:rsidR="00BE22F3">
        <w:rPr>
          <w:rFonts w:eastAsia="MS Mincho"/>
          <w:sz w:val="18"/>
          <w:szCs w:val="18"/>
        </w:rPr>
        <w:t> </w:t>
      </w:r>
      <w:r w:rsidRPr="00426DE8">
        <w:rPr>
          <w:rFonts w:eastAsia="MS Mincho"/>
          <w:sz w:val="18"/>
          <w:szCs w:val="18"/>
        </w:rPr>
        <w:t>(TWC).</w:t>
      </w:r>
      <w:r w:rsidRPr="0033729B">
        <w:rPr>
          <w:rFonts w:eastAsia="MS Mincho"/>
          <w:sz w:val="18"/>
          <w:szCs w:val="18"/>
        </w:rPr>
        <w:t xml:space="preserve"> </w:t>
      </w:r>
      <w:r w:rsidR="00BE22F3">
        <w:rPr>
          <w:rFonts w:eastAsia="MS Mincho"/>
          <w:sz w:val="18"/>
          <w:szCs w:val="18"/>
        </w:rPr>
        <w:t xml:space="preserve"> </w:t>
      </w:r>
      <w:r w:rsidRPr="0033729B">
        <w:rPr>
          <w:rFonts w:eastAsia="MS Mincho"/>
          <w:sz w:val="18"/>
          <w:szCs w:val="18"/>
        </w:rPr>
        <w:t xml:space="preserve">On the basis of such presentations and the experience of members of the Union, the TWC makes a recommendation to the Technical Committee on whether to include that software in document UPOV/INF/16. </w:t>
      </w:r>
      <w:r w:rsidR="00BE22F3">
        <w:rPr>
          <w:rFonts w:eastAsia="MS Mincho"/>
          <w:sz w:val="18"/>
          <w:szCs w:val="18"/>
        </w:rPr>
        <w:t xml:space="preserve"> </w:t>
      </w:r>
      <w:r w:rsidRPr="0033729B">
        <w:rPr>
          <w:rFonts w:eastAsia="MS Mincho"/>
          <w:sz w:val="18"/>
          <w:szCs w:val="18"/>
        </w:rPr>
        <w:t xml:space="preserve">In the case of a positive recommendation by the TC and by the Administrative and Legal Committee (CAJ), the software will be listed in a draft of document UPOV/INF/16, to be considered for adoption by the Council. </w:t>
      </w:r>
      <w:r w:rsidR="00BE22F3">
        <w:rPr>
          <w:rFonts w:eastAsia="MS Mincho"/>
          <w:sz w:val="18"/>
          <w:szCs w:val="18"/>
        </w:rPr>
        <w:t xml:space="preserve"> </w:t>
      </w:r>
      <w:r w:rsidRPr="0033729B">
        <w:rPr>
          <w:rFonts w:eastAsia="MS Mincho"/>
          <w:sz w:val="18"/>
          <w:szCs w:val="18"/>
        </w:rPr>
        <w:t>Document UPOV/INF/16 is adopted by the Council.”</w:t>
      </w:r>
    </w:p>
    <w:p w:rsidR="00DA367F" w:rsidRPr="000652B5" w:rsidRDefault="00DA367F" w:rsidP="000652B5"/>
    <w:p w:rsidR="002941C6" w:rsidRDefault="002941C6" w:rsidP="00DA367F">
      <w:pPr>
        <w:rPr>
          <w:snapToGrid w:val="0"/>
          <w:vertAlign w:val="superscript"/>
          <w:lang w:eastAsia="ja-JP"/>
        </w:rPr>
      </w:pPr>
      <w:r w:rsidRPr="002941C6">
        <w:rPr>
          <w:color w:val="000000" w:themeColor="text1"/>
        </w:rPr>
        <w:fldChar w:fldCharType="begin"/>
      </w:r>
      <w:r w:rsidRPr="002941C6">
        <w:rPr>
          <w:color w:val="000000" w:themeColor="text1"/>
        </w:rPr>
        <w:instrText xml:space="preserve"> AUTONUM  </w:instrText>
      </w:r>
      <w:r w:rsidRPr="002941C6">
        <w:rPr>
          <w:color w:val="000000" w:themeColor="text1"/>
        </w:rPr>
        <w:fldChar w:fldCharType="end"/>
      </w:r>
      <w:r w:rsidRPr="002941C6">
        <w:rPr>
          <w:color w:val="000000" w:themeColor="text1"/>
        </w:rPr>
        <w:tab/>
        <w:t>The TWC, at its thirty-</w:t>
      </w:r>
      <w:r w:rsidRPr="002941C6">
        <w:rPr>
          <w:rFonts w:hint="eastAsia"/>
          <w:color w:val="000000" w:themeColor="text1"/>
          <w:lang w:eastAsia="ja-JP"/>
        </w:rPr>
        <w:t>second</w:t>
      </w:r>
      <w:r w:rsidRPr="002941C6">
        <w:rPr>
          <w:color w:val="000000" w:themeColor="text1"/>
        </w:rPr>
        <w:t xml:space="preserve"> session</w:t>
      </w:r>
      <w:r w:rsidR="00432C0F" w:rsidRPr="002941C6">
        <w:rPr>
          <w:color w:val="000000" w:themeColor="text1"/>
          <w:vertAlign w:val="superscript"/>
        </w:rPr>
        <w:footnoteReference w:id="2"/>
      </w:r>
      <w:r w:rsidRPr="002941C6">
        <w:rPr>
          <w:color w:val="000000" w:themeColor="text1"/>
        </w:rPr>
        <w:t xml:space="preserve">, received a presentation by an expert from Mexico by electronic means on </w:t>
      </w:r>
      <w:r w:rsidR="00432C0F">
        <w:rPr>
          <w:color w:val="000000" w:themeColor="text1"/>
        </w:rPr>
        <w:t xml:space="preserve">the </w:t>
      </w:r>
      <w:r w:rsidRPr="002941C6">
        <w:rPr>
          <w:color w:val="000000" w:themeColor="text1"/>
          <w:szCs w:val="24"/>
        </w:rPr>
        <w:t xml:space="preserve">SISNAVA </w:t>
      </w:r>
      <w:r w:rsidRPr="002941C6">
        <w:rPr>
          <w:color w:val="000000" w:themeColor="text1"/>
        </w:rPr>
        <w:t xml:space="preserve">software, as presented in Annex </w:t>
      </w:r>
      <w:r w:rsidRPr="002941C6">
        <w:rPr>
          <w:rFonts w:hint="eastAsia"/>
          <w:color w:val="000000" w:themeColor="text1"/>
          <w:lang w:eastAsia="ja-JP"/>
        </w:rPr>
        <w:t xml:space="preserve">V </w:t>
      </w:r>
      <w:r w:rsidRPr="002941C6">
        <w:rPr>
          <w:color w:val="000000" w:themeColor="text1"/>
        </w:rPr>
        <w:t>to document TWC/3</w:t>
      </w:r>
      <w:r w:rsidRPr="002941C6">
        <w:rPr>
          <w:rFonts w:hint="eastAsia"/>
          <w:color w:val="000000" w:themeColor="text1"/>
          <w:lang w:eastAsia="ja-JP"/>
        </w:rPr>
        <w:t>2</w:t>
      </w:r>
      <w:r w:rsidRPr="002941C6">
        <w:rPr>
          <w:color w:val="000000" w:themeColor="text1"/>
        </w:rPr>
        <w:t>/</w:t>
      </w:r>
      <w:r w:rsidRPr="002941C6">
        <w:rPr>
          <w:rFonts w:hint="eastAsia"/>
          <w:color w:val="000000" w:themeColor="text1"/>
          <w:lang w:eastAsia="ja-JP"/>
        </w:rPr>
        <w:t>7</w:t>
      </w:r>
      <w:r w:rsidRPr="002941C6">
        <w:rPr>
          <w:color w:val="000000" w:themeColor="text1"/>
          <w:vertAlign w:val="superscript"/>
          <w:lang w:eastAsia="ja-JP"/>
        </w:rPr>
        <w:footnoteReference w:id="3"/>
      </w:r>
      <w:r w:rsidRPr="002941C6">
        <w:rPr>
          <w:color w:val="000000" w:themeColor="text1"/>
        </w:rPr>
        <w:t>.</w:t>
      </w:r>
    </w:p>
    <w:p w:rsidR="002941C6" w:rsidRPr="000652B5" w:rsidRDefault="002941C6" w:rsidP="000652B5"/>
    <w:p w:rsidR="00DA367F" w:rsidRPr="00DA367F" w:rsidRDefault="00DA367F" w:rsidP="00DA367F">
      <w:pPr>
        <w:rPr>
          <w:rFonts w:eastAsia="SimSun"/>
          <w:snapToGrid w:val="0"/>
          <w:lang w:eastAsia="ja-JP"/>
        </w:rPr>
      </w:pPr>
      <w:r w:rsidRPr="00DA367F">
        <w:rPr>
          <w:rFonts w:eastAsia="SimSun"/>
          <w:snapToGrid w:val="0"/>
          <w:lang w:eastAsia="ja-JP"/>
        </w:rPr>
        <w:fldChar w:fldCharType="begin"/>
      </w:r>
      <w:r w:rsidRPr="00DA367F">
        <w:rPr>
          <w:rFonts w:eastAsia="SimSun"/>
          <w:snapToGrid w:val="0"/>
          <w:lang w:eastAsia="ja-JP"/>
        </w:rPr>
        <w:instrText xml:space="preserve"> AUTONUM  </w:instrText>
      </w:r>
      <w:r w:rsidRPr="00DA367F">
        <w:rPr>
          <w:rFonts w:eastAsia="SimSun"/>
          <w:snapToGrid w:val="0"/>
          <w:lang w:eastAsia="ja-JP"/>
        </w:rPr>
        <w:fldChar w:fldCharType="end"/>
      </w:r>
      <w:r w:rsidRPr="00DA367F">
        <w:rPr>
          <w:rFonts w:eastAsia="SimSun"/>
          <w:snapToGrid w:val="0"/>
          <w:lang w:eastAsia="ja-JP"/>
        </w:rPr>
        <w:tab/>
      </w:r>
      <w:r w:rsidR="002941C6" w:rsidRPr="002941C6">
        <w:rPr>
          <w:rFonts w:eastAsia="MS Mincho"/>
        </w:rPr>
        <w:t xml:space="preserve">The </w:t>
      </w:r>
      <w:r w:rsidR="002941C6" w:rsidRPr="002941C6">
        <w:rPr>
          <w:rFonts w:eastAsia="MS Mincho"/>
          <w:color w:val="000000"/>
        </w:rPr>
        <w:t>TC</w:t>
      </w:r>
      <w:r w:rsidR="002941C6" w:rsidRPr="002941C6">
        <w:rPr>
          <w:rFonts w:eastAsia="MS Mincho" w:hint="eastAsia"/>
          <w:color w:val="000000"/>
          <w:lang w:eastAsia="ja-JP"/>
        </w:rPr>
        <w:t>, at its fifty-first session</w:t>
      </w:r>
      <w:r w:rsidR="002941C6" w:rsidRPr="002941C6">
        <w:rPr>
          <w:rFonts w:eastAsia="MS Mincho"/>
          <w:color w:val="000000"/>
          <w:vertAlign w:val="superscript"/>
          <w:lang w:eastAsia="ja-JP"/>
        </w:rPr>
        <w:footnoteReference w:id="4"/>
      </w:r>
      <w:r w:rsidR="002941C6" w:rsidRPr="002941C6">
        <w:rPr>
          <w:rFonts w:eastAsia="MS Mincho" w:hint="eastAsia"/>
          <w:color w:val="000000"/>
          <w:lang w:eastAsia="ja-JP"/>
        </w:rPr>
        <w:t>,</w:t>
      </w:r>
      <w:r w:rsidR="002941C6" w:rsidRPr="002941C6">
        <w:rPr>
          <w:rFonts w:eastAsia="MS Mincho" w:hint="eastAsia"/>
          <w:color w:val="000000" w:themeColor="text1"/>
          <w:lang w:eastAsia="ja-JP"/>
        </w:rPr>
        <w:t xml:space="preserve"> and the </w:t>
      </w:r>
      <w:r w:rsidRPr="00DA367F">
        <w:rPr>
          <w:rFonts w:eastAsia="SimSun"/>
          <w:snapToGrid w:val="0"/>
          <w:lang w:eastAsia="ja-JP"/>
        </w:rPr>
        <w:t>CAJ</w:t>
      </w:r>
      <w:r>
        <w:rPr>
          <w:rFonts w:hint="eastAsia"/>
          <w:snapToGrid w:val="0"/>
          <w:lang w:eastAsia="ja-JP"/>
        </w:rPr>
        <w:t>, at its seventy-first session</w:t>
      </w:r>
      <w:r w:rsidR="0061529B">
        <w:rPr>
          <w:rStyle w:val="FootnoteReference"/>
          <w:snapToGrid w:val="0"/>
          <w:lang w:eastAsia="ja-JP"/>
        </w:rPr>
        <w:footnoteReference w:id="5"/>
      </w:r>
      <w:r>
        <w:rPr>
          <w:rFonts w:hint="eastAsia"/>
          <w:snapToGrid w:val="0"/>
          <w:lang w:eastAsia="ja-JP"/>
        </w:rPr>
        <w:t xml:space="preserve">, </w:t>
      </w:r>
      <w:r w:rsidRPr="00DA367F">
        <w:rPr>
          <w:rFonts w:eastAsia="SimSun"/>
          <w:snapToGrid w:val="0"/>
          <w:lang w:eastAsia="ja-JP"/>
        </w:rPr>
        <w:t xml:space="preserve">noted that the discussions on the inclusion of the SISNAVA software in document UPOV/INF/16 would be continued in the </w:t>
      </w:r>
      <w:r w:rsidR="00432C0F">
        <w:rPr>
          <w:rFonts w:eastAsia="SimSun"/>
          <w:snapToGrid w:val="0"/>
          <w:lang w:eastAsia="ja-JP"/>
        </w:rPr>
        <w:t>TWC</w:t>
      </w:r>
      <w:r w:rsidRPr="00DA367F">
        <w:rPr>
          <w:rFonts w:eastAsia="SimSun"/>
          <w:snapToGrid w:val="0"/>
          <w:lang w:eastAsia="ja-JP"/>
        </w:rPr>
        <w:t>, subject to the conclusion on discussions on the variation of variety descriptions over years in different locations</w:t>
      </w:r>
      <w:r w:rsidR="0061529B">
        <w:rPr>
          <w:rStyle w:val="FootnoteReference"/>
          <w:rFonts w:eastAsia="SimSun"/>
          <w:snapToGrid w:val="0"/>
          <w:lang w:eastAsia="ja-JP"/>
        </w:rPr>
        <w:footnoteReference w:id="6"/>
      </w:r>
      <w:r w:rsidRPr="00DA367F">
        <w:rPr>
          <w:rFonts w:eastAsia="SimSun"/>
          <w:snapToGrid w:val="0"/>
          <w:lang w:eastAsia="ja-JP"/>
        </w:rPr>
        <w:t>.</w:t>
      </w:r>
    </w:p>
    <w:p w:rsidR="00DA367F" w:rsidRDefault="00DA367F" w:rsidP="00DA367F">
      <w:pPr>
        <w:rPr>
          <w:snapToGrid w:val="0"/>
          <w:lang w:eastAsia="ja-JP"/>
        </w:rPr>
      </w:pPr>
    </w:p>
    <w:p w:rsidR="00DA367F" w:rsidRPr="00340C7C" w:rsidRDefault="00DA367F" w:rsidP="00DA367F">
      <w:r w:rsidRPr="00340C7C">
        <w:fldChar w:fldCharType="begin"/>
      </w:r>
      <w:r w:rsidRPr="00340C7C">
        <w:instrText xml:space="preserve"> AUTONUM  </w:instrText>
      </w:r>
      <w:r w:rsidRPr="00340C7C">
        <w:fldChar w:fldCharType="end"/>
      </w:r>
      <w:r w:rsidRPr="00340C7C">
        <w:tab/>
        <w:t>The TWC</w:t>
      </w:r>
      <w:r w:rsidR="0061529B">
        <w:rPr>
          <w:rFonts w:hint="eastAsia"/>
          <w:lang w:eastAsia="ja-JP"/>
        </w:rPr>
        <w:t>, at its thirty-third session</w:t>
      </w:r>
      <w:r w:rsidR="0061529B">
        <w:rPr>
          <w:rStyle w:val="FootnoteReference"/>
          <w:lang w:eastAsia="ja-JP"/>
        </w:rPr>
        <w:footnoteReference w:id="7"/>
      </w:r>
      <w:r w:rsidR="0061529B">
        <w:rPr>
          <w:rFonts w:hint="eastAsia"/>
          <w:lang w:eastAsia="ja-JP"/>
        </w:rPr>
        <w:t>,</w:t>
      </w:r>
      <w:r w:rsidRPr="00340C7C">
        <w:t xml:space="preserve"> agreed that discussions on the inclusion of the SISNAVA software in document UPOV/INF/16 should be continued in the TWC, subject to the conclusion on discussions on the variation of variety descriptions over years in different locations</w:t>
      </w:r>
      <w:r w:rsidR="0061529B">
        <w:rPr>
          <w:rStyle w:val="FootnoteReference"/>
        </w:rPr>
        <w:footnoteReference w:id="8"/>
      </w:r>
      <w:r w:rsidRPr="00340C7C">
        <w:t>.</w:t>
      </w:r>
    </w:p>
    <w:p w:rsidR="00DA367F" w:rsidRDefault="00DA367F" w:rsidP="00DA367F">
      <w:pPr>
        <w:rPr>
          <w:snapToGrid w:val="0"/>
          <w:lang w:eastAsia="ja-JP"/>
        </w:rPr>
      </w:pPr>
    </w:p>
    <w:p w:rsidR="00DA367F" w:rsidRDefault="00DA367F" w:rsidP="00DA367F">
      <w:pPr>
        <w:rPr>
          <w:snapToGrid w:val="0"/>
          <w:lang w:eastAsia="ja-JP"/>
        </w:rPr>
      </w:pPr>
      <w:r w:rsidRPr="00340C7C">
        <w:fldChar w:fldCharType="begin"/>
      </w:r>
      <w:r w:rsidRPr="00340C7C">
        <w:instrText xml:space="preserve"> AUTONUM  </w:instrText>
      </w:r>
      <w:r w:rsidRPr="00340C7C">
        <w:fldChar w:fldCharType="end"/>
      </w:r>
      <w:r w:rsidRPr="00340C7C">
        <w:tab/>
      </w:r>
      <w:r>
        <w:rPr>
          <w:rFonts w:hint="eastAsia"/>
          <w:lang w:eastAsia="ja-JP"/>
        </w:rPr>
        <w:t>The TC, at its fifty-second session</w:t>
      </w:r>
      <w:r w:rsidR="0061529B">
        <w:rPr>
          <w:rStyle w:val="FootnoteReference"/>
          <w:lang w:eastAsia="ja-JP"/>
        </w:rPr>
        <w:footnoteReference w:id="9"/>
      </w:r>
      <w:r>
        <w:rPr>
          <w:rFonts w:hint="eastAsia"/>
          <w:lang w:eastAsia="ja-JP"/>
        </w:rPr>
        <w:t xml:space="preserve">, will note that </w:t>
      </w:r>
      <w:r w:rsidR="00190529">
        <w:rPr>
          <w:rFonts w:hint="eastAsia"/>
          <w:lang w:eastAsia="ja-JP"/>
        </w:rPr>
        <w:t xml:space="preserve">the discussion on the inclusion of the SISNAVA software in document UPOV/INF/6 </w:t>
      </w:r>
      <w:r w:rsidR="00432C0F">
        <w:rPr>
          <w:lang w:eastAsia="ja-JP"/>
        </w:rPr>
        <w:t>will</w:t>
      </w:r>
      <w:r w:rsidR="00190529">
        <w:rPr>
          <w:rFonts w:hint="eastAsia"/>
          <w:lang w:eastAsia="ja-JP"/>
        </w:rPr>
        <w:t xml:space="preserve"> be continued at the TWC, at its thirty-fourth session</w:t>
      </w:r>
      <w:r w:rsidR="00432C0F">
        <w:rPr>
          <w:lang w:eastAsia="ja-JP"/>
        </w:rPr>
        <w:t xml:space="preserve"> in 2016</w:t>
      </w:r>
      <w:r w:rsidR="00190529">
        <w:rPr>
          <w:rFonts w:hint="eastAsia"/>
          <w:lang w:eastAsia="ja-JP"/>
        </w:rPr>
        <w:t>.</w:t>
      </w:r>
    </w:p>
    <w:p w:rsidR="00DA367F" w:rsidRDefault="00DA367F" w:rsidP="00176CB7">
      <w:pPr>
        <w:pStyle w:val="Heading3"/>
        <w:rPr>
          <w:lang w:eastAsia="ja-JP"/>
        </w:rPr>
      </w:pPr>
    </w:p>
    <w:p w:rsidR="00176CB7" w:rsidRDefault="003F2AF5" w:rsidP="00D021ED">
      <w:pPr>
        <w:tabs>
          <w:tab w:val="left" w:pos="5387"/>
        </w:tabs>
        <w:ind w:left="4820"/>
        <w:rPr>
          <w:rFonts w:eastAsia="MS Mincho"/>
          <w:i/>
          <w:lang w:eastAsia="ja-JP"/>
        </w:rPr>
      </w:pPr>
      <w:r w:rsidRPr="007025E4">
        <w:rPr>
          <w:rFonts w:eastAsia="MS Mincho"/>
          <w:i/>
        </w:rPr>
        <w:fldChar w:fldCharType="begin"/>
      </w:r>
      <w:r w:rsidRPr="007025E4">
        <w:rPr>
          <w:rFonts w:eastAsia="MS Mincho"/>
          <w:i/>
        </w:rPr>
        <w:instrText xml:space="preserve"> AUTONUM  </w:instrText>
      </w:r>
      <w:r w:rsidRPr="007025E4">
        <w:rPr>
          <w:rFonts w:eastAsia="MS Mincho"/>
          <w:i/>
        </w:rPr>
        <w:fldChar w:fldCharType="end"/>
      </w:r>
      <w:r w:rsidR="00392E6B">
        <w:rPr>
          <w:rFonts w:eastAsia="MS Mincho"/>
          <w:i/>
        </w:rPr>
        <w:tab/>
        <w:t xml:space="preserve">The </w:t>
      </w:r>
      <w:r w:rsidRPr="007025E4">
        <w:rPr>
          <w:rFonts w:eastAsia="MS Mincho"/>
          <w:i/>
        </w:rPr>
        <w:t>C</w:t>
      </w:r>
      <w:r w:rsidR="00392E6B">
        <w:rPr>
          <w:rFonts w:eastAsia="MS Mincho" w:hint="eastAsia"/>
          <w:i/>
          <w:lang w:eastAsia="ja-JP"/>
        </w:rPr>
        <w:t>AJ</w:t>
      </w:r>
      <w:r w:rsidRPr="007025E4">
        <w:rPr>
          <w:rFonts w:eastAsia="MS Mincho"/>
          <w:i/>
        </w:rPr>
        <w:t xml:space="preserve"> is invited to</w:t>
      </w:r>
      <w:r w:rsidR="00176CB7">
        <w:rPr>
          <w:rFonts w:eastAsia="MS Mincho" w:hint="eastAsia"/>
          <w:i/>
          <w:lang w:eastAsia="ja-JP"/>
        </w:rPr>
        <w:t xml:space="preserve"> note </w:t>
      </w:r>
      <w:r w:rsidR="00176CB7" w:rsidRPr="00B711CA">
        <w:rPr>
          <w:rFonts w:eastAsia="MS Mincho" w:hint="eastAsia"/>
          <w:i/>
          <w:lang w:eastAsia="ja-JP"/>
        </w:rPr>
        <w:t>that</w:t>
      </w:r>
      <w:r w:rsidR="00DA760B">
        <w:rPr>
          <w:rFonts w:eastAsia="MS Mincho" w:hint="eastAsia"/>
          <w:i/>
          <w:lang w:eastAsia="ja-JP"/>
        </w:rPr>
        <w:t xml:space="preserve"> </w:t>
      </w:r>
      <w:r w:rsidR="00190529">
        <w:rPr>
          <w:rFonts w:eastAsia="MS Mincho" w:hint="eastAsia"/>
          <w:i/>
          <w:lang w:eastAsia="ja-JP"/>
        </w:rPr>
        <w:t>the TC, at its fifty-</w:t>
      </w:r>
      <w:r w:rsidR="00432C0F">
        <w:rPr>
          <w:rFonts w:eastAsia="MS Mincho" w:hint="eastAsia"/>
          <w:i/>
          <w:lang w:eastAsia="ja-JP"/>
        </w:rPr>
        <w:t>second session</w:t>
      </w:r>
      <w:r w:rsidR="00432C0F">
        <w:rPr>
          <w:rFonts w:eastAsia="MS Mincho"/>
          <w:i/>
          <w:lang w:eastAsia="ja-JP"/>
        </w:rPr>
        <w:t>, to be held in Geneva from March 14 to 16, 2016,</w:t>
      </w:r>
      <w:r w:rsidR="00190529">
        <w:rPr>
          <w:rFonts w:eastAsia="MS Mincho" w:hint="eastAsia"/>
          <w:i/>
          <w:lang w:eastAsia="ja-JP"/>
        </w:rPr>
        <w:t xml:space="preserve"> </w:t>
      </w:r>
      <w:r w:rsidR="00190529" w:rsidRPr="00190529">
        <w:rPr>
          <w:rFonts w:eastAsia="MS Mincho"/>
          <w:i/>
          <w:lang w:eastAsia="ja-JP"/>
        </w:rPr>
        <w:t xml:space="preserve">will </w:t>
      </w:r>
      <w:r w:rsidR="006944A7">
        <w:rPr>
          <w:rFonts w:eastAsia="MS Mincho"/>
          <w:i/>
          <w:lang w:eastAsia="ja-JP"/>
        </w:rPr>
        <w:t>be informed</w:t>
      </w:r>
      <w:r w:rsidR="00190529" w:rsidRPr="00190529">
        <w:rPr>
          <w:rFonts w:eastAsia="MS Mincho"/>
          <w:i/>
          <w:lang w:eastAsia="ja-JP"/>
        </w:rPr>
        <w:t xml:space="preserve"> that the discussion on the inclusion of the SISNAVA software in document UPOV/INF/</w:t>
      </w:r>
      <w:r w:rsidR="00D550BE">
        <w:rPr>
          <w:rFonts w:eastAsia="MS Mincho"/>
          <w:i/>
          <w:lang w:eastAsia="ja-JP"/>
        </w:rPr>
        <w:t>1</w:t>
      </w:r>
      <w:r w:rsidR="00190529" w:rsidRPr="00190529">
        <w:rPr>
          <w:rFonts w:eastAsia="MS Mincho"/>
          <w:i/>
          <w:lang w:eastAsia="ja-JP"/>
        </w:rPr>
        <w:t xml:space="preserve">6 </w:t>
      </w:r>
      <w:r w:rsidR="00D550BE">
        <w:rPr>
          <w:rFonts w:eastAsia="MS Mincho"/>
          <w:i/>
          <w:lang w:eastAsia="ja-JP"/>
        </w:rPr>
        <w:t>will</w:t>
      </w:r>
      <w:r w:rsidR="00190529" w:rsidRPr="00190529">
        <w:rPr>
          <w:rFonts w:eastAsia="MS Mincho"/>
          <w:i/>
          <w:lang w:eastAsia="ja-JP"/>
        </w:rPr>
        <w:t xml:space="preserve"> be continued at the T</w:t>
      </w:r>
      <w:r w:rsidR="00D550BE">
        <w:rPr>
          <w:rFonts w:eastAsia="MS Mincho"/>
          <w:i/>
          <w:lang w:eastAsia="ja-JP"/>
        </w:rPr>
        <w:t>WC, at its thirty-fourth session in 2016</w:t>
      </w:r>
      <w:r w:rsidR="00D021ED" w:rsidRPr="00D021ED">
        <w:rPr>
          <w:rFonts w:eastAsia="MS Mincho"/>
          <w:i/>
          <w:lang w:eastAsia="ja-JP"/>
        </w:rPr>
        <w:t>.</w:t>
      </w:r>
    </w:p>
    <w:p w:rsidR="00D021ED" w:rsidRDefault="00D021ED" w:rsidP="00630931">
      <w:pPr>
        <w:rPr>
          <w:lang w:eastAsia="ja-JP"/>
        </w:rPr>
      </w:pPr>
    </w:p>
    <w:p w:rsidR="00190529" w:rsidRDefault="00190529" w:rsidP="002F2BB8">
      <w:pPr>
        <w:jc w:val="left"/>
        <w:rPr>
          <w:lang w:eastAsia="ja-JP"/>
        </w:rPr>
      </w:pPr>
    </w:p>
    <w:p w:rsidR="0061529B" w:rsidRDefault="0061529B" w:rsidP="002F2BB8">
      <w:pPr>
        <w:jc w:val="left"/>
        <w:rPr>
          <w:lang w:eastAsia="ja-JP"/>
        </w:rPr>
      </w:pPr>
    </w:p>
    <w:p w:rsidR="0061529B" w:rsidRDefault="0061529B" w:rsidP="0061529B">
      <w:pPr>
        <w:jc w:val="right"/>
        <w:rPr>
          <w:lang w:eastAsia="ja-JP"/>
        </w:rPr>
      </w:pPr>
      <w:r>
        <w:rPr>
          <w:rFonts w:hint="eastAsia"/>
          <w:lang w:eastAsia="ja-JP"/>
        </w:rPr>
        <w:t>[End of document]</w:t>
      </w:r>
    </w:p>
    <w:p w:rsidR="0061529B" w:rsidRDefault="0061529B" w:rsidP="0061529B">
      <w:pPr>
        <w:jc w:val="right"/>
        <w:rPr>
          <w:lang w:eastAsia="ja-JP"/>
        </w:rPr>
      </w:pPr>
    </w:p>
    <w:p w:rsidR="0061529B" w:rsidRDefault="0061529B" w:rsidP="0061529B">
      <w:pPr>
        <w:jc w:val="right"/>
        <w:rPr>
          <w:lang w:eastAsia="ja-JP"/>
        </w:rPr>
      </w:pPr>
    </w:p>
    <w:p w:rsidR="0061529B" w:rsidRDefault="0061529B" w:rsidP="0061529B">
      <w:pPr>
        <w:jc w:val="right"/>
        <w:rPr>
          <w:lang w:eastAsia="ja-JP"/>
        </w:rPr>
      </w:pPr>
    </w:p>
    <w:sectPr w:rsidR="0061529B" w:rsidSect="00190529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29" w:rsidRDefault="00190529" w:rsidP="006655D3">
      <w:r>
        <w:separator/>
      </w:r>
    </w:p>
    <w:p w:rsidR="00190529" w:rsidRDefault="00190529" w:rsidP="006655D3"/>
    <w:p w:rsidR="00190529" w:rsidRDefault="00190529" w:rsidP="006655D3"/>
  </w:endnote>
  <w:endnote w:type="continuationSeparator" w:id="0">
    <w:p w:rsidR="00190529" w:rsidRDefault="00190529" w:rsidP="006655D3">
      <w:r>
        <w:separator/>
      </w:r>
    </w:p>
    <w:p w:rsidR="00190529" w:rsidRPr="00A83EC7" w:rsidRDefault="00190529">
      <w:pPr>
        <w:pStyle w:val="Footer"/>
        <w:spacing w:after="60"/>
        <w:rPr>
          <w:sz w:val="18"/>
          <w:lang w:val="fr-CH"/>
        </w:rPr>
      </w:pPr>
      <w:r w:rsidRPr="00A83EC7">
        <w:rPr>
          <w:sz w:val="18"/>
          <w:lang w:val="fr-CH"/>
        </w:rPr>
        <w:t>[Suite de la note de la page précédente]</w:t>
      </w:r>
    </w:p>
    <w:p w:rsidR="00190529" w:rsidRPr="00A83EC7" w:rsidRDefault="00190529" w:rsidP="006655D3">
      <w:pPr>
        <w:rPr>
          <w:lang w:val="fr-CH"/>
        </w:rPr>
      </w:pPr>
    </w:p>
    <w:p w:rsidR="00190529" w:rsidRPr="00A83EC7" w:rsidRDefault="00190529" w:rsidP="006655D3">
      <w:pPr>
        <w:rPr>
          <w:lang w:val="fr-CH"/>
        </w:rPr>
      </w:pPr>
    </w:p>
  </w:endnote>
  <w:endnote w:type="continuationNotice" w:id="1">
    <w:p w:rsidR="00190529" w:rsidRPr="00A83EC7" w:rsidRDefault="00190529" w:rsidP="006655D3">
      <w:pPr>
        <w:rPr>
          <w:lang w:val="fr-CH"/>
        </w:rPr>
      </w:pPr>
      <w:r w:rsidRPr="00A83EC7">
        <w:rPr>
          <w:lang w:val="fr-CH"/>
        </w:rPr>
        <w:t>[Suite de la note page suivante]</w:t>
      </w:r>
    </w:p>
    <w:p w:rsidR="00190529" w:rsidRPr="00A83EC7" w:rsidRDefault="00190529" w:rsidP="006655D3">
      <w:pPr>
        <w:rPr>
          <w:lang w:val="fr-CH"/>
        </w:rPr>
      </w:pPr>
    </w:p>
    <w:p w:rsidR="00190529" w:rsidRPr="00A83EC7" w:rsidRDefault="0019052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29" w:rsidRDefault="00190529" w:rsidP="006655D3">
      <w:r>
        <w:separator/>
      </w:r>
    </w:p>
  </w:footnote>
  <w:footnote w:type="continuationSeparator" w:id="0">
    <w:p w:rsidR="00190529" w:rsidRDefault="00190529" w:rsidP="006655D3">
      <w:r>
        <w:separator/>
      </w:r>
    </w:p>
  </w:footnote>
  <w:footnote w:type="continuationNotice" w:id="1">
    <w:p w:rsidR="00190529" w:rsidRPr="00AB530F" w:rsidRDefault="00190529" w:rsidP="00AB530F">
      <w:pPr>
        <w:pStyle w:val="Footer"/>
      </w:pPr>
    </w:p>
  </w:footnote>
  <w:footnote w:id="2">
    <w:p w:rsidR="00432C0F" w:rsidRPr="00866BB0" w:rsidRDefault="00432C0F" w:rsidP="00432C0F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 w:rsidR="00A634DE">
        <w:rPr>
          <w:color w:val="000000" w:themeColor="text1"/>
          <w:lang w:eastAsia="ja-JP"/>
        </w:rPr>
        <w:t>h</w:t>
      </w:r>
      <w:r w:rsidRPr="00DB392D">
        <w:rPr>
          <w:color w:val="000000" w:themeColor="text1"/>
        </w:rPr>
        <w:t xml:space="preserve">eld in </w:t>
      </w:r>
      <w:r>
        <w:rPr>
          <w:rFonts w:hint="eastAsia"/>
          <w:color w:val="000000" w:themeColor="text1"/>
          <w:lang w:eastAsia="ja-JP"/>
        </w:rPr>
        <w:t>Helsinki</w:t>
      </w:r>
      <w:r w:rsidRPr="00DB392D">
        <w:rPr>
          <w:color w:val="000000" w:themeColor="text1"/>
        </w:rPr>
        <w:t xml:space="preserve">, from June </w:t>
      </w:r>
      <w:r>
        <w:rPr>
          <w:rFonts w:hint="eastAsia"/>
          <w:color w:val="000000" w:themeColor="text1"/>
          <w:lang w:eastAsia="ja-JP"/>
        </w:rPr>
        <w:t>2</w:t>
      </w:r>
      <w:r w:rsidRPr="00DB392D">
        <w:rPr>
          <w:color w:val="000000" w:themeColor="text1"/>
        </w:rPr>
        <w:t xml:space="preserve"> to </w:t>
      </w:r>
      <w:r>
        <w:rPr>
          <w:rFonts w:hint="eastAsia"/>
          <w:color w:val="000000" w:themeColor="text1"/>
          <w:lang w:eastAsia="ja-JP"/>
        </w:rPr>
        <w:t>6</w:t>
      </w:r>
      <w:r w:rsidRPr="00DB392D">
        <w:rPr>
          <w:color w:val="000000" w:themeColor="text1"/>
        </w:rPr>
        <w:t>, 201</w:t>
      </w:r>
      <w:r>
        <w:rPr>
          <w:rFonts w:hint="eastAsia"/>
          <w:color w:val="000000" w:themeColor="text1"/>
          <w:lang w:eastAsia="ja-JP"/>
        </w:rPr>
        <w:t>4</w:t>
      </w:r>
    </w:p>
  </w:footnote>
  <w:footnote w:id="3">
    <w:p w:rsidR="002941C6" w:rsidRPr="00866BB0" w:rsidRDefault="002941C6" w:rsidP="002941C6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 w:rsidR="00A634DE">
        <w:rPr>
          <w:color w:val="000000" w:themeColor="text1"/>
          <w:lang w:eastAsia="ja-JP"/>
        </w:rPr>
        <w:t>s</w:t>
      </w:r>
      <w:r>
        <w:rPr>
          <w:color w:val="000000" w:themeColor="text1"/>
        </w:rPr>
        <w:t>ee document TWC/3</w:t>
      </w:r>
      <w:r>
        <w:rPr>
          <w:rFonts w:hint="eastAsia"/>
          <w:color w:val="000000" w:themeColor="text1"/>
          <w:lang w:eastAsia="ja-JP"/>
        </w:rPr>
        <w:t>2</w:t>
      </w:r>
      <w:r w:rsidRPr="00DB392D">
        <w:rPr>
          <w:color w:val="000000" w:themeColor="text1"/>
        </w:rPr>
        <w:t>/</w:t>
      </w:r>
      <w:r>
        <w:rPr>
          <w:rFonts w:hint="eastAsia"/>
          <w:color w:val="000000" w:themeColor="text1"/>
          <w:lang w:eastAsia="ja-JP"/>
        </w:rPr>
        <w:t>28</w:t>
      </w:r>
      <w:r w:rsidRPr="00DB392D">
        <w:rPr>
          <w:color w:val="000000" w:themeColor="text1"/>
        </w:rPr>
        <w:t xml:space="preserve"> “Report”, paragraph </w:t>
      </w:r>
      <w:r>
        <w:rPr>
          <w:rFonts w:hint="eastAsia"/>
          <w:color w:val="000000" w:themeColor="text1"/>
          <w:lang w:eastAsia="ja-JP"/>
        </w:rPr>
        <w:t>87</w:t>
      </w:r>
    </w:p>
  </w:footnote>
  <w:footnote w:id="4">
    <w:p w:rsidR="002941C6" w:rsidRPr="00866BB0" w:rsidRDefault="002941C6" w:rsidP="002941C6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 w:rsidR="00A634DE">
        <w:rPr>
          <w:rFonts w:eastAsia="MS Mincho"/>
          <w:color w:val="000000" w:themeColor="text1"/>
          <w:lang w:eastAsia="ja-JP"/>
        </w:rPr>
        <w:t>h</w:t>
      </w:r>
      <w:r>
        <w:rPr>
          <w:rFonts w:eastAsia="MS Mincho"/>
          <w:color w:val="000000" w:themeColor="text1"/>
        </w:rPr>
        <w:t xml:space="preserve">eld in Geneva, from </w:t>
      </w:r>
      <w:r>
        <w:rPr>
          <w:rFonts w:eastAsia="MS Mincho" w:hint="eastAsia"/>
          <w:color w:val="000000" w:themeColor="text1"/>
          <w:lang w:eastAsia="ja-JP"/>
        </w:rPr>
        <w:t>March</w:t>
      </w:r>
      <w:r w:rsidRPr="00DB392D">
        <w:rPr>
          <w:rFonts w:eastAsia="MS Mincho"/>
          <w:color w:val="000000" w:themeColor="text1"/>
        </w:rPr>
        <w:t xml:space="preserve"> </w:t>
      </w:r>
      <w:r>
        <w:rPr>
          <w:rFonts w:eastAsia="MS Mincho" w:hint="eastAsia"/>
          <w:color w:val="000000" w:themeColor="text1"/>
          <w:lang w:eastAsia="ja-JP"/>
        </w:rPr>
        <w:t>23</w:t>
      </w:r>
      <w:r w:rsidRPr="00DB392D">
        <w:rPr>
          <w:rFonts w:eastAsia="MS Mincho"/>
          <w:color w:val="000000" w:themeColor="text1"/>
        </w:rPr>
        <w:t xml:space="preserve"> to </w:t>
      </w:r>
      <w:r>
        <w:rPr>
          <w:rFonts w:eastAsia="MS Mincho" w:hint="eastAsia"/>
          <w:color w:val="000000" w:themeColor="text1"/>
          <w:lang w:eastAsia="ja-JP"/>
        </w:rPr>
        <w:t>25</w:t>
      </w:r>
      <w:r w:rsidRPr="00DB392D">
        <w:rPr>
          <w:rFonts w:eastAsia="MS Mincho"/>
          <w:color w:val="000000" w:themeColor="text1"/>
        </w:rPr>
        <w:t>, 201</w:t>
      </w:r>
      <w:r>
        <w:rPr>
          <w:rFonts w:eastAsia="MS Mincho" w:hint="eastAsia"/>
          <w:color w:val="000000" w:themeColor="text1"/>
          <w:lang w:eastAsia="ja-JP"/>
        </w:rPr>
        <w:t>5</w:t>
      </w:r>
    </w:p>
  </w:footnote>
  <w:footnote w:id="5">
    <w:p w:rsidR="0061529B" w:rsidRDefault="0061529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="00A634DE">
        <w:rPr>
          <w:rFonts w:hint="eastAsia"/>
          <w:lang w:eastAsia="ja-JP"/>
        </w:rPr>
        <w:t xml:space="preserve"> </w:t>
      </w:r>
      <w:r w:rsidR="00A634DE">
        <w:rPr>
          <w:rFonts w:hint="eastAsia"/>
          <w:lang w:eastAsia="ja-JP"/>
        </w:rPr>
        <w:tab/>
      </w:r>
      <w:r w:rsidR="00A634DE">
        <w:rPr>
          <w:lang w:eastAsia="ja-JP"/>
        </w:rPr>
        <w:t>h</w:t>
      </w:r>
      <w:r>
        <w:rPr>
          <w:rFonts w:hint="eastAsia"/>
          <w:lang w:eastAsia="ja-JP"/>
        </w:rPr>
        <w:t>el</w:t>
      </w:r>
      <w:r w:rsidR="002941C6">
        <w:rPr>
          <w:rFonts w:hint="eastAsia"/>
          <w:lang w:eastAsia="ja-JP"/>
        </w:rPr>
        <w:t>d in Geneva, on March 26</w:t>
      </w:r>
      <w:r>
        <w:rPr>
          <w:rFonts w:hint="eastAsia"/>
          <w:lang w:eastAsia="ja-JP"/>
        </w:rPr>
        <w:t>, 2015</w:t>
      </w:r>
    </w:p>
  </w:footnote>
  <w:footnote w:id="6">
    <w:p w:rsidR="0061529B" w:rsidRDefault="0061529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="00A634DE">
        <w:rPr>
          <w:rFonts w:hint="eastAsia"/>
          <w:lang w:eastAsia="ja-JP"/>
        </w:rPr>
        <w:tab/>
      </w:r>
      <w:r w:rsidR="00A634DE">
        <w:rPr>
          <w:lang w:eastAsia="ja-JP"/>
        </w:rPr>
        <w:t>s</w:t>
      </w:r>
      <w:r>
        <w:rPr>
          <w:rFonts w:hint="eastAsia"/>
          <w:lang w:eastAsia="ja-JP"/>
        </w:rPr>
        <w:t>ee document</w:t>
      </w:r>
      <w:r w:rsidR="002941C6">
        <w:rPr>
          <w:rFonts w:hint="eastAsia"/>
          <w:lang w:eastAsia="ja-JP"/>
        </w:rPr>
        <w:t>s</w:t>
      </w:r>
      <w:r>
        <w:rPr>
          <w:rFonts w:hint="eastAsia"/>
          <w:lang w:eastAsia="ja-JP"/>
        </w:rPr>
        <w:t xml:space="preserve"> </w:t>
      </w:r>
      <w:r w:rsidR="002941C6">
        <w:rPr>
          <w:rFonts w:hint="eastAsia"/>
          <w:lang w:eastAsia="ja-JP"/>
        </w:rPr>
        <w:t xml:space="preserve">TC/51/39 </w:t>
      </w:r>
      <w:r w:rsidR="002941C6">
        <w:rPr>
          <w:lang w:eastAsia="ja-JP"/>
        </w:rPr>
        <w:t>“</w:t>
      </w:r>
      <w:r w:rsidR="002941C6">
        <w:rPr>
          <w:rFonts w:hint="eastAsia"/>
          <w:lang w:eastAsia="ja-JP"/>
        </w:rPr>
        <w:t>Report</w:t>
      </w:r>
      <w:r w:rsidR="002941C6">
        <w:rPr>
          <w:lang w:eastAsia="ja-JP"/>
        </w:rPr>
        <w:t>”</w:t>
      </w:r>
      <w:r w:rsidR="002941C6">
        <w:rPr>
          <w:rFonts w:hint="eastAsia"/>
          <w:lang w:eastAsia="ja-JP"/>
        </w:rPr>
        <w:t xml:space="preserve">, paragraph 205 and </w:t>
      </w:r>
      <w:r w:rsidR="009F3A79">
        <w:rPr>
          <w:rFonts w:hint="eastAsia"/>
          <w:lang w:eastAsia="ja-JP"/>
        </w:rPr>
        <w:t>CAJ/71/</w:t>
      </w:r>
      <w:r w:rsidR="009F3A79" w:rsidRPr="00BE22F3">
        <w:rPr>
          <w:lang w:eastAsia="ja-JP"/>
        </w:rPr>
        <w:t xml:space="preserve">10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Report</w:t>
      </w:r>
      <w:r w:rsidR="002941C6">
        <w:rPr>
          <w:rFonts w:hint="eastAsia"/>
          <w:lang w:eastAsia="ja-JP"/>
        </w:rPr>
        <w:t xml:space="preserve"> on the Conclusions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, paragraph </w:t>
      </w:r>
      <w:r w:rsidR="002941C6">
        <w:rPr>
          <w:rFonts w:hint="eastAsia"/>
          <w:lang w:eastAsia="ja-JP"/>
        </w:rPr>
        <w:t>57</w:t>
      </w:r>
    </w:p>
  </w:footnote>
  <w:footnote w:id="7">
    <w:p w:rsidR="0061529B" w:rsidRDefault="0061529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 w:rsidR="00A634DE">
        <w:rPr>
          <w:lang w:eastAsia="ja-JP"/>
        </w:rPr>
        <w:t>h</w:t>
      </w:r>
      <w:r>
        <w:rPr>
          <w:rFonts w:hint="eastAsia"/>
          <w:lang w:eastAsia="ja-JP"/>
        </w:rPr>
        <w:t>eld in Natal, Brazil, from June 30 to July 3, 2015</w:t>
      </w:r>
    </w:p>
  </w:footnote>
  <w:footnote w:id="8">
    <w:p w:rsidR="0061529B" w:rsidRDefault="0061529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="00A634DE">
        <w:rPr>
          <w:rFonts w:hint="eastAsia"/>
          <w:lang w:eastAsia="ja-JP"/>
        </w:rPr>
        <w:tab/>
      </w:r>
      <w:r w:rsidR="00A634DE">
        <w:rPr>
          <w:lang w:eastAsia="ja-JP"/>
        </w:rPr>
        <w:t>s</w:t>
      </w:r>
      <w:r>
        <w:rPr>
          <w:rFonts w:hint="eastAsia"/>
          <w:lang w:eastAsia="ja-JP"/>
        </w:rPr>
        <w:t xml:space="preserve">ee document TWC/33/30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Report</w:t>
      </w:r>
      <w:r>
        <w:rPr>
          <w:lang w:eastAsia="ja-JP"/>
        </w:rPr>
        <w:t>”</w:t>
      </w:r>
      <w:r>
        <w:rPr>
          <w:rFonts w:hint="eastAsia"/>
          <w:lang w:eastAsia="ja-JP"/>
        </w:rPr>
        <w:t>, paragraph 98</w:t>
      </w:r>
    </w:p>
  </w:footnote>
  <w:footnote w:id="9">
    <w:p w:rsidR="0061529B" w:rsidRDefault="0061529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="00A634DE">
        <w:rPr>
          <w:rFonts w:hint="eastAsia"/>
          <w:lang w:eastAsia="ja-JP"/>
        </w:rPr>
        <w:tab/>
      </w:r>
      <w:r w:rsidR="00A634DE">
        <w:rPr>
          <w:lang w:eastAsia="ja-JP"/>
        </w:rPr>
        <w:t>t</w:t>
      </w:r>
      <w:r>
        <w:rPr>
          <w:rFonts w:hint="eastAsia"/>
          <w:lang w:eastAsia="ja-JP"/>
        </w:rPr>
        <w:t>o be held in Geneva, from March 14 to 16,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529" w:rsidRPr="00C5280D" w:rsidRDefault="00190529" w:rsidP="00EB048E">
    <w:pPr>
      <w:pStyle w:val="Header"/>
      <w:rPr>
        <w:rStyle w:val="PageNumber"/>
        <w:lang w:val="en-US"/>
      </w:rPr>
    </w:pPr>
    <w:r>
      <w:rPr>
        <w:lang w:eastAsia="ja-JP"/>
      </w:rPr>
      <w:t>CAJ/7</w:t>
    </w:r>
    <w:r w:rsidR="0061529B">
      <w:rPr>
        <w:rFonts w:hint="eastAsia"/>
        <w:lang w:eastAsia="ja-JP"/>
      </w:rPr>
      <w:t>2</w:t>
    </w:r>
    <w:r>
      <w:rPr>
        <w:lang w:eastAsia="ja-JP"/>
      </w:rPr>
      <w:t>/</w:t>
    </w:r>
    <w:r w:rsidR="0061529B">
      <w:rPr>
        <w:rFonts w:hint="eastAsia"/>
        <w:lang w:eastAsia="ja-JP"/>
      </w:rPr>
      <w:t>7</w:t>
    </w:r>
  </w:p>
  <w:p w:rsidR="00190529" w:rsidRPr="00C5280D" w:rsidRDefault="0019052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E75C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90529" w:rsidRPr="00C5280D" w:rsidRDefault="0019052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01327E6F"/>
    <w:multiLevelType w:val="hybridMultilevel"/>
    <w:tmpl w:val="2EAE3A94"/>
    <w:lvl w:ilvl="0" w:tplc="1F58D342">
      <w:start w:val="1"/>
      <w:numFmt w:val="lowerLetter"/>
      <w:lvlText w:val="(%1)"/>
      <w:lvlJc w:val="left"/>
      <w:pPr>
        <w:ind w:left="6408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3" w:hanging="360"/>
      </w:pPr>
    </w:lvl>
    <w:lvl w:ilvl="2" w:tplc="0409001B" w:tentative="1">
      <w:start w:val="1"/>
      <w:numFmt w:val="lowerRoman"/>
      <w:lvlText w:val="%3."/>
      <w:lvlJc w:val="right"/>
      <w:pPr>
        <w:ind w:left="7473" w:hanging="180"/>
      </w:pPr>
    </w:lvl>
    <w:lvl w:ilvl="3" w:tplc="0409000F" w:tentative="1">
      <w:start w:val="1"/>
      <w:numFmt w:val="decimal"/>
      <w:lvlText w:val="%4."/>
      <w:lvlJc w:val="left"/>
      <w:pPr>
        <w:ind w:left="8193" w:hanging="360"/>
      </w:pPr>
    </w:lvl>
    <w:lvl w:ilvl="4" w:tplc="04090019" w:tentative="1">
      <w:start w:val="1"/>
      <w:numFmt w:val="lowerLetter"/>
      <w:lvlText w:val="%5."/>
      <w:lvlJc w:val="left"/>
      <w:pPr>
        <w:ind w:left="8913" w:hanging="360"/>
      </w:pPr>
    </w:lvl>
    <w:lvl w:ilvl="5" w:tplc="0409001B" w:tentative="1">
      <w:start w:val="1"/>
      <w:numFmt w:val="lowerRoman"/>
      <w:lvlText w:val="%6."/>
      <w:lvlJc w:val="right"/>
      <w:pPr>
        <w:ind w:left="9633" w:hanging="180"/>
      </w:pPr>
    </w:lvl>
    <w:lvl w:ilvl="6" w:tplc="0409000F" w:tentative="1">
      <w:start w:val="1"/>
      <w:numFmt w:val="decimal"/>
      <w:lvlText w:val="%7."/>
      <w:lvlJc w:val="left"/>
      <w:pPr>
        <w:ind w:left="10353" w:hanging="360"/>
      </w:pPr>
    </w:lvl>
    <w:lvl w:ilvl="7" w:tplc="04090019" w:tentative="1">
      <w:start w:val="1"/>
      <w:numFmt w:val="lowerLetter"/>
      <w:lvlText w:val="%8."/>
      <w:lvlJc w:val="left"/>
      <w:pPr>
        <w:ind w:left="11073" w:hanging="360"/>
      </w:pPr>
    </w:lvl>
    <w:lvl w:ilvl="8" w:tplc="0409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2">
    <w:nsid w:val="0C252990"/>
    <w:multiLevelType w:val="hybridMultilevel"/>
    <w:tmpl w:val="DBF2866A"/>
    <w:lvl w:ilvl="0" w:tplc="1E1C70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6714"/>
    <w:multiLevelType w:val="hybridMultilevel"/>
    <w:tmpl w:val="3684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7F7"/>
    <w:multiLevelType w:val="hybridMultilevel"/>
    <w:tmpl w:val="441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62A1"/>
    <w:multiLevelType w:val="hybridMultilevel"/>
    <w:tmpl w:val="BC081564"/>
    <w:lvl w:ilvl="0" w:tplc="515A642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239849EB"/>
    <w:multiLevelType w:val="multilevel"/>
    <w:tmpl w:val="EEEC8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0628EE"/>
    <w:multiLevelType w:val="hybridMultilevel"/>
    <w:tmpl w:val="BEF2C804"/>
    <w:lvl w:ilvl="0" w:tplc="4E069EA6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9">
    <w:nsid w:val="2547533E"/>
    <w:multiLevelType w:val="hybridMultilevel"/>
    <w:tmpl w:val="DC425766"/>
    <w:lvl w:ilvl="0" w:tplc="DF94D9D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BE75AB8"/>
    <w:multiLevelType w:val="hybridMultilevel"/>
    <w:tmpl w:val="72965E0A"/>
    <w:lvl w:ilvl="0" w:tplc="21122D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E9C25A2"/>
    <w:multiLevelType w:val="hybridMultilevel"/>
    <w:tmpl w:val="AC6E8F46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42B673CF"/>
    <w:multiLevelType w:val="multilevel"/>
    <w:tmpl w:val="5D0AE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4">
    <w:nsid w:val="473D2048"/>
    <w:multiLevelType w:val="hybridMultilevel"/>
    <w:tmpl w:val="F502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E140C"/>
    <w:multiLevelType w:val="hybridMultilevel"/>
    <w:tmpl w:val="F27AFD46"/>
    <w:lvl w:ilvl="0" w:tplc="15888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97726"/>
    <w:multiLevelType w:val="hybridMultilevel"/>
    <w:tmpl w:val="D44638F4"/>
    <w:lvl w:ilvl="0" w:tplc="4EF0AE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155E5"/>
    <w:multiLevelType w:val="hybridMultilevel"/>
    <w:tmpl w:val="E2E27922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734625C5"/>
    <w:multiLevelType w:val="hybridMultilevel"/>
    <w:tmpl w:val="B4D28088"/>
    <w:lvl w:ilvl="0" w:tplc="C24C710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79881778"/>
    <w:multiLevelType w:val="hybridMultilevel"/>
    <w:tmpl w:val="E7E6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7"/>
  </w:num>
  <w:num w:numId="5">
    <w:abstractNumId w:val="9"/>
  </w:num>
  <w:num w:numId="6">
    <w:abstractNumId w:val="1"/>
  </w:num>
  <w:num w:numId="7">
    <w:abstractNumId w:val="20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15"/>
  </w:num>
  <w:num w:numId="18">
    <w:abstractNumId w:val="7"/>
  </w:num>
  <w:num w:numId="19">
    <w:abstractNumId w:val="12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2C"/>
    <w:rsid w:val="00005232"/>
    <w:rsid w:val="00010CF3"/>
    <w:rsid w:val="00011E27"/>
    <w:rsid w:val="000148BC"/>
    <w:rsid w:val="0002272C"/>
    <w:rsid w:val="00024AB8"/>
    <w:rsid w:val="00030854"/>
    <w:rsid w:val="00031850"/>
    <w:rsid w:val="000337F7"/>
    <w:rsid w:val="00034BA7"/>
    <w:rsid w:val="00036028"/>
    <w:rsid w:val="000366A7"/>
    <w:rsid w:val="00041DF3"/>
    <w:rsid w:val="00042407"/>
    <w:rsid w:val="00043EDF"/>
    <w:rsid w:val="00044642"/>
    <w:rsid w:val="000446B9"/>
    <w:rsid w:val="00047E21"/>
    <w:rsid w:val="00050761"/>
    <w:rsid w:val="00050E16"/>
    <w:rsid w:val="00052B3A"/>
    <w:rsid w:val="00055601"/>
    <w:rsid w:val="000652B5"/>
    <w:rsid w:val="00067E84"/>
    <w:rsid w:val="000700B9"/>
    <w:rsid w:val="00073958"/>
    <w:rsid w:val="0007433E"/>
    <w:rsid w:val="00074715"/>
    <w:rsid w:val="00082E62"/>
    <w:rsid w:val="00084107"/>
    <w:rsid w:val="00085505"/>
    <w:rsid w:val="000A3236"/>
    <w:rsid w:val="000C67D8"/>
    <w:rsid w:val="000C7021"/>
    <w:rsid w:val="000D6BBC"/>
    <w:rsid w:val="000D7780"/>
    <w:rsid w:val="000D7AC1"/>
    <w:rsid w:val="000F2F11"/>
    <w:rsid w:val="000F46B1"/>
    <w:rsid w:val="0010345B"/>
    <w:rsid w:val="00105929"/>
    <w:rsid w:val="001131D5"/>
    <w:rsid w:val="001250BB"/>
    <w:rsid w:val="00141DB8"/>
    <w:rsid w:val="00162F2E"/>
    <w:rsid w:val="001635D0"/>
    <w:rsid w:val="0016448F"/>
    <w:rsid w:val="00170DAE"/>
    <w:rsid w:val="0017474A"/>
    <w:rsid w:val="001758C6"/>
    <w:rsid w:val="00176CB7"/>
    <w:rsid w:val="00182090"/>
    <w:rsid w:val="00182B99"/>
    <w:rsid w:val="00190529"/>
    <w:rsid w:val="00190732"/>
    <w:rsid w:val="001A6B50"/>
    <w:rsid w:val="001B135C"/>
    <w:rsid w:val="001B1A8A"/>
    <w:rsid w:val="001B67A4"/>
    <w:rsid w:val="001B7B7A"/>
    <w:rsid w:val="001C7836"/>
    <w:rsid w:val="001C799D"/>
    <w:rsid w:val="001E3E24"/>
    <w:rsid w:val="001E6080"/>
    <w:rsid w:val="001E7913"/>
    <w:rsid w:val="001F078E"/>
    <w:rsid w:val="001F2D02"/>
    <w:rsid w:val="001F7513"/>
    <w:rsid w:val="002012C8"/>
    <w:rsid w:val="002021CF"/>
    <w:rsid w:val="0021332C"/>
    <w:rsid w:val="00213982"/>
    <w:rsid w:val="00220CE5"/>
    <w:rsid w:val="002242BB"/>
    <w:rsid w:val="00226278"/>
    <w:rsid w:val="002301C3"/>
    <w:rsid w:val="00237B4C"/>
    <w:rsid w:val="00243A38"/>
    <w:rsid w:val="0024416D"/>
    <w:rsid w:val="002549D8"/>
    <w:rsid w:val="00256290"/>
    <w:rsid w:val="00256CF8"/>
    <w:rsid w:val="00257AD4"/>
    <w:rsid w:val="002602E7"/>
    <w:rsid w:val="00271911"/>
    <w:rsid w:val="00272C1C"/>
    <w:rsid w:val="00275968"/>
    <w:rsid w:val="002800A0"/>
    <w:rsid w:val="002801B3"/>
    <w:rsid w:val="00281060"/>
    <w:rsid w:val="00284BE3"/>
    <w:rsid w:val="002940E8"/>
    <w:rsid w:val="002941C6"/>
    <w:rsid w:val="002955CC"/>
    <w:rsid w:val="00295C18"/>
    <w:rsid w:val="002A1858"/>
    <w:rsid w:val="002A6E50"/>
    <w:rsid w:val="002B1252"/>
    <w:rsid w:val="002B485F"/>
    <w:rsid w:val="002C256A"/>
    <w:rsid w:val="002C2A73"/>
    <w:rsid w:val="002C42DB"/>
    <w:rsid w:val="002C4757"/>
    <w:rsid w:val="002F2BB8"/>
    <w:rsid w:val="00304B3B"/>
    <w:rsid w:val="00305A7F"/>
    <w:rsid w:val="00311589"/>
    <w:rsid w:val="0031227F"/>
    <w:rsid w:val="003152FE"/>
    <w:rsid w:val="00327436"/>
    <w:rsid w:val="00334A02"/>
    <w:rsid w:val="0033729B"/>
    <w:rsid w:val="00344BD6"/>
    <w:rsid w:val="003453C8"/>
    <w:rsid w:val="003500A0"/>
    <w:rsid w:val="0035528D"/>
    <w:rsid w:val="00361077"/>
    <w:rsid w:val="00361821"/>
    <w:rsid w:val="00362D8F"/>
    <w:rsid w:val="003656A0"/>
    <w:rsid w:val="00371A01"/>
    <w:rsid w:val="0037703A"/>
    <w:rsid w:val="00383029"/>
    <w:rsid w:val="00392E6B"/>
    <w:rsid w:val="0039765C"/>
    <w:rsid w:val="003A4754"/>
    <w:rsid w:val="003B0D4B"/>
    <w:rsid w:val="003B3A1B"/>
    <w:rsid w:val="003C2EE5"/>
    <w:rsid w:val="003D227C"/>
    <w:rsid w:val="003D2B4D"/>
    <w:rsid w:val="003D5119"/>
    <w:rsid w:val="003E70DA"/>
    <w:rsid w:val="003E75C5"/>
    <w:rsid w:val="003E7C7A"/>
    <w:rsid w:val="003F1D01"/>
    <w:rsid w:val="003F28C1"/>
    <w:rsid w:val="003F2AF5"/>
    <w:rsid w:val="004046E7"/>
    <w:rsid w:val="00420300"/>
    <w:rsid w:val="004241A9"/>
    <w:rsid w:val="00425CA4"/>
    <w:rsid w:val="00426DE8"/>
    <w:rsid w:val="00432C0F"/>
    <w:rsid w:val="004438B4"/>
    <w:rsid w:val="00444A88"/>
    <w:rsid w:val="00462D88"/>
    <w:rsid w:val="00467A5E"/>
    <w:rsid w:val="00472F53"/>
    <w:rsid w:val="00473CCA"/>
    <w:rsid w:val="00474DA4"/>
    <w:rsid w:val="00476B4D"/>
    <w:rsid w:val="004805FA"/>
    <w:rsid w:val="004822AA"/>
    <w:rsid w:val="00491EE2"/>
    <w:rsid w:val="004B04F6"/>
    <w:rsid w:val="004B7A17"/>
    <w:rsid w:val="004C09B2"/>
    <w:rsid w:val="004D047D"/>
    <w:rsid w:val="004D4442"/>
    <w:rsid w:val="004D54D1"/>
    <w:rsid w:val="004E1977"/>
    <w:rsid w:val="004F305A"/>
    <w:rsid w:val="004F4AB4"/>
    <w:rsid w:val="00501EDA"/>
    <w:rsid w:val="00512164"/>
    <w:rsid w:val="00520297"/>
    <w:rsid w:val="00520577"/>
    <w:rsid w:val="005332DD"/>
    <w:rsid w:val="005338F9"/>
    <w:rsid w:val="0054281C"/>
    <w:rsid w:val="00551D0A"/>
    <w:rsid w:val="0055268D"/>
    <w:rsid w:val="00566132"/>
    <w:rsid w:val="00567A9C"/>
    <w:rsid w:val="00574550"/>
    <w:rsid w:val="00576BE4"/>
    <w:rsid w:val="005A400A"/>
    <w:rsid w:val="005B1788"/>
    <w:rsid w:val="005D08A5"/>
    <w:rsid w:val="005D274A"/>
    <w:rsid w:val="005D360B"/>
    <w:rsid w:val="005E4A9B"/>
    <w:rsid w:val="005F358E"/>
    <w:rsid w:val="00607B02"/>
    <w:rsid w:val="00612379"/>
    <w:rsid w:val="00614170"/>
    <w:rsid w:val="0061529B"/>
    <w:rsid w:val="0061555F"/>
    <w:rsid w:val="006161C2"/>
    <w:rsid w:val="00621050"/>
    <w:rsid w:val="00622AB9"/>
    <w:rsid w:val="00622E92"/>
    <w:rsid w:val="00630931"/>
    <w:rsid w:val="00630FF8"/>
    <w:rsid w:val="00635FD0"/>
    <w:rsid w:val="00640020"/>
    <w:rsid w:val="00641200"/>
    <w:rsid w:val="00641D6D"/>
    <w:rsid w:val="006645CD"/>
    <w:rsid w:val="006655D3"/>
    <w:rsid w:val="00667404"/>
    <w:rsid w:val="00667BE2"/>
    <w:rsid w:val="006716FC"/>
    <w:rsid w:val="00672912"/>
    <w:rsid w:val="00675000"/>
    <w:rsid w:val="00675657"/>
    <w:rsid w:val="00681E7A"/>
    <w:rsid w:val="00687EB4"/>
    <w:rsid w:val="006944A7"/>
    <w:rsid w:val="006973DD"/>
    <w:rsid w:val="006977C9"/>
    <w:rsid w:val="006B17D2"/>
    <w:rsid w:val="006B43B1"/>
    <w:rsid w:val="006C224E"/>
    <w:rsid w:val="006D3965"/>
    <w:rsid w:val="006D6EBC"/>
    <w:rsid w:val="006D780A"/>
    <w:rsid w:val="006E4599"/>
    <w:rsid w:val="006F639C"/>
    <w:rsid w:val="007025E4"/>
    <w:rsid w:val="00706943"/>
    <w:rsid w:val="00711565"/>
    <w:rsid w:val="00714D2E"/>
    <w:rsid w:val="007217A5"/>
    <w:rsid w:val="00730EFE"/>
    <w:rsid w:val="00732DEC"/>
    <w:rsid w:val="00735BD5"/>
    <w:rsid w:val="00750444"/>
    <w:rsid w:val="007556F6"/>
    <w:rsid w:val="007573C8"/>
    <w:rsid w:val="00760EEF"/>
    <w:rsid w:val="00763200"/>
    <w:rsid w:val="00763B8C"/>
    <w:rsid w:val="00777B77"/>
    <w:rsid w:val="00777EE5"/>
    <w:rsid w:val="00784836"/>
    <w:rsid w:val="0079023E"/>
    <w:rsid w:val="0079492B"/>
    <w:rsid w:val="007A2854"/>
    <w:rsid w:val="007A5F5C"/>
    <w:rsid w:val="007B1FF6"/>
    <w:rsid w:val="007C69BC"/>
    <w:rsid w:val="007D0B9D"/>
    <w:rsid w:val="007D19B0"/>
    <w:rsid w:val="007D2FAE"/>
    <w:rsid w:val="007D43BB"/>
    <w:rsid w:val="007E4F44"/>
    <w:rsid w:val="007F051A"/>
    <w:rsid w:val="007F498F"/>
    <w:rsid w:val="0080241B"/>
    <w:rsid w:val="0080679D"/>
    <w:rsid w:val="008108B0"/>
    <w:rsid w:val="00810A16"/>
    <w:rsid w:val="00811B20"/>
    <w:rsid w:val="0082296E"/>
    <w:rsid w:val="00824099"/>
    <w:rsid w:val="00831C0C"/>
    <w:rsid w:val="00846A95"/>
    <w:rsid w:val="00852964"/>
    <w:rsid w:val="0085736A"/>
    <w:rsid w:val="00861F61"/>
    <w:rsid w:val="00867AC1"/>
    <w:rsid w:val="00873E8F"/>
    <w:rsid w:val="008A5FF4"/>
    <w:rsid w:val="008A743F"/>
    <w:rsid w:val="008B5736"/>
    <w:rsid w:val="008C0970"/>
    <w:rsid w:val="008C2159"/>
    <w:rsid w:val="008C35F9"/>
    <w:rsid w:val="008C707F"/>
    <w:rsid w:val="008D2902"/>
    <w:rsid w:val="008D2CF7"/>
    <w:rsid w:val="008D40BE"/>
    <w:rsid w:val="00900C26"/>
    <w:rsid w:val="0090197F"/>
    <w:rsid w:val="00906DDC"/>
    <w:rsid w:val="00934708"/>
    <w:rsid w:val="00934E09"/>
    <w:rsid w:val="009353D3"/>
    <w:rsid w:val="00936253"/>
    <w:rsid w:val="00952DD4"/>
    <w:rsid w:val="0096084D"/>
    <w:rsid w:val="00962F67"/>
    <w:rsid w:val="00967215"/>
    <w:rsid w:val="00970FED"/>
    <w:rsid w:val="0097523A"/>
    <w:rsid w:val="0097711C"/>
    <w:rsid w:val="00992D82"/>
    <w:rsid w:val="00997029"/>
    <w:rsid w:val="009A71AB"/>
    <w:rsid w:val="009C667A"/>
    <w:rsid w:val="009D0EE7"/>
    <w:rsid w:val="009D690D"/>
    <w:rsid w:val="009E65B6"/>
    <w:rsid w:val="009F28C2"/>
    <w:rsid w:val="009F3A79"/>
    <w:rsid w:val="00A23ED1"/>
    <w:rsid w:val="00A24C10"/>
    <w:rsid w:val="00A26403"/>
    <w:rsid w:val="00A42AC3"/>
    <w:rsid w:val="00A43054"/>
    <w:rsid w:val="00A430CF"/>
    <w:rsid w:val="00A45FAD"/>
    <w:rsid w:val="00A52A4E"/>
    <w:rsid w:val="00A54309"/>
    <w:rsid w:val="00A56756"/>
    <w:rsid w:val="00A634DE"/>
    <w:rsid w:val="00A716A5"/>
    <w:rsid w:val="00A83EC7"/>
    <w:rsid w:val="00A90284"/>
    <w:rsid w:val="00A952BF"/>
    <w:rsid w:val="00AA2373"/>
    <w:rsid w:val="00AB2B93"/>
    <w:rsid w:val="00AB474A"/>
    <w:rsid w:val="00AB530F"/>
    <w:rsid w:val="00AB7E5B"/>
    <w:rsid w:val="00AD08F5"/>
    <w:rsid w:val="00AD64D4"/>
    <w:rsid w:val="00AE0628"/>
    <w:rsid w:val="00AE0EF1"/>
    <w:rsid w:val="00AE2937"/>
    <w:rsid w:val="00AE356E"/>
    <w:rsid w:val="00AE3E8A"/>
    <w:rsid w:val="00B07301"/>
    <w:rsid w:val="00B10E5D"/>
    <w:rsid w:val="00B2228E"/>
    <w:rsid w:val="00B224DE"/>
    <w:rsid w:val="00B266AB"/>
    <w:rsid w:val="00B27E20"/>
    <w:rsid w:val="00B42348"/>
    <w:rsid w:val="00B46575"/>
    <w:rsid w:val="00B5154D"/>
    <w:rsid w:val="00B52983"/>
    <w:rsid w:val="00B711CA"/>
    <w:rsid w:val="00B720CD"/>
    <w:rsid w:val="00B80D92"/>
    <w:rsid w:val="00B84BBD"/>
    <w:rsid w:val="00BA43FB"/>
    <w:rsid w:val="00BC127D"/>
    <w:rsid w:val="00BC1FE6"/>
    <w:rsid w:val="00BE1CC1"/>
    <w:rsid w:val="00BE22F3"/>
    <w:rsid w:val="00BF06D3"/>
    <w:rsid w:val="00C023E5"/>
    <w:rsid w:val="00C061B6"/>
    <w:rsid w:val="00C115FF"/>
    <w:rsid w:val="00C17332"/>
    <w:rsid w:val="00C2446C"/>
    <w:rsid w:val="00C248DB"/>
    <w:rsid w:val="00C304B9"/>
    <w:rsid w:val="00C30AB8"/>
    <w:rsid w:val="00C36AE5"/>
    <w:rsid w:val="00C41F17"/>
    <w:rsid w:val="00C42725"/>
    <w:rsid w:val="00C43C70"/>
    <w:rsid w:val="00C527D7"/>
    <w:rsid w:val="00C5280D"/>
    <w:rsid w:val="00C56A44"/>
    <w:rsid w:val="00C5791C"/>
    <w:rsid w:val="00C618A0"/>
    <w:rsid w:val="00C62992"/>
    <w:rsid w:val="00C64DAC"/>
    <w:rsid w:val="00C66290"/>
    <w:rsid w:val="00C72B7A"/>
    <w:rsid w:val="00C83257"/>
    <w:rsid w:val="00C92073"/>
    <w:rsid w:val="00C954CB"/>
    <w:rsid w:val="00C973F2"/>
    <w:rsid w:val="00CA304C"/>
    <w:rsid w:val="00CA774A"/>
    <w:rsid w:val="00CB6D37"/>
    <w:rsid w:val="00CC11B0"/>
    <w:rsid w:val="00CD28CF"/>
    <w:rsid w:val="00CF5CD9"/>
    <w:rsid w:val="00CF7E36"/>
    <w:rsid w:val="00D021ED"/>
    <w:rsid w:val="00D0757C"/>
    <w:rsid w:val="00D11DE7"/>
    <w:rsid w:val="00D14D7E"/>
    <w:rsid w:val="00D221F0"/>
    <w:rsid w:val="00D3708D"/>
    <w:rsid w:val="00D40426"/>
    <w:rsid w:val="00D44C21"/>
    <w:rsid w:val="00D550BE"/>
    <w:rsid w:val="00D57C96"/>
    <w:rsid w:val="00D63068"/>
    <w:rsid w:val="00D70C86"/>
    <w:rsid w:val="00D73274"/>
    <w:rsid w:val="00D85628"/>
    <w:rsid w:val="00D91203"/>
    <w:rsid w:val="00D924D3"/>
    <w:rsid w:val="00D95174"/>
    <w:rsid w:val="00DA367F"/>
    <w:rsid w:val="00DA575E"/>
    <w:rsid w:val="00DA6F36"/>
    <w:rsid w:val="00DA760B"/>
    <w:rsid w:val="00DB596E"/>
    <w:rsid w:val="00DB5CF7"/>
    <w:rsid w:val="00DB7361"/>
    <w:rsid w:val="00DB7773"/>
    <w:rsid w:val="00DC00EA"/>
    <w:rsid w:val="00DC2424"/>
    <w:rsid w:val="00DC3567"/>
    <w:rsid w:val="00DC4F9F"/>
    <w:rsid w:val="00DE54DC"/>
    <w:rsid w:val="00E21725"/>
    <w:rsid w:val="00E25DFD"/>
    <w:rsid w:val="00E27CB0"/>
    <w:rsid w:val="00E32F7E"/>
    <w:rsid w:val="00E33D30"/>
    <w:rsid w:val="00E364F5"/>
    <w:rsid w:val="00E36506"/>
    <w:rsid w:val="00E620FC"/>
    <w:rsid w:val="00E6753C"/>
    <w:rsid w:val="00E72D49"/>
    <w:rsid w:val="00E738DE"/>
    <w:rsid w:val="00E7593C"/>
    <w:rsid w:val="00E7678A"/>
    <w:rsid w:val="00E835D4"/>
    <w:rsid w:val="00E935F1"/>
    <w:rsid w:val="00E94A81"/>
    <w:rsid w:val="00E95F37"/>
    <w:rsid w:val="00E97863"/>
    <w:rsid w:val="00EA1FFB"/>
    <w:rsid w:val="00EB048E"/>
    <w:rsid w:val="00EB52FF"/>
    <w:rsid w:val="00EC3B34"/>
    <w:rsid w:val="00EC5F5D"/>
    <w:rsid w:val="00ED779B"/>
    <w:rsid w:val="00EE34DF"/>
    <w:rsid w:val="00EF1DD9"/>
    <w:rsid w:val="00EF29F8"/>
    <w:rsid w:val="00EF2F89"/>
    <w:rsid w:val="00EF4137"/>
    <w:rsid w:val="00F005B4"/>
    <w:rsid w:val="00F013E6"/>
    <w:rsid w:val="00F01835"/>
    <w:rsid w:val="00F0771F"/>
    <w:rsid w:val="00F10305"/>
    <w:rsid w:val="00F1237A"/>
    <w:rsid w:val="00F1772C"/>
    <w:rsid w:val="00F21611"/>
    <w:rsid w:val="00F22CBD"/>
    <w:rsid w:val="00F250FE"/>
    <w:rsid w:val="00F30C50"/>
    <w:rsid w:val="00F33DEB"/>
    <w:rsid w:val="00F37CA3"/>
    <w:rsid w:val="00F45372"/>
    <w:rsid w:val="00F5224D"/>
    <w:rsid w:val="00F560F7"/>
    <w:rsid w:val="00F6334D"/>
    <w:rsid w:val="00F647F9"/>
    <w:rsid w:val="00F653FD"/>
    <w:rsid w:val="00F669C0"/>
    <w:rsid w:val="00F66A03"/>
    <w:rsid w:val="00F830FA"/>
    <w:rsid w:val="00F858CA"/>
    <w:rsid w:val="00FA2CD8"/>
    <w:rsid w:val="00FA34E6"/>
    <w:rsid w:val="00FA49AB"/>
    <w:rsid w:val="00FB6572"/>
    <w:rsid w:val="00FE39C7"/>
    <w:rsid w:val="00FF30E2"/>
    <w:rsid w:val="00FF3D95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62F2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62F67"/>
    <w:pPr>
      <w:keepNext/>
      <w:jc w:val="both"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41D6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30931"/>
    <w:pPr>
      <w:tabs>
        <w:tab w:val="right" w:leader="dot" w:pos="9639"/>
      </w:tabs>
      <w:spacing w:after="120"/>
      <w:ind w:right="85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62F2E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table" w:styleId="TableGrid">
    <w:name w:val="Table Grid"/>
    <w:basedOn w:val="TableNormal"/>
    <w:rsid w:val="00052B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021ED"/>
    <w:rPr>
      <w:rFonts w:ascii="Arial" w:eastAsia="MS Mincho" w:hAnsi="Arial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62F2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62F67"/>
    <w:pPr>
      <w:keepNext/>
      <w:jc w:val="both"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41D6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30931"/>
    <w:pPr>
      <w:tabs>
        <w:tab w:val="right" w:leader="dot" w:pos="9639"/>
      </w:tabs>
      <w:spacing w:after="120"/>
      <w:ind w:right="85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62F2E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table" w:styleId="TableGrid">
    <w:name w:val="Table Grid"/>
    <w:basedOn w:val="TableNormal"/>
    <w:rsid w:val="00052B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021ED"/>
    <w:rPr>
      <w:rFonts w:ascii="Arial" w:eastAsia="MS Mincho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98B9-AD3B-482F-B204-6E495054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tc_50_EN.dotx</Template>
  <TotalTime>22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caj_71_6</vt:lpstr>
    </vt:vector>
  </TitlesOfParts>
  <Company>UPOV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caj_71_6</dc:title>
  <dc:creator>FAVA Alexandra</dc:creator>
  <cp:lastModifiedBy>SANCHEZ-VIZCAINO GOMEZ Rosa Maria</cp:lastModifiedBy>
  <cp:revision>9</cp:revision>
  <cp:lastPrinted>2015-08-11T13:52:00Z</cp:lastPrinted>
  <dcterms:created xsi:type="dcterms:W3CDTF">2015-08-11T14:16:00Z</dcterms:created>
  <dcterms:modified xsi:type="dcterms:W3CDTF">2015-09-16T15:46:00Z</dcterms:modified>
</cp:coreProperties>
</file>