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F37961" w:rsidP="00474DA4">
            <w:pPr>
              <w:pStyle w:val="Docoriginal"/>
              <w:jc w:val="left"/>
              <w:rPr>
                <w:lang w:eastAsia="ja-JP"/>
              </w:rPr>
            </w:pPr>
            <w:r w:rsidRPr="00664515">
              <w:t>CAJ/</w:t>
            </w:r>
            <w:r w:rsidR="00155F6F">
              <w:t>7</w:t>
            </w:r>
            <w:r w:rsidR="0032753C">
              <w:rPr>
                <w:rFonts w:hint="eastAsia"/>
                <w:lang w:eastAsia="ja-JP"/>
              </w:rPr>
              <w:t>2</w:t>
            </w:r>
            <w:r w:rsidR="00EB3EFA" w:rsidRPr="00664515">
              <w:t>/</w:t>
            </w:r>
            <w:bookmarkStart w:id="0" w:name="Code"/>
            <w:bookmarkEnd w:id="0"/>
            <w:r w:rsidR="0032753C">
              <w:rPr>
                <w:rFonts w:hint="eastAsia"/>
                <w:lang w:eastAsia="ja-JP"/>
              </w:rPr>
              <w:t>6</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A13395">
            <w:pPr>
              <w:pStyle w:val="Docoriginal"/>
              <w:jc w:val="left"/>
              <w:rPr>
                <w:b w:val="0"/>
                <w:spacing w:val="0"/>
                <w:highlight w:val="cyan"/>
              </w:rPr>
            </w:pPr>
            <w:r w:rsidRPr="00CA774A">
              <w:rPr>
                <w:spacing w:val="0"/>
              </w:rPr>
              <w:t>DATE</w:t>
            </w:r>
            <w:r w:rsidRPr="003433F6">
              <w:rPr>
                <w:spacing w:val="0"/>
              </w:rPr>
              <w:t>:</w:t>
            </w:r>
            <w:r w:rsidR="0061555F" w:rsidRPr="003433F6">
              <w:rPr>
                <w:b w:val="0"/>
                <w:spacing w:val="0"/>
              </w:rPr>
              <w:t xml:space="preserve"> </w:t>
            </w:r>
            <w:r w:rsidRPr="003433F6">
              <w:rPr>
                <w:rStyle w:val="StyleDocoriginalNotBold1"/>
                <w:spacing w:val="0"/>
              </w:rPr>
              <w:t xml:space="preserve"> </w:t>
            </w:r>
            <w:bookmarkStart w:id="2" w:name="Date"/>
            <w:bookmarkEnd w:id="2"/>
            <w:r w:rsidR="008C61F0">
              <w:rPr>
                <w:rStyle w:val="StyleDocoriginalNotBold1"/>
                <w:rFonts w:hint="eastAsia"/>
                <w:spacing w:val="0"/>
                <w:lang w:eastAsia="ja-JP"/>
              </w:rPr>
              <w:t>September 2</w:t>
            </w:r>
            <w:r w:rsidR="0065295B">
              <w:rPr>
                <w:rStyle w:val="StyleDocoriginalNotBold1"/>
                <w:rFonts w:hint="eastAsia"/>
                <w:spacing w:val="0"/>
                <w:lang w:eastAsia="ja-JP"/>
              </w:rPr>
              <w:t>9</w:t>
            </w:r>
            <w:r w:rsidR="00155F6F" w:rsidRPr="003433F6">
              <w:rPr>
                <w:rStyle w:val="StyleDocoriginalNotBold1"/>
                <w:spacing w:val="0"/>
              </w:rPr>
              <w:t>, 201</w:t>
            </w:r>
            <w:r w:rsidR="00551E76" w:rsidRPr="003433F6">
              <w:rPr>
                <w:rStyle w:val="StyleDocoriginalNotBold1"/>
                <w:spacing w:val="0"/>
              </w:rPr>
              <w:t>5</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w:t>
      </w:r>
      <w:r w:rsidR="0032753C">
        <w:rPr>
          <w:rFonts w:hint="eastAsia"/>
          <w:lang w:eastAsia="ja-JP"/>
        </w:rPr>
        <w:t>Second</w:t>
      </w:r>
      <w:r w:rsidR="00F37961">
        <w:t xml:space="preserve"> </w:t>
      </w:r>
      <w:r w:rsidR="00FB0D37">
        <w:t>Session</w:t>
      </w:r>
      <w:r w:rsidR="00361821" w:rsidRPr="00997029">
        <w:br/>
      </w:r>
      <w:r w:rsidR="00FB0D37">
        <w:t xml:space="preserve">Geneva, </w:t>
      </w:r>
      <w:r w:rsidR="0032753C">
        <w:rPr>
          <w:rFonts w:hint="eastAsia"/>
          <w:lang w:eastAsia="ja-JP"/>
        </w:rPr>
        <w:t>October 26 and 27</w:t>
      </w:r>
      <w:r w:rsidR="00551E76">
        <w:t>, 2015</w:t>
      </w:r>
    </w:p>
    <w:p w:rsidR="000D7780" w:rsidRPr="00997029" w:rsidRDefault="00E20407" w:rsidP="0080679D">
      <w:pPr>
        <w:pStyle w:val="Titleofdoc0"/>
      </w:pPr>
      <w:bookmarkStart w:id="3" w:name="TitleOfDoc"/>
      <w:bookmarkEnd w:id="3"/>
      <w:r w:rsidRPr="0039169B">
        <w:rPr>
          <w:kern w:val="28"/>
          <w:lang w:val="fr-CH"/>
        </w:rPr>
        <w:t>UPOV information databases</w:t>
      </w:r>
    </w:p>
    <w:p w:rsidR="000D7780" w:rsidRPr="00997029" w:rsidRDefault="00AE0EF1" w:rsidP="0080679D">
      <w:pPr>
        <w:pStyle w:val="preparedby1"/>
      </w:pPr>
      <w:bookmarkStart w:id="4" w:name="Prepared"/>
      <w:bookmarkEnd w:id="4"/>
      <w:r w:rsidRPr="00BA73DF">
        <w:t xml:space="preserve">Document </w:t>
      </w:r>
      <w:r w:rsidR="0061555F" w:rsidRPr="00BA73DF">
        <w:t>prepared</w:t>
      </w:r>
      <w:r w:rsidR="0061555F" w:rsidRPr="00997029">
        <w:t xml:space="preserve">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9A2460" w:rsidRDefault="009A2460" w:rsidP="009A2460">
      <w:pPr>
        <w:pStyle w:val="Heading1"/>
        <w:rPr>
          <w:lang w:eastAsia="ja-JP"/>
        </w:rPr>
      </w:pPr>
      <w:bookmarkStart w:id="5" w:name="_Toc431478159"/>
      <w:r>
        <w:rPr>
          <w:rFonts w:hint="eastAsia"/>
          <w:lang w:eastAsia="ja-JP"/>
        </w:rPr>
        <w:t>EXECUTIVE SUMMARY</w:t>
      </w:r>
      <w:bookmarkEnd w:id="5"/>
    </w:p>
    <w:p w:rsidR="009A2460" w:rsidRDefault="009A2460" w:rsidP="00796671">
      <w:pPr>
        <w:rPr>
          <w:lang w:eastAsia="ja-JP"/>
        </w:rPr>
      </w:pPr>
    </w:p>
    <w:p w:rsidR="00B3750B" w:rsidRDefault="006E4BF5" w:rsidP="00B3750B">
      <w:pPr>
        <w:rPr>
          <w:rFonts w:cs="Arial"/>
        </w:rPr>
      </w:pPr>
      <w:r w:rsidRPr="001E700D">
        <w:fldChar w:fldCharType="begin"/>
      </w:r>
      <w:r w:rsidRPr="001E700D">
        <w:instrText xml:space="preserve"> AUTONUM  </w:instrText>
      </w:r>
      <w:r w:rsidRPr="001E700D">
        <w:fldChar w:fldCharType="end"/>
      </w:r>
      <w:r w:rsidRPr="001E700D">
        <w:tab/>
      </w:r>
      <w:r w:rsidR="00B3750B" w:rsidRPr="002C2C18">
        <w:t>The purpose of this document is to provide</w:t>
      </w:r>
      <w:r w:rsidR="00B547D4">
        <w:t>:</w:t>
      </w:r>
      <w:r w:rsidR="00B3750B" w:rsidRPr="002C2C18">
        <w:t xml:space="preserve"> an update on developments concerning</w:t>
      </w:r>
      <w:r w:rsidR="00B3750B">
        <w:t xml:space="preserve"> </w:t>
      </w:r>
      <w:r w:rsidR="00FE6D9B">
        <w:t>the GENIE </w:t>
      </w:r>
      <w:r w:rsidR="00B3750B" w:rsidRPr="002C2C18">
        <w:t>database</w:t>
      </w:r>
      <w:r w:rsidR="00B547D4">
        <w:rPr>
          <w:lang w:eastAsia="ja-JP"/>
        </w:rPr>
        <w:t>;</w:t>
      </w:r>
      <w:r w:rsidR="00B3750B">
        <w:rPr>
          <w:rFonts w:hint="eastAsia"/>
          <w:lang w:eastAsia="ja-JP"/>
        </w:rPr>
        <w:t xml:space="preserve"> and </w:t>
      </w:r>
      <w:r w:rsidR="00E418A4">
        <w:rPr>
          <w:lang w:eastAsia="ja-JP"/>
        </w:rPr>
        <w:t xml:space="preserve">an update </w:t>
      </w:r>
      <w:r w:rsidR="00FE6D9B">
        <w:rPr>
          <w:lang w:eastAsia="ja-JP"/>
        </w:rPr>
        <w:t>on the work</w:t>
      </w:r>
      <w:r w:rsidR="00B547D4">
        <w:rPr>
          <w:lang w:eastAsia="ja-JP"/>
        </w:rPr>
        <w:t xml:space="preserve"> of</w:t>
      </w:r>
      <w:r w:rsidR="00A13395">
        <w:rPr>
          <w:lang w:eastAsia="ja-JP"/>
        </w:rPr>
        <w:t>,</w:t>
      </w:r>
      <w:r w:rsidR="00FE6D9B">
        <w:rPr>
          <w:lang w:eastAsia="ja-JP"/>
        </w:rPr>
        <w:t xml:space="preserve"> and proposals made by</w:t>
      </w:r>
      <w:r w:rsidR="00B547D4">
        <w:rPr>
          <w:lang w:eastAsia="ja-JP"/>
        </w:rPr>
        <w:t>,</w:t>
      </w:r>
      <w:r w:rsidR="00FE6D9B">
        <w:rPr>
          <w:lang w:eastAsia="ja-JP"/>
        </w:rPr>
        <w:t xml:space="preserve"> the </w:t>
      </w:r>
      <w:r w:rsidR="00B3750B" w:rsidRPr="00696C89">
        <w:rPr>
          <w:rFonts w:cs="Arial"/>
        </w:rPr>
        <w:t xml:space="preserve">Working Group </w:t>
      </w:r>
      <w:r w:rsidR="00B3750B" w:rsidRPr="008C12CB">
        <w:rPr>
          <w:rFonts w:cs="Arial"/>
        </w:rPr>
        <w:t>for the Development of a UPOV Denomination Similarity Search Tool (</w:t>
      </w:r>
      <w:r w:rsidR="00B3750B" w:rsidRPr="008C12CB">
        <w:rPr>
          <w:rFonts w:cs="Arial" w:hint="eastAsia"/>
          <w:lang w:eastAsia="ja-JP"/>
        </w:rPr>
        <w:t>WG-DST</w:t>
      </w:r>
      <w:r w:rsidR="00B3750B" w:rsidRPr="008C12CB">
        <w:rPr>
          <w:rFonts w:cs="Arial"/>
        </w:rPr>
        <w:t xml:space="preserve">) </w:t>
      </w:r>
      <w:r w:rsidR="00E418A4" w:rsidRPr="008C12CB">
        <w:rPr>
          <w:rFonts w:cs="Arial"/>
        </w:rPr>
        <w:t>on</w:t>
      </w:r>
      <w:r w:rsidR="00B3750B" w:rsidRPr="008C12CB">
        <w:rPr>
          <w:rFonts w:hint="eastAsia"/>
          <w:lang w:eastAsia="ja-JP"/>
        </w:rPr>
        <w:t xml:space="preserve"> </w:t>
      </w:r>
      <w:r w:rsidR="00B3750B" w:rsidRPr="008C12CB">
        <w:t>the PLUTO database</w:t>
      </w:r>
      <w:r w:rsidR="00B3750B" w:rsidRPr="008C12CB">
        <w:rPr>
          <w:rFonts w:cs="Arial"/>
        </w:rPr>
        <w:t>.</w:t>
      </w:r>
    </w:p>
    <w:p w:rsidR="00796671" w:rsidRDefault="00796671" w:rsidP="00796671">
      <w:pPr>
        <w:rPr>
          <w:rFonts w:cs="Arial"/>
          <w:lang w:eastAsia="ja-JP"/>
        </w:rPr>
      </w:pPr>
    </w:p>
    <w:p w:rsidR="00B32C07" w:rsidRDefault="008E62C9" w:rsidP="00B32C07">
      <w:r>
        <w:fldChar w:fldCharType="begin"/>
      </w:r>
      <w:r>
        <w:instrText xml:space="preserve"> AUTONUM  </w:instrText>
      </w:r>
      <w:r>
        <w:fldChar w:fldCharType="end"/>
      </w:r>
      <w:r>
        <w:tab/>
      </w:r>
      <w:r w:rsidRPr="0099243E">
        <w:t xml:space="preserve">The </w:t>
      </w:r>
      <w:r w:rsidR="006A1DC4" w:rsidRPr="002C2C18">
        <w:t>Administrative and Legal Committee</w:t>
      </w:r>
      <w:r w:rsidR="006A1DC4">
        <w:t xml:space="preserve"> </w:t>
      </w:r>
      <w:r w:rsidR="006A1DC4">
        <w:rPr>
          <w:rFonts w:hint="eastAsia"/>
          <w:lang w:eastAsia="ja-JP"/>
        </w:rPr>
        <w:t>(</w:t>
      </w:r>
      <w:r>
        <w:t>CAJ</w:t>
      </w:r>
      <w:r w:rsidR="006A1DC4">
        <w:rPr>
          <w:rFonts w:hint="eastAsia"/>
          <w:lang w:eastAsia="ja-JP"/>
        </w:rPr>
        <w:t>)</w:t>
      </w:r>
      <w:r>
        <w:t xml:space="preserve"> </w:t>
      </w:r>
      <w:r w:rsidR="00B32C07">
        <w:t>is</w:t>
      </w:r>
      <w:r w:rsidR="00FE6D9B">
        <w:t xml:space="preserve"> </w:t>
      </w:r>
      <w:r>
        <w:t>invited to:</w:t>
      </w:r>
    </w:p>
    <w:p w:rsidR="00B32C07" w:rsidRDefault="00B32C07" w:rsidP="00B32C07"/>
    <w:p w:rsidR="009C2FB4" w:rsidRDefault="009C2FB4" w:rsidP="009C2FB4">
      <w:pPr>
        <w:ind w:firstLine="567"/>
      </w:pPr>
      <w:r>
        <w:t>(a)</w:t>
      </w:r>
      <w:r>
        <w:tab/>
        <w:t>note the updates concerning the GENIE and PLUTO databases, as provided in paragraphs</w:t>
      </w:r>
      <w:r w:rsidR="0065295B">
        <w:t> </w:t>
      </w:r>
      <w:r>
        <w:t>6</w:t>
      </w:r>
      <w:r w:rsidR="0065295B">
        <w:t> </w:t>
      </w:r>
      <w:r>
        <w:t>to</w:t>
      </w:r>
      <w:r w:rsidR="0065295B">
        <w:t> </w:t>
      </w:r>
      <w:r>
        <w:t>16;</w:t>
      </w:r>
    </w:p>
    <w:p w:rsidR="009C2FB4" w:rsidRDefault="009C2FB4" w:rsidP="009C2FB4"/>
    <w:p w:rsidR="009C2FB4" w:rsidRDefault="009C2FB4" w:rsidP="009C2FB4">
      <w:pPr>
        <w:ind w:firstLine="567"/>
      </w:pPr>
      <w:r>
        <w:t>(b)</w:t>
      </w:r>
      <w:r>
        <w:tab/>
        <w:t>consider whether to accept accents and special characters in denominations provided in the PLUTO database, noting that the denomination search tool on the PLUTO database would only use the character set ASCII [American Standard Code for Information Interchange] representation, as defined in ISO [International Standards Organization] Standard 646, as set out in paragraph 20;</w:t>
      </w:r>
    </w:p>
    <w:p w:rsidR="009C2FB4" w:rsidRDefault="009C2FB4" w:rsidP="009C2FB4"/>
    <w:p w:rsidR="009C2FB4" w:rsidRDefault="009C2FB4" w:rsidP="009C2FB4">
      <w:pPr>
        <w:ind w:firstLine="567"/>
      </w:pPr>
      <w:r>
        <w:t>(c)</w:t>
      </w:r>
      <w:r>
        <w:tab/>
        <w:t>consider whether to revise the “Program for Improvements to the Plant Variety Database”, Section 3</w:t>
      </w:r>
      <w:r w:rsidR="000E71F2">
        <w:t>.1.3, as set out in paragraph 22</w:t>
      </w:r>
      <w:r>
        <w:t>, in order to change the acceptable character set to ISO/IEC</w:t>
      </w:r>
      <w:r w:rsidR="0065295B">
        <w:t> </w:t>
      </w:r>
      <w:r>
        <w:t>Standard 8859 1: 1998;</w:t>
      </w:r>
    </w:p>
    <w:p w:rsidR="009C2FB4" w:rsidRDefault="009C2FB4" w:rsidP="009C2FB4"/>
    <w:p w:rsidR="009C2FB4" w:rsidRDefault="009C2FB4" w:rsidP="000E71F2">
      <w:pPr>
        <w:ind w:firstLine="567"/>
      </w:pPr>
      <w:r>
        <w:t>(d)</w:t>
      </w:r>
      <w:r>
        <w:tab/>
        <w:t>consider whether to expand the content of the PLUTO database to include all recognized varieties, including these that have not been, or were no longer, registered/protected as set out in paragraph</w:t>
      </w:r>
      <w:r w:rsidR="0065295B">
        <w:t> </w:t>
      </w:r>
      <w:r>
        <w:t>24; and</w:t>
      </w:r>
    </w:p>
    <w:p w:rsidR="009C2FB4" w:rsidRDefault="009C2FB4" w:rsidP="009C2FB4"/>
    <w:p w:rsidR="00DE4A7D" w:rsidRDefault="009C2FB4" w:rsidP="009C2FB4">
      <w:pPr>
        <w:rPr>
          <w:rFonts w:cs="Arial"/>
          <w:lang w:eastAsia="ja-JP"/>
        </w:rPr>
      </w:pPr>
      <w:r>
        <w:tab/>
        <w:t>(e)</w:t>
      </w:r>
      <w:r>
        <w:tab/>
        <w:t>note that developments concerning non acceptable terms for variety denominations are reported in document CAJ/72/3 “Variety Denominations”.</w:t>
      </w:r>
    </w:p>
    <w:p w:rsidR="00A604A5" w:rsidRPr="009B37B9" w:rsidRDefault="00A604A5" w:rsidP="002F132E">
      <w:pPr>
        <w:rPr>
          <w:rFonts w:cs="Arial"/>
          <w:lang w:eastAsia="ja-JP"/>
        </w:rPr>
      </w:pPr>
    </w:p>
    <w:p w:rsidR="00796671" w:rsidRPr="002C2C18" w:rsidRDefault="00796671" w:rsidP="00796671">
      <w:pPr>
        <w:keepNext/>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796671" w:rsidRPr="002C2C18" w:rsidRDefault="00796671" w:rsidP="00796671">
      <w:pPr>
        <w:keepNext/>
        <w:ind w:left="1692" w:hanging="1125"/>
        <w:jc w:val="left"/>
        <w:rPr>
          <w:color w:val="000000"/>
        </w:rPr>
      </w:pPr>
    </w:p>
    <w:p w:rsidR="00796671" w:rsidRPr="002C2C18" w:rsidRDefault="00796671" w:rsidP="00796671">
      <w:pPr>
        <w:keepNext/>
        <w:tabs>
          <w:tab w:val="left" w:pos="567"/>
          <w:tab w:val="left" w:pos="1701"/>
        </w:tabs>
      </w:pPr>
      <w:r w:rsidRPr="002C2C18">
        <w:tab/>
        <w:t>CAJ:</w:t>
      </w:r>
      <w:r w:rsidRPr="002C2C18">
        <w:tab/>
        <w:t>Administrative and Legal Committee</w:t>
      </w:r>
    </w:p>
    <w:p w:rsidR="00796671" w:rsidRPr="002C2C18" w:rsidRDefault="00796671" w:rsidP="00796671">
      <w:pPr>
        <w:keepNext/>
        <w:tabs>
          <w:tab w:val="left" w:pos="567"/>
          <w:tab w:val="left" w:pos="1701"/>
        </w:tabs>
      </w:pPr>
      <w:r w:rsidRPr="002C2C18">
        <w:tab/>
        <w:t>TC:</w:t>
      </w:r>
      <w:r w:rsidRPr="002C2C18">
        <w:tab/>
        <w:t>Technical Committee</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Technical Working Party for Ornamental Plants and Forest Trees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Party(ies)</w:t>
      </w:r>
    </w:p>
    <w:p w:rsidR="00796671" w:rsidRDefault="00796671" w:rsidP="00796671">
      <w:pPr>
        <w:tabs>
          <w:tab w:val="left" w:pos="567"/>
          <w:tab w:val="left" w:pos="1701"/>
        </w:tabs>
      </w:pPr>
      <w:r w:rsidRPr="002C2C18">
        <w:tab/>
        <w:t>TWV:</w:t>
      </w:r>
      <w:r w:rsidRPr="002C2C18">
        <w:tab/>
        <w:t>Technical Working Party for Vegetables</w:t>
      </w:r>
    </w:p>
    <w:p w:rsidR="00E418A4" w:rsidRDefault="00E418A4" w:rsidP="00796671">
      <w:pPr>
        <w:tabs>
          <w:tab w:val="left" w:pos="567"/>
          <w:tab w:val="left" w:pos="1701"/>
        </w:tabs>
      </w:pPr>
      <w:r>
        <w:tab/>
      </w:r>
      <w:r>
        <w:rPr>
          <w:rFonts w:cs="Arial" w:hint="eastAsia"/>
          <w:lang w:eastAsia="ja-JP"/>
        </w:rPr>
        <w:t>WG-DST</w:t>
      </w:r>
      <w:r>
        <w:rPr>
          <w:rFonts w:cs="Arial"/>
          <w:lang w:eastAsia="ja-JP"/>
        </w:rPr>
        <w:tab/>
      </w:r>
      <w:r w:rsidRPr="00696C89">
        <w:rPr>
          <w:rFonts w:cs="Arial"/>
        </w:rPr>
        <w:t>Working Group for the Development of a UPOV Denomination Similarity Search Tool</w:t>
      </w:r>
    </w:p>
    <w:p w:rsidR="00796671" w:rsidRPr="00CF608A" w:rsidRDefault="00796671" w:rsidP="00796671">
      <w:pPr>
        <w:keepNext/>
        <w:spacing w:after="240"/>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67512D" w:rsidRDefault="00796671">
      <w:pPr>
        <w:pStyle w:val="TOC1"/>
        <w:rPr>
          <w:rFonts w:asciiTheme="minorHAnsi" w:eastAsiaTheme="minorEastAsia" w:hAnsiTheme="minorHAnsi" w:cstheme="minorBidi"/>
          <w:caps w:val="0"/>
          <w:sz w:val="22"/>
          <w:szCs w:val="22"/>
        </w:rPr>
      </w:pPr>
      <w:r w:rsidRPr="00DD7287">
        <w:rPr>
          <w:rFonts w:cs="Arial"/>
        </w:rPr>
        <w:fldChar w:fldCharType="begin"/>
      </w:r>
      <w:r w:rsidRPr="00DD7287">
        <w:rPr>
          <w:rFonts w:cs="Arial"/>
        </w:rPr>
        <w:instrText xml:space="preserve"> TOC \o "1-3" \u </w:instrText>
      </w:r>
      <w:r w:rsidRPr="00DD7287">
        <w:rPr>
          <w:rFonts w:cs="Arial"/>
        </w:rPr>
        <w:fldChar w:fldCharType="separate"/>
      </w:r>
      <w:r w:rsidR="0067512D">
        <w:rPr>
          <w:lang w:eastAsia="ja-JP"/>
        </w:rPr>
        <w:t>EXECUTIVE SUMMARY</w:t>
      </w:r>
      <w:r w:rsidR="0067512D">
        <w:tab/>
      </w:r>
      <w:r w:rsidR="0067512D">
        <w:fldChar w:fldCharType="begin"/>
      </w:r>
      <w:r w:rsidR="0067512D">
        <w:instrText xml:space="preserve"> PAGEREF _Toc431478159 \h </w:instrText>
      </w:r>
      <w:r w:rsidR="0067512D">
        <w:fldChar w:fldCharType="separate"/>
      </w:r>
      <w:r w:rsidR="0092686E">
        <w:t>1</w:t>
      </w:r>
      <w:r w:rsidR="0067512D">
        <w:fldChar w:fldCharType="end"/>
      </w:r>
    </w:p>
    <w:p w:rsidR="0067512D" w:rsidRDefault="0067512D">
      <w:pPr>
        <w:pStyle w:val="TOC1"/>
        <w:rPr>
          <w:rFonts w:asciiTheme="minorHAnsi" w:eastAsiaTheme="minorEastAsia" w:hAnsiTheme="minorHAnsi" w:cstheme="minorBidi"/>
          <w:caps w:val="0"/>
          <w:sz w:val="22"/>
          <w:szCs w:val="22"/>
        </w:rPr>
      </w:pPr>
      <w:r>
        <w:rPr>
          <w:lang w:eastAsia="ja-JP"/>
        </w:rPr>
        <w:t>PURPOSE</w:t>
      </w:r>
      <w:r>
        <w:tab/>
      </w:r>
      <w:r>
        <w:fldChar w:fldCharType="begin"/>
      </w:r>
      <w:r>
        <w:instrText xml:space="preserve"> PAGEREF _Toc431478160 \h </w:instrText>
      </w:r>
      <w:r>
        <w:fldChar w:fldCharType="separate"/>
      </w:r>
      <w:r w:rsidR="0092686E">
        <w:t>2</w:t>
      </w:r>
      <w:r>
        <w:fldChar w:fldCharType="end"/>
      </w:r>
    </w:p>
    <w:p w:rsidR="0067512D" w:rsidRDefault="0067512D">
      <w:pPr>
        <w:pStyle w:val="TOC1"/>
        <w:rPr>
          <w:rFonts w:asciiTheme="minorHAnsi" w:eastAsiaTheme="minorEastAsia" w:hAnsiTheme="minorHAnsi" w:cstheme="minorBidi"/>
          <w:caps w:val="0"/>
          <w:sz w:val="22"/>
          <w:szCs w:val="22"/>
        </w:rPr>
      </w:pPr>
      <w:r>
        <w:t>GENIE DATABASE</w:t>
      </w:r>
      <w:r>
        <w:tab/>
      </w:r>
      <w:r>
        <w:fldChar w:fldCharType="begin"/>
      </w:r>
      <w:r>
        <w:instrText xml:space="preserve"> PAGEREF _Toc431478161 \h </w:instrText>
      </w:r>
      <w:r>
        <w:fldChar w:fldCharType="separate"/>
      </w:r>
      <w:r w:rsidR="0092686E">
        <w:t>2</w:t>
      </w:r>
      <w:r>
        <w:fldChar w:fldCharType="end"/>
      </w:r>
    </w:p>
    <w:p w:rsidR="0067512D" w:rsidRDefault="0067512D">
      <w:pPr>
        <w:pStyle w:val="TOC2"/>
        <w:rPr>
          <w:rFonts w:asciiTheme="minorHAnsi" w:eastAsiaTheme="minorEastAsia" w:hAnsiTheme="minorHAnsi" w:cstheme="minorBidi"/>
          <w:sz w:val="22"/>
          <w:szCs w:val="22"/>
        </w:rPr>
      </w:pPr>
      <w:r w:rsidRPr="003C6969">
        <w:rPr>
          <w:snapToGrid w:val="0"/>
          <w:lang w:eastAsia="ja-JP"/>
        </w:rPr>
        <w:t>Updates</w:t>
      </w:r>
      <w:r>
        <w:tab/>
      </w:r>
      <w:r>
        <w:fldChar w:fldCharType="begin"/>
      </w:r>
      <w:r>
        <w:instrText xml:space="preserve"> PAGEREF _Toc431478162 \h </w:instrText>
      </w:r>
      <w:r>
        <w:fldChar w:fldCharType="separate"/>
      </w:r>
      <w:r w:rsidR="0092686E">
        <w:t>2</w:t>
      </w:r>
      <w:r>
        <w:fldChar w:fldCharType="end"/>
      </w:r>
    </w:p>
    <w:p w:rsidR="0067512D" w:rsidRDefault="0067512D">
      <w:pPr>
        <w:pStyle w:val="TOC1"/>
        <w:rPr>
          <w:rFonts w:asciiTheme="minorHAnsi" w:eastAsiaTheme="minorEastAsia" w:hAnsiTheme="minorHAnsi" w:cstheme="minorBidi"/>
          <w:caps w:val="0"/>
          <w:sz w:val="22"/>
          <w:szCs w:val="22"/>
        </w:rPr>
      </w:pPr>
      <w:r>
        <w:t>PLUTO DATABASE</w:t>
      </w:r>
      <w:r>
        <w:tab/>
      </w:r>
      <w:r>
        <w:fldChar w:fldCharType="begin"/>
      </w:r>
      <w:r>
        <w:instrText xml:space="preserve"> PAGEREF _Toc431478163 \h </w:instrText>
      </w:r>
      <w:r>
        <w:fldChar w:fldCharType="separate"/>
      </w:r>
      <w:r w:rsidR="0092686E">
        <w:t>3</w:t>
      </w:r>
      <w:r>
        <w:fldChar w:fldCharType="end"/>
      </w:r>
    </w:p>
    <w:p w:rsidR="0067512D" w:rsidRDefault="0067512D">
      <w:pPr>
        <w:pStyle w:val="TOC2"/>
        <w:rPr>
          <w:rFonts w:asciiTheme="minorHAnsi" w:eastAsiaTheme="minorEastAsia" w:hAnsiTheme="minorHAnsi" w:cstheme="minorBidi"/>
          <w:sz w:val="22"/>
          <w:szCs w:val="22"/>
        </w:rPr>
      </w:pPr>
      <w:r w:rsidRPr="003C6969">
        <w:rPr>
          <w:snapToGrid w:val="0"/>
          <w:lang w:eastAsia="ja-JP"/>
        </w:rPr>
        <w:t>Updates</w:t>
      </w:r>
      <w:r>
        <w:tab/>
      </w:r>
      <w:r>
        <w:fldChar w:fldCharType="begin"/>
      </w:r>
      <w:r>
        <w:instrText xml:space="preserve"> PAGEREF _Toc431478164 \h </w:instrText>
      </w:r>
      <w:r>
        <w:fldChar w:fldCharType="separate"/>
      </w:r>
      <w:r w:rsidR="0092686E">
        <w:t>3</w:t>
      </w:r>
      <w:r>
        <w:fldChar w:fldCharType="end"/>
      </w:r>
    </w:p>
    <w:p w:rsidR="0067512D" w:rsidRDefault="0067512D">
      <w:pPr>
        <w:pStyle w:val="TOC2"/>
        <w:rPr>
          <w:rFonts w:asciiTheme="minorHAnsi" w:eastAsiaTheme="minorEastAsia" w:hAnsiTheme="minorHAnsi" w:cstheme="minorBidi"/>
          <w:sz w:val="22"/>
          <w:szCs w:val="22"/>
        </w:rPr>
      </w:pPr>
      <w:r>
        <w:t>Training Course for contributions to the PLUTO database</w:t>
      </w:r>
      <w:r>
        <w:tab/>
      </w:r>
      <w:r>
        <w:fldChar w:fldCharType="begin"/>
      </w:r>
      <w:r>
        <w:instrText xml:space="preserve"> PAGEREF _Toc431478165 \h </w:instrText>
      </w:r>
      <w:r>
        <w:fldChar w:fldCharType="separate"/>
      </w:r>
      <w:r w:rsidR="0092686E">
        <w:t>3</w:t>
      </w:r>
      <w:r>
        <w:fldChar w:fldCharType="end"/>
      </w:r>
    </w:p>
    <w:p w:rsidR="0067512D" w:rsidRDefault="0067512D">
      <w:pPr>
        <w:pStyle w:val="TOC2"/>
        <w:rPr>
          <w:rFonts w:asciiTheme="minorHAnsi" w:eastAsiaTheme="minorEastAsia" w:hAnsiTheme="minorHAnsi" w:cstheme="minorBidi"/>
          <w:sz w:val="22"/>
          <w:szCs w:val="22"/>
        </w:rPr>
      </w:pPr>
      <w:r w:rsidRPr="003C6969">
        <w:rPr>
          <w:snapToGrid w:val="0"/>
          <w:lang w:eastAsia="ja-JP"/>
        </w:rPr>
        <w:t>Proposals from the WG-DST</w:t>
      </w:r>
      <w:r>
        <w:tab/>
      </w:r>
      <w:r>
        <w:fldChar w:fldCharType="begin"/>
      </w:r>
      <w:r>
        <w:instrText xml:space="preserve"> PAGEREF _Toc431478166 \h </w:instrText>
      </w:r>
      <w:r>
        <w:fldChar w:fldCharType="separate"/>
      </w:r>
      <w:r w:rsidR="0092686E">
        <w:t>3</w:t>
      </w:r>
      <w:r>
        <w:fldChar w:fldCharType="end"/>
      </w:r>
    </w:p>
    <w:p w:rsidR="0067512D" w:rsidRDefault="0067512D">
      <w:pPr>
        <w:pStyle w:val="TOC3"/>
        <w:rPr>
          <w:rFonts w:asciiTheme="minorHAnsi" w:eastAsiaTheme="minorEastAsia" w:hAnsiTheme="minorHAnsi" w:cstheme="minorBidi"/>
          <w:i w:val="0"/>
          <w:sz w:val="22"/>
          <w:szCs w:val="22"/>
          <w:lang w:val="en-US"/>
        </w:rPr>
      </w:pPr>
      <w:r>
        <w:rPr>
          <w:lang w:eastAsia="ja-JP"/>
        </w:rPr>
        <w:t>Accents and special characters</w:t>
      </w:r>
      <w:r>
        <w:tab/>
      </w:r>
      <w:r>
        <w:fldChar w:fldCharType="begin"/>
      </w:r>
      <w:r>
        <w:instrText xml:space="preserve"> PAGEREF _Toc431478167 \h </w:instrText>
      </w:r>
      <w:r>
        <w:fldChar w:fldCharType="separate"/>
      </w:r>
      <w:r w:rsidR="0092686E">
        <w:t>3</w:t>
      </w:r>
      <w:r>
        <w:fldChar w:fldCharType="end"/>
      </w:r>
    </w:p>
    <w:p w:rsidR="0067512D" w:rsidRDefault="0067512D">
      <w:pPr>
        <w:pStyle w:val="TOC3"/>
        <w:rPr>
          <w:rFonts w:asciiTheme="minorHAnsi" w:eastAsiaTheme="minorEastAsia" w:hAnsiTheme="minorHAnsi" w:cstheme="minorBidi"/>
          <w:i w:val="0"/>
          <w:sz w:val="22"/>
          <w:szCs w:val="22"/>
          <w:lang w:val="en-US"/>
        </w:rPr>
      </w:pPr>
      <w:r>
        <w:rPr>
          <w:lang w:eastAsia="ja-JP"/>
        </w:rPr>
        <w:t>Content of the PLUTO database</w:t>
      </w:r>
      <w:r>
        <w:tab/>
      </w:r>
      <w:r>
        <w:fldChar w:fldCharType="begin"/>
      </w:r>
      <w:r>
        <w:instrText xml:space="preserve"> PAGEREF _Toc431478168 \h </w:instrText>
      </w:r>
      <w:r>
        <w:fldChar w:fldCharType="separate"/>
      </w:r>
      <w:r w:rsidR="0092686E">
        <w:t>4</w:t>
      </w:r>
      <w:r>
        <w:fldChar w:fldCharType="end"/>
      </w:r>
    </w:p>
    <w:p w:rsidR="0067512D" w:rsidRDefault="0067512D">
      <w:pPr>
        <w:pStyle w:val="TOC3"/>
        <w:rPr>
          <w:rFonts w:asciiTheme="minorHAnsi" w:eastAsiaTheme="minorEastAsia" w:hAnsiTheme="minorHAnsi" w:cstheme="minorBidi"/>
          <w:i w:val="0"/>
          <w:sz w:val="22"/>
          <w:szCs w:val="22"/>
          <w:lang w:val="en-US"/>
        </w:rPr>
      </w:pPr>
      <w:r w:rsidRPr="003C6969">
        <w:rPr>
          <w:rFonts w:eastAsiaTheme="minorEastAsia"/>
          <w:lang w:eastAsia="ja-JP"/>
        </w:rPr>
        <w:t>Non-acceptable terms for variety denominations</w:t>
      </w:r>
      <w:r>
        <w:tab/>
      </w:r>
      <w:r>
        <w:fldChar w:fldCharType="begin"/>
      </w:r>
      <w:r>
        <w:instrText xml:space="preserve"> PAGEREF _Toc431478169 \h </w:instrText>
      </w:r>
      <w:r>
        <w:fldChar w:fldCharType="separate"/>
      </w:r>
      <w:r w:rsidR="0092686E">
        <w:t>5</w:t>
      </w:r>
      <w:r>
        <w:fldChar w:fldCharType="end"/>
      </w:r>
    </w:p>
    <w:p w:rsidR="00796671" w:rsidRDefault="00796671" w:rsidP="00E418A4">
      <w:r w:rsidRPr="00DD7287">
        <w:fldChar w:fldCharType="end"/>
      </w:r>
    </w:p>
    <w:p w:rsidR="00111A35" w:rsidRPr="00E418A4" w:rsidRDefault="00111A35" w:rsidP="00E418A4"/>
    <w:p w:rsidR="002574CD" w:rsidRDefault="002574CD">
      <w:pPr>
        <w:jc w:val="left"/>
        <w:rPr>
          <w:caps/>
          <w:lang w:eastAsia="ja-JP"/>
        </w:rPr>
      </w:pPr>
    </w:p>
    <w:p w:rsidR="009A2460" w:rsidRDefault="009A2460" w:rsidP="009A2460">
      <w:pPr>
        <w:pStyle w:val="Heading1"/>
        <w:rPr>
          <w:lang w:eastAsia="ja-JP"/>
        </w:rPr>
      </w:pPr>
      <w:bookmarkStart w:id="6" w:name="_Toc431478160"/>
      <w:r>
        <w:rPr>
          <w:rFonts w:hint="eastAsia"/>
          <w:lang w:eastAsia="ja-JP"/>
        </w:rPr>
        <w:t>PURPOSE</w:t>
      </w:r>
      <w:bookmarkEnd w:id="6"/>
    </w:p>
    <w:p w:rsidR="009A2460" w:rsidRDefault="009A2460" w:rsidP="00796671">
      <w:pPr>
        <w:rPr>
          <w:lang w:eastAsia="ja-JP"/>
        </w:rPr>
      </w:pPr>
    </w:p>
    <w:p w:rsidR="009A2460" w:rsidRDefault="009A2460" w:rsidP="00796671">
      <w:pPr>
        <w:rPr>
          <w:rFonts w:cs="Arial"/>
        </w:rPr>
      </w:pPr>
      <w:r w:rsidRPr="001E700D">
        <w:fldChar w:fldCharType="begin"/>
      </w:r>
      <w:r w:rsidRPr="001E700D">
        <w:instrText xml:space="preserve"> AUTONUM  </w:instrText>
      </w:r>
      <w:r w:rsidRPr="001E700D">
        <w:fldChar w:fldCharType="end"/>
      </w:r>
      <w:r w:rsidRPr="001E700D">
        <w:tab/>
      </w:r>
      <w:r w:rsidR="00B547D4" w:rsidRPr="00B547D4">
        <w:t>The purpose of this document is to provide: an update on developments concerning the GENIE database; and an update on the work of and proposals made by, the Working Group for the Development of a UPOV Denomination Similarity Search Tool (WG-DST) on the PLUTO database.</w:t>
      </w:r>
    </w:p>
    <w:p w:rsidR="006E4BF5" w:rsidRDefault="006E4BF5" w:rsidP="00796671">
      <w:pPr>
        <w:rPr>
          <w:lang w:eastAsia="ja-JP"/>
        </w:rPr>
      </w:pPr>
    </w:p>
    <w:p w:rsidR="002574CD" w:rsidRDefault="002574CD">
      <w:pPr>
        <w:jc w:val="left"/>
        <w:rPr>
          <w:caps/>
        </w:rPr>
      </w:pPr>
      <w:bookmarkStart w:id="7" w:name="_GoBack"/>
      <w:bookmarkEnd w:id="7"/>
    </w:p>
    <w:p w:rsidR="00C645FA" w:rsidRPr="001E700D" w:rsidRDefault="00C645FA" w:rsidP="00C645FA">
      <w:pPr>
        <w:pStyle w:val="Heading1"/>
      </w:pPr>
      <w:bookmarkStart w:id="8" w:name="_Toc431478161"/>
      <w:r w:rsidRPr="001E700D">
        <w:t>GENIE DATABASE</w:t>
      </w:r>
      <w:bookmarkEnd w:id="8"/>
    </w:p>
    <w:p w:rsidR="00C645FA" w:rsidRDefault="00C645FA" w:rsidP="00C645FA">
      <w:pPr>
        <w:keepNext/>
        <w:rPr>
          <w:lang w:eastAsia="ja-JP"/>
        </w:rPr>
      </w:pPr>
    </w:p>
    <w:p w:rsidR="000D4111" w:rsidRDefault="000D4111" w:rsidP="000D4111">
      <w:pPr>
        <w:pStyle w:val="Heading2"/>
        <w:rPr>
          <w:snapToGrid w:val="0"/>
          <w:lang w:eastAsia="ja-JP"/>
        </w:rPr>
      </w:pPr>
      <w:bookmarkStart w:id="9" w:name="_Toc431478162"/>
      <w:r>
        <w:rPr>
          <w:rFonts w:hint="eastAsia"/>
          <w:snapToGrid w:val="0"/>
          <w:lang w:eastAsia="ja-JP"/>
        </w:rPr>
        <w:t>Updates</w:t>
      </w:r>
      <w:bookmarkEnd w:id="9"/>
    </w:p>
    <w:p w:rsidR="000D4111" w:rsidRDefault="000D4111" w:rsidP="00C645FA">
      <w:pPr>
        <w:keepNext/>
        <w:rPr>
          <w:lang w:eastAsia="ja-JP"/>
        </w:rPr>
      </w:pPr>
    </w:p>
    <w:p w:rsidR="00B547D4" w:rsidRDefault="00285C4C" w:rsidP="00285C4C">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r>
      <w:r w:rsidR="00D90030">
        <w:rPr>
          <w:rFonts w:cs="Arial"/>
        </w:rPr>
        <w:t xml:space="preserve">At its </w:t>
      </w:r>
      <w:r w:rsidR="00D90030">
        <w:rPr>
          <w:rFonts w:cs="Arial" w:hint="eastAsia"/>
          <w:lang w:eastAsia="ja-JP"/>
        </w:rPr>
        <w:t>seventy-first</w:t>
      </w:r>
      <w:r w:rsidR="00B547D4">
        <w:rPr>
          <w:rFonts w:cs="Arial"/>
        </w:rPr>
        <w:t xml:space="preserve"> session</w:t>
      </w:r>
      <w:r w:rsidR="00986764">
        <w:rPr>
          <w:rFonts w:cs="Arial"/>
        </w:rPr>
        <w:t>,</w:t>
      </w:r>
      <w:r w:rsidR="002E1BA5">
        <w:rPr>
          <w:rStyle w:val="FootnoteReference"/>
          <w:rFonts w:cs="Arial"/>
        </w:rPr>
        <w:footnoteReference w:id="2"/>
      </w:r>
      <w:r w:rsidR="00986764">
        <w:rPr>
          <w:rFonts w:cs="Arial"/>
        </w:rPr>
        <w:t xml:space="preserve"> </w:t>
      </w:r>
      <w:r w:rsidR="00B547D4">
        <w:rPr>
          <w:rFonts w:cs="Arial"/>
        </w:rPr>
        <w:t>the CAJ noted:</w:t>
      </w:r>
    </w:p>
    <w:p w:rsidR="00B547D4" w:rsidRDefault="00B547D4" w:rsidP="00285C4C">
      <w:pPr>
        <w:rPr>
          <w:rFonts w:cs="Arial"/>
        </w:rPr>
      </w:pPr>
    </w:p>
    <w:p w:rsidR="00D10A3C" w:rsidRPr="00D10A3C" w:rsidRDefault="00D10A3C" w:rsidP="00D10A3C">
      <w:pPr>
        <w:pStyle w:val="ListParagraph"/>
        <w:numPr>
          <w:ilvl w:val="0"/>
          <w:numId w:val="12"/>
        </w:numPr>
        <w:rPr>
          <w:rFonts w:cs="Arial"/>
        </w:rPr>
      </w:pPr>
      <w:r w:rsidRPr="00D10A3C">
        <w:rPr>
          <w:rFonts w:cs="Arial"/>
        </w:rPr>
        <w:t>the information on allocation of crop type(s) for UPOV codes currently used in the PLUTO database, as set out in document</w:t>
      </w:r>
      <w:r w:rsidR="007C0D12">
        <w:rPr>
          <w:rFonts w:cs="Arial"/>
        </w:rPr>
        <w:t xml:space="preserve"> CAJ/71/5, paragraphs 10 and 11</w:t>
      </w:r>
      <w:r w:rsidR="00986764">
        <w:rPr>
          <w:rFonts w:cs="Arial"/>
        </w:rPr>
        <w:t>;</w:t>
      </w:r>
      <w:r w:rsidR="0071371B">
        <w:rPr>
          <w:rStyle w:val="FootnoteReference"/>
          <w:rFonts w:cs="Arial"/>
        </w:rPr>
        <w:footnoteReference w:id="3"/>
      </w:r>
    </w:p>
    <w:p w:rsidR="00D10A3C" w:rsidRPr="00D10A3C" w:rsidRDefault="00D10A3C" w:rsidP="00D10A3C">
      <w:pPr>
        <w:rPr>
          <w:rFonts w:cs="Arial"/>
        </w:rPr>
      </w:pPr>
    </w:p>
    <w:p w:rsidR="00D10A3C" w:rsidRPr="00D10A3C" w:rsidRDefault="00D10A3C" w:rsidP="00D10A3C">
      <w:pPr>
        <w:pStyle w:val="ListParagraph"/>
        <w:numPr>
          <w:ilvl w:val="0"/>
          <w:numId w:val="12"/>
        </w:numPr>
        <w:rPr>
          <w:rFonts w:cs="Arial"/>
        </w:rPr>
      </w:pPr>
      <w:r w:rsidRPr="00D10A3C">
        <w:rPr>
          <w:rFonts w:cs="Arial"/>
        </w:rPr>
        <w:t>that the information on crop type(s) would be introduced in the GENIE database and the GENIE database would be modified to show the crop type(s) for each UPO</w:t>
      </w:r>
      <w:r w:rsidR="00F66E48">
        <w:rPr>
          <w:rFonts w:cs="Arial"/>
        </w:rPr>
        <w:t>V Code by the end of March </w:t>
      </w:r>
      <w:r w:rsidR="007C0D12">
        <w:rPr>
          <w:rFonts w:cs="Arial"/>
        </w:rPr>
        <w:t>2015</w:t>
      </w:r>
      <w:r w:rsidR="00986764">
        <w:rPr>
          <w:rFonts w:cs="Arial"/>
        </w:rPr>
        <w:t>;</w:t>
      </w:r>
      <w:r w:rsidR="0071371B">
        <w:rPr>
          <w:rStyle w:val="FootnoteReference"/>
          <w:rFonts w:cs="Arial"/>
        </w:rPr>
        <w:footnoteReference w:id="4"/>
      </w:r>
    </w:p>
    <w:p w:rsidR="00D10A3C" w:rsidRPr="00D10A3C" w:rsidRDefault="00D10A3C" w:rsidP="00D10A3C">
      <w:pPr>
        <w:rPr>
          <w:rFonts w:cs="Arial"/>
        </w:rPr>
      </w:pPr>
    </w:p>
    <w:p w:rsidR="00D10A3C" w:rsidRDefault="00D10A3C" w:rsidP="00D10A3C">
      <w:pPr>
        <w:pStyle w:val="ListParagraph"/>
        <w:numPr>
          <w:ilvl w:val="0"/>
          <w:numId w:val="12"/>
        </w:numPr>
        <w:rPr>
          <w:rFonts w:cs="Arial"/>
        </w:rPr>
      </w:pPr>
      <w:r w:rsidRPr="00D10A3C">
        <w:rPr>
          <w:rFonts w:cs="Arial"/>
        </w:rPr>
        <w:t>that a standard report for TWP allocations for UPOV codes would be introduced on the GENIE w</w:t>
      </w:r>
      <w:r w:rsidR="007C0D12">
        <w:rPr>
          <w:rFonts w:cs="Arial"/>
        </w:rPr>
        <w:t>ebpage by the end of March 2015</w:t>
      </w:r>
      <w:r w:rsidR="00986764">
        <w:rPr>
          <w:rFonts w:cs="Arial"/>
        </w:rPr>
        <w:t>;</w:t>
      </w:r>
      <w:r w:rsidR="0071371B">
        <w:rPr>
          <w:rStyle w:val="FootnoteReference"/>
          <w:rFonts w:cs="Arial"/>
        </w:rPr>
        <w:footnoteReference w:id="5"/>
      </w:r>
    </w:p>
    <w:p w:rsidR="00D10A3C" w:rsidRDefault="00D10A3C" w:rsidP="00D10A3C">
      <w:pPr>
        <w:rPr>
          <w:rFonts w:cs="Arial"/>
        </w:rPr>
      </w:pPr>
    </w:p>
    <w:p w:rsidR="00D10A3C" w:rsidRPr="00D10A3C" w:rsidRDefault="00D10A3C" w:rsidP="00D10A3C">
      <w:pPr>
        <w:pStyle w:val="ListParagraph"/>
        <w:numPr>
          <w:ilvl w:val="0"/>
          <w:numId w:val="12"/>
        </w:numPr>
        <w:rPr>
          <w:rFonts w:cs="Arial"/>
        </w:rPr>
      </w:pPr>
      <w:r w:rsidRPr="00D10A3C">
        <w:rPr>
          <w:rFonts w:cs="Arial"/>
        </w:rPr>
        <w:t>that allocation of crop type(s) for further UPOV codes would occur when UPOV codes were used in the PL</w:t>
      </w:r>
      <w:r w:rsidR="007C0D12">
        <w:rPr>
          <w:rFonts w:cs="Arial"/>
        </w:rPr>
        <w:t>UTO database for the first time</w:t>
      </w:r>
      <w:r w:rsidR="00986764">
        <w:rPr>
          <w:rFonts w:cs="Arial"/>
        </w:rPr>
        <w:t>;</w:t>
      </w:r>
      <w:r w:rsidR="0071371B">
        <w:rPr>
          <w:rStyle w:val="FootnoteReference"/>
          <w:rFonts w:cs="Arial"/>
        </w:rPr>
        <w:footnoteReference w:id="6"/>
      </w:r>
      <w:r w:rsidR="00986764">
        <w:rPr>
          <w:rFonts w:cs="Arial"/>
        </w:rPr>
        <w:t xml:space="preserve"> </w:t>
      </w:r>
      <w:r w:rsidR="007C0D12">
        <w:rPr>
          <w:rFonts w:cs="Arial"/>
        </w:rPr>
        <w:t xml:space="preserve"> and</w:t>
      </w:r>
    </w:p>
    <w:p w:rsidR="00D10A3C" w:rsidRPr="00D10A3C" w:rsidRDefault="00D10A3C" w:rsidP="00D10A3C">
      <w:pPr>
        <w:rPr>
          <w:rFonts w:cs="Arial"/>
        </w:rPr>
      </w:pPr>
    </w:p>
    <w:p w:rsidR="00B547D4" w:rsidRPr="00D10A3C" w:rsidRDefault="00D10A3C" w:rsidP="00D10A3C">
      <w:pPr>
        <w:pStyle w:val="ListParagraph"/>
        <w:numPr>
          <w:ilvl w:val="0"/>
          <w:numId w:val="12"/>
        </w:numPr>
        <w:rPr>
          <w:rFonts w:cs="Arial"/>
        </w:rPr>
      </w:pPr>
      <w:r w:rsidRPr="00D10A3C">
        <w:rPr>
          <w:rFonts w:cs="Arial"/>
        </w:rPr>
        <w:t>that the Office of the Union would prepare tables of allocation of crop type(s) for UPOV codes used in the PLUTO database for the first time for checking by the relevant authorities, for each of the TWP sessions in 2015</w:t>
      </w:r>
      <w:r w:rsidR="00986764">
        <w:rPr>
          <w:rFonts w:cs="Arial"/>
        </w:rPr>
        <w:t>.</w:t>
      </w:r>
      <w:r w:rsidR="00C273DF">
        <w:rPr>
          <w:rStyle w:val="FootnoteReference"/>
          <w:rFonts w:cs="Arial"/>
        </w:rPr>
        <w:footnoteReference w:id="7"/>
      </w:r>
    </w:p>
    <w:p w:rsidR="00937773" w:rsidRDefault="00937773" w:rsidP="007E1CB5">
      <w:pPr>
        <w:rPr>
          <w:rFonts w:eastAsia="SimSun"/>
          <w:snapToGrid w:val="0"/>
          <w:lang w:eastAsia="ja-JP"/>
        </w:rPr>
      </w:pPr>
    </w:p>
    <w:p w:rsidR="007E1CB5" w:rsidRPr="007C0D12" w:rsidRDefault="007E1CB5" w:rsidP="007E1CB5">
      <w:pPr>
        <w:rPr>
          <w:snapToGrid w:val="0"/>
          <w:lang w:eastAsia="ja-JP"/>
        </w:rPr>
      </w:pPr>
      <w:r w:rsidRPr="007C0D12">
        <w:rPr>
          <w:rFonts w:eastAsia="SimSun"/>
          <w:snapToGrid w:val="0"/>
          <w:lang w:eastAsia="ja-JP"/>
        </w:rPr>
        <w:fldChar w:fldCharType="begin"/>
      </w:r>
      <w:r w:rsidRPr="007C0D12">
        <w:rPr>
          <w:rFonts w:eastAsia="SimSun"/>
          <w:snapToGrid w:val="0"/>
          <w:lang w:eastAsia="ja-JP"/>
        </w:rPr>
        <w:instrText xml:space="preserve"> AUTONUM  </w:instrText>
      </w:r>
      <w:r w:rsidRPr="007C0D12">
        <w:rPr>
          <w:rFonts w:eastAsia="SimSun"/>
          <w:snapToGrid w:val="0"/>
          <w:lang w:eastAsia="ja-JP"/>
        </w:rPr>
        <w:fldChar w:fldCharType="end"/>
      </w:r>
      <w:r w:rsidRPr="007C0D12">
        <w:rPr>
          <w:rFonts w:eastAsia="SimSun"/>
          <w:snapToGrid w:val="0"/>
          <w:lang w:eastAsia="ja-JP"/>
        </w:rPr>
        <w:tab/>
        <w:t xml:space="preserve">The </w:t>
      </w:r>
      <w:r w:rsidRPr="007C0D12">
        <w:rPr>
          <w:rFonts w:eastAsia="SimSun"/>
          <w:lang w:eastAsia="ja-JP"/>
        </w:rPr>
        <w:t xml:space="preserve">information on crop type(s) </w:t>
      </w:r>
      <w:r w:rsidR="00D10A3C" w:rsidRPr="007C0D12">
        <w:rPr>
          <w:rFonts w:eastAsia="SimSun"/>
          <w:lang w:eastAsia="ja-JP"/>
        </w:rPr>
        <w:t>has been</w:t>
      </w:r>
      <w:r w:rsidRPr="007C0D12">
        <w:rPr>
          <w:rFonts w:eastAsia="SimSun"/>
          <w:lang w:eastAsia="ja-JP"/>
        </w:rPr>
        <w:t xml:space="preserve"> introduced in the GENIE database, which w</w:t>
      </w:r>
      <w:r w:rsidRPr="007C0D12">
        <w:rPr>
          <w:rFonts w:hint="eastAsia"/>
          <w:lang w:eastAsia="ja-JP"/>
        </w:rPr>
        <w:t>as</w:t>
      </w:r>
      <w:r w:rsidRPr="007C0D12">
        <w:rPr>
          <w:rFonts w:eastAsia="SimSun"/>
          <w:lang w:eastAsia="ja-JP"/>
        </w:rPr>
        <w:t xml:space="preserve"> modified </w:t>
      </w:r>
      <w:r w:rsidR="00EB6FF2" w:rsidRPr="007C0D12">
        <w:rPr>
          <w:rFonts w:eastAsia="SimSun"/>
          <w:lang w:eastAsia="ja-JP"/>
        </w:rPr>
        <w:br/>
      </w:r>
      <w:r w:rsidRPr="007C0D12">
        <w:rPr>
          <w:rFonts w:eastAsia="SimSun"/>
          <w:lang w:eastAsia="ja-JP"/>
        </w:rPr>
        <w:t>to show the crop type(s) for each UPOV Code</w:t>
      </w:r>
      <w:r w:rsidR="00986764">
        <w:rPr>
          <w:rFonts w:eastAsia="SimSun"/>
          <w:lang w:eastAsia="ja-JP"/>
        </w:rPr>
        <w:t>.</w:t>
      </w:r>
      <w:r w:rsidR="007C0D12" w:rsidRPr="007C0D12">
        <w:rPr>
          <w:rStyle w:val="FootnoteReference"/>
          <w:rFonts w:eastAsia="SimSun"/>
          <w:lang w:eastAsia="ja-JP"/>
        </w:rPr>
        <w:footnoteReference w:id="8"/>
      </w:r>
      <w:r w:rsidR="00EB6FF2" w:rsidRPr="007C0D12">
        <w:rPr>
          <w:rFonts w:eastAsia="SimSun"/>
          <w:snapToGrid w:val="0"/>
          <w:lang w:eastAsia="ja-JP"/>
        </w:rPr>
        <w:t xml:space="preserve">  </w:t>
      </w:r>
      <w:r w:rsidRPr="007C0D12">
        <w:rPr>
          <w:rFonts w:hint="eastAsia"/>
          <w:snapToGrid w:val="0"/>
          <w:lang w:eastAsia="ja-JP"/>
        </w:rPr>
        <w:t xml:space="preserve">A </w:t>
      </w:r>
      <w:r w:rsidRPr="007C0D12">
        <w:rPr>
          <w:snapToGrid w:val="0"/>
          <w:lang w:eastAsia="ja-JP"/>
        </w:rPr>
        <w:t xml:space="preserve">standard report for TWP allocations for UPOV codes </w:t>
      </w:r>
      <w:r w:rsidR="002E1BA5" w:rsidRPr="007C0D12">
        <w:rPr>
          <w:lang w:eastAsia="ja-JP"/>
        </w:rPr>
        <w:t>has</w:t>
      </w:r>
      <w:r w:rsidRPr="007C0D12">
        <w:rPr>
          <w:lang w:eastAsia="ja-JP"/>
        </w:rPr>
        <w:t xml:space="preserve"> also</w:t>
      </w:r>
      <w:r w:rsidR="002E1BA5" w:rsidRPr="007C0D12">
        <w:rPr>
          <w:lang w:eastAsia="ja-JP"/>
        </w:rPr>
        <w:t xml:space="preserve"> been</w:t>
      </w:r>
      <w:r w:rsidRPr="007C0D12">
        <w:rPr>
          <w:snapToGrid w:val="0"/>
          <w:lang w:eastAsia="ja-JP"/>
        </w:rPr>
        <w:t xml:space="preserve"> introduced on the GENIE webpage</w:t>
      </w:r>
      <w:r w:rsidR="00986764">
        <w:rPr>
          <w:snapToGrid w:val="0"/>
          <w:lang w:eastAsia="ja-JP"/>
        </w:rPr>
        <w:t>.</w:t>
      </w:r>
      <w:r w:rsidR="007C0D12" w:rsidRPr="007C0D12">
        <w:rPr>
          <w:rStyle w:val="FootnoteReference"/>
          <w:snapToGrid w:val="0"/>
          <w:lang w:eastAsia="ja-JP"/>
        </w:rPr>
        <w:footnoteReference w:id="9"/>
      </w:r>
    </w:p>
    <w:p w:rsidR="007E1CB5" w:rsidRPr="007C0D12" w:rsidRDefault="007E1CB5" w:rsidP="007E1CB5">
      <w:pPr>
        <w:rPr>
          <w:snapToGrid w:val="0"/>
          <w:lang w:eastAsia="ja-JP"/>
        </w:rPr>
      </w:pPr>
    </w:p>
    <w:p w:rsidR="002145E7" w:rsidRDefault="002145E7" w:rsidP="002145E7">
      <w:pPr>
        <w:rPr>
          <w:lang w:eastAsia="ja-JP"/>
        </w:rPr>
      </w:pPr>
      <w:r w:rsidRPr="007C0D12">
        <w:rPr>
          <w:snapToGrid w:val="0"/>
        </w:rPr>
        <w:lastRenderedPageBreak/>
        <w:fldChar w:fldCharType="begin"/>
      </w:r>
      <w:r w:rsidRPr="007C0D12">
        <w:rPr>
          <w:snapToGrid w:val="0"/>
        </w:rPr>
        <w:instrText xml:space="preserve"> AUTONUM  </w:instrText>
      </w:r>
      <w:r w:rsidRPr="007C0D12">
        <w:rPr>
          <w:snapToGrid w:val="0"/>
        </w:rPr>
        <w:fldChar w:fldCharType="end"/>
      </w:r>
      <w:r w:rsidRPr="007C0D12">
        <w:rPr>
          <w:snapToGrid w:val="0"/>
        </w:rPr>
        <w:tab/>
      </w:r>
      <w:r w:rsidR="00A13395">
        <w:rPr>
          <w:snapToGrid w:val="0"/>
        </w:rPr>
        <w:t>C</w:t>
      </w:r>
      <w:r w:rsidRPr="007C0D12">
        <w:rPr>
          <w:snapToGrid w:val="0"/>
        </w:rPr>
        <w:t>rop type ha</w:t>
      </w:r>
      <w:r w:rsidR="00A13395">
        <w:rPr>
          <w:snapToGrid w:val="0"/>
        </w:rPr>
        <w:t>s</w:t>
      </w:r>
      <w:r w:rsidRPr="007C0D12">
        <w:rPr>
          <w:snapToGrid w:val="0"/>
        </w:rPr>
        <w:t xml:space="preserve"> only been allocated to the 3,412 UPOV codes currently used in the PLUTO database</w:t>
      </w:r>
      <w:r w:rsidR="002E1BA5" w:rsidRPr="007C0D12">
        <w:rPr>
          <w:rStyle w:val="FootnoteReference"/>
          <w:snapToGrid w:val="0"/>
        </w:rPr>
        <w:footnoteReference w:id="10"/>
      </w:r>
      <w:r w:rsidRPr="007C0D12">
        <w:rPr>
          <w:snapToGrid w:val="0"/>
        </w:rPr>
        <w:t>.  Allocation of crop t</w:t>
      </w:r>
      <w:r w:rsidR="002E1BA5" w:rsidRPr="007C0D12">
        <w:rPr>
          <w:snapToGrid w:val="0"/>
        </w:rPr>
        <w:t>ype(s) for other UPOV codes w</w:t>
      </w:r>
      <w:r w:rsidR="00A13395">
        <w:rPr>
          <w:snapToGrid w:val="0"/>
        </w:rPr>
        <w:t>ill</w:t>
      </w:r>
      <w:r w:rsidRPr="007C0D12">
        <w:rPr>
          <w:snapToGrid w:val="0"/>
        </w:rPr>
        <w:t xml:space="preserve"> occur at the time that the UPOV codes are used in the PLUTO database for the first time.  F</w:t>
      </w:r>
      <w:r w:rsidRPr="007C0D12">
        <w:rPr>
          <w:lang w:eastAsia="ja-JP"/>
        </w:rPr>
        <w:t>or each session of the TWPs in 2015, t</w:t>
      </w:r>
      <w:r w:rsidRPr="007C0D12">
        <w:rPr>
          <w:rFonts w:eastAsia="SimSun"/>
          <w:snapToGrid w:val="0"/>
          <w:lang w:eastAsia="ja-JP"/>
        </w:rPr>
        <w:t>he Office of the Union prepared t</w:t>
      </w:r>
      <w:r w:rsidRPr="007C0D12">
        <w:rPr>
          <w:lang w:eastAsia="ja-JP"/>
        </w:rPr>
        <w:t>ables of allocation of crop type(s) for UPOV codes used in the PLUTO database for the first time, for checking by the relevant authorities</w:t>
      </w:r>
      <w:r w:rsidR="00C60AFC">
        <w:rPr>
          <w:lang w:eastAsia="ja-JP"/>
        </w:rPr>
        <w:t>.</w:t>
      </w:r>
      <w:r w:rsidR="002E1BA5" w:rsidRPr="007C0D12">
        <w:rPr>
          <w:rStyle w:val="FootnoteReference"/>
          <w:lang w:eastAsia="ja-JP"/>
        </w:rPr>
        <w:footnoteReference w:id="11"/>
      </w:r>
    </w:p>
    <w:p w:rsidR="002145E7" w:rsidRPr="007528A3" w:rsidRDefault="002145E7" w:rsidP="002145E7">
      <w:pPr>
        <w:rPr>
          <w:rFonts w:cs="Arial"/>
          <w:lang w:eastAsia="ja-JP"/>
        </w:rPr>
      </w:pPr>
    </w:p>
    <w:p w:rsidR="007E1CB5" w:rsidRDefault="007E1CB5" w:rsidP="00B3750B">
      <w:pPr>
        <w:rPr>
          <w:lang w:eastAsia="ja-JP"/>
        </w:rPr>
      </w:pPr>
    </w:p>
    <w:p w:rsidR="00DA327B" w:rsidRPr="001E700D" w:rsidRDefault="00DA327B" w:rsidP="00DA327B">
      <w:pPr>
        <w:pStyle w:val="Heading1"/>
      </w:pPr>
      <w:bookmarkStart w:id="10" w:name="_Toc431478163"/>
      <w:r>
        <w:t>PLUTO</w:t>
      </w:r>
      <w:r w:rsidRPr="001E700D">
        <w:t xml:space="preserve"> DATABASE</w:t>
      </w:r>
      <w:bookmarkEnd w:id="10"/>
    </w:p>
    <w:p w:rsidR="00DA327B" w:rsidRDefault="00DA327B" w:rsidP="0032753C">
      <w:pPr>
        <w:rPr>
          <w:snapToGrid w:val="0"/>
          <w:lang w:eastAsia="ja-JP"/>
        </w:rPr>
      </w:pPr>
    </w:p>
    <w:p w:rsidR="00454FEA" w:rsidRDefault="00454FEA" w:rsidP="00454FEA">
      <w:pPr>
        <w:pStyle w:val="Heading2"/>
        <w:rPr>
          <w:snapToGrid w:val="0"/>
          <w:lang w:eastAsia="ja-JP"/>
        </w:rPr>
      </w:pPr>
      <w:bookmarkStart w:id="11" w:name="_Toc431478164"/>
      <w:r>
        <w:rPr>
          <w:rFonts w:hint="eastAsia"/>
          <w:snapToGrid w:val="0"/>
          <w:lang w:eastAsia="ja-JP"/>
        </w:rPr>
        <w:t>Updates</w:t>
      </w:r>
      <w:bookmarkEnd w:id="11"/>
      <w:r w:rsidR="00D0561D">
        <w:rPr>
          <w:rFonts w:hint="eastAsia"/>
          <w:snapToGrid w:val="0"/>
          <w:lang w:eastAsia="ja-JP"/>
        </w:rPr>
        <w:t xml:space="preserve"> </w:t>
      </w:r>
    </w:p>
    <w:p w:rsidR="00454FEA" w:rsidRDefault="00454FEA" w:rsidP="0032753C">
      <w:pPr>
        <w:rPr>
          <w:snapToGrid w:val="0"/>
          <w:lang w:eastAsia="ja-JP"/>
        </w:rPr>
      </w:pPr>
    </w:p>
    <w:p w:rsidR="00937773" w:rsidRDefault="00937773" w:rsidP="00937773">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r>
      <w:r w:rsidR="00D90030">
        <w:rPr>
          <w:rFonts w:cs="Arial"/>
        </w:rPr>
        <w:t xml:space="preserve">At its </w:t>
      </w:r>
      <w:r w:rsidR="00D90030">
        <w:rPr>
          <w:rFonts w:cs="Arial" w:hint="eastAsia"/>
          <w:lang w:eastAsia="ja-JP"/>
        </w:rPr>
        <w:t>seventy-first</w:t>
      </w:r>
      <w:r>
        <w:rPr>
          <w:rFonts w:cs="Arial"/>
        </w:rPr>
        <w:t xml:space="preserve"> session, the CAJ:</w:t>
      </w:r>
    </w:p>
    <w:p w:rsidR="00937773" w:rsidRDefault="00937773" w:rsidP="0032753C">
      <w:pPr>
        <w:rPr>
          <w:snapToGrid w:val="0"/>
          <w:lang w:eastAsia="ja-JP"/>
        </w:rPr>
      </w:pPr>
    </w:p>
    <w:p w:rsidR="00937773" w:rsidRPr="00937773" w:rsidRDefault="00937773" w:rsidP="00937773">
      <w:pPr>
        <w:pStyle w:val="ListParagraph"/>
        <w:numPr>
          <w:ilvl w:val="0"/>
          <w:numId w:val="13"/>
        </w:numPr>
        <w:rPr>
          <w:snapToGrid w:val="0"/>
          <w:lang w:eastAsia="ja-JP"/>
        </w:rPr>
      </w:pPr>
      <w:r>
        <w:rPr>
          <w:snapToGrid w:val="0"/>
          <w:lang w:eastAsia="ja-JP"/>
        </w:rPr>
        <w:t xml:space="preserve">noted </w:t>
      </w:r>
      <w:r w:rsidRPr="00937773">
        <w:rPr>
          <w:snapToGrid w:val="0"/>
          <w:lang w:eastAsia="ja-JP"/>
        </w:rPr>
        <w:t xml:space="preserve">that an additional column in the PLUTO search screen, showing the date on which the information was provided, would be introduced </w:t>
      </w:r>
      <w:r w:rsidR="007C0D12">
        <w:rPr>
          <w:snapToGrid w:val="0"/>
          <w:lang w:eastAsia="ja-JP"/>
        </w:rPr>
        <w:t>by the end of March 2015</w:t>
      </w:r>
      <w:r w:rsidR="00C60AFC">
        <w:rPr>
          <w:snapToGrid w:val="0"/>
          <w:lang w:eastAsia="ja-JP"/>
        </w:rPr>
        <w:t>;</w:t>
      </w:r>
      <w:r w:rsidR="0071371B">
        <w:rPr>
          <w:rStyle w:val="FootnoteReference"/>
          <w:snapToGrid w:val="0"/>
          <w:lang w:eastAsia="ja-JP"/>
        </w:rPr>
        <w:footnoteReference w:id="12"/>
      </w:r>
      <w:r w:rsidR="00C60AFC">
        <w:rPr>
          <w:snapToGrid w:val="0"/>
          <w:lang w:eastAsia="ja-JP"/>
        </w:rPr>
        <w:t xml:space="preserve"> </w:t>
      </w:r>
      <w:r w:rsidR="007C0D12">
        <w:rPr>
          <w:snapToGrid w:val="0"/>
          <w:lang w:eastAsia="ja-JP"/>
        </w:rPr>
        <w:t xml:space="preserve"> and</w:t>
      </w:r>
    </w:p>
    <w:p w:rsidR="00937773" w:rsidRPr="00937773" w:rsidRDefault="00937773" w:rsidP="00937773">
      <w:pPr>
        <w:rPr>
          <w:snapToGrid w:val="0"/>
          <w:lang w:eastAsia="ja-JP"/>
        </w:rPr>
      </w:pPr>
    </w:p>
    <w:p w:rsidR="00937773" w:rsidRPr="00937773" w:rsidRDefault="00937773" w:rsidP="00937773">
      <w:pPr>
        <w:pStyle w:val="ListParagraph"/>
        <w:numPr>
          <w:ilvl w:val="0"/>
          <w:numId w:val="13"/>
        </w:numPr>
        <w:rPr>
          <w:snapToGrid w:val="0"/>
          <w:lang w:eastAsia="ja-JP"/>
        </w:rPr>
      </w:pPr>
      <w:r w:rsidRPr="00937773">
        <w:rPr>
          <w:snapToGrid w:val="0"/>
          <w:lang w:eastAsia="ja-JP"/>
        </w:rPr>
        <w:t>agreed that both the fields “Denomination” and “Breeder’s Ref” be searchable, independently or in combination, by denomination search tools on the “Denomination Search” page of the PLUTO database, as set out in document CAJ/71/5, paragraphs 25 and 26</w:t>
      </w:r>
      <w:r w:rsidR="00C60AFC">
        <w:rPr>
          <w:snapToGrid w:val="0"/>
          <w:lang w:eastAsia="ja-JP"/>
        </w:rPr>
        <w:t>.</w:t>
      </w:r>
      <w:r w:rsidR="00C273DF">
        <w:rPr>
          <w:rStyle w:val="FootnoteReference"/>
          <w:snapToGrid w:val="0"/>
          <w:lang w:eastAsia="ja-JP"/>
        </w:rPr>
        <w:footnoteReference w:id="13"/>
      </w:r>
    </w:p>
    <w:p w:rsidR="00937773" w:rsidRDefault="00937773" w:rsidP="0032753C">
      <w:pPr>
        <w:rPr>
          <w:snapToGrid w:val="0"/>
          <w:lang w:eastAsia="ja-JP"/>
        </w:rPr>
      </w:pPr>
    </w:p>
    <w:p w:rsidR="0032753C" w:rsidRPr="007C0D12" w:rsidRDefault="0032753C" w:rsidP="0032753C">
      <w:pPr>
        <w:rPr>
          <w:rFonts w:eastAsia="SimSun"/>
          <w:snapToGrid w:val="0"/>
          <w:lang w:eastAsia="ja-JP"/>
        </w:rPr>
      </w:pPr>
      <w:r w:rsidRPr="007C0D12">
        <w:rPr>
          <w:rFonts w:eastAsia="SimSun"/>
          <w:snapToGrid w:val="0"/>
          <w:lang w:eastAsia="ja-JP"/>
        </w:rPr>
        <w:fldChar w:fldCharType="begin"/>
      </w:r>
      <w:r w:rsidRPr="007C0D12">
        <w:rPr>
          <w:rFonts w:eastAsia="SimSun"/>
          <w:snapToGrid w:val="0"/>
          <w:lang w:eastAsia="ja-JP"/>
        </w:rPr>
        <w:instrText xml:space="preserve"> AUTONUM  </w:instrText>
      </w:r>
      <w:r w:rsidRPr="007C0D12">
        <w:rPr>
          <w:rFonts w:eastAsia="SimSun"/>
          <w:snapToGrid w:val="0"/>
          <w:lang w:eastAsia="ja-JP"/>
        </w:rPr>
        <w:fldChar w:fldCharType="end"/>
      </w:r>
      <w:r w:rsidRPr="007C0D12">
        <w:rPr>
          <w:rFonts w:eastAsia="SimSun"/>
          <w:snapToGrid w:val="0"/>
          <w:lang w:eastAsia="ja-JP"/>
        </w:rPr>
        <w:tab/>
      </w:r>
      <w:r w:rsidR="00DA327B" w:rsidRPr="007C0D12">
        <w:rPr>
          <w:rFonts w:hint="eastAsia"/>
          <w:snapToGrid w:val="0"/>
          <w:lang w:eastAsia="ja-JP"/>
        </w:rPr>
        <w:t>A</w:t>
      </w:r>
      <w:r w:rsidRPr="007C0D12">
        <w:rPr>
          <w:rFonts w:eastAsia="SimSun"/>
          <w:snapToGrid w:val="0"/>
          <w:lang w:eastAsia="ja-JP"/>
        </w:rPr>
        <w:t xml:space="preserve">n additional column in the PLUTO search screen, showing the date on which the information was provided, </w:t>
      </w:r>
      <w:r w:rsidR="00937773" w:rsidRPr="007C0D12">
        <w:rPr>
          <w:rFonts w:eastAsia="SimSun"/>
          <w:lang w:eastAsia="ja-JP"/>
        </w:rPr>
        <w:t>has been</w:t>
      </w:r>
      <w:r w:rsidRPr="007C0D12">
        <w:rPr>
          <w:rFonts w:eastAsia="SimSun"/>
          <w:snapToGrid w:val="0"/>
          <w:lang w:eastAsia="ja-JP"/>
        </w:rPr>
        <w:t xml:space="preserve"> introduced.</w:t>
      </w:r>
    </w:p>
    <w:p w:rsidR="0032753C" w:rsidRPr="007C0D12" w:rsidRDefault="0032753C" w:rsidP="0032753C">
      <w:pPr>
        <w:rPr>
          <w:rFonts w:eastAsia="SimSun"/>
          <w:snapToGrid w:val="0"/>
          <w:lang w:eastAsia="ja-JP"/>
        </w:rPr>
      </w:pPr>
    </w:p>
    <w:p w:rsidR="000B178E" w:rsidRDefault="0032753C" w:rsidP="007C0D12">
      <w:pPr>
        <w:rPr>
          <w:rFonts w:eastAsia="SimSun"/>
          <w:snapToGrid w:val="0"/>
          <w:lang w:eastAsia="ja-JP"/>
        </w:rPr>
      </w:pPr>
      <w:r w:rsidRPr="007C0D12">
        <w:rPr>
          <w:rFonts w:eastAsia="SimSun"/>
          <w:snapToGrid w:val="0"/>
          <w:lang w:eastAsia="ja-JP"/>
        </w:rPr>
        <w:fldChar w:fldCharType="begin"/>
      </w:r>
      <w:r w:rsidRPr="007C0D12">
        <w:rPr>
          <w:rFonts w:eastAsia="SimSun"/>
          <w:snapToGrid w:val="0"/>
          <w:lang w:eastAsia="ja-JP"/>
        </w:rPr>
        <w:instrText xml:space="preserve"> AUTONUM  </w:instrText>
      </w:r>
      <w:r w:rsidRPr="007C0D12">
        <w:rPr>
          <w:rFonts w:eastAsia="SimSun"/>
          <w:snapToGrid w:val="0"/>
          <w:lang w:eastAsia="ja-JP"/>
        </w:rPr>
        <w:fldChar w:fldCharType="end"/>
      </w:r>
      <w:r w:rsidR="00DA327B" w:rsidRPr="007C0D12">
        <w:rPr>
          <w:rFonts w:eastAsia="SimSun"/>
          <w:snapToGrid w:val="0"/>
          <w:lang w:eastAsia="ja-JP"/>
        </w:rPr>
        <w:tab/>
      </w:r>
      <w:r w:rsidR="00DA327B" w:rsidRPr="007C0D12">
        <w:rPr>
          <w:rFonts w:hint="eastAsia"/>
          <w:snapToGrid w:val="0"/>
          <w:lang w:eastAsia="ja-JP"/>
        </w:rPr>
        <w:t>A</w:t>
      </w:r>
      <w:r w:rsidR="00CB0459" w:rsidRPr="007C0D12">
        <w:rPr>
          <w:snapToGrid w:val="0"/>
          <w:lang w:eastAsia="ja-JP"/>
        </w:rPr>
        <w:t xml:space="preserve"> new</w:t>
      </w:r>
      <w:r w:rsidR="00DA327B" w:rsidRPr="007C0D12">
        <w:rPr>
          <w:rFonts w:hint="eastAsia"/>
          <w:snapToGrid w:val="0"/>
          <w:lang w:eastAsia="ja-JP"/>
        </w:rPr>
        <w:t xml:space="preserve"> function </w:t>
      </w:r>
      <w:r w:rsidR="00937773" w:rsidRPr="007C0D12">
        <w:rPr>
          <w:snapToGrid w:val="0"/>
          <w:lang w:eastAsia="ja-JP"/>
        </w:rPr>
        <w:t>has been</w:t>
      </w:r>
      <w:r w:rsidR="00CB0459" w:rsidRPr="007C0D12">
        <w:rPr>
          <w:snapToGrid w:val="0"/>
          <w:lang w:eastAsia="ja-JP"/>
        </w:rPr>
        <w:t xml:space="preserve"> introduced to search both </w:t>
      </w:r>
      <w:r w:rsidR="00DA327B" w:rsidRPr="007C0D12">
        <w:rPr>
          <w:rFonts w:hint="eastAsia"/>
          <w:snapToGrid w:val="0"/>
          <w:lang w:eastAsia="ja-JP"/>
        </w:rPr>
        <w:t>t</w:t>
      </w:r>
      <w:r w:rsidR="00DA327B" w:rsidRPr="007C0D12">
        <w:rPr>
          <w:rFonts w:eastAsia="SimSun"/>
          <w:snapToGrid w:val="0"/>
          <w:lang w:eastAsia="ja-JP"/>
        </w:rPr>
        <w:t xml:space="preserve">he </w:t>
      </w:r>
      <w:r w:rsidR="00CB0459" w:rsidRPr="007C0D12">
        <w:rPr>
          <w:rFonts w:eastAsia="SimSun"/>
          <w:snapToGrid w:val="0"/>
          <w:lang w:eastAsia="ja-JP"/>
        </w:rPr>
        <w:t xml:space="preserve">data </w:t>
      </w:r>
      <w:r w:rsidRPr="007C0D12">
        <w:rPr>
          <w:rFonts w:eastAsia="SimSun"/>
          <w:snapToGrid w:val="0"/>
          <w:lang w:eastAsia="ja-JP"/>
        </w:rPr>
        <w:t xml:space="preserve">fields “Denomination” and “Breeder’s Ref”, </w:t>
      </w:r>
      <w:r w:rsidR="00CB0459" w:rsidRPr="007C0D12">
        <w:rPr>
          <w:rFonts w:eastAsia="SimSun"/>
          <w:snapToGrid w:val="0"/>
          <w:lang w:eastAsia="ja-JP"/>
        </w:rPr>
        <w:t xml:space="preserve">individually </w:t>
      </w:r>
      <w:r w:rsidRPr="007C0D12">
        <w:rPr>
          <w:rFonts w:eastAsia="SimSun"/>
          <w:snapToGrid w:val="0"/>
          <w:lang w:eastAsia="ja-JP"/>
        </w:rPr>
        <w:t xml:space="preserve">or in combination, </w:t>
      </w:r>
      <w:r w:rsidR="00CB0459" w:rsidRPr="007C0D12">
        <w:rPr>
          <w:rFonts w:eastAsia="SimSun"/>
          <w:snapToGrid w:val="0"/>
          <w:lang w:eastAsia="ja-JP"/>
        </w:rPr>
        <w:t>using the</w:t>
      </w:r>
      <w:r w:rsidRPr="007C0D12">
        <w:rPr>
          <w:rFonts w:eastAsia="SimSun"/>
          <w:snapToGrid w:val="0"/>
          <w:lang w:eastAsia="ja-JP"/>
        </w:rPr>
        <w:t xml:space="preserve"> denomination search tools on the “Denomination Search” page of th</w:t>
      </w:r>
      <w:r w:rsidR="00DA327B" w:rsidRPr="007C0D12">
        <w:rPr>
          <w:rFonts w:eastAsia="SimSun"/>
          <w:snapToGrid w:val="0"/>
          <w:lang w:eastAsia="ja-JP"/>
        </w:rPr>
        <w:t>e PLUT</w:t>
      </w:r>
      <w:r w:rsidR="00CB0459" w:rsidRPr="007C0D12">
        <w:rPr>
          <w:rFonts w:eastAsia="SimSun"/>
          <w:snapToGrid w:val="0"/>
          <w:lang w:eastAsia="ja-JP"/>
        </w:rPr>
        <w:t>O </w:t>
      </w:r>
      <w:r w:rsidR="00DA327B" w:rsidRPr="007C0D12">
        <w:rPr>
          <w:rFonts w:eastAsia="SimSun"/>
          <w:snapToGrid w:val="0"/>
          <w:lang w:eastAsia="ja-JP"/>
        </w:rPr>
        <w:t>database</w:t>
      </w:r>
      <w:r w:rsidR="00CB0459" w:rsidRPr="007C0D12">
        <w:rPr>
          <w:rFonts w:eastAsia="SimSun"/>
          <w:snapToGrid w:val="0"/>
          <w:lang w:eastAsia="ja-JP"/>
        </w:rPr>
        <w:t>.</w:t>
      </w:r>
    </w:p>
    <w:p w:rsidR="007C0D12" w:rsidRDefault="007C0D12" w:rsidP="007C0D12">
      <w:pPr>
        <w:rPr>
          <w:u w:val="single"/>
        </w:rPr>
      </w:pPr>
    </w:p>
    <w:p w:rsidR="00F66E48" w:rsidRDefault="00F66E48" w:rsidP="007C0D12">
      <w:pPr>
        <w:rPr>
          <w:u w:val="single"/>
        </w:rPr>
      </w:pPr>
    </w:p>
    <w:p w:rsidR="00923D12" w:rsidRDefault="00923D12" w:rsidP="00923D12">
      <w:pPr>
        <w:pStyle w:val="Heading2"/>
      </w:pPr>
      <w:bookmarkStart w:id="12" w:name="_Toc431478165"/>
      <w:r w:rsidRPr="008C12CB">
        <w:t>Training Course</w:t>
      </w:r>
      <w:r w:rsidR="007C0D12">
        <w:t xml:space="preserve"> for contributions to the PLUTO database</w:t>
      </w:r>
      <w:bookmarkEnd w:id="12"/>
    </w:p>
    <w:p w:rsidR="00923D12" w:rsidRDefault="00923D12" w:rsidP="0032753C">
      <w:pPr>
        <w:rPr>
          <w:snapToGrid w:val="0"/>
          <w:lang w:eastAsia="ja-JP"/>
        </w:rPr>
      </w:pPr>
    </w:p>
    <w:p w:rsidR="00923D12" w:rsidRDefault="00923D12" w:rsidP="006A1DC4">
      <w:pPr>
        <w:rPr>
          <w:rFonts w:cs="Arial"/>
          <w:sz w:val="19"/>
          <w:szCs w:val="19"/>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7C0D12">
        <w:rPr>
          <w:snapToGrid w:val="0"/>
          <w:lang w:eastAsia="ja-JP"/>
        </w:rPr>
        <w:t>The second</w:t>
      </w:r>
      <w:r>
        <w:rPr>
          <w:rFonts w:eastAsia="SimSun"/>
          <w:snapToGrid w:val="0"/>
          <w:lang w:eastAsia="ja-JP"/>
        </w:rPr>
        <w:t xml:space="preserve"> </w:t>
      </w:r>
      <w:r w:rsidRPr="007528A3">
        <w:rPr>
          <w:rFonts w:eastAsia="SimSun"/>
          <w:snapToGrid w:val="0"/>
          <w:lang w:eastAsia="ja-JP"/>
        </w:rPr>
        <w:t xml:space="preserve">training course </w:t>
      </w:r>
      <w:r>
        <w:rPr>
          <w:rFonts w:eastAsia="SimSun"/>
          <w:snapToGrid w:val="0"/>
          <w:lang w:eastAsia="ja-JP"/>
        </w:rPr>
        <w:t xml:space="preserve">on </w:t>
      </w:r>
      <w:r w:rsidRPr="007528A3">
        <w:rPr>
          <w:rFonts w:eastAsia="SimSun"/>
          <w:snapToGrid w:val="0"/>
          <w:lang w:eastAsia="ja-JP"/>
        </w:rPr>
        <w:t>“Contributing data to the PLUTO database”</w:t>
      </w:r>
      <w:r>
        <w:rPr>
          <w:rFonts w:eastAsia="SimSun"/>
          <w:snapToGrid w:val="0"/>
          <w:lang w:eastAsia="ja-JP"/>
        </w:rPr>
        <w:t xml:space="preserve"> </w:t>
      </w:r>
      <w:r>
        <w:rPr>
          <w:rFonts w:hint="eastAsia"/>
          <w:snapToGrid w:val="0"/>
          <w:lang w:eastAsia="ja-JP"/>
        </w:rPr>
        <w:t>was held in Geneva, from September</w:t>
      </w:r>
      <w:r w:rsidR="00530455">
        <w:rPr>
          <w:snapToGrid w:val="0"/>
          <w:lang w:eastAsia="ja-JP"/>
        </w:rPr>
        <w:t> </w:t>
      </w:r>
      <w:r>
        <w:rPr>
          <w:rFonts w:hint="eastAsia"/>
          <w:snapToGrid w:val="0"/>
          <w:lang w:eastAsia="ja-JP"/>
        </w:rPr>
        <w:t>7 to 9</w:t>
      </w:r>
      <w:r>
        <w:rPr>
          <w:snapToGrid w:val="0"/>
          <w:lang w:eastAsia="ja-JP"/>
        </w:rPr>
        <w:t>, 2015</w:t>
      </w:r>
      <w:r>
        <w:rPr>
          <w:rFonts w:hint="eastAsia"/>
          <w:snapToGrid w:val="0"/>
          <w:lang w:eastAsia="ja-JP"/>
        </w:rPr>
        <w:t xml:space="preserve"> </w:t>
      </w:r>
      <w:r>
        <w:rPr>
          <w:snapToGrid w:val="0"/>
          <w:lang w:eastAsia="ja-JP"/>
        </w:rPr>
        <w:t xml:space="preserve">in </w:t>
      </w:r>
      <w:r>
        <w:rPr>
          <w:rFonts w:hint="eastAsia"/>
          <w:snapToGrid w:val="0"/>
          <w:lang w:eastAsia="ja-JP"/>
        </w:rPr>
        <w:t xml:space="preserve">English.  </w:t>
      </w:r>
      <w:r>
        <w:rPr>
          <w:rFonts w:cs="Arial"/>
          <w:sz w:val="19"/>
          <w:szCs w:val="19"/>
        </w:rPr>
        <w:t>The aim of the course was to provide assistance to members of the Union that did not provide data</w:t>
      </w:r>
      <w:r>
        <w:rPr>
          <w:rFonts w:cs="Arial" w:hint="eastAsia"/>
          <w:sz w:val="19"/>
          <w:szCs w:val="19"/>
          <w:lang w:eastAsia="ja-JP"/>
        </w:rPr>
        <w:t xml:space="preserve"> </w:t>
      </w:r>
      <w:r>
        <w:rPr>
          <w:rFonts w:cs="Arial"/>
          <w:sz w:val="19"/>
          <w:szCs w:val="19"/>
        </w:rPr>
        <w:t>for the PLUTO database, or did not provide data on a regular basis, in order to enable them to provide data</w:t>
      </w:r>
      <w:r>
        <w:rPr>
          <w:rFonts w:cs="Arial" w:hint="eastAsia"/>
          <w:sz w:val="19"/>
          <w:szCs w:val="19"/>
          <w:lang w:eastAsia="ja-JP"/>
        </w:rPr>
        <w:t xml:space="preserve"> </w:t>
      </w:r>
      <w:r>
        <w:rPr>
          <w:rFonts w:cs="Arial"/>
          <w:sz w:val="19"/>
          <w:szCs w:val="19"/>
        </w:rPr>
        <w:t xml:space="preserve">for the PLUTO database on a regular basis. </w:t>
      </w:r>
    </w:p>
    <w:p w:rsidR="00923D12" w:rsidRDefault="00923D12" w:rsidP="00923D12">
      <w:pPr>
        <w:rPr>
          <w:snapToGrid w:val="0"/>
          <w:lang w:eastAsia="ja-JP"/>
        </w:rPr>
      </w:pPr>
    </w:p>
    <w:p w:rsidR="00923D12" w:rsidRDefault="00923D12" w:rsidP="00923D12">
      <w:pPr>
        <w:rPr>
          <w:rFonts w:cs="Arial"/>
          <w:sz w:val="19"/>
          <w:szCs w:val="19"/>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Pr>
          <w:rFonts w:cs="Arial"/>
          <w:sz w:val="19"/>
          <w:szCs w:val="19"/>
        </w:rPr>
        <w:t xml:space="preserve">The training course was attended by </w:t>
      </w:r>
      <w:r w:rsidR="00530455">
        <w:rPr>
          <w:rFonts w:cs="Arial" w:hint="eastAsia"/>
          <w:sz w:val="19"/>
          <w:szCs w:val="19"/>
          <w:lang w:eastAsia="ja-JP"/>
        </w:rPr>
        <w:t>the following</w:t>
      </w:r>
      <w:r>
        <w:rPr>
          <w:rFonts w:cs="Arial"/>
          <w:sz w:val="19"/>
          <w:szCs w:val="19"/>
        </w:rPr>
        <w:t xml:space="preserve"> participants from </w:t>
      </w:r>
      <w:r>
        <w:rPr>
          <w:rFonts w:cs="Arial" w:hint="eastAsia"/>
          <w:sz w:val="19"/>
          <w:szCs w:val="19"/>
          <w:lang w:eastAsia="ja-JP"/>
        </w:rPr>
        <w:t>three</w:t>
      </w:r>
      <w:r>
        <w:rPr>
          <w:rFonts w:cs="Arial"/>
          <w:sz w:val="19"/>
          <w:szCs w:val="19"/>
        </w:rPr>
        <w:t xml:space="preserve"> members of the Union: </w:t>
      </w:r>
      <w:r w:rsidR="008C12CB">
        <w:rPr>
          <w:rFonts w:cs="Arial" w:hint="eastAsia"/>
          <w:sz w:val="19"/>
          <w:szCs w:val="19"/>
          <w:lang w:eastAsia="ja-JP"/>
        </w:rPr>
        <w:t>Oman; South Africa; and the F</w:t>
      </w:r>
      <w:r>
        <w:rPr>
          <w:rFonts w:cs="Arial" w:hint="eastAsia"/>
          <w:sz w:val="19"/>
          <w:szCs w:val="19"/>
          <w:lang w:eastAsia="ja-JP"/>
        </w:rPr>
        <w:t>ormer Yugoslav Republic of Macedonia.</w:t>
      </w:r>
    </w:p>
    <w:p w:rsidR="00923D12" w:rsidRDefault="00923D12" w:rsidP="00923D12">
      <w:pPr>
        <w:autoSpaceDE w:val="0"/>
        <w:autoSpaceDN w:val="0"/>
        <w:adjustRightInd w:val="0"/>
        <w:jc w:val="left"/>
        <w:rPr>
          <w:rFonts w:cs="Arial"/>
          <w:sz w:val="19"/>
          <w:szCs w:val="19"/>
          <w:lang w:eastAsia="ja-JP"/>
        </w:rPr>
      </w:pPr>
    </w:p>
    <w:p w:rsidR="00923D12" w:rsidRPr="00923D12" w:rsidRDefault="00923D12" w:rsidP="000B178E">
      <w:pPr>
        <w:autoSpaceDE w:val="0"/>
        <w:autoSpaceDN w:val="0"/>
        <w:adjustRightInd w:val="0"/>
        <w:rPr>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Pr>
          <w:rFonts w:hint="eastAsia"/>
          <w:snapToGrid w:val="0"/>
          <w:lang w:eastAsia="ja-JP"/>
        </w:rPr>
        <w:t>The participant from Sou</w:t>
      </w:r>
      <w:r w:rsidR="000B178E">
        <w:rPr>
          <w:rFonts w:hint="eastAsia"/>
          <w:snapToGrid w:val="0"/>
          <w:lang w:eastAsia="ja-JP"/>
        </w:rPr>
        <w:t>th Africa re</w:t>
      </w:r>
      <w:r w:rsidR="00530455">
        <w:rPr>
          <w:rFonts w:hint="eastAsia"/>
          <w:snapToGrid w:val="0"/>
          <w:lang w:eastAsia="ja-JP"/>
        </w:rPr>
        <w:t>ported</w:t>
      </w:r>
      <w:r w:rsidR="000B178E">
        <w:rPr>
          <w:rFonts w:hint="eastAsia"/>
          <w:snapToGrid w:val="0"/>
          <w:lang w:eastAsia="ja-JP"/>
        </w:rPr>
        <w:t xml:space="preserve"> that it would</w:t>
      </w:r>
      <w:r>
        <w:rPr>
          <w:rFonts w:hint="eastAsia"/>
          <w:snapToGrid w:val="0"/>
          <w:lang w:eastAsia="ja-JP"/>
        </w:rPr>
        <w:t xml:space="preserve"> </w:t>
      </w:r>
      <w:r>
        <w:rPr>
          <w:rFonts w:cs="Arial"/>
          <w:sz w:val="19"/>
          <w:szCs w:val="19"/>
        </w:rPr>
        <w:t xml:space="preserve">provide data to PLUTO </w:t>
      </w:r>
      <w:r w:rsidR="000B178E">
        <w:rPr>
          <w:rFonts w:cs="Arial" w:hint="eastAsia"/>
          <w:sz w:val="19"/>
          <w:szCs w:val="19"/>
          <w:lang w:eastAsia="ja-JP"/>
        </w:rPr>
        <w:t xml:space="preserve">from December, 2015, </w:t>
      </w:r>
      <w:r w:rsidR="006A1DC4">
        <w:rPr>
          <w:rFonts w:cs="Arial" w:hint="eastAsia"/>
          <w:sz w:val="19"/>
          <w:szCs w:val="19"/>
          <w:lang w:eastAsia="ja-JP"/>
        </w:rPr>
        <w:t>after</w:t>
      </w:r>
      <w:r w:rsidR="00530455">
        <w:rPr>
          <w:rFonts w:cs="Arial" w:hint="eastAsia"/>
          <w:sz w:val="19"/>
          <w:szCs w:val="19"/>
          <w:lang w:eastAsia="ja-JP"/>
        </w:rPr>
        <w:t xml:space="preserve"> publicatio</w:t>
      </w:r>
      <w:r>
        <w:rPr>
          <w:rFonts w:cs="Arial"/>
          <w:sz w:val="19"/>
          <w:szCs w:val="19"/>
        </w:rPr>
        <w:t>n</w:t>
      </w:r>
      <w:r w:rsidR="00530455">
        <w:rPr>
          <w:rFonts w:cs="Arial" w:hint="eastAsia"/>
          <w:sz w:val="19"/>
          <w:szCs w:val="19"/>
          <w:lang w:eastAsia="ja-JP"/>
        </w:rPr>
        <w:t>, four times a year</w:t>
      </w:r>
      <w:r w:rsidR="000B178E">
        <w:rPr>
          <w:rFonts w:cs="Arial" w:hint="eastAsia"/>
          <w:sz w:val="19"/>
          <w:szCs w:val="19"/>
          <w:lang w:eastAsia="ja-JP"/>
        </w:rPr>
        <w:t>.</w:t>
      </w:r>
    </w:p>
    <w:p w:rsidR="00923D12" w:rsidRPr="00923D12" w:rsidRDefault="00923D12" w:rsidP="00923D12">
      <w:pPr>
        <w:autoSpaceDE w:val="0"/>
        <w:autoSpaceDN w:val="0"/>
        <w:adjustRightInd w:val="0"/>
        <w:jc w:val="left"/>
        <w:rPr>
          <w:rFonts w:cs="Arial"/>
          <w:sz w:val="19"/>
          <w:szCs w:val="19"/>
          <w:lang w:eastAsia="ja-JP"/>
        </w:rPr>
      </w:pPr>
    </w:p>
    <w:p w:rsidR="00923D12" w:rsidRDefault="000B178E" w:rsidP="000B178E">
      <w:pPr>
        <w:autoSpaceDE w:val="0"/>
        <w:autoSpaceDN w:val="0"/>
        <w:adjustRightInd w:val="0"/>
        <w:rPr>
          <w:rFonts w:cs="Arial"/>
          <w:sz w:val="19"/>
          <w:szCs w:val="19"/>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Pr>
          <w:rFonts w:hint="eastAsia"/>
          <w:snapToGrid w:val="0"/>
          <w:lang w:eastAsia="ja-JP"/>
        </w:rPr>
        <w:t xml:space="preserve">The participants from Oman and </w:t>
      </w:r>
      <w:r>
        <w:rPr>
          <w:rFonts w:cs="Arial" w:hint="eastAsia"/>
          <w:sz w:val="19"/>
          <w:szCs w:val="19"/>
          <w:lang w:eastAsia="ja-JP"/>
        </w:rPr>
        <w:t xml:space="preserve">the former Yugoslav Republic of Macedonia </w:t>
      </w:r>
      <w:r w:rsidR="006A1DC4">
        <w:rPr>
          <w:rFonts w:cs="Arial" w:hint="eastAsia"/>
          <w:sz w:val="19"/>
          <w:szCs w:val="19"/>
          <w:lang w:eastAsia="ja-JP"/>
        </w:rPr>
        <w:t>report</w:t>
      </w:r>
      <w:r>
        <w:rPr>
          <w:rFonts w:cs="Arial" w:hint="eastAsia"/>
          <w:sz w:val="19"/>
          <w:szCs w:val="19"/>
          <w:lang w:eastAsia="ja-JP"/>
        </w:rPr>
        <w:t>ed</w:t>
      </w:r>
      <w:r w:rsidR="006A1DC4">
        <w:rPr>
          <w:rFonts w:cs="Arial" w:hint="eastAsia"/>
          <w:sz w:val="19"/>
          <w:szCs w:val="19"/>
          <w:lang w:eastAsia="ja-JP"/>
        </w:rPr>
        <w:t xml:space="preserve"> that they had not received </w:t>
      </w:r>
      <w:r>
        <w:rPr>
          <w:rFonts w:cs="Arial" w:hint="eastAsia"/>
          <w:sz w:val="19"/>
          <w:szCs w:val="19"/>
          <w:lang w:eastAsia="ja-JP"/>
        </w:rPr>
        <w:t>applications</w:t>
      </w:r>
      <w:r w:rsidR="007C0D12">
        <w:rPr>
          <w:rFonts w:cs="Arial" w:hint="eastAsia"/>
          <w:sz w:val="19"/>
          <w:szCs w:val="19"/>
          <w:lang w:eastAsia="ja-JP"/>
        </w:rPr>
        <w:t xml:space="preserve"> and expressed their inten</w:t>
      </w:r>
      <w:r w:rsidR="007C0D12">
        <w:rPr>
          <w:rFonts w:cs="Arial"/>
          <w:sz w:val="19"/>
          <w:szCs w:val="19"/>
          <w:lang w:eastAsia="ja-JP"/>
        </w:rPr>
        <w:t>t</w:t>
      </w:r>
      <w:r w:rsidR="00530455">
        <w:rPr>
          <w:rFonts w:cs="Arial" w:hint="eastAsia"/>
          <w:sz w:val="19"/>
          <w:szCs w:val="19"/>
          <w:lang w:eastAsia="ja-JP"/>
        </w:rPr>
        <w:t xml:space="preserve">ion to submit data </w:t>
      </w:r>
      <w:r>
        <w:rPr>
          <w:rFonts w:cs="Arial" w:hint="eastAsia"/>
          <w:sz w:val="19"/>
          <w:szCs w:val="19"/>
          <w:lang w:eastAsia="ja-JP"/>
        </w:rPr>
        <w:t>to PLUTO</w:t>
      </w:r>
      <w:r w:rsidR="00530455">
        <w:rPr>
          <w:rFonts w:cs="Arial" w:hint="eastAsia"/>
          <w:sz w:val="19"/>
          <w:szCs w:val="19"/>
          <w:lang w:eastAsia="ja-JP"/>
        </w:rPr>
        <w:t xml:space="preserve"> once applications were received</w:t>
      </w:r>
      <w:r>
        <w:rPr>
          <w:rFonts w:cs="Arial" w:hint="eastAsia"/>
          <w:sz w:val="19"/>
          <w:szCs w:val="19"/>
          <w:lang w:eastAsia="ja-JP"/>
        </w:rPr>
        <w:t>.</w:t>
      </w:r>
    </w:p>
    <w:p w:rsidR="000B178E" w:rsidRDefault="000B178E" w:rsidP="00923D12">
      <w:pPr>
        <w:autoSpaceDE w:val="0"/>
        <w:autoSpaceDN w:val="0"/>
        <w:adjustRightInd w:val="0"/>
        <w:jc w:val="left"/>
        <w:rPr>
          <w:rFonts w:cs="Arial"/>
          <w:sz w:val="19"/>
          <w:szCs w:val="19"/>
          <w:lang w:eastAsia="ja-JP"/>
        </w:rPr>
      </w:pPr>
    </w:p>
    <w:p w:rsidR="00DA327B" w:rsidRDefault="0032753C" w:rsidP="0032753C">
      <w:pPr>
        <w:rPr>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7C0D12">
        <w:rPr>
          <w:snapToGrid w:val="0"/>
          <w:lang w:eastAsia="ja-JP"/>
        </w:rPr>
        <w:t>The</w:t>
      </w:r>
      <w:r w:rsidR="00CB0459">
        <w:rPr>
          <w:rFonts w:eastAsia="SimSun"/>
          <w:snapToGrid w:val="0"/>
          <w:lang w:eastAsia="ja-JP"/>
        </w:rPr>
        <w:t xml:space="preserve"> </w:t>
      </w:r>
      <w:r w:rsidR="007C0D12">
        <w:rPr>
          <w:rFonts w:eastAsia="SimSun"/>
          <w:snapToGrid w:val="0"/>
          <w:lang w:eastAsia="ja-JP"/>
        </w:rPr>
        <w:t xml:space="preserve">third </w:t>
      </w:r>
      <w:r w:rsidRPr="007528A3">
        <w:rPr>
          <w:rFonts w:eastAsia="SimSun"/>
          <w:snapToGrid w:val="0"/>
          <w:lang w:eastAsia="ja-JP"/>
        </w:rPr>
        <w:t xml:space="preserve">training course </w:t>
      </w:r>
      <w:r w:rsidR="00CB0459">
        <w:rPr>
          <w:rFonts w:eastAsia="SimSun"/>
          <w:snapToGrid w:val="0"/>
          <w:lang w:eastAsia="ja-JP"/>
        </w:rPr>
        <w:t xml:space="preserve">on </w:t>
      </w:r>
      <w:r w:rsidRPr="007528A3">
        <w:rPr>
          <w:rFonts w:eastAsia="SimSun"/>
          <w:snapToGrid w:val="0"/>
          <w:lang w:eastAsia="ja-JP"/>
        </w:rPr>
        <w:t>“Contributing data to the PLUTO database”</w:t>
      </w:r>
      <w:r w:rsidR="00CB0459">
        <w:rPr>
          <w:rFonts w:eastAsia="SimSun"/>
          <w:snapToGrid w:val="0"/>
          <w:lang w:eastAsia="ja-JP"/>
        </w:rPr>
        <w:t xml:space="preserve"> </w:t>
      </w:r>
      <w:r w:rsidR="00923D12">
        <w:rPr>
          <w:rFonts w:hint="eastAsia"/>
          <w:snapToGrid w:val="0"/>
          <w:lang w:eastAsia="ja-JP"/>
        </w:rPr>
        <w:t>is</w:t>
      </w:r>
      <w:r w:rsidRPr="007528A3">
        <w:rPr>
          <w:rFonts w:eastAsia="SimSun"/>
          <w:snapToGrid w:val="0"/>
          <w:lang w:eastAsia="ja-JP"/>
        </w:rPr>
        <w:t xml:space="preserve"> </w:t>
      </w:r>
      <w:r w:rsidR="00DA327B">
        <w:rPr>
          <w:rFonts w:hint="eastAsia"/>
          <w:snapToGrid w:val="0"/>
          <w:lang w:eastAsia="ja-JP"/>
        </w:rPr>
        <w:t xml:space="preserve">planned to be held </w:t>
      </w:r>
      <w:r w:rsidR="00923D12">
        <w:rPr>
          <w:rFonts w:hint="eastAsia"/>
          <w:snapToGrid w:val="0"/>
          <w:lang w:eastAsia="ja-JP"/>
        </w:rPr>
        <w:t xml:space="preserve">in Geneva, </w:t>
      </w:r>
      <w:r w:rsidR="00DA327B">
        <w:rPr>
          <w:rFonts w:hint="eastAsia"/>
          <w:snapToGrid w:val="0"/>
          <w:lang w:eastAsia="ja-JP"/>
        </w:rPr>
        <w:t xml:space="preserve">from October </w:t>
      </w:r>
      <w:r w:rsidR="007C0D12">
        <w:rPr>
          <w:snapToGrid w:val="0"/>
          <w:lang w:eastAsia="ja-JP"/>
        </w:rPr>
        <w:t>12</w:t>
      </w:r>
      <w:r w:rsidR="00DA327B">
        <w:rPr>
          <w:rFonts w:hint="eastAsia"/>
          <w:snapToGrid w:val="0"/>
          <w:lang w:eastAsia="ja-JP"/>
        </w:rPr>
        <w:t xml:space="preserve"> to </w:t>
      </w:r>
      <w:r w:rsidR="007C0D12">
        <w:rPr>
          <w:snapToGrid w:val="0"/>
          <w:lang w:eastAsia="ja-JP"/>
        </w:rPr>
        <w:t>14</w:t>
      </w:r>
      <w:r w:rsidR="00CB0459">
        <w:rPr>
          <w:snapToGrid w:val="0"/>
          <w:lang w:eastAsia="ja-JP"/>
        </w:rPr>
        <w:t>, 2015</w:t>
      </w:r>
      <w:r w:rsidR="00530455">
        <w:rPr>
          <w:rFonts w:hint="eastAsia"/>
          <w:snapToGrid w:val="0"/>
          <w:lang w:eastAsia="ja-JP"/>
        </w:rPr>
        <w:t>,</w:t>
      </w:r>
      <w:r w:rsidR="00DA327B">
        <w:rPr>
          <w:rFonts w:hint="eastAsia"/>
          <w:snapToGrid w:val="0"/>
          <w:lang w:eastAsia="ja-JP"/>
        </w:rPr>
        <w:t xml:space="preserve"> </w:t>
      </w:r>
      <w:r w:rsidR="00CB0459">
        <w:rPr>
          <w:snapToGrid w:val="0"/>
          <w:lang w:eastAsia="ja-JP"/>
        </w:rPr>
        <w:t xml:space="preserve">in </w:t>
      </w:r>
      <w:r w:rsidR="00DA327B">
        <w:rPr>
          <w:rFonts w:hint="eastAsia"/>
          <w:snapToGrid w:val="0"/>
          <w:lang w:eastAsia="ja-JP"/>
        </w:rPr>
        <w:t>Spanish</w:t>
      </w:r>
      <w:r w:rsidR="00F90763">
        <w:rPr>
          <w:rFonts w:hint="eastAsia"/>
          <w:snapToGrid w:val="0"/>
          <w:lang w:eastAsia="ja-JP"/>
        </w:rPr>
        <w:t>.</w:t>
      </w:r>
    </w:p>
    <w:p w:rsidR="00DA327B" w:rsidRDefault="00DA327B" w:rsidP="0032753C">
      <w:pPr>
        <w:rPr>
          <w:snapToGrid w:val="0"/>
          <w:lang w:eastAsia="ja-JP"/>
        </w:rPr>
      </w:pPr>
    </w:p>
    <w:p w:rsidR="00F66E48" w:rsidRDefault="00F66E48" w:rsidP="0032753C">
      <w:pPr>
        <w:rPr>
          <w:snapToGrid w:val="0"/>
          <w:lang w:eastAsia="ja-JP"/>
        </w:rPr>
      </w:pPr>
    </w:p>
    <w:p w:rsidR="00454FEA" w:rsidRDefault="00454FEA" w:rsidP="00454FEA">
      <w:pPr>
        <w:pStyle w:val="Heading2"/>
        <w:rPr>
          <w:snapToGrid w:val="0"/>
          <w:lang w:eastAsia="ja-JP"/>
        </w:rPr>
      </w:pPr>
      <w:bookmarkStart w:id="13" w:name="_Toc431478166"/>
      <w:r>
        <w:rPr>
          <w:rFonts w:hint="eastAsia"/>
          <w:snapToGrid w:val="0"/>
          <w:lang w:eastAsia="ja-JP"/>
        </w:rPr>
        <w:t>Proposal</w:t>
      </w:r>
      <w:r w:rsidR="00D22E74">
        <w:rPr>
          <w:rFonts w:hint="eastAsia"/>
          <w:snapToGrid w:val="0"/>
          <w:lang w:eastAsia="ja-JP"/>
        </w:rPr>
        <w:t>s</w:t>
      </w:r>
      <w:r>
        <w:rPr>
          <w:rFonts w:hint="eastAsia"/>
          <w:snapToGrid w:val="0"/>
          <w:lang w:eastAsia="ja-JP"/>
        </w:rPr>
        <w:t xml:space="preserve"> from </w:t>
      </w:r>
      <w:r w:rsidR="00CB0459">
        <w:rPr>
          <w:snapToGrid w:val="0"/>
          <w:lang w:eastAsia="ja-JP"/>
        </w:rPr>
        <w:t xml:space="preserve">the </w:t>
      </w:r>
      <w:r>
        <w:rPr>
          <w:rFonts w:hint="eastAsia"/>
          <w:snapToGrid w:val="0"/>
          <w:lang w:eastAsia="ja-JP"/>
        </w:rPr>
        <w:t>WG-DST</w:t>
      </w:r>
      <w:bookmarkEnd w:id="13"/>
    </w:p>
    <w:p w:rsidR="00D22E74" w:rsidRDefault="00D22E74" w:rsidP="00CB0459">
      <w:pPr>
        <w:keepNext/>
        <w:rPr>
          <w:lang w:eastAsia="ja-JP"/>
        </w:rPr>
      </w:pPr>
    </w:p>
    <w:p w:rsidR="00D22E74" w:rsidRDefault="00D22E74" w:rsidP="00D22E74">
      <w:pPr>
        <w:rPr>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Pr="00D22E74">
        <w:rPr>
          <w:lang w:eastAsia="ja-JP"/>
        </w:rPr>
        <w:t>The background to this matter is provided in document CAJ/71/3 “Variety denominations”.</w:t>
      </w:r>
    </w:p>
    <w:p w:rsidR="00D22E74" w:rsidRDefault="00D22E74" w:rsidP="00F66E48">
      <w:pPr>
        <w:spacing w:line="360" w:lineRule="auto"/>
        <w:rPr>
          <w:lang w:eastAsia="ja-JP"/>
        </w:rPr>
      </w:pPr>
    </w:p>
    <w:p w:rsidR="00014D5F" w:rsidRDefault="00014D5F" w:rsidP="00F66E48">
      <w:pPr>
        <w:pStyle w:val="Heading3"/>
        <w:rPr>
          <w:lang w:eastAsia="ja-JP"/>
        </w:rPr>
      </w:pPr>
      <w:bookmarkStart w:id="14" w:name="_Toc431478167"/>
      <w:r>
        <w:rPr>
          <w:rFonts w:hint="eastAsia"/>
          <w:lang w:eastAsia="ja-JP"/>
        </w:rPr>
        <w:t>Accents and special characters</w:t>
      </w:r>
      <w:bookmarkEnd w:id="14"/>
    </w:p>
    <w:p w:rsidR="00014D5F" w:rsidRDefault="00014D5F" w:rsidP="00F66E48">
      <w:pPr>
        <w:keepNext/>
        <w:rPr>
          <w:lang w:eastAsia="ja-JP"/>
        </w:rPr>
      </w:pPr>
    </w:p>
    <w:p w:rsidR="00014D5F" w:rsidRDefault="00D22E74" w:rsidP="001A7AB7">
      <w:pPr>
        <w:spacing w:after="240"/>
        <w:rPr>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014D5F">
        <w:rPr>
          <w:rFonts w:hint="eastAsia"/>
          <w:lang w:eastAsia="ja-JP"/>
        </w:rPr>
        <w:t>The WG-DST</w:t>
      </w:r>
      <w:r w:rsidR="00530455">
        <w:rPr>
          <w:rFonts w:hint="eastAsia"/>
          <w:lang w:eastAsia="ja-JP"/>
        </w:rPr>
        <w:t>, at its second meeting</w:t>
      </w:r>
      <w:r w:rsidR="00C60AFC">
        <w:rPr>
          <w:lang w:eastAsia="ja-JP"/>
        </w:rPr>
        <w:t>,</w:t>
      </w:r>
      <w:r w:rsidR="00530455">
        <w:rPr>
          <w:rStyle w:val="FootnoteReference"/>
          <w:lang w:eastAsia="ja-JP"/>
        </w:rPr>
        <w:footnoteReference w:id="14"/>
      </w:r>
      <w:r w:rsidR="00014D5F">
        <w:rPr>
          <w:rFonts w:hint="eastAsia"/>
          <w:lang w:eastAsia="ja-JP"/>
        </w:rPr>
        <w:t xml:space="preserve"> considered document </w:t>
      </w:r>
      <w:r w:rsidR="00E00FFC">
        <w:rPr>
          <w:rFonts w:hint="eastAsia"/>
          <w:lang w:eastAsia="ja-JP"/>
        </w:rPr>
        <w:t>UPOV/</w:t>
      </w:r>
      <w:r w:rsidR="00014D5F">
        <w:rPr>
          <w:rFonts w:hint="eastAsia"/>
          <w:lang w:eastAsia="ja-JP"/>
        </w:rPr>
        <w:t>WG-DST</w:t>
      </w:r>
      <w:r w:rsidR="00014D5F">
        <w:rPr>
          <w:lang w:eastAsia="ja-JP"/>
        </w:rPr>
        <w:t>/2/</w:t>
      </w:r>
      <w:r w:rsidR="00014D5F">
        <w:rPr>
          <w:rFonts w:hint="eastAsia"/>
          <w:lang w:eastAsia="ja-JP"/>
        </w:rPr>
        <w:t>5</w:t>
      </w:r>
      <w:r w:rsidR="00014D5F">
        <w:rPr>
          <w:lang w:eastAsia="ja-JP"/>
        </w:rPr>
        <w:t xml:space="preserve"> “</w:t>
      </w:r>
      <w:r w:rsidR="00014D5F">
        <w:rPr>
          <w:rFonts w:hint="eastAsia"/>
          <w:lang w:eastAsia="ja-JP"/>
        </w:rPr>
        <w:t>Linguistic issues</w:t>
      </w:r>
      <w:r w:rsidR="00014D5F">
        <w:rPr>
          <w:lang w:eastAsia="ja-JP"/>
        </w:rPr>
        <w:t>”</w:t>
      </w:r>
      <w:r w:rsidR="00014D5F">
        <w:rPr>
          <w:rFonts w:hint="eastAsia"/>
          <w:lang w:eastAsia="ja-JP"/>
        </w:rPr>
        <w:t>.</w:t>
      </w:r>
    </w:p>
    <w:p w:rsidR="00014D5F" w:rsidRPr="00C60AFC" w:rsidRDefault="00014D5F" w:rsidP="00014D5F">
      <w:pPr>
        <w:rPr>
          <w:rFonts w:cs="Arial"/>
          <w:spacing w:val="-2"/>
          <w:lang w:eastAsia="ja-JP"/>
        </w:rPr>
      </w:pPr>
      <w:r w:rsidRPr="00C60AFC">
        <w:rPr>
          <w:spacing w:val="-2"/>
        </w:rPr>
        <w:lastRenderedPageBreak/>
        <w:fldChar w:fldCharType="begin"/>
      </w:r>
      <w:r w:rsidRPr="00C60AFC">
        <w:rPr>
          <w:spacing w:val="-2"/>
        </w:rPr>
        <w:instrText xml:space="preserve"> AUTONUM  </w:instrText>
      </w:r>
      <w:r w:rsidRPr="00C60AFC">
        <w:rPr>
          <w:spacing w:val="-2"/>
        </w:rPr>
        <w:fldChar w:fldCharType="end"/>
      </w:r>
      <w:r w:rsidRPr="00C60AFC">
        <w:rPr>
          <w:spacing w:val="-2"/>
        </w:rPr>
        <w:tab/>
      </w:r>
      <w:r w:rsidRPr="00C60AFC">
        <w:rPr>
          <w:rFonts w:hint="eastAsia"/>
          <w:spacing w:val="-2"/>
          <w:lang w:eastAsia="ja-JP"/>
        </w:rPr>
        <w:t>The WG-DST agreed that it would be useful to provide the possibility to accept</w:t>
      </w:r>
      <w:r w:rsidRPr="00C60AFC">
        <w:rPr>
          <w:rFonts w:cs="Arial" w:hint="eastAsia"/>
          <w:spacing w:val="-2"/>
        </w:rPr>
        <w:t xml:space="preserve"> accents and special characters </w:t>
      </w:r>
      <w:r w:rsidRPr="00C60AFC">
        <w:rPr>
          <w:rFonts w:cs="Arial" w:hint="eastAsia"/>
          <w:spacing w:val="-2"/>
          <w:lang w:eastAsia="ja-JP"/>
        </w:rPr>
        <w:t>in</w:t>
      </w:r>
      <w:r w:rsidRPr="00C60AFC">
        <w:rPr>
          <w:rFonts w:cs="Arial" w:hint="eastAsia"/>
          <w:spacing w:val="-2"/>
        </w:rPr>
        <w:t xml:space="preserve"> denominations</w:t>
      </w:r>
      <w:r w:rsidRPr="00C60AFC">
        <w:rPr>
          <w:rFonts w:cs="Arial" w:hint="eastAsia"/>
          <w:spacing w:val="-2"/>
          <w:lang w:eastAsia="ja-JP"/>
        </w:rPr>
        <w:t xml:space="preserve"> in the PLUTO database.</w:t>
      </w:r>
      <w:r w:rsidR="007C0D12" w:rsidRPr="00C60AFC">
        <w:rPr>
          <w:rFonts w:cs="Arial"/>
          <w:spacing w:val="-2"/>
          <w:lang w:eastAsia="ja-JP"/>
        </w:rPr>
        <w:t xml:space="preserve">  It</w:t>
      </w:r>
      <w:r w:rsidRPr="00C60AFC">
        <w:rPr>
          <w:rFonts w:hint="eastAsia"/>
          <w:spacing w:val="-2"/>
          <w:lang w:eastAsia="ja-JP"/>
        </w:rPr>
        <w:t xml:space="preserve"> n</w:t>
      </w:r>
      <w:r w:rsidRPr="00C60AFC">
        <w:rPr>
          <w:rFonts w:cs="Arial" w:hint="eastAsia"/>
          <w:spacing w:val="-2"/>
        </w:rPr>
        <w:t>oted</w:t>
      </w:r>
      <w:r w:rsidRPr="00C60AFC">
        <w:rPr>
          <w:rFonts w:cs="Arial"/>
          <w:spacing w:val="-2"/>
        </w:rPr>
        <w:t xml:space="preserve"> </w:t>
      </w:r>
      <w:r w:rsidRPr="00C60AFC">
        <w:rPr>
          <w:rFonts w:cs="Arial" w:hint="eastAsia"/>
          <w:spacing w:val="-2"/>
          <w:lang w:eastAsia="ja-JP"/>
        </w:rPr>
        <w:t xml:space="preserve">that, although the </w:t>
      </w:r>
      <w:r w:rsidRPr="00C60AFC">
        <w:rPr>
          <w:rFonts w:cs="Arial" w:hint="eastAsia"/>
          <w:spacing w:val="-2"/>
        </w:rPr>
        <w:t>PLUTO</w:t>
      </w:r>
      <w:r w:rsidRPr="00C60AFC">
        <w:rPr>
          <w:rFonts w:cs="Arial" w:hint="eastAsia"/>
          <w:spacing w:val="-2"/>
          <w:lang w:eastAsia="ja-JP"/>
        </w:rPr>
        <w:t xml:space="preserve"> database</w:t>
      </w:r>
      <w:r w:rsidRPr="00C60AFC">
        <w:rPr>
          <w:rFonts w:cs="Arial" w:hint="eastAsia"/>
          <w:spacing w:val="-2"/>
        </w:rPr>
        <w:t xml:space="preserve"> d</w:t>
      </w:r>
      <w:r w:rsidRPr="00C60AFC">
        <w:rPr>
          <w:rFonts w:cs="Arial" w:hint="eastAsia"/>
          <w:spacing w:val="-2"/>
          <w:lang w:eastAsia="ja-JP"/>
        </w:rPr>
        <w:t>id</w:t>
      </w:r>
      <w:r w:rsidRPr="00C60AFC">
        <w:rPr>
          <w:rFonts w:cs="Arial" w:hint="eastAsia"/>
          <w:spacing w:val="-2"/>
        </w:rPr>
        <w:t xml:space="preserve"> not </w:t>
      </w:r>
      <w:r w:rsidRPr="00C60AFC">
        <w:rPr>
          <w:rFonts w:cs="Arial" w:hint="eastAsia"/>
          <w:spacing w:val="-2"/>
          <w:lang w:eastAsia="ja-JP"/>
        </w:rPr>
        <w:t xml:space="preserve">currently </w:t>
      </w:r>
      <w:r w:rsidRPr="00C60AFC">
        <w:rPr>
          <w:rFonts w:cs="Arial" w:hint="eastAsia"/>
          <w:spacing w:val="-2"/>
        </w:rPr>
        <w:t>contain accents</w:t>
      </w:r>
      <w:r w:rsidRPr="00C60AFC">
        <w:rPr>
          <w:rFonts w:cs="Arial" w:hint="eastAsia"/>
          <w:spacing w:val="-2"/>
          <w:lang w:eastAsia="ja-JP"/>
        </w:rPr>
        <w:t xml:space="preserve"> and </w:t>
      </w:r>
      <w:r w:rsidRPr="00C60AFC">
        <w:rPr>
          <w:rFonts w:cs="Arial" w:hint="eastAsia"/>
          <w:spacing w:val="-2"/>
        </w:rPr>
        <w:t>special characters</w:t>
      </w:r>
      <w:r w:rsidR="00C60AFC" w:rsidRPr="00C60AFC">
        <w:rPr>
          <w:rFonts w:cs="Arial"/>
          <w:spacing w:val="-2"/>
        </w:rPr>
        <w:t>,</w:t>
      </w:r>
      <w:r w:rsidR="007C0D12" w:rsidRPr="00C60AFC">
        <w:rPr>
          <w:rStyle w:val="FootnoteReference"/>
          <w:rFonts w:cs="Arial"/>
          <w:spacing w:val="-2"/>
        </w:rPr>
        <w:footnoteReference w:id="15"/>
      </w:r>
      <w:r w:rsidR="00C60AFC" w:rsidRPr="00C60AFC">
        <w:rPr>
          <w:rFonts w:cs="Arial"/>
          <w:spacing w:val="-2"/>
          <w:vertAlign w:val="superscript"/>
        </w:rPr>
        <w:t>,</w:t>
      </w:r>
      <w:r w:rsidR="00C60AFC" w:rsidRPr="00C60AFC">
        <w:rPr>
          <w:rStyle w:val="FootnoteReference"/>
          <w:rFonts w:cs="Arial"/>
          <w:spacing w:val="-2"/>
        </w:rPr>
        <w:t xml:space="preserve"> </w:t>
      </w:r>
      <w:r w:rsidR="007C0D12" w:rsidRPr="00C60AFC">
        <w:rPr>
          <w:rStyle w:val="FootnoteReference"/>
          <w:rFonts w:cs="Arial"/>
          <w:spacing w:val="-2"/>
        </w:rPr>
        <w:footnoteReference w:id="16"/>
      </w:r>
      <w:r w:rsidR="007C0D12" w:rsidRPr="00C60AFC">
        <w:rPr>
          <w:rFonts w:cs="Arial"/>
          <w:spacing w:val="-2"/>
        </w:rPr>
        <w:t xml:space="preserve"> i</w:t>
      </w:r>
      <w:r w:rsidRPr="00C60AFC">
        <w:rPr>
          <w:rFonts w:cs="Arial" w:hint="eastAsia"/>
          <w:spacing w:val="-2"/>
          <w:lang w:eastAsia="ja-JP"/>
        </w:rPr>
        <w:t xml:space="preserve">t </w:t>
      </w:r>
      <w:r w:rsidR="007C0D12" w:rsidRPr="00C60AFC">
        <w:rPr>
          <w:rFonts w:cs="Arial"/>
          <w:spacing w:val="-2"/>
          <w:lang w:eastAsia="ja-JP"/>
        </w:rPr>
        <w:t>would be</w:t>
      </w:r>
      <w:r w:rsidRPr="00C60AFC">
        <w:rPr>
          <w:rFonts w:cs="Arial" w:hint="eastAsia"/>
          <w:spacing w:val="-2"/>
          <w:lang w:eastAsia="ja-JP"/>
        </w:rPr>
        <w:t xml:space="preserve"> possible for those elements </w:t>
      </w:r>
      <w:r w:rsidR="007C0D12" w:rsidRPr="00C60AFC">
        <w:rPr>
          <w:rFonts w:cs="Arial" w:hint="eastAsia"/>
          <w:spacing w:val="-2"/>
          <w:lang w:eastAsia="ja-JP"/>
        </w:rPr>
        <w:t>to be included</w:t>
      </w:r>
      <w:r w:rsidR="00C60AFC" w:rsidRPr="00C60AFC">
        <w:rPr>
          <w:rFonts w:cs="Arial"/>
          <w:spacing w:val="-2"/>
          <w:lang w:eastAsia="ja-JP"/>
        </w:rPr>
        <w:t>.</w:t>
      </w:r>
      <w:r w:rsidR="0071371B" w:rsidRPr="00C60AFC">
        <w:rPr>
          <w:rStyle w:val="FootnoteReference"/>
          <w:rFonts w:cs="Arial"/>
          <w:spacing w:val="-2"/>
          <w:lang w:eastAsia="ja-JP"/>
        </w:rPr>
        <w:footnoteReference w:id="17"/>
      </w:r>
    </w:p>
    <w:p w:rsidR="00C273DF" w:rsidRDefault="00C273DF" w:rsidP="00014D5F">
      <w:pPr>
        <w:rPr>
          <w:rFonts w:cs="Arial"/>
          <w:lang w:eastAsia="ja-JP"/>
        </w:rPr>
      </w:pPr>
    </w:p>
    <w:p w:rsidR="00014D5F" w:rsidRDefault="00014D5F" w:rsidP="00014D5F">
      <w:pPr>
        <w:rPr>
          <w:rFonts w:cs="Arial"/>
          <w:lang w:eastAsia="ja-JP"/>
        </w:rPr>
      </w:pPr>
      <w:r w:rsidRPr="00BD5B6E">
        <w:fldChar w:fldCharType="begin"/>
      </w:r>
      <w:r w:rsidRPr="00BD5B6E">
        <w:instrText xml:space="preserve"> AUTONUM  </w:instrText>
      </w:r>
      <w:r w:rsidRPr="00BD5B6E">
        <w:fldChar w:fldCharType="end"/>
      </w:r>
      <w:r>
        <w:tab/>
      </w:r>
      <w:r w:rsidR="00A13395">
        <w:t>I</w:t>
      </w:r>
      <w:r w:rsidR="00A13395">
        <w:rPr>
          <w:rFonts w:cs="Arial"/>
          <w:lang w:eastAsia="ja-JP"/>
        </w:rPr>
        <w:t>n making the</w:t>
      </w:r>
      <w:r w:rsidR="007C0D12">
        <w:rPr>
          <w:rFonts w:cs="Arial"/>
          <w:lang w:eastAsia="ja-JP"/>
        </w:rPr>
        <w:t xml:space="preserve"> proposal</w:t>
      </w:r>
      <w:r w:rsidR="00A13395">
        <w:rPr>
          <w:rFonts w:cs="Arial"/>
          <w:lang w:eastAsia="ja-JP"/>
        </w:rPr>
        <w:t xml:space="preserve"> to provide the possibility to accept accents and special characters in denomination</w:t>
      </w:r>
      <w:r w:rsidR="00C273DF">
        <w:rPr>
          <w:rFonts w:cs="Arial"/>
          <w:lang w:eastAsia="ja-JP"/>
        </w:rPr>
        <w:t>s</w:t>
      </w:r>
      <w:r w:rsidR="00A13395">
        <w:rPr>
          <w:rFonts w:cs="Arial"/>
          <w:lang w:eastAsia="ja-JP"/>
        </w:rPr>
        <w:t xml:space="preserve"> in the PLUTO database, the WG-DST</w:t>
      </w:r>
      <w:r w:rsidR="007C0D12">
        <w:rPr>
          <w:rFonts w:cs="Arial"/>
          <w:lang w:eastAsia="ja-JP"/>
        </w:rPr>
        <w:t xml:space="preserve"> noted that </w:t>
      </w:r>
      <w:r>
        <w:rPr>
          <w:rFonts w:cs="Arial" w:hint="eastAsia"/>
          <w:lang w:eastAsia="ja-JP"/>
        </w:rPr>
        <w:t xml:space="preserve">the </w:t>
      </w:r>
      <w:r w:rsidR="004E14E8">
        <w:rPr>
          <w:rFonts w:cs="Arial"/>
          <w:lang w:eastAsia="ja-JP"/>
        </w:rPr>
        <w:t>denomination search tool on the PLUTO database</w:t>
      </w:r>
      <w:r>
        <w:rPr>
          <w:rFonts w:cs="Arial" w:hint="eastAsia"/>
          <w:lang w:eastAsia="ja-JP"/>
        </w:rPr>
        <w:t xml:space="preserve"> would</w:t>
      </w:r>
      <w:r w:rsidR="00C273DF">
        <w:rPr>
          <w:rFonts w:cs="Arial"/>
          <w:lang w:eastAsia="ja-JP"/>
        </w:rPr>
        <w:t>, as now,</w:t>
      </w:r>
      <w:r>
        <w:rPr>
          <w:rFonts w:cs="Arial" w:hint="eastAsia"/>
          <w:lang w:eastAsia="ja-JP"/>
        </w:rPr>
        <w:t xml:space="preserve"> only use the</w:t>
      </w:r>
      <w:r>
        <w:rPr>
          <w:rFonts w:cs="Arial"/>
        </w:rPr>
        <w:t xml:space="preserve"> </w:t>
      </w:r>
      <w:r>
        <w:rPr>
          <w:rFonts w:cs="Arial" w:hint="eastAsia"/>
        </w:rPr>
        <w:t xml:space="preserve">character set </w:t>
      </w:r>
      <w:r w:rsidRPr="00F77DDB">
        <w:rPr>
          <w:rFonts w:cs="Arial"/>
        </w:rPr>
        <w:t>ASCII [American Standard Code for</w:t>
      </w:r>
      <w:r>
        <w:rPr>
          <w:rFonts w:cs="Arial" w:hint="eastAsia"/>
        </w:rPr>
        <w:t xml:space="preserve"> </w:t>
      </w:r>
      <w:r w:rsidRPr="00F77DDB">
        <w:rPr>
          <w:rFonts w:cs="Arial"/>
        </w:rPr>
        <w:t>Information Interchange] representation, as defined in ISO [International Standards Organization]</w:t>
      </w:r>
      <w:r>
        <w:rPr>
          <w:rFonts w:cs="Arial" w:hint="eastAsia"/>
        </w:rPr>
        <w:t xml:space="preserve"> </w:t>
      </w:r>
      <w:r w:rsidRPr="00F77DDB">
        <w:rPr>
          <w:rFonts w:cs="Arial"/>
        </w:rPr>
        <w:t>Standard 646</w:t>
      </w:r>
      <w:r w:rsidR="001A7AB7">
        <w:rPr>
          <w:rFonts w:cs="Arial"/>
        </w:rPr>
        <w:t>.</w:t>
      </w:r>
      <w:r w:rsidR="0071371B">
        <w:rPr>
          <w:rStyle w:val="FootnoteReference"/>
          <w:rFonts w:cs="Arial"/>
        </w:rPr>
        <w:footnoteReference w:id="18"/>
      </w:r>
    </w:p>
    <w:p w:rsidR="00D90030" w:rsidRDefault="00D90030" w:rsidP="00014D5F">
      <w:pPr>
        <w:rPr>
          <w:rFonts w:cs="Arial"/>
          <w:lang w:eastAsia="ja-JP"/>
        </w:rPr>
      </w:pPr>
    </w:p>
    <w:p w:rsidR="00D90030" w:rsidRDefault="00D90030" w:rsidP="00014D5F">
      <w:pPr>
        <w:rPr>
          <w:rFonts w:cs="Arial"/>
          <w:lang w:eastAsia="ja-JP"/>
        </w:rPr>
      </w:pPr>
      <w:r w:rsidRPr="00BD5B6E">
        <w:fldChar w:fldCharType="begin"/>
      </w:r>
      <w:r w:rsidRPr="00BD5B6E">
        <w:instrText xml:space="preserve"> AUTONUM  </w:instrText>
      </w:r>
      <w:r w:rsidRPr="00BD5B6E">
        <w:fldChar w:fldCharType="end"/>
      </w:r>
      <w:r>
        <w:tab/>
      </w:r>
      <w:r w:rsidR="00A13395">
        <w:t xml:space="preserve">With regard to accents and special characters, </w:t>
      </w:r>
      <w:r w:rsidR="00C273DF">
        <w:t xml:space="preserve">a </w:t>
      </w:r>
      <w:r w:rsidR="00A13395">
        <w:t>character set that contains the</w:t>
      </w:r>
      <w:r>
        <w:rPr>
          <w:rFonts w:hint="eastAsia"/>
          <w:lang w:eastAsia="ja-JP"/>
        </w:rPr>
        <w:t xml:space="preserve"> ASCII character set and </w:t>
      </w:r>
      <w:r w:rsidR="00A13395">
        <w:rPr>
          <w:lang w:eastAsia="ja-JP"/>
        </w:rPr>
        <w:t xml:space="preserve">a </w:t>
      </w:r>
      <w:r>
        <w:rPr>
          <w:rFonts w:hint="eastAsia"/>
          <w:lang w:eastAsia="ja-JP"/>
        </w:rPr>
        <w:t>broad range of</w:t>
      </w:r>
      <w:r w:rsidRPr="00D90030">
        <w:rPr>
          <w:rFonts w:cs="Arial" w:hint="eastAsia"/>
        </w:rPr>
        <w:t xml:space="preserve"> </w:t>
      </w:r>
      <w:r>
        <w:rPr>
          <w:rFonts w:cs="Arial" w:hint="eastAsia"/>
        </w:rPr>
        <w:t>accents</w:t>
      </w:r>
      <w:r>
        <w:rPr>
          <w:rFonts w:cs="Arial" w:hint="eastAsia"/>
          <w:lang w:eastAsia="ja-JP"/>
        </w:rPr>
        <w:t xml:space="preserve"> and </w:t>
      </w:r>
      <w:r>
        <w:rPr>
          <w:rFonts w:cs="Arial" w:hint="eastAsia"/>
        </w:rPr>
        <w:t>special characters</w:t>
      </w:r>
      <w:r>
        <w:rPr>
          <w:rFonts w:cs="Arial" w:hint="eastAsia"/>
          <w:lang w:eastAsia="ja-JP"/>
        </w:rPr>
        <w:t xml:space="preserve"> for </w:t>
      </w:r>
      <w:r w:rsidR="00A13395">
        <w:rPr>
          <w:rFonts w:cs="Arial"/>
          <w:lang w:eastAsia="ja-JP"/>
        </w:rPr>
        <w:t xml:space="preserve">the </w:t>
      </w:r>
      <w:r>
        <w:rPr>
          <w:rFonts w:cs="Arial" w:hint="eastAsia"/>
          <w:lang w:eastAsia="ja-JP"/>
        </w:rPr>
        <w:t xml:space="preserve">Latin alphabet </w:t>
      </w:r>
      <w:r w:rsidR="00A13395">
        <w:rPr>
          <w:rFonts w:cs="Arial"/>
          <w:lang w:eastAsia="ja-JP"/>
        </w:rPr>
        <w:t>is</w:t>
      </w:r>
      <w:r>
        <w:rPr>
          <w:rFonts w:cs="Arial" w:hint="eastAsia"/>
          <w:lang w:eastAsia="ja-JP"/>
        </w:rPr>
        <w:t xml:space="preserve"> </w:t>
      </w:r>
      <w:r w:rsidRPr="00D90030">
        <w:rPr>
          <w:rFonts w:cs="Arial"/>
          <w:lang w:eastAsia="ja-JP"/>
        </w:rPr>
        <w:t>ISO / IEC [International Electrotech</w:t>
      </w:r>
      <w:r w:rsidR="00A13395">
        <w:rPr>
          <w:rFonts w:cs="Arial"/>
          <w:lang w:eastAsia="ja-JP"/>
        </w:rPr>
        <w:t>nical Commission] Standard 8859-1</w:t>
      </w:r>
      <w:r w:rsidRPr="00D90030">
        <w:rPr>
          <w:rFonts w:cs="Arial"/>
          <w:lang w:eastAsia="ja-JP"/>
        </w:rPr>
        <w:t>: 1998</w:t>
      </w:r>
      <w:r>
        <w:rPr>
          <w:rFonts w:cs="Arial" w:hint="eastAsia"/>
          <w:lang w:eastAsia="ja-JP"/>
        </w:rPr>
        <w:t>.</w:t>
      </w:r>
    </w:p>
    <w:p w:rsidR="00441830" w:rsidRDefault="00441830" w:rsidP="00014D5F">
      <w:pPr>
        <w:rPr>
          <w:rFonts w:cs="Arial"/>
          <w:lang w:eastAsia="ja-JP"/>
        </w:rPr>
      </w:pPr>
    </w:p>
    <w:p w:rsidR="00441830" w:rsidRDefault="00441830" w:rsidP="00014D5F">
      <w:pPr>
        <w:rPr>
          <w:rFonts w:cs="Arial"/>
          <w:lang w:eastAsia="ja-JP"/>
        </w:rPr>
      </w:pPr>
      <w:r w:rsidRPr="008C12CB">
        <w:fldChar w:fldCharType="begin"/>
      </w:r>
      <w:r w:rsidRPr="008C12CB">
        <w:instrText xml:space="preserve"> AUTONUM  </w:instrText>
      </w:r>
      <w:r w:rsidRPr="008C12CB">
        <w:fldChar w:fldCharType="end"/>
      </w:r>
      <w:r w:rsidRPr="008C12CB">
        <w:tab/>
      </w:r>
      <w:r w:rsidR="004E14E8">
        <w:t>On that basis, t</w:t>
      </w:r>
      <w:r w:rsidRPr="008C12CB">
        <w:rPr>
          <w:rFonts w:hint="eastAsia"/>
          <w:lang w:eastAsia="ja-JP"/>
        </w:rPr>
        <w:t>he CAJ may wish to consider the revision of</w:t>
      </w:r>
      <w:r w:rsidR="00CB0459" w:rsidRPr="008C12CB">
        <w:rPr>
          <w:lang w:eastAsia="ja-JP"/>
        </w:rPr>
        <w:t xml:space="preserve"> the</w:t>
      </w:r>
      <w:r w:rsidRPr="008C12CB">
        <w:rPr>
          <w:rFonts w:hint="eastAsia"/>
          <w:lang w:eastAsia="ja-JP"/>
        </w:rPr>
        <w:t xml:space="preserve"> </w:t>
      </w:r>
      <w:r w:rsidRPr="008C12CB">
        <w:rPr>
          <w:rFonts w:cs="Arial"/>
          <w:lang w:eastAsia="ja-JP"/>
        </w:rPr>
        <w:t xml:space="preserve">“Program </w:t>
      </w:r>
      <w:r w:rsidRPr="008C12CB">
        <w:rPr>
          <w:rFonts w:cs="Arial" w:hint="eastAsia"/>
          <w:lang w:eastAsia="ja-JP"/>
        </w:rPr>
        <w:t>f</w:t>
      </w:r>
      <w:r w:rsidRPr="008C12CB">
        <w:rPr>
          <w:rFonts w:cs="Arial"/>
          <w:lang w:eastAsia="ja-JP"/>
        </w:rPr>
        <w:t xml:space="preserve">or Improvements </w:t>
      </w:r>
      <w:r w:rsidRPr="008C12CB">
        <w:rPr>
          <w:rFonts w:cs="Arial" w:hint="eastAsia"/>
          <w:lang w:eastAsia="ja-JP"/>
        </w:rPr>
        <w:t>t</w:t>
      </w:r>
      <w:r w:rsidRPr="008C12CB">
        <w:rPr>
          <w:rFonts w:cs="Arial"/>
          <w:lang w:eastAsia="ja-JP"/>
        </w:rPr>
        <w:t xml:space="preserve">o </w:t>
      </w:r>
      <w:r w:rsidRPr="008C12CB">
        <w:rPr>
          <w:rFonts w:cs="Arial" w:hint="eastAsia"/>
          <w:lang w:eastAsia="ja-JP"/>
        </w:rPr>
        <w:t>t</w:t>
      </w:r>
      <w:r w:rsidRPr="008C12CB">
        <w:rPr>
          <w:rFonts w:cs="Arial"/>
          <w:lang w:eastAsia="ja-JP"/>
        </w:rPr>
        <w:t>he Plant Variety Database”</w:t>
      </w:r>
      <w:r w:rsidRPr="008C12CB">
        <w:rPr>
          <w:rFonts w:cs="Arial" w:hint="eastAsia"/>
          <w:lang w:eastAsia="ja-JP"/>
        </w:rPr>
        <w:t>, Section 3.1.3, as follow</w:t>
      </w:r>
      <w:r w:rsidR="00A604A5" w:rsidRPr="008C12CB">
        <w:rPr>
          <w:rFonts w:cs="Arial"/>
          <w:lang w:eastAsia="ja-JP"/>
        </w:rPr>
        <w:t>s:</w:t>
      </w:r>
    </w:p>
    <w:p w:rsidR="00441830" w:rsidRDefault="00441830" w:rsidP="00014D5F">
      <w:pPr>
        <w:rPr>
          <w:rFonts w:cs="Arial"/>
          <w:lang w:eastAsia="ja-JP"/>
        </w:rPr>
      </w:pPr>
    </w:p>
    <w:p w:rsidR="00441830" w:rsidRDefault="00CB0459" w:rsidP="00CB0459">
      <w:pPr>
        <w:tabs>
          <w:tab w:val="left" w:pos="1418"/>
        </w:tabs>
        <w:ind w:left="567" w:right="567"/>
        <w:rPr>
          <w:rFonts w:cs="Arial"/>
          <w:lang w:eastAsia="ja-JP"/>
        </w:rPr>
      </w:pPr>
      <w:r>
        <w:rPr>
          <w:rFonts w:cs="Arial"/>
          <w:lang w:eastAsia="ja-JP"/>
        </w:rPr>
        <w:t>“3.1.3</w:t>
      </w:r>
      <w:r>
        <w:rPr>
          <w:rFonts w:cs="Arial"/>
          <w:lang w:eastAsia="ja-JP"/>
        </w:rPr>
        <w:tab/>
      </w:r>
      <w:r w:rsidR="00441830" w:rsidRPr="00441830">
        <w:rPr>
          <w:rFonts w:cs="Arial"/>
          <w:lang w:eastAsia="ja-JP"/>
        </w:rPr>
        <w:t xml:space="preserve">Subject to Section 3.1.4, the character set for data shall be the </w:t>
      </w:r>
      <w:r w:rsidR="00441830" w:rsidRPr="00D0561D">
        <w:rPr>
          <w:rFonts w:cs="Arial"/>
          <w:strike/>
          <w:shd w:val="pct15" w:color="auto" w:fill="FFFFFF"/>
          <w:lang w:eastAsia="ja-JP"/>
        </w:rPr>
        <w:t>ASCII [American Standard Code for Information Interchange] representation, as defined in</w:t>
      </w:r>
      <w:r w:rsidR="00441830" w:rsidRPr="00441830">
        <w:rPr>
          <w:rFonts w:cs="Arial"/>
          <w:lang w:eastAsia="ja-JP"/>
        </w:rPr>
        <w:t xml:space="preserve"> ISO [International Standards Organization]</w:t>
      </w:r>
      <w:r w:rsidR="00D90030">
        <w:rPr>
          <w:rFonts w:cs="Arial" w:hint="eastAsia"/>
          <w:lang w:eastAsia="ja-JP"/>
        </w:rPr>
        <w:t xml:space="preserve"> </w:t>
      </w:r>
      <w:r w:rsidR="00D90030" w:rsidRPr="00D90030">
        <w:rPr>
          <w:rFonts w:cs="Arial" w:hint="eastAsia"/>
          <w:lang w:eastAsia="ja-JP"/>
        </w:rPr>
        <w:t xml:space="preserve">/ IEC [International </w:t>
      </w:r>
      <w:r w:rsidR="00D90030" w:rsidRPr="00D90030">
        <w:rPr>
          <w:rFonts w:cs="Arial"/>
          <w:lang w:eastAsia="ja-JP"/>
        </w:rPr>
        <w:t>Electrotechnical Commission</w:t>
      </w:r>
      <w:r w:rsidR="00D90030" w:rsidRPr="00D90030">
        <w:rPr>
          <w:rFonts w:cs="Arial" w:hint="eastAsia"/>
          <w:lang w:eastAsia="ja-JP"/>
        </w:rPr>
        <w:t>]</w:t>
      </w:r>
      <w:r w:rsidR="00441830" w:rsidRPr="00D90030">
        <w:rPr>
          <w:rFonts w:cs="Arial"/>
          <w:lang w:eastAsia="ja-JP"/>
        </w:rPr>
        <w:t xml:space="preserve"> </w:t>
      </w:r>
      <w:r w:rsidR="00D90030" w:rsidRPr="00D90030">
        <w:rPr>
          <w:rFonts w:cs="Arial"/>
          <w:lang w:eastAsia="ja-JP"/>
        </w:rPr>
        <w:t>Standard </w:t>
      </w:r>
      <w:r w:rsidR="008C12CB" w:rsidRPr="00D90030">
        <w:rPr>
          <w:rFonts w:cs="Arial" w:hint="eastAsia"/>
          <w:lang w:eastAsia="ja-JP"/>
        </w:rPr>
        <w:t>8859</w:t>
      </w:r>
      <w:r w:rsidR="00D90030" w:rsidRPr="00D90030">
        <w:rPr>
          <w:rFonts w:cs="Arial"/>
          <w:lang w:eastAsia="ja-JP"/>
        </w:rPr>
        <w:noBreakHyphen/>
      </w:r>
      <w:r w:rsidR="008C12CB" w:rsidRPr="00D90030">
        <w:rPr>
          <w:rFonts w:cs="Arial" w:hint="eastAsia"/>
          <w:lang w:eastAsia="ja-JP"/>
        </w:rPr>
        <w:t>1</w:t>
      </w:r>
      <w:r w:rsidR="00D90030" w:rsidRPr="00D90030">
        <w:rPr>
          <w:rFonts w:cs="Arial" w:hint="eastAsia"/>
          <w:lang w:eastAsia="ja-JP"/>
        </w:rPr>
        <w:t>:</w:t>
      </w:r>
      <w:r w:rsidR="00D90030" w:rsidRPr="00D90030">
        <w:rPr>
          <w:rFonts w:cs="Arial"/>
          <w:lang w:eastAsia="ja-JP"/>
        </w:rPr>
        <w:t> </w:t>
      </w:r>
      <w:r w:rsidR="00D90030" w:rsidRPr="00D90030">
        <w:rPr>
          <w:rFonts w:cs="Arial" w:hint="eastAsia"/>
          <w:lang w:eastAsia="ja-JP"/>
        </w:rPr>
        <w:t>1998</w:t>
      </w:r>
      <w:r w:rsidR="004E14E8" w:rsidRPr="00D90030">
        <w:rPr>
          <w:rStyle w:val="FootnoteReference"/>
          <w:rFonts w:cs="Arial"/>
          <w:lang w:eastAsia="ja-JP"/>
        </w:rPr>
        <w:footnoteReference w:id="19"/>
      </w:r>
      <w:r w:rsidR="00441830" w:rsidRPr="008C12CB">
        <w:rPr>
          <w:rFonts w:cs="Arial"/>
          <w:strike/>
          <w:shd w:val="pct15" w:color="auto" w:fill="FFFFFF"/>
          <w:lang w:eastAsia="ja-JP"/>
        </w:rPr>
        <w:t>646</w:t>
      </w:r>
      <w:r w:rsidR="00D0561D" w:rsidRPr="008C12CB">
        <w:rPr>
          <w:rFonts w:cs="Arial" w:hint="eastAsia"/>
          <w:strike/>
          <w:shd w:val="pct15" w:color="auto" w:fill="FFFFFF"/>
          <w:lang w:eastAsia="ja-JP"/>
        </w:rPr>
        <w:t xml:space="preserve"> </w:t>
      </w:r>
      <w:r w:rsidR="00441830" w:rsidRPr="008C12CB">
        <w:rPr>
          <w:rFonts w:cs="Arial"/>
          <w:strike/>
          <w:highlight w:val="lightGray"/>
          <w:shd w:val="pct15" w:color="auto" w:fill="FFFFFF"/>
          <w:lang w:eastAsia="ja-JP"/>
        </w:rPr>
        <w:t>S</w:t>
      </w:r>
      <w:r w:rsidR="00441830" w:rsidRPr="00D0561D">
        <w:rPr>
          <w:rFonts w:cs="Arial"/>
          <w:strike/>
          <w:shd w:val="pct15" w:color="auto" w:fill="FFFFFF"/>
          <w:lang w:eastAsia="ja-JP"/>
        </w:rPr>
        <w:t xml:space="preserve">pecial characters, symbols or accents (˜, ˆ, ¨, º, etc.) are </w:t>
      </w:r>
      <w:r w:rsidR="00441830" w:rsidRPr="00D0561D">
        <w:rPr>
          <w:rFonts w:cs="Arial"/>
          <w:strike/>
          <w:highlight w:val="lightGray"/>
          <w:shd w:val="pct15" w:color="auto" w:fill="FFFFFF"/>
          <w:lang w:eastAsia="ja-JP"/>
        </w:rPr>
        <w:t>not</w:t>
      </w:r>
      <w:r w:rsidR="00441830" w:rsidRPr="00D0561D">
        <w:rPr>
          <w:rFonts w:cs="Arial"/>
          <w:strike/>
          <w:shd w:val="pct15" w:color="auto" w:fill="FFFFFF"/>
          <w:lang w:eastAsia="ja-JP"/>
        </w:rPr>
        <w:t xml:space="preserve"> accepted.</w:t>
      </w:r>
      <w:r w:rsidRPr="00D0561D">
        <w:rPr>
          <w:rFonts w:cs="Arial"/>
          <w:strike/>
          <w:shd w:val="pct15" w:color="auto" w:fill="FFFFFF"/>
          <w:lang w:eastAsia="ja-JP"/>
        </w:rPr>
        <w:t xml:space="preserve"> </w:t>
      </w:r>
      <w:r w:rsidR="00441830" w:rsidRPr="00D0561D">
        <w:rPr>
          <w:rFonts w:cs="Arial"/>
          <w:strike/>
          <w:shd w:val="pct15" w:color="auto" w:fill="FFFFFF"/>
          <w:lang w:eastAsia="ja-JP"/>
        </w:rPr>
        <w:t xml:space="preserve"> </w:t>
      </w:r>
      <w:r w:rsidR="00441830" w:rsidRPr="00D0561D">
        <w:rPr>
          <w:rFonts w:cs="Arial"/>
          <w:strike/>
          <w:highlight w:val="lightGray"/>
          <w:shd w:val="pct15" w:color="auto" w:fill="FFFFFF"/>
          <w:lang w:eastAsia="ja-JP"/>
        </w:rPr>
        <w:t>Only characters of the English alphabet may be used.</w:t>
      </w:r>
      <w:r w:rsidR="00441830" w:rsidRPr="00D0561D">
        <w:rPr>
          <w:rFonts w:cs="Arial"/>
          <w:strike/>
          <w:shd w:val="pct15" w:color="auto" w:fill="FFFFFF"/>
          <w:lang w:eastAsia="ja-JP"/>
        </w:rPr>
        <w:t>”</w:t>
      </w:r>
    </w:p>
    <w:p w:rsidR="00530455" w:rsidRDefault="00530455" w:rsidP="00F66E48">
      <w:pPr>
        <w:spacing w:line="360" w:lineRule="auto"/>
        <w:rPr>
          <w:lang w:eastAsia="ja-JP"/>
        </w:rPr>
      </w:pPr>
    </w:p>
    <w:p w:rsidR="00014D5F" w:rsidRDefault="000010AE" w:rsidP="00F66E48">
      <w:pPr>
        <w:pStyle w:val="Heading3"/>
        <w:rPr>
          <w:lang w:eastAsia="ja-JP"/>
        </w:rPr>
      </w:pPr>
      <w:bookmarkStart w:id="15" w:name="_Toc431478168"/>
      <w:r>
        <w:rPr>
          <w:lang w:eastAsia="ja-JP"/>
        </w:rPr>
        <w:t>C</w:t>
      </w:r>
      <w:r w:rsidR="00014D5F">
        <w:rPr>
          <w:rFonts w:hint="eastAsia"/>
          <w:lang w:eastAsia="ja-JP"/>
        </w:rPr>
        <w:t xml:space="preserve">ontent of </w:t>
      </w:r>
      <w:r w:rsidR="00874B98">
        <w:rPr>
          <w:lang w:eastAsia="ja-JP"/>
        </w:rPr>
        <w:t xml:space="preserve">the </w:t>
      </w:r>
      <w:r w:rsidR="00014D5F">
        <w:rPr>
          <w:rFonts w:hint="eastAsia"/>
          <w:lang w:eastAsia="ja-JP"/>
        </w:rPr>
        <w:t>PLUTO database</w:t>
      </w:r>
      <w:bookmarkEnd w:id="15"/>
    </w:p>
    <w:p w:rsidR="00014D5F" w:rsidRDefault="00014D5F" w:rsidP="00F66E48">
      <w:pPr>
        <w:rPr>
          <w:lang w:eastAsia="ja-JP"/>
        </w:rPr>
      </w:pPr>
    </w:p>
    <w:p w:rsidR="00014D5F" w:rsidRDefault="00014D5F" w:rsidP="00014D5F">
      <w:pPr>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sidR="000010AE">
        <w:rPr>
          <w:lang w:eastAsia="ja-JP"/>
        </w:rPr>
        <w:t>, at its second meeting,</w:t>
      </w:r>
      <w:r>
        <w:rPr>
          <w:rFonts w:hint="eastAsia"/>
          <w:lang w:eastAsia="ja-JP"/>
        </w:rPr>
        <w:t xml:space="preserve"> considered document </w:t>
      </w:r>
      <w:r w:rsidR="00E00FFC">
        <w:rPr>
          <w:rFonts w:hint="eastAsia"/>
          <w:lang w:eastAsia="ja-JP"/>
        </w:rPr>
        <w:t>UPOV/</w:t>
      </w:r>
      <w:r>
        <w:rPr>
          <w:rFonts w:hint="eastAsia"/>
          <w:lang w:eastAsia="ja-JP"/>
        </w:rPr>
        <w:t xml:space="preserve">WG-DST/2/2 </w:t>
      </w:r>
      <w:r>
        <w:rPr>
          <w:lang w:eastAsia="ja-JP"/>
        </w:rPr>
        <w:t>“</w:t>
      </w:r>
      <w:r w:rsidRPr="00514313">
        <w:rPr>
          <w:lang w:eastAsia="ja-JP"/>
        </w:rPr>
        <w:t>Revision of UPO</w:t>
      </w:r>
      <w:r>
        <w:rPr>
          <w:lang w:eastAsia="ja-JP"/>
        </w:rPr>
        <w:t xml:space="preserve">V/INF/12 </w:t>
      </w:r>
      <w:r w:rsidR="00874B98">
        <w:rPr>
          <w:lang w:eastAsia="ja-JP"/>
        </w:rPr>
        <w:t>‘</w:t>
      </w:r>
      <w:r>
        <w:rPr>
          <w:lang w:eastAsia="ja-JP"/>
        </w:rPr>
        <w:t xml:space="preserve">Explanatory notes on </w:t>
      </w:r>
      <w:r>
        <w:rPr>
          <w:rFonts w:hint="eastAsia"/>
          <w:lang w:eastAsia="ja-JP"/>
        </w:rPr>
        <w:t>v</w:t>
      </w:r>
      <w:r>
        <w:rPr>
          <w:lang w:eastAsia="ja-JP"/>
        </w:rPr>
        <w:t xml:space="preserve">ariety </w:t>
      </w:r>
      <w:r>
        <w:rPr>
          <w:rFonts w:hint="eastAsia"/>
          <w:lang w:eastAsia="ja-JP"/>
        </w:rPr>
        <w:t>d</w:t>
      </w:r>
      <w:r w:rsidRPr="00514313">
        <w:rPr>
          <w:lang w:eastAsia="ja-JP"/>
        </w:rPr>
        <w:t>enomination</w:t>
      </w:r>
      <w:r>
        <w:rPr>
          <w:rFonts w:hint="eastAsia"/>
          <w:lang w:eastAsia="ja-JP"/>
        </w:rPr>
        <w:t>s</w:t>
      </w:r>
      <w:r w:rsidRPr="00514313">
        <w:rPr>
          <w:lang w:eastAsia="ja-JP"/>
        </w:rPr>
        <w:t xml:space="preserve"> under the UPOV Convention</w:t>
      </w:r>
      <w:r w:rsidR="00874B98">
        <w:rPr>
          <w:lang w:eastAsia="ja-JP"/>
        </w:rPr>
        <w:t>’</w:t>
      </w:r>
      <w:r>
        <w:rPr>
          <w:lang w:eastAsia="ja-JP"/>
        </w:rPr>
        <w:t>”</w:t>
      </w:r>
      <w:r>
        <w:rPr>
          <w:rFonts w:hint="eastAsia"/>
          <w:lang w:eastAsia="ja-JP"/>
        </w:rPr>
        <w:t>.</w:t>
      </w:r>
    </w:p>
    <w:p w:rsidR="00014D5F" w:rsidRDefault="00014D5F" w:rsidP="00014D5F">
      <w:pPr>
        <w:rPr>
          <w:rFonts w:cs="Arial"/>
          <w:lang w:eastAsia="ja-JP"/>
        </w:rPr>
      </w:pPr>
    </w:p>
    <w:p w:rsidR="000010AE" w:rsidRPr="00C273DF" w:rsidRDefault="00014D5F" w:rsidP="00014D5F">
      <w:r w:rsidRPr="00C273DF">
        <w:fldChar w:fldCharType="begin"/>
      </w:r>
      <w:r w:rsidRPr="00C273DF">
        <w:instrText xml:space="preserve"> AUTONUM  </w:instrText>
      </w:r>
      <w:r w:rsidRPr="00C273DF">
        <w:fldChar w:fldCharType="end"/>
      </w:r>
      <w:r w:rsidRPr="00C273DF">
        <w:tab/>
      </w:r>
      <w:r w:rsidR="000010AE" w:rsidRPr="00C273DF">
        <w:t xml:space="preserve">The WG-DST agreed to recommend that consideration be given to avoiding re-use of denominations in all cases.  </w:t>
      </w:r>
      <w:r w:rsidR="00C23D44" w:rsidRPr="00C273DF">
        <w:t>In this regard, the WG</w:t>
      </w:r>
      <w:r w:rsidR="009C2FB4" w:rsidRPr="00C273DF">
        <w:noBreakHyphen/>
      </w:r>
      <w:r w:rsidR="00C23D44" w:rsidRPr="00C273DF">
        <w:t xml:space="preserve">DST agreed to </w:t>
      </w:r>
      <w:r w:rsidR="009C2FB4" w:rsidRPr="00C273DF">
        <w:t xml:space="preserve">invite the CAJ to consider whether </w:t>
      </w:r>
      <w:r w:rsidR="000010AE" w:rsidRPr="00C273DF">
        <w:t>to</w:t>
      </w:r>
      <w:r w:rsidR="009C2FB4" w:rsidRPr="00C273DF">
        <w:t xml:space="preserve"> </w:t>
      </w:r>
      <w:r w:rsidR="000010AE" w:rsidRPr="00C273DF">
        <w:t>expand the content of the PLUTO database to include all recognized varieties, including these that had not been, or were no longer, registered/protected</w:t>
      </w:r>
      <w:r w:rsidR="001A7AB7">
        <w:t>.</w:t>
      </w:r>
      <w:r w:rsidR="0065295B">
        <w:rPr>
          <w:rStyle w:val="FootnoteReference"/>
        </w:rPr>
        <w:footnoteReference w:id="20"/>
      </w:r>
    </w:p>
    <w:p w:rsidR="00C273DF" w:rsidRPr="00C273DF" w:rsidRDefault="00C273DF" w:rsidP="00014D5F"/>
    <w:p w:rsidR="00C273DF" w:rsidRDefault="00C273DF" w:rsidP="00014D5F">
      <w:r w:rsidRPr="00C273DF">
        <w:lastRenderedPageBreak/>
        <w:fldChar w:fldCharType="begin"/>
      </w:r>
      <w:r w:rsidRPr="00C273DF">
        <w:instrText xml:space="preserve"> AUTONUM  </w:instrText>
      </w:r>
      <w:r w:rsidRPr="00C273DF">
        <w:fldChar w:fldCharType="end"/>
      </w:r>
      <w:r w:rsidRPr="00C273DF">
        <w:tab/>
        <w:t>This matter will be considered further at the third meeting of the WG-DST, to be held in Geneva, on October 2, 2015.  A report of the discussion at the third meeting of the WG-DST will be made to the CAJ, at</w:t>
      </w:r>
      <w:r>
        <w:t xml:space="preserve"> its seventy-second session.</w:t>
      </w:r>
    </w:p>
    <w:p w:rsidR="00C273DF" w:rsidRDefault="00C273DF" w:rsidP="00F66E48">
      <w:pPr>
        <w:spacing w:line="360" w:lineRule="auto"/>
      </w:pPr>
    </w:p>
    <w:p w:rsidR="00014D5F" w:rsidRPr="00014D5F" w:rsidRDefault="00014D5F" w:rsidP="00014D5F">
      <w:pPr>
        <w:keepNext/>
        <w:outlineLvl w:val="2"/>
        <w:rPr>
          <w:rFonts w:eastAsiaTheme="minorEastAsia"/>
          <w:i/>
          <w:lang w:eastAsia="ja-JP"/>
        </w:rPr>
      </w:pPr>
      <w:bookmarkStart w:id="16" w:name="_Toc425258849"/>
      <w:bookmarkStart w:id="17" w:name="_Toc431478169"/>
      <w:r w:rsidRPr="00014D5F">
        <w:rPr>
          <w:rFonts w:eastAsiaTheme="minorEastAsia" w:hint="eastAsia"/>
          <w:i/>
          <w:lang w:eastAsia="ja-JP"/>
        </w:rPr>
        <w:t>Non-acceptable terms for variety denomination</w:t>
      </w:r>
      <w:bookmarkEnd w:id="16"/>
      <w:r w:rsidR="009020A2">
        <w:rPr>
          <w:rFonts w:eastAsiaTheme="minorEastAsia"/>
          <w:i/>
          <w:lang w:eastAsia="ja-JP"/>
        </w:rPr>
        <w:t>s</w:t>
      </w:r>
      <w:bookmarkEnd w:id="17"/>
    </w:p>
    <w:p w:rsidR="00014D5F" w:rsidRPr="00014D5F" w:rsidRDefault="00014D5F" w:rsidP="00014D5F">
      <w:pPr>
        <w:autoSpaceDE w:val="0"/>
        <w:autoSpaceDN w:val="0"/>
        <w:adjustRightInd w:val="0"/>
        <w:jc w:val="left"/>
        <w:rPr>
          <w:rFonts w:eastAsiaTheme="minorEastAsia"/>
          <w:lang w:eastAsia="ja-JP"/>
        </w:rPr>
      </w:pPr>
    </w:p>
    <w:p w:rsidR="00111A35" w:rsidRDefault="00014D5F" w:rsidP="000B178E">
      <w:pPr>
        <w:autoSpaceDE w:val="0"/>
        <w:autoSpaceDN w:val="0"/>
        <w:adjustRightInd w:val="0"/>
        <w:rPr>
          <w:lang w:eastAsia="ja-JP"/>
        </w:rPr>
      </w:pPr>
      <w:r w:rsidRPr="00014D5F">
        <w:rPr>
          <w:rFonts w:eastAsiaTheme="minorEastAsia"/>
        </w:rPr>
        <w:fldChar w:fldCharType="begin"/>
      </w:r>
      <w:r w:rsidRPr="00014D5F">
        <w:rPr>
          <w:rFonts w:eastAsiaTheme="minorEastAsia"/>
        </w:rPr>
        <w:instrText xml:space="preserve"> AUTONUM  </w:instrText>
      </w:r>
      <w:r w:rsidRPr="00014D5F">
        <w:rPr>
          <w:rFonts w:eastAsiaTheme="minorEastAsia"/>
        </w:rPr>
        <w:fldChar w:fldCharType="end"/>
      </w:r>
      <w:r w:rsidRPr="00014D5F">
        <w:rPr>
          <w:rFonts w:eastAsiaTheme="minorEastAsia"/>
        </w:rPr>
        <w:tab/>
      </w:r>
      <w:r w:rsidRPr="00014D5F">
        <w:rPr>
          <w:rFonts w:eastAsiaTheme="minorEastAsia" w:hint="eastAsia"/>
          <w:lang w:eastAsia="ja-JP"/>
        </w:rPr>
        <w:t>The WG-DST agreed to invite the CAJ to</w:t>
      </w:r>
      <w:r w:rsidRPr="00014D5F">
        <w:rPr>
          <w:rFonts w:eastAsiaTheme="minorEastAsia" w:cs="Arial" w:hint="eastAsia"/>
        </w:rPr>
        <w:t xml:space="preserve"> </w:t>
      </w:r>
      <w:r w:rsidRPr="00014D5F">
        <w:rPr>
          <w:rFonts w:eastAsiaTheme="minorEastAsia" w:cs="Arial" w:hint="eastAsia"/>
          <w:lang w:eastAsia="ja-JP"/>
        </w:rPr>
        <w:t xml:space="preserve">consider whether to develop a list of </w:t>
      </w:r>
      <w:r w:rsidRPr="00014D5F">
        <w:rPr>
          <w:rFonts w:eastAsiaTheme="minorEastAsia" w:cs="Arial" w:hint="eastAsia"/>
        </w:rPr>
        <w:t>non-acceptable terms</w:t>
      </w:r>
      <w:r w:rsidRPr="00014D5F">
        <w:rPr>
          <w:rFonts w:eastAsiaTheme="minorEastAsia" w:cs="Arial" w:hint="eastAsia"/>
          <w:lang w:eastAsia="ja-JP"/>
        </w:rPr>
        <w:t xml:space="preserve"> for variety denominations as an additional feature for the UPOV denomination search tool.</w:t>
      </w:r>
      <w:r w:rsidR="00987DC3">
        <w:rPr>
          <w:rFonts w:eastAsiaTheme="minorEastAsia" w:cs="Arial"/>
          <w:lang w:eastAsia="ja-JP"/>
        </w:rPr>
        <w:t xml:space="preserve">  Developments on this matter are reported in </w:t>
      </w:r>
      <w:r>
        <w:rPr>
          <w:rFonts w:hint="eastAsia"/>
          <w:lang w:eastAsia="ja-JP"/>
        </w:rPr>
        <w:t xml:space="preserve">document CAJ/72/3 </w:t>
      </w:r>
      <w:r>
        <w:rPr>
          <w:lang w:eastAsia="ja-JP"/>
        </w:rPr>
        <w:t>“</w:t>
      </w:r>
      <w:r>
        <w:rPr>
          <w:rFonts w:hint="eastAsia"/>
          <w:lang w:eastAsia="ja-JP"/>
        </w:rPr>
        <w:t>Variety Denominations</w:t>
      </w:r>
      <w:r>
        <w:rPr>
          <w:lang w:eastAsia="ja-JP"/>
        </w:rPr>
        <w:t>”</w:t>
      </w:r>
      <w:r w:rsidR="00B14F4C">
        <w:rPr>
          <w:lang w:eastAsia="ja-JP"/>
        </w:rPr>
        <w:t>.</w:t>
      </w:r>
      <w:r w:rsidR="0065295B">
        <w:rPr>
          <w:rStyle w:val="FootnoteReference"/>
          <w:lang w:eastAsia="ja-JP"/>
        </w:rPr>
        <w:footnoteReference w:id="21"/>
      </w:r>
    </w:p>
    <w:p w:rsidR="000B178E" w:rsidRDefault="000B178E" w:rsidP="000B178E">
      <w:pPr>
        <w:autoSpaceDE w:val="0"/>
        <w:autoSpaceDN w:val="0"/>
        <w:adjustRightInd w:val="0"/>
        <w:rPr>
          <w:lang w:eastAsia="ja-JP"/>
        </w:rPr>
      </w:pPr>
    </w:p>
    <w:p w:rsidR="00285C4C" w:rsidRPr="001020DE" w:rsidRDefault="00285C4C" w:rsidP="001A7840">
      <w:pPr>
        <w:pStyle w:val="DecisionInvitingPara"/>
        <w:tabs>
          <w:tab w:val="left" w:pos="5387"/>
          <w:tab w:val="left" w:pos="5954"/>
        </w:tabs>
        <w:ind w:left="4820"/>
        <w:rPr>
          <w:lang w:val="en-US"/>
        </w:rPr>
      </w:pPr>
      <w:r w:rsidRPr="001020DE">
        <w:rPr>
          <w:lang w:val="en-US"/>
        </w:rPr>
        <w:fldChar w:fldCharType="begin"/>
      </w:r>
      <w:r w:rsidRPr="001020DE">
        <w:rPr>
          <w:lang w:val="en-US"/>
        </w:rPr>
        <w:instrText xml:space="preserve"> AUTONUM  </w:instrText>
      </w:r>
      <w:r w:rsidRPr="001020DE">
        <w:rPr>
          <w:lang w:val="en-US"/>
        </w:rPr>
        <w:fldChar w:fldCharType="end"/>
      </w:r>
      <w:r w:rsidRPr="001020DE">
        <w:rPr>
          <w:lang w:val="en-US"/>
        </w:rPr>
        <w:tab/>
        <w:t>The</w:t>
      </w:r>
      <w:r w:rsidR="00380003">
        <w:rPr>
          <w:lang w:val="en-US" w:eastAsia="ja-JP"/>
        </w:rPr>
        <w:t xml:space="preserve"> </w:t>
      </w:r>
      <w:r w:rsidRPr="001020DE">
        <w:rPr>
          <w:lang w:val="en-US" w:eastAsia="ja-JP"/>
        </w:rPr>
        <w:t>C</w:t>
      </w:r>
      <w:r w:rsidR="00380003">
        <w:rPr>
          <w:lang w:val="en-US" w:eastAsia="ja-JP"/>
        </w:rPr>
        <w:t>AJ</w:t>
      </w:r>
      <w:r w:rsidRPr="001020DE">
        <w:rPr>
          <w:lang w:val="en-US"/>
        </w:rPr>
        <w:t xml:space="preserve"> is invited t</w:t>
      </w:r>
      <w:r w:rsidR="000D4111">
        <w:rPr>
          <w:rFonts w:eastAsia="MS Mincho" w:hint="eastAsia"/>
          <w:lang w:val="en-US" w:eastAsia="ja-JP"/>
        </w:rPr>
        <w:t>o</w:t>
      </w:r>
      <w:r w:rsidRPr="001020DE">
        <w:rPr>
          <w:lang w:val="en-US"/>
        </w:rPr>
        <w:t>:</w:t>
      </w:r>
    </w:p>
    <w:p w:rsidR="00285C4C" w:rsidRPr="001020DE" w:rsidRDefault="00285C4C" w:rsidP="001A7840">
      <w:pPr>
        <w:pStyle w:val="DecisionInvitingPara"/>
        <w:tabs>
          <w:tab w:val="left" w:pos="5387"/>
          <w:tab w:val="left" w:pos="5954"/>
        </w:tabs>
        <w:ind w:left="4820"/>
        <w:rPr>
          <w:lang w:val="en-US" w:eastAsia="ja-JP"/>
        </w:rPr>
      </w:pPr>
    </w:p>
    <w:p w:rsidR="00285C4C" w:rsidRPr="001020DE" w:rsidRDefault="00F90763" w:rsidP="001A7840">
      <w:pPr>
        <w:pStyle w:val="DecisionInvitingPara"/>
        <w:tabs>
          <w:tab w:val="left" w:pos="5387"/>
          <w:tab w:val="left" w:pos="5954"/>
        </w:tabs>
        <w:ind w:left="4820" w:firstLine="567"/>
        <w:rPr>
          <w:snapToGrid w:val="0"/>
          <w:lang w:val="en-US" w:eastAsia="ja-JP"/>
        </w:rPr>
      </w:pPr>
      <w:r>
        <w:rPr>
          <w:lang w:val="en-US" w:eastAsia="ja-JP"/>
        </w:rPr>
        <w:t>(</w:t>
      </w:r>
      <w:r>
        <w:rPr>
          <w:rFonts w:eastAsia="MS Mincho" w:hint="eastAsia"/>
          <w:lang w:val="en-US" w:eastAsia="ja-JP"/>
        </w:rPr>
        <w:t>a</w:t>
      </w:r>
      <w:r w:rsidR="00380003">
        <w:rPr>
          <w:lang w:val="en-US" w:eastAsia="ja-JP"/>
        </w:rPr>
        <w:t>)</w:t>
      </w:r>
      <w:r w:rsidR="00380003">
        <w:rPr>
          <w:lang w:val="en-US" w:eastAsia="ja-JP"/>
        </w:rPr>
        <w:tab/>
      </w:r>
      <w:r w:rsidR="002F132E" w:rsidRPr="002F132E">
        <w:rPr>
          <w:lang w:val="en-US" w:eastAsia="ja-JP"/>
        </w:rPr>
        <w:t xml:space="preserve">note the updates </w:t>
      </w:r>
      <w:r w:rsidR="00111A35">
        <w:rPr>
          <w:lang w:val="en-US" w:eastAsia="ja-JP"/>
        </w:rPr>
        <w:t xml:space="preserve">concerning the </w:t>
      </w:r>
      <w:r w:rsidR="002145E7">
        <w:rPr>
          <w:rFonts w:eastAsia="MS Mincho" w:hint="eastAsia"/>
          <w:lang w:val="en-US" w:eastAsia="ja-JP"/>
        </w:rPr>
        <w:t xml:space="preserve">GENIE and </w:t>
      </w:r>
      <w:r w:rsidR="00111A35">
        <w:rPr>
          <w:lang w:val="en-US" w:eastAsia="ja-JP"/>
        </w:rPr>
        <w:t>PLUTO </w:t>
      </w:r>
      <w:r w:rsidR="002F132E" w:rsidRPr="002F132E">
        <w:rPr>
          <w:lang w:val="en-US" w:eastAsia="ja-JP"/>
        </w:rPr>
        <w:t>database</w:t>
      </w:r>
      <w:r w:rsidR="00AB2B2D">
        <w:rPr>
          <w:lang w:val="en-US" w:eastAsia="ja-JP"/>
        </w:rPr>
        <w:t>s</w:t>
      </w:r>
      <w:r w:rsidR="000010AE">
        <w:rPr>
          <w:lang w:val="en-US" w:eastAsia="ja-JP"/>
        </w:rPr>
        <w:t>, as provided in paragraphs 6 to 16 above</w:t>
      </w:r>
      <w:r w:rsidR="002F132E" w:rsidRPr="002F132E">
        <w:rPr>
          <w:lang w:val="en-US" w:eastAsia="ja-JP"/>
        </w:rPr>
        <w:t>;</w:t>
      </w:r>
    </w:p>
    <w:p w:rsidR="00285C4C" w:rsidRPr="001020DE" w:rsidRDefault="00285C4C" w:rsidP="001A7840">
      <w:pPr>
        <w:pStyle w:val="DecisionInvitingPara"/>
        <w:tabs>
          <w:tab w:val="left" w:pos="5387"/>
          <w:tab w:val="left" w:pos="5954"/>
        </w:tabs>
        <w:ind w:left="4820" w:firstLine="567"/>
        <w:rPr>
          <w:snapToGrid w:val="0"/>
          <w:lang w:val="en-US" w:eastAsia="ja-JP"/>
        </w:rPr>
      </w:pPr>
    </w:p>
    <w:p w:rsidR="00285C4C" w:rsidRPr="001020DE" w:rsidRDefault="00F90763" w:rsidP="001A7840">
      <w:pPr>
        <w:pStyle w:val="DecisionInvitingPara"/>
        <w:tabs>
          <w:tab w:val="left" w:pos="5387"/>
          <w:tab w:val="left" w:pos="5954"/>
        </w:tabs>
        <w:ind w:left="4820" w:firstLine="567"/>
        <w:rPr>
          <w:snapToGrid w:val="0"/>
          <w:lang w:val="en-US" w:eastAsia="ja-JP"/>
        </w:rPr>
      </w:pPr>
      <w:r>
        <w:rPr>
          <w:snapToGrid w:val="0"/>
          <w:lang w:val="en-US" w:eastAsia="ja-JP"/>
        </w:rPr>
        <w:t>(</w:t>
      </w:r>
      <w:r>
        <w:rPr>
          <w:rFonts w:eastAsia="MS Mincho" w:hint="eastAsia"/>
          <w:snapToGrid w:val="0"/>
          <w:lang w:val="en-US" w:eastAsia="ja-JP"/>
        </w:rPr>
        <w:t>b</w:t>
      </w:r>
      <w:r w:rsidR="00380003">
        <w:rPr>
          <w:snapToGrid w:val="0"/>
          <w:lang w:val="en-US" w:eastAsia="ja-JP"/>
        </w:rPr>
        <w:t>)</w:t>
      </w:r>
      <w:r w:rsidR="00380003">
        <w:rPr>
          <w:snapToGrid w:val="0"/>
          <w:lang w:val="en-US" w:eastAsia="ja-JP"/>
        </w:rPr>
        <w:tab/>
      </w:r>
      <w:r w:rsidR="002F132E" w:rsidRPr="002F132E">
        <w:rPr>
          <w:snapToGrid w:val="0"/>
          <w:lang w:val="en-US" w:eastAsia="ja-JP"/>
        </w:rPr>
        <w:t xml:space="preserve">consider whether </w:t>
      </w:r>
      <w:r w:rsidR="00B32C07" w:rsidRPr="00B32C07">
        <w:rPr>
          <w:snapToGrid w:val="0"/>
          <w:lang w:val="en-US" w:eastAsia="ja-JP"/>
        </w:rPr>
        <w:t>to accept accents and special characters in denominations provided in the PLUTO database</w:t>
      </w:r>
      <w:r w:rsidR="00B32C07">
        <w:rPr>
          <w:snapToGrid w:val="0"/>
          <w:lang w:val="en-US" w:eastAsia="ja-JP"/>
        </w:rPr>
        <w:t xml:space="preserve">, </w:t>
      </w:r>
      <w:r w:rsidR="00B32C07" w:rsidRPr="00B32C07">
        <w:rPr>
          <w:snapToGrid w:val="0"/>
          <w:lang w:val="en-US" w:eastAsia="ja-JP"/>
        </w:rPr>
        <w:t>not</w:t>
      </w:r>
      <w:r w:rsidR="00B32C07">
        <w:rPr>
          <w:snapToGrid w:val="0"/>
          <w:lang w:val="en-US" w:eastAsia="ja-JP"/>
        </w:rPr>
        <w:t>ing</w:t>
      </w:r>
      <w:r w:rsidR="00B32C07" w:rsidRPr="00B32C07">
        <w:rPr>
          <w:snapToGrid w:val="0"/>
          <w:lang w:val="en-US" w:eastAsia="ja-JP"/>
        </w:rPr>
        <w:t xml:space="preserve"> that the denomination search tool on the PLUTO database would only use the character set ASCII [American Standard Code for Information Interchange] representation, as defined in ISO [International S</w:t>
      </w:r>
      <w:r w:rsidR="00F66E48">
        <w:rPr>
          <w:snapToGrid w:val="0"/>
          <w:lang w:val="en-US" w:eastAsia="ja-JP"/>
        </w:rPr>
        <w:t>tandards Organization] Standard </w:t>
      </w:r>
      <w:r w:rsidR="00B32C07" w:rsidRPr="00B32C07">
        <w:rPr>
          <w:snapToGrid w:val="0"/>
          <w:lang w:val="en-US" w:eastAsia="ja-JP"/>
        </w:rPr>
        <w:t>646</w:t>
      </w:r>
      <w:r w:rsidR="00B32C07">
        <w:rPr>
          <w:snapToGrid w:val="0"/>
          <w:lang w:val="en-US" w:eastAsia="ja-JP"/>
        </w:rPr>
        <w:t>,</w:t>
      </w:r>
      <w:r w:rsidR="008C61F0">
        <w:rPr>
          <w:rFonts w:eastAsia="MS Mincho" w:hint="eastAsia"/>
          <w:snapToGrid w:val="0"/>
          <w:lang w:val="en-US" w:eastAsia="ja-JP"/>
        </w:rPr>
        <w:t xml:space="preserve"> </w:t>
      </w:r>
      <w:r w:rsidR="00B32C07">
        <w:rPr>
          <w:snapToGrid w:val="0"/>
          <w:lang w:val="en-US" w:eastAsia="ja-JP"/>
        </w:rPr>
        <w:t xml:space="preserve">as </w:t>
      </w:r>
      <w:r w:rsidR="008C61F0">
        <w:rPr>
          <w:rFonts w:eastAsia="MS Mincho" w:hint="eastAsia"/>
          <w:snapToGrid w:val="0"/>
          <w:lang w:val="en-US" w:eastAsia="ja-JP"/>
        </w:rPr>
        <w:t>set out</w:t>
      </w:r>
      <w:r w:rsidR="00B32C07">
        <w:rPr>
          <w:snapToGrid w:val="0"/>
          <w:lang w:val="en-US" w:eastAsia="ja-JP"/>
        </w:rPr>
        <w:t xml:space="preserve"> in paragraph 20 above</w:t>
      </w:r>
      <w:r w:rsidR="002F132E" w:rsidRPr="002F132E">
        <w:rPr>
          <w:snapToGrid w:val="0"/>
          <w:lang w:val="en-US" w:eastAsia="ja-JP"/>
        </w:rPr>
        <w:t>;</w:t>
      </w:r>
    </w:p>
    <w:p w:rsidR="00285C4C" w:rsidRPr="001020DE" w:rsidRDefault="00285C4C" w:rsidP="001A7840">
      <w:pPr>
        <w:pStyle w:val="DecisionInvitingPara"/>
        <w:tabs>
          <w:tab w:val="left" w:pos="5387"/>
          <w:tab w:val="left" w:pos="5954"/>
        </w:tabs>
        <w:ind w:left="4820" w:firstLine="567"/>
        <w:rPr>
          <w:lang w:val="en-US" w:eastAsia="ja-JP"/>
        </w:rPr>
      </w:pPr>
    </w:p>
    <w:p w:rsidR="009C2FB4" w:rsidRDefault="00F90763" w:rsidP="002F132E">
      <w:pPr>
        <w:pStyle w:val="DecisionInvitingPara"/>
        <w:tabs>
          <w:tab w:val="left" w:pos="5387"/>
          <w:tab w:val="left" w:pos="5954"/>
        </w:tabs>
        <w:ind w:left="4820" w:firstLine="567"/>
        <w:rPr>
          <w:lang w:val="en-US" w:eastAsia="ja-JP"/>
        </w:rPr>
      </w:pPr>
      <w:r>
        <w:rPr>
          <w:lang w:val="en-US" w:eastAsia="ja-JP"/>
        </w:rPr>
        <w:t>(</w:t>
      </w:r>
      <w:r>
        <w:rPr>
          <w:rFonts w:eastAsia="MS Mincho" w:hint="eastAsia"/>
          <w:lang w:val="en-US" w:eastAsia="ja-JP"/>
        </w:rPr>
        <w:t>c</w:t>
      </w:r>
      <w:r w:rsidR="00F96687">
        <w:rPr>
          <w:lang w:val="en-US" w:eastAsia="ja-JP"/>
        </w:rPr>
        <w:t>)</w:t>
      </w:r>
      <w:r w:rsidR="00F96687">
        <w:rPr>
          <w:lang w:val="en-US" w:eastAsia="ja-JP"/>
        </w:rPr>
        <w:tab/>
      </w:r>
      <w:r w:rsidR="002F132E" w:rsidRPr="002F132E">
        <w:rPr>
          <w:lang w:val="en-US" w:eastAsia="ja-JP"/>
        </w:rPr>
        <w:t xml:space="preserve">consider whether to revise </w:t>
      </w:r>
      <w:r w:rsidR="00111A35">
        <w:rPr>
          <w:lang w:val="en-US" w:eastAsia="ja-JP"/>
        </w:rPr>
        <w:t xml:space="preserve">the </w:t>
      </w:r>
      <w:r w:rsidR="002F132E" w:rsidRPr="002F132E">
        <w:rPr>
          <w:lang w:val="en-US" w:eastAsia="ja-JP"/>
        </w:rPr>
        <w:t>“Program for Improvements to the Plant Variety Database”, Section 3.1.3</w:t>
      </w:r>
      <w:r w:rsidR="008C61F0">
        <w:rPr>
          <w:rFonts w:eastAsia="MS Mincho" w:hint="eastAsia"/>
          <w:lang w:val="en-US" w:eastAsia="ja-JP"/>
        </w:rPr>
        <w:t xml:space="preserve">, </w:t>
      </w:r>
      <w:r w:rsidR="008C61F0" w:rsidRPr="00111A35">
        <w:rPr>
          <w:lang w:val="en-US" w:eastAsia="ja-JP"/>
        </w:rPr>
        <w:t xml:space="preserve">as </w:t>
      </w:r>
      <w:r w:rsidR="008C61F0">
        <w:rPr>
          <w:rFonts w:eastAsia="MS Mincho" w:hint="eastAsia"/>
          <w:lang w:val="en-US" w:eastAsia="ja-JP"/>
        </w:rPr>
        <w:t>set out</w:t>
      </w:r>
      <w:r w:rsidR="008C61F0" w:rsidRPr="00111A35">
        <w:rPr>
          <w:lang w:val="en-US" w:eastAsia="ja-JP"/>
        </w:rPr>
        <w:t xml:space="preserve"> in paragraph </w:t>
      </w:r>
      <w:r w:rsidR="008C61F0" w:rsidRPr="00C71735">
        <w:rPr>
          <w:rFonts w:eastAsia="MS Mincho" w:hint="eastAsia"/>
          <w:lang w:val="en-US" w:eastAsia="ja-JP"/>
        </w:rPr>
        <w:t>2</w:t>
      </w:r>
      <w:r w:rsidR="000E71F2">
        <w:rPr>
          <w:rFonts w:eastAsia="MS Mincho"/>
          <w:lang w:val="en-US" w:eastAsia="ja-JP"/>
        </w:rPr>
        <w:t>2</w:t>
      </w:r>
      <w:r w:rsidR="008C61F0">
        <w:rPr>
          <w:rFonts w:eastAsia="MS Mincho"/>
          <w:lang w:val="en-US" w:eastAsia="ja-JP"/>
        </w:rPr>
        <w:t xml:space="preserve"> above</w:t>
      </w:r>
      <w:r w:rsidR="008C61F0">
        <w:rPr>
          <w:rFonts w:eastAsia="MS Mincho" w:hint="eastAsia"/>
          <w:lang w:val="en-US" w:eastAsia="ja-JP"/>
        </w:rPr>
        <w:t xml:space="preserve">, in order to </w:t>
      </w:r>
      <w:r w:rsidR="009C2FB4">
        <w:rPr>
          <w:rFonts w:eastAsia="MS Mincho"/>
          <w:lang w:val="en-US" w:eastAsia="ja-JP"/>
        </w:rPr>
        <w:t>change the acceptable</w:t>
      </w:r>
      <w:r w:rsidR="008C61F0">
        <w:rPr>
          <w:rFonts w:eastAsia="MS Mincho" w:hint="eastAsia"/>
          <w:lang w:val="en-US" w:eastAsia="ja-JP"/>
        </w:rPr>
        <w:t xml:space="preserve"> </w:t>
      </w:r>
      <w:r w:rsidR="008C61F0" w:rsidRPr="008C61F0">
        <w:rPr>
          <w:lang w:val="en-US" w:eastAsia="ja-JP"/>
        </w:rPr>
        <w:t xml:space="preserve">character set </w:t>
      </w:r>
      <w:r w:rsidR="008C61F0">
        <w:rPr>
          <w:rFonts w:eastAsia="MS Mincho" w:hint="eastAsia"/>
          <w:lang w:val="en-US" w:eastAsia="ja-JP"/>
        </w:rPr>
        <w:t>to</w:t>
      </w:r>
      <w:r w:rsidR="008C61F0" w:rsidRPr="008C61F0">
        <w:rPr>
          <w:lang w:val="en-US" w:eastAsia="ja-JP"/>
        </w:rPr>
        <w:t xml:space="preserve"> </w:t>
      </w:r>
      <w:r w:rsidR="009C2FB4">
        <w:rPr>
          <w:lang w:val="en-US" w:eastAsia="ja-JP"/>
        </w:rPr>
        <w:t xml:space="preserve">ISO/IEC </w:t>
      </w:r>
      <w:r w:rsidR="009C2FB4" w:rsidRPr="009C2FB4">
        <w:rPr>
          <w:lang w:val="en-US" w:eastAsia="ja-JP"/>
        </w:rPr>
        <w:t>Standard 8859 1: 1998</w:t>
      </w:r>
      <w:r w:rsidR="009C2FB4">
        <w:rPr>
          <w:lang w:val="en-US" w:eastAsia="ja-JP"/>
        </w:rPr>
        <w:t>;</w:t>
      </w:r>
    </w:p>
    <w:p w:rsidR="002F132E" w:rsidRPr="002145E7" w:rsidRDefault="002F132E" w:rsidP="002F132E">
      <w:pPr>
        <w:pStyle w:val="DecisionInvitingPara"/>
        <w:tabs>
          <w:tab w:val="left" w:pos="5387"/>
          <w:tab w:val="left" w:pos="5954"/>
        </w:tabs>
        <w:ind w:left="4820" w:firstLine="567"/>
        <w:rPr>
          <w:rFonts w:eastAsia="MS Mincho"/>
          <w:lang w:val="en-US" w:eastAsia="ja-JP"/>
        </w:rPr>
      </w:pPr>
    </w:p>
    <w:p w:rsidR="008E62C9" w:rsidRPr="002145E7" w:rsidRDefault="00F90763" w:rsidP="00111A35">
      <w:pPr>
        <w:pStyle w:val="DecisionInvitingPara"/>
        <w:tabs>
          <w:tab w:val="left" w:pos="5387"/>
          <w:tab w:val="left" w:pos="5954"/>
        </w:tabs>
        <w:ind w:left="4820" w:firstLine="567"/>
        <w:rPr>
          <w:lang w:val="en-US" w:eastAsia="ja-JP"/>
        </w:rPr>
      </w:pPr>
      <w:r w:rsidRPr="002145E7">
        <w:rPr>
          <w:rFonts w:hint="eastAsia"/>
          <w:lang w:val="en-US" w:eastAsia="ja-JP"/>
        </w:rPr>
        <w:t>(d</w:t>
      </w:r>
      <w:r w:rsidR="008E62C9" w:rsidRPr="002145E7">
        <w:rPr>
          <w:rFonts w:hint="eastAsia"/>
          <w:lang w:val="en-US" w:eastAsia="ja-JP"/>
        </w:rPr>
        <w:t>)</w:t>
      </w:r>
      <w:r w:rsidR="008E62C9" w:rsidRPr="002145E7">
        <w:rPr>
          <w:rFonts w:hint="eastAsia"/>
          <w:lang w:val="en-US" w:eastAsia="ja-JP"/>
        </w:rPr>
        <w:tab/>
      </w:r>
      <w:r w:rsidR="002F132E" w:rsidRPr="002145E7">
        <w:rPr>
          <w:lang w:val="en-US" w:eastAsia="ja-JP"/>
        </w:rPr>
        <w:t xml:space="preserve">consider whether </w:t>
      </w:r>
      <w:r w:rsidR="00B32C07" w:rsidRPr="00B32C07">
        <w:rPr>
          <w:lang w:val="en-US" w:eastAsia="ja-JP"/>
        </w:rPr>
        <w:t>to expand the content of the PLUTO database to include all recognized var</w:t>
      </w:r>
      <w:r w:rsidR="009C2FB4">
        <w:rPr>
          <w:lang w:val="en-US" w:eastAsia="ja-JP"/>
        </w:rPr>
        <w:t>ieties, including these that have</w:t>
      </w:r>
      <w:r w:rsidR="00B32C07" w:rsidRPr="00B32C07">
        <w:rPr>
          <w:lang w:val="en-US" w:eastAsia="ja-JP"/>
        </w:rPr>
        <w:t xml:space="preserve"> not been, or were no longer, registered/protected</w:t>
      </w:r>
      <w:r w:rsidR="00B32C07">
        <w:rPr>
          <w:lang w:val="en-US" w:eastAsia="ja-JP"/>
        </w:rPr>
        <w:t xml:space="preserve"> </w:t>
      </w:r>
      <w:r w:rsidR="00B32C07" w:rsidRPr="00111A35">
        <w:rPr>
          <w:lang w:val="en-US" w:eastAsia="ja-JP"/>
        </w:rPr>
        <w:t xml:space="preserve">as </w:t>
      </w:r>
      <w:r w:rsidR="008C61F0">
        <w:rPr>
          <w:rFonts w:eastAsia="MS Mincho" w:hint="eastAsia"/>
          <w:lang w:val="en-US" w:eastAsia="ja-JP"/>
        </w:rPr>
        <w:t>set out</w:t>
      </w:r>
      <w:r w:rsidR="00B32C07" w:rsidRPr="00111A35">
        <w:rPr>
          <w:lang w:val="en-US" w:eastAsia="ja-JP"/>
        </w:rPr>
        <w:t xml:space="preserve"> in paragraph </w:t>
      </w:r>
      <w:r w:rsidR="00B32C07" w:rsidRPr="00C71735">
        <w:rPr>
          <w:rFonts w:eastAsia="MS Mincho" w:hint="eastAsia"/>
          <w:lang w:val="en-US" w:eastAsia="ja-JP"/>
        </w:rPr>
        <w:t>2</w:t>
      </w:r>
      <w:r w:rsidR="008C61F0">
        <w:rPr>
          <w:rFonts w:eastAsia="MS Mincho" w:hint="eastAsia"/>
          <w:lang w:val="en-US" w:eastAsia="ja-JP"/>
        </w:rPr>
        <w:t>4</w:t>
      </w:r>
      <w:r w:rsidR="00B32C07">
        <w:rPr>
          <w:rFonts w:eastAsia="MS Mincho"/>
          <w:lang w:val="en-US" w:eastAsia="ja-JP"/>
        </w:rPr>
        <w:t xml:space="preserve"> above</w:t>
      </w:r>
      <w:r w:rsidR="002F132E" w:rsidRPr="002145E7">
        <w:rPr>
          <w:lang w:val="en-US" w:eastAsia="ja-JP"/>
        </w:rPr>
        <w:t>;</w:t>
      </w:r>
      <w:r w:rsidR="00B32C07">
        <w:rPr>
          <w:lang w:val="en-US" w:eastAsia="ja-JP"/>
        </w:rPr>
        <w:t xml:space="preserve"> and</w:t>
      </w:r>
    </w:p>
    <w:p w:rsidR="00F96687" w:rsidRPr="003433F6" w:rsidRDefault="00F96687" w:rsidP="002F132E">
      <w:pPr>
        <w:pStyle w:val="DecisionParagraphs"/>
        <w:tabs>
          <w:tab w:val="left" w:pos="5954"/>
        </w:tabs>
        <w:rPr>
          <w:lang w:eastAsia="ja-JP"/>
        </w:rPr>
      </w:pPr>
    </w:p>
    <w:p w:rsidR="00A93078" w:rsidRDefault="00E4482D" w:rsidP="00B32C07">
      <w:pPr>
        <w:pStyle w:val="DecisionParagraphs"/>
        <w:tabs>
          <w:tab w:val="left" w:pos="5954"/>
        </w:tabs>
        <w:rPr>
          <w:rFonts w:cs="Arial"/>
        </w:rPr>
      </w:pPr>
      <w:r w:rsidRPr="002574CD">
        <w:rPr>
          <w:color w:val="000000"/>
          <w:lang w:eastAsia="ja-JP"/>
        </w:rPr>
        <w:tab/>
      </w:r>
      <w:r w:rsidR="00F96687" w:rsidRPr="002574CD">
        <w:rPr>
          <w:color w:val="000000"/>
          <w:lang w:eastAsia="ja-JP"/>
        </w:rPr>
        <w:t>(</w:t>
      </w:r>
      <w:r w:rsidR="00B32C07">
        <w:rPr>
          <w:color w:val="000000"/>
          <w:lang w:eastAsia="ja-JP"/>
        </w:rPr>
        <w:t>e</w:t>
      </w:r>
      <w:r w:rsidR="00F90763">
        <w:rPr>
          <w:color w:val="000000"/>
          <w:lang w:eastAsia="ja-JP"/>
        </w:rPr>
        <w:t>)</w:t>
      </w:r>
      <w:r w:rsidR="00F90763">
        <w:rPr>
          <w:color w:val="000000"/>
          <w:lang w:eastAsia="ja-JP"/>
        </w:rPr>
        <w:tab/>
      </w:r>
      <w:r w:rsidR="00111A35" w:rsidRPr="00111A35">
        <w:rPr>
          <w:color w:val="000000"/>
          <w:lang w:eastAsia="ja-JP"/>
        </w:rPr>
        <w:t>note t</w:t>
      </w:r>
      <w:r w:rsidR="00111A35">
        <w:rPr>
          <w:color w:val="000000"/>
          <w:lang w:eastAsia="ja-JP"/>
        </w:rPr>
        <w:t>hat developments concerning non</w:t>
      </w:r>
      <w:r w:rsidR="00111A35">
        <w:rPr>
          <w:color w:val="000000"/>
          <w:lang w:eastAsia="ja-JP"/>
        </w:rPr>
        <w:noBreakHyphen/>
      </w:r>
      <w:r w:rsidR="00111A35" w:rsidRPr="00111A35">
        <w:rPr>
          <w:color w:val="000000"/>
          <w:lang w:eastAsia="ja-JP"/>
        </w:rPr>
        <w:t>acceptable terms for variety denominations are reported in document CAJ/72/3 “Variety Denominations”</w:t>
      </w:r>
      <w:r w:rsidR="00111A35">
        <w:rPr>
          <w:color w:val="000000"/>
          <w:lang w:eastAsia="ja-JP"/>
        </w:rPr>
        <w:t>.</w:t>
      </w:r>
    </w:p>
    <w:p w:rsidR="00A93078" w:rsidRDefault="00A93078" w:rsidP="00C4624A">
      <w:pPr>
        <w:jc w:val="right"/>
        <w:rPr>
          <w:rFonts w:cs="Arial"/>
        </w:rPr>
      </w:pPr>
    </w:p>
    <w:p w:rsidR="00F66E48" w:rsidRDefault="00F66E48" w:rsidP="00C4624A">
      <w:pPr>
        <w:jc w:val="right"/>
        <w:rPr>
          <w:rFonts w:cs="Arial"/>
        </w:rPr>
      </w:pPr>
    </w:p>
    <w:p w:rsidR="00F66E48" w:rsidRDefault="00F66E48" w:rsidP="00C4624A">
      <w:pPr>
        <w:jc w:val="right"/>
        <w:rPr>
          <w:rFonts w:cs="Arial"/>
        </w:rPr>
      </w:pPr>
    </w:p>
    <w:p w:rsidR="00C4624A" w:rsidRDefault="00796671" w:rsidP="00C4624A">
      <w:pPr>
        <w:jc w:val="right"/>
        <w:rPr>
          <w:rFonts w:cs="Arial"/>
          <w:lang w:eastAsia="ja-JP"/>
        </w:rPr>
      </w:pPr>
      <w:r w:rsidRPr="001E700D">
        <w:rPr>
          <w:rFonts w:cs="Arial"/>
        </w:rPr>
        <w:t>[</w:t>
      </w:r>
      <w:r w:rsidR="00F90763">
        <w:rPr>
          <w:rFonts w:cs="Arial" w:hint="eastAsia"/>
          <w:lang w:eastAsia="ja-JP"/>
        </w:rPr>
        <w:t>End of document</w:t>
      </w:r>
      <w:r w:rsidRPr="001E700D">
        <w:rPr>
          <w:rFonts w:cs="Arial"/>
        </w:rPr>
        <w:t>]</w:t>
      </w:r>
    </w:p>
    <w:p w:rsidR="00A93078" w:rsidRDefault="00A93078">
      <w:pPr>
        <w:jc w:val="left"/>
        <w:rPr>
          <w:snapToGrid w:val="0"/>
          <w:lang w:eastAsia="ja-JP"/>
        </w:rPr>
      </w:pPr>
    </w:p>
    <w:sectPr w:rsidR="00A93078" w:rsidSect="00F66E48">
      <w:headerReference w:type="default" r:id="rId10"/>
      <w:pgSz w:w="11907" w:h="16840" w:code="9"/>
      <w:pgMar w:top="510" w:right="1134" w:bottom="1021"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3C" w:rsidRDefault="0032753C">
      <w:r>
        <w:separator/>
      </w:r>
    </w:p>
    <w:p w:rsidR="0032753C" w:rsidRDefault="0032753C"/>
    <w:p w:rsidR="0032753C" w:rsidRDefault="0032753C"/>
  </w:endnote>
  <w:endnote w:type="continuationSeparator" w:id="0">
    <w:p w:rsidR="0032753C" w:rsidRDefault="0032753C">
      <w:r>
        <w:separator/>
      </w:r>
    </w:p>
    <w:p w:rsidR="0032753C" w:rsidRPr="00664515" w:rsidRDefault="0032753C">
      <w:pPr>
        <w:pStyle w:val="Footer"/>
        <w:spacing w:after="60"/>
        <w:rPr>
          <w:sz w:val="18"/>
          <w:lang w:val="fr-CH"/>
        </w:rPr>
      </w:pPr>
      <w:r w:rsidRPr="00664515">
        <w:rPr>
          <w:sz w:val="18"/>
          <w:lang w:val="fr-CH"/>
        </w:rPr>
        <w:t>[Suite de la note de la page précédente]</w:t>
      </w:r>
    </w:p>
    <w:p w:rsidR="0032753C" w:rsidRPr="00664515" w:rsidRDefault="0032753C">
      <w:pPr>
        <w:rPr>
          <w:lang w:val="fr-CH"/>
        </w:rPr>
      </w:pPr>
    </w:p>
    <w:p w:rsidR="0032753C" w:rsidRPr="00664515" w:rsidRDefault="0032753C">
      <w:pPr>
        <w:rPr>
          <w:lang w:val="fr-CH"/>
        </w:rPr>
      </w:pPr>
    </w:p>
  </w:endnote>
  <w:endnote w:type="continuationNotice" w:id="1">
    <w:p w:rsidR="0032753C" w:rsidRPr="00664515" w:rsidRDefault="0032753C">
      <w:pPr>
        <w:spacing w:before="60"/>
        <w:jc w:val="right"/>
        <w:rPr>
          <w:sz w:val="18"/>
          <w:lang w:val="fr-CH"/>
        </w:rPr>
      </w:pPr>
      <w:r w:rsidRPr="00664515">
        <w:rPr>
          <w:sz w:val="18"/>
          <w:lang w:val="fr-CH"/>
        </w:rPr>
        <w:t>[Suite de la note page suivante]</w:t>
      </w:r>
    </w:p>
    <w:p w:rsidR="0032753C" w:rsidRPr="00664515" w:rsidRDefault="0032753C">
      <w:pPr>
        <w:rPr>
          <w:lang w:val="fr-CH"/>
        </w:rPr>
      </w:pPr>
    </w:p>
    <w:p w:rsidR="0032753C" w:rsidRPr="00664515" w:rsidRDefault="0032753C">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3C" w:rsidRDefault="0032753C" w:rsidP="009D690D">
      <w:pPr>
        <w:spacing w:before="120"/>
      </w:pPr>
      <w:r>
        <w:separator/>
      </w:r>
    </w:p>
  </w:footnote>
  <w:footnote w:type="continuationSeparator" w:id="0">
    <w:p w:rsidR="0032753C" w:rsidRDefault="0032753C" w:rsidP="00520297">
      <w:pPr>
        <w:spacing w:before="120"/>
        <w:jc w:val="left"/>
      </w:pPr>
      <w:r>
        <w:separator/>
      </w:r>
    </w:p>
  </w:footnote>
  <w:footnote w:type="continuationNotice" w:id="1">
    <w:p w:rsidR="0032753C" w:rsidRDefault="0032753C"/>
  </w:footnote>
  <w:footnote w:id="2">
    <w:p w:rsidR="002E1BA5" w:rsidRDefault="002E1BA5" w:rsidP="000010AE">
      <w:pPr>
        <w:pStyle w:val="FootnoteText"/>
      </w:pPr>
      <w:r>
        <w:rPr>
          <w:rStyle w:val="FootnoteReference"/>
        </w:rPr>
        <w:footnoteRef/>
      </w:r>
      <w:r w:rsidR="00C273DF">
        <w:t xml:space="preserve"> </w:t>
      </w:r>
      <w:r w:rsidR="00C273DF">
        <w:tab/>
        <w:t>H</w:t>
      </w:r>
      <w:r>
        <w:t>eld in Geneva, on March 26, 2015</w:t>
      </w:r>
      <w:r w:rsidR="00763438">
        <w:t>.</w:t>
      </w:r>
    </w:p>
  </w:footnote>
  <w:footnote w:id="3">
    <w:p w:rsidR="0071371B" w:rsidRDefault="0071371B">
      <w:pPr>
        <w:pStyle w:val="FootnoteText"/>
        <w:rPr>
          <w:lang w:eastAsia="ja-JP"/>
        </w:rPr>
      </w:pPr>
      <w:r>
        <w:rPr>
          <w:rStyle w:val="FootnoteReference"/>
        </w:rPr>
        <w:footnoteRef/>
      </w:r>
      <w:r>
        <w:t xml:space="preserve"> </w:t>
      </w:r>
      <w:r>
        <w:rPr>
          <w:rFonts w:hint="eastAsia"/>
          <w:lang w:eastAsia="ja-JP"/>
        </w:rPr>
        <w:tab/>
      </w:r>
      <w:r>
        <w:t>S</w:t>
      </w:r>
      <w:r w:rsidRPr="00C273DF">
        <w:t>ee document CAJ/71/10 “Report on the C</w:t>
      </w:r>
      <w:r>
        <w:t>onclusions”, paragraph 44</w:t>
      </w:r>
      <w:r w:rsidR="00763438">
        <w:t>.</w:t>
      </w:r>
    </w:p>
  </w:footnote>
  <w:footnote w:id="4">
    <w:p w:rsidR="0071371B" w:rsidRPr="0071371B" w:rsidRDefault="0071371B">
      <w:pPr>
        <w:pStyle w:val="FootnoteText"/>
        <w:rPr>
          <w:lang w:eastAsia="ja-JP"/>
        </w:rPr>
      </w:pPr>
      <w:r>
        <w:rPr>
          <w:rStyle w:val="FootnoteReference"/>
        </w:rPr>
        <w:footnoteRef/>
      </w:r>
      <w:r>
        <w:t xml:space="preserve"> </w:t>
      </w:r>
      <w:r>
        <w:rPr>
          <w:rFonts w:hint="eastAsia"/>
          <w:lang w:eastAsia="ja-JP"/>
        </w:rPr>
        <w:tab/>
      </w:r>
      <w:r>
        <w:t>S</w:t>
      </w:r>
      <w:r w:rsidRPr="00C273DF">
        <w:t>ee document CAJ/71/10 “Report on the C</w:t>
      </w:r>
      <w:r>
        <w:t>onclusions”, paragraph</w:t>
      </w:r>
      <w:r>
        <w:rPr>
          <w:rFonts w:hint="eastAsia"/>
          <w:lang w:eastAsia="ja-JP"/>
        </w:rPr>
        <w:t xml:space="preserve"> 45</w:t>
      </w:r>
      <w:r w:rsidR="00763438">
        <w:rPr>
          <w:lang w:eastAsia="ja-JP"/>
        </w:rPr>
        <w:t>.</w:t>
      </w:r>
    </w:p>
  </w:footnote>
  <w:footnote w:id="5">
    <w:p w:rsidR="0071371B" w:rsidRPr="0071371B" w:rsidRDefault="0071371B">
      <w:pPr>
        <w:pStyle w:val="FootnoteText"/>
        <w:rPr>
          <w:lang w:eastAsia="ja-JP"/>
        </w:rPr>
      </w:pPr>
      <w:r>
        <w:rPr>
          <w:rStyle w:val="FootnoteReference"/>
        </w:rPr>
        <w:footnoteRef/>
      </w:r>
      <w:r>
        <w:t xml:space="preserve"> </w:t>
      </w:r>
      <w:r>
        <w:rPr>
          <w:rFonts w:hint="eastAsia"/>
          <w:lang w:eastAsia="ja-JP"/>
        </w:rPr>
        <w:tab/>
      </w:r>
      <w:r>
        <w:t>S</w:t>
      </w:r>
      <w:r w:rsidRPr="00C273DF">
        <w:t>ee document CAJ/71/10 “Report on the C</w:t>
      </w:r>
      <w:r>
        <w:t>onclusions”, paragraph</w:t>
      </w:r>
      <w:r>
        <w:rPr>
          <w:rFonts w:hint="eastAsia"/>
          <w:lang w:eastAsia="ja-JP"/>
        </w:rPr>
        <w:t xml:space="preserve"> 46</w:t>
      </w:r>
      <w:r w:rsidR="00763438">
        <w:rPr>
          <w:lang w:eastAsia="ja-JP"/>
        </w:rPr>
        <w:t>.</w:t>
      </w:r>
    </w:p>
  </w:footnote>
  <w:footnote w:id="6">
    <w:p w:rsidR="0071371B" w:rsidRPr="0071371B" w:rsidRDefault="0071371B">
      <w:pPr>
        <w:pStyle w:val="FootnoteText"/>
        <w:rPr>
          <w:lang w:eastAsia="ja-JP"/>
        </w:rPr>
      </w:pPr>
      <w:r>
        <w:rPr>
          <w:rStyle w:val="FootnoteReference"/>
        </w:rPr>
        <w:footnoteRef/>
      </w:r>
      <w:r>
        <w:t xml:space="preserve"> </w:t>
      </w:r>
      <w:r>
        <w:rPr>
          <w:rFonts w:hint="eastAsia"/>
          <w:lang w:eastAsia="ja-JP"/>
        </w:rPr>
        <w:tab/>
      </w:r>
      <w:r>
        <w:t>S</w:t>
      </w:r>
      <w:r w:rsidRPr="00C273DF">
        <w:t>ee document CAJ/71/10 “Report on the C</w:t>
      </w:r>
      <w:r>
        <w:t>onclusions”, paragraph</w:t>
      </w:r>
      <w:r>
        <w:rPr>
          <w:rFonts w:hint="eastAsia"/>
          <w:lang w:eastAsia="ja-JP"/>
        </w:rPr>
        <w:t xml:space="preserve"> 47</w:t>
      </w:r>
      <w:r w:rsidR="00763438">
        <w:rPr>
          <w:lang w:eastAsia="ja-JP"/>
        </w:rPr>
        <w:t>.</w:t>
      </w:r>
    </w:p>
  </w:footnote>
  <w:footnote w:id="7">
    <w:p w:rsidR="00C273DF" w:rsidRDefault="00C273DF">
      <w:pPr>
        <w:pStyle w:val="FootnoteText"/>
      </w:pPr>
      <w:r>
        <w:rPr>
          <w:rStyle w:val="FootnoteReference"/>
        </w:rPr>
        <w:footnoteRef/>
      </w:r>
      <w:r>
        <w:t xml:space="preserve"> </w:t>
      </w:r>
      <w:r>
        <w:tab/>
        <w:t>S</w:t>
      </w:r>
      <w:r w:rsidRPr="00C273DF">
        <w:t>ee document CAJ/71/10 “Report on the C</w:t>
      </w:r>
      <w:r>
        <w:t>onclusions</w:t>
      </w:r>
      <w:r w:rsidR="0071371B">
        <w:t xml:space="preserve">”, paragraph </w:t>
      </w:r>
      <w:r>
        <w:t>48</w:t>
      </w:r>
      <w:r w:rsidR="00763438">
        <w:t>.</w:t>
      </w:r>
    </w:p>
  </w:footnote>
  <w:footnote w:id="8">
    <w:p w:rsidR="007C0D12" w:rsidRPr="00C273DF" w:rsidRDefault="007C0D12" w:rsidP="000010AE">
      <w:pPr>
        <w:pStyle w:val="FootnoteText"/>
      </w:pPr>
      <w:r>
        <w:rPr>
          <w:rStyle w:val="FootnoteReference"/>
        </w:rPr>
        <w:footnoteRef/>
      </w:r>
      <w:r w:rsidRPr="00C273DF">
        <w:t xml:space="preserve"> </w:t>
      </w:r>
      <w:r w:rsidRPr="00C273DF">
        <w:tab/>
      </w:r>
      <w:r w:rsidR="00C273DF" w:rsidRPr="00C273DF">
        <w:t>S</w:t>
      </w:r>
      <w:r w:rsidRPr="00C273DF">
        <w:t xml:space="preserve">ee </w:t>
      </w:r>
      <w:hyperlink r:id="rId1" w:history="1">
        <w:r w:rsidR="0067512D" w:rsidRPr="001B51B3">
          <w:rPr>
            <w:rStyle w:val="Hyperlink"/>
          </w:rPr>
          <w:t>http://www.upov.int/genie/en/species.jsp</w:t>
        </w:r>
      </w:hyperlink>
      <w:r w:rsidR="0067512D">
        <w:t xml:space="preserve"> </w:t>
      </w:r>
      <w:r w:rsidR="00763438">
        <w:t>.</w:t>
      </w:r>
    </w:p>
  </w:footnote>
  <w:footnote w:id="9">
    <w:p w:rsidR="007C0D12" w:rsidRPr="00C273DF" w:rsidRDefault="007C0D12" w:rsidP="000010AE">
      <w:pPr>
        <w:pStyle w:val="FootnoteText"/>
      </w:pPr>
      <w:r>
        <w:rPr>
          <w:rStyle w:val="FootnoteReference"/>
        </w:rPr>
        <w:footnoteRef/>
      </w:r>
      <w:r w:rsidRPr="00C273DF">
        <w:t xml:space="preserve"> </w:t>
      </w:r>
      <w:r w:rsidRPr="00C273DF">
        <w:tab/>
      </w:r>
      <w:r w:rsidR="00C273DF" w:rsidRPr="00C273DF">
        <w:t>S</w:t>
      </w:r>
      <w:r w:rsidRPr="00C273DF">
        <w:t xml:space="preserve">ee </w:t>
      </w:r>
      <w:hyperlink r:id="rId2" w:history="1">
        <w:r w:rsidR="0067512D" w:rsidRPr="001B51B3">
          <w:rPr>
            <w:rStyle w:val="Hyperlink"/>
          </w:rPr>
          <w:t>http://www.upov.int/genie/en/reports/</w:t>
        </w:r>
      </w:hyperlink>
      <w:r w:rsidR="00763438">
        <w:t>.</w:t>
      </w:r>
    </w:p>
  </w:footnote>
  <w:footnote w:id="10">
    <w:p w:rsidR="002E1BA5" w:rsidRDefault="002E1BA5" w:rsidP="000010AE">
      <w:pPr>
        <w:pStyle w:val="FootnoteText"/>
      </w:pPr>
      <w:r>
        <w:rPr>
          <w:rStyle w:val="FootnoteReference"/>
        </w:rPr>
        <w:footnoteRef/>
      </w:r>
      <w:r w:rsidR="00C273DF">
        <w:t xml:space="preserve"> </w:t>
      </w:r>
      <w:r w:rsidR="00C273DF">
        <w:tab/>
        <w:t>S</w:t>
      </w:r>
      <w:r>
        <w:t>ee document CAJ/71/5 Corr. “UPOV Information Databases”, paragraph 11</w:t>
      </w:r>
      <w:r w:rsidR="00763438">
        <w:t>.</w:t>
      </w:r>
    </w:p>
  </w:footnote>
  <w:footnote w:id="11">
    <w:p w:rsidR="002E1BA5" w:rsidRDefault="002E1BA5" w:rsidP="000010AE">
      <w:pPr>
        <w:pStyle w:val="FootnoteText"/>
      </w:pPr>
      <w:r>
        <w:rPr>
          <w:rStyle w:val="FootnoteReference"/>
        </w:rPr>
        <w:footnoteRef/>
      </w:r>
      <w:r>
        <w:t xml:space="preserve"> </w:t>
      </w:r>
      <w:r>
        <w:tab/>
        <w:t>See documents  Annex III, Part C of TWA/44/5, TWF/46/5, TWO/48/5 and  TWV/49/5</w:t>
      </w:r>
      <w:r w:rsidR="00763438">
        <w:t>.</w:t>
      </w:r>
    </w:p>
  </w:footnote>
  <w:footnote w:id="12">
    <w:p w:rsidR="0071371B" w:rsidRPr="0071371B" w:rsidRDefault="0071371B">
      <w:pPr>
        <w:pStyle w:val="FootnoteText"/>
        <w:rPr>
          <w:lang w:eastAsia="ja-JP"/>
        </w:rPr>
      </w:pPr>
      <w:r>
        <w:rPr>
          <w:rStyle w:val="FootnoteReference"/>
        </w:rPr>
        <w:footnoteRef/>
      </w:r>
      <w:r>
        <w:t xml:space="preserve"> </w:t>
      </w:r>
      <w:r>
        <w:rPr>
          <w:rFonts w:hint="eastAsia"/>
          <w:lang w:eastAsia="ja-JP"/>
        </w:rPr>
        <w:tab/>
      </w:r>
      <w:r>
        <w:t>S</w:t>
      </w:r>
      <w:r w:rsidRPr="00C273DF">
        <w:t>ee document CAJ/71/10 “Report on the Conclusions”, paragraph 52</w:t>
      </w:r>
      <w:r w:rsidR="00763438">
        <w:t>.</w:t>
      </w:r>
    </w:p>
  </w:footnote>
  <w:footnote w:id="13">
    <w:p w:rsidR="00C273DF" w:rsidRDefault="00C273DF">
      <w:pPr>
        <w:pStyle w:val="FootnoteText"/>
      </w:pPr>
      <w:r>
        <w:rPr>
          <w:rStyle w:val="FootnoteReference"/>
        </w:rPr>
        <w:footnoteRef/>
      </w:r>
      <w:r>
        <w:t xml:space="preserve"> </w:t>
      </w:r>
      <w:r>
        <w:tab/>
        <w:t>S</w:t>
      </w:r>
      <w:r w:rsidRPr="00C273DF">
        <w:t>ee document CAJ/71/10 “Report on the Conclusions”, paragraph 53</w:t>
      </w:r>
      <w:r w:rsidR="00763438">
        <w:t>.</w:t>
      </w:r>
    </w:p>
  </w:footnote>
  <w:footnote w:id="14">
    <w:p w:rsidR="00530455" w:rsidRPr="00530455" w:rsidRDefault="00530455" w:rsidP="000010AE">
      <w:pPr>
        <w:pStyle w:val="FootnoteText"/>
        <w:rPr>
          <w:lang w:eastAsia="ja-JP"/>
        </w:rPr>
      </w:pPr>
      <w:r>
        <w:rPr>
          <w:rStyle w:val="FootnoteReference"/>
        </w:rPr>
        <w:footnoteRef/>
      </w:r>
      <w:r>
        <w:t xml:space="preserve"> </w:t>
      </w:r>
      <w:r>
        <w:rPr>
          <w:rFonts w:hint="eastAsia"/>
          <w:lang w:eastAsia="ja-JP"/>
        </w:rPr>
        <w:tab/>
        <w:t>Held in Geneva on June 9, 2015</w:t>
      </w:r>
      <w:r w:rsidR="00763438">
        <w:rPr>
          <w:lang w:eastAsia="ja-JP"/>
        </w:rPr>
        <w:t>.</w:t>
      </w:r>
    </w:p>
  </w:footnote>
  <w:footnote w:id="15">
    <w:p w:rsidR="007C0D12" w:rsidRDefault="007C0D12" w:rsidP="00F66E48">
      <w:pPr>
        <w:pStyle w:val="FootnoteText"/>
        <w:ind w:left="567" w:hanging="567"/>
      </w:pPr>
      <w:r>
        <w:rPr>
          <w:rStyle w:val="FootnoteReference"/>
        </w:rPr>
        <w:footnoteRef/>
      </w:r>
      <w:r>
        <w:t xml:space="preserve"> </w:t>
      </w:r>
      <w:r>
        <w:tab/>
      </w:r>
      <w:r w:rsidR="0065295B">
        <w:rPr>
          <w:rFonts w:hint="eastAsia"/>
          <w:lang w:eastAsia="ja-JP"/>
        </w:rPr>
        <w:t>S</w:t>
      </w:r>
      <w:r>
        <w:rPr>
          <w:rFonts w:hint="eastAsia"/>
          <w:lang w:eastAsia="ja-JP"/>
        </w:rPr>
        <w:t xml:space="preserve">ee document CAJ/69/6 </w:t>
      </w:r>
      <w:r>
        <w:rPr>
          <w:lang w:eastAsia="ja-JP"/>
        </w:rPr>
        <w:t>“</w:t>
      </w:r>
      <w:r>
        <w:rPr>
          <w:rFonts w:hint="eastAsia"/>
          <w:lang w:eastAsia="ja-JP"/>
        </w:rPr>
        <w:t>Information Databases</w:t>
      </w:r>
      <w:r>
        <w:rPr>
          <w:lang w:eastAsia="ja-JP"/>
        </w:rPr>
        <w:t>”</w:t>
      </w:r>
      <w:r>
        <w:rPr>
          <w:rFonts w:hint="eastAsia"/>
          <w:lang w:eastAsia="ja-JP"/>
        </w:rPr>
        <w:t xml:space="preserve">, Annex I </w:t>
      </w:r>
      <w:r>
        <w:rPr>
          <w:lang w:eastAsia="ja-JP"/>
        </w:rPr>
        <w:t xml:space="preserve">“Program </w:t>
      </w:r>
      <w:r>
        <w:rPr>
          <w:rFonts w:hint="eastAsia"/>
          <w:lang w:eastAsia="ja-JP"/>
        </w:rPr>
        <w:t>f</w:t>
      </w:r>
      <w:r>
        <w:rPr>
          <w:lang w:eastAsia="ja-JP"/>
        </w:rPr>
        <w:t xml:space="preserve">or Improvements </w:t>
      </w:r>
      <w:r>
        <w:rPr>
          <w:rFonts w:hint="eastAsia"/>
          <w:lang w:eastAsia="ja-JP"/>
        </w:rPr>
        <w:t>t</w:t>
      </w:r>
      <w:r>
        <w:rPr>
          <w:lang w:eastAsia="ja-JP"/>
        </w:rPr>
        <w:t xml:space="preserve">o </w:t>
      </w:r>
      <w:r>
        <w:rPr>
          <w:rFonts w:hint="eastAsia"/>
          <w:lang w:eastAsia="ja-JP"/>
        </w:rPr>
        <w:t>t</w:t>
      </w:r>
      <w:r w:rsidRPr="001C0B9D">
        <w:rPr>
          <w:lang w:eastAsia="ja-JP"/>
        </w:rPr>
        <w:t>he Plant Variety Database</w:t>
      </w:r>
      <w:r>
        <w:rPr>
          <w:lang w:eastAsia="ja-JP"/>
        </w:rPr>
        <w:t>”</w:t>
      </w:r>
      <w:r>
        <w:rPr>
          <w:rFonts w:hint="eastAsia"/>
          <w:lang w:eastAsia="ja-JP"/>
        </w:rPr>
        <w:t>, Section</w:t>
      </w:r>
      <w:r w:rsidR="00D06E6A">
        <w:rPr>
          <w:lang w:eastAsia="ja-JP"/>
        </w:rPr>
        <w:t> </w:t>
      </w:r>
      <w:r>
        <w:rPr>
          <w:rFonts w:hint="eastAsia"/>
          <w:lang w:eastAsia="ja-JP"/>
        </w:rPr>
        <w:t>3.1.3</w:t>
      </w:r>
      <w:r>
        <w:rPr>
          <w:lang w:eastAsia="ja-JP"/>
        </w:rPr>
        <w:t>”</w:t>
      </w:r>
      <w:r w:rsidR="00763438">
        <w:rPr>
          <w:lang w:eastAsia="ja-JP"/>
        </w:rPr>
        <w:t>.</w:t>
      </w:r>
    </w:p>
  </w:footnote>
  <w:footnote w:id="16">
    <w:p w:rsidR="007C0D12" w:rsidRDefault="007C0D12" w:rsidP="00F66E48">
      <w:pPr>
        <w:pStyle w:val="FootnoteText"/>
        <w:ind w:left="567" w:hanging="567"/>
      </w:pPr>
      <w:r>
        <w:rPr>
          <w:rStyle w:val="FootnoteReference"/>
        </w:rPr>
        <w:footnoteRef/>
      </w:r>
      <w:r>
        <w:t xml:space="preserve"> </w:t>
      </w:r>
      <w:r>
        <w:tab/>
      </w:r>
      <w:r w:rsidRPr="00715E2B">
        <w:rPr>
          <w:lang w:eastAsia="ja-JP"/>
        </w:rPr>
        <w:t>“</w:t>
      </w:r>
      <w:r>
        <w:t>3.1.3</w:t>
      </w:r>
      <w:r>
        <w:tab/>
      </w:r>
      <w:r w:rsidRPr="00715E2B">
        <w:t>Subject to Section 3.1.4, the character set for data shall be the ASCII [American Standard Code for</w:t>
      </w:r>
      <w:r w:rsidRPr="00715E2B">
        <w:rPr>
          <w:rFonts w:hint="eastAsia"/>
          <w:lang w:eastAsia="ja-JP"/>
        </w:rPr>
        <w:t xml:space="preserve"> </w:t>
      </w:r>
      <w:r w:rsidRPr="00715E2B">
        <w:t>Information Interchange] representation, as defined in ISO [International Standards Organization]</w:t>
      </w:r>
      <w:r w:rsidRPr="00715E2B">
        <w:rPr>
          <w:rFonts w:hint="eastAsia"/>
          <w:lang w:eastAsia="ja-JP"/>
        </w:rPr>
        <w:t xml:space="preserve"> </w:t>
      </w:r>
      <w:r w:rsidRPr="00715E2B">
        <w:t>Standard 646. Special characters, symbols or accents (˜, ˆ, ¨, º, etc.) are not accepted. Only characters of</w:t>
      </w:r>
      <w:r w:rsidRPr="00715E2B">
        <w:rPr>
          <w:rFonts w:hint="eastAsia"/>
          <w:lang w:eastAsia="ja-JP"/>
        </w:rPr>
        <w:t xml:space="preserve"> </w:t>
      </w:r>
      <w:r w:rsidRPr="00715E2B">
        <w:t>the English alphabet may be used.</w:t>
      </w:r>
      <w:r w:rsidRPr="00715E2B">
        <w:rPr>
          <w:lang w:eastAsia="ja-JP"/>
        </w:rPr>
        <w:t>”</w:t>
      </w:r>
    </w:p>
  </w:footnote>
  <w:footnote w:id="17">
    <w:p w:rsidR="0071371B" w:rsidRPr="0071371B" w:rsidRDefault="0071371B" w:rsidP="00F66E48">
      <w:pPr>
        <w:pStyle w:val="FootnoteText"/>
        <w:ind w:left="567" w:hanging="567"/>
        <w:rPr>
          <w:lang w:eastAsia="ja-JP"/>
        </w:rPr>
      </w:pPr>
      <w:r w:rsidRPr="0071371B">
        <w:rPr>
          <w:rStyle w:val="FootnoteReference"/>
        </w:rPr>
        <w:footnoteRef/>
      </w:r>
      <w:r w:rsidRPr="0071371B">
        <w:t xml:space="preserve"> </w:t>
      </w:r>
      <w:r w:rsidRPr="0071371B">
        <w:rPr>
          <w:rFonts w:hint="eastAsia"/>
          <w:lang w:eastAsia="ja-JP"/>
        </w:rPr>
        <w:tab/>
      </w:r>
      <w:r w:rsidRPr="0071371B">
        <w:rPr>
          <w:lang w:eastAsia="ja-JP"/>
        </w:rPr>
        <w:t xml:space="preserve">See document </w:t>
      </w:r>
      <w:r w:rsidRPr="0071371B">
        <w:rPr>
          <w:rFonts w:hint="eastAsia"/>
          <w:lang w:eastAsia="ja-JP"/>
        </w:rPr>
        <w:t xml:space="preserve">UPOV/WG-DST/2/6 </w:t>
      </w:r>
      <w:r w:rsidRPr="0071371B">
        <w:rPr>
          <w:lang w:eastAsia="ja-JP"/>
        </w:rPr>
        <w:t>“</w:t>
      </w:r>
      <w:r w:rsidRPr="0071371B">
        <w:rPr>
          <w:rFonts w:hint="eastAsia"/>
          <w:lang w:eastAsia="ja-JP"/>
        </w:rPr>
        <w:t>Report</w:t>
      </w:r>
      <w:r w:rsidRPr="0071371B">
        <w:rPr>
          <w:lang w:eastAsia="ja-JP"/>
        </w:rPr>
        <w:t>”, paragraph</w:t>
      </w:r>
      <w:r w:rsidRPr="0071371B">
        <w:rPr>
          <w:rFonts w:hint="eastAsia"/>
          <w:lang w:eastAsia="ja-JP"/>
        </w:rPr>
        <w:t>s</w:t>
      </w:r>
      <w:r w:rsidRPr="0071371B">
        <w:rPr>
          <w:lang w:eastAsia="ja-JP"/>
        </w:rPr>
        <w:t xml:space="preserve"> </w:t>
      </w:r>
      <w:r w:rsidRPr="0071371B">
        <w:rPr>
          <w:rFonts w:hint="eastAsia"/>
          <w:lang w:eastAsia="ja-JP"/>
        </w:rPr>
        <w:t>17 and 18</w:t>
      </w:r>
      <w:r w:rsidR="00763438">
        <w:rPr>
          <w:lang w:eastAsia="ja-JP"/>
        </w:rPr>
        <w:t>.</w:t>
      </w:r>
    </w:p>
  </w:footnote>
  <w:footnote w:id="18">
    <w:p w:rsidR="0071371B" w:rsidRPr="0071371B" w:rsidRDefault="0071371B" w:rsidP="00F66E48">
      <w:pPr>
        <w:pStyle w:val="FootnoteText"/>
        <w:ind w:left="567" w:hanging="567"/>
        <w:rPr>
          <w:lang w:eastAsia="ja-JP"/>
        </w:rPr>
      </w:pPr>
      <w:r>
        <w:rPr>
          <w:rStyle w:val="FootnoteReference"/>
        </w:rPr>
        <w:footnoteRef/>
      </w:r>
      <w:r>
        <w:t xml:space="preserve"> </w:t>
      </w:r>
      <w:r>
        <w:rPr>
          <w:rFonts w:hint="eastAsia"/>
          <w:lang w:eastAsia="ja-JP"/>
        </w:rPr>
        <w:tab/>
      </w:r>
      <w:r w:rsidRPr="0071371B">
        <w:rPr>
          <w:lang w:eastAsia="ja-JP"/>
        </w:rPr>
        <w:t xml:space="preserve">See document </w:t>
      </w:r>
      <w:r w:rsidRPr="0071371B">
        <w:rPr>
          <w:rFonts w:hint="eastAsia"/>
          <w:lang w:eastAsia="ja-JP"/>
        </w:rPr>
        <w:t xml:space="preserve">UPOV/WG-DST/2/6 </w:t>
      </w:r>
      <w:r w:rsidRPr="0071371B">
        <w:rPr>
          <w:lang w:eastAsia="ja-JP"/>
        </w:rPr>
        <w:t>“</w:t>
      </w:r>
      <w:r w:rsidRPr="0071371B">
        <w:rPr>
          <w:rFonts w:hint="eastAsia"/>
          <w:lang w:eastAsia="ja-JP"/>
        </w:rPr>
        <w:t>Report</w:t>
      </w:r>
      <w:r w:rsidRPr="0071371B">
        <w:rPr>
          <w:lang w:eastAsia="ja-JP"/>
        </w:rPr>
        <w:t>”, paragraph</w:t>
      </w:r>
      <w:r>
        <w:rPr>
          <w:rFonts w:hint="eastAsia"/>
          <w:lang w:eastAsia="ja-JP"/>
        </w:rPr>
        <w:t xml:space="preserve"> 19</w:t>
      </w:r>
      <w:r w:rsidR="00763438">
        <w:rPr>
          <w:lang w:eastAsia="ja-JP"/>
        </w:rPr>
        <w:t>.</w:t>
      </w:r>
    </w:p>
  </w:footnote>
  <w:footnote w:id="19">
    <w:p w:rsidR="00D90030" w:rsidRPr="0071371B" w:rsidRDefault="004E14E8" w:rsidP="00F66E48">
      <w:pPr>
        <w:pStyle w:val="FootnoteText"/>
        <w:ind w:left="567" w:hanging="567"/>
      </w:pPr>
      <w:r w:rsidRPr="0071371B">
        <w:rPr>
          <w:rStyle w:val="FootnoteReference"/>
        </w:rPr>
        <w:footnoteRef/>
      </w:r>
      <w:r w:rsidRPr="0071371B">
        <w:t xml:space="preserve"> </w:t>
      </w:r>
      <w:r w:rsidRPr="0071371B">
        <w:tab/>
      </w:r>
      <w:r w:rsidR="00D90030" w:rsidRPr="0071371B">
        <w:t xml:space="preserve">ISO/IEC 8859 – 1: 1998 “Information technology -- 8-bit single-byte coded graphic character sets -- Part 1: </w:t>
      </w:r>
      <w:r w:rsidR="001A7AB7">
        <w:t>Latin alphabet No. </w:t>
      </w:r>
      <w:r w:rsidR="00D90030" w:rsidRPr="0071371B">
        <w:t xml:space="preserve">1”. See below extract from the ISO website concerning ISO/IEC 8859 – 1: 1998 (also available at </w:t>
      </w:r>
      <w:hyperlink r:id="rId3" w:history="1">
        <w:r w:rsidR="00F66E48" w:rsidRPr="001B51B3">
          <w:rPr>
            <w:rStyle w:val="Hyperlink"/>
          </w:rPr>
          <w:t>http://www.iso.org/iso/home/store/catalogue_tc/catalogue_detail.htm?csnumber=28245</w:t>
        </w:r>
      </w:hyperlink>
      <w:r w:rsidR="00D90030" w:rsidRPr="0071371B">
        <w:t>) :</w:t>
      </w:r>
    </w:p>
    <w:p w:rsidR="00D90030" w:rsidRPr="0071371B" w:rsidRDefault="00D90030" w:rsidP="00F66E48">
      <w:pPr>
        <w:pStyle w:val="FootnoteText"/>
        <w:ind w:left="567"/>
      </w:pPr>
      <w:r w:rsidRPr="0071371B">
        <w:t>“Foreword</w:t>
      </w:r>
    </w:p>
    <w:p w:rsidR="00D90030" w:rsidRDefault="00D90030" w:rsidP="00F66E48">
      <w:pPr>
        <w:pStyle w:val="FootnoteText"/>
        <w:ind w:left="567"/>
      </w:pPr>
      <w:r w:rsidRPr="0071371B">
        <w:t>“ISO (the International Organization for Standardization) and IEC (the International Electrotechnical Commission) form the specialized system for worldwide standardization</w:t>
      </w:r>
      <w:r>
        <w:t xml:space="preserve">. </w:t>
      </w:r>
    </w:p>
    <w:p w:rsidR="00D90030" w:rsidRDefault="00D90030" w:rsidP="00F66E48">
      <w:pPr>
        <w:pStyle w:val="FootnoteText"/>
        <w:ind w:left="567"/>
      </w:pPr>
      <w:r>
        <w:t>“[…]</w:t>
      </w:r>
    </w:p>
    <w:p w:rsidR="00D90030" w:rsidRDefault="00D90030" w:rsidP="00F66E48">
      <w:pPr>
        <w:pStyle w:val="FootnoteText"/>
        <w:ind w:left="567"/>
      </w:pPr>
      <w:r>
        <w:t>“Introduction</w:t>
      </w:r>
    </w:p>
    <w:p w:rsidR="00D90030" w:rsidRDefault="00D90030" w:rsidP="00F66E48">
      <w:pPr>
        <w:pStyle w:val="FootnoteText"/>
        <w:ind w:left="567"/>
      </w:pPr>
      <w:r>
        <w:t>“ISO/IEC 8859 consists of several parts. Each part specifies a set of up to 191 graphic characters and the coded representation of these characters by means of a single 8-bit byte. Each set is intended for use for a particular group of languages.</w:t>
      </w:r>
    </w:p>
    <w:p w:rsidR="00D90030" w:rsidRDefault="00D90030" w:rsidP="00F66E48">
      <w:pPr>
        <w:pStyle w:val="FootnoteText"/>
        <w:ind w:left="567"/>
      </w:pPr>
      <w:r>
        <w:t>“1   Scope</w:t>
      </w:r>
    </w:p>
    <w:p w:rsidR="00D90030" w:rsidRDefault="00D90030" w:rsidP="00F66E48">
      <w:pPr>
        <w:pStyle w:val="FootnoteText"/>
        <w:ind w:left="567"/>
      </w:pPr>
      <w:r>
        <w:t>“This part of ISO/IEC 8859 specifies a set of 191 coded graphic characters identified as Latin alphabet No. 1.</w:t>
      </w:r>
    </w:p>
    <w:p w:rsidR="00D90030" w:rsidRDefault="00D90030" w:rsidP="00F66E48">
      <w:pPr>
        <w:pStyle w:val="FootnoteText"/>
        <w:ind w:left="567"/>
      </w:pPr>
      <w:r>
        <w:t>“This set of coded graphic characters is intended for use in data and text processing applications and also for information interchange.</w:t>
      </w:r>
    </w:p>
    <w:p w:rsidR="00D90030" w:rsidRDefault="00D90030" w:rsidP="00F66E48">
      <w:pPr>
        <w:pStyle w:val="FootnoteText"/>
        <w:ind w:left="567"/>
      </w:pPr>
      <w:r>
        <w:t>“The set contains graphic characters used for general purpose applications in typical office environments in at least the following languages:</w:t>
      </w:r>
    </w:p>
    <w:p w:rsidR="004E14E8" w:rsidRDefault="00D90030" w:rsidP="00F66E48">
      <w:pPr>
        <w:pStyle w:val="FootnoteText"/>
        <w:ind w:left="567"/>
      </w:pPr>
      <w:r>
        <w:t>“Albanian, Basque, Breton, Catalan, Danish, Dutch, English, Faroese, Finnish, French (with restrictions, see Annex A.1, Notes), Frisian, Galician, German, Greenlandic, Icelandic, Irish Gaelic (new orthography), Italian, Latin, Luxemburgish, Norwegian, Portuguese, Rhaeto</w:t>
      </w:r>
      <w:r w:rsidR="00D06E6A">
        <w:rPr>
          <w:rFonts w:hint="eastAsia"/>
          <w:lang w:eastAsia="ja-JP"/>
        </w:rPr>
        <w:noBreakHyphen/>
      </w:r>
      <w:r>
        <w:t>Romanic, Scottish Gaelic, Spanish and Swedish. […]”</w:t>
      </w:r>
      <w:r w:rsidR="00763438">
        <w:t>.</w:t>
      </w:r>
    </w:p>
  </w:footnote>
  <w:footnote w:id="20">
    <w:p w:rsidR="0065295B" w:rsidRDefault="0065295B" w:rsidP="00F66E48">
      <w:pPr>
        <w:pStyle w:val="FootnoteText"/>
        <w:ind w:left="567" w:hanging="567"/>
        <w:rPr>
          <w:lang w:eastAsia="ja-JP"/>
        </w:rPr>
      </w:pPr>
      <w:r>
        <w:rPr>
          <w:rStyle w:val="FootnoteReference"/>
        </w:rPr>
        <w:footnoteRef/>
      </w:r>
      <w:r>
        <w:t xml:space="preserve"> </w:t>
      </w:r>
      <w:r>
        <w:rPr>
          <w:rFonts w:hint="eastAsia"/>
          <w:lang w:eastAsia="ja-JP"/>
        </w:rPr>
        <w:tab/>
      </w:r>
      <w:r w:rsidRPr="0065295B">
        <w:rPr>
          <w:lang w:eastAsia="ja-JP"/>
        </w:rPr>
        <w:t xml:space="preserve">See document </w:t>
      </w:r>
      <w:r>
        <w:rPr>
          <w:rFonts w:hint="eastAsia"/>
          <w:lang w:eastAsia="ja-JP"/>
        </w:rPr>
        <w:t xml:space="preserve">UPOV/WG-DST/2/6 </w:t>
      </w:r>
      <w:r>
        <w:rPr>
          <w:lang w:eastAsia="ja-JP"/>
        </w:rPr>
        <w:t>“</w:t>
      </w:r>
      <w:r>
        <w:rPr>
          <w:rFonts w:hint="eastAsia"/>
          <w:lang w:eastAsia="ja-JP"/>
        </w:rPr>
        <w:t>Report</w:t>
      </w:r>
      <w:r>
        <w:rPr>
          <w:lang w:eastAsia="ja-JP"/>
        </w:rPr>
        <w:t>”</w:t>
      </w:r>
      <w:r w:rsidRPr="0065295B">
        <w:rPr>
          <w:lang w:eastAsia="ja-JP"/>
        </w:rPr>
        <w:t xml:space="preserve">, paragraph </w:t>
      </w:r>
      <w:r>
        <w:rPr>
          <w:rFonts w:hint="eastAsia"/>
          <w:lang w:eastAsia="ja-JP"/>
        </w:rPr>
        <w:t>30</w:t>
      </w:r>
      <w:r w:rsidR="00763438">
        <w:rPr>
          <w:lang w:eastAsia="ja-JP"/>
        </w:rPr>
        <w:t>.</w:t>
      </w:r>
    </w:p>
  </w:footnote>
  <w:footnote w:id="21">
    <w:p w:rsidR="0065295B" w:rsidRDefault="0065295B">
      <w:pPr>
        <w:pStyle w:val="FootnoteText"/>
        <w:rPr>
          <w:lang w:eastAsia="ja-JP"/>
        </w:rPr>
      </w:pPr>
      <w:r>
        <w:rPr>
          <w:rStyle w:val="FootnoteReference"/>
        </w:rPr>
        <w:footnoteRef/>
      </w:r>
      <w:r>
        <w:t xml:space="preserve"> </w:t>
      </w:r>
      <w:r>
        <w:rPr>
          <w:rFonts w:hint="eastAsia"/>
          <w:lang w:eastAsia="ja-JP"/>
        </w:rPr>
        <w:tab/>
      </w:r>
      <w:r w:rsidRPr="0065295B">
        <w:rPr>
          <w:lang w:eastAsia="ja-JP"/>
        </w:rPr>
        <w:t xml:space="preserve">See document </w:t>
      </w:r>
      <w:r>
        <w:rPr>
          <w:rFonts w:hint="eastAsia"/>
          <w:lang w:eastAsia="ja-JP"/>
        </w:rPr>
        <w:t xml:space="preserve">UPOV/WG-DST/2/6 </w:t>
      </w:r>
      <w:r>
        <w:rPr>
          <w:lang w:eastAsia="ja-JP"/>
        </w:rPr>
        <w:t>“</w:t>
      </w:r>
      <w:r>
        <w:rPr>
          <w:rFonts w:hint="eastAsia"/>
          <w:lang w:eastAsia="ja-JP"/>
        </w:rPr>
        <w:t>Report</w:t>
      </w:r>
      <w:r>
        <w:rPr>
          <w:lang w:eastAsia="ja-JP"/>
        </w:rPr>
        <w:t>”</w:t>
      </w:r>
      <w:r w:rsidRPr="0065295B">
        <w:rPr>
          <w:lang w:eastAsia="ja-JP"/>
        </w:rPr>
        <w:t xml:space="preserve">, paragraph </w:t>
      </w:r>
      <w:r>
        <w:rPr>
          <w:rFonts w:hint="eastAsia"/>
          <w:lang w:eastAsia="ja-JP"/>
        </w:rPr>
        <w:t>12</w:t>
      </w:r>
      <w:r w:rsidR="00763438">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3C" w:rsidRPr="00997029" w:rsidRDefault="0032753C" w:rsidP="00E23920">
    <w:pPr>
      <w:jc w:val="center"/>
      <w:rPr>
        <w:rStyle w:val="PageNumber"/>
        <w:lang w:eastAsia="ja-JP"/>
      </w:rPr>
    </w:pPr>
    <w:r>
      <w:rPr>
        <w:rStyle w:val="PageNumber"/>
      </w:rPr>
      <w:t>CAJ/7</w:t>
    </w:r>
    <w:r w:rsidR="00F90763">
      <w:rPr>
        <w:rStyle w:val="PageNumber"/>
        <w:rFonts w:hint="eastAsia"/>
        <w:lang w:eastAsia="ja-JP"/>
      </w:rPr>
      <w:t>2</w:t>
    </w:r>
    <w:r>
      <w:rPr>
        <w:rStyle w:val="PageNumber"/>
      </w:rPr>
      <w:t>/</w:t>
    </w:r>
    <w:r w:rsidR="00F90763">
      <w:rPr>
        <w:rStyle w:val="PageNumber"/>
        <w:rFonts w:hint="eastAsia"/>
        <w:lang w:eastAsia="ja-JP"/>
      </w:rPr>
      <w:t>6</w:t>
    </w:r>
  </w:p>
  <w:p w:rsidR="0032753C" w:rsidRPr="00997029" w:rsidRDefault="0032753C"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2686E">
      <w:rPr>
        <w:rStyle w:val="PageNumber"/>
        <w:noProof/>
      </w:rPr>
      <w:t>4</w:t>
    </w:r>
    <w:r w:rsidRPr="00997029">
      <w:rPr>
        <w:rStyle w:val="PageNumber"/>
      </w:rPr>
      <w:fldChar w:fldCharType="end"/>
    </w:r>
  </w:p>
  <w:p w:rsidR="0032753C" w:rsidRPr="00997029" w:rsidRDefault="0032753C"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7DB2C26"/>
    <w:multiLevelType w:val="hybridMultilevel"/>
    <w:tmpl w:val="D49E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D7B7D7F"/>
    <w:multiLevelType w:val="hybridMultilevel"/>
    <w:tmpl w:val="0A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0">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1">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2"/>
  </w:num>
  <w:num w:numId="5">
    <w:abstractNumId w:val="9"/>
  </w:num>
  <w:num w:numId="6">
    <w:abstractNumId w:val="5"/>
  </w:num>
  <w:num w:numId="7">
    <w:abstractNumId w:val="11"/>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F"/>
    <w:rsid w:val="000010AE"/>
    <w:rsid w:val="00001380"/>
    <w:rsid w:val="00001D48"/>
    <w:rsid w:val="00010CF3"/>
    <w:rsid w:val="00011E27"/>
    <w:rsid w:val="000148BC"/>
    <w:rsid w:val="00014D5F"/>
    <w:rsid w:val="000226BF"/>
    <w:rsid w:val="00024AB8"/>
    <w:rsid w:val="00036028"/>
    <w:rsid w:val="000446B9"/>
    <w:rsid w:val="00047E21"/>
    <w:rsid w:val="0006472C"/>
    <w:rsid w:val="000661C2"/>
    <w:rsid w:val="00085505"/>
    <w:rsid w:val="00095E5A"/>
    <w:rsid w:val="000B178E"/>
    <w:rsid w:val="000C7021"/>
    <w:rsid w:val="000D097C"/>
    <w:rsid w:val="000D4111"/>
    <w:rsid w:val="000D492E"/>
    <w:rsid w:val="000D6BBC"/>
    <w:rsid w:val="000D7780"/>
    <w:rsid w:val="000E71F2"/>
    <w:rsid w:val="00105929"/>
    <w:rsid w:val="00110481"/>
    <w:rsid w:val="00111A35"/>
    <w:rsid w:val="001131D5"/>
    <w:rsid w:val="00126B77"/>
    <w:rsid w:val="00126BAD"/>
    <w:rsid w:val="00141DB8"/>
    <w:rsid w:val="001451A4"/>
    <w:rsid w:val="00154DC4"/>
    <w:rsid w:val="00155F6F"/>
    <w:rsid w:val="0017474A"/>
    <w:rsid w:val="001758C6"/>
    <w:rsid w:val="0017700D"/>
    <w:rsid w:val="001A7840"/>
    <w:rsid w:val="001A7AB7"/>
    <w:rsid w:val="001B7113"/>
    <w:rsid w:val="001C3DF3"/>
    <w:rsid w:val="001E260B"/>
    <w:rsid w:val="001F1F2A"/>
    <w:rsid w:val="0021332C"/>
    <w:rsid w:val="00213982"/>
    <w:rsid w:val="002145E7"/>
    <w:rsid w:val="00237C7D"/>
    <w:rsid w:val="0024416D"/>
    <w:rsid w:val="00250E78"/>
    <w:rsid w:val="002574CD"/>
    <w:rsid w:val="002625B3"/>
    <w:rsid w:val="0027309C"/>
    <w:rsid w:val="002800A0"/>
    <w:rsid w:val="00281060"/>
    <w:rsid w:val="00285C4C"/>
    <w:rsid w:val="0029439F"/>
    <w:rsid w:val="0029785A"/>
    <w:rsid w:val="002A6E50"/>
    <w:rsid w:val="002C1236"/>
    <w:rsid w:val="002C256A"/>
    <w:rsid w:val="002E1BA5"/>
    <w:rsid w:val="002E47A1"/>
    <w:rsid w:val="002E7BA1"/>
    <w:rsid w:val="002F132E"/>
    <w:rsid w:val="002F78FA"/>
    <w:rsid w:val="00305A7F"/>
    <w:rsid w:val="003152FE"/>
    <w:rsid w:val="00327436"/>
    <w:rsid w:val="0032753C"/>
    <w:rsid w:val="003402C7"/>
    <w:rsid w:val="003405CF"/>
    <w:rsid w:val="003433F6"/>
    <w:rsid w:val="00344BD6"/>
    <w:rsid w:val="0035528D"/>
    <w:rsid w:val="00361821"/>
    <w:rsid w:val="00380003"/>
    <w:rsid w:val="00397E50"/>
    <w:rsid w:val="003A17C8"/>
    <w:rsid w:val="003C563E"/>
    <w:rsid w:val="003D227C"/>
    <w:rsid w:val="003D2B4D"/>
    <w:rsid w:val="003F6136"/>
    <w:rsid w:val="00427139"/>
    <w:rsid w:val="00441830"/>
    <w:rsid w:val="00444A88"/>
    <w:rsid w:val="00454FEA"/>
    <w:rsid w:val="00472D4F"/>
    <w:rsid w:val="00474DA4"/>
    <w:rsid w:val="004A6DDF"/>
    <w:rsid w:val="004C7B89"/>
    <w:rsid w:val="004D047D"/>
    <w:rsid w:val="004E14E8"/>
    <w:rsid w:val="004E2334"/>
    <w:rsid w:val="004F305A"/>
    <w:rsid w:val="00512164"/>
    <w:rsid w:val="00520297"/>
    <w:rsid w:val="005275EB"/>
    <w:rsid w:val="00530455"/>
    <w:rsid w:val="005338F9"/>
    <w:rsid w:val="0054281C"/>
    <w:rsid w:val="00545A7D"/>
    <w:rsid w:val="00551E76"/>
    <w:rsid w:val="0055268D"/>
    <w:rsid w:val="00572E44"/>
    <w:rsid w:val="0057537B"/>
    <w:rsid w:val="00576BE4"/>
    <w:rsid w:val="005A400A"/>
    <w:rsid w:val="00612379"/>
    <w:rsid w:val="0061555F"/>
    <w:rsid w:val="00641200"/>
    <w:rsid w:val="0065295B"/>
    <w:rsid w:val="00663ED8"/>
    <w:rsid w:val="00664515"/>
    <w:rsid w:val="0067512D"/>
    <w:rsid w:val="00686B21"/>
    <w:rsid w:val="00687EB4"/>
    <w:rsid w:val="006A1DC4"/>
    <w:rsid w:val="006B17D2"/>
    <w:rsid w:val="006B45FA"/>
    <w:rsid w:val="006C224E"/>
    <w:rsid w:val="006D469B"/>
    <w:rsid w:val="006E4BF5"/>
    <w:rsid w:val="00703359"/>
    <w:rsid w:val="00711E95"/>
    <w:rsid w:val="0071371B"/>
    <w:rsid w:val="00732DEC"/>
    <w:rsid w:val="00735BD5"/>
    <w:rsid w:val="00742B01"/>
    <w:rsid w:val="0075117E"/>
    <w:rsid w:val="007556F6"/>
    <w:rsid w:val="00760EEF"/>
    <w:rsid w:val="00763438"/>
    <w:rsid w:val="00766C3D"/>
    <w:rsid w:val="00777EE5"/>
    <w:rsid w:val="00784836"/>
    <w:rsid w:val="0079023E"/>
    <w:rsid w:val="00796671"/>
    <w:rsid w:val="007B144F"/>
    <w:rsid w:val="007B6894"/>
    <w:rsid w:val="007C0D12"/>
    <w:rsid w:val="007C6639"/>
    <w:rsid w:val="007D0B9D"/>
    <w:rsid w:val="007D19B0"/>
    <w:rsid w:val="007E1CB5"/>
    <w:rsid w:val="007F498F"/>
    <w:rsid w:val="00805999"/>
    <w:rsid w:val="0080679D"/>
    <w:rsid w:val="008108B0"/>
    <w:rsid w:val="00811B20"/>
    <w:rsid w:val="0082296E"/>
    <w:rsid w:val="00824099"/>
    <w:rsid w:val="00836E88"/>
    <w:rsid w:val="00855DBD"/>
    <w:rsid w:val="00867AC1"/>
    <w:rsid w:val="00874B98"/>
    <w:rsid w:val="00883B58"/>
    <w:rsid w:val="008A395B"/>
    <w:rsid w:val="008A743F"/>
    <w:rsid w:val="008A7DAD"/>
    <w:rsid w:val="008B51D0"/>
    <w:rsid w:val="008C0970"/>
    <w:rsid w:val="008C12CB"/>
    <w:rsid w:val="008C61F0"/>
    <w:rsid w:val="008D2CF7"/>
    <w:rsid w:val="008E62C9"/>
    <w:rsid w:val="008E6770"/>
    <w:rsid w:val="008E793E"/>
    <w:rsid w:val="00900C26"/>
    <w:rsid w:val="0090197F"/>
    <w:rsid w:val="009020A2"/>
    <w:rsid w:val="00906DDC"/>
    <w:rsid w:val="00923AE6"/>
    <w:rsid w:val="00923D12"/>
    <w:rsid w:val="0092686E"/>
    <w:rsid w:val="00934E09"/>
    <w:rsid w:val="00936253"/>
    <w:rsid w:val="00937773"/>
    <w:rsid w:val="00970FED"/>
    <w:rsid w:val="00986764"/>
    <w:rsid w:val="00987DC3"/>
    <w:rsid w:val="00997029"/>
    <w:rsid w:val="009A2460"/>
    <w:rsid w:val="009B37B9"/>
    <w:rsid w:val="009C2FB4"/>
    <w:rsid w:val="009D0DE5"/>
    <w:rsid w:val="009D690D"/>
    <w:rsid w:val="009E65B6"/>
    <w:rsid w:val="00A13395"/>
    <w:rsid w:val="00A42AC3"/>
    <w:rsid w:val="00A430CF"/>
    <w:rsid w:val="00A54309"/>
    <w:rsid w:val="00A604A5"/>
    <w:rsid w:val="00A64912"/>
    <w:rsid w:val="00A93078"/>
    <w:rsid w:val="00AA36F8"/>
    <w:rsid w:val="00AB2B2D"/>
    <w:rsid w:val="00AB2B93"/>
    <w:rsid w:val="00AE0EF1"/>
    <w:rsid w:val="00B07301"/>
    <w:rsid w:val="00B14F4C"/>
    <w:rsid w:val="00B224DE"/>
    <w:rsid w:val="00B32C07"/>
    <w:rsid w:val="00B33D5F"/>
    <w:rsid w:val="00B3750B"/>
    <w:rsid w:val="00B547D4"/>
    <w:rsid w:val="00B630CA"/>
    <w:rsid w:val="00B635A2"/>
    <w:rsid w:val="00B84BBD"/>
    <w:rsid w:val="00B87848"/>
    <w:rsid w:val="00BA43FB"/>
    <w:rsid w:val="00BA6BB5"/>
    <w:rsid w:val="00BA73DF"/>
    <w:rsid w:val="00BC127D"/>
    <w:rsid w:val="00BC1FE6"/>
    <w:rsid w:val="00BD0E80"/>
    <w:rsid w:val="00BD4C24"/>
    <w:rsid w:val="00BF20B2"/>
    <w:rsid w:val="00BF4B74"/>
    <w:rsid w:val="00BF589B"/>
    <w:rsid w:val="00C061B6"/>
    <w:rsid w:val="00C21DBF"/>
    <w:rsid w:val="00C23D44"/>
    <w:rsid w:val="00C2446C"/>
    <w:rsid w:val="00C273DF"/>
    <w:rsid w:val="00C36AE5"/>
    <w:rsid w:val="00C41F17"/>
    <w:rsid w:val="00C4624A"/>
    <w:rsid w:val="00C54BF4"/>
    <w:rsid w:val="00C5791C"/>
    <w:rsid w:val="00C60AFC"/>
    <w:rsid w:val="00C645FA"/>
    <w:rsid w:val="00C66290"/>
    <w:rsid w:val="00C71735"/>
    <w:rsid w:val="00C72B7A"/>
    <w:rsid w:val="00C91846"/>
    <w:rsid w:val="00C973F2"/>
    <w:rsid w:val="00CA69A1"/>
    <w:rsid w:val="00CA774A"/>
    <w:rsid w:val="00CB0459"/>
    <w:rsid w:val="00CC11B0"/>
    <w:rsid w:val="00CC1ACC"/>
    <w:rsid w:val="00CC446B"/>
    <w:rsid w:val="00CD22F3"/>
    <w:rsid w:val="00CF7E36"/>
    <w:rsid w:val="00D0561D"/>
    <w:rsid w:val="00D05DF0"/>
    <w:rsid w:val="00D06E6A"/>
    <w:rsid w:val="00D10A3C"/>
    <w:rsid w:val="00D22E74"/>
    <w:rsid w:val="00D233D8"/>
    <w:rsid w:val="00D24210"/>
    <w:rsid w:val="00D277C7"/>
    <w:rsid w:val="00D3708D"/>
    <w:rsid w:val="00D40426"/>
    <w:rsid w:val="00D518ED"/>
    <w:rsid w:val="00D56458"/>
    <w:rsid w:val="00D57C96"/>
    <w:rsid w:val="00D90030"/>
    <w:rsid w:val="00D91203"/>
    <w:rsid w:val="00D95174"/>
    <w:rsid w:val="00D95A5C"/>
    <w:rsid w:val="00DA2784"/>
    <w:rsid w:val="00DA327B"/>
    <w:rsid w:val="00DA6F36"/>
    <w:rsid w:val="00DC00EA"/>
    <w:rsid w:val="00DD7287"/>
    <w:rsid w:val="00DE4A7D"/>
    <w:rsid w:val="00DE600A"/>
    <w:rsid w:val="00E00FFC"/>
    <w:rsid w:val="00E02A58"/>
    <w:rsid w:val="00E20407"/>
    <w:rsid w:val="00E23920"/>
    <w:rsid w:val="00E418A4"/>
    <w:rsid w:val="00E4482D"/>
    <w:rsid w:val="00E72D49"/>
    <w:rsid w:val="00E7593C"/>
    <w:rsid w:val="00E7678A"/>
    <w:rsid w:val="00E935F1"/>
    <w:rsid w:val="00E94A81"/>
    <w:rsid w:val="00E97C9B"/>
    <w:rsid w:val="00EA1FFB"/>
    <w:rsid w:val="00EB048E"/>
    <w:rsid w:val="00EB3EFA"/>
    <w:rsid w:val="00EB4009"/>
    <w:rsid w:val="00EB6FF2"/>
    <w:rsid w:val="00EC2CEE"/>
    <w:rsid w:val="00EE3532"/>
    <w:rsid w:val="00EF2F89"/>
    <w:rsid w:val="00F04DEB"/>
    <w:rsid w:val="00F1237A"/>
    <w:rsid w:val="00F22CBD"/>
    <w:rsid w:val="00F37961"/>
    <w:rsid w:val="00F5531A"/>
    <w:rsid w:val="00F6334D"/>
    <w:rsid w:val="00F64308"/>
    <w:rsid w:val="00F66E48"/>
    <w:rsid w:val="00F90763"/>
    <w:rsid w:val="00F91F62"/>
    <w:rsid w:val="00F96687"/>
    <w:rsid w:val="00F9682F"/>
    <w:rsid w:val="00FA49AB"/>
    <w:rsid w:val="00FB0D37"/>
    <w:rsid w:val="00FE39C7"/>
    <w:rsid w:val="00FE4AF3"/>
    <w:rsid w:val="00FE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66E48"/>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0010AE"/>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0010AE"/>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66E48"/>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0010AE"/>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0010AE"/>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34005">
      <w:bodyDiv w:val="1"/>
      <w:marLeft w:val="0"/>
      <w:marRight w:val="0"/>
      <w:marTop w:val="0"/>
      <w:marBottom w:val="0"/>
      <w:divBdr>
        <w:top w:val="none" w:sz="0" w:space="0" w:color="auto"/>
        <w:left w:val="none" w:sz="0" w:space="0" w:color="auto"/>
        <w:bottom w:val="none" w:sz="0" w:space="0" w:color="auto"/>
        <w:right w:val="none" w:sz="0" w:space="0" w:color="auto"/>
      </w:divBdr>
      <w:divsChild>
        <w:div w:id="773207046">
          <w:marLeft w:val="0"/>
          <w:marRight w:val="0"/>
          <w:marTop w:val="0"/>
          <w:marBottom w:val="0"/>
          <w:divBdr>
            <w:top w:val="none" w:sz="0" w:space="0" w:color="auto"/>
            <w:left w:val="none" w:sz="0" w:space="0" w:color="auto"/>
            <w:bottom w:val="none" w:sz="0" w:space="0" w:color="auto"/>
            <w:right w:val="none" w:sz="0" w:space="0" w:color="auto"/>
          </w:divBdr>
          <w:divsChild>
            <w:div w:id="514729110">
              <w:marLeft w:val="0"/>
              <w:marRight w:val="0"/>
              <w:marTop w:val="0"/>
              <w:marBottom w:val="0"/>
              <w:divBdr>
                <w:top w:val="none" w:sz="0" w:space="0" w:color="auto"/>
                <w:left w:val="none" w:sz="0" w:space="0" w:color="auto"/>
                <w:bottom w:val="none" w:sz="0" w:space="0" w:color="auto"/>
                <w:right w:val="none" w:sz="0" w:space="0" w:color="auto"/>
              </w:divBdr>
              <w:divsChild>
                <w:div w:id="2062552396">
                  <w:marLeft w:val="0"/>
                  <w:marRight w:val="0"/>
                  <w:marTop w:val="0"/>
                  <w:marBottom w:val="0"/>
                  <w:divBdr>
                    <w:top w:val="none" w:sz="0" w:space="0" w:color="auto"/>
                    <w:left w:val="none" w:sz="0" w:space="0" w:color="auto"/>
                    <w:bottom w:val="none" w:sz="0" w:space="0" w:color="auto"/>
                    <w:right w:val="none" w:sz="0" w:space="0" w:color="auto"/>
                  </w:divBdr>
                  <w:divsChild>
                    <w:div w:id="528372745">
                      <w:marLeft w:val="0"/>
                      <w:marRight w:val="0"/>
                      <w:marTop w:val="0"/>
                      <w:marBottom w:val="0"/>
                      <w:divBdr>
                        <w:top w:val="none" w:sz="0" w:space="0" w:color="auto"/>
                        <w:left w:val="none" w:sz="0" w:space="0" w:color="auto"/>
                        <w:bottom w:val="none" w:sz="0" w:space="0" w:color="auto"/>
                        <w:right w:val="none" w:sz="0" w:space="0" w:color="auto"/>
                      </w:divBdr>
                      <w:divsChild>
                        <w:div w:id="1543976464">
                          <w:marLeft w:val="0"/>
                          <w:marRight w:val="0"/>
                          <w:marTop w:val="0"/>
                          <w:marBottom w:val="0"/>
                          <w:divBdr>
                            <w:top w:val="none" w:sz="0" w:space="0" w:color="auto"/>
                            <w:left w:val="none" w:sz="0" w:space="0" w:color="auto"/>
                            <w:bottom w:val="none" w:sz="0" w:space="0" w:color="auto"/>
                            <w:right w:val="none" w:sz="0" w:space="0" w:color="auto"/>
                          </w:divBdr>
                          <w:divsChild>
                            <w:div w:id="1233782930">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sChild>
                                    <w:div w:id="1871137822">
                                      <w:marLeft w:val="0"/>
                                      <w:marRight w:val="0"/>
                                      <w:marTop w:val="0"/>
                                      <w:marBottom w:val="0"/>
                                      <w:divBdr>
                                        <w:top w:val="none" w:sz="0" w:space="0" w:color="auto"/>
                                        <w:left w:val="none" w:sz="0" w:space="0" w:color="auto"/>
                                        <w:bottom w:val="none" w:sz="0" w:space="0" w:color="auto"/>
                                        <w:right w:val="none" w:sz="0" w:space="0" w:color="auto"/>
                                      </w:divBdr>
                                      <w:divsChild>
                                        <w:div w:id="55204693">
                                          <w:marLeft w:val="0"/>
                                          <w:marRight w:val="0"/>
                                          <w:marTop w:val="0"/>
                                          <w:marBottom w:val="0"/>
                                          <w:divBdr>
                                            <w:top w:val="none" w:sz="0" w:space="0" w:color="auto"/>
                                            <w:left w:val="none" w:sz="0" w:space="0" w:color="auto"/>
                                            <w:bottom w:val="none" w:sz="0" w:space="0" w:color="auto"/>
                                            <w:right w:val="none" w:sz="0" w:space="0" w:color="auto"/>
                                          </w:divBdr>
                                          <w:divsChild>
                                            <w:div w:id="1798986061">
                                              <w:marLeft w:val="0"/>
                                              <w:marRight w:val="0"/>
                                              <w:marTop w:val="0"/>
                                              <w:marBottom w:val="0"/>
                                              <w:divBdr>
                                                <w:top w:val="none" w:sz="0" w:space="0" w:color="auto"/>
                                                <w:left w:val="none" w:sz="0" w:space="0" w:color="auto"/>
                                                <w:bottom w:val="none" w:sz="0" w:space="0" w:color="auto"/>
                                                <w:right w:val="none" w:sz="0" w:space="0" w:color="auto"/>
                                              </w:divBdr>
                                              <w:divsChild>
                                                <w:div w:id="424425595">
                                                  <w:marLeft w:val="0"/>
                                                  <w:marRight w:val="0"/>
                                                  <w:marTop w:val="0"/>
                                                  <w:marBottom w:val="0"/>
                                                  <w:divBdr>
                                                    <w:top w:val="none" w:sz="0" w:space="0" w:color="auto"/>
                                                    <w:left w:val="none" w:sz="0" w:space="0" w:color="auto"/>
                                                    <w:bottom w:val="none" w:sz="0" w:space="0" w:color="auto"/>
                                                    <w:right w:val="none" w:sz="0" w:space="0" w:color="auto"/>
                                                  </w:divBdr>
                                                  <w:divsChild>
                                                    <w:div w:id="1450390729">
                                                      <w:marLeft w:val="0"/>
                                                      <w:marRight w:val="0"/>
                                                      <w:marTop w:val="0"/>
                                                      <w:marBottom w:val="0"/>
                                                      <w:divBdr>
                                                        <w:top w:val="none" w:sz="0" w:space="0" w:color="auto"/>
                                                        <w:left w:val="none" w:sz="0" w:space="0" w:color="auto"/>
                                                        <w:bottom w:val="none" w:sz="0" w:space="0" w:color="auto"/>
                                                        <w:right w:val="none" w:sz="0" w:space="0" w:color="auto"/>
                                                      </w:divBdr>
                                                      <w:divsChild>
                                                        <w:div w:id="1227034250">
                                                          <w:marLeft w:val="0"/>
                                                          <w:marRight w:val="0"/>
                                                          <w:marTop w:val="0"/>
                                                          <w:marBottom w:val="0"/>
                                                          <w:divBdr>
                                                            <w:top w:val="none" w:sz="0" w:space="0" w:color="auto"/>
                                                            <w:left w:val="none" w:sz="0" w:space="0" w:color="auto"/>
                                                            <w:bottom w:val="none" w:sz="0" w:space="0" w:color="auto"/>
                                                            <w:right w:val="none" w:sz="0" w:space="0" w:color="auto"/>
                                                          </w:divBdr>
                                                          <w:divsChild>
                                                            <w:div w:id="226453266">
                                                              <w:marLeft w:val="0"/>
                                                              <w:marRight w:val="0"/>
                                                              <w:marTop w:val="0"/>
                                                              <w:marBottom w:val="0"/>
                                                              <w:divBdr>
                                                                <w:top w:val="none" w:sz="0" w:space="0" w:color="auto"/>
                                                                <w:left w:val="none" w:sz="0" w:space="0" w:color="auto"/>
                                                                <w:bottom w:val="none" w:sz="0" w:space="0" w:color="auto"/>
                                                                <w:right w:val="none" w:sz="0" w:space="0" w:color="auto"/>
                                                              </w:divBdr>
                                                              <w:divsChild>
                                                                <w:div w:id="1556231682">
                                                                  <w:marLeft w:val="0"/>
                                                                  <w:marRight w:val="0"/>
                                                                  <w:marTop w:val="0"/>
                                                                  <w:marBottom w:val="0"/>
                                                                  <w:divBdr>
                                                                    <w:top w:val="none" w:sz="0" w:space="0" w:color="auto"/>
                                                                    <w:left w:val="none" w:sz="0" w:space="0" w:color="auto"/>
                                                                    <w:bottom w:val="none" w:sz="0" w:space="0" w:color="auto"/>
                                                                    <w:right w:val="none" w:sz="0" w:space="0" w:color="auto"/>
                                                                  </w:divBdr>
                                                                  <w:divsChild>
                                                                    <w:div w:id="1626813800">
                                                                      <w:marLeft w:val="0"/>
                                                                      <w:marRight w:val="0"/>
                                                                      <w:marTop w:val="0"/>
                                                                      <w:marBottom w:val="0"/>
                                                                      <w:divBdr>
                                                                        <w:top w:val="none" w:sz="0" w:space="0" w:color="auto"/>
                                                                        <w:left w:val="none" w:sz="0" w:space="0" w:color="auto"/>
                                                                        <w:bottom w:val="none" w:sz="0" w:space="0" w:color="auto"/>
                                                                        <w:right w:val="none" w:sz="0" w:space="0" w:color="auto"/>
                                                                      </w:divBdr>
                                                                      <w:divsChild>
                                                                        <w:div w:id="81343831">
                                                                          <w:marLeft w:val="0"/>
                                                                          <w:marRight w:val="0"/>
                                                                          <w:marTop w:val="0"/>
                                                                          <w:marBottom w:val="0"/>
                                                                          <w:divBdr>
                                                                            <w:top w:val="none" w:sz="0" w:space="0" w:color="auto"/>
                                                                            <w:left w:val="none" w:sz="0" w:space="0" w:color="auto"/>
                                                                            <w:bottom w:val="none" w:sz="0" w:space="0" w:color="auto"/>
                                                                            <w:right w:val="none" w:sz="0" w:space="0" w:color="auto"/>
                                                                          </w:divBdr>
                                                                          <w:divsChild>
                                                                            <w:div w:id="123350933">
                                                                              <w:marLeft w:val="0"/>
                                                                              <w:marRight w:val="0"/>
                                                                              <w:marTop w:val="0"/>
                                                                              <w:marBottom w:val="0"/>
                                                                              <w:divBdr>
                                                                                <w:top w:val="none" w:sz="0" w:space="0" w:color="auto"/>
                                                                                <w:left w:val="none" w:sz="0" w:space="0" w:color="auto"/>
                                                                                <w:bottom w:val="none" w:sz="0" w:space="0" w:color="auto"/>
                                                                                <w:right w:val="none" w:sz="0" w:space="0" w:color="auto"/>
                                                                              </w:divBdr>
                                                                              <w:divsChild>
                                                                                <w:div w:id="934216791">
                                                                                  <w:marLeft w:val="0"/>
                                                                                  <w:marRight w:val="0"/>
                                                                                  <w:marTop w:val="0"/>
                                                                                  <w:marBottom w:val="0"/>
                                                                                  <w:divBdr>
                                                                                    <w:top w:val="none" w:sz="0" w:space="0" w:color="auto"/>
                                                                                    <w:left w:val="none" w:sz="0" w:space="0" w:color="auto"/>
                                                                                    <w:bottom w:val="none" w:sz="0" w:space="0" w:color="auto"/>
                                                                                    <w:right w:val="none" w:sz="0" w:space="0" w:color="auto"/>
                                                                                  </w:divBdr>
                                                                                  <w:divsChild>
                                                                                    <w:div w:id="173764817">
                                                                                      <w:marLeft w:val="0"/>
                                                                                      <w:marRight w:val="0"/>
                                                                                      <w:marTop w:val="0"/>
                                                                                      <w:marBottom w:val="0"/>
                                                                                      <w:divBdr>
                                                                                        <w:top w:val="none" w:sz="0" w:space="0" w:color="auto"/>
                                                                                        <w:left w:val="none" w:sz="0" w:space="0" w:color="auto"/>
                                                                                        <w:bottom w:val="none" w:sz="0" w:space="0" w:color="auto"/>
                                                                                        <w:right w:val="none" w:sz="0" w:space="0" w:color="auto"/>
                                                                                      </w:divBdr>
                                                                                      <w:divsChild>
                                                                                        <w:div w:id="1481310425">
                                                                                          <w:marLeft w:val="0"/>
                                                                                          <w:marRight w:val="0"/>
                                                                                          <w:marTop w:val="0"/>
                                                                                          <w:marBottom w:val="0"/>
                                                                                          <w:divBdr>
                                                                                            <w:top w:val="none" w:sz="0" w:space="0" w:color="auto"/>
                                                                                            <w:left w:val="none" w:sz="0" w:space="0" w:color="auto"/>
                                                                                            <w:bottom w:val="none" w:sz="0" w:space="0" w:color="auto"/>
                                                                                            <w:right w:val="none" w:sz="0" w:space="0" w:color="auto"/>
                                                                                          </w:divBdr>
                                                                                          <w:divsChild>
                                                                                            <w:div w:id="854226140">
                                                                                              <w:marLeft w:val="0"/>
                                                                                              <w:marRight w:val="0"/>
                                                                                              <w:marTop w:val="0"/>
                                                                                              <w:marBottom w:val="0"/>
                                                                                              <w:divBdr>
                                                                                                <w:top w:val="none" w:sz="0" w:space="0" w:color="auto"/>
                                                                                                <w:left w:val="none" w:sz="0" w:space="0" w:color="auto"/>
                                                                                                <w:bottom w:val="none" w:sz="0" w:space="0" w:color="auto"/>
                                                                                                <w:right w:val="none" w:sz="0" w:space="0" w:color="auto"/>
                                                                                              </w:divBdr>
                                                                                              <w:divsChild>
                                                                                                <w:div w:id="239945097">
                                                                                                  <w:marLeft w:val="0"/>
                                                                                                  <w:marRight w:val="0"/>
                                                                                                  <w:marTop w:val="150"/>
                                                                                                  <w:marBottom w:val="150"/>
                                                                                                  <w:divBdr>
                                                                                                    <w:top w:val="none" w:sz="0" w:space="0" w:color="auto"/>
                                                                                                    <w:left w:val="none" w:sz="0" w:space="0" w:color="auto"/>
                                                                                                    <w:bottom w:val="none" w:sz="0" w:space="0" w:color="auto"/>
                                                                                                    <w:right w:val="none" w:sz="0" w:space="0" w:color="auto"/>
                                                                                                  </w:divBdr>
                                                                                                </w:div>
                                                                                                <w:div w:id="1077871016">
                                                                                                  <w:marLeft w:val="0"/>
                                                                                                  <w:marRight w:val="0"/>
                                                                                                  <w:marTop w:val="150"/>
                                                                                                  <w:marBottom w:val="150"/>
                                                                                                  <w:divBdr>
                                                                                                    <w:top w:val="none" w:sz="0" w:space="0" w:color="auto"/>
                                                                                                    <w:left w:val="none" w:sz="0" w:space="0" w:color="auto"/>
                                                                                                    <w:bottom w:val="none" w:sz="0" w:space="0" w:color="auto"/>
                                                                                                    <w:right w:val="none" w:sz="0" w:space="0" w:color="auto"/>
                                                                                                  </w:divBdr>
                                                                                                </w:div>
                                                                                                <w:div w:id="255286692">
                                                                                                  <w:marLeft w:val="0"/>
                                                                                                  <w:marRight w:val="0"/>
                                                                                                  <w:marTop w:val="150"/>
                                                                                                  <w:marBottom w:val="150"/>
                                                                                                  <w:divBdr>
                                                                                                    <w:top w:val="none" w:sz="0" w:space="0" w:color="auto"/>
                                                                                                    <w:left w:val="none" w:sz="0" w:space="0" w:color="auto"/>
                                                                                                    <w:bottom w:val="none" w:sz="0" w:space="0" w:color="auto"/>
                                                                                                    <w:right w:val="none" w:sz="0" w:space="0" w:color="auto"/>
                                                                                                  </w:divBdr>
                                                                                                </w:div>
                                                                                                <w:div w:id="637691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iso.org/iso/home/store/catalogue_tc/catalogue_detail.htm?csnumber=28245" TargetMode="External"/><Relationship Id="rId2" Type="http://schemas.openxmlformats.org/officeDocument/2006/relationships/hyperlink" Target="http://www.upov.int/genie/en/reports/" TargetMode="External"/><Relationship Id="rId1" Type="http://schemas.openxmlformats.org/officeDocument/2006/relationships/hyperlink" Target="http://www.upov.int/genie/en/species.j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7789-F87B-40DF-AC2B-14FB3A3B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577</TotalTime>
  <Pages>5</Pages>
  <Words>1665</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56</cp:revision>
  <cp:lastPrinted>2015-10-06T08:23:00Z</cp:lastPrinted>
  <dcterms:created xsi:type="dcterms:W3CDTF">2015-05-25T14:47:00Z</dcterms:created>
  <dcterms:modified xsi:type="dcterms:W3CDTF">2015-10-06T08:23:00Z</dcterms:modified>
</cp:coreProperties>
</file>