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rPr>
              <w:drawing>
                <wp:inline distT="0" distB="0" distL="0" distR="0" wp14:anchorId="53399546" wp14:editId="6320720C">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97029" w:rsidRDefault="0024416D" w:rsidP="00576BE4">
            <w:pPr>
              <w:pStyle w:val="Lettrine"/>
            </w:pPr>
            <w:r w:rsidRPr="00997029">
              <w:t>E</w:t>
            </w:r>
          </w:p>
          <w:p w:rsidR="000D7780" w:rsidRPr="00997029" w:rsidRDefault="0061574C" w:rsidP="00474DA4">
            <w:pPr>
              <w:pStyle w:val="Docoriginal"/>
              <w:jc w:val="left"/>
            </w:pPr>
            <w:r>
              <w:t>CAJ/72</w:t>
            </w:r>
            <w:r w:rsidR="00EB3EFA" w:rsidRPr="00664515">
              <w:t>/</w:t>
            </w:r>
            <w:bookmarkStart w:id="0" w:name="Code"/>
            <w:bookmarkEnd w:id="0"/>
            <w:r w:rsidR="00C6137B">
              <w:t>2</w:t>
            </w:r>
          </w:p>
          <w:p w:rsidR="000D7780" w:rsidRPr="00735BD5" w:rsidRDefault="0061555F" w:rsidP="00474DA4">
            <w:pPr>
              <w:pStyle w:val="Docoriginal"/>
              <w:jc w:val="left"/>
            </w:pPr>
            <w:r w:rsidRPr="00CA774A">
              <w:rPr>
                <w:rStyle w:val="StyleDoclangBold"/>
                <w:b/>
                <w:bCs/>
                <w:spacing w:val="0"/>
              </w:rPr>
              <w:t>ORIGINAL</w:t>
            </w:r>
            <w:r w:rsidR="000D7780" w:rsidRPr="00CA774A">
              <w:rPr>
                <w:rStyle w:val="StyleDoclangBold"/>
                <w:b/>
                <w:bCs/>
                <w:spacing w:val="0"/>
              </w:rPr>
              <w:t>:</w:t>
            </w:r>
            <w:r w:rsidRPr="00CA774A">
              <w:rPr>
                <w:rStyle w:val="StyleDocoriginalNotBold1"/>
                <w:spacing w:val="0"/>
              </w:rPr>
              <w:t xml:space="preserve"> </w:t>
            </w:r>
            <w:r w:rsidR="000D7780" w:rsidRPr="00CA774A">
              <w:rPr>
                <w:rStyle w:val="StyleDocoriginalNotBold1"/>
                <w:spacing w:val="0"/>
              </w:rPr>
              <w:t xml:space="preserve"> </w:t>
            </w:r>
            <w:bookmarkStart w:id="1" w:name="Original"/>
            <w:bookmarkEnd w:id="1"/>
            <w:r w:rsidR="0024416D" w:rsidRPr="00CA774A">
              <w:rPr>
                <w:b w:val="0"/>
                <w:spacing w:val="0"/>
              </w:rPr>
              <w:t>English</w:t>
            </w:r>
          </w:p>
          <w:p w:rsidR="000D7780" w:rsidRPr="00EB3EFA" w:rsidRDefault="000D7780" w:rsidP="00D90646">
            <w:pPr>
              <w:pStyle w:val="Docoriginal"/>
              <w:jc w:val="left"/>
              <w:rPr>
                <w:b w:val="0"/>
                <w:spacing w:val="0"/>
                <w:highlight w:val="cyan"/>
              </w:rPr>
            </w:pPr>
            <w:r w:rsidRPr="00CA774A">
              <w:rPr>
                <w:spacing w:val="0"/>
              </w:rPr>
              <w:t>DATE:</w:t>
            </w:r>
            <w:r w:rsidR="0061555F" w:rsidRPr="00CA774A">
              <w:rPr>
                <w:b w:val="0"/>
                <w:spacing w:val="0"/>
              </w:rPr>
              <w:t xml:space="preserve"> </w:t>
            </w:r>
            <w:r w:rsidRPr="00CA774A">
              <w:rPr>
                <w:rStyle w:val="StyleDocoriginalNotBold1"/>
                <w:spacing w:val="0"/>
              </w:rPr>
              <w:t xml:space="preserve"> </w:t>
            </w:r>
            <w:bookmarkStart w:id="2" w:name="Date"/>
            <w:bookmarkEnd w:id="2"/>
            <w:r w:rsidR="00975253">
              <w:rPr>
                <w:rStyle w:val="StyleDocoriginalNotBold1"/>
                <w:spacing w:val="0"/>
              </w:rPr>
              <w:t>September 17</w:t>
            </w:r>
            <w:r w:rsidR="00155F6F" w:rsidRPr="00975253">
              <w:rPr>
                <w:rStyle w:val="StyleDocoriginalNotBold1"/>
                <w:spacing w:val="0"/>
              </w:rPr>
              <w:t>, 201</w:t>
            </w:r>
            <w:r w:rsidR="00551E76" w:rsidRPr="00975253">
              <w:rPr>
                <w:rStyle w:val="StyleDocoriginalNotBold1"/>
                <w:spacing w:val="0"/>
              </w:rPr>
              <w:t>5</w:t>
            </w:r>
          </w:p>
        </w:tc>
      </w:tr>
      <w:tr w:rsidR="000D7780" w:rsidRPr="00997029" w:rsidTr="00FB0D37">
        <w:tc>
          <w:tcPr>
            <w:tcW w:w="10131" w:type="dxa"/>
            <w:gridSpan w:val="3"/>
          </w:tcPr>
          <w:p w:rsidR="000D7780" w:rsidRPr="00997029" w:rsidRDefault="0024416D" w:rsidP="0080679D">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80679D">
            <w:pPr>
              <w:pStyle w:val="Country"/>
            </w:pPr>
            <w:r w:rsidRPr="00997029">
              <w:t>Gen</w:t>
            </w:r>
            <w:r w:rsidR="0061555F" w:rsidRPr="00997029">
              <w:t>e</w:t>
            </w:r>
            <w:r w:rsidRPr="00997029">
              <w:t>v</w:t>
            </w:r>
            <w:r w:rsidR="0061555F" w:rsidRPr="00997029">
              <w:t>a</w:t>
            </w:r>
          </w:p>
        </w:tc>
      </w:tr>
    </w:tbl>
    <w:p w:rsidR="000D7780" w:rsidRPr="00997029" w:rsidRDefault="00FB0D37" w:rsidP="0080679D">
      <w:pPr>
        <w:pStyle w:val="Sessiontc"/>
      </w:pPr>
      <w:r>
        <w:t>ADministrative and legal committee</w:t>
      </w:r>
    </w:p>
    <w:p w:rsidR="00361821" w:rsidRPr="00997029" w:rsidRDefault="00155F6F" w:rsidP="0080679D">
      <w:pPr>
        <w:pStyle w:val="Sessiontcplacedate"/>
      </w:pPr>
      <w:r>
        <w:t>Sevent</w:t>
      </w:r>
      <w:r w:rsidR="00551E76">
        <w:t>y-</w:t>
      </w:r>
      <w:r w:rsidR="0061574C">
        <w:t>Second</w:t>
      </w:r>
      <w:r w:rsidR="00F37961">
        <w:t xml:space="preserve"> </w:t>
      </w:r>
      <w:r w:rsidR="00FB0D37">
        <w:t>Session</w:t>
      </w:r>
      <w:r w:rsidR="00361821" w:rsidRPr="00997029">
        <w:br/>
      </w:r>
      <w:r w:rsidR="00FB0D37">
        <w:t xml:space="preserve">Geneva, </w:t>
      </w:r>
      <w:r w:rsidR="0061574C">
        <w:t>October 26 and 27</w:t>
      </w:r>
      <w:r w:rsidR="00551E76">
        <w:t>, 2015</w:t>
      </w:r>
    </w:p>
    <w:p w:rsidR="000D7780" w:rsidRPr="00997029" w:rsidRDefault="00C6137B" w:rsidP="0080679D">
      <w:pPr>
        <w:pStyle w:val="Titleofdoc0"/>
      </w:pPr>
      <w:bookmarkStart w:id="3" w:name="TitleOfDoc"/>
      <w:bookmarkEnd w:id="3"/>
      <w:r w:rsidRPr="00FD54DF">
        <w:rPr>
          <w:kern w:val="28"/>
        </w:rPr>
        <w:t>Development of information materials concerning the UPOV Convention</w:t>
      </w:r>
    </w:p>
    <w:p w:rsidR="000D7780" w:rsidRPr="00997029" w:rsidRDefault="00AE0EF1" w:rsidP="0080679D">
      <w:pPr>
        <w:pStyle w:val="preparedby1"/>
      </w:pPr>
      <w:bookmarkStart w:id="4" w:name="Prepared"/>
      <w:bookmarkEnd w:id="4"/>
      <w:r w:rsidRPr="00C6137B">
        <w:t xml:space="preserve">Document </w:t>
      </w:r>
      <w:r w:rsidR="0061555F" w:rsidRPr="00C6137B">
        <w:t>prepared by the Office of the Union</w:t>
      </w:r>
      <w:r w:rsidR="00836E88">
        <w:br/>
      </w:r>
      <w:r w:rsidR="00836E88">
        <w:br/>
      </w:r>
      <w:r w:rsidR="00836E88" w:rsidRPr="00B62F85">
        <w:rPr>
          <w:color w:val="A6A6A6" w:themeColor="background1" w:themeShade="A6"/>
        </w:rPr>
        <w:t>Disclaimer:  this document does not repr</w:t>
      </w:r>
      <w:r w:rsidR="00C21DBF">
        <w:rPr>
          <w:color w:val="A6A6A6" w:themeColor="background1" w:themeShade="A6"/>
        </w:rPr>
        <w:t>esent UPOV policies or guidance</w:t>
      </w:r>
    </w:p>
    <w:p w:rsidR="003870AE" w:rsidRPr="00B520F2" w:rsidRDefault="003870AE" w:rsidP="003870AE">
      <w:pPr>
        <w:jc w:val="left"/>
        <w:rPr>
          <w:rFonts w:cs="Arial"/>
          <w:snapToGrid w:val="0"/>
        </w:rPr>
      </w:pPr>
      <w:r w:rsidRPr="00B520F2">
        <w:rPr>
          <w:rFonts w:cs="Arial"/>
          <w:snapToGrid w:val="0"/>
        </w:rPr>
        <w:t>EXECUTIVE SUMMARY</w:t>
      </w:r>
    </w:p>
    <w:p w:rsidR="003870AE" w:rsidRDefault="003870AE" w:rsidP="003870AE">
      <w:pPr>
        <w:jc w:val="left"/>
        <w:rPr>
          <w:rFonts w:cs="Arial"/>
          <w:b/>
          <w:snapToGrid w:val="0"/>
        </w:rPr>
      </w:pPr>
    </w:p>
    <w:p w:rsidR="003870AE" w:rsidRDefault="003870AE" w:rsidP="003870AE">
      <w:pPr>
        <w:rPr>
          <w:rFonts w:cs="Arial"/>
        </w:rPr>
      </w:pPr>
      <w:r w:rsidRPr="005C5D7E">
        <w:fldChar w:fldCharType="begin"/>
      </w:r>
      <w:r w:rsidRPr="005C5D7E">
        <w:instrText xml:space="preserve"> AUTONUM  </w:instrText>
      </w:r>
      <w:r w:rsidRPr="005C5D7E">
        <w:fldChar w:fldCharType="end"/>
      </w:r>
      <w:r w:rsidRPr="005C5D7E">
        <w:tab/>
      </w:r>
      <w:r w:rsidRPr="0028743B">
        <w:t>The purpose of this document is to provide background information to assist the Administrative and Legal Committee (CAJ) in its consideration of relevant matters at its seventy-second session and present a tentative program for the development of information materials</w:t>
      </w:r>
      <w:r w:rsidRPr="0028743B">
        <w:rPr>
          <w:rFonts w:cs="Arial"/>
        </w:rPr>
        <w:t>.</w:t>
      </w:r>
    </w:p>
    <w:p w:rsidR="00AC5727" w:rsidRDefault="00AC5727" w:rsidP="003870AE">
      <w:pPr>
        <w:rPr>
          <w:rFonts w:cs="Arial"/>
        </w:rPr>
      </w:pPr>
    </w:p>
    <w:p w:rsidR="00AC5727" w:rsidRDefault="00AC5727" w:rsidP="003870AE">
      <w:r>
        <w:fldChar w:fldCharType="begin"/>
      </w:r>
      <w:r>
        <w:instrText xml:space="preserve"> AUTONUM  </w:instrText>
      </w:r>
      <w:r>
        <w:fldChar w:fldCharType="end"/>
      </w:r>
      <w:r>
        <w:tab/>
      </w:r>
      <w:r w:rsidR="00084870">
        <w:t>T</w:t>
      </w:r>
      <w:r>
        <w:t xml:space="preserve">he CAJ </w:t>
      </w:r>
      <w:r w:rsidR="00084870">
        <w:t xml:space="preserve">is </w:t>
      </w:r>
      <w:r>
        <w:t>invited to:</w:t>
      </w:r>
    </w:p>
    <w:p w:rsidR="00146A37" w:rsidRDefault="00146A37" w:rsidP="00146A37"/>
    <w:p w:rsidR="00146A37" w:rsidRDefault="00146A37" w:rsidP="00146A37">
      <w:r>
        <w:tab/>
        <w:t>(a)</w:t>
      </w:r>
      <w:r>
        <w:tab/>
      </w:r>
      <w:proofErr w:type="gramStart"/>
      <w:r>
        <w:t>welcome</w:t>
      </w:r>
      <w:proofErr w:type="gramEnd"/>
      <w:r>
        <w:t xml:space="preserve"> the presentation that the European Union has the intention to make on its system concerning essentially de</w:t>
      </w:r>
      <w:r w:rsidR="00CB4A6E">
        <w:t>rived varieties, at the seventy-</w:t>
      </w:r>
      <w:r>
        <w:t>second session of the CAJ;</w:t>
      </w:r>
    </w:p>
    <w:p w:rsidR="00146A37" w:rsidRDefault="00146A37" w:rsidP="00146A37"/>
    <w:p w:rsidR="00146A37" w:rsidRDefault="00146A37" w:rsidP="00146A37">
      <w:r>
        <w:tab/>
        <w:t>(b)</w:t>
      </w:r>
      <w:r>
        <w:tab/>
        <w:t xml:space="preserve">consider the proposal for the Office of the Union to organize a meeting to exchange information with the International Community of Breeders of Asexually Reproduced Ornamental and Fruit Varieties (CIOPORA), the International Seed Federation (ISF) and the World Intellectual Property Organization (WIPO) in order to explore the possible role of UPOV in alternative dispute settlement mechanisms for matters concerning essentially derived varieties, including the provision of experts on EDV matters; </w:t>
      </w:r>
    </w:p>
    <w:p w:rsidR="00146A37" w:rsidRDefault="00146A37" w:rsidP="00146A37"/>
    <w:p w:rsidR="00146A37" w:rsidRDefault="00146A37" w:rsidP="00146A37">
      <w:r>
        <w:tab/>
        <w:t>(c)</w:t>
      </w:r>
      <w:r>
        <w:tab/>
        <w:t>consider a new draft of the “Explanatory Notes on Essentially Derived Varieties under the 1991 Act of the UPOV Convention” (Revision) (document UPOV/EXN/EDV/2 Draft 6), as set out in paragraph 1</w:t>
      </w:r>
      <w:r w:rsidR="000F7EA6">
        <w:t>3</w:t>
      </w:r>
      <w:r>
        <w:t>;</w:t>
      </w:r>
    </w:p>
    <w:p w:rsidR="00146A37" w:rsidRDefault="00146A37" w:rsidP="00146A37"/>
    <w:p w:rsidR="00146A37" w:rsidRDefault="00146A37" w:rsidP="00146A37">
      <w:pPr>
        <w:ind w:firstLine="567"/>
      </w:pPr>
      <w:r>
        <w:t>(d)</w:t>
      </w:r>
      <w:r w:rsidRPr="00146A37">
        <w:t xml:space="preserve"> </w:t>
      </w:r>
      <w:r>
        <w:tab/>
      </w:r>
      <w:r w:rsidRPr="00146A37">
        <w:t>note that a report on work concerning the possible development of a UPOV similarity search tool for variety denomination purposes and proposals concerning a possible revision of document UPOV/INF/12 “Explanatory Notes on Variety Denominations under the UPOV Convention” are provided in document C</w:t>
      </w:r>
      <w:r>
        <w:t>AJ/72/3 “Variety denominations”;</w:t>
      </w:r>
    </w:p>
    <w:p w:rsidR="00146A37" w:rsidRDefault="00146A37" w:rsidP="00146A37">
      <w:pPr>
        <w:ind w:firstLine="567"/>
      </w:pPr>
    </w:p>
    <w:p w:rsidR="00146A37" w:rsidRDefault="00146A37" w:rsidP="00146A37">
      <w:pPr>
        <w:ind w:firstLine="567"/>
      </w:pPr>
      <w:r>
        <w:t>(e)</w:t>
      </w:r>
      <w:r>
        <w:tab/>
      </w:r>
      <w:proofErr w:type="gramStart"/>
      <w:r w:rsidR="00CB4A6E" w:rsidRPr="00CB4A6E">
        <w:t>consider</w:t>
      </w:r>
      <w:proofErr w:type="gramEnd"/>
      <w:r w:rsidR="00CB4A6E" w:rsidRPr="00CB4A6E">
        <w:t xml:space="preserve"> document UPOV/EXN/PPM/1 Draft 5, “Explanatory Notes on Propagating Material under the UPOV Convention”</w:t>
      </w:r>
      <w:r w:rsidR="00CB4A6E">
        <w:t>,</w:t>
      </w:r>
      <w:r w:rsidR="00AC4B94">
        <w:t xml:space="preserve"> as set out in paragraph 1</w:t>
      </w:r>
      <w:r w:rsidR="00CB4A6E">
        <w:t>7</w:t>
      </w:r>
      <w:r w:rsidR="00AC4B94">
        <w:t>;</w:t>
      </w:r>
    </w:p>
    <w:p w:rsidR="00AC4B94" w:rsidRDefault="00AC4B94" w:rsidP="00146A37">
      <w:pPr>
        <w:ind w:firstLine="567"/>
      </w:pPr>
    </w:p>
    <w:p w:rsidR="00AC4B94" w:rsidRPr="00AC4B94" w:rsidRDefault="00AC4B94" w:rsidP="00AC4B94">
      <w:pPr>
        <w:ind w:firstLine="567"/>
      </w:pPr>
      <w:r>
        <w:t>(f)</w:t>
      </w:r>
      <w:r>
        <w:tab/>
      </w:r>
      <w:proofErr w:type="gramStart"/>
      <w:r w:rsidRPr="00AC4B94">
        <w:t>consider</w:t>
      </w:r>
      <w:proofErr w:type="gramEnd"/>
      <w:r w:rsidRPr="00AC4B94">
        <w:t xml:space="preserve"> the tentative program for the development of information materials in conjunction with the discussions on the scheduling of the CAJ sessions, under the item “Program for the seventy-third session” (see document CAJ/72/8), as set out in paragraphs 18 </w:t>
      </w:r>
      <w:r w:rsidR="00CB4A6E">
        <w:t>to 23</w:t>
      </w:r>
      <w:r w:rsidRPr="00AC4B94">
        <w:t>.</w:t>
      </w:r>
    </w:p>
    <w:p w:rsidR="00146A37" w:rsidRDefault="00146A37" w:rsidP="00146A37"/>
    <w:p w:rsidR="00AC5727" w:rsidRDefault="00AC5727" w:rsidP="003870AE"/>
    <w:p w:rsidR="00AC5727" w:rsidRDefault="00AC5727" w:rsidP="003870AE"/>
    <w:p w:rsidR="00AC5727" w:rsidRPr="007528A3" w:rsidRDefault="00AC5727" w:rsidP="00AC5727"/>
    <w:p w:rsidR="003870AE" w:rsidRPr="00A845F1" w:rsidRDefault="003870AE" w:rsidP="00D01738">
      <w:pPr>
        <w:keepNext/>
        <w:rPr>
          <w:u w:val="single"/>
        </w:rPr>
      </w:pPr>
      <w:r w:rsidRPr="00A845F1">
        <w:rPr>
          <w:u w:val="single"/>
        </w:rPr>
        <w:lastRenderedPageBreak/>
        <w:t>Table of Contents</w:t>
      </w:r>
      <w:r w:rsidR="0028743B">
        <w:rPr>
          <w:u w:val="single"/>
        </w:rPr>
        <w:t xml:space="preserve"> </w:t>
      </w:r>
    </w:p>
    <w:p w:rsidR="003870AE" w:rsidRDefault="003870AE" w:rsidP="00D01738">
      <w:pPr>
        <w:keepNext/>
      </w:pPr>
    </w:p>
    <w:p w:rsidR="00993C16" w:rsidRDefault="003870AE">
      <w:pPr>
        <w:pStyle w:val="TOC1"/>
        <w:rPr>
          <w:rFonts w:asciiTheme="minorHAnsi" w:eastAsiaTheme="minorEastAsia" w:hAnsiTheme="minorHAnsi" w:cstheme="minorBidi"/>
          <w:caps w:val="0"/>
          <w:sz w:val="22"/>
          <w:szCs w:val="22"/>
        </w:rPr>
      </w:pPr>
      <w:r w:rsidRPr="0054398A">
        <w:rPr>
          <w:rFonts w:eastAsia="Arial Unicode MS" w:cs="Arial"/>
          <w:b/>
          <w:sz w:val="18"/>
          <w:szCs w:val="18"/>
        </w:rPr>
        <w:fldChar w:fldCharType="begin"/>
      </w:r>
      <w:r w:rsidRPr="0054398A">
        <w:rPr>
          <w:rFonts w:eastAsia="Arial Unicode MS" w:cs="Arial"/>
          <w:b/>
          <w:sz w:val="18"/>
          <w:szCs w:val="18"/>
        </w:rPr>
        <w:instrText xml:space="preserve"> TOC \o "1-3" \u </w:instrText>
      </w:r>
      <w:r w:rsidRPr="0054398A">
        <w:rPr>
          <w:rFonts w:eastAsia="Arial Unicode MS" w:cs="Arial"/>
          <w:b/>
          <w:sz w:val="18"/>
          <w:szCs w:val="18"/>
        </w:rPr>
        <w:fldChar w:fldCharType="separate"/>
      </w:r>
      <w:r w:rsidR="00993C16">
        <w:t>INTRODUCTION</w:t>
      </w:r>
      <w:r w:rsidR="00993C16">
        <w:tab/>
      </w:r>
      <w:r w:rsidR="00993C16">
        <w:fldChar w:fldCharType="begin"/>
      </w:r>
      <w:r w:rsidR="00993C16">
        <w:instrText xml:space="preserve"> PAGEREF _Toc430356920 \h </w:instrText>
      </w:r>
      <w:r w:rsidR="00993C16">
        <w:fldChar w:fldCharType="separate"/>
      </w:r>
      <w:r w:rsidR="00993C16">
        <w:t>2</w:t>
      </w:r>
      <w:r w:rsidR="00993C16">
        <w:fldChar w:fldCharType="end"/>
      </w:r>
    </w:p>
    <w:p w:rsidR="00993C16" w:rsidRDefault="00993C16">
      <w:pPr>
        <w:pStyle w:val="TOC1"/>
        <w:rPr>
          <w:rFonts w:asciiTheme="minorHAnsi" w:eastAsiaTheme="minorEastAsia" w:hAnsiTheme="minorHAnsi" w:cstheme="minorBidi"/>
          <w:caps w:val="0"/>
          <w:sz w:val="22"/>
          <w:szCs w:val="22"/>
        </w:rPr>
      </w:pPr>
      <w:r>
        <w:t>OVERVIEW OF THE DEVELOPMENT OF INFORMATION MATERIALS</w:t>
      </w:r>
      <w:r>
        <w:tab/>
      </w:r>
      <w:r>
        <w:fldChar w:fldCharType="begin"/>
      </w:r>
      <w:r>
        <w:instrText xml:space="preserve"> PAGEREF _Toc430356921 \h </w:instrText>
      </w:r>
      <w:r>
        <w:fldChar w:fldCharType="separate"/>
      </w:r>
      <w:r>
        <w:t>2</w:t>
      </w:r>
      <w:r>
        <w:fldChar w:fldCharType="end"/>
      </w:r>
    </w:p>
    <w:p w:rsidR="00993C16" w:rsidRDefault="00993C16">
      <w:pPr>
        <w:pStyle w:val="TOC1"/>
        <w:rPr>
          <w:rFonts w:asciiTheme="minorHAnsi" w:eastAsiaTheme="minorEastAsia" w:hAnsiTheme="minorHAnsi" w:cstheme="minorBidi"/>
          <w:caps w:val="0"/>
          <w:sz w:val="22"/>
          <w:szCs w:val="22"/>
        </w:rPr>
      </w:pPr>
      <w:r>
        <w:t>INFORMATION MATERIALS</w:t>
      </w:r>
      <w:r>
        <w:tab/>
      </w:r>
      <w:r>
        <w:fldChar w:fldCharType="begin"/>
      </w:r>
      <w:r>
        <w:instrText xml:space="preserve"> PAGEREF _Toc430356922 \h </w:instrText>
      </w:r>
      <w:r>
        <w:fldChar w:fldCharType="separate"/>
      </w:r>
      <w:r>
        <w:t>3</w:t>
      </w:r>
      <w:r>
        <w:fldChar w:fldCharType="end"/>
      </w:r>
    </w:p>
    <w:p w:rsidR="00993C16" w:rsidRDefault="00993C16">
      <w:pPr>
        <w:pStyle w:val="TOC2"/>
        <w:rPr>
          <w:rFonts w:asciiTheme="minorHAnsi" w:eastAsiaTheme="minorEastAsia" w:hAnsiTheme="minorHAnsi" w:cstheme="minorBidi"/>
          <w:sz w:val="22"/>
          <w:szCs w:val="22"/>
        </w:rPr>
      </w:pPr>
      <w:r>
        <w:t>Explanatory Notes on Essentially Derived Varieties under the 1991 Act of the UPOV Convention (Revision) (document UPOV/EXN/EDV/2 Draft 6)</w:t>
      </w:r>
      <w:r>
        <w:tab/>
      </w:r>
      <w:r>
        <w:fldChar w:fldCharType="begin"/>
      </w:r>
      <w:r>
        <w:instrText xml:space="preserve"> PAGEREF _Toc430356923 \h </w:instrText>
      </w:r>
      <w:r>
        <w:fldChar w:fldCharType="separate"/>
      </w:r>
      <w:r>
        <w:t>3</w:t>
      </w:r>
      <w:r>
        <w:fldChar w:fldCharType="end"/>
      </w:r>
    </w:p>
    <w:p w:rsidR="00993C16" w:rsidRDefault="00993C16">
      <w:pPr>
        <w:pStyle w:val="TOC2"/>
        <w:rPr>
          <w:rFonts w:asciiTheme="minorHAnsi" w:eastAsiaTheme="minorEastAsia" w:hAnsiTheme="minorHAnsi" w:cstheme="minorBidi"/>
          <w:sz w:val="22"/>
          <w:szCs w:val="22"/>
        </w:rPr>
      </w:pPr>
      <w:r>
        <w:t>Explanatory Notes on Variety Denominations under the UPOV Convention (Revision)</w:t>
      </w:r>
      <w:r>
        <w:tab/>
      </w:r>
      <w:r>
        <w:fldChar w:fldCharType="begin"/>
      </w:r>
      <w:r>
        <w:instrText xml:space="preserve"> PAGEREF _Toc430356924 \h </w:instrText>
      </w:r>
      <w:r>
        <w:fldChar w:fldCharType="separate"/>
      </w:r>
      <w:r>
        <w:t>6</w:t>
      </w:r>
      <w:r>
        <w:fldChar w:fldCharType="end"/>
      </w:r>
    </w:p>
    <w:p w:rsidR="00993C16" w:rsidRDefault="00993C16">
      <w:pPr>
        <w:pStyle w:val="TOC2"/>
        <w:rPr>
          <w:rFonts w:asciiTheme="minorHAnsi" w:eastAsiaTheme="minorEastAsia" w:hAnsiTheme="minorHAnsi" w:cstheme="minorBidi"/>
          <w:sz w:val="22"/>
          <w:szCs w:val="22"/>
        </w:rPr>
      </w:pPr>
      <w:r>
        <w:t>Explanatory Notes on Propagating Material under the UPOV Convention (document UPOV/EXN/PPM/1 Draft 5)</w:t>
      </w:r>
      <w:r>
        <w:tab/>
      </w:r>
      <w:r>
        <w:fldChar w:fldCharType="begin"/>
      </w:r>
      <w:r>
        <w:instrText xml:space="preserve"> PAGEREF _Toc430356925 \h </w:instrText>
      </w:r>
      <w:r>
        <w:fldChar w:fldCharType="separate"/>
      </w:r>
      <w:r>
        <w:t>6</w:t>
      </w:r>
      <w:r>
        <w:fldChar w:fldCharType="end"/>
      </w:r>
    </w:p>
    <w:p w:rsidR="00993C16" w:rsidRDefault="00993C16">
      <w:pPr>
        <w:pStyle w:val="TOC1"/>
        <w:rPr>
          <w:rFonts w:asciiTheme="minorHAnsi" w:eastAsiaTheme="minorEastAsia" w:hAnsiTheme="minorHAnsi" w:cstheme="minorBidi"/>
          <w:caps w:val="0"/>
          <w:sz w:val="22"/>
          <w:szCs w:val="22"/>
        </w:rPr>
      </w:pPr>
      <w:r>
        <w:t>TENTATIVE PROGRAM FOR THE DEVELOPMENT OF INFORMATION MATERIALS</w:t>
      </w:r>
      <w:r>
        <w:tab/>
      </w:r>
      <w:r>
        <w:fldChar w:fldCharType="begin"/>
      </w:r>
      <w:r>
        <w:instrText xml:space="preserve"> PAGEREF _Toc430356926 \h </w:instrText>
      </w:r>
      <w:r>
        <w:fldChar w:fldCharType="separate"/>
      </w:r>
      <w:r>
        <w:t>6</w:t>
      </w:r>
      <w:r>
        <w:fldChar w:fldCharType="end"/>
      </w:r>
    </w:p>
    <w:p w:rsidR="00993C16" w:rsidRDefault="00993C16">
      <w:pPr>
        <w:pStyle w:val="TOC2"/>
        <w:rPr>
          <w:rFonts w:asciiTheme="minorHAnsi" w:eastAsiaTheme="minorEastAsia" w:hAnsiTheme="minorHAnsi" w:cstheme="minorBidi"/>
          <w:sz w:val="22"/>
          <w:szCs w:val="22"/>
        </w:rPr>
      </w:pPr>
      <w:r>
        <w:t>Explanatory Notes on Essentially Derived Varieties under the 1991 Act of the UPOV Convention (Revision)</w:t>
      </w:r>
      <w:r>
        <w:tab/>
      </w:r>
      <w:r>
        <w:fldChar w:fldCharType="begin"/>
      </w:r>
      <w:r>
        <w:instrText xml:space="preserve"> PAGEREF _Toc430356927 \h </w:instrText>
      </w:r>
      <w:r>
        <w:fldChar w:fldCharType="separate"/>
      </w:r>
      <w:r>
        <w:t>6</w:t>
      </w:r>
      <w:r>
        <w:fldChar w:fldCharType="end"/>
      </w:r>
    </w:p>
    <w:p w:rsidR="00993C16" w:rsidRDefault="00993C16">
      <w:pPr>
        <w:pStyle w:val="TOC2"/>
        <w:rPr>
          <w:rFonts w:asciiTheme="minorHAnsi" w:eastAsiaTheme="minorEastAsia" w:hAnsiTheme="minorHAnsi" w:cstheme="minorBidi"/>
          <w:sz w:val="22"/>
          <w:szCs w:val="22"/>
        </w:rPr>
      </w:pPr>
      <w:r>
        <w:t>Explanatory Notes on Variety Denominations under the UPOV Convention (Revision)</w:t>
      </w:r>
      <w:r>
        <w:tab/>
      </w:r>
      <w:r>
        <w:fldChar w:fldCharType="begin"/>
      </w:r>
      <w:r>
        <w:instrText xml:space="preserve"> PAGEREF _Toc430356928 \h </w:instrText>
      </w:r>
      <w:r>
        <w:fldChar w:fldCharType="separate"/>
      </w:r>
      <w:r>
        <w:t>7</w:t>
      </w:r>
      <w:r>
        <w:fldChar w:fldCharType="end"/>
      </w:r>
    </w:p>
    <w:p w:rsidR="00993C16" w:rsidRDefault="00993C16">
      <w:pPr>
        <w:pStyle w:val="TOC2"/>
        <w:rPr>
          <w:rFonts w:asciiTheme="minorHAnsi" w:eastAsiaTheme="minorEastAsia" w:hAnsiTheme="minorHAnsi" w:cstheme="minorBidi"/>
          <w:sz w:val="22"/>
          <w:szCs w:val="22"/>
        </w:rPr>
      </w:pPr>
      <w:r>
        <w:t>Explanatory Notes on Propagating Material under the UPOV Convention</w:t>
      </w:r>
      <w:r>
        <w:tab/>
      </w:r>
      <w:r>
        <w:fldChar w:fldCharType="begin"/>
      </w:r>
      <w:r>
        <w:instrText xml:space="preserve"> PAGEREF _Toc430356929 \h </w:instrText>
      </w:r>
      <w:r>
        <w:fldChar w:fldCharType="separate"/>
      </w:r>
      <w:r>
        <w:t>7</w:t>
      </w:r>
      <w:r>
        <w:fldChar w:fldCharType="end"/>
      </w:r>
    </w:p>
    <w:p w:rsidR="00993C16" w:rsidRDefault="00993C16">
      <w:pPr>
        <w:pStyle w:val="TOC2"/>
        <w:rPr>
          <w:rFonts w:asciiTheme="minorHAnsi" w:eastAsiaTheme="minorEastAsia" w:hAnsiTheme="minorHAnsi" w:cstheme="minorBidi"/>
          <w:sz w:val="22"/>
          <w:szCs w:val="22"/>
        </w:rPr>
      </w:pPr>
      <w:r>
        <w:t>UPOV Model Plant Breeders’ Rights Gazette (Revision)</w:t>
      </w:r>
      <w:r>
        <w:tab/>
      </w:r>
      <w:r>
        <w:fldChar w:fldCharType="begin"/>
      </w:r>
      <w:r>
        <w:instrText xml:space="preserve"> PAGEREF _Toc430356930 \h </w:instrText>
      </w:r>
      <w:r>
        <w:fldChar w:fldCharType="separate"/>
      </w:r>
      <w:r>
        <w:t>7</w:t>
      </w:r>
      <w:r>
        <w:fldChar w:fldCharType="end"/>
      </w:r>
    </w:p>
    <w:p w:rsidR="00993C16" w:rsidRDefault="00993C16">
      <w:pPr>
        <w:pStyle w:val="TOC2"/>
        <w:rPr>
          <w:rFonts w:asciiTheme="minorHAnsi" w:eastAsiaTheme="minorEastAsia" w:hAnsiTheme="minorHAnsi" w:cstheme="minorBidi"/>
          <w:sz w:val="22"/>
          <w:szCs w:val="22"/>
        </w:rPr>
      </w:pPr>
      <w:r>
        <w:t>Variety descriptions and role of plant material</w:t>
      </w:r>
      <w:r>
        <w:tab/>
      </w:r>
      <w:r>
        <w:fldChar w:fldCharType="begin"/>
      </w:r>
      <w:r>
        <w:instrText xml:space="preserve"> PAGEREF _Toc430356931 \h </w:instrText>
      </w:r>
      <w:r>
        <w:fldChar w:fldCharType="separate"/>
      </w:r>
      <w:r>
        <w:t>7</w:t>
      </w:r>
      <w:r>
        <w:fldChar w:fldCharType="end"/>
      </w:r>
    </w:p>
    <w:p w:rsidR="004D271E" w:rsidRDefault="003870AE" w:rsidP="00AC4B94">
      <w:pPr>
        <w:tabs>
          <w:tab w:val="left" w:pos="567"/>
        </w:tabs>
        <w:spacing w:before="120"/>
        <w:rPr>
          <w:rFonts w:eastAsia="Arial Unicode MS" w:cs="Arial"/>
          <w:b/>
          <w:bCs/>
          <w:caps/>
          <w:sz w:val="18"/>
          <w:szCs w:val="18"/>
        </w:rPr>
      </w:pPr>
      <w:r w:rsidRPr="0054398A">
        <w:rPr>
          <w:rFonts w:eastAsia="Arial Unicode MS" w:cs="Arial"/>
          <w:b/>
          <w:bCs/>
          <w:caps/>
          <w:sz w:val="18"/>
          <w:szCs w:val="18"/>
        </w:rPr>
        <w:fldChar w:fldCharType="end"/>
      </w:r>
    </w:p>
    <w:p w:rsidR="00AC4B94" w:rsidRDefault="00AC4B94" w:rsidP="00AC4B94">
      <w:pPr>
        <w:tabs>
          <w:tab w:val="left" w:pos="567"/>
        </w:tabs>
        <w:spacing w:before="120"/>
        <w:rPr>
          <w:caps/>
        </w:rPr>
      </w:pPr>
    </w:p>
    <w:p w:rsidR="003870AE" w:rsidRPr="00EF49D4" w:rsidRDefault="003870AE" w:rsidP="00EF49D4">
      <w:pPr>
        <w:pStyle w:val="Heading1"/>
      </w:pPr>
      <w:bookmarkStart w:id="5" w:name="_Toc430356920"/>
      <w:r w:rsidRPr="00EF49D4">
        <w:t>INTRODUCTION</w:t>
      </w:r>
      <w:bookmarkEnd w:id="5"/>
    </w:p>
    <w:p w:rsidR="003870AE" w:rsidRPr="001C522C" w:rsidRDefault="003870AE" w:rsidP="003870AE">
      <w:pPr>
        <w:keepNext/>
        <w:rPr>
          <w:rFonts w:cs="Arial"/>
        </w:rPr>
      </w:pPr>
    </w:p>
    <w:p w:rsidR="003870AE" w:rsidRDefault="003870AE" w:rsidP="003870AE">
      <w:r w:rsidRPr="001C522C">
        <w:fldChar w:fldCharType="begin"/>
      </w:r>
      <w:r w:rsidRPr="001C522C">
        <w:instrText xml:space="preserve"> AUTONUM  </w:instrText>
      </w:r>
      <w:r w:rsidRPr="001C522C">
        <w:fldChar w:fldCharType="end"/>
      </w:r>
      <w:r w:rsidRPr="001C522C">
        <w:tab/>
        <w:t xml:space="preserve">The </w:t>
      </w:r>
      <w:r>
        <w:t>CAJ, at its fifty-second session,</w:t>
      </w:r>
      <w:r>
        <w:rPr>
          <w:rStyle w:val="FootnoteReference"/>
        </w:rPr>
        <w:footnoteReference w:id="2"/>
      </w:r>
      <w:r>
        <w:t xml:space="preserve"> </w:t>
      </w:r>
      <w:r w:rsidRPr="001C522C">
        <w:t>agreed an approach for the preparation of information materials concerning the UPOV Convention</w:t>
      </w:r>
      <w:r>
        <w:t>.</w:t>
      </w:r>
      <w:r>
        <w:rPr>
          <w:rStyle w:val="FootnoteReference"/>
        </w:rPr>
        <w:footnoteReference w:id="3"/>
      </w:r>
      <w:r>
        <w:t xml:space="preserve">  </w:t>
      </w:r>
      <w:r w:rsidRPr="001C522C">
        <w:t>It also agreed to the establishment of</w:t>
      </w:r>
      <w:r>
        <w:t xml:space="preserve"> an advisory group to the CAJ (CAJ-AG</w:t>
      </w:r>
      <w:r w:rsidRPr="001C522C">
        <w:t>) to assist in the preparation of documents concerning such materials</w:t>
      </w:r>
      <w:r>
        <w:t>.</w:t>
      </w:r>
      <w:r>
        <w:rPr>
          <w:rStyle w:val="FootnoteReference"/>
        </w:rPr>
        <w:footnoteReference w:id="4"/>
      </w:r>
      <w:r>
        <w:t xml:space="preserve">  </w:t>
      </w:r>
      <w:r w:rsidRPr="001C522C">
        <w:t xml:space="preserve">The agreed approach is summarized as follows:  the Office of the Union will develop certain draft materials which it considers covers aspects of a straightforward nature and will circulate these to the CAJ for comments within a specified time.  In other cases, where it is considered that there are difficult issues, where discussions at a CAJ session would be important for the development of suitable information materials, and also in cases where the drafts on seemingly straightforward materials provoke unexpected concerns when circulated for comments, it was agreed that the assistance of the CAJ-AG would be sought prior to the CAJ being invited to discuss those matters at its sessions. </w:t>
      </w:r>
    </w:p>
    <w:p w:rsidR="003870AE" w:rsidRDefault="003870AE" w:rsidP="003870AE"/>
    <w:p w:rsidR="003870AE" w:rsidRDefault="003870AE" w:rsidP="003870AE">
      <w:pPr>
        <w:tabs>
          <w:tab w:val="left" w:pos="567"/>
        </w:tabs>
      </w:pPr>
      <w:r>
        <w:fldChar w:fldCharType="begin"/>
      </w:r>
      <w:r>
        <w:instrText xml:space="preserve"> AUTONUM  </w:instrText>
      </w:r>
      <w:r>
        <w:fldChar w:fldCharType="end"/>
      </w:r>
      <w:r>
        <w:tab/>
      </w:r>
      <w:r w:rsidRPr="0055142A">
        <w:t>The CAJ, at its seventieth session</w:t>
      </w:r>
      <w:r w:rsidRPr="0055142A">
        <w:rPr>
          <w:rStyle w:val="FootnoteReference"/>
        </w:rPr>
        <w:footnoteReference w:id="5"/>
      </w:r>
      <w:r w:rsidRPr="0055142A">
        <w:t xml:space="preserve"> agreed that all matters under consideration by the CAJ-AG at its ninth session</w:t>
      </w:r>
      <w:r w:rsidRPr="0055142A">
        <w:rPr>
          <w:rStyle w:val="FootnoteReference"/>
        </w:rPr>
        <w:footnoteReference w:id="6"/>
      </w:r>
      <w:r w:rsidRPr="0055142A">
        <w:t xml:space="preserve"> should, following the ninth session of the CAJ-AG, be considered by the CAJ and that the CAJ-AG should only be convened, on an </w:t>
      </w:r>
      <w:r w:rsidRPr="0055142A">
        <w:rPr>
          <w:i/>
        </w:rPr>
        <w:t>ad hoc</w:t>
      </w:r>
      <w:r w:rsidRPr="0055142A">
        <w:t xml:space="preserve"> basis, as considered appropriate by the CAJ.</w:t>
      </w:r>
      <w:r w:rsidRPr="0055142A">
        <w:rPr>
          <w:rStyle w:val="FootnoteReference"/>
        </w:rPr>
        <w:footnoteReference w:id="7"/>
      </w:r>
      <w:r>
        <w:t xml:space="preserve">  </w:t>
      </w:r>
    </w:p>
    <w:p w:rsidR="003870AE" w:rsidRDefault="003870AE" w:rsidP="003870AE"/>
    <w:p w:rsidR="003870AE" w:rsidRDefault="003870AE" w:rsidP="003870AE"/>
    <w:p w:rsidR="003870AE" w:rsidRPr="001C522C" w:rsidRDefault="003870AE" w:rsidP="003870AE"/>
    <w:p w:rsidR="003870AE" w:rsidRPr="000341D8" w:rsidRDefault="003870AE" w:rsidP="00EF49D4">
      <w:pPr>
        <w:pStyle w:val="Heading1"/>
      </w:pPr>
      <w:bookmarkStart w:id="6" w:name="_Toc430356921"/>
      <w:r w:rsidRPr="00BC54C4">
        <w:t>OVERVIEW OF THE DEVELOPMENT OF INFORMATION MATERIALS</w:t>
      </w:r>
      <w:bookmarkEnd w:id="6"/>
    </w:p>
    <w:p w:rsidR="003870AE" w:rsidRPr="001C522C" w:rsidRDefault="003870AE" w:rsidP="003870AE">
      <w:pPr>
        <w:keepNext/>
        <w:rPr>
          <w:rFonts w:cs="Arial"/>
        </w:rPr>
      </w:pPr>
    </w:p>
    <w:p w:rsidR="003870AE" w:rsidRDefault="003870AE" w:rsidP="003870AE">
      <w:pPr>
        <w:spacing w:after="720"/>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6218DA">
        <w:rPr>
          <w:rFonts w:cs="Arial"/>
        </w:rPr>
        <w:t xml:space="preserve">An overview of the development of the information materials is provided in the Annex to this document.  </w:t>
      </w:r>
    </w:p>
    <w:p w:rsidR="003870AE" w:rsidRDefault="003870AE" w:rsidP="00EF49D4">
      <w:pPr>
        <w:pStyle w:val="Heading1"/>
      </w:pPr>
      <w:bookmarkStart w:id="7" w:name="_Toc430356922"/>
      <w:r>
        <w:lastRenderedPageBreak/>
        <w:t>INFORMATION MATERIALS</w:t>
      </w:r>
      <w:bookmarkEnd w:id="7"/>
    </w:p>
    <w:p w:rsidR="003870AE" w:rsidRDefault="003870AE" w:rsidP="003870AE">
      <w:pPr>
        <w:keepNext/>
        <w:tabs>
          <w:tab w:val="left" w:pos="567"/>
        </w:tabs>
      </w:pPr>
    </w:p>
    <w:p w:rsidR="001E2C16" w:rsidRPr="001E2C16" w:rsidRDefault="001E2C16" w:rsidP="001E2C16">
      <w:r w:rsidRPr="001E2C16">
        <w:fldChar w:fldCharType="begin"/>
      </w:r>
      <w:r w:rsidRPr="001E2C16">
        <w:instrText xml:space="preserve"> AUTONUM  </w:instrText>
      </w:r>
      <w:r w:rsidRPr="001E2C16">
        <w:fldChar w:fldCharType="end"/>
      </w:r>
      <w:r w:rsidRPr="001E2C16">
        <w:tab/>
        <w:t>The CAJ</w:t>
      </w:r>
      <w:r w:rsidR="00B8224B">
        <w:t>,</w:t>
      </w:r>
      <w:r w:rsidRPr="001E2C16">
        <w:t xml:space="preserve"> at its seventy-first session</w:t>
      </w:r>
      <w:r w:rsidR="00B8224B">
        <w:t>,</w:t>
      </w:r>
      <w:r w:rsidR="00662E19">
        <w:rPr>
          <w:rStyle w:val="FootnoteReference"/>
        </w:rPr>
        <w:footnoteReference w:id="8"/>
      </w:r>
      <w:r w:rsidRPr="001E2C16">
        <w:t xml:space="preserve"> agreed to discuss the following information materials at the seventy-second session of the CAJ: </w:t>
      </w:r>
    </w:p>
    <w:p w:rsidR="001E2C16" w:rsidRPr="001E2C16" w:rsidRDefault="001E2C16" w:rsidP="001E2C16"/>
    <w:p w:rsidR="001E2C16" w:rsidRPr="001E2C16" w:rsidRDefault="001E2C16" w:rsidP="000F251F">
      <w:pPr>
        <w:pStyle w:val="ListParagraph"/>
        <w:numPr>
          <w:ilvl w:val="0"/>
          <w:numId w:val="8"/>
        </w:numPr>
        <w:spacing w:after="240"/>
        <w:ind w:left="714" w:hanging="357"/>
        <w:contextualSpacing w:val="0"/>
      </w:pPr>
      <w:r w:rsidRPr="001E2C16">
        <w:t>Explanatory Notes on Essentially Derived Varieties under the 1991 Act of the UPOV Convention (Revision)</w:t>
      </w:r>
    </w:p>
    <w:p w:rsidR="001E2C16" w:rsidRPr="001E2C16" w:rsidRDefault="001E2C16" w:rsidP="00084870">
      <w:pPr>
        <w:pStyle w:val="ListParagraph"/>
        <w:numPr>
          <w:ilvl w:val="0"/>
          <w:numId w:val="8"/>
        </w:numPr>
      </w:pPr>
      <w:r w:rsidRPr="001E2C16">
        <w:t xml:space="preserve">Explanatory Notes on Variety Denominations under the UPOV Convention (Revision) </w:t>
      </w:r>
    </w:p>
    <w:p w:rsidR="001E2C16" w:rsidRPr="001E2C16" w:rsidRDefault="001E2C16" w:rsidP="001E2C16">
      <w:pPr>
        <w:ind w:left="567"/>
      </w:pPr>
    </w:p>
    <w:p w:rsidR="001E2C16" w:rsidRPr="001E2C16" w:rsidRDefault="001E2C16" w:rsidP="00084870">
      <w:pPr>
        <w:pStyle w:val="ListParagraph"/>
        <w:numPr>
          <w:ilvl w:val="0"/>
          <w:numId w:val="8"/>
        </w:numPr>
      </w:pPr>
      <w:r w:rsidRPr="001E2C16">
        <w:t>Explanatory Notes on Propagating Material under the UPOV Convention.</w:t>
      </w:r>
    </w:p>
    <w:p w:rsidR="003870AE" w:rsidRPr="001E2C16" w:rsidRDefault="003870AE" w:rsidP="003870AE">
      <w:pPr>
        <w:rPr>
          <w:strike/>
        </w:rPr>
      </w:pPr>
    </w:p>
    <w:p w:rsidR="003870AE" w:rsidRPr="00F4074C" w:rsidRDefault="003870AE" w:rsidP="003870AE"/>
    <w:p w:rsidR="003870AE" w:rsidRDefault="003870AE" w:rsidP="00084870">
      <w:pPr>
        <w:pStyle w:val="Heading2"/>
      </w:pPr>
      <w:bookmarkStart w:id="8" w:name="_Toc430356923"/>
      <w:r w:rsidRPr="00E831EC">
        <w:t>Explanatory Notes on Essentially Derived Varieties under the 1991 Act of the UPOV Conventi</w:t>
      </w:r>
      <w:r w:rsidR="001E2C16">
        <w:t xml:space="preserve">on (Revision) (document </w:t>
      </w:r>
      <w:r w:rsidR="00FD02B1">
        <w:t>UPOV/EXN/EDV/2 Draft 6</w:t>
      </w:r>
      <w:r w:rsidRPr="00E831EC">
        <w:t>)</w:t>
      </w:r>
      <w:bookmarkEnd w:id="8"/>
      <w:r w:rsidRPr="00E831EC">
        <w:t xml:space="preserve">  </w:t>
      </w:r>
    </w:p>
    <w:p w:rsidR="00FD02B1" w:rsidRDefault="00FD02B1" w:rsidP="00FD02B1"/>
    <w:p w:rsidR="00FD02B1" w:rsidRPr="00FD02B1" w:rsidRDefault="00FD02B1" w:rsidP="00FD02B1">
      <w:pPr>
        <w:rPr>
          <w:highlight w:val="lightGray"/>
        </w:rPr>
      </w:pPr>
      <w:r w:rsidRPr="00FD02B1">
        <w:fldChar w:fldCharType="begin"/>
      </w:r>
      <w:r w:rsidRPr="00FD02B1">
        <w:instrText xml:space="preserve"> AUTONUM  </w:instrText>
      </w:r>
      <w:r w:rsidRPr="00FD02B1">
        <w:fldChar w:fldCharType="end"/>
      </w:r>
      <w:r w:rsidRPr="00FD02B1">
        <w:tab/>
        <w:t>The CAJ, at its seventy-first session, noted that the CAJ­AG, at its ninth session</w:t>
      </w:r>
      <w:r w:rsidR="001B333C">
        <w:rPr>
          <w:rStyle w:val="FootnoteReference"/>
        </w:rPr>
        <w:footnoteReference w:id="9"/>
      </w:r>
      <w:r w:rsidRPr="00FD02B1">
        <w:t>,</w:t>
      </w:r>
      <w:r w:rsidRPr="001E2C16">
        <w:t xml:space="preserve"> </w:t>
      </w:r>
      <w:r w:rsidRPr="00FD02B1">
        <w:t>had welcomed the presentation made by Australia by electronic means, via the internet, containing the additional information on the context of the examples provided by Australia at the EDV Seminar, and that a copy of the presentation had been posted on the CAJ</w:t>
      </w:r>
      <w:r w:rsidRPr="00FD02B1">
        <w:noBreakHyphen/>
        <w:t>AG/14 section of the UPOV website.</w:t>
      </w:r>
      <w:r w:rsidR="009F4C84">
        <w:rPr>
          <w:rStyle w:val="FootnoteReference"/>
        </w:rPr>
        <w:footnoteReference w:id="10"/>
      </w:r>
      <w:r w:rsidRPr="00FD02B1">
        <w:rPr>
          <w:highlight w:val="lightGray"/>
        </w:rPr>
        <w:t xml:space="preserve"> </w:t>
      </w:r>
    </w:p>
    <w:p w:rsidR="00FD02B1" w:rsidRPr="00AC5727" w:rsidRDefault="00FD02B1" w:rsidP="00FD02B1">
      <w:pPr>
        <w:rPr>
          <w:highlight w:val="yellow"/>
        </w:rPr>
      </w:pPr>
    </w:p>
    <w:p w:rsidR="00FD02B1" w:rsidRDefault="00FD02B1" w:rsidP="00FD02B1">
      <w:r w:rsidRPr="00FD02B1">
        <w:fldChar w:fldCharType="begin"/>
      </w:r>
      <w:r w:rsidRPr="00FD02B1">
        <w:instrText xml:space="preserve"> AUTONUM  </w:instrText>
      </w:r>
      <w:r w:rsidRPr="00FD02B1">
        <w:fldChar w:fldCharType="end"/>
      </w:r>
      <w:r w:rsidRPr="00FD02B1">
        <w:tab/>
        <w:t>The CAJ agreed to consider the development of guidance concerning the status of essentially derived varieties that were not granted protection in their own right, after the adoption of the revised documen</w:t>
      </w:r>
      <w:r w:rsidR="00B8224B">
        <w:t>t UPOV/EXN/EDV/2.</w:t>
      </w:r>
      <w:r w:rsidR="00612CF3">
        <w:rPr>
          <w:rStyle w:val="FootnoteReference"/>
        </w:rPr>
        <w:footnoteReference w:id="11"/>
      </w:r>
      <w:r w:rsidRPr="00FD02B1">
        <w:t xml:space="preserve"> </w:t>
      </w:r>
    </w:p>
    <w:p w:rsidR="00492D94" w:rsidRPr="00AC5727" w:rsidRDefault="00492D94" w:rsidP="00FD02B1">
      <w:pPr>
        <w:rPr>
          <w:snapToGrid w:val="0"/>
          <w:highlight w:val="yellow"/>
        </w:rPr>
      </w:pPr>
    </w:p>
    <w:p w:rsidR="00FD02B1" w:rsidRDefault="00FD02B1" w:rsidP="00FD02B1">
      <w:r w:rsidRPr="00FD02B1">
        <w:fldChar w:fldCharType="begin"/>
      </w:r>
      <w:r w:rsidRPr="00FD02B1">
        <w:instrText xml:space="preserve"> AUTONUM  </w:instrText>
      </w:r>
      <w:r w:rsidRPr="00FD02B1">
        <w:fldChar w:fldCharType="end"/>
      </w:r>
      <w:r w:rsidRPr="00FD02B1">
        <w:tab/>
        <w:t>The CAJ agreed to invite members of the Union to make presentations on their systems concerning essentially derived varieties at its seventy-second session.</w:t>
      </w:r>
      <w:r w:rsidR="00612CF3">
        <w:rPr>
          <w:rStyle w:val="FootnoteReference"/>
        </w:rPr>
        <w:footnoteReference w:id="12"/>
      </w:r>
    </w:p>
    <w:p w:rsidR="00492D94" w:rsidRDefault="00492D94" w:rsidP="00FD02B1">
      <w:pPr>
        <w:rPr>
          <w:highlight w:val="yellow"/>
        </w:rPr>
      </w:pPr>
    </w:p>
    <w:p w:rsidR="00FD02B1" w:rsidRDefault="00FD02B1" w:rsidP="00FD02B1">
      <w:r w:rsidRPr="00FD02B1">
        <w:fldChar w:fldCharType="begin"/>
      </w:r>
      <w:r w:rsidRPr="00FD02B1">
        <w:instrText xml:space="preserve"> AUTONUM  </w:instrText>
      </w:r>
      <w:r w:rsidRPr="00FD02B1">
        <w:fldChar w:fldCharType="end"/>
      </w:r>
      <w:r w:rsidRPr="00FD02B1">
        <w:tab/>
      </w:r>
      <w:r w:rsidRPr="00F27C1E">
        <w:t xml:space="preserve">On </w:t>
      </w:r>
      <w:r w:rsidR="00492D94">
        <w:t>J</w:t>
      </w:r>
      <w:r w:rsidR="00492D94" w:rsidRPr="00E53771">
        <w:rPr>
          <w:snapToGrid w:val="0"/>
        </w:rPr>
        <w:t>une 26, 2015</w:t>
      </w:r>
      <w:r>
        <w:t>, 2015, UPOV Circular E-15/</w:t>
      </w:r>
      <w:r w:rsidR="00492D94">
        <w:t>149</w:t>
      </w:r>
      <w:r w:rsidRPr="00F27C1E">
        <w:t xml:space="preserve"> was sent to the members of the CAJ, inviting presentation</w:t>
      </w:r>
      <w:r>
        <w:t>s</w:t>
      </w:r>
      <w:r w:rsidRPr="00F27C1E">
        <w:t xml:space="preserve"> </w:t>
      </w:r>
      <w:r w:rsidRPr="00FD02B1">
        <w:t>on their systems concerning essentially derived varieties</w:t>
      </w:r>
      <w:r w:rsidRPr="00F27C1E">
        <w:t xml:space="preserve"> at the seventy-second session of the CAJ.  At the date</w:t>
      </w:r>
      <w:r>
        <w:t xml:space="preserve"> of this document, </w:t>
      </w:r>
      <w:r w:rsidRPr="00F27C1E">
        <w:t>the European Union ha</w:t>
      </w:r>
      <w:r>
        <w:t>d</w:t>
      </w:r>
      <w:r w:rsidRPr="00F27C1E">
        <w:t xml:space="preserve"> conf</w:t>
      </w:r>
      <w:r w:rsidR="00B8224B">
        <w:t>irmed its</w:t>
      </w:r>
      <w:r>
        <w:t xml:space="preserve"> intention to make a </w:t>
      </w:r>
      <w:r w:rsidRPr="00F27C1E">
        <w:t>presentation</w:t>
      </w:r>
      <w:r>
        <w:t>.</w:t>
      </w:r>
    </w:p>
    <w:p w:rsidR="00FD02B1" w:rsidRPr="00AC5727" w:rsidRDefault="00FD02B1" w:rsidP="00FD02B1">
      <w:pPr>
        <w:rPr>
          <w:snapToGrid w:val="0"/>
          <w:highlight w:val="yellow"/>
        </w:rPr>
      </w:pPr>
    </w:p>
    <w:p w:rsidR="00323E49" w:rsidRPr="00FD02B1" w:rsidRDefault="00FD02B1" w:rsidP="00323E49">
      <w:pPr>
        <w:rPr>
          <w:highlight w:val="lightGray"/>
        </w:rPr>
      </w:pPr>
      <w:r w:rsidRPr="00323E49">
        <w:fldChar w:fldCharType="begin"/>
      </w:r>
      <w:r w:rsidRPr="00323E49">
        <w:instrText xml:space="preserve"> AUTONUM  </w:instrText>
      </w:r>
      <w:r w:rsidRPr="00323E49">
        <w:fldChar w:fldCharType="end"/>
      </w:r>
      <w:r w:rsidRPr="00323E49">
        <w:tab/>
        <w:t>The CAJ agreed to consider, at its seventy</w:t>
      </w:r>
      <w:r w:rsidRPr="00323E49">
        <w:noBreakHyphen/>
        <w:t>second session, the proposal for the Office of the Union to organize a meeting to exchange information with the International Community of Breeders of Asexually Reproduced Ornamental and Fruit Varieties (CIOPORA), the International Seed Federation (ISF) and the World Intellectual Property Organization (WIPO) in order to explore the possible role of UPOV in alternative dispute settlement mechanisms for matters concerning essentially derived varieties, including the provision of experts on EDV matters.  The CAJ noted that the Council had adopted document UPOV/INF/21/1 “Alternative Dispute Settlement Mechanisms”.</w:t>
      </w:r>
      <w:r w:rsidR="000D0D63" w:rsidRPr="00B8224B">
        <w:rPr>
          <w:rStyle w:val="FootnoteReference"/>
        </w:rPr>
        <w:footnoteReference w:id="13"/>
      </w:r>
    </w:p>
    <w:p w:rsidR="00FD02B1" w:rsidRPr="00AC5727" w:rsidRDefault="00FD02B1" w:rsidP="00FD02B1">
      <w:pPr>
        <w:rPr>
          <w:highlight w:val="yellow"/>
        </w:rPr>
      </w:pPr>
    </w:p>
    <w:p w:rsidR="00323E49" w:rsidRDefault="00FD02B1" w:rsidP="00323E49">
      <w:pPr>
        <w:rPr>
          <w:highlight w:val="lightGray"/>
        </w:rPr>
      </w:pPr>
      <w:r w:rsidRPr="00323E49">
        <w:fldChar w:fldCharType="begin"/>
      </w:r>
      <w:r w:rsidRPr="00323E49">
        <w:instrText xml:space="preserve"> AUTONUM  </w:instrText>
      </w:r>
      <w:r w:rsidRPr="00323E49">
        <w:fldChar w:fldCharType="end"/>
      </w:r>
      <w:r w:rsidRPr="00323E49">
        <w:tab/>
        <w:t>The CAJ agreed to consider a new draft of the “Explanatory Notes on Essentially Derived Varieties under the 1991 Act of the UPOV Convention” (Revision) (document UPOV/EXN/EDV/2 Draft 6) at its seventy</w:t>
      </w:r>
      <w:r w:rsidRPr="00323E49">
        <w:noBreakHyphen/>
        <w:t xml:space="preserve">second session, </w:t>
      </w:r>
      <w:r w:rsidR="00323E49" w:rsidRPr="00232C2F">
        <w:t xml:space="preserve">incorporating the </w:t>
      </w:r>
      <w:r w:rsidR="00323E49">
        <w:t xml:space="preserve">following </w:t>
      </w:r>
      <w:r w:rsidR="00323E49" w:rsidRPr="00232C2F">
        <w:t xml:space="preserve">amendments agreed by the </w:t>
      </w:r>
      <w:r w:rsidR="00323E49" w:rsidRPr="00232C2F">
        <w:rPr>
          <w:rFonts w:cs="Arial"/>
        </w:rPr>
        <w:t xml:space="preserve">CAJ­AG </w:t>
      </w:r>
      <w:r w:rsidR="00323E49" w:rsidRPr="00232C2F">
        <w:rPr>
          <w:rFonts w:eastAsia="MS Mincho" w:cs="Arial"/>
          <w:spacing w:val="-2"/>
          <w:lang w:eastAsia="ja-JP" w:bidi="th-TH"/>
        </w:rPr>
        <w:t>at its </w:t>
      </w:r>
      <w:r w:rsidR="00323E49">
        <w:t xml:space="preserve">ninth session, (see </w:t>
      </w:r>
      <w:r w:rsidRPr="00323E49">
        <w:t>documen</w:t>
      </w:r>
      <w:r w:rsidR="00323E49">
        <w:t xml:space="preserve">t CAJ/71/2, </w:t>
      </w:r>
      <w:proofErr w:type="gramStart"/>
      <w:r w:rsidR="00323E49">
        <w:t>paragraph</w:t>
      </w:r>
      <w:proofErr w:type="gramEnd"/>
      <w:r w:rsidR="00323E49">
        <w:t xml:space="preserve"> 15)</w:t>
      </w:r>
      <w:r w:rsidR="001B333C">
        <w:t>.</w:t>
      </w:r>
      <w:r w:rsidR="00442C39">
        <w:rPr>
          <w:rStyle w:val="FootnoteReference"/>
        </w:rPr>
        <w:footnoteReference w:id="14"/>
      </w:r>
    </w:p>
    <w:p w:rsidR="003870AE" w:rsidRDefault="003870AE" w:rsidP="003870AE">
      <w:pPr>
        <w:keepNext/>
        <w:rPr>
          <w:rFonts w:cs="Arial"/>
        </w:rPr>
      </w:pPr>
    </w:p>
    <w:tbl>
      <w:tblPr>
        <w:tblW w:w="9236" w:type="dxa"/>
        <w:tblInd w:w="5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3" w:type="dxa"/>
        </w:tblCellMar>
        <w:tblLook w:val="0000" w:firstRow="0" w:lastRow="0" w:firstColumn="0" w:lastColumn="0" w:noHBand="0" w:noVBand="0"/>
      </w:tblPr>
      <w:tblGrid>
        <w:gridCol w:w="1447"/>
        <w:gridCol w:w="7789"/>
      </w:tblGrid>
      <w:tr w:rsidR="003870AE" w:rsidRPr="00482F75" w:rsidTr="000F251F">
        <w:trPr>
          <w:cantSplit/>
        </w:trPr>
        <w:tc>
          <w:tcPr>
            <w:tcW w:w="1447" w:type="dxa"/>
          </w:tcPr>
          <w:p w:rsidR="003870AE" w:rsidRPr="00482F75" w:rsidRDefault="003870AE" w:rsidP="003870AE">
            <w:pPr>
              <w:jc w:val="left"/>
              <w:rPr>
                <w:rFonts w:cs="Arial"/>
              </w:rPr>
            </w:pPr>
            <w:r>
              <w:rPr>
                <w:rFonts w:cs="Arial"/>
              </w:rPr>
              <w:t>Paragraph 2</w:t>
            </w:r>
          </w:p>
        </w:tc>
        <w:tc>
          <w:tcPr>
            <w:tcW w:w="7789" w:type="dxa"/>
          </w:tcPr>
          <w:p w:rsidR="003870AE" w:rsidRDefault="003870AE" w:rsidP="003870AE">
            <w:pPr>
              <w:rPr>
                <w:snapToGrid w:val="0"/>
              </w:rPr>
            </w:pPr>
            <w:r>
              <w:rPr>
                <w:snapToGrid w:val="0"/>
              </w:rPr>
              <w:t>The second sentence to read:</w:t>
            </w:r>
          </w:p>
          <w:p w:rsidR="003870AE" w:rsidRDefault="003870AE" w:rsidP="003870AE">
            <w:pPr>
              <w:rPr>
                <w:snapToGrid w:val="0"/>
              </w:rPr>
            </w:pPr>
          </w:p>
          <w:p w:rsidR="003870AE" w:rsidRDefault="003870AE" w:rsidP="003870AE">
            <w:pPr>
              <w:rPr>
                <w:snapToGrid w:val="0"/>
              </w:rPr>
            </w:pPr>
            <w:r>
              <w:rPr>
                <w:snapToGrid w:val="0"/>
              </w:rPr>
              <w:t>“</w:t>
            </w:r>
            <w:r w:rsidRPr="00062F44">
              <w:rPr>
                <w:snapToGrid w:val="0"/>
              </w:rPr>
              <w:t xml:space="preserve">The purpose of </w:t>
            </w:r>
            <w:proofErr w:type="gramStart"/>
            <w:r w:rsidRPr="00062F44">
              <w:rPr>
                <w:strike/>
                <w:snapToGrid w:val="0"/>
              </w:rPr>
              <w:t xml:space="preserve">the </w:t>
            </w:r>
            <w:r w:rsidRPr="00062F44">
              <w:rPr>
                <w:snapToGrid w:val="0"/>
                <w:u w:val="single"/>
              </w:rPr>
              <w:t>this</w:t>
            </w:r>
            <w:proofErr w:type="gramEnd"/>
            <w:r>
              <w:rPr>
                <w:snapToGrid w:val="0"/>
              </w:rPr>
              <w:t xml:space="preserve"> </w:t>
            </w:r>
            <w:r w:rsidRPr="00062F44">
              <w:rPr>
                <w:snapToGrid w:val="0"/>
              </w:rPr>
              <w:t>guidance</w:t>
            </w:r>
            <w:r>
              <w:rPr>
                <w:snapToGrid w:val="0"/>
              </w:rPr>
              <w:t xml:space="preserve"> […]”</w:t>
            </w:r>
          </w:p>
          <w:p w:rsidR="003870AE" w:rsidRDefault="003870AE" w:rsidP="003870AE">
            <w:pPr>
              <w:rPr>
                <w:snapToGrid w:val="0"/>
              </w:rPr>
            </w:pPr>
          </w:p>
          <w:p w:rsidR="003870AE" w:rsidRDefault="003870AE" w:rsidP="003870AE">
            <w:pPr>
              <w:rPr>
                <w:snapToGrid w:val="0"/>
              </w:rPr>
            </w:pPr>
            <w:r>
              <w:rPr>
                <w:snapToGrid w:val="0"/>
              </w:rPr>
              <w:t xml:space="preserve">To delete the third sentence:  </w:t>
            </w:r>
          </w:p>
          <w:p w:rsidR="003870AE" w:rsidRPr="006A4BD1" w:rsidRDefault="003870AE" w:rsidP="003870AE">
            <w:pPr>
              <w:rPr>
                <w:strike/>
                <w:snapToGrid w:val="0"/>
              </w:rPr>
            </w:pPr>
            <w:r w:rsidRPr="00062F44">
              <w:rPr>
                <w:strike/>
                <w:snapToGrid w:val="0"/>
              </w:rPr>
              <w:t>“The guidance is intended for:  authorities granting breeders’ rights with competence in matters concerning essentially derived varieties; breeders, farmers, growers and other stakeholders;  and relevant bodies responsible for solving disputes in litigation, mediation or arbitration cases”</w:t>
            </w:r>
          </w:p>
        </w:tc>
      </w:tr>
      <w:tr w:rsidR="003870AE" w:rsidRPr="00482F75" w:rsidTr="000F251F">
        <w:trPr>
          <w:cantSplit/>
        </w:trPr>
        <w:tc>
          <w:tcPr>
            <w:tcW w:w="1447" w:type="dxa"/>
          </w:tcPr>
          <w:p w:rsidR="003870AE" w:rsidRPr="00482F75" w:rsidRDefault="003870AE" w:rsidP="003870AE">
            <w:pPr>
              <w:jc w:val="left"/>
              <w:rPr>
                <w:rFonts w:cs="Arial"/>
              </w:rPr>
            </w:pPr>
            <w:r>
              <w:rPr>
                <w:rFonts w:cs="Arial"/>
              </w:rPr>
              <w:t xml:space="preserve">Paragraph 6 </w:t>
            </w:r>
          </w:p>
        </w:tc>
        <w:tc>
          <w:tcPr>
            <w:tcW w:w="7789" w:type="dxa"/>
          </w:tcPr>
          <w:p w:rsidR="003870AE" w:rsidRPr="00062F44" w:rsidRDefault="003870AE" w:rsidP="003870AE">
            <w:pPr>
              <w:autoSpaceDE w:val="0"/>
              <w:rPr>
                <w:rFonts w:cs="Arial"/>
              </w:rPr>
            </w:pPr>
            <w:r w:rsidRPr="00062F44">
              <w:rPr>
                <w:rFonts w:cs="Arial"/>
              </w:rPr>
              <w:t>To read as follows:</w:t>
            </w:r>
          </w:p>
          <w:p w:rsidR="003870AE" w:rsidRPr="00062F44" w:rsidRDefault="003870AE" w:rsidP="003870AE">
            <w:pPr>
              <w:autoSpaceDE w:val="0"/>
              <w:rPr>
                <w:rFonts w:cs="Arial"/>
              </w:rPr>
            </w:pPr>
          </w:p>
          <w:p w:rsidR="003870AE" w:rsidRPr="00062F44" w:rsidRDefault="003870AE" w:rsidP="003870AE">
            <w:pPr>
              <w:autoSpaceDE w:val="0"/>
              <w:rPr>
                <w:rFonts w:cs="Arial"/>
              </w:rPr>
            </w:pPr>
            <w:r>
              <w:rPr>
                <w:rFonts w:cs="Arial"/>
              </w:rPr>
              <w:t>“</w:t>
            </w:r>
            <w:r w:rsidRPr="00062F44">
              <w:rPr>
                <w:rFonts w:cs="Arial"/>
              </w:rPr>
              <w:t>6.</w:t>
            </w:r>
            <w:r w:rsidRPr="00062F44">
              <w:rPr>
                <w:rFonts w:cs="Arial"/>
              </w:rPr>
              <w:tab/>
              <w:t>The following might be considered in relation to the notion of “essential characteristics”:</w:t>
            </w:r>
          </w:p>
          <w:p w:rsidR="003870AE" w:rsidRPr="00062F44" w:rsidRDefault="003870AE" w:rsidP="003870AE">
            <w:pPr>
              <w:rPr>
                <w:rFonts w:cs="Arial"/>
              </w:rPr>
            </w:pPr>
          </w:p>
          <w:p w:rsidR="003870AE" w:rsidRPr="00062F44" w:rsidRDefault="003870AE" w:rsidP="003870AE">
            <w:pPr>
              <w:ind w:left="567"/>
              <w:rPr>
                <w:rFonts w:cs="Arial"/>
              </w:rPr>
            </w:pPr>
            <w:r w:rsidRPr="00062F44">
              <w:rPr>
                <w:rFonts w:cs="Arial"/>
              </w:rPr>
              <w:t>(</w:t>
            </w:r>
            <w:proofErr w:type="spellStart"/>
            <w:r w:rsidRPr="00062F44">
              <w:rPr>
                <w:rFonts w:cs="Arial"/>
              </w:rPr>
              <w:t>i</w:t>
            </w:r>
            <w:proofErr w:type="spellEnd"/>
            <w:r w:rsidRPr="00062F44">
              <w:rPr>
                <w:rFonts w:cs="Arial"/>
              </w:rPr>
              <w:t>)</w:t>
            </w:r>
            <w:r w:rsidRPr="00062F44">
              <w:rPr>
                <w:rFonts w:cs="Arial"/>
              </w:rPr>
              <w:tab/>
              <w:t>essential characteristics, in relation to a plant variety, means heritable traits that are determined by the expression of one or more genes, or other heritable determinants, that contribute to the principal features, performance or value of the variety;</w:t>
            </w:r>
          </w:p>
          <w:p w:rsidR="003870AE" w:rsidRDefault="003870AE" w:rsidP="003870AE">
            <w:pPr>
              <w:ind w:left="567"/>
              <w:rPr>
                <w:rFonts w:cs="Arial"/>
              </w:rPr>
            </w:pPr>
          </w:p>
          <w:p w:rsidR="003870AE" w:rsidRPr="00062F44" w:rsidRDefault="003870AE" w:rsidP="003870AE">
            <w:pPr>
              <w:ind w:left="567"/>
              <w:rPr>
                <w:rFonts w:cs="Arial"/>
                <w:b/>
              </w:rPr>
            </w:pPr>
            <w:r w:rsidRPr="00062F44">
              <w:rPr>
                <w:rFonts w:cs="Arial"/>
              </w:rPr>
              <w:t>(ii)</w:t>
            </w:r>
            <w:r w:rsidRPr="00062F44">
              <w:rPr>
                <w:rFonts w:cs="Arial"/>
              </w:rPr>
              <w:tab/>
              <w:t>characteristics that are important from the perspective of the producer, seller, supplier, buyer, recipient, or user;</w:t>
            </w:r>
          </w:p>
          <w:p w:rsidR="003870AE" w:rsidRDefault="003870AE" w:rsidP="003870AE">
            <w:pPr>
              <w:ind w:left="567"/>
              <w:rPr>
                <w:rFonts w:cs="Arial"/>
              </w:rPr>
            </w:pPr>
          </w:p>
          <w:p w:rsidR="003870AE" w:rsidRPr="00062F44" w:rsidRDefault="003870AE" w:rsidP="003870AE">
            <w:pPr>
              <w:ind w:left="567"/>
              <w:rPr>
                <w:rFonts w:cs="Arial"/>
              </w:rPr>
            </w:pPr>
            <w:r w:rsidRPr="00062F44">
              <w:rPr>
                <w:rFonts w:cs="Arial"/>
              </w:rPr>
              <w:t>(iii)</w:t>
            </w:r>
            <w:r w:rsidRPr="00062F44">
              <w:rPr>
                <w:rFonts w:cs="Arial"/>
                <w:b/>
              </w:rPr>
              <w:t xml:space="preserve"> </w:t>
            </w:r>
            <w:r w:rsidRPr="00062F44">
              <w:rPr>
                <w:rFonts w:cs="Arial"/>
                <w:b/>
              </w:rPr>
              <w:tab/>
            </w:r>
            <w:r w:rsidRPr="00062F44">
              <w:rPr>
                <w:rFonts w:cs="Arial"/>
              </w:rPr>
              <w:t xml:space="preserve">characteristics that are essential for the variety as a whole, including, for example, morphological, physiological, agronomic, industrial </w:t>
            </w:r>
            <w:r>
              <w:rPr>
                <w:rFonts w:cs="Arial"/>
              </w:rPr>
              <w:t>and biochemical characteristics;</w:t>
            </w:r>
          </w:p>
          <w:p w:rsidR="003870AE" w:rsidRDefault="003870AE" w:rsidP="003870AE">
            <w:pPr>
              <w:ind w:left="567"/>
              <w:rPr>
                <w:rFonts w:cs="Arial"/>
              </w:rPr>
            </w:pPr>
          </w:p>
          <w:p w:rsidR="003870AE" w:rsidRPr="00062F44" w:rsidRDefault="003870AE" w:rsidP="003870AE">
            <w:pPr>
              <w:ind w:left="567"/>
              <w:rPr>
                <w:rFonts w:cs="Arial"/>
                <w:b/>
              </w:rPr>
            </w:pPr>
            <w:r w:rsidRPr="00062F44">
              <w:rPr>
                <w:rFonts w:cs="Arial"/>
              </w:rPr>
              <w:t>(iv)</w:t>
            </w:r>
            <w:r w:rsidRPr="00062F44">
              <w:rPr>
                <w:rFonts w:cs="Arial"/>
              </w:rPr>
              <w:tab/>
              <w:t>essential characteristics may or may not be phenotypic characteristics used for the examination of distinctness, uniformity and stability (DUS)</w:t>
            </w:r>
            <w:r w:rsidRPr="00062F44">
              <w:rPr>
                <w:rFonts w:cs="Arial"/>
                <w:b/>
              </w:rPr>
              <w:t>;</w:t>
            </w:r>
          </w:p>
          <w:p w:rsidR="003870AE" w:rsidRPr="00062F44" w:rsidRDefault="003870AE" w:rsidP="003870AE">
            <w:pPr>
              <w:ind w:left="567"/>
              <w:rPr>
                <w:rFonts w:cs="Arial"/>
                <w:b/>
              </w:rPr>
            </w:pPr>
          </w:p>
          <w:p w:rsidR="003870AE" w:rsidRPr="00062F44" w:rsidRDefault="003870AE" w:rsidP="003870AE">
            <w:pPr>
              <w:ind w:left="567"/>
              <w:rPr>
                <w:rFonts w:cs="Arial"/>
              </w:rPr>
            </w:pPr>
            <w:r w:rsidRPr="00062F44">
              <w:rPr>
                <w:rFonts w:cs="Arial"/>
              </w:rPr>
              <w:t>(v)</w:t>
            </w:r>
            <w:r w:rsidRPr="00062F44">
              <w:rPr>
                <w:rFonts w:cs="Arial"/>
              </w:rPr>
              <w:tab/>
              <w:t>essential characteristics are not restricted to those characteristics that relate only to high performance or value (for instance, disease resistance may be considered as an essential characteristic when the variety has susceptibility to disease);</w:t>
            </w:r>
          </w:p>
          <w:p w:rsidR="003870AE" w:rsidRPr="00062F44" w:rsidRDefault="003870AE" w:rsidP="003870AE">
            <w:pPr>
              <w:ind w:left="567"/>
              <w:rPr>
                <w:rFonts w:cs="Arial"/>
              </w:rPr>
            </w:pPr>
          </w:p>
          <w:p w:rsidR="003870AE" w:rsidRPr="006A4BD1" w:rsidRDefault="003870AE" w:rsidP="003870AE">
            <w:pPr>
              <w:ind w:left="567"/>
            </w:pPr>
            <w:r w:rsidRPr="00062F44">
              <w:rPr>
                <w:rFonts w:cs="Arial"/>
              </w:rPr>
              <w:t>(vi)</w:t>
            </w:r>
            <w:r w:rsidRPr="00062F44">
              <w:rPr>
                <w:rFonts w:cs="Arial"/>
              </w:rPr>
              <w:tab/>
            </w:r>
            <w:proofErr w:type="gramStart"/>
            <w:r w:rsidRPr="00062F44">
              <w:t>essential</w:t>
            </w:r>
            <w:proofErr w:type="gramEnd"/>
            <w:r w:rsidRPr="00062F44">
              <w:t xml:space="preserve"> characteristics may be different in different crops/species.</w:t>
            </w:r>
            <w:r>
              <w:t>”</w:t>
            </w:r>
          </w:p>
        </w:tc>
      </w:tr>
      <w:tr w:rsidR="003870AE" w:rsidRPr="00482F75" w:rsidTr="000F251F">
        <w:trPr>
          <w:cantSplit/>
        </w:trPr>
        <w:tc>
          <w:tcPr>
            <w:tcW w:w="1447" w:type="dxa"/>
          </w:tcPr>
          <w:p w:rsidR="003870AE" w:rsidRPr="00482F75" w:rsidRDefault="003870AE" w:rsidP="003870AE">
            <w:pPr>
              <w:jc w:val="left"/>
              <w:rPr>
                <w:rFonts w:cs="Arial"/>
              </w:rPr>
            </w:pPr>
            <w:r>
              <w:rPr>
                <w:rFonts w:cs="Arial"/>
              </w:rPr>
              <w:t>Paragraph 7</w:t>
            </w:r>
          </w:p>
        </w:tc>
        <w:tc>
          <w:tcPr>
            <w:tcW w:w="7789" w:type="dxa"/>
          </w:tcPr>
          <w:p w:rsidR="003870AE" w:rsidRPr="00482F75" w:rsidRDefault="003870AE" w:rsidP="003870AE">
            <w:pPr>
              <w:rPr>
                <w:rFonts w:cs="Arial"/>
              </w:rPr>
            </w:pPr>
            <w:r>
              <w:rPr>
                <w:rFonts w:cs="Arial"/>
              </w:rPr>
              <w:t>To be deleted</w:t>
            </w:r>
          </w:p>
        </w:tc>
      </w:tr>
      <w:tr w:rsidR="003870AE" w:rsidRPr="00482F75" w:rsidTr="000F251F">
        <w:trPr>
          <w:cantSplit/>
        </w:trPr>
        <w:tc>
          <w:tcPr>
            <w:tcW w:w="1447" w:type="dxa"/>
          </w:tcPr>
          <w:p w:rsidR="003870AE" w:rsidRPr="00482F75" w:rsidRDefault="003870AE" w:rsidP="003870AE">
            <w:pPr>
              <w:jc w:val="left"/>
            </w:pPr>
            <w:r>
              <w:t>Paragraph 8</w:t>
            </w:r>
          </w:p>
        </w:tc>
        <w:tc>
          <w:tcPr>
            <w:tcW w:w="7789" w:type="dxa"/>
          </w:tcPr>
          <w:p w:rsidR="003870AE" w:rsidRDefault="003870AE" w:rsidP="003870AE">
            <w:r>
              <w:t>To read as follows:</w:t>
            </w:r>
          </w:p>
          <w:p w:rsidR="003870AE" w:rsidRDefault="003870AE" w:rsidP="003870AE"/>
          <w:p w:rsidR="003870AE" w:rsidRPr="00482F75" w:rsidRDefault="003870AE" w:rsidP="003870AE">
            <w:r>
              <w:t>“</w:t>
            </w:r>
            <w:r w:rsidRPr="00B03CCB">
              <w:t>8.</w:t>
            </w:r>
            <w:r w:rsidRPr="00B03CCB">
              <w:tab/>
              <w:t>The phrase “it is clearly distinguishable from the initial variety” establishes that essential derivation is concerned only with varieties that are clearly distinguishable, in accordance with Article 7, from the initial variety and which are accordingly protectable.  Article 14(5</w:t>
            </w:r>
            <w:proofErr w:type="gramStart"/>
            <w:r w:rsidRPr="00B03CCB">
              <w:t>)(</w:t>
            </w:r>
            <w:proofErr w:type="gramEnd"/>
            <w:r w:rsidRPr="00B03CCB">
              <w:t>a)(ii) would apply if the variety is “not clearly distinguishable in accordance with Article 7 from the protected variety”.</w:t>
            </w:r>
          </w:p>
        </w:tc>
      </w:tr>
      <w:tr w:rsidR="003870AE" w:rsidRPr="00482F75" w:rsidTr="000F251F">
        <w:trPr>
          <w:cantSplit/>
        </w:trPr>
        <w:tc>
          <w:tcPr>
            <w:tcW w:w="1447" w:type="dxa"/>
          </w:tcPr>
          <w:p w:rsidR="003870AE" w:rsidRPr="00482F75" w:rsidRDefault="003870AE" w:rsidP="003870AE">
            <w:pPr>
              <w:jc w:val="left"/>
            </w:pPr>
            <w:r>
              <w:t xml:space="preserve">Paragraph 10 </w:t>
            </w:r>
          </w:p>
        </w:tc>
        <w:tc>
          <w:tcPr>
            <w:tcW w:w="7789" w:type="dxa"/>
          </w:tcPr>
          <w:p w:rsidR="003870AE" w:rsidRDefault="003870AE" w:rsidP="003870AE">
            <w:pPr>
              <w:rPr>
                <w:snapToGrid w:val="0"/>
              </w:rPr>
            </w:pPr>
            <w:r>
              <w:rPr>
                <w:snapToGrid w:val="0"/>
              </w:rPr>
              <w:t>To read as follows:</w:t>
            </w:r>
          </w:p>
          <w:p w:rsidR="003870AE" w:rsidRDefault="003870AE" w:rsidP="003870AE">
            <w:pPr>
              <w:rPr>
                <w:snapToGrid w:val="0"/>
              </w:rPr>
            </w:pPr>
          </w:p>
          <w:p w:rsidR="003870AE" w:rsidRPr="00482F75" w:rsidRDefault="003870AE" w:rsidP="003870AE">
            <w:pPr>
              <w:rPr>
                <w:snapToGrid w:val="0"/>
              </w:rPr>
            </w:pPr>
            <w:r>
              <w:rPr>
                <w:snapToGrid w:val="0"/>
              </w:rPr>
              <w:t>“10.</w:t>
            </w:r>
            <w:r>
              <w:rPr>
                <w:snapToGrid w:val="0"/>
              </w:rPr>
              <w:tab/>
            </w:r>
            <w:r w:rsidRPr="00DD19CF">
              <w:rPr>
                <w:snapToGrid w:val="0"/>
              </w:rPr>
              <w:t>The words “except for the differences which result from the act of derivation” do not set a limit to the amount of difference which may exist where a variety is considered to be essentially derived.  A limit is, however, set by Article 14(5</w:t>
            </w:r>
            <w:proofErr w:type="gramStart"/>
            <w:r w:rsidRPr="00DD19CF">
              <w:rPr>
                <w:snapToGrid w:val="0"/>
              </w:rPr>
              <w:t>)(</w:t>
            </w:r>
            <w:proofErr w:type="gramEnd"/>
            <w:r w:rsidRPr="00DD19CF">
              <w:rPr>
                <w:snapToGrid w:val="0"/>
              </w:rPr>
              <w:t>b) (</w:t>
            </w:r>
            <w:proofErr w:type="spellStart"/>
            <w:r w:rsidRPr="00DD19CF">
              <w:rPr>
                <w:snapToGrid w:val="0"/>
              </w:rPr>
              <w:t>i</w:t>
            </w:r>
            <w:proofErr w:type="spellEnd"/>
            <w:r w:rsidRPr="00DD19CF">
              <w:rPr>
                <w:snapToGrid w:val="0"/>
              </w:rPr>
              <w:t>) and (iii).   The differences must not be such that the variety fails “to retain the expression of the essential characteristics that result from the genotype or combination of genotypes of the initial variety”.</w:t>
            </w:r>
            <w:r>
              <w:rPr>
                <w:snapToGrid w:val="0"/>
              </w:rPr>
              <w:t>”</w:t>
            </w:r>
          </w:p>
        </w:tc>
      </w:tr>
      <w:tr w:rsidR="003870AE" w:rsidRPr="00482F75" w:rsidTr="000F251F">
        <w:trPr>
          <w:cantSplit/>
        </w:trPr>
        <w:tc>
          <w:tcPr>
            <w:tcW w:w="1447" w:type="dxa"/>
          </w:tcPr>
          <w:p w:rsidR="003870AE" w:rsidRPr="00482F75" w:rsidRDefault="003870AE" w:rsidP="003870AE">
            <w:pPr>
              <w:jc w:val="left"/>
            </w:pPr>
            <w:r>
              <w:t xml:space="preserve">Paragraph 11 </w:t>
            </w:r>
          </w:p>
        </w:tc>
        <w:tc>
          <w:tcPr>
            <w:tcW w:w="7789" w:type="dxa"/>
          </w:tcPr>
          <w:p w:rsidR="003870AE" w:rsidRPr="00B03CCB" w:rsidRDefault="003870AE" w:rsidP="003870AE">
            <w:pPr>
              <w:rPr>
                <w:rFonts w:cs="Arial"/>
              </w:rPr>
            </w:pPr>
            <w:r w:rsidRPr="00B03CCB">
              <w:rPr>
                <w:rFonts w:cs="Arial"/>
              </w:rPr>
              <w:t>To read as follows:</w:t>
            </w:r>
          </w:p>
          <w:p w:rsidR="003870AE" w:rsidRPr="00B03CCB" w:rsidRDefault="003870AE" w:rsidP="003870AE">
            <w:pPr>
              <w:rPr>
                <w:rFonts w:cs="Arial"/>
              </w:rPr>
            </w:pPr>
          </w:p>
          <w:p w:rsidR="003870AE" w:rsidRPr="006A4BD1" w:rsidRDefault="003870AE" w:rsidP="003870AE">
            <w:pPr>
              <w:rPr>
                <w:rFonts w:cs="Arial"/>
              </w:rPr>
            </w:pPr>
            <w:r>
              <w:rPr>
                <w:rFonts w:cs="Arial"/>
              </w:rPr>
              <w:t>“</w:t>
            </w:r>
            <w:r w:rsidRPr="00B03CCB">
              <w:rPr>
                <w:rFonts w:cs="Arial"/>
              </w:rPr>
              <w:t>11.</w:t>
            </w:r>
            <w:r w:rsidRPr="00B03CCB">
              <w:rPr>
                <w:rFonts w:cs="Arial"/>
              </w:rPr>
              <w:tab/>
              <w:t xml:space="preserve">The examples given in Article 14(5) (c) make clear that the differences which result from the act of derivation should be one or very few.  However, if there are only one or few differences that </w:t>
            </w:r>
            <w:proofErr w:type="gramStart"/>
            <w:r w:rsidRPr="00B03CCB">
              <w:rPr>
                <w:rFonts w:cs="Arial"/>
              </w:rPr>
              <w:t>does</w:t>
            </w:r>
            <w:proofErr w:type="gramEnd"/>
            <w:r w:rsidRPr="00B03CCB">
              <w:rPr>
                <w:rFonts w:cs="Arial"/>
              </w:rPr>
              <w:t xml:space="preserve"> not necessar</w:t>
            </w:r>
            <w:r>
              <w:rPr>
                <w:rFonts w:cs="Arial"/>
              </w:rPr>
              <w:t>il</w:t>
            </w:r>
            <w:r w:rsidRPr="00B03CCB">
              <w:rPr>
                <w:rFonts w:cs="Arial"/>
              </w:rPr>
              <w:t>y mean that a variety is essentially derived.  The variety would also be required to fulfil the definition stated in Article 14(5</w:t>
            </w:r>
            <w:proofErr w:type="gramStart"/>
            <w:r w:rsidRPr="00B03CCB">
              <w:rPr>
                <w:rFonts w:cs="Arial"/>
              </w:rPr>
              <w:t>)(</w:t>
            </w:r>
            <w:proofErr w:type="gramEnd"/>
            <w:r w:rsidRPr="00B03CCB">
              <w:rPr>
                <w:rFonts w:cs="Arial"/>
              </w:rPr>
              <w:t>b).</w:t>
            </w:r>
            <w:r>
              <w:rPr>
                <w:rFonts w:cs="Arial"/>
              </w:rPr>
              <w:t>”</w:t>
            </w:r>
            <w:r w:rsidRPr="00B03CCB">
              <w:rPr>
                <w:rFonts w:cs="Arial"/>
              </w:rPr>
              <w:t xml:space="preserve"> </w:t>
            </w:r>
          </w:p>
        </w:tc>
      </w:tr>
      <w:tr w:rsidR="003870AE" w:rsidRPr="00482F75" w:rsidTr="000F251F">
        <w:trPr>
          <w:cantSplit/>
        </w:trPr>
        <w:tc>
          <w:tcPr>
            <w:tcW w:w="1447" w:type="dxa"/>
          </w:tcPr>
          <w:p w:rsidR="003870AE" w:rsidRPr="00482F75" w:rsidRDefault="003870AE" w:rsidP="003870AE">
            <w:pPr>
              <w:jc w:val="left"/>
            </w:pPr>
            <w:r>
              <w:lastRenderedPageBreak/>
              <w:t>New paragraph after paragraph 11</w:t>
            </w:r>
          </w:p>
        </w:tc>
        <w:tc>
          <w:tcPr>
            <w:tcW w:w="7789" w:type="dxa"/>
          </w:tcPr>
          <w:p w:rsidR="003870AE" w:rsidRPr="00B03CCB" w:rsidRDefault="003870AE" w:rsidP="003870AE">
            <w:pPr>
              <w:rPr>
                <w:rFonts w:cs="Arial"/>
              </w:rPr>
            </w:pPr>
            <w:r w:rsidRPr="00B03CCB">
              <w:rPr>
                <w:rFonts w:cs="Arial"/>
              </w:rPr>
              <w:t xml:space="preserve">To </w:t>
            </w:r>
            <w:r>
              <w:rPr>
                <w:rFonts w:cs="Arial"/>
              </w:rPr>
              <w:t>insert the following quote in paragraph 11 in a new paragraph</w:t>
            </w:r>
            <w:r w:rsidRPr="00B03CCB">
              <w:rPr>
                <w:rFonts w:cs="Arial"/>
              </w:rPr>
              <w:t xml:space="preserve"> as follows:</w:t>
            </w:r>
          </w:p>
          <w:p w:rsidR="003870AE" w:rsidRPr="00B03CCB" w:rsidRDefault="003870AE" w:rsidP="003870AE">
            <w:pPr>
              <w:rPr>
                <w:rFonts w:cs="Arial"/>
              </w:rPr>
            </w:pPr>
          </w:p>
          <w:p w:rsidR="003870AE" w:rsidRPr="006A4BD1" w:rsidRDefault="003870AE" w:rsidP="003870AE">
            <w:pPr>
              <w:rPr>
                <w:rFonts w:cs="Arial"/>
              </w:rPr>
            </w:pPr>
            <w:r>
              <w:rPr>
                <w:rFonts w:cs="Arial"/>
              </w:rPr>
              <w:t>“12.</w:t>
            </w:r>
            <w:r>
              <w:rPr>
                <w:rFonts w:cs="Arial"/>
              </w:rPr>
              <w:tab/>
            </w:r>
            <w:r w:rsidRPr="00B03CCB">
              <w:rPr>
                <w:rFonts w:cs="Arial"/>
              </w:rPr>
              <w:t>The derived variety must retain almost the totality of the genotype of the mother variety and be distinguishable from that variety by a very limited number of characteristics (typically by one)</w:t>
            </w:r>
            <w:r>
              <w:rPr>
                <w:rFonts w:cs="Arial"/>
              </w:rPr>
              <w:t>.”</w:t>
            </w:r>
          </w:p>
        </w:tc>
      </w:tr>
      <w:tr w:rsidR="003870AE" w:rsidRPr="00482F75" w:rsidTr="000F251F">
        <w:trPr>
          <w:cantSplit/>
        </w:trPr>
        <w:tc>
          <w:tcPr>
            <w:tcW w:w="1447" w:type="dxa"/>
          </w:tcPr>
          <w:p w:rsidR="003870AE" w:rsidRDefault="003870AE" w:rsidP="003870AE">
            <w:pPr>
              <w:jc w:val="left"/>
            </w:pPr>
            <w:r>
              <w:t xml:space="preserve">To re-insert title </w:t>
            </w:r>
          </w:p>
        </w:tc>
        <w:tc>
          <w:tcPr>
            <w:tcW w:w="7789" w:type="dxa"/>
          </w:tcPr>
          <w:p w:rsidR="003870AE" w:rsidRPr="00B03CCB" w:rsidRDefault="003870AE" w:rsidP="003870AE">
            <w:pPr>
              <w:rPr>
                <w:rFonts w:cs="Arial"/>
              </w:rPr>
            </w:pPr>
            <w:r>
              <w:rPr>
                <w:rFonts w:cs="Arial"/>
              </w:rPr>
              <w:t>Method of Breeding</w:t>
            </w:r>
          </w:p>
        </w:tc>
      </w:tr>
      <w:tr w:rsidR="003870AE" w:rsidRPr="00482F75" w:rsidTr="000F251F">
        <w:trPr>
          <w:cantSplit/>
        </w:trPr>
        <w:tc>
          <w:tcPr>
            <w:tcW w:w="1447" w:type="dxa"/>
          </w:tcPr>
          <w:p w:rsidR="003870AE" w:rsidRPr="00482F75" w:rsidRDefault="003870AE" w:rsidP="003870AE">
            <w:pPr>
              <w:jc w:val="left"/>
            </w:pPr>
            <w:r>
              <w:t>Paragraph 14</w:t>
            </w:r>
          </w:p>
        </w:tc>
        <w:tc>
          <w:tcPr>
            <w:tcW w:w="7789" w:type="dxa"/>
          </w:tcPr>
          <w:p w:rsidR="003870AE" w:rsidRDefault="003870AE" w:rsidP="003870AE">
            <w:r>
              <w:t>Paragraph 14 to read as follows:</w:t>
            </w:r>
          </w:p>
          <w:p w:rsidR="003870AE" w:rsidRDefault="003870AE" w:rsidP="003870AE"/>
          <w:p w:rsidR="003870AE" w:rsidRPr="006A4BD1" w:rsidRDefault="003870AE" w:rsidP="003870AE">
            <w:r>
              <w:t>“</w:t>
            </w:r>
            <w:r w:rsidRPr="00B03CCB">
              <w:t xml:space="preserve">There is a need to consider the situation in different crops and species and the method of breeding in </w:t>
            </w:r>
            <w:r>
              <w:t xml:space="preserve">the determination of </w:t>
            </w:r>
            <w:r w:rsidRPr="00B03CCB">
              <w:t>essentially derived varieties</w:t>
            </w:r>
            <w:r>
              <w:t>.”</w:t>
            </w:r>
          </w:p>
        </w:tc>
      </w:tr>
      <w:tr w:rsidR="003870AE" w:rsidRPr="00482F75" w:rsidTr="000F251F">
        <w:trPr>
          <w:cantSplit/>
        </w:trPr>
        <w:tc>
          <w:tcPr>
            <w:tcW w:w="1447" w:type="dxa"/>
          </w:tcPr>
          <w:p w:rsidR="003870AE" w:rsidRDefault="003870AE" w:rsidP="003870AE">
            <w:pPr>
              <w:jc w:val="left"/>
            </w:pPr>
            <w:r>
              <w:t>Paragraph 20</w:t>
            </w:r>
          </w:p>
        </w:tc>
        <w:tc>
          <w:tcPr>
            <w:tcW w:w="7789" w:type="dxa"/>
          </w:tcPr>
          <w:p w:rsidR="003870AE" w:rsidRDefault="003870AE" w:rsidP="003870AE">
            <w:r>
              <w:t>To wait for joint proposal to be provided by ESA and ISF</w:t>
            </w:r>
          </w:p>
        </w:tc>
      </w:tr>
      <w:tr w:rsidR="003870AE" w:rsidRPr="00482F75" w:rsidTr="000F251F">
        <w:trPr>
          <w:cantSplit/>
        </w:trPr>
        <w:tc>
          <w:tcPr>
            <w:tcW w:w="1447" w:type="dxa"/>
          </w:tcPr>
          <w:p w:rsidR="003870AE" w:rsidRDefault="003870AE" w:rsidP="003870AE">
            <w:pPr>
              <w:jc w:val="left"/>
            </w:pPr>
            <w:r>
              <w:t>Paragraph 21</w:t>
            </w:r>
          </w:p>
        </w:tc>
        <w:tc>
          <w:tcPr>
            <w:tcW w:w="7789" w:type="dxa"/>
          </w:tcPr>
          <w:p w:rsidR="003870AE" w:rsidRPr="001A4C96" w:rsidRDefault="003870AE" w:rsidP="003870AE">
            <w:r>
              <w:t xml:space="preserve">To add a note that the current text was not acceptable but </w:t>
            </w:r>
            <w:proofErr w:type="gramStart"/>
            <w:r>
              <w:t>that new proposals</w:t>
            </w:r>
            <w:proofErr w:type="gramEnd"/>
            <w:r>
              <w:t xml:space="preserve"> should be considered.  To show the existing text in strikethrough.</w:t>
            </w:r>
          </w:p>
        </w:tc>
      </w:tr>
      <w:tr w:rsidR="003870AE" w:rsidRPr="00482F75" w:rsidTr="000F251F">
        <w:trPr>
          <w:cantSplit/>
        </w:trPr>
        <w:tc>
          <w:tcPr>
            <w:tcW w:w="1447" w:type="dxa"/>
          </w:tcPr>
          <w:p w:rsidR="003870AE" w:rsidRPr="00482F75" w:rsidRDefault="003870AE" w:rsidP="003870AE">
            <w:pPr>
              <w:jc w:val="left"/>
            </w:pPr>
            <w:r>
              <w:t xml:space="preserve">Paragraph 29 </w:t>
            </w:r>
          </w:p>
        </w:tc>
        <w:tc>
          <w:tcPr>
            <w:tcW w:w="7789" w:type="dxa"/>
          </w:tcPr>
          <w:p w:rsidR="003870AE" w:rsidRDefault="003870AE" w:rsidP="003870AE">
            <w:pPr>
              <w:rPr>
                <w:snapToGrid w:val="0"/>
              </w:rPr>
            </w:pPr>
            <w:r>
              <w:rPr>
                <w:snapToGrid w:val="0"/>
              </w:rPr>
              <w:t>To read as follows:</w:t>
            </w:r>
          </w:p>
          <w:p w:rsidR="003870AE" w:rsidRDefault="003870AE" w:rsidP="003870AE">
            <w:pPr>
              <w:rPr>
                <w:snapToGrid w:val="0"/>
              </w:rPr>
            </w:pPr>
          </w:p>
          <w:p w:rsidR="003870AE" w:rsidRPr="00482F75" w:rsidRDefault="003870AE" w:rsidP="003870AE">
            <w:pPr>
              <w:rPr>
                <w:snapToGrid w:val="0"/>
              </w:rPr>
            </w:pPr>
            <w:r>
              <w:rPr>
                <w:snapToGrid w:val="0"/>
              </w:rPr>
              <w:t>“</w:t>
            </w:r>
            <w:r w:rsidRPr="00CD6EF1">
              <w:rPr>
                <w:snapToGrid w:val="0"/>
              </w:rPr>
              <w:t>29.</w:t>
            </w:r>
            <w:r w:rsidRPr="00CD6EF1">
              <w:rPr>
                <w:snapToGrid w:val="0"/>
              </w:rPr>
              <w:tab/>
              <w:t>Both predominant derivation (e.g. evidence of genetic conformity with the initial variety) and conformity on the essential characteristics (e.g. evidence on conformity in the expression of the essential characteristics of the initial variety) are possible starting points in providing an indication that a variety might be essentially derived from the initial variety.</w:t>
            </w:r>
            <w:r>
              <w:rPr>
                <w:snapToGrid w:val="0"/>
              </w:rPr>
              <w:t>”</w:t>
            </w:r>
          </w:p>
        </w:tc>
      </w:tr>
      <w:tr w:rsidR="003870AE" w:rsidRPr="00482F75" w:rsidTr="000F251F">
        <w:trPr>
          <w:cantSplit/>
        </w:trPr>
        <w:tc>
          <w:tcPr>
            <w:tcW w:w="1447" w:type="dxa"/>
          </w:tcPr>
          <w:p w:rsidR="003870AE" w:rsidRDefault="003870AE" w:rsidP="003870AE">
            <w:pPr>
              <w:jc w:val="left"/>
            </w:pPr>
            <w:r>
              <w:t xml:space="preserve">Paragraph 30 </w:t>
            </w:r>
          </w:p>
        </w:tc>
        <w:tc>
          <w:tcPr>
            <w:tcW w:w="7789" w:type="dxa"/>
          </w:tcPr>
          <w:p w:rsidR="003870AE" w:rsidRDefault="003870AE" w:rsidP="003870AE">
            <w:pPr>
              <w:rPr>
                <w:snapToGrid w:val="0"/>
              </w:rPr>
            </w:pPr>
            <w:r>
              <w:rPr>
                <w:snapToGrid w:val="0"/>
              </w:rPr>
              <w:t>To read as follows:</w:t>
            </w:r>
          </w:p>
          <w:p w:rsidR="003870AE" w:rsidRDefault="003870AE" w:rsidP="003870AE">
            <w:pPr>
              <w:rPr>
                <w:snapToGrid w:val="0"/>
              </w:rPr>
            </w:pPr>
          </w:p>
          <w:p w:rsidR="003870AE" w:rsidRPr="00482F75" w:rsidRDefault="003870AE" w:rsidP="003870AE">
            <w:pPr>
              <w:rPr>
                <w:snapToGrid w:val="0"/>
              </w:rPr>
            </w:pPr>
            <w:r>
              <w:rPr>
                <w:snapToGrid w:val="0"/>
              </w:rPr>
              <w:t>“</w:t>
            </w:r>
            <w:r w:rsidRPr="00CD6EF1">
              <w:rPr>
                <w:snapToGrid w:val="0"/>
              </w:rPr>
              <w:t>30.</w:t>
            </w:r>
            <w:r w:rsidRPr="00CD6EF1">
              <w:rPr>
                <w:snapToGrid w:val="0"/>
              </w:rPr>
              <w:tab/>
              <w:t xml:space="preserve">In some situations, relevant information provided by the breeder of the initial variety on predominant derivation and/or on conformity on the essential characteristics might be used as the basis for the reversal of the burden of </w:t>
            </w:r>
            <w:r>
              <w:rPr>
                <w:snapToGrid w:val="0"/>
              </w:rPr>
              <w:t>proof.  In such situations</w:t>
            </w:r>
            <w:r w:rsidRPr="00CD6EF1">
              <w:rPr>
                <w:snapToGrid w:val="0"/>
              </w:rPr>
              <w:t>, the other breeder might need to prove that the other variety is not essentially derived from the initial variety.  For instance, the other breeder would need to provide information on the breeding history of the second variety to prove that the variety was not derived from the initial variety.</w:t>
            </w:r>
            <w:r>
              <w:rPr>
                <w:snapToGrid w:val="0"/>
              </w:rPr>
              <w:t>”</w:t>
            </w:r>
          </w:p>
        </w:tc>
      </w:tr>
      <w:tr w:rsidR="003870AE" w:rsidRPr="00482F75" w:rsidTr="000F251F">
        <w:trPr>
          <w:cantSplit/>
        </w:trPr>
        <w:tc>
          <w:tcPr>
            <w:tcW w:w="1447" w:type="dxa"/>
          </w:tcPr>
          <w:p w:rsidR="003870AE" w:rsidRDefault="003870AE" w:rsidP="003870AE">
            <w:pPr>
              <w:jc w:val="left"/>
            </w:pPr>
            <w:r>
              <w:t>Section II</w:t>
            </w:r>
          </w:p>
        </w:tc>
        <w:tc>
          <w:tcPr>
            <w:tcW w:w="7789" w:type="dxa"/>
          </w:tcPr>
          <w:p w:rsidR="003870AE" w:rsidRDefault="003870AE" w:rsidP="003870AE">
            <w:pPr>
              <w:rPr>
                <w:snapToGrid w:val="0"/>
              </w:rPr>
            </w:pPr>
            <w:r>
              <w:rPr>
                <w:snapToGrid w:val="0"/>
              </w:rPr>
              <w:t>To clarify the purpose of Section II in the relevant parts of t</w:t>
            </w:r>
            <w:r w:rsidR="007469A7">
              <w:rPr>
                <w:snapToGrid w:val="0"/>
              </w:rPr>
              <w:t xml:space="preserve">he document and, in </w:t>
            </w:r>
            <w:proofErr w:type="gramStart"/>
            <w:r w:rsidR="007469A7">
              <w:rPr>
                <w:snapToGrid w:val="0"/>
              </w:rPr>
              <w:t>particular,</w:t>
            </w:r>
            <w:r w:rsidR="00245BF2">
              <w:rPr>
                <w:snapToGrid w:val="0"/>
              </w:rPr>
              <w:t xml:space="preserve"> </w:t>
            </w:r>
            <w:r>
              <w:rPr>
                <w:snapToGrid w:val="0"/>
              </w:rPr>
              <w:t>that</w:t>
            </w:r>
            <w:proofErr w:type="gramEnd"/>
            <w:r>
              <w:rPr>
                <w:snapToGrid w:val="0"/>
              </w:rPr>
              <w:t xml:space="preserve"> it relates to assessment of whether a variety is an EDV and not whether it is protectable.</w:t>
            </w:r>
          </w:p>
        </w:tc>
      </w:tr>
      <w:tr w:rsidR="003870AE" w:rsidRPr="00482F75" w:rsidTr="000F251F">
        <w:trPr>
          <w:cantSplit/>
        </w:trPr>
        <w:tc>
          <w:tcPr>
            <w:tcW w:w="1447" w:type="dxa"/>
          </w:tcPr>
          <w:p w:rsidR="003870AE" w:rsidRDefault="003870AE" w:rsidP="003870AE">
            <w:pPr>
              <w:jc w:val="left"/>
            </w:pPr>
            <w:r>
              <w:t xml:space="preserve">New proposal </w:t>
            </w:r>
          </w:p>
        </w:tc>
        <w:tc>
          <w:tcPr>
            <w:tcW w:w="7789" w:type="dxa"/>
          </w:tcPr>
          <w:p w:rsidR="003870AE" w:rsidRPr="00482F75" w:rsidRDefault="003870AE" w:rsidP="003870AE">
            <w:pPr>
              <w:rPr>
                <w:snapToGrid w:val="0"/>
              </w:rPr>
            </w:pPr>
            <w:r>
              <w:rPr>
                <w:snapToGrid w:val="0"/>
              </w:rPr>
              <w:t>To develop guidance in the next draft to clarify the situation if the initial variety, or the EDV, is not protected or is protected in another territory.</w:t>
            </w:r>
          </w:p>
        </w:tc>
      </w:tr>
    </w:tbl>
    <w:p w:rsidR="003870AE" w:rsidRDefault="003870AE" w:rsidP="003870AE"/>
    <w:p w:rsidR="007469A7" w:rsidRDefault="007469A7" w:rsidP="003870AE"/>
    <w:p w:rsidR="00084870" w:rsidRDefault="00084870" w:rsidP="003870AE">
      <w:r>
        <w:fldChar w:fldCharType="begin"/>
      </w:r>
      <w:r>
        <w:instrText xml:space="preserve"> AUTONUM  </w:instrText>
      </w:r>
      <w:r>
        <w:fldChar w:fldCharType="end"/>
      </w:r>
      <w:r>
        <w:tab/>
        <w:t xml:space="preserve">Document </w:t>
      </w:r>
      <w:r w:rsidR="008973BD" w:rsidRPr="008973BD">
        <w:t>UPOV/EXN/EDV/2 Draft 6</w:t>
      </w:r>
      <w:r w:rsidR="008973BD">
        <w:t xml:space="preserve"> </w:t>
      </w:r>
      <w:r>
        <w:t>has been prepared in accordance with the amendments agreed by the CAJ-AG at its ninth session</w:t>
      </w:r>
      <w:r w:rsidR="000F7EA6">
        <w:t>.</w:t>
      </w:r>
    </w:p>
    <w:p w:rsidR="00084870" w:rsidRDefault="00084870" w:rsidP="003870AE"/>
    <w:p w:rsidR="003870AE" w:rsidRPr="004D271E" w:rsidRDefault="003870AE" w:rsidP="00245BF2">
      <w:pPr>
        <w:tabs>
          <w:tab w:val="left" w:pos="5387"/>
        </w:tabs>
        <w:ind w:left="4820"/>
        <w:rPr>
          <w:i/>
          <w:snapToGrid w:val="0"/>
        </w:rPr>
      </w:pPr>
      <w:r w:rsidRPr="004D271E">
        <w:rPr>
          <w:i/>
          <w:snapToGrid w:val="0"/>
        </w:rPr>
        <w:fldChar w:fldCharType="begin"/>
      </w:r>
      <w:r w:rsidRPr="004D271E">
        <w:rPr>
          <w:i/>
          <w:snapToGrid w:val="0"/>
        </w:rPr>
        <w:instrText xml:space="preserve"> AUTONUM  </w:instrText>
      </w:r>
      <w:r w:rsidRPr="004D271E">
        <w:rPr>
          <w:i/>
          <w:snapToGrid w:val="0"/>
        </w:rPr>
        <w:fldChar w:fldCharType="end"/>
      </w:r>
      <w:r w:rsidRPr="004D271E">
        <w:rPr>
          <w:i/>
          <w:snapToGrid w:val="0"/>
        </w:rPr>
        <w:tab/>
        <w:t>The CAJ is invited to:</w:t>
      </w:r>
    </w:p>
    <w:p w:rsidR="003870AE" w:rsidRPr="004D271E" w:rsidRDefault="003870AE" w:rsidP="003870AE">
      <w:pPr>
        <w:tabs>
          <w:tab w:val="left" w:pos="5387"/>
          <w:tab w:val="left" w:pos="5954"/>
        </w:tabs>
        <w:ind w:left="4820"/>
        <w:rPr>
          <w:i/>
          <w:snapToGrid w:val="0"/>
          <w:sz w:val="16"/>
          <w:szCs w:val="16"/>
        </w:rPr>
      </w:pPr>
    </w:p>
    <w:p w:rsidR="00245BF2" w:rsidRPr="004D271E" w:rsidRDefault="00245BF2" w:rsidP="004D271E">
      <w:pPr>
        <w:pStyle w:val="DecisionParagraphs"/>
        <w:tabs>
          <w:tab w:val="left" w:pos="5954"/>
        </w:tabs>
        <w:rPr>
          <w:snapToGrid w:val="0"/>
        </w:rPr>
      </w:pPr>
      <w:r w:rsidRPr="004D271E">
        <w:rPr>
          <w:snapToGrid w:val="0"/>
        </w:rPr>
        <w:tab/>
        <w:t>(a</w:t>
      </w:r>
      <w:r w:rsidR="003870AE" w:rsidRPr="004D271E">
        <w:rPr>
          <w:snapToGrid w:val="0"/>
        </w:rPr>
        <w:t>)</w:t>
      </w:r>
      <w:r w:rsidR="003870AE" w:rsidRPr="004D271E">
        <w:rPr>
          <w:snapToGrid w:val="0"/>
        </w:rPr>
        <w:tab/>
      </w:r>
      <w:proofErr w:type="gramStart"/>
      <w:r w:rsidR="000F7EA6">
        <w:rPr>
          <w:snapToGrid w:val="0"/>
        </w:rPr>
        <w:t>note</w:t>
      </w:r>
      <w:proofErr w:type="gramEnd"/>
      <w:r w:rsidR="000F7EA6">
        <w:rPr>
          <w:snapToGrid w:val="0"/>
        </w:rPr>
        <w:t xml:space="preserve"> </w:t>
      </w:r>
      <w:r w:rsidR="00473BA7">
        <w:rPr>
          <w:snapToGrid w:val="0"/>
        </w:rPr>
        <w:t>that</w:t>
      </w:r>
      <w:r w:rsidRPr="004D271E">
        <w:rPr>
          <w:snapToGrid w:val="0"/>
        </w:rPr>
        <w:t xml:space="preserve"> </w:t>
      </w:r>
      <w:r w:rsidRPr="004D271E">
        <w:t xml:space="preserve">the European Union </w:t>
      </w:r>
      <w:r w:rsidR="00473BA7">
        <w:t xml:space="preserve">has the </w:t>
      </w:r>
      <w:r w:rsidR="00146A37">
        <w:t xml:space="preserve">intention to make </w:t>
      </w:r>
      <w:r w:rsidR="000F7EA6">
        <w:t xml:space="preserve">a presentation </w:t>
      </w:r>
      <w:r w:rsidRPr="004D271E">
        <w:rPr>
          <w:snapToGrid w:val="0"/>
        </w:rPr>
        <w:t xml:space="preserve">on </w:t>
      </w:r>
      <w:r w:rsidRPr="004D271E">
        <w:t>its system concerning essentially derived varieties</w:t>
      </w:r>
      <w:r w:rsidRPr="004D271E">
        <w:rPr>
          <w:snapToGrid w:val="0"/>
        </w:rPr>
        <w:t xml:space="preserve">, </w:t>
      </w:r>
      <w:r w:rsidRPr="004D271E">
        <w:t>at the seventy</w:t>
      </w:r>
      <w:r w:rsidRPr="004D271E">
        <w:noBreakHyphen/>
        <w:t>second session of the CAJ</w:t>
      </w:r>
      <w:r w:rsidR="00473BA7">
        <w:rPr>
          <w:snapToGrid w:val="0"/>
        </w:rPr>
        <w:t>;</w:t>
      </w:r>
    </w:p>
    <w:p w:rsidR="003870AE" w:rsidRPr="004D271E" w:rsidRDefault="003870AE" w:rsidP="003870AE">
      <w:pPr>
        <w:tabs>
          <w:tab w:val="left" w:pos="5387"/>
          <w:tab w:val="left" w:pos="5954"/>
        </w:tabs>
        <w:ind w:left="4820"/>
        <w:rPr>
          <w:i/>
          <w:snapToGrid w:val="0"/>
        </w:rPr>
      </w:pPr>
    </w:p>
    <w:p w:rsidR="003870AE" w:rsidRPr="004D271E" w:rsidRDefault="003870AE" w:rsidP="00146A37">
      <w:pPr>
        <w:tabs>
          <w:tab w:val="left" w:pos="5387"/>
          <w:tab w:val="left" w:pos="5954"/>
        </w:tabs>
        <w:ind w:left="4820"/>
        <w:rPr>
          <w:i/>
        </w:rPr>
      </w:pPr>
      <w:r w:rsidRPr="004D271E">
        <w:rPr>
          <w:i/>
        </w:rPr>
        <w:tab/>
        <w:t>(</w:t>
      </w:r>
      <w:r w:rsidR="008504F4" w:rsidRPr="004D271E">
        <w:rPr>
          <w:i/>
        </w:rPr>
        <w:t>b</w:t>
      </w:r>
      <w:r w:rsidRPr="004D271E">
        <w:rPr>
          <w:i/>
        </w:rPr>
        <w:t>)</w:t>
      </w:r>
      <w:r w:rsidRPr="004D271E">
        <w:rPr>
          <w:i/>
        </w:rPr>
        <w:tab/>
      </w:r>
      <w:r w:rsidR="008C20F1" w:rsidRPr="004D271E">
        <w:rPr>
          <w:i/>
        </w:rPr>
        <w:t>consider the proposal for the Office of the Union to organize a meeting to exchange information with the International Community of Breeders of Asexually Reproduced Ornamental and Fruit Varieties (CIOPORA), the International Seed Federation (ISF) and the World Intellectual Property Organization (WIPO) in order to explore the possible role of UPOV in alternative dispute settlement mechanisms for matters concerning essentially derived varieties, including the prov</w:t>
      </w:r>
      <w:r w:rsidR="00146A37">
        <w:rPr>
          <w:i/>
        </w:rPr>
        <w:t>ision of experts on EDV matters</w:t>
      </w:r>
      <w:r w:rsidRPr="004D271E">
        <w:rPr>
          <w:i/>
        </w:rPr>
        <w:t>; and</w:t>
      </w:r>
    </w:p>
    <w:p w:rsidR="003870AE" w:rsidRPr="004D271E" w:rsidRDefault="003870AE" w:rsidP="003870AE">
      <w:pPr>
        <w:tabs>
          <w:tab w:val="left" w:pos="5387"/>
          <w:tab w:val="left" w:pos="5954"/>
        </w:tabs>
        <w:ind w:left="4820"/>
        <w:rPr>
          <w:i/>
        </w:rPr>
      </w:pPr>
    </w:p>
    <w:p w:rsidR="003870AE" w:rsidRPr="008668E7" w:rsidRDefault="003870AE" w:rsidP="003870AE">
      <w:pPr>
        <w:tabs>
          <w:tab w:val="left" w:pos="5387"/>
          <w:tab w:val="left" w:pos="5954"/>
        </w:tabs>
        <w:ind w:left="4820"/>
        <w:rPr>
          <w:i/>
        </w:rPr>
      </w:pPr>
      <w:r w:rsidRPr="004D271E">
        <w:rPr>
          <w:i/>
        </w:rPr>
        <w:lastRenderedPageBreak/>
        <w:tab/>
        <w:t>(</w:t>
      </w:r>
      <w:r w:rsidR="008504F4" w:rsidRPr="004D271E">
        <w:rPr>
          <w:i/>
        </w:rPr>
        <w:t>c</w:t>
      </w:r>
      <w:r w:rsidRPr="004D271E">
        <w:rPr>
          <w:i/>
        </w:rPr>
        <w:t>)</w:t>
      </w:r>
      <w:r w:rsidRPr="004D271E">
        <w:rPr>
          <w:i/>
        </w:rPr>
        <w:tab/>
        <w:t>consider a new draft of the “Explanatory Notes on Essentially Derived Varieties under the 1991 Act of the UPOV Convention” (Revision) (document UPOV/EXN/EDV</w:t>
      </w:r>
      <w:r>
        <w:rPr>
          <w:i/>
        </w:rPr>
        <w:t>/2 Draft 6)</w:t>
      </w:r>
      <w:r w:rsidRPr="00653C88">
        <w:rPr>
          <w:i/>
        </w:rPr>
        <w:t>,</w:t>
      </w:r>
      <w:r w:rsidR="00473BA7">
        <w:rPr>
          <w:i/>
        </w:rPr>
        <w:t xml:space="preserve"> as set out in paragraph</w:t>
      </w:r>
      <w:r w:rsidRPr="00653C88">
        <w:rPr>
          <w:i/>
        </w:rPr>
        <w:t xml:space="preserve"> </w:t>
      </w:r>
      <w:r w:rsidR="00473BA7" w:rsidRPr="00975253">
        <w:rPr>
          <w:i/>
        </w:rPr>
        <w:t>1</w:t>
      </w:r>
      <w:r w:rsidR="000F7EA6" w:rsidRPr="00975253">
        <w:rPr>
          <w:i/>
        </w:rPr>
        <w:t>3</w:t>
      </w:r>
      <w:r w:rsidRPr="00975253">
        <w:rPr>
          <w:i/>
        </w:rPr>
        <w:t>.</w:t>
      </w:r>
    </w:p>
    <w:p w:rsidR="003870AE" w:rsidRDefault="003870AE" w:rsidP="003870AE"/>
    <w:p w:rsidR="00CD4CD3" w:rsidRDefault="00CD4CD3" w:rsidP="003870AE"/>
    <w:p w:rsidR="00953DEE" w:rsidRPr="001E2C16" w:rsidRDefault="00953DEE" w:rsidP="00CD4CD3">
      <w:pPr>
        <w:pStyle w:val="Heading2"/>
        <w:ind w:left="567" w:hanging="567"/>
      </w:pPr>
      <w:bookmarkStart w:id="9" w:name="_Toc430356924"/>
      <w:r w:rsidRPr="00953DEE">
        <w:t>Explanatory Notes on Variety Denominations under the UPOV Convention (Revision)</w:t>
      </w:r>
      <w:bookmarkEnd w:id="9"/>
      <w:r w:rsidRPr="001E2C16">
        <w:t xml:space="preserve"> </w:t>
      </w:r>
    </w:p>
    <w:p w:rsidR="00953DEE" w:rsidRPr="00AC5727" w:rsidRDefault="00953DEE" w:rsidP="00953DEE">
      <w:pPr>
        <w:keepNext/>
        <w:rPr>
          <w:highlight w:val="yellow"/>
        </w:rPr>
      </w:pPr>
    </w:p>
    <w:p w:rsidR="00953DEE" w:rsidRPr="00397968" w:rsidRDefault="00953DEE" w:rsidP="00953DEE">
      <w:r w:rsidRPr="00397968">
        <w:fldChar w:fldCharType="begin"/>
      </w:r>
      <w:r w:rsidRPr="00397968">
        <w:instrText xml:space="preserve"> AUTONUM  </w:instrText>
      </w:r>
      <w:r w:rsidRPr="00397968">
        <w:fldChar w:fldCharType="end"/>
      </w:r>
      <w:r w:rsidRPr="00397968">
        <w:tab/>
        <w:t>The CAJ is invited to note that a report on the work concerning the possible development of a UPOV similarity search tool for variety denomination purposes and proposals concerning a possible revision of document UPOV/INF/12 “Explanatory Notes on Variety Denominations under the UPOV Convention” are provided in document CAJ/72/3 “Variety denominations”.</w:t>
      </w:r>
    </w:p>
    <w:p w:rsidR="003870AE" w:rsidRPr="00184EDD" w:rsidRDefault="003870AE" w:rsidP="003870AE"/>
    <w:p w:rsidR="00397968" w:rsidRDefault="00397968" w:rsidP="00397968">
      <w:pPr>
        <w:pStyle w:val="DecisionParagraphs"/>
      </w:pPr>
      <w:r w:rsidRPr="0050638A">
        <w:fldChar w:fldCharType="begin"/>
      </w:r>
      <w:r w:rsidRPr="0050638A">
        <w:instrText xml:space="preserve"> AUTONUM  </w:instrText>
      </w:r>
      <w:r w:rsidRPr="0050638A">
        <w:fldChar w:fldCharType="end"/>
      </w:r>
      <w:r w:rsidRPr="0050638A">
        <w:tab/>
        <w:t>The CAJ is invited to</w:t>
      </w:r>
      <w:r w:rsidRPr="00131904">
        <w:t xml:space="preserve"> </w:t>
      </w:r>
      <w:r>
        <w:t xml:space="preserve">note that a </w:t>
      </w:r>
      <w:r w:rsidRPr="00131904">
        <w:t xml:space="preserve">report on work concerning the possible development of a UPOV similarity search tool for variety denomination purposes and </w:t>
      </w:r>
      <w:r>
        <w:t>proposals concerning a</w:t>
      </w:r>
      <w:r w:rsidRPr="00131904">
        <w:t xml:space="preserve"> possible revision of document UPOV/INF/12 “Explanatory Notes on Variety Denominations under the UPOV Convention” </w:t>
      </w:r>
      <w:r>
        <w:t>are provided in document CAJ/72</w:t>
      </w:r>
      <w:r w:rsidRPr="00131904">
        <w:t>/3 “Variety denominations</w:t>
      </w:r>
      <w:r>
        <w:t>”.</w:t>
      </w:r>
    </w:p>
    <w:p w:rsidR="00953DEE" w:rsidRDefault="00953DEE" w:rsidP="00CD4CD3">
      <w:pPr>
        <w:pStyle w:val="Heading2"/>
        <w:keepNext w:val="0"/>
      </w:pPr>
    </w:p>
    <w:p w:rsidR="00953DEE" w:rsidRDefault="00953DEE" w:rsidP="00CD4CD3">
      <w:pPr>
        <w:pStyle w:val="Heading2"/>
        <w:keepNext w:val="0"/>
      </w:pPr>
    </w:p>
    <w:p w:rsidR="003870AE" w:rsidRPr="00EF49D4" w:rsidRDefault="003870AE" w:rsidP="000F7EA6">
      <w:pPr>
        <w:pStyle w:val="Heading2"/>
      </w:pPr>
      <w:bookmarkStart w:id="10" w:name="_Toc430356925"/>
      <w:r w:rsidRPr="00EF49D4">
        <w:t xml:space="preserve">Explanatory Notes on Propagating Material under the UPOV Convention </w:t>
      </w:r>
      <w:r w:rsidR="00953DEE" w:rsidRPr="00EF49D4">
        <w:t>(document UPOV/EXN/PPM/1 Draft 5</w:t>
      </w:r>
      <w:r w:rsidRPr="00EF49D4">
        <w:t>)</w:t>
      </w:r>
      <w:bookmarkEnd w:id="10"/>
    </w:p>
    <w:p w:rsidR="003870AE" w:rsidRDefault="003870AE" w:rsidP="003870AE"/>
    <w:p w:rsidR="008C20F1" w:rsidRPr="00953DEE" w:rsidRDefault="008C20F1" w:rsidP="008C20F1">
      <w:pPr>
        <w:rPr>
          <w:highlight w:val="lightGray"/>
        </w:rPr>
      </w:pPr>
      <w:r w:rsidRPr="008C20F1">
        <w:fldChar w:fldCharType="begin"/>
      </w:r>
      <w:r w:rsidRPr="008C20F1">
        <w:instrText xml:space="preserve"> AUTONUM  </w:instrText>
      </w:r>
      <w:r w:rsidRPr="008C20F1">
        <w:fldChar w:fldCharType="end"/>
      </w:r>
      <w:r w:rsidRPr="008C20F1">
        <w:tab/>
        <w:t>The CAJ</w:t>
      </w:r>
      <w:r>
        <w:t xml:space="preserve">, </w:t>
      </w:r>
      <w:r w:rsidRPr="00FD02B1">
        <w:t>at its seventy-first session,</w:t>
      </w:r>
      <w:r w:rsidRPr="008C20F1">
        <w:t xml:space="preserve"> agreed to consider a new draft of the “Explanatory Notes on Propagating Material under the 1991 Act of the UPOV Conven</w:t>
      </w:r>
      <w:r w:rsidR="00953DEE">
        <w:t>tion” (document UPOV/EXN/PPM/1 </w:t>
      </w:r>
      <w:r w:rsidRPr="008C20F1">
        <w:t>Draft 5) at its seventy</w:t>
      </w:r>
      <w:r w:rsidRPr="008C20F1">
        <w:noBreakHyphen/>
        <w:t xml:space="preserve">second session, </w:t>
      </w:r>
      <w:r w:rsidR="000F7EA6">
        <w:t>on the basis of the following amendm</w:t>
      </w:r>
      <w:r w:rsidR="0040489E">
        <w:t>ents to document UPOV/EXN/PPM/1 </w:t>
      </w:r>
      <w:r w:rsidR="000F7EA6">
        <w:t>Draft 4</w:t>
      </w:r>
      <w:r w:rsidR="001B333C" w:rsidRPr="001B333C">
        <w:rPr>
          <w:rStyle w:val="FootnoteReference"/>
        </w:rPr>
        <w:t xml:space="preserve"> </w:t>
      </w:r>
      <w:r w:rsidR="001B333C">
        <w:rPr>
          <w:rStyle w:val="FootnoteReference"/>
        </w:rPr>
        <w:footnoteReference w:id="15"/>
      </w:r>
    </w:p>
    <w:p w:rsidR="008C20F1" w:rsidRPr="008C20F1" w:rsidRDefault="008C20F1" w:rsidP="008C20F1"/>
    <w:p w:rsidR="008C20F1" w:rsidRPr="008C20F1" w:rsidRDefault="008C20F1" w:rsidP="008C20F1">
      <w:pPr>
        <w:ind w:left="567"/>
      </w:pPr>
      <w:r w:rsidRPr="008C20F1">
        <w:t>(</w:t>
      </w:r>
      <w:proofErr w:type="spellStart"/>
      <w:r w:rsidR="000F7EA6">
        <w:t>i</w:t>
      </w:r>
      <w:proofErr w:type="spellEnd"/>
      <w:r w:rsidRPr="008C20F1">
        <w:t>)</w:t>
      </w:r>
      <w:r w:rsidRPr="008C20F1">
        <w:tab/>
      </w:r>
      <w:proofErr w:type="gramStart"/>
      <w:r w:rsidRPr="008C20F1">
        <w:t>to</w:t>
      </w:r>
      <w:proofErr w:type="gramEnd"/>
      <w:r w:rsidRPr="008C20F1">
        <w:t xml:space="preserve"> change the title of the document and the preamble to refer to the UPOV Convention;</w:t>
      </w:r>
    </w:p>
    <w:p w:rsidR="008C20F1" w:rsidRPr="008C20F1" w:rsidRDefault="008C20F1" w:rsidP="008C20F1">
      <w:pPr>
        <w:ind w:left="567"/>
      </w:pPr>
    </w:p>
    <w:p w:rsidR="008C20F1" w:rsidRPr="008C20F1" w:rsidRDefault="008C20F1" w:rsidP="008C20F1">
      <w:pPr>
        <w:ind w:left="567"/>
      </w:pPr>
      <w:r w:rsidRPr="008C20F1">
        <w:t>(</w:t>
      </w:r>
      <w:r w:rsidR="003915CD">
        <w:t>ii</w:t>
      </w:r>
      <w:r w:rsidR="000F7EA6">
        <w:t>)</w:t>
      </w:r>
      <w:r w:rsidRPr="008C20F1">
        <w:tab/>
      </w:r>
      <w:proofErr w:type="gramStart"/>
      <w:r w:rsidRPr="008C20F1">
        <w:t>to</w:t>
      </w:r>
      <w:proofErr w:type="gramEnd"/>
      <w:r w:rsidRPr="008C20F1">
        <w:t xml:space="preserve"> update Section (a) to include relevant articles of the 1978 Act;</w:t>
      </w:r>
    </w:p>
    <w:p w:rsidR="008C20F1" w:rsidRPr="008C20F1" w:rsidRDefault="008C20F1" w:rsidP="008C20F1">
      <w:pPr>
        <w:ind w:left="567"/>
      </w:pPr>
    </w:p>
    <w:p w:rsidR="008C20F1" w:rsidRPr="008C20F1" w:rsidRDefault="000F7EA6" w:rsidP="008C20F1">
      <w:pPr>
        <w:ind w:left="567"/>
      </w:pPr>
      <w:r>
        <w:t>(iii)</w:t>
      </w:r>
      <w:r w:rsidR="008C20F1" w:rsidRPr="008C20F1">
        <w:tab/>
      </w:r>
      <w:proofErr w:type="gramStart"/>
      <w:r w:rsidR="008C20F1" w:rsidRPr="008C20F1">
        <w:t>to</w:t>
      </w:r>
      <w:proofErr w:type="gramEnd"/>
      <w:r w:rsidR="008C20F1" w:rsidRPr="008C20F1">
        <w:t xml:space="preserve"> delete paragraphs 2 and 3;  and</w:t>
      </w:r>
    </w:p>
    <w:p w:rsidR="008C20F1" w:rsidRPr="008C20F1" w:rsidRDefault="008C20F1" w:rsidP="008C20F1">
      <w:pPr>
        <w:ind w:left="567"/>
      </w:pPr>
    </w:p>
    <w:p w:rsidR="008C20F1" w:rsidRPr="008C20F1" w:rsidRDefault="000F7EA6" w:rsidP="008C20F1">
      <w:pPr>
        <w:ind w:left="567"/>
      </w:pPr>
      <w:r>
        <w:t>(iv</w:t>
      </w:r>
      <w:r w:rsidR="008C20F1" w:rsidRPr="008C20F1">
        <w:t>)</w:t>
      </w:r>
      <w:r w:rsidR="008C20F1" w:rsidRPr="008C20F1">
        <w:tab/>
      </w:r>
      <w:proofErr w:type="gramStart"/>
      <w:r w:rsidR="008C20F1" w:rsidRPr="008C20F1">
        <w:t>to</w:t>
      </w:r>
      <w:proofErr w:type="gramEnd"/>
      <w:r w:rsidR="008C20F1" w:rsidRPr="008C20F1">
        <w:t xml:space="preserve"> replace the word “decide” with “determine” in paragraph 4.</w:t>
      </w:r>
    </w:p>
    <w:p w:rsidR="00397968" w:rsidRPr="008C20F1" w:rsidRDefault="00397968" w:rsidP="003B4009"/>
    <w:p w:rsidR="008C20F1" w:rsidRPr="00866CDE" w:rsidRDefault="0040489E" w:rsidP="00866CDE">
      <w:pPr>
        <w:tabs>
          <w:tab w:val="left" w:pos="5387"/>
        </w:tabs>
        <w:ind w:left="4820"/>
        <w:rPr>
          <w:i/>
        </w:rPr>
      </w:pPr>
      <w:r w:rsidRPr="008973BD">
        <w:rPr>
          <w:i/>
        </w:rPr>
        <w:t>18.</w:t>
      </w:r>
      <w:r w:rsidR="003870AE" w:rsidRPr="008973BD">
        <w:rPr>
          <w:i/>
        </w:rPr>
        <w:tab/>
        <w:t>The CAJ is invited to consider</w:t>
      </w:r>
      <w:r w:rsidR="003870AE" w:rsidRPr="008973BD">
        <w:rPr>
          <w:i/>
          <w:lang w:eastAsia="zh-CN"/>
        </w:rPr>
        <w:t xml:space="preserve"> </w:t>
      </w:r>
      <w:r w:rsidR="008973BD" w:rsidRPr="008973BD">
        <w:rPr>
          <w:i/>
          <w:lang w:eastAsia="zh-CN"/>
        </w:rPr>
        <w:t>document</w:t>
      </w:r>
      <w:r w:rsidR="00866CDE" w:rsidRPr="008973BD">
        <w:rPr>
          <w:i/>
        </w:rPr>
        <w:t> UPOV/EXN/PPM/1 Draft 5</w:t>
      </w:r>
      <w:r w:rsidR="008973BD" w:rsidRPr="008973BD">
        <w:rPr>
          <w:i/>
        </w:rPr>
        <w:t xml:space="preserve">, “Explanatory Notes on Propagating Material under the UPOV Convention”, </w:t>
      </w:r>
      <w:r w:rsidR="008C20F1" w:rsidRPr="008973BD">
        <w:rPr>
          <w:i/>
        </w:rPr>
        <w:t xml:space="preserve">as set out in paragraph </w:t>
      </w:r>
      <w:r w:rsidR="00146A37" w:rsidRPr="008973BD">
        <w:rPr>
          <w:i/>
        </w:rPr>
        <w:t>1</w:t>
      </w:r>
      <w:r w:rsidR="003915CD" w:rsidRPr="008973BD">
        <w:rPr>
          <w:i/>
        </w:rPr>
        <w:t>7</w:t>
      </w:r>
      <w:r w:rsidR="008C20F1" w:rsidRPr="008973BD">
        <w:rPr>
          <w:i/>
        </w:rPr>
        <w:t>.</w:t>
      </w:r>
    </w:p>
    <w:p w:rsidR="00CD4CD3" w:rsidRDefault="00CD4CD3" w:rsidP="001B333C">
      <w:pPr>
        <w:rPr>
          <w:i/>
          <w:lang w:eastAsia="zh-CN"/>
        </w:rPr>
      </w:pPr>
    </w:p>
    <w:p w:rsidR="00D01738" w:rsidRPr="00866CDE" w:rsidRDefault="00D01738" w:rsidP="001B333C">
      <w:pPr>
        <w:rPr>
          <w:i/>
          <w:lang w:eastAsia="zh-CN"/>
        </w:rPr>
      </w:pPr>
    </w:p>
    <w:p w:rsidR="003870AE" w:rsidRPr="00866CDE" w:rsidRDefault="003870AE" w:rsidP="003870AE">
      <w:pPr>
        <w:rPr>
          <w:i/>
        </w:rPr>
      </w:pPr>
    </w:p>
    <w:p w:rsidR="003870AE" w:rsidRPr="008B2004" w:rsidRDefault="003870AE" w:rsidP="00EF49D4">
      <w:pPr>
        <w:pStyle w:val="Heading1"/>
        <w:rPr>
          <w:rFonts w:cs="Arial"/>
        </w:rPr>
      </w:pPr>
      <w:bookmarkStart w:id="11" w:name="_Toc430356926"/>
      <w:r>
        <w:t>T</w:t>
      </w:r>
      <w:r w:rsidRPr="00BC54C4">
        <w:t xml:space="preserve">ENTATIVE PROGRAM FOR THE </w:t>
      </w:r>
      <w:r>
        <w:t>DEVELOPMENT OF INFORMATION MATERIALS</w:t>
      </w:r>
      <w:bookmarkEnd w:id="11"/>
      <w:r>
        <w:t xml:space="preserve"> </w:t>
      </w:r>
    </w:p>
    <w:p w:rsidR="00397968" w:rsidRDefault="00397968" w:rsidP="00397968"/>
    <w:p w:rsidR="00866CDE" w:rsidRDefault="00866CDE" w:rsidP="00993C16">
      <w:pPr>
        <w:pStyle w:val="Heading2"/>
      </w:pPr>
      <w:bookmarkStart w:id="12" w:name="_Toc430356927"/>
      <w:r w:rsidRPr="00866CDE">
        <w:t>Explanatory Notes on Essentially Derived Varieties under the 1991 Act of the UPOV Convention (Revision)</w:t>
      </w:r>
      <w:bookmarkEnd w:id="12"/>
    </w:p>
    <w:p w:rsidR="00866CDE" w:rsidRDefault="00866CDE" w:rsidP="00993C16">
      <w:pPr>
        <w:pStyle w:val="Heading2"/>
      </w:pPr>
    </w:p>
    <w:p w:rsidR="00397968" w:rsidRPr="00716622" w:rsidRDefault="00397968" w:rsidP="0040489E">
      <w:r>
        <w:fldChar w:fldCharType="begin"/>
      </w:r>
      <w:r>
        <w:instrText xml:space="preserve"> AUTONUM  </w:instrText>
      </w:r>
      <w:r>
        <w:fldChar w:fldCharType="end"/>
      </w:r>
      <w:r>
        <w:tab/>
        <w:t xml:space="preserve">The CAJ is invited to consider </w:t>
      </w:r>
      <w:r w:rsidR="003915CD">
        <w:t>t</w:t>
      </w:r>
      <w:r w:rsidRPr="00716622">
        <w:t xml:space="preserve">he next steps of the development of the </w:t>
      </w:r>
      <w:r w:rsidR="008973BD">
        <w:t>“</w:t>
      </w:r>
      <w:r w:rsidR="008973BD" w:rsidRPr="008973BD">
        <w:t>Explanatory Notes on Essentially Derived Varieties under the 1991 Act of the UPOV Convention (Revision)</w:t>
      </w:r>
      <w:r w:rsidR="008973BD">
        <w:t>”</w:t>
      </w:r>
      <w:r w:rsidR="00716622">
        <w:t>,</w:t>
      </w:r>
      <w:r w:rsidRPr="00716622">
        <w:t xml:space="preserve"> </w:t>
      </w:r>
      <w:r w:rsidR="0040489E">
        <w:t xml:space="preserve">on the basis of the discussions at the </w:t>
      </w:r>
      <w:r w:rsidRPr="00716622">
        <w:t>se</w:t>
      </w:r>
      <w:r w:rsidR="00866CDE">
        <w:t>venty-second session of the CAJ.</w:t>
      </w:r>
    </w:p>
    <w:p w:rsidR="00397968" w:rsidRDefault="00397968" w:rsidP="00397968"/>
    <w:p w:rsidR="0070366F" w:rsidRPr="00716622" w:rsidRDefault="0070366F" w:rsidP="00397968"/>
    <w:p w:rsidR="00866CDE" w:rsidRPr="00866CDE" w:rsidRDefault="00866CDE" w:rsidP="00993C16">
      <w:pPr>
        <w:pStyle w:val="Heading2"/>
      </w:pPr>
      <w:bookmarkStart w:id="13" w:name="_Toc430356928"/>
      <w:r w:rsidRPr="00866CDE">
        <w:lastRenderedPageBreak/>
        <w:t xml:space="preserve">Explanatory Notes on Variety Denominations under </w:t>
      </w:r>
      <w:r w:rsidR="008973BD">
        <w:t>the UPOV Convention (Revision)</w:t>
      </w:r>
      <w:bookmarkEnd w:id="13"/>
    </w:p>
    <w:p w:rsidR="00866CDE" w:rsidRDefault="00866CDE" w:rsidP="00993C16">
      <w:pPr>
        <w:pStyle w:val="Heading2"/>
      </w:pPr>
      <w:bookmarkStart w:id="14" w:name="_GoBack"/>
      <w:bookmarkEnd w:id="14"/>
    </w:p>
    <w:p w:rsidR="00397968" w:rsidRDefault="00866CDE" w:rsidP="0040489E">
      <w:r>
        <w:fldChar w:fldCharType="begin"/>
      </w:r>
      <w:r>
        <w:instrText xml:space="preserve"> AUTONUM  </w:instrText>
      </w:r>
      <w:r>
        <w:fldChar w:fldCharType="end"/>
      </w:r>
      <w:r>
        <w:tab/>
        <w:t>The CAJ is invited to consider t</w:t>
      </w:r>
      <w:r w:rsidRPr="00716622">
        <w:t xml:space="preserve">he next steps of the development of the </w:t>
      </w:r>
      <w:r w:rsidR="008973BD">
        <w:t>“</w:t>
      </w:r>
      <w:r w:rsidR="008973BD" w:rsidRPr="008973BD">
        <w:t>Explanatory Notes on Variety Denominations under the UPOV Convention (Revision)</w:t>
      </w:r>
      <w:r w:rsidR="008973BD">
        <w:t>”</w:t>
      </w:r>
      <w:r>
        <w:t>,</w:t>
      </w:r>
      <w:r w:rsidRPr="00716622">
        <w:t xml:space="preserve"> </w:t>
      </w:r>
      <w:r>
        <w:t xml:space="preserve">on the basis of the discussions at the </w:t>
      </w:r>
      <w:r w:rsidRPr="00716622">
        <w:t>se</w:t>
      </w:r>
      <w:r>
        <w:t>venty-second session of the CAJ.</w:t>
      </w:r>
    </w:p>
    <w:p w:rsidR="0070366F" w:rsidRDefault="0070366F" w:rsidP="0040489E"/>
    <w:p w:rsidR="0070366F" w:rsidRPr="00716622" w:rsidRDefault="0070366F" w:rsidP="0040489E"/>
    <w:p w:rsidR="00397968" w:rsidRPr="00866CDE" w:rsidRDefault="00397968" w:rsidP="00993C16">
      <w:pPr>
        <w:pStyle w:val="Heading2"/>
      </w:pPr>
      <w:bookmarkStart w:id="15" w:name="_Toc430356929"/>
      <w:r w:rsidRPr="00866CDE">
        <w:t>Explanatory Notes on Propagating Mat</w:t>
      </w:r>
      <w:r w:rsidR="00866CDE">
        <w:t>erial under the UPOV Convention</w:t>
      </w:r>
      <w:bookmarkEnd w:id="15"/>
    </w:p>
    <w:p w:rsidR="00397968" w:rsidRDefault="00397968" w:rsidP="008973BD">
      <w:pPr>
        <w:keepNext/>
      </w:pPr>
    </w:p>
    <w:p w:rsidR="00866CDE" w:rsidRPr="00716622" w:rsidRDefault="00866CDE" w:rsidP="00866CDE">
      <w:r>
        <w:fldChar w:fldCharType="begin"/>
      </w:r>
      <w:r>
        <w:instrText xml:space="preserve"> AUTONUM  </w:instrText>
      </w:r>
      <w:r>
        <w:fldChar w:fldCharType="end"/>
      </w:r>
      <w:r>
        <w:tab/>
        <w:t>The CAJ is invited to consider t</w:t>
      </w:r>
      <w:r w:rsidRPr="00716622">
        <w:t xml:space="preserve">he next steps of the development of the </w:t>
      </w:r>
      <w:r w:rsidR="008973BD">
        <w:t>“</w:t>
      </w:r>
      <w:r w:rsidR="008973BD" w:rsidRPr="008973BD">
        <w:t>Explanatory Notes on Propagating Material under the UPOV Convention</w:t>
      </w:r>
      <w:r w:rsidR="008973BD">
        <w:t>”</w:t>
      </w:r>
      <w:r>
        <w:t>,</w:t>
      </w:r>
      <w:r w:rsidRPr="00716622">
        <w:t xml:space="preserve"> </w:t>
      </w:r>
      <w:r>
        <w:t xml:space="preserve">on the basis of the discussions at the </w:t>
      </w:r>
      <w:r w:rsidRPr="00716622">
        <w:t>se</w:t>
      </w:r>
      <w:r>
        <w:t>venty-second session of the CAJ.</w:t>
      </w:r>
    </w:p>
    <w:p w:rsidR="00866CDE" w:rsidRDefault="00866CDE" w:rsidP="00866CDE"/>
    <w:p w:rsidR="00F718BE" w:rsidRDefault="00F718BE" w:rsidP="00866CDE"/>
    <w:p w:rsidR="00F718BE" w:rsidRPr="00993C16" w:rsidRDefault="00F718BE" w:rsidP="00993C16">
      <w:pPr>
        <w:pStyle w:val="Heading2"/>
      </w:pPr>
      <w:bookmarkStart w:id="16" w:name="_Toc430356930"/>
      <w:r w:rsidRPr="00993C16">
        <w:t>UPOV Model Plant Breeders’ Rights Gazette (Revision)</w:t>
      </w:r>
      <w:bookmarkEnd w:id="16"/>
    </w:p>
    <w:p w:rsidR="00F718BE" w:rsidRDefault="00F718BE" w:rsidP="000844D5"/>
    <w:p w:rsidR="00397968" w:rsidRPr="0070366F" w:rsidRDefault="000844D5" w:rsidP="000844D5">
      <w:r>
        <w:fldChar w:fldCharType="begin"/>
      </w:r>
      <w:r>
        <w:instrText xml:space="preserve"> AUTONUM  </w:instrText>
      </w:r>
      <w:r>
        <w:fldChar w:fldCharType="end"/>
      </w:r>
      <w:r>
        <w:tab/>
      </w:r>
      <w:r w:rsidR="0028743B" w:rsidRPr="00397968">
        <w:t xml:space="preserve">The </w:t>
      </w:r>
      <w:r w:rsidR="0070366F">
        <w:t>CAJ</w:t>
      </w:r>
      <w:r w:rsidR="0028743B" w:rsidRPr="00397968">
        <w:t>, at its seventy-</w:t>
      </w:r>
      <w:r w:rsidR="00716622">
        <w:t xml:space="preserve">first </w:t>
      </w:r>
      <w:r w:rsidR="0028743B" w:rsidRPr="00397968">
        <w:t>session, agreed to defer the preparation of a draft revision of document UPOV/INF/5 “UPOV Model Plant Breeders’ Rights Gazette</w:t>
      </w:r>
      <w:r w:rsidR="00F718BE">
        <w:t xml:space="preserve"> (Revision)</w:t>
      </w:r>
      <w:r w:rsidR="0028743B" w:rsidRPr="00397968">
        <w:t>” (document UPOV/INF/5/1 Draft 1), pending developments in relation to the development of a prototype electron</w:t>
      </w:r>
      <w:r w:rsidR="00975253">
        <w:t>ic form (see document </w:t>
      </w:r>
      <w:r w:rsidR="00146A37">
        <w:t>CAJ/71/4)</w:t>
      </w:r>
      <w:r w:rsidR="00AA60A5">
        <w:t>.</w:t>
      </w:r>
      <w:r w:rsidR="007709BE">
        <w:rPr>
          <w:rStyle w:val="FootnoteReference"/>
        </w:rPr>
        <w:footnoteReference w:id="16"/>
      </w:r>
      <w:r w:rsidR="00397968" w:rsidRPr="00146A37">
        <w:t xml:space="preserve"> </w:t>
      </w:r>
    </w:p>
    <w:p w:rsidR="00953DEE" w:rsidRDefault="00953DEE" w:rsidP="00953DEE">
      <w:pPr>
        <w:rPr>
          <w:highlight w:val="yellow"/>
        </w:rPr>
      </w:pPr>
    </w:p>
    <w:p w:rsidR="00F718BE" w:rsidRDefault="00F718BE" w:rsidP="00953DEE">
      <w:pPr>
        <w:rPr>
          <w:highlight w:val="yellow"/>
        </w:rPr>
      </w:pPr>
    </w:p>
    <w:p w:rsidR="00F718BE" w:rsidRDefault="00F718BE" w:rsidP="00993C16">
      <w:pPr>
        <w:pStyle w:val="Heading2"/>
      </w:pPr>
      <w:bookmarkStart w:id="17" w:name="_Toc430356931"/>
      <w:r>
        <w:t>Variety descriptions and role of plant material</w:t>
      </w:r>
      <w:bookmarkEnd w:id="17"/>
    </w:p>
    <w:p w:rsidR="00F718BE" w:rsidRDefault="00F718BE" w:rsidP="00F718BE">
      <w:pPr>
        <w:keepNext/>
        <w:rPr>
          <w:highlight w:val="yellow"/>
        </w:rPr>
      </w:pPr>
    </w:p>
    <w:p w:rsidR="00716622" w:rsidRPr="00397968" w:rsidRDefault="0070366F" w:rsidP="0070366F">
      <w:r>
        <w:fldChar w:fldCharType="begin"/>
      </w:r>
      <w:r>
        <w:instrText xml:space="preserve"> AUTONUM  </w:instrText>
      </w:r>
      <w:r>
        <w:fldChar w:fldCharType="end"/>
      </w:r>
      <w:r>
        <w:tab/>
      </w:r>
      <w:r w:rsidR="00716622">
        <w:t>The CAJ,</w:t>
      </w:r>
      <w:r w:rsidR="00716622" w:rsidRPr="00716622">
        <w:t xml:space="preserve"> </w:t>
      </w:r>
      <w:r w:rsidR="00716622" w:rsidRPr="00397968">
        <w:t>at its seventy-</w:t>
      </w:r>
      <w:r w:rsidR="00716622">
        <w:t>first</w:t>
      </w:r>
      <w:r w:rsidR="00716622" w:rsidRPr="00397968">
        <w:t xml:space="preserve"> session,</w:t>
      </w:r>
      <w:r w:rsidR="00716622">
        <w:t xml:space="preserve"> noted that the TC had agreed to include discussion on variety descriptions and the role of plant material, including minimum number of growing cycles for DUS examination, during its fifty-second session, to be held in Geneva in 2016. </w:t>
      </w:r>
      <w:r w:rsidR="007709BE">
        <w:rPr>
          <w:rStyle w:val="FootnoteReference"/>
        </w:rPr>
        <w:footnoteReference w:id="17"/>
      </w:r>
      <w:r w:rsidR="00146A37">
        <w:t xml:space="preserve"> </w:t>
      </w:r>
      <w:r w:rsidR="00716622" w:rsidRPr="00146A37">
        <w:t>Any matter concerning variety descriptions and the role of plant material for consideration by the CAJ will be reported by the TC to the CAJ.</w:t>
      </w:r>
    </w:p>
    <w:p w:rsidR="00716622" w:rsidRDefault="00716622" w:rsidP="007709BE"/>
    <w:p w:rsidR="00716622" w:rsidRDefault="00716622" w:rsidP="00716622">
      <w:r>
        <w:fldChar w:fldCharType="begin"/>
      </w:r>
      <w:r>
        <w:instrText xml:space="preserve"> AUTONUM  </w:instrText>
      </w:r>
      <w:r>
        <w:fldChar w:fldCharType="end"/>
      </w:r>
      <w:r>
        <w:tab/>
      </w:r>
      <w:r w:rsidRPr="00397968">
        <w:t xml:space="preserve">It is proposed to consider the program for the development of information materials in conjunction with the discussions on the scheduling of the CAJ sessions, under the item “Program for the seventy-third session” (see document CAJ/72/8). </w:t>
      </w:r>
    </w:p>
    <w:p w:rsidR="00716622" w:rsidRPr="00B16D19" w:rsidRDefault="00716622" w:rsidP="003870AE">
      <w:pPr>
        <w:rPr>
          <w:rFonts w:eastAsia="MS Mincho"/>
          <w:highlight w:val="yellow"/>
        </w:rPr>
      </w:pPr>
    </w:p>
    <w:p w:rsidR="003870AE" w:rsidRDefault="003870AE" w:rsidP="00716622">
      <w:pPr>
        <w:pStyle w:val="DecisionParagraphs"/>
      </w:pPr>
      <w:r w:rsidRPr="00F41101">
        <w:fldChar w:fldCharType="begin"/>
      </w:r>
      <w:r w:rsidRPr="00F41101">
        <w:instrText xml:space="preserve"> AUTONUM  </w:instrText>
      </w:r>
      <w:r w:rsidRPr="00F41101">
        <w:fldChar w:fldCharType="end"/>
      </w:r>
      <w:r w:rsidRPr="00F41101">
        <w:tab/>
        <w:t xml:space="preserve">The CAJ is invited </w:t>
      </w:r>
      <w:r w:rsidRPr="00F41101">
        <w:rPr>
          <w:spacing w:val="-2"/>
        </w:rPr>
        <w:t>to</w:t>
      </w:r>
      <w:r w:rsidR="00716622" w:rsidRPr="00716622">
        <w:t xml:space="preserve"> </w:t>
      </w:r>
      <w:r w:rsidR="00716622" w:rsidRPr="00397968">
        <w:t>consider the program for the development of information materials in conjunction with the discussions on the scheduling of the CAJ sessions, under the item “Program for the seventy-third session” (see document CAJ/72/8)</w:t>
      </w:r>
      <w:r w:rsidR="00716622">
        <w:t xml:space="preserve">, as set out in paragraphs </w:t>
      </w:r>
      <w:r w:rsidR="00146A37" w:rsidRPr="00975253">
        <w:t xml:space="preserve">18 </w:t>
      </w:r>
      <w:r w:rsidR="0070366F" w:rsidRPr="00975253">
        <w:t>to 23</w:t>
      </w:r>
      <w:r w:rsidR="00716622" w:rsidRPr="00975253">
        <w:t>.</w:t>
      </w:r>
    </w:p>
    <w:p w:rsidR="003870AE" w:rsidRDefault="003870AE" w:rsidP="003870AE"/>
    <w:p w:rsidR="0070366F" w:rsidRDefault="0070366F" w:rsidP="003870AE"/>
    <w:p w:rsidR="003870AE" w:rsidRDefault="003870AE" w:rsidP="003870AE"/>
    <w:p w:rsidR="003870AE" w:rsidRDefault="003870AE" w:rsidP="003870AE">
      <w:pPr>
        <w:jc w:val="right"/>
        <w:rPr>
          <w:snapToGrid w:val="0"/>
        </w:rPr>
      </w:pPr>
      <w:r w:rsidRPr="00FA161B">
        <w:rPr>
          <w:snapToGrid w:val="0"/>
        </w:rPr>
        <w:t>[Annex follows]</w:t>
      </w:r>
    </w:p>
    <w:p w:rsidR="003870AE" w:rsidRPr="00CC07EF" w:rsidRDefault="003870AE" w:rsidP="003870AE">
      <w:pPr>
        <w:jc w:val="left"/>
        <w:sectPr w:rsidR="003870AE" w:rsidRPr="00CC07EF" w:rsidSect="003870AE">
          <w:headerReference w:type="default" r:id="rId10"/>
          <w:endnotePr>
            <w:numFmt w:val="lowerLetter"/>
          </w:endnotePr>
          <w:pgSz w:w="11907" w:h="16840" w:code="9"/>
          <w:pgMar w:top="510" w:right="1134" w:bottom="1134" w:left="1134" w:header="510" w:footer="624" w:gutter="0"/>
          <w:cols w:space="720"/>
          <w:titlePg/>
        </w:sectPr>
      </w:pPr>
    </w:p>
    <w:p w:rsidR="003870AE" w:rsidRPr="00C57332" w:rsidRDefault="003870AE" w:rsidP="003870AE">
      <w:pPr>
        <w:jc w:val="center"/>
      </w:pPr>
      <w:r>
        <w:lastRenderedPageBreak/>
        <w:t>CAJ/7</w:t>
      </w:r>
      <w:r w:rsidR="00001960">
        <w:t>2</w:t>
      </w:r>
      <w:r>
        <w:t>/2</w:t>
      </w:r>
    </w:p>
    <w:p w:rsidR="003870AE" w:rsidRPr="00C57332" w:rsidRDefault="003870AE" w:rsidP="003870AE">
      <w:pPr>
        <w:jc w:val="center"/>
      </w:pPr>
    </w:p>
    <w:p w:rsidR="003870AE" w:rsidRPr="00C57332" w:rsidRDefault="003870AE" w:rsidP="003870AE">
      <w:pPr>
        <w:jc w:val="center"/>
      </w:pPr>
      <w:r w:rsidRPr="00C57332">
        <w:t>ANNEX</w:t>
      </w:r>
    </w:p>
    <w:p w:rsidR="003870AE" w:rsidRDefault="003870AE" w:rsidP="003870AE">
      <w:pPr>
        <w:jc w:val="center"/>
        <w:rPr>
          <w:sz w:val="16"/>
          <w:szCs w:val="16"/>
        </w:rPr>
      </w:pPr>
    </w:p>
    <w:p w:rsidR="003870AE" w:rsidRPr="00A67697" w:rsidRDefault="003870AE" w:rsidP="003870AE">
      <w:pPr>
        <w:jc w:val="center"/>
        <w:rPr>
          <w:sz w:val="16"/>
          <w:szCs w:val="16"/>
        </w:rPr>
      </w:pPr>
    </w:p>
    <w:p w:rsidR="003870AE" w:rsidRPr="00DD6655" w:rsidRDefault="003870AE" w:rsidP="003870AE">
      <w:pPr>
        <w:jc w:val="center"/>
      </w:pPr>
      <w:r w:rsidRPr="00DD6655">
        <w:t>OVERVIEW OF THE DEVELOPMENT OF INFORMATION MATERIALS</w:t>
      </w:r>
    </w:p>
    <w:p w:rsidR="003870AE" w:rsidRDefault="003870AE" w:rsidP="003870AE">
      <w:pPr>
        <w:jc w:val="center"/>
        <w:rPr>
          <w:sz w:val="16"/>
          <w:szCs w:val="16"/>
        </w:rPr>
      </w:pPr>
    </w:p>
    <w:p w:rsidR="003870AE" w:rsidRPr="00DD6655" w:rsidRDefault="003870AE" w:rsidP="003870AE">
      <w:pPr>
        <w:jc w:val="center"/>
        <w:rPr>
          <w:sz w:val="16"/>
          <w:szCs w:val="16"/>
        </w:rPr>
      </w:pPr>
    </w:p>
    <w:p w:rsidR="003870AE" w:rsidRPr="000022C4" w:rsidRDefault="003870AE" w:rsidP="003870AE">
      <w:pPr>
        <w:jc w:val="left"/>
      </w:pPr>
      <w:r w:rsidRPr="000022C4">
        <w:t>EXPLANATORY NOTES</w:t>
      </w:r>
    </w:p>
    <w:p w:rsidR="003870AE" w:rsidRPr="000022C4" w:rsidRDefault="003870AE" w:rsidP="003870AE">
      <w:pPr>
        <w:jc w:val="left"/>
        <w:rPr>
          <w:sz w:val="16"/>
          <w:szCs w:val="16"/>
        </w:rPr>
      </w:pPr>
    </w:p>
    <w:tbl>
      <w:tblPr>
        <w:tblW w:w="103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41"/>
        <w:gridCol w:w="4717"/>
        <w:gridCol w:w="3912"/>
      </w:tblGrid>
      <w:tr w:rsidR="003870AE" w:rsidRPr="000022C4" w:rsidTr="003870AE">
        <w:trPr>
          <w:cantSplit/>
          <w:jc w:val="center"/>
        </w:trPr>
        <w:tc>
          <w:tcPr>
            <w:tcW w:w="1741" w:type="dxa"/>
            <w:shd w:val="clear" w:color="auto" w:fill="D9D9D9"/>
          </w:tcPr>
          <w:p w:rsidR="003870AE" w:rsidRPr="000022C4" w:rsidRDefault="003870AE" w:rsidP="003870AE">
            <w:pPr>
              <w:jc w:val="left"/>
              <w:rPr>
                <w:rFonts w:cs="Arial"/>
                <w:sz w:val="18"/>
                <w:szCs w:val="18"/>
              </w:rPr>
            </w:pPr>
            <w:r w:rsidRPr="000022C4">
              <w:rPr>
                <w:rFonts w:cs="Arial"/>
                <w:sz w:val="18"/>
                <w:szCs w:val="18"/>
              </w:rPr>
              <w:t>Reference</w:t>
            </w:r>
          </w:p>
        </w:tc>
        <w:tc>
          <w:tcPr>
            <w:tcW w:w="4717" w:type="dxa"/>
            <w:shd w:val="clear" w:color="auto" w:fill="D9D9D9"/>
          </w:tcPr>
          <w:p w:rsidR="003870AE" w:rsidRPr="000022C4" w:rsidRDefault="003870AE" w:rsidP="003870AE">
            <w:pPr>
              <w:jc w:val="left"/>
              <w:rPr>
                <w:rFonts w:cs="Arial"/>
                <w:sz w:val="18"/>
                <w:szCs w:val="18"/>
              </w:rPr>
            </w:pPr>
            <w:r w:rsidRPr="000022C4">
              <w:rPr>
                <w:rFonts w:cs="Arial"/>
                <w:sz w:val="18"/>
                <w:szCs w:val="18"/>
              </w:rPr>
              <w:t>Explanatory Notes on:</w:t>
            </w:r>
          </w:p>
        </w:tc>
        <w:tc>
          <w:tcPr>
            <w:tcW w:w="3912" w:type="dxa"/>
            <w:shd w:val="clear" w:color="auto" w:fill="D9D9D9"/>
          </w:tcPr>
          <w:p w:rsidR="003870AE" w:rsidRPr="000022C4" w:rsidRDefault="003870AE" w:rsidP="003870AE">
            <w:pPr>
              <w:jc w:val="left"/>
              <w:rPr>
                <w:rFonts w:cs="Arial"/>
                <w:sz w:val="18"/>
                <w:szCs w:val="18"/>
              </w:rPr>
            </w:pPr>
            <w:r w:rsidRPr="000022C4">
              <w:rPr>
                <w:rFonts w:cs="Arial"/>
                <w:sz w:val="18"/>
                <w:szCs w:val="18"/>
              </w:rPr>
              <w:t>Status</w:t>
            </w:r>
          </w:p>
        </w:tc>
      </w:tr>
      <w:tr w:rsidR="003870AE" w:rsidRPr="000022C4" w:rsidTr="003870AE">
        <w:trPr>
          <w:cantSplit/>
          <w:jc w:val="center"/>
        </w:trPr>
        <w:tc>
          <w:tcPr>
            <w:tcW w:w="1741" w:type="dxa"/>
          </w:tcPr>
          <w:p w:rsidR="003870AE" w:rsidRPr="000022C4" w:rsidRDefault="003870AE" w:rsidP="003870AE">
            <w:pPr>
              <w:jc w:val="left"/>
              <w:rPr>
                <w:rFonts w:cs="Arial"/>
                <w:sz w:val="18"/>
                <w:szCs w:val="18"/>
              </w:rPr>
            </w:pPr>
            <w:r w:rsidRPr="000022C4">
              <w:rPr>
                <w:rFonts w:cs="Arial"/>
                <w:sz w:val="18"/>
                <w:szCs w:val="18"/>
              </w:rPr>
              <w:t>UPOV/EXN/BRD</w:t>
            </w:r>
          </w:p>
        </w:tc>
        <w:tc>
          <w:tcPr>
            <w:tcW w:w="4717" w:type="dxa"/>
          </w:tcPr>
          <w:p w:rsidR="003870AE" w:rsidRPr="000022C4" w:rsidRDefault="003870AE" w:rsidP="003870AE">
            <w:pPr>
              <w:jc w:val="left"/>
              <w:rPr>
                <w:rFonts w:cs="Arial"/>
                <w:sz w:val="18"/>
                <w:szCs w:val="18"/>
              </w:rPr>
            </w:pPr>
            <w:r w:rsidRPr="000022C4">
              <w:rPr>
                <w:rFonts w:cs="Arial"/>
                <w:sz w:val="18"/>
                <w:szCs w:val="18"/>
              </w:rPr>
              <w:t>Definition of Breeder under the 1991 Act of the UPOV Convention</w:t>
            </w:r>
          </w:p>
        </w:tc>
        <w:tc>
          <w:tcPr>
            <w:tcW w:w="3912" w:type="dxa"/>
          </w:tcPr>
          <w:p w:rsidR="003870AE" w:rsidRPr="000022C4" w:rsidRDefault="003870AE" w:rsidP="003870AE">
            <w:pPr>
              <w:jc w:val="left"/>
              <w:rPr>
                <w:rFonts w:cs="Arial"/>
                <w:strike/>
                <w:sz w:val="18"/>
                <w:szCs w:val="18"/>
              </w:rPr>
            </w:pPr>
            <w:r w:rsidRPr="000022C4">
              <w:rPr>
                <w:rFonts w:cs="Arial"/>
                <w:iCs/>
                <w:sz w:val="18"/>
                <w:szCs w:val="18"/>
              </w:rPr>
              <w:t>UPOV/EXN/BRD/1 adopted in October 2013</w:t>
            </w:r>
          </w:p>
        </w:tc>
      </w:tr>
      <w:tr w:rsidR="003870AE" w:rsidRPr="000022C4" w:rsidTr="003870AE">
        <w:trPr>
          <w:cantSplit/>
          <w:jc w:val="center"/>
        </w:trPr>
        <w:tc>
          <w:tcPr>
            <w:tcW w:w="1741" w:type="dxa"/>
          </w:tcPr>
          <w:p w:rsidR="003870AE" w:rsidRPr="000022C4" w:rsidRDefault="003870AE" w:rsidP="003870AE">
            <w:pPr>
              <w:jc w:val="left"/>
              <w:rPr>
                <w:rFonts w:cs="Arial"/>
                <w:sz w:val="18"/>
                <w:szCs w:val="18"/>
              </w:rPr>
            </w:pPr>
            <w:r w:rsidRPr="000022C4">
              <w:rPr>
                <w:rFonts w:cs="Arial"/>
                <w:sz w:val="18"/>
                <w:szCs w:val="18"/>
              </w:rPr>
              <w:t>UPOV/EXN/CAL</w:t>
            </w:r>
          </w:p>
        </w:tc>
        <w:tc>
          <w:tcPr>
            <w:tcW w:w="4717" w:type="dxa"/>
          </w:tcPr>
          <w:p w:rsidR="003870AE" w:rsidRPr="000022C4" w:rsidRDefault="003870AE" w:rsidP="003870AE">
            <w:pPr>
              <w:jc w:val="left"/>
              <w:rPr>
                <w:rFonts w:cs="Arial"/>
                <w:sz w:val="18"/>
                <w:szCs w:val="18"/>
              </w:rPr>
            </w:pPr>
            <w:r w:rsidRPr="000022C4">
              <w:rPr>
                <w:rFonts w:cs="Arial"/>
                <w:sz w:val="18"/>
                <w:szCs w:val="18"/>
              </w:rPr>
              <w:t>Conditions and Limitations Concerning the Breeder’s Authorization in Respect of Propagating Material under the UPOV Convention</w:t>
            </w:r>
          </w:p>
        </w:tc>
        <w:tc>
          <w:tcPr>
            <w:tcW w:w="3912" w:type="dxa"/>
          </w:tcPr>
          <w:p w:rsidR="003870AE" w:rsidRPr="000022C4" w:rsidRDefault="003870AE" w:rsidP="003870AE">
            <w:pPr>
              <w:jc w:val="left"/>
              <w:rPr>
                <w:rFonts w:cs="Arial"/>
                <w:sz w:val="18"/>
                <w:szCs w:val="18"/>
              </w:rPr>
            </w:pPr>
            <w:r w:rsidRPr="000022C4">
              <w:rPr>
                <w:rFonts w:cs="Arial"/>
                <w:sz w:val="18"/>
                <w:szCs w:val="18"/>
              </w:rPr>
              <w:t>UPOV/EXN/CAL/1 adopted in October</w:t>
            </w:r>
            <w:r w:rsidRPr="000022C4">
              <w:rPr>
                <w:rFonts w:cs="Arial"/>
                <w:iCs/>
                <w:sz w:val="18"/>
                <w:szCs w:val="18"/>
              </w:rPr>
              <w:t xml:space="preserve"> 2010</w:t>
            </w:r>
          </w:p>
        </w:tc>
      </w:tr>
      <w:tr w:rsidR="003870AE" w:rsidRPr="000022C4" w:rsidTr="003870AE">
        <w:trPr>
          <w:cantSplit/>
          <w:jc w:val="center"/>
        </w:trPr>
        <w:tc>
          <w:tcPr>
            <w:tcW w:w="1741" w:type="dxa"/>
          </w:tcPr>
          <w:p w:rsidR="003870AE" w:rsidRPr="000022C4" w:rsidRDefault="003870AE" w:rsidP="003870AE">
            <w:pPr>
              <w:jc w:val="left"/>
              <w:rPr>
                <w:rFonts w:cs="Arial"/>
                <w:sz w:val="18"/>
                <w:szCs w:val="18"/>
              </w:rPr>
            </w:pPr>
            <w:r w:rsidRPr="000022C4">
              <w:rPr>
                <w:rFonts w:cs="Arial"/>
                <w:sz w:val="18"/>
                <w:szCs w:val="18"/>
              </w:rPr>
              <w:t>UPOV/EXN/CAN</w:t>
            </w:r>
          </w:p>
        </w:tc>
        <w:tc>
          <w:tcPr>
            <w:tcW w:w="4717" w:type="dxa"/>
          </w:tcPr>
          <w:p w:rsidR="003870AE" w:rsidRPr="000022C4" w:rsidRDefault="003870AE" w:rsidP="003870AE">
            <w:pPr>
              <w:jc w:val="left"/>
              <w:rPr>
                <w:rFonts w:cs="Arial"/>
                <w:sz w:val="18"/>
                <w:szCs w:val="18"/>
              </w:rPr>
            </w:pPr>
            <w:r w:rsidRPr="000022C4">
              <w:rPr>
                <w:rFonts w:cs="Arial"/>
                <w:sz w:val="18"/>
                <w:szCs w:val="18"/>
              </w:rPr>
              <w:t>Cancellation of the Breeder’s Right under the UPOV Convention</w:t>
            </w:r>
          </w:p>
        </w:tc>
        <w:tc>
          <w:tcPr>
            <w:tcW w:w="3912" w:type="dxa"/>
          </w:tcPr>
          <w:p w:rsidR="003870AE" w:rsidRPr="00DF2A30" w:rsidRDefault="003870AE" w:rsidP="003870AE">
            <w:pPr>
              <w:jc w:val="left"/>
              <w:rPr>
                <w:rFonts w:cs="Arial"/>
                <w:sz w:val="18"/>
                <w:szCs w:val="18"/>
              </w:rPr>
            </w:pPr>
            <w:r w:rsidRPr="00DF2A30">
              <w:rPr>
                <w:rFonts w:cs="Arial"/>
                <w:sz w:val="18"/>
                <w:szCs w:val="18"/>
              </w:rPr>
              <w:t>UPOV/EXN/CAN/1 adopted in October 2009</w:t>
            </w:r>
          </w:p>
          <w:p w:rsidR="003870AE" w:rsidRPr="000022C4" w:rsidRDefault="003870AE" w:rsidP="00FF52FC">
            <w:pPr>
              <w:jc w:val="left"/>
              <w:rPr>
                <w:rFonts w:cs="Arial"/>
                <w:sz w:val="18"/>
                <w:szCs w:val="18"/>
              </w:rPr>
            </w:pPr>
            <w:r w:rsidRPr="00D90646">
              <w:rPr>
                <w:rFonts w:cs="Arial"/>
                <w:spacing w:val="-2"/>
                <w:sz w:val="18"/>
                <w:szCs w:val="18"/>
              </w:rPr>
              <w:t>UPOV/EXN/CAN/2 Draft </w:t>
            </w:r>
            <w:r w:rsidR="00FF52FC" w:rsidRPr="00D90646">
              <w:rPr>
                <w:rFonts w:cs="Arial"/>
                <w:spacing w:val="-2"/>
                <w:sz w:val="18"/>
                <w:szCs w:val="18"/>
              </w:rPr>
              <w:t>4</w:t>
            </w:r>
            <w:r w:rsidRPr="00D90646">
              <w:rPr>
                <w:rFonts w:cs="Arial"/>
                <w:spacing w:val="-2"/>
                <w:sz w:val="18"/>
                <w:szCs w:val="18"/>
              </w:rPr>
              <w:t xml:space="preserve"> to be considered by the </w:t>
            </w:r>
            <w:r w:rsidR="00FF52FC" w:rsidRPr="00D90646">
              <w:rPr>
                <w:rFonts w:cs="Arial"/>
                <w:spacing w:val="-2"/>
                <w:sz w:val="18"/>
                <w:szCs w:val="18"/>
              </w:rPr>
              <w:t>Council</w:t>
            </w:r>
            <w:r w:rsidRPr="00D90646">
              <w:rPr>
                <w:rFonts w:cs="Arial"/>
                <w:spacing w:val="-2"/>
                <w:sz w:val="18"/>
                <w:szCs w:val="18"/>
              </w:rPr>
              <w:t xml:space="preserve"> in </w:t>
            </w:r>
            <w:r w:rsidR="00FF52FC" w:rsidRPr="00D90646">
              <w:rPr>
                <w:rFonts w:cs="Arial"/>
                <w:spacing w:val="-2"/>
                <w:sz w:val="18"/>
                <w:szCs w:val="18"/>
              </w:rPr>
              <w:t xml:space="preserve">October </w:t>
            </w:r>
            <w:r w:rsidRPr="00D90646">
              <w:rPr>
                <w:rFonts w:cs="Arial"/>
                <w:spacing w:val="-2"/>
                <w:sz w:val="18"/>
                <w:szCs w:val="18"/>
              </w:rPr>
              <w:t>2015</w:t>
            </w:r>
          </w:p>
        </w:tc>
      </w:tr>
      <w:tr w:rsidR="003870AE" w:rsidRPr="000022C4" w:rsidTr="003870AE">
        <w:trPr>
          <w:cantSplit/>
          <w:jc w:val="center"/>
        </w:trPr>
        <w:tc>
          <w:tcPr>
            <w:tcW w:w="1741" w:type="dxa"/>
          </w:tcPr>
          <w:p w:rsidR="003870AE" w:rsidRPr="000022C4" w:rsidRDefault="003870AE" w:rsidP="003870AE">
            <w:pPr>
              <w:jc w:val="left"/>
              <w:rPr>
                <w:rFonts w:cs="Arial"/>
                <w:sz w:val="18"/>
                <w:szCs w:val="18"/>
              </w:rPr>
            </w:pPr>
            <w:r w:rsidRPr="000022C4">
              <w:rPr>
                <w:rFonts w:cs="Arial"/>
                <w:color w:val="000000"/>
                <w:sz w:val="18"/>
                <w:szCs w:val="18"/>
              </w:rPr>
              <w:t>UPOV/EXN/EDV</w:t>
            </w:r>
          </w:p>
        </w:tc>
        <w:tc>
          <w:tcPr>
            <w:tcW w:w="4717" w:type="dxa"/>
          </w:tcPr>
          <w:p w:rsidR="003870AE" w:rsidRPr="000022C4" w:rsidRDefault="003870AE" w:rsidP="003870AE">
            <w:pPr>
              <w:jc w:val="left"/>
              <w:rPr>
                <w:rFonts w:cs="Arial"/>
                <w:color w:val="000000"/>
                <w:sz w:val="18"/>
                <w:szCs w:val="18"/>
              </w:rPr>
            </w:pPr>
            <w:r w:rsidRPr="000022C4">
              <w:rPr>
                <w:rFonts w:cs="Arial"/>
                <w:color w:val="000000"/>
                <w:sz w:val="18"/>
                <w:szCs w:val="18"/>
              </w:rPr>
              <w:t xml:space="preserve">Essentially Derived Varieties under the </w:t>
            </w:r>
            <w:r w:rsidRPr="000022C4">
              <w:rPr>
                <w:rFonts w:cs="Arial"/>
                <w:sz w:val="18"/>
                <w:szCs w:val="18"/>
              </w:rPr>
              <w:t xml:space="preserve">1991 Act of the </w:t>
            </w:r>
            <w:r w:rsidRPr="000022C4">
              <w:rPr>
                <w:rFonts w:cs="Arial"/>
                <w:color w:val="000000"/>
                <w:sz w:val="18"/>
                <w:szCs w:val="18"/>
              </w:rPr>
              <w:t>UPOV Convention</w:t>
            </w:r>
          </w:p>
        </w:tc>
        <w:tc>
          <w:tcPr>
            <w:tcW w:w="3912" w:type="dxa"/>
          </w:tcPr>
          <w:p w:rsidR="003870AE" w:rsidRPr="00D90646" w:rsidRDefault="003870AE" w:rsidP="003870AE">
            <w:pPr>
              <w:jc w:val="left"/>
              <w:rPr>
                <w:rFonts w:cs="Arial"/>
                <w:sz w:val="18"/>
                <w:szCs w:val="18"/>
              </w:rPr>
            </w:pPr>
            <w:r w:rsidRPr="00D90646">
              <w:rPr>
                <w:rFonts w:cs="Arial"/>
                <w:color w:val="000000"/>
                <w:sz w:val="18"/>
                <w:szCs w:val="18"/>
              </w:rPr>
              <w:t>UPOV/EXN/EDV/1 a</w:t>
            </w:r>
            <w:r w:rsidRPr="00D90646">
              <w:rPr>
                <w:rFonts w:cs="Arial"/>
                <w:sz w:val="18"/>
                <w:szCs w:val="18"/>
              </w:rPr>
              <w:t>dopted in October 2009</w:t>
            </w:r>
          </w:p>
          <w:p w:rsidR="003870AE" w:rsidRPr="000022C4" w:rsidRDefault="003870AE" w:rsidP="003870AE">
            <w:pPr>
              <w:jc w:val="left"/>
              <w:rPr>
                <w:rFonts w:cs="Arial"/>
                <w:sz w:val="18"/>
                <w:szCs w:val="18"/>
              </w:rPr>
            </w:pPr>
            <w:r w:rsidRPr="00D90646">
              <w:rPr>
                <w:rFonts w:cs="Arial"/>
                <w:color w:val="000000"/>
                <w:sz w:val="18"/>
                <w:szCs w:val="18"/>
              </w:rPr>
              <w:t>UPOV/EXN/EDV/2 Draft 6</w:t>
            </w:r>
            <w:r w:rsidRPr="00D90646">
              <w:rPr>
                <w:rFonts w:cs="Arial"/>
                <w:iCs/>
                <w:sz w:val="18"/>
                <w:szCs w:val="18"/>
              </w:rPr>
              <w:t xml:space="preserve"> </w:t>
            </w:r>
            <w:r w:rsidRPr="00D90646">
              <w:rPr>
                <w:rFonts w:cs="Arial"/>
                <w:spacing w:val="-2"/>
                <w:sz w:val="18"/>
                <w:szCs w:val="18"/>
              </w:rPr>
              <w:t>to be considered by the CAJ in October 2015</w:t>
            </w:r>
          </w:p>
        </w:tc>
      </w:tr>
      <w:tr w:rsidR="003870AE" w:rsidRPr="000022C4" w:rsidTr="003870AE">
        <w:trPr>
          <w:cantSplit/>
          <w:jc w:val="center"/>
        </w:trPr>
        <w:tc>
          <w:tcPr>
            <w:tcW w:w="1741" w:type="dxa"/>
          </w:tcPr>
          <w:p w:rsidR="003870AE" w:rsidRPr="000022C4" w:rsidRDefault="003870AE" w:rsidP="003870AE">
            <w:pPr>
              <w:jc w:val="left"/>
              <w:rPr>
                <w:rFonts w:cs="Arial"/>
                <w:sz w:val="18"/>
                <w:szCs w:val="18"/>
              </w:rPr>
            </w:pPr>
            <w:r w:rsidRPr="000022C4">
              <w:rPr>
                <w:rFonts w:cs="Arial"/>
                <w:color w:val="000000"/>
                <w:sz w:val="18"/>
                <w:szCs w:val="18"/>
              </w:rPr>
              <w:t>UPOV/EXN/ENF</w:t>
            </w:r>
          </w:p>
        </w:tc>
        <w:tc>
          <w:tcPr>
            <w:tcW w:w="4717" w:type="dxa"/>
          </w:tcPr>
          <w:p w:rsidR="003870AE" w:rsidRPr="000022C4" w:rsidRDefault="003870AE" w:rsidP="003870AE">
            <w:pPr>
              <w:jc w:val="left"/>
              <w:rPr>
                <w:rFonts w:cs="Arial"/>
                <w:sz w:val="18"/>
                <w:szCs w:val="18"/>
              </w:rPr>
            </w:pPr>
            <w:r w:rsidRPr="000022C4">
              <w:rPr>
                <w:rFonts w:cs="Arial"/>
                <w:sz w:val="18"/>
                <w:szCs w:val="18"/>
              </w:rPr>
              <w:t>Enforcement of Breeders’ Rights under the UPOV Convention</w:t>
            </w:r>
          </w:p>
        </w:tc>
        <w:tc>
          <w:tcPr>
            <w:tcW w:w="3912" w:type="dxa"/>
          </w:tcPr>
          <w:p w:rsidR="003870AE" w:rsidRPr="000022C4" w:rsidRDefault="003870AE" w:rsidP="003870AE">
            <w:pPr>
              <w:jc w:val="left"/>
              <w:rPr>
                <w:rFonts w:cs="Arial"/>
                <w:sz w:val="18"/>
                <w:szCs w:val="18"/>
              </w:rPr>
            </w:pPr>
            <w:r w:rsidRPr="000022C4">
              <w:rPr>
                <w:rFonts w:cs="Arial"/>
                <w:color w:val="000000"/>
                <w:sz w:val="18"/>
                <w:szCs w:val="18"/>
              </w:rPr>
              <w:t>UPOV/EXN/ENF/1 a</w:t>
            </w:r>
            <w:r w:rsidRPr="000022C4">
              <w:rPr>
                <w:rFonts w:cs="Arial"/>
                <w:sz w:val="18"/>
                <w:szCs w:val="18"/>
              </w:rPr>
              <w:t>dopted in October 2009</w:t>
            </w:r>
          </w:p>
        </w:tc>
      </w:tr>
      <w:tr w:rsidR="003870AE" w:rsidRPr="000022C4" w:rsidTr="003870AE">
        <w:trPr>
          <w:cantSplit/>
          <w:jc w:val="center"/>
        </w:trPr>
        <w:tc>
          <w:tcPr>
            <w:tcW w:w="1741" w:type="dxa"/>
          </w:tcPr>
          <w:p w:rsidR="003870AE" w:rsidRPr="000022C4" w:rsidRDefault="003870AE" w:rsidP="003870AE">
            <w:pPr>
              <w:jc w:val="left"/>
              <w:rPr>
                <w:rFonts w:cs="Arial"/>
                <w:color w:val="000000"/>
                <w:sz w:val="18"/>
                <w:szCs w:val="18"/>
              </w:rPr>
            </w:pPr>
            <w:r w:rsidRPr="000022C4">
              <w:rPr>
                <w:rFonts w:cs="Arial"/>
                <w:color w:val="000000"/>
                <w:sz w:val="18"/>
                <w:szCs w:val="18"/>
              </w:rPr>
              <w:t>UPOV/EXN/EXC</w:t>
            </w:r>
          </w:p>
        </w:tc>
        <w:tc>
          <w:tcPr>
            <w:tcW w:w="4717" w:type="dxa"/>
          </w:tcPr>
          <w:p w:rsidR="003870AE" w:rsidRPr="000022C4" w:rsidRDefault="003870AE" w:rsidP="003870AE">
            <w:pPr>
              <w:jc w:val="left"/>
              <w:rPr>
                <w:rFonts w:cs="Arial"/>
                <w:color w:val="000000"/>
                <w:sz w:val="18"/>
                <w:szCs w:val="18"/>
              </w:rPr>
            </w:pPr>
            <w:r w:rsidRPr="000022C4">
              <w:rPr>
                <w:rFonts w:cs="Arial"/>
                <w:color w:val="000000"/>
                <w:sz w:val="18"/>
                <w:szCs w:val="18"/>
              </w:rPr>
              <w:t xml:space="preserve">Exceptions to the Breeder’s Right under the </w:t>
            </w:r>
            <w:r w:rsidRPr="000022C4">
              <w:rPr>
                <w:rFonts w:cs="Arial"/>
                <w:sz w:val="18"/>
                <w:szCs w:val="18"/>
              </w:rPr>
              <w:t xml:space="preserve">1991 Act of the </w:t>
            </w:r>
            <w:r w:rsidRPr="000022C4">
              <w:rPr>
                <w:rFonts w:cs="Arial"/>
                <w:color w:val="000000"/>
                <w:sz w:val="18"/>
                <w:szCs w:val="18"/>
              </w:rPr>
              <w:t>UPOV Convention</w:t>
            </w:r>
          </w:p>
        </w:tc>
        <w:tc>
          <w:tcPr>
            <w:tcW w:w="3912" w:type="dxa"/>
          </w:tcPr>
          <w:p w:rsidR="003870AE" w:rsidRPr="000022C4" w:rsidRDefault="003870AE" w:rsidP="003870AE">
            <w:pPr>
              <w:jc w:val="left"/>
              <w:rPr>
                <w:rFonts w:cs="Arial"/>
                <w:sz w:val="18"/>
                <w:szCs w:val="18"/>
              </w:rPr>
            </w:pPr>
            <w:r w:rsidRPr="000022C4">
              <w:rPr>
                <w:rFonts w:cs="Arial"/>
                <w:color w:val="000000"/>
                <w:sz w:val="18"/>
                <w:szCs w:val="18"/>
              </w:rPr>
              <w:t>UPOV/EXN/EXC/1 a</w:t>
            </w:r>
            <w:r w:rsidRPr="000022C4">
              <w:rPr>
                <w:rFonts w:cs="Arial"/>
                <w:sz w:val="18"/>
                <w:szCs w:val="18"/>
              </w:rPr>
              <w:t>dopted in October 2009</w:t>
            </w:r>
          </w:p>
        </w:tc>
      </w:tr>
      <w:tr w:rsidR="003870AE" w:rsidRPr="000022C4" w:rsidTr="003870AE">
        <w:trPr>
          <w:cantSplit/>
          <w:jc w:val="center"/>
        </w:trPr>
        <w:tc>
          <w:tcPr>
            <w:tcW w:w="1741" w:type="dxa"/>
          </w:tcPr>
          <w:p w:rsidR="003870AE" w:rsidRPr="000022C4" w:rsidRDefault="003870AE" w:rsidP="003870AE">
            <w:pPr>
              <w:jc w:val="left"/>
              <w:rPr>
                <w:rFonts w:cs="Arial"/>
                <w:sz w:val="18"/>
                <w:szCs w:val="18"/>
              </w:rPr>
            </w:pPr>
            <w:r w:rsidRPr="000022C4">
              <w:rPr>
                <w:rFonts w:cs="Arial"/>
                <w:sz w:val="18"/>
                <w:szCs w:val="18"/>
              </w:rPr>
              <w:t>UPOV/EXN/GEN</w:t>
            </w:r>
          </w:p>
        </w:tc>
        <w:tc>
          <w:tcPr>
            <w:tcW w:w="4717" w:type="dxa"/>
          </w:tcPr>
          <w:p w:rsidR="003870AE" w:rsidRPr="000022C4" w:rsidRDefault="003870AE" w:rsidP="003870AE">
            <w:pPr>
              <w:jc w:val="left"/>
              <w:rPr>
                <w:rFonts w:cs="Arial"/>
                <w:sz w:val="18"/>
                <w:szCs w:val="18"/>
              </w:rPr>
            </w:pPr>
            <w:r w:rsidRPr="000022C4">
              <w:rPr>
                <w:rFonts w:cs="Arial"/>
                <w:sz w:val="18"/>
                <w:szCs w:val="18"/>
              </w:rPr>
              <w:t>Genera and Species to be Protected under the 1991 Act of the UPOV Convention</w:t>
            </w:r>
          </w:p>
        </w:tc>
        <w:tc>
          <w:tcPr>
            <w:tcW w:w="3912" w:type="dxa"/>
          </w:tcPr>
          <w:p w:rsidR="003870AE" w:rsidRPr="000022C4" w:rsidRDefault="003870AE" w:rsidP="003870AE">
            <w:pPr>
              <w:jc w:val="left"/>
              <w:rPr>
                <w:rFonts w:cs="Arial"/>
                <w:sz w:val="18"/>
                <w:szCs w:val="18"/>
              </w:rPr>
            </w:pPr>
            <w:r w:rsidRPr="000022C4">
              <w:rPr>
                <w:rFonts w:cs="Arial"/>
                <w:sz w:val="18"/>
                <w:szCs w:val="18"/>
              </w:rPr>
              <w:t>UPOV/EXN/GEN/1 adopted in October 2009</w:t>
            </w:r>
          </w:p>
        </w:tc>
      </w:tr>
      <w:tr w:rsidR="003870AE" w:rsidRPr="000022C4" w:rsidTr="003870AE">
        <w:trPr>
          <w:cantSplit/>
          <w:jc w:val="center"/>
        </w:trPr>
        <w:tc>
          <w:tcPr>
            <w:tcW w:w="1741" w:type="dxa"/>
          </w:tcPr>
          <w:p w:rsidR="003870AE" w:rsidRPr="000022C4" w:rsidRDefault="003870AE" w:rsidP="003870AE">
            <w:pPr>
              <w:jc w:val="left"/>
              <w:rPr>
                <w:rFonts w:cs="Arial"/>
                <w:sz w:val="18"/>
                <w:szCs w:val="18"/>
              </w:rPr>
            </w:pPr>
            <w:r w:rsidRPr="000022C4">
              <w:rPr>
                <w:rFonts w:cs="Arial"/>
                <w:sz w:val="18"/>
                <w:szCs w:val="18"/>
              </w:rPr>
              <w:t>UPOV/EXN/HRV</w:t>
            </w:r>
          </w:p>
        </w:tc>
        <w:tc>
          <w:tcPr>
            <w:tcW w:w="4717" w:type="dxa"/>
          </w:tcPr>
          <w:p w:rsidR="003870AE" w:rsidRPr="000022C4" w:rsidRDefault="003870AE" w:rsidP="003870AE">
            <w:pPr>
              <w:jc w:val="left"/>
              <w:rPr>
                <w:rFonts w:cs="Arial"/>
                <w:sz w:val="18"/>
                <w:szCs w:val="18"/>
              </w:rPr>
            </w:pPr>
            <w:r w:rsidRPr="000022C4">
              <w:rPr>
                <w:rFonts w:cs="Arial"/>
                <w:sz w:val="18"/>
                <w:szCs w:val="18"/>
              </w:rPr>
              <w:t>Acts in Respect of Harvested Material under the 1991 Act of the UPOV Convention</w:t>
            </w:r>
          </w:p>
        </w:tc>
        <w:tc>
          <w:tcPr>
            <w:tcW w:w="3912" w:type="dxa"/>
          </w:tcPr>
          <w:p w:rsidR="003870AE" w:rsidRPr="000022C4" w:rsidRDefault="003870AE" w:rsidP="00001960">
            <w:pPr>
              <w:jc w:val="left"/>
              <w:rPr>
                <w:rFonts w:cs="Arial"/>
                <w:color w:val="000000"/>
                <w:sz w:val="18"/>
                <w:szCs w:val="18"/>
              </w:rPr>
            </w:pPr>
            <w:r w:rsidRPr="000022C4">
              <w:rPr>
                <w:rFonts w:cs="Arial"/>
                <w:iCs/>
                <w:sz w:val="18"/>
                <w:szCs w:val="18"/>
              </w:rPr>
              <w:t>UPOV/EXN/HRV/1 adopted in October 2013</w:t>
            </w:r>
          </w:p>
        </w:tc>
      </w:tr>
      <w:tr w:rsidR="003870AE" w:rsidRPr="000022C4" w:rsidTr="003870AE">
        <w:trPr>
          <w:cantSplit/>
          <w:jc w:val="center"/>
        </w:trPr>
        <w:tc>
          <w:tcPr>
            <w:tcW w:w="1741" w:type="dxa"/>
          </w:tcPr>
          <w:p w:rsidR="003870AE" w:rsidRPr="000022C4" w:rsidRDefault="003870AE" w:rsidP="003870AE">
            <w:pPr>
              <w:jc w:val="left"/>
              <w:rPr>
                <w:rFonts w:cs="Arial"/>
                <w:sz w:val="18"/>
                <w:szCs w:val="18"/>
              </w:rPr>
            </w:pPr>
            <w:r w:rsidRPr="000022C4">
              <w:rPr>
                <w:rFonts w:cs="Arial"/>
                <w:sz w:val="18"/>
                <w:szCs w:val="18"/>
              </w:rPr>
              <w:t>UPOV/EXN/NAT</w:t>
            </w:r>
          </w:p>
        </w:tc>
        <w:tc>
          <w:tcPr>
            <w:tcW w:w="4717" w:type="dxa"/>
          </w:tcPr>
          <w:p w:rsidR="003870AE" w:rsidRPr="000022C4" w:rsidRDefault="003870AE" w:rsidP="003870AE">
            <w:pPr>
              <w:jc w:val="left"/>
              <w:rPr>
                <w:rFonts w:cs="Arial"/>
                <w:sz w:val="18"/>
                <w:szCs w:val="18"/>
              </w:rPr>
            </w:pPr>
            <w:r w:rsidRPr="000022C4">
              <w:rPr>
                <w:rFonts w:cs="Arial"/>
                <w:sz w:val="18"/>
                <w:szCs w:val="18"/>
              </w:rPr>
              <w:t>National Treatment under the 1991 Act of the UPOV Convention</w:t>
            </w:r>
          </w:p>
        </w:tc>
        <w:tc>
          <w:tcPr>
            <w:tcW w:w="3912" w:type="dxa"/>
          </w:tcPr>
          <w:p w:rsidR="003870AE" w:rsidRPr="000022C4" w:rsidRDefault="003870AE" w:rsidP="003870AE">
            <w:pPr>
              <w:jc w:val="left"/>
              <w:rPr>
                <w:rFonts w:cs="Arial"/>
                <w:sz w:val="18"/>
                <w:szCs w:val="18"/>
              </w:rPr>
            </w:pPr>
            <w:r w:rsidRPr="000022C4">
              <w:rPr>
                <w:rFonts w:cs="Arial"/>
                <w:sz w:val="18"/>
                <w:szCs w:val="18"/>
              </w:rPr>
              <w:t>UPOV/EXN/NAT/1 adopted in October 2009</w:t>
            </w:r>
          </w:p>
        </w:tc>
      </w:tr>
      <w:tr w:rsidR="003870AE" w:rsidRPr="000022C4" w:rsidTr="003870AE">
        <w:trPr>
          <w:cantSplit/>
          <w:jc w:val="center"/>
        </w:trPr>
        <w:tc>
          <w:tcPr>
            <w:tcW w:w="1741" w:type="dxa"/>
          </w:tcPr>
          <w:p w:rsidR="003870AE" w:rsidRPr="000022C4" w:rsidRDefault="003870AE" w:rsidP="003870AE">
            <w:pPr>
              <w:jc w:val="left"/>
              <w:rPr>
                <w:rFonts w:cs="Arial"/>
                <w:sz w:val="18"/>
                <w:szCs w:val="18"/>
              </w:rPr>
            </w:pPr>
            <w:r w:rsidRPr="000022C4">
              <w:rPr>
                <w:rFonts w:cs="Arial"/>
                <w:sz w:val="18"/>
                <w:szCs w:val="18"/>
              </w:rPr>
              <w:t>UPOV/EXN/NOV</w:t>
            </w:r>
          </w:p>
        </w:tc>
        <w:tc>
          <w:tcPr>
            <w:tcW w:w="4717" w:type="dxa"/>
          </w:tcPr>
          <w:p w:rsidR="003870AE" w:rsidRPr="000022C4" w:rsidRDefault="003870AE" w:rsidP="003870AE">
            <w:pPr>
              <w:jc w:val="left"/>
              <w:rPr>
                <w:rFonts w:cs="Arial"/>
                <w:sz w:val="18"/>
                <w:szCs w:val="18"/>
              </w:rPr>
            </w:pPr>
            <w:r w:rsidRPr="000022C4">
              <w:rPr>
                <w:rFonts w:cs="Arial"/>
                <w:sz w:val="18"/>
                <w:szCs w:val="18"/>
              </w:rPr>
              <w:t>Novelty under the UPOV Convention</w:t>
            </w:r>
          </w:p>
        </w:tc>
        <w:tc>
          <w:tcPr>
            <w:tcW w:w="3912" w:type="dxa"/>
          </w:tcPr>
          <w:p w:rsidR="003870AE" w:rsidRPr="000022C4" w:rsidRDefault="003870AE" w:rsidP="003870AE">
            <w:pPr>
              <w:jc w:val="left"/>
              <w:rPr>
                <w:rFonts w:cs="Arial"/>
                <w:sz w:val="18"/>
                <w:szCs w:val="18"/>
              </w:rPr>
            </w:pPr>
            <w:r w:rsidRPr="000022C4">
              <w:rPr>
                <w:rFonts w:cs="Arial"/>
                <w:sz w:val="18"/>
                <w:szCs w:val="18"/>
              </w:rPr>
              <w:t>UPOV/EXN/NOV/1 adopted in October 2009</w:t>
            </w:r>
          </w:p>
        </w:tc>
      </w:tr>
      <w:tr w:rsidR="003870AE" w:rsidRPr="000022C4" w:rsidTr="003870AE">
        <w:trPr>
          <w:cantSplit/>
          <w:jc w:val="center"/>
        </w:trPr>
        <w:tc>
          <w:tcPr>
            <w:tcW w:w="1741" w:type="dxa"/>
          </w:tcPr>
          <w:p w:rsidR="003870AE" w:rsidRPr="000022C4" w:rsidRDefault="003870AE" w:rsidP="003870AE">
            <w:pPr>
              <w:jc w:val="left"/>
              <w:rPr>
                <w:rFonts w:cs="Arial"/>
                <w:color w:val="000000"/>
                <w:sz w:val="18"/>
                <w:szCs w:val="18"/>
              </w:rPr>
            </w:pPr>
            <w:r w:rsidRPr="000022C4">
              <w:rPr>
                <w:rFonts w:cs="Arial"/>
                <w:color w:val="000000"/>
                <w:sz w:val="18"/>
                <w:szCs w:val="18"/>
              </w:rPr>
              <w:t>UPOV/EXN/NUL</w:t>
            </w:r>
          </w:p>
        </w:tc>
        <w:tc>
          <w:tcPr>
            <w:tcW w:w="4717" w:type="dxa"/>
          </w:tcPr>
          <w:p w:rsidR="003870AE" w:rsidRPr="000022C4" w:rsidRDefault="003870AE" w:rsidP="003870AE">
            <w:pPr>
              <w:jc w:val="left"/>
              <w:rPr>
                <w:rFonts w:cs="Arial"/>
                <w:sz w:val="18"/>
                <w:szCs w:val="18"/>
              </w:rPr>
            </w:pPr>
            <w:r w:rsidRPr="000022C4">
              <w:rPr>
                <w:rFonts w:cs="Arial"/>
                <w:sz w:val="18"/>
                <w:szCs w:val="18"/>
              </w:rPr>
              <w:t>Nullity of the Breeder’s Right under the UPOV Convention</w:t>
            </w:r>
          </w:p>
        </w:tc>
        <w:tc>
          <w:tcPr>
            <w:tcW w:w="3912" w:type="dxa"/>
          </w:tcPr>
          <w:p w:rsidR="003870AE" w:rsidRPr="00D90646" w:rsidRDefault="003870AE" w:rsidP="003870AE">
            <w:pPr>
              <w:jc w:val="left"/>
              <w:rPr>
                <w:rFonts w:cs="Arial"/>
                <w:sz w:val="18"/>
                <w:szCs w:val="18"/>
              </w:rPr>
            </w:pPr>
            <w:r w:rsidRPr="00D90646">
              <w:rPr>
                <w:rFonts w:cs="Arial"/>
                <w:color w:val="000000"/>
                <w:sz w:val="18"/>
                <w:szCs w:val="18"/>
              </w:rPr>
              <w:t xml:space="preserve">UPOV/EXN/NUL/1 </w:t>
            </w:r>
            <w:r w:rsidRPr="00D90646">
              <w:rPr>
                <w:rFonts w:cs="Arial"/>
                <w:sz w:val="18"/>
                <w:szCs w:val="18"/>
              </w:rPr>
              <w:t>adopted in October 2009</w:t>
            </w:r>
          </w:p>
          <w:p w:rsidR="003870AE" w:rsidRPr="000022C4" w:rsidRDefault="003870AE" w:rsidP="00FF52FC">
            <w:pPr>
              <w:jc w:val="left"/>
              <w:rPr>
                <w:rFonts w:cs="Arial"/>
                <w:sz w:val="18"/>
                <w:szCs w:val="18"/>
              </w:rPr>
            </w:pPr>
            <w:r w:rsidRPr="00D90646">
              <w:rPr>
                <w:rFonts w:cs="Arial"/>
                <w:spacing w:val="-2"/>
                <w:sz w:val="18"/>
                <w:szCs w:val="18"/>
              </w:rPr>
              <w:t>UPOV/EXN/NUL/2 Draft </w:t>
            </w:r>
            <w:r w:rsidR="00FF52FC" w:rsidRPr="00D90646">
              <w:rPr>
                <w:rFonts w:cs="Arial"/>
                <w:spacing w:val="-2"/>
                <w:sz w:val="18"/>
                <w:szCs w:val="18"/>
              </w:rPr>
              <w:t>4</w:t>
            </w:r>
            <w:r w:rsidRPr="00D90646">
              <w:rPr>
                <w:rFonts w:cs="Arial"/>
                <w:spacing w:val="-2"/>
                <w:sz w:val="18"/>
                <w:szCs w:val="18"/>
              </w:rPr>
              <w:t xml:space="preserve"> to be considered by the </w:t>
            </w:r>
            <w:r w:rsidR="00FF52FC" w:rsidRPr="00D90646">
              <w:rPr>
                <w:rFonts w:cs="Arial"/>
                <w:spacing w:val="-2"/>
                <w:sz w:val="18"/>
                <w:szCs w:val="18"/>
              </w:rPr>
              <w:t>Council in October 2015</w:t>
            </w:r>
          </w:p>
        </w:tc>
      </w:tr>
      <w:tr w:rsidR="003870AE" w:rsidRPr="000022C4" w:rsidTr="003870AE">
        <w:trPr>
          <w:cantSplit/>
          <w:jc w:val="center"/>
        </w:trPr>
        <w:tc>
          <w:tcPr>
            <w:tcW w:w="1741" w:type="dxa"/>
            <w:tcBorders>
              <w:bottom w:val="single" w:sz="2" w:space="0" w:color="auto"/>
            </w:tcBorders>
          </w:tcPr>
          <w:p w:rsidR="003870AE" w:rsidRPr="000022C4" w:rsidRDefault="003870AE" w:rsidP="003870AE">
            <w:pPr>
              <w:jc w:val="left"/>
              <w:rPr>
                <w:rFonts w:cs="Arial"/>
                <w:sz w:val="18"/>
                <w:szCs w:val="18"/>
              </w:rPr>
            </w:pPr>
            <w:r w:rsidRPr="000022C4">
              <w:rPr>
                <w:rFonts w:cs="Arial"/>
                <w:sz w:val="18"/>
                <w:szCs w:val="18"/>
              </w:rPr>
              <w:t>UPOV/EXN/PPM</w:t>
            </w:r>
          </w:p>
        </w:tc>
        <w:tc>
          <w:tcPr>
            <w:tcW w:w="4717" w:type="dxa"/>
            <w:tcBorders>
              <w:bottom w:val="single" w:sz="2" w:space="0" w:color="auto"/>
            </w:tcBorders>
          </w:tcPr>
          <w:p w:rsidR="003870AE" w:rsidRPr="000022C4" w:rsidRDefault="003870AE" w:rsidP="003870AE">
            <w:pPr>
              <w:jc w:val="left"/>
              <w:rPr>
                <w:rFonts w:cs="Arial"/>
                <w:sz w:val="18"/>
                <w:szCs w:val="18"/>
              </w:rPr>
            </w:pPr>
            <w:r w:rsidRPr="000022C4">
              <w:rPr>
                <w:rFonts w:cs="Arial"/>
                <w:sz w:val="18"/>
                <w:szCs w:val="18"/>
              </w:rPr>
              <w:t xml:space="preserve">Propagating Material under the </w:t>
            </w:r>
            <w:r>
              <w:rPr>
                <w:rFonts w:cs="Arial"/>
                <w:sz w:val="18"/>
                <w:szCs w:val="18"/>
              </w:rPr>
              <w:t xml:space="preserve">1991 Act of the </w:t>
            </w:r>
            <w:r w:rsidRPr="000022C4">
              <w:rPr>
                <w:rFonts w:cs="Arial"/>
                <w:sz w:val="18"/>
                <w:szCs w:val="18"/>
              </w:rPr>
              <w:t>UPOV Convention</w:t>
            </w:r>
          </w:p>
        </w:tc>
        <w:tc>
          <w:tcPr>
            <w:tcW w:w="3912" w:type="dxa"/>
            <w:tcBorders>
              <w:bottom w:val="single" w:sz="2" w:space="0" w:color="auto"/>
            </w:tcBorders>
          </w:tcPr>
          <w:p w:rsidR="003870AE" w:rsidRPr="000022C4" w:rsidRDefault="003870AE" w:rsidP="00001960">
            <w:pPr>
              <w:jc w:val="left"/>
              <w:rPr>
                <w:rFonts w:cs="Arial"/>
                <w:spacing w:val="-2"/>
                <w:sz w:val="18"/>
                <w:szCs w:val="18"/>
              </w:rPr>
            </w:pPr>
            <w:r w:rsidRPr="00D90646">
              <w:rPr>
                <w:rFonts w:cs="Arial"/>
                <w:spacing w:val="-2"/>
                <w:sz w:val="18"/>
                <w:szCs w:val="18"/>
              </w:rPr>
              <w:t>UPOV/EXN/PPM/1 Draft </w:t>
            </w:r>
            <w:r w:rsidR="00001960" w:rsidRPr="00D90646">
              <w:rPr>
                <w:rFonts w:cs="Arial"/>
                <w:spacing w:val="-2"/>
                <w:sz w:val="18"/>
                <w:szCs w:val="18"/>
              </w:rPr>
              <w:t>5</w:t>
            </w:r>
            <w:r w:rsidRPr="00D90646">
              <w:rPr>
                <w:rFonts w:cs="Arial"/>
                <w:spacing w:val="-2"/>
                <w:sz w:val="18"/>
                <w:szCs w:val="18"/>
              </w:rPr>
              <w:t xml:space="preserve"> to be considered by the CAJ in </w:t>
            </w:r>
            <w:r w:rsidR="00001960" w:rsidRPr="00D90646">
              <w:rPr>
                <w:rFonts w:cs="Arial"/>
                <w:spacing w:val="-2"/>
                <w:sz w:val="18"/>
                <w:szCs w:val="18"/>
              </w:rPr>
              <w:t xml:space="preserve">October </w:t>
            </w:r>
            <w:r w:rsidRPr="00D90646">
              <w:rPr>
                <w:rFonts w:cs="Arial"/>
                <w:spacing w:val="-2"/>
                <w:sz w:val="18"/>
                <w:szCs w:val="18"/>
              </w:rPr>
              <w:t xml:space="preserve"> 2015</w:t>
            </w:r>
          </w:p>
        </w:tc>
      </w:tr>
      <w:tr w:rsidR="003870AE" w:rsidRPr="000022C4" w:rsidTr="003870AE">
        <w:trPr>
          <w:cantSplit/>
          <w:jc w:val="center"/>
        </w:trPr>
        <w:tc>
          <w:tcPr>
            <w:tcW w:w="1741" w:type="dxa"/>
          </w:tcPr>
          <w:p w:rsidR="003870AE" w:rsidRPr="000022C4" w:rsidRDefault="003870AE" w:rsidP="003870AE">
            <w:pPr>
              <w:jc w:val="left"/>
              <w:rPr>
                <w:rFonts w:cs="Arial"/>
                <w:sz w:val="18"/>
                <w:szCs w:val="18"/>
              </w:rPr>
            </w:pPr>
            <w:r w:rsidRPr="000022C4">
              <w:rPr>
                <w:rFonts w:cs="Arial"/>
                <w:sz w:val="18"/>
                <w:szCs w:val="18"/>
              </w:rPr>
              <w:t>UPOV/EXN/PRI</w:t>
            </w:r>
          </w:p>
        </w:tc>
        <w:tc>
          <w:tcPr>
            <w:tcW w:w="4717" w:type="dxa"/>
          </w:tcPr>
          <w:p w:rsidR="003870AE" w:rsidRPr="000022C4" w:rsidRDefault="003870AE" w:rsidP="003870AE">
            <w:pPr>
              <w:jc w:val="left"/>
              <w:rPr>
                <w:rFonts w:cs="Arial"/>
                <w:sz w:val="18"/>
                <w:szCs w:val="18"/>
              </w:rPr>
            </w:pPr>
            <w:r w:rsidRPr="000022C4">
              <w:rPr>
                <w:rFonts w:cs="Arial"/>
                <w:sz w:val="18"/>
                <w:szCs w:val="18"/>
              </w:rPr>
              <w:t>Right of Priority under the UPOV Convention</w:t>
            </w:r>
          </w:p>
        </w:tc>
        <w:tc>
          <w:tcPr>
            <w:tcW w:w="3912" w:type="dxa"/>
          </w:tcPr>
          <w:p w:rsidR="003870AE" w:rsidRPr="000022C4" w:rsidRDefault="003870AE" w:rsidP="003870AE">
            <w:pPr>
              <w:jc w:val="left"/>
              <w:rPr>
                <w:rFonts w:cs="Arial"/>
                <w:sz w:val="18"/>
                <w:szCs w:val="18"/>
              </w:rPr>
            </w:pPr>
            <w:r w:rsidRPr="000022C4">
              <w:rPr>
                <w:rFonts w:cs="Arial"/>
                <w:sz w:val="18"/>
                <w:szCs w:val="18"/>
              </w:rPr>
              <w:t>UPOV/EXN/PRI/1 adopted in October 2009</w:t>
            </w:r>
          </w:p>
        </w:tc>
      </w:tr>
      <w:tr w:rsidR="003870AE" w:rsidRPr="000022C4" w:rsidTr="003870AE">
        <w:trPr>
          <w:cantSplit/>
          <w:jc w:val="center"/>
        </w:trPr>
        <w:tc>
          <w:tcPr>
            <w:tcW w:w="1741" w:type="dxa"/>
          </w:tcPr>
          <w:p w:rsidR="003870AE" w:rsidRPr="000022C4" w:rsidRDefault="003870AE" w:rsidP="003870AE">
            <w:pPr>
              <w:jc w:val="left"/>
              <w:rPr>
                <w:rFonts w:cs="Arial"/>
                <w:sz w:val="18"/>
                <w:szCs w:val="18"/>
              </w:rPr>
            </w:pPr>
            <w:r w:rsidRPr="000022C4">
              <w:rPr>
                <w:rFonts w:cs="Arial"/>
                <w:sz w:val="18"/>
                <w:szCs w:val="18"/>
              </w:rPr>
              <w:t>UPOV/EXN/PRP</w:t>
            </w:r>
          </w:p>
        </w:tc>
        <w:tc>
          <w:tcPr>
            <w:tcW w:w="4717" w:type="dxa"/>
          </w:tcPr>
          <w:p w:rsidR="003870AE" w:rsidRPr="000022C4" w:rsidRDefault="003870AE" w:rsidP="003870AE">
            <w:pPr>
              <w:jc w:val="left"/>
              <w:rPr>
                <w:rFonts w:cs="Arial"/>
                <w:sz w:val="18"/>
                <w:szCs w:val="18"/>
              </w:rPr>
            </w:pPr>
            <w:r w:rsidRPr="000022C4">
              <w:rPr>
                <w:rFonts w:cs="Arial"/>
                <w:sz w:val="18"/>
                <w:szCs w:val="18"/>
              </w:rPr>
              <w:t>Provisional Protection under the UPOV Convention</w:t>
            </w:r>
          </w:p>
        </w:tc>
        <w:tc>
          <w:tcPr>
            <w:tcW w:w="3912" w:type="dxa"/>
          </w:tcPr>
          <w:p w:rsidR="003870AE" w:rsidRPr="000022C4" w:rsidRDefault="003870AE" w:rsidP="00B64941">
            <w:pPr>
              <w:jc w:val="left"/>
              <w:rPr>
                <w:rFonts w:cs="Arial"/>
                <w:spacing w:val="-2"/>
                <w:sz w:val="18"/>
                <w:szCs w:val="18"/>
              </w:rPr>
            </w:pPr>
            <w:r w:rsidRPr="000022C4">
              <w:rPr>
                <w:rFonts w:cs="Arial"/>
                <w:sz w:val="18"/>
                <w:szCs w:val="18"/>
              </w:rPr>
              <w:t>UPOV/EXN/PRP/1 adopted in October 2009</w:t>
            </w:r>
            <w:r w:rsidRPr="000022C4">
              <w:rPr>
                <w:rFonts w:cs="Arial"/>
                <w:sz w:val="18"/>
                <w:szCs w:val="18"/>
              </w:rPr>
              <w:br/>
            </w:r>
            <w:r w:rsidRPr="00D90646">
              <w:rPr>
                <w:rFonts w:cs="Arial"/>
                <w:spacing w:val="-2"/>
                <w:sz w:val="18"/>
                <w:szCs w:val="18"/>
              </w:rPr>
              <w:t>UPOV/EXN/PRP/2 Draft </w:t>
            </w:r>
            <w:r w:rsidR="00B64941" w:rsidRPr="00D90646">
              <w:rPr>
                <w:rFonts w:cs="Arial"/>
                <w:spacing w:val="-2"/>
                <w:sz w:val="18"/>
                <w:szCs w:val="18"/>
              </w:rPr>
              <w:t>4</w:t>
            </w:r>
            <w:r w:rsidRPr="00D90646">
              <w:rPr>
                <w:rFonts w:cs="Arial"/>
                <w:spacing w:val="-2"/>
                <w:sz w:val="18"/>
                <w:szCs w:val="18"/>
              </w:rPr>
              <w:t xml:space="preserve"> to be considered by the </w:t>
            </w:r>
            <w:r w:rsidR="00B64941" w:rsidRPr="00D90646">
              <w:rPr>
                <w:rFonts w:cs="Arial"/>
                <w:spacing w:val="-2"/>
                <w:sz w:val="18"/>
                <w:szCs w:val="18"/>
              </w:rPr>
              <w:t xml:space="preserve">Council in October </w:t>
            </w:r>
            <w:r w:rsidRPr="00D90646">
              <w:rPr>
                <w:rFonts w:cs="Arial"/>
                <w:spacing w:val="-2"/>
                <w:sz w:val="18"/>
                <w:szCs w:val="18"/>
              </w:rPr>
              <w:t>2015</w:t>
            </w:r>
          </w:p>
        </w:tc>
      </w:tr>
      <w:tr w:rsidR="003870AE" w:rsidRPr="00913032" w:rsidTr="003870AE">
        <w:trPr>
          <w:cantSplit/>
          <w:jc w:val="center"/>
        </w:trPr>
        <w:tc>
          <w:tcPr>
            <w:tcW w:w="1741" w:type="dxa"/>
            <w:tcBorders>
              <w:bottom w:val="single" w:sz="2" w:space="0" w:color="auto"/>
            </w:tcBorders>
          </w:tcPr>
          <w:p w:rsidR="003870AE" w:rsidRPr="000022C4" w:rsidRDefault="003870AE" w:rsidP="003870AE">
            <w:pPr>
              <w:jc w:val="left"/>
              <w:rPr>
                <w:rFonts w:cs="Arial"/>
                <w:sz w:val="18"/>
                <w:szCs w:val="18"/>
              </w:rPr>
            </w:pPr>
            <w:r w:rsidRPr="000022C4">
              <w:rPr>
                <w:rFonts w:cs="Arial"/>
                <w:sz w:val="18"/>
                <w:szCs w:val="18"/>
              </w:rPr>
              <w:t>UPOV/EXN/VAR</w:t>
            </w:r>
          </w:p>
        </w:tc>
        <w:tc>
          <w:tcPr>
            <w:tcW w:w="4717" w:type="dxa"/>
            <w:tcBorders>
              <w:bottom w:val="single" w:sz="2" w:space="0" w:color="auto"/>
            </w:tcBorders>
          </w:tcPr>
          <w:p w:rsidR="003870AE" w:rsidRPr="000022C4" w:rsidRDefault="003870AE" w:rsidP="003870AE">
            <w:pPr>
              <w:jc w:val="left"/>
              <w:rPr>
                <w:rFonts w:cs="Arial"/>
                <w:sz w:val="18"/>
                <w:szCs w:val="18"/>
              </w:rPr>
            </w:pPr>
            <w:r w:rsidRPr="000022C4">
              <w:rPr>
                <w:rFonts w:cs="Arial"/>
                <w:sz w:val="18"/>
                <w:szCs w:val="18"/>
              </w:rPr>
              <w:t>Definition of Variety under the 1991 Act of the UPOV Convention</w:t>
            </w:r>
          </w:p>
        </w:tc>
        <w:tc>
          <w:tcPr>
            <w:tcW w:w="3912" w:type="dxa"/>
            <w:tcBorders>
              <w:bottom w:val="single" w:sz="2" w:space="0" w:color="auto"/>
            </w:tcBorders>
          </w:tcPr>
          <w:p w:rsidR="003870AE" w:rsidRPr="00913032" w:rsidRDefault="003870AE" w:rsidP="003870AE">
            <w:pPr>
              <w:jc w:val="left"/>
              <w:rPr>
                <w:rFonts w:cs="Arial"/>
                <w:sz w:val="18"/>
                <w:szCs w:val="18"/>
              </w:rPr>
            </w:pPr>
            <w:r w:rsidRPr="000022C4">
              <w:rPr>
                <w:rFonts w:cs="Arial"/>
                <w:sz w:val="18"/>
                <w:szCs w:val="18"/>
              </w:rPr>
              <w:t>UPOV/EXN/VAR/1 adopted in October 2010</w:t>
            </w:r>
          </w:p>
        </w:tc>
      </w:tr>
    </w:tbl>
    <w:p w:rsidR="003870AE" w:rsidRPr="000022C4" w:rsidRDefault="003870AE" w:rsidP="003870AE">
      <w:r w:rsidRPr="00913032">
        <w:rPr>
          <w:sz w:val="18"/>
          <w:szCs w:val="18"/>
        </w:rPr>
        <w:br w:type="page"/>
      </w:r>
      <w:r w:rsidRPr="000022C4">
        <w:lastRenderedPageBreak/>
        <w:t>INFORMATION DOCUMENTS</w:t>
      </w:r>
    </w:p>
    <w:p w:rsidR="003870AE" w:rsidRPr="000022C4" w:rsidRDefault="003870AE" w:rsidP="003870AE"/>
    <w:tbl>
      <w:tblPr>
        <w:tblW w:w="104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58"/>
        <w:gridCol w:w="4807"/>
        <w:gridCol w:w="3920"/>
      </w:tblGrid>
      <w:tr w:rsidR="003870AE" w:rsidRPr="00B64941" w:rsidTr="003870AE">
        <w:trPr>
          <w:cantSplit/>
          <w:jc w:val="center"/>
        </w:trPr>
        <w:tc>
          <w:tcPr>
            <w:tcW w:w="1758" w:type="dxa"/>
            <w:tcBorders>
              <w:top w:val="single" w:sz="4" w:space="0" w:color="auto"/>
              <w:left w:val="single" w:sz="2" w:space="0" w:color="auto"/>
              <w:bottom w:val="single" w:sz="2" w:space="0" w:color="auto"/>
              <w:right w:val="single" w:sz="2" w:space="0" w:color="auto"/>
            </w:tcBorders>
            <w:shd w:val="clear" w:color="auto" w:fill="D9D9D9"/>
          </w:tcPr>
          <w:p w:rsidR="003870AE" w:rsidRPr="00B64941" w:rsidRDefault="003870AE" w:rsidP="003870AE">
            <w:pPr>
              <w:jc w:val="left"/>
              <w:rPr>
                <w:rFonts w:cs="Arial"/>
                <w:sz w:val="18"/>
                <w:szCs w:val="18"/>
              </w:rPr>
            </w:pPr>
            <w:r w:rsidRPr="00B64941">
              <w:rPr>
                <w:rFonts w:cs="Arial"/>
                <w:sz w:val="18"/>
                <w:szCs w:val="18"/>
              </w:rPr>
              <w:t>Latest reference</w:t>
            </w:r>
          </w:p>
        </w:tc>
        <w:tc>
          <w:tcPr>
            <w:tcW w:w="4807" w:type="dxa"/>
            <w:tcBorders>
              <w:top w:val="single" w:sz="4" w:space="0" w:color="auto"/>
              <w:left w:val="single" w:sz="2" w:space="0" w:color="auto"/>
              <w:bottom w:val="single" w:sz="2" w:space="0" w:color="auto"/>
              <w:right w:val="single" w:sz="2" w:space="0" w:color="auto"/>
            </w:tcBorders>
            <w:shd w:val="clear" w:color="auto" w:fill="D9D9D9"/>
          </w:tcPr>
          <w:p w:rsidR="003870AE" w:rsidRPr="00B64941" w:rsidRDefault="003870AE" w:rsidP="003870AE">
            <w:pPr>
              <w:jc w:val="center"/>
              <w:rPr>
                <w:rFonts w:cs="Arial"/>
                <w:sz w:val="18"/>
                <w:szCs w:val="18"/>
              </w:rPr>
            </w:pPr>
            <w:r w:rsidRPr="00B64941">
              <w:rPr>
                <w:rFonts w:cs="Arial"/>
                <w:sz w:val="18"/>
                <w:szCs w:val="18"/>
              </w:rPr>
              <w:t>INF documents</w:t>
            </w:r>
          </w:p>
        </w:tc>
        <w:tc>
          <w:tcPr>
            <w:tcW w:w="3920" w:type="dxa"/>
            <w:tcBorders>
              <w:top w:val="single" w:sz="4" w:space="0" w:color="auto"/>
              <w:left w:val="single" w:sz="2" w:space="0" w:color="auto"/>
              <w:bottom w:val="single" w:sz="2" w:space="0" w:color="auto"/>
              <w:right w:val="single" w:sz="2" w:space="0" w:color="auto"/>
            </w:tcBorders>
            <w:shd w:val="clear" w:color="auto" w:fill="D9D9D9"/>
          </w:tcPr>
          <w:p w:rsidR="003870AE" w:rsidRPr="00B64941" w:rsidRDefault="003870AE" w:rsidP="003870AE">
            <w:pPr>
              <w:jc w:val="left"/>
              <w:rPr>
                <w:rFonts w:cs="Arial"/>
                <w:sz w:val="18"/>
                <w:szCs w:val="18"/>
              </w:rPr>
            </w:pPr>
            <w:r w:rsidRPr="00B64941">
              <w:rPr>
                <w:rFonts w:cs="Arial"/>
                <w:sz w:val="18"/>
                <w:szCs w:val="18"/>
              </w:rPr>
              <w:t>Status</w:t>
            </w:r>
          </w:p>
        </w:tc>
      </w:tr>
      <w:tr w:rsidR="003870AE" w:rsidRPr="00B64941" w:rsidTr="003870AE">
        <w:trPr>
          <w:cantSplit/>
          <w:jc w:val="center"/>
        </w:trPr>
        <w:tc>
          <w:tcPr>
            <w:tcW w:w="1758" w:type="dxa"/>
          </w:tcPr>
          <w:p w:rsidR="003870AE" w:rsidRPr="00B64941" w:rsidRDefault="003870AE" w:rsidP="003870AE">
            <w:pPr>
              <w:jc w:val="left"/>
              <w:rPr>
                <w:rFonts w:cs="Arial"/>
                <w:sz w:val="18"/>
                <w:szCs w:val="18"/>
              </w:rPr>
            </w:pPr>
            <w:r w:rsidRPr="00B64941">
              <w:rPr>
                <w:rFonts w:cs="Arial"/>
                <w:sz w:val="18"/>
                <w:szCs w:val="18"/>
              </w:rPr>
              <w:t>UPOV/INF-EXN</w:t>
            </w:r>
          </w:p>
        </w:tc>
        <w:tc>
          <w:tcPr>
            <w:tcW w:w="4807" w:type="dxa"/>
          </w:tcPr>
          <w:p w:rsidR="003870AE" w:rsidRPr="00B64941" w:rsidRDefault="003870AE" w:rsidP="003870AE">
            <w:pPr>
              <w:jc w:val="left"/>
              <w:rPr>
                <w:rFonts w:cs="Arial"/>
                <w:sz w:val="18"/>
                <w:szCs w:val="18"/>
              </w:rPr>
            </w:pPr>
            <w:r w:rsidRPr="00B64941">
              <w:rPr>
                <w:rFonts w:cs="Arial"/>
                <w:sz w:val="18"/>
                <w:szCs w:val="18"/>
              </w:rPr>
              <w:t>List of UPOV/INF-EXN Documents and Latest Issue Dates</w:t>
            </w:r>
          </w:p>
        </w:tc>
        <w:tc>
          <w:tcPr>
            <w:tcW w:w="3920" w:type="dxa"/>
          </w:tcPr>
          <w:p w:rsidR="00AC4B94" w:rsidRDefault="00AC4B94" w:rsidP="004440F7">
            <w:pPr>
              <w:jc w:val="left"/>
              <w:rPr>
                <w:rFonts w:cs="Arial"/>
                <w:sz w:val="18"/>
                <w:szCs w:val="18"/>
              </w:rPr>
            </w:pPr>
            <w:r w:rsidRPr="004440F7">
              <w:rPr>
                <w:rFonts w:cs="Arial"/>
                <w:sz w:val="18"/>
                <w:szCs w:val="18"/>
              </w:rPr>
              <w:t>UPOV/INF-EXN/</w:t>
            </w:r>
            <w:r>
              <w:rPr>
                <w:rFonts w:cs="Arial"/>
                <w:sz w:val="18"/>
                <w:szCs w:val="18"/>
              </w:rPr>
              <w:t xml:space="preserve">7 adopted </w:t>
            </w:r>
            <w:r w:rsidRPr="004440F7">
              <w:rPr>
                <w:rFonts w:cs="Arial"/>
                <w:sz w:val="18"/>
                <w:szCs w:val="18"/>
              </w:rPr>
              <w:t>by</w:t>
            </w:r>
            <w:r w:rsidRPr="004440F7">
              <w:rPr>
                <w:rFonts w:cs="Arial"/>
                <w:spacing w:val="-2"/>
                <w:sz w:val="18"/>
                <w:szCs w:val="18"/>
              </w:rPr>
              <w:t xml:space="preserve"> the Council in </w:t>
            </w:r>
            <w:r>
              <w:rPr>
                <w:rFonts w:cs="Arial"/>
                <w:spacing w:val="-2"/>
                <w:sz w:val="18"/>
                <w:szCs w:val="18"/>
              </w:rPr>
              <w:t>March 2015</w:t>
            </w:r>
          </w:p>
          <w:p w:rsidR="003870AE" w:rsidRPr="00B64941" w:rsidRDefault="003870AE" w:rsidP="004440F7">
            <w:pPr>
              <w:jc w:val="left"/>
              <w:rPr>
                <w:rFonts w:cs="Arial"/>
                <w:sz w:val="18"/>
                <w:szCs w:val="18"/>
              </w:rPr>
            </w:pPr>
            <w:r w:rsidRPr="004440F7">
              <w:rPr>
                <w:rFonts w:cs="Arial"/>
                <w:sz w:val="18"/>
                <w:szCs w:val="18"/>
              </w:rPr>
              <w:t>UPOV/INF-EXN/</w:t>
            </w:r>
            <w:r w:rsidR="003C10A6" w:rsidRPr="004440F7">
              <w:rPr>
                <w:rFonts w:cs="Arial"/>
                <w:sz w:val="18"/>
                <w:szCs w:val="18"/>
              </w:rPr>
              <w:t>8</w:t>
            </w:r>
            <w:r w:rsidRPr="004440F7">
              <w:rPr>
                <w:rFonts w:cs="Arial"/>
                <w:sz w:val="18"/>
                <w:szCs w:val="18"/>
              </w:rPr>
              <w:t xml:space="preserve"> Draft 1</w:t>
            </w:r>
            <w:r w:rsidRPr="00D90646">
              <w:rPr>
                <w:rFonts w:cs="Arial"/>
                <w:sz w:val="18"/>
                <w:szCs w:val="18"/>
              </w:rPr>
              <w:t xml:space="preserve"> to be considered by the Council in </w:t>
            </w:r>
            <w:r w:rsidR="003C10A6" w:rsidRPr="00D90646">
              <w:rPr>
                <w:rFonts w:cs="Arial"/>
                <w:sz w:val="18"/>
                <w:szCs w:val="18"/>
              </w:rPr>
              <w:t xml:space="preserve">October </w:t>
            </w:r>
            <w:r w:rsidRPr="00D90646">
              <w:rPr>
                <w:rFonts w:cs="Arial"/>
                <w:sz w:val="18"/>
                <w:szCs w:val="18"/>
              </w:rPr>
              <w:t>2015</w:t>
            </w:r>
          </w:p>
        </w:tc>
      </w:tr>
      <w:tr w:rsidR="003870AE" w:rsidRPr="00B64941" w:rsidTr="003870AE">
        <w:trPr>
          <w:cantSplit/>
          <w:jc w:val="center"/>
        </w:trPr>
        <w:tc>
          <w:tcPr>
            <w:tcW w:w="1758" w:type="dxa"/>
          </w:tcPr>
          <w:p w:rsidR="003870AE" w:rsidRPr="00B64941" w:rsidRDefault="003870AE" w:rsidP="003870AE">
            <w:pPr>
              <w:jc w:val="left"/>
              <w:rPr>
                <w:rFonts w:cs="Arial"/>
                <w:sz w:val="18"/>
                <w:szCs w:val="18"/>
              </w:rPr>
            </w:pPr>
            <w:r w:rsidRPr="00B64941">
              <w:rPr>
                <w:rFonts w:cs="Arial"/>
                <w:sz w:val="18"/>
                <w:szCs w:val="18"/>
              </w:rPr>
              <w:t>UPOV/INF/4</w:t>
            </w:r>
          </w:p>
        </w:tc>
        <w:tc>
          <w:tcPr>
            <w:tcW w:w="4807" w:type="dxa"/>
          </w:tcPr>
          <w:p w:rsidR="003870AE" w:rsidRPr="00B64941" w:rsidRDefault="003870AE" w:rsidP="003870AE">
            <w:pPr>
              <w:jc w:val="left"/>
              <w:rPr>
                <w:rFonts w:cs="Arial"/>
                <w:sz w:val="18"/>
                <w:szCs w:val="18"/>
              </w:rPr>
            </w:pPr>
            <w:r w:rsidRPr="00B64941">
              <w:rPr>
                <w:rFonts w:cs="Arial"/>
                <w:sz w:val="18"/>
                <w:szCs w:val="18"/>
              </w:rPr>
              <w:t>Financial Regulations and Rules of UPOV</w:t>
            </w:r>
          </w:p>
        </w:tc>
        <w:tc>
          <w:tcPr>
            <w:tcW w:w="3920" w:type="dxa"/>
          </w:tcPr>
          <w:p w:rsidR="003870AE" w:rsidRPr="004440F7" w:rsidRDefault="004440F7" w:rsidP="004440F7">
            <w:pPr>
              <w:jc w:val="left"/>
              <w:rPr>
                <w:rFonts w:cs="Arial"/>
                <w:sz w:val="18"/>
                <w:szCs w:val="18"/>
              </w:rPr>
            </w:pPr>
            <w:r w:rsidRPr="004440F7">
              <w:rPr>
                <w:rFonts w:cs="Arial"/>
                <w:sz w:val="18"/>
                <w:szCs w:val="18"/>
              </w:rPr>
              <w:t>UPOV/INF/</w:t>
            </w:r>
            <w:r>
              <w:rPr>
                <w:rFonts w:cs="Arial"/>
                <w:sz w:val="18"/>
                <w:szCs w:val="18"/>
              </w:rPr>
              <w:t>4</w:t>
            </w:r>
            <w:r w:rsidRPr="004440F7">
              <w:rPr>
                <w:rFonts w:cs="Arial"/>
                <w:sz w:val="18"/>
                <w:szCs w:val="18"/>
              </w:rPr>
              <w:t>/</w:t>
            </w:r>
            <w:r>
              <w:rPr>
                <w:rFonts w:cs="Arial"/>
                <w:sz w:val="18"/>
                <w:szCs w:val="18"/>
              </w:rPr>
              <w:t>4</w:t>
            </w:r>
            <w:r w:rsidR="003870AE" w:rsidRPr="004440F7">
              <w:rPr>
                <w:rFonts w:cs="Arial"/>
                <w:sz w:val="18"/>
                <w:szCs w:val="18"/>
              </w:rPr>
              <w:t xml:space="preserve"> </w:t>
            </w:r>
            <w:r>
              <w:rPr>
                <w:rFonts w:cs="Arial"/>
                <w:sz w:val="18"/>
                <w:szCs w:val="18"/>
              </w:rPr>
              <w:t xml:space="preserve">adopted </w:t>
            </w:r>
            <w:r w:rsidR="003870AE" w:rsidRPr="004440F7">
              <w:rPr>
                <w:rFonts w:cs="Arial"/>
                <w:sz w:val="18"/>
                <w:szCs w:val="18"/>
              </w:rPr>
              <w:t>by</w:t>
            </w:r>
            <w:r w:rsidR="003870AE" w:rsidRPr="004440F7">
              <w:rPr>
                <w:rFonts w:cs="Arial"/>
                <w:spacing w:val="-2"/>
                <w:sz w:val="18"/>
                <w:szCs w:val="18"/>
              </w:rPr>
              <w:t xml:space="preserve"> the Council in </w:t>
            </w:r>
            <w:r>
              <w:rPr>
                <w:rFonts w:cs="Arial"/>
                <w:spacing w:val="-2"/>
                <w:sz w:val="18"/>
                <w:szCs w:val="18"/>
              </w:rPr>
              <w:t>March 2015</w:t>
            </w:r>
          </w:p>
        </w:tc>
      </w:tr>
      <w:tr w:rsidR="003870AE" w:rsidRPr="00B64941" w:rsidTr="003870AE">
        <w:trPr>
          <w:cantSplit/>
          <w:jc w:val="center"/>
        </w:trPr>
        <w:tc>
          <w:tcPr>
            <w:tcW w:w="1758" w:type="dxa"/>
          </w:tcPr>
          <w:p w:rsidR="003870AE" w:rsidRPr="00B64941" w:rsidRDefault="003870AE" w:rsidP="003870AE">
            <w:pPr>
              <w:jc w:val="left"/>
              <w:rPr>
                <w:rFonts w:cs="Arial"/>
                <w:sz w:val="18"/>
                <w:szCs w:val="18"/>
              </w:rPr>
            </w:pPr>
            <w:r w:rsidRPr="00B64941">
              <w:rPr>
                <w:rFonts w:cs="Arial"/>
                <w:sz w:val="18"/>
                <w:szCs w:val="18"/>
              </w:rPr>
              <w:t>UPOV/INF/5</w:t>
            </w:r>
          </w:p>
        </w:tc>
        <w:tc>
          <w:tcPr>
            <w:tcW w:w="4807" w:type="dxa"/>
          </w:tcPr>
          <w:p w:rsidR="003870AE" w:rsidRPr="00B64941" w:rsidRDefault="003870AE" w:rsidP="003870AE">
            <w:pPr>
              <w:jc w:val="left"/>
              <w:rPr>
                <w:rFonts w:cs="Arial"/>
                <w:sz w:val="18"/>
                <w:szCs w:val="18"/>
              </w:rPr>
            </w:pPr>
            <w:r w:rsidRPr="00B64941">
              <w:rPr>
                <w:rFonts w:cs="Arial"/>
                <w:sz w:val="18"/>
                <w:szCs w:val="18"/>
              </w:rPr>
              <w:t>UPOV model plant breeders' rights gazette</w:t>
            </w:r>
          </w:p>
        </w:tc>
        <w:tc>
          <w:tcPr>
            <w:tcW w:w="3920" w:type="dxa"/>
          </w:tcPr>
          <w:p w:rsidR="003870AE" w:rsidRPr="00B64941" w:rsidRDefault="003870AE" w:rsidP="00D90646">
            <w:pPr>
              <w:jc w:val="left"/>
              <w:rPr>
                <w:rFonts w:cs="Arial"/>
                <w:sz w:val="18"/>
                <w:szCs w:val="18"/>
              </w:rPr>
            </w:pPr>
            <w:r w:rsidRPr="00B64941">
              <w:rPr>
                <w:rFonts w:cs="Arial"/>
                <w:sz w:val="18"/>
                <w:szCs w:val="18"/>
              </w:rPr>
              <w:t>UPOV/INF/5 adopted in October 1979</w:t>
            </w:r>
          </w:p>
        </w:tc>
      </w:tr>
      <w:tr w:rsidR="003870AE" w:rsidRPr="00B64941" w:rsidTr="003870AE">
        <w:trPr>
          <w:cantSplit/>
          <w:jc w:val="center"/>
        </w:trPr>
        <w:tc>
          <w:tcPr>
            <w:tcW w:w="1758" w:type="dxa"/>
          </w:tcPr>
          <w:p w:rsidR="003870AE" w:rsidRPr="00B64941" w:rsidRDefault="003870AE" w:rsidP="003870AE">
            <w:pPr>
              <w:jc w:val="left"/>
              <w:rPr>
                <w:rFonts w:cs="Arial"/>
                <w:sz w:val="18"/>
                <w:szCs w:val="18"/>
              </w:rPr>
            </w:pPr>
            <w:r w:rsidRPr="00B64941">
              <w:rPr>
                <w:rFonts w:cs="Arial"/>
                <w:sz w:val="18"/>
                <w:szCs w:val="18"/>
              </w:rPr>
              <w:t>UPOV/INF/6</w:t>
            </w:r>
          </w:p>
        </w:tc>
        <w:tc>
          <w:tcPr>
            <w:tcW w:w="4807" w:type="dxa"/>
          </w:tcPr>
          <w:p w:rsidR="003870AE" w:rsidRPr="00B64941" w:rsidRDefault="003870AE" w:rsidP="003870AE">
            <w:pPr>
              <w:jc w:val="left"/>
              <w:rPr>
                <w:rFonts w:cs="Arial"/>
                <w:sz w:val="18"/>
                <w:szCs w:val="18"/>
              </w:rPr>
            </w:pPr>
            <w:r w:rsidRPr="00B64941">
              <w:rPr>
                <w:rFonts w:cs="Arial"/>
                <w:sz w:val="18"/>
                <w:szCs w:val="18"/>
              </w:rPr>
              <w:t>Guidance for the preparation of laws based on the 1991 Act of the UPOV Convention</w:t>
            </w:r>
          </w:p>
        </w:tc>
        <w:tc>
          <w:tcPr>
            <w:tcW w:w="3920" w:type="dxa"/>
          </w:tcPr>
          <w:p w:rsidR="003870AE" w:rsidRPr="00B64941" w:rsidRDefault="003870AE" w:rsidP="00B64941">
            <w:pPr>
              <w:jc w:val="left"/>
              <w:rPr>
                <w:rFonts w:cs="Arial"/>
                <w:sz w:val="18"/>
                <w:szCs w:val="18"/>
              </w:rPr>
            </w:pPr>
            <w:r w:rsidRPr="00B64941">
              <w:rPr>
                <w:rFonts w:cs="Arial"/>
                <w:sz w:val="18"/>
                <w:szCs w:val="18"/>
              </w:rPr>
              <w:t>UPOV/INF/6/3 adopted in October 2013</w:t>
            </w:r>
            <w:r w:rsidR="00B64941" w:rsidRPr="00B64941">
              <w:rPr>
                <w:rFonts w:cs="Arial"/>
                <w:sz w:val="18"/>
                <w:szCs w:val="18"/>
              </w:rPr>
              <w:br/>
            </w:r>
            <w:r w:rsidR="00B64941" w:rsidRPr="00B64941">
              <w:rPr>
                <w:bCs/>
                <w:snapToGrid w:val="0"/>
                <w:sz w:val="18"/>
                <w:szCs w:val="18"/>
              </w:rPr>
              <w:t>Document C/49/14, Annex IV, to be considered by the Council in October 2015</w:t>
            </w:r>
          </w:p>
        </w:tc>
      </w:tr>
      <w:tr w:rsidR="003870AE" w:rsidRPr="00B64941" w:rsidTr="003870AE">
        <w:trPr>
          <w:cantSplit/>
          <w:jc w:val="center"/>
        </w:trPr>
        <w:tc>
          <w:tcPr>
            <w:tcW w:w="1758" w:type="dxa"/>
          </w:tcPr>
          <w:p w:rsidR="003870AE" w:rsidRPr="00B64941" w:rsidRDefault="003870AE" w:rsidP="003870AE">
            <w:pPr>
              <w:jc w:val="left"/>
              <w:rPr>
                <w:rFonts w:cs="Arial"/>
                <w:sz w:val="18"/>
                <w:szCs w:val="18"/>
              </w:rPr>
            </w:pPr>
            <w:r w:rsidRPr="00B64941">
              <w:rPr>
                <w:rFonts w:cs="Arial"/>
                <w:sz w:val="18"/>
                <w:szCs w:val="18"/>
              </w:rPr>
              <w:t>UPOV/INF/7</w:t>
            </w:r>
          </w:p>
        </w:tc>
        <w:tc>
          <w:tcPr>
            <w:tcW w:w="4807" w:type="dxa"/>
          </w:tcPr>
          <w:p w:rsidR="003870AE" w:rsidRPr="00B64941" w:rsidRDefault="003870AE" w:rsidP="003870AE">
            <w:pPr>
              <w:jc w:val="left"/>
              <w:rPr>
                <w:rFonts w:cs="Arial"/>
                <w:sz w:val="18"/>
                <w:szCs w:val="18"/>
              </w:rPr>
            </w:pPr>
            <w:r w:rsidRPr="00B64941">
              <w:rPr>
                <w:rFonts w:cs="Arial"/>
                <w:sz w:val="18"/>
                <w:szCs w:val="18"/>
              </w:rPr>
              <w:t>Rules of Procedure of the Council</w:t>
            </w:r>
          </w:p>
        </w:tc>
        <w:tc>
          <w:tcPr>
            <w:tcW w:w="3920" w:type="dxa"/>
          </w:tcPr>
          <w:p w:rsidR="003870AE" w:rsidRPr="00B64941" w:rsidRDefault="003870AE" w:rsidP="003870AE">
            <w:pPr>
              <w:jc w:val="left"/>
              <w:rPr>
                <w:rFonts w:cs="Arial"/>
                <w:sz w:val="18"/>
                <w:szCs w:val="18"/>
              </w:rPr>
            </w:pPr>
            <w:r w:rsidRPr="00B64941">
              <w:rPr>
                <w:rFonts w:cs="Arial"/>
                <w:sz w:val="18"/>
                <w:szCs w:val="18"/>
              </w:rPr>
              <w:t>UPOV/INF/7 adopted in October 1982</w:t>
            </w:r>
          </w:p>
        </w:tc>
      </w:tr>
      <w:tr w:rsidR="003870AE" w:rsidRPr="00B64941" w:rsidTr="003870AE">
        <w:trPr>
          <w:cantSplit/>
          <w:jc w:val="center"/>
        </w:trPr>
        <w:tc>
          <w:tcPr>
            <w:tcW w:w="1758" w:type="dxa"/>
          </w:tcPr>
          <w:p w:rsidR="003870AE" w:rsidRPr="00B64941" w:rsidRDefault="003870AE" w:rsidP="003870AE">
            <w:pPr>
              <w:jc w:val="left"/>
              <w:rPr>
                <w:rFonts w:cs="Arial"/>
                <w:sz w:val="18"/>
                <w:szCs w:val="18"/>
              </w:rPr>
            </w:pPr>
            <w:r w:rsidRPr="00B64941">
              <w:rPr>
                <w:rFonts w:cs="Arial"/>
                <w:sz w:val="18"/>
                <w:szCs w:val="18"/>
              </w:rPr>
              <w:t>UPOV/INF/8</w:t>
            </w:r>
          </w:p>
        </w:tc>
        <w:tc>
          <w:tcPr>
            <w:tcW w:w="4807" w:type="dxa"/>
          </w:tcPr>
          <w:p w:rsidR="003870AE" w:rsidRPr="00B64941" w:rsidRDefault="003870AE" w:rsidP="003870AE">
            <w:pPr>
              <w:jc w:val="left"/>
              <w:rPr>
                <w:rFonts w:cs="Arial"/>
                <w:sz w:val="18"/>
                <w:szCs w:val="18"/>
              </w:rPr>
            </w:pPr>
            <w:r w:rsidRPr="00B64941">
              <w:rPr>
                <w:rFonts w:cs="Arial"/>
                <w:sz w:val="18"/>
                <w:szCs w:val="18"/>
              </w:rPr>
              <w:t>Agreement between the World Intellectual Property Organization and the International Union for the Protection of New Varieties of Plants</w:t>
            </w:r>
          </w:p>
        </w:tc>
        <w:tc>
          <w:tcPr>
            <w:tcW w:w="3920" w:type="dxa"/>
          </w:tcPr>
          <w:p w:rsidR="003870AE" w:rsidRPr="00B64941" w:rsidRDefault="003870AE" w:rsidP="003870AE">
            <w:pPr>
              <w:jc w:val="left"/>
              <w:rPr>
                <w:rFonts w:cs="Arial"/>
                <w:sz w:val="18"/>
                <w:szCs w:val="18"/>
              </w:rPr>
            </w:pPr>
            <w:r w:rsidRPr="00B64941">
              <w:rPr>
                <w:rFonts w:cs="Arial"/>
                <w:sz w:val="18"/>
                <w:szCs w:val="18"/>
              </w:rPr>
              <w:t>UPOV/INF/8 signed in November 1982</w:t>
            </w:r>
          </w:p>
        </w:tc>
      </w:tr>
      <w:tr w:rsidR="003870AE" w:rsidRPr="00B64941" w:rsidTr="003870AE">
        <w:trPr>
          <w:cantSplit/>
          <w:jc w:val="center"/>
        </w:trPr>
        <w:tc>
          <w:tcPr>
            <w:tcW w:w="1758" w:type="dxa"/>
          </w:tcPr>
          <w:p w:rsidR="003870AE" w:rsidRPr="00B64941" w:rsidRDefault="003870AE" w:rsidP="003870AE">
            <w:pPr>
              <w:jc w:val="left"/>
              <w:rPr>
                <w:rFonts w:cs="Arial"/>
                <w:sz w:val="18"/>
                <w:szCs w:val="18"/>
              </w:rPr>
            </w:pPr>
            <w:r w:rsidRPr="00B64941">
              <w:rPr>
                <w:rFonts w:cs="Arial"/>
                <w:sz w:val="18"/>
                <w:szCs w:val="18"/>
              </w:rPr>
              <w:t>UPOV/INF/9</w:t>
            </w:r>
          </w:p>
        </w:tc>
        <w:tc>
          <w:tcPr>
            <w:tcW w:w="4807" w:type="dxa"/>
          </w:tcPr>
          <w:p w:rsidR="003870AE" w:rsidRPr="00B64941" w:rsidRDefault="003870AE" w:rsidP="003870AE">
            <w:pPr>
              <w:jc w:val="left"/>
              <w:rPr>
                <w:rFonts w:cs="Arial"/>
                <w:sz w:val="18"/>
                <w:szCs w:val="18"/>
              </w:rPr>
            </w:pPr>
            <w:r w:rsidRPr="00B64941">
              <w:rPr>
                <w:rFonts w:cs="Arial"/>
                <w:sz w:val="18"/>
                <w:szCs w:val="18"/>
              </w:rPr>
              <w:t>Agreement between the International Union for the Protection of New Varieties of Plants and the Swiss Federal Council to Determine the Legal Status in Switzerland of that Union (Headquarters Agreement)</w:t>
            </w:r>
          </w:p>
        </w:tc>
        <w:tc>
          <w:tcPr>
            <w:tcW w:w="3920" w:type="dxa"/>
          </w:tcPr>
          <w:p w:rsidR="003870AE" w:rsidRPr="00B64941" w:rsidRDefault="003870AE" w:rsidP="003870AE">
            <w:pPr>
              <w:jc w:val="left"/>
              <w:rPr>
                <w:rFonts w:cs="Arial"/>
                <w:sz w:val="18"/>
                <w:szCs w:val="18"/>
              </w:rPr>
            </w:pPr>
            <w:r w:rsidRPr="00B64941">
              <w:rPr>
                <w:rFonts w:cs="Arial"/>
                <w:sz w:val="18"/>
                <w:szCs w:val="18"/>
              </w:rPr>
              <w:t>UPOV/INF/9 signed in November 1983</w:t>
            </w:r>
          </w:p>
        </w:tc>
      </w:tr>
      <w:tr w:rsidR="003870AE" w:rsidRPr="00B64941" w:rsidTr="003870AE">
        <w:trPr>
          <w:cantSplit/>
          <w:jc w:val="center"/>
        </w:trPr>
        <w:tc>
          <w:tcPr>
            <w:tcW w:w="1758" w:type="dxa"/>
          </w:tcPr>
          <w:p w:rsidR="003870AE" w:rsidRPr="00B64941" w:rsidRDefault="003870AE" w:rsidP="003870AE">
            <w:pPr>
              <w:jc w:val="left"/>
              <w:rPr>
                <w:rFonts w:cs="Arial"/>
                <w:sz w:val="18"/>
                <w:szCs w:val="18"/>
              </w:rPr>
            </w:pPr>
            <w:r w:rsidRPr="00B64941">
              <w:rPr>
                <w:rFonts w:cs="Arial"/>
                <w:sz w:val="18"/>
                <w:szCs w:val="18"/>
              </w:rPr>
              <w:t>UPOV/INF/10</w:t>
            </w:r>
          </w:p>
        </w:tc>
        <w:tc>
          <w:tcPr>
            <w:tcW w:w="4807" w:type="dxa"/>
          </w:tcPr>
          <w:p w:rsidR="003870AE" w:rsidRPr="00B64941" w:rsidRDefault="003870AE" w:rsidP="003870AE">
            <w:pPr>
              <w:jc w:val="left"/>
              <w:rPr>
                <w:rFonts w:cs="Arial"/>
                <w:sz w:val="18"/>
                <w:szCs w:val="18"/>
              </w:rPr>
            </w:pPr>
            <w:r w:rsidRPr="00B64941">
              <w:rPr>
                <w:rFonts w:cs="Arial"/>
                <w:sz w:val="18"/>
                <w:szCs w:val="18"/>
              </w:rPr>
              <w:t>Internal Audit</w:t>
            </w:r>
          </w:p>
        </w:tc>
        <w:tc>
          <w:tcPr>
            <w:tcW w:w="3920" w:type="dxa"/>
          </w:tcPr>
          <w:p w:rsidR="003870AE" w:rsidRPr="00B64941" w:rsidRDefault="003870AE" w:rsidP="003870AE">
            <w:pPr>
              <w:jc w:val="left"/>
              <w:rPr>
                <w:rFonts w:cs="Arial"/>
                <w:sz w:val="18"/>
                <w:szCs w:val="18"/>
              </w:rPr>
            </w:pPr>
            <w:r w:rsidRPr="00B64941">
              <w:rPr>
                <w:rFonts w:cs="Arial"/>
                <w:sz w:val="18"/>
                <w:szCs w:val="18"/>
              </w:rPr>
              <w:t>UPOV/INF/10/1 adopted in October 2010</w:t>
            </w:r>
          </w:p>
        </w:tc>
      </w:tr>
      <w:tr w:rsidR="003870AE" w:rsidRPr="00B64941" w:rsidTr="003870AE">
        <w:trPr>
          <w:cantSplit/>
          <w:jc w:val="center"/>
        </w:trPr>
        <w:tc>
          <w:tcPr>
            <w:tcW w:w="1758" w:type="dxa"/>
          </w:tcPr>
          <w:p w:rsidR="003870AE" w:rsidRPr="00B64941" w:rsidRDefault="003870AE" w:rsidP="003870AE">
            <w:pPr>
              <w:jc w:val="left"/>
              <w:rPr>
                <w:rFonts w:cs="Arial"/>
                <w:sz w:val="18"/>
                <w:szCs w:val="18"/>
              </w:rPr>
            </w:pPr>
            <w:r w:rsidRPr="00B64941">
              <w:rPr>
                <w:rFonts w:cs="Arial"/>
                <w:sz w:val="18"/>
                <w:szCs w:val="18"/>
              </w:rPr>
              <w:t>UPOV/INF/12</w:t>
            </w:r>
          </w:p>
        </w:tc>
        <w:tc>
          <w:tcPr>
            <w:tcW w:w="4807" w:type="dxa"/>
          </w:tcPr>
          <w:p w:rsidR="003870AE" w:rsidRPr="00B64941" w:rsidRDefault="003870AE" w:rsidP="003870AE">
            <w:pPr>
              <w:jc w:val="left"/>
              <w:rPr>
                <w:rFonts w:cs="Arial"/>
                <w:sz w:val="18"/>
                <w:szCs w:val="18"/>
              </w:rPr>
            </w:pPr>
            <w:r w:rsidRPr="00B64941">
              <w:rPr>
                <w:rFonts w:cs="Arial"/>
                <w:sz w:val="18"/>
                <w:szCs w:val="18"/>
              </w:rPr>
              <w:t>Explanatory Notes on Variety Denominations under the UPOV Convention</w:t>
            </w:r>
          </w:p>
        </w:tc>
        <w:tc>
          <w:tcPr>
            <w:tcW w:w="3920" w:type="dxa"/>
          </w:tcPr>
          <w:p w:rsidR="003870AE" w:rsidRPr="00B64941" w:rsidRDefault="003870AE" w:rsidP="003870AE">
            <w:pPr>
              <w:jc w:val="left"/>
              <w:rPr>
                <w:rFonts w:cs="Arial"/>
                <w:sz w:val="18"/>
                <w:szCs w:val="18"/>
              </w:rPr>
            </w:pPr>
            <w:r w:rsidRPr="00B64941">
              <w:rPr>
                <w:rFonts w:cs="Arial"/>
                <w:sz w:val="18"/>
                <w:szCs w:val="18"/>
              </w:rPr>
              <w:t>UPOV/INF/12/4 adopted in November 2012</w:t>
            </w:r>
          </w:p>
          <w:p w:rsidR="003870AE" w:rsidRPr="00B64941" w:rsidRDefault="00B64941" w:rsidP="003870AE">
            <w:pPr>
              <w:jc w:val="left"/>
              <w:rPr>
                <w:rFonts w:cs="Arial"/>
                <w:spacing w:val="-2"/>
                <w:sz w:val="18"/>
                <w:szCs w:val="18"/>
              </w:rPr>
            </w:pPr>
            <w:r w:rsidRPr="00B64941">
              <w:rPr>
                <w:bCs/>
                <w:snapToGrid w:val="0"/>
                <w:sz w:val="18"/>
                <w:szCs w:val="18"/>
              </w:rPr>
              <w:t>Document C/49/14, Annex III, to be considered by the Council in October 2015</w:t>
            </w:r>
          </w:p>
        </w:tc>
      </w:tr>
      <w:tr w:rsidR="003870AE" w:rsidRPr="00B64941" w:rsidTr="003870AE">
        <w:trPr>
          <w:cantSplit/>
          <w:jc w:val="center"/>
        </w:trPr>
        <w:tc>
          <w:tcPr>
            <w:tcW w:w="1758" w:type="dxa"/>
          </w:tcPr>
          <w:p w:rsidR="003870AE" w:rsidRPr="00B64941" w:rsidRDefault="003870AE" w:rsidP="003870AE">
            <w:pPr>
              <w:jc w:val="left"/>
              <w:rPr>
                <w:rFonts w:cs="Arial"/>
                <w:sz w:val="18"/>
                <w:szCs w:val="18"/>
              </w:rPr>
            </w:pPr>
            <w:r w:rsidRPr="00B64941">
              <w:rPr>
                <w:rFonts w:cs="Arial"/>
                <w:sz w:val="18"/>
                <w:szCs w:val="18"/>
              </w:rPr>
              <w:t>UPOV/INF/13</w:t>
            </w:r>
          </w:p>
        </w:tc>
        <w:tc>
          <w:tcPr>
            <w:tcW w:w="4807" w:type="dxa"/>
          </w:tcPr>
          <w:p w:rsidR="003870AE" w:rsidRPr="00B64941" w:rsidRDefault="003870AE" w:rsidP="003870AE">
            <w:pPr>
              <w:jc w:val="left"/>
              <w:rPr>
                <w:rFonts w:cs="Arial"/>
                <w:sz w:val="18"/>
                <w:szCs w:val="18"/>
              </w:rPr>
            </w:pPr>
            <w:r w:rsidRPr="00B64941">
              <w:rPr>
                <w:rFonts w:cs="Arial"/>
                <w:sz w:val="18"/>
                <w:szCs w:val="18"/>
              </w:rPr>
              <w:t>Guidance on how to become a member of UPOV</w:t>
            </w:r>
          </w:p>
        </w:tc>
        <w:tc>
          <w:tcPr>
            <w:tcW w:w="3920" w:type="dxa"/>
          </w:tcPr>
          <w:p w:rsidR="003870AE" w:rsidRPr="00B64941" w:rsidRDefault="003870AE" w:rsidP="003870AE">
            <w:pPr>
              <w:jc w:val="left"/>
              <w:rPr>
                <w:rFonts w:cs="Arial"/>
                <w:sz w:val="18"/>
                <w:szCs w:val="18"/>
              </w:rPr>
            </w:pPr>
            <w:r w:rsidRPr="00B64941">
              <w:rPr>
                <w:rFonts w:cs="Arial"/>
                <w:sz w:val="18"/>
                <w:szCs w:val="18"/>
              </w:rPr>
              <w:t>UPOV/INF/13/1 adopted in October 2009</w:t>
            </w:r>
          </w:p>
        </w:tc>
      </w:tr>
      <w:tr w:rsidR="003870AE" w:rsidRPr="00B64941" w:rsidTr="003870AE">
        <w:trPr>
          <w:cantSplit/>
          <w:jc w:val="center"/>
        </w:trPr>
        <w:tc>
          <w:tcPr>
            <w:tcW w:w="1758" w:type="dxa"/>
          </w:tcPr>
          <w:p w:rsidR="003870AE" w:rsidRPr="00B64941" w:rsidRDefault="003870AE" w:rsidP="003870AE">
            <w:pPr>
              <w:jc w:val="left"/>
              <w:rPr>
                <w:rFonts w:cs="Arial"/>
                <w:sz w:val="18"/>
                <w:szCs w:val="18"/>
              </w:rPr>
            </w:pPr>
            <w:r w:rsidRPr="00B64941">
              <w:rPr>
                <w:rFonts w:cs="Arial"/>
                <w:sz w:val="18"/>
                <w:szCs w:val="18"/>
              </w:rPr>
              <w:t>UPOV/INF/14</w:t>
            </w:r>
          </w:p>
        </w:tc>
        <w:tc>
          <w:tcPr>
            <w:tcW w:w="4807" w:type="dxa"/>
          </w:tcPr>
          <w:p w:rsidR="003870AE" w:rsidRPr="00B64941" w:rsidRDefault="003870AE" w:rsidP="003870AE">
            <w:pPr>
              <w:jc w:val="left"/>
              <w:rPr>
                <w:rFonts w:cs="Arial"/>
                <w:sz w:val="18"/>
                <w:szCs w:val="18"/>
              </w:rPr>
            </w:pPr>
            <w:r w:rsidRPr="00B64941">
              <w:rPr>
                <w:rFonts w:cs="Arial"/>
                <w:sz w:val="18"/>
                <w:szCs w:val="18"/>
              </w:rPr>
              <w:t>Guidance for members of UPOV on how to ratify, or accede to, the 1991 Act of the UPOV Convention</w:t>
            </w:r>
          </w:p>
        </w:tc>
        <w:tc>
          <w:tcPr>
            <w:tcW w:w="3920" w:type="dxa"/>
          </w:tcPr>
          <w:p w:rsidR="003870AE" w:rsidRPr="00B64941" w:rsidRDefault="003870AE" w:rsidP="003870AE">
            <w:pPr>
              <w:jc w:val="left"/>
              <w:rPr>
                <w:rFonts w:cs="Arial"/>
                <w:sz w:val="18"/>
                <w:szCs w:val="18"/>
              </w:rPr>
            </w:pPr>
            <w:r w:rsidRPr="00B64941">
              <w:rPr>
                <w:rFonts w:cs="Arial"/>
                <w:sz w:val="18"/>
                <w:szCs w:val="18"/>
              </w:rPr>
              <w:t>UPOV/INF/14/1 adopted in October 2009</w:t>
            </w:r>
          </w:p>
        </w:tc>
      </w:tr>
      <w:tr w:rsidR="003870AE" w:rsidRPr="00B64941" w:rsidTr="003870AE">
        <w:trPr>
          <w:cantSplit/>
          <w:jc w:val="center"/>
        </w:trPr>
        <w:tc>
          <w:tcPr>
            <w:tcW w:w="1758" w:type="dxa"/>
          </w:tcPr>
          <w:p w:rsidR="003870AE" w:rsidRPr="00B64941" w:rsidRDefault="003870AE" w:rsidP="003870AE">
            <w:pPr>
              <w:jc w:val="left"/>
              <w:rPr>
                <w:rFonts w:cs="Arial"/>
                <w:sz w:val="18"/>
                <w:szCs w:val="18"/>
              </w:rPr>
            </w:pPr>
            <w:r w:rsidRPr="00B64941">
              <w:rPr>
                <w:rFonts w:cs="Arial"/>
                <w:sz w:val="18"/>
                <w:szCs w:val="18"/>
              </w:rPr>
              <w:t>UPOV/INF/15</w:t>
            </w:r>
          </w:p>
        </w:tc>
        <w:tc>
          <w:tcPr>
            <w:tcW w:w="4807" w:type="dxa"/>
          </w:tcPr>
          <w:p w:rsidR="003870AE" w:rsidRPr="00B64941" w:rsidRDefault="003870AE" w:rsidP="003870AE">
            <w:pPr>
              <w:jc w:val="left"/>
              <w:rPr>
                <w:rFonts w:cs="Arial"/>
                <w:sz w:val="18"/>
                <w:szCs w:val="18"/>
              </w:rPr>
            </w:pPr>
            <w:r w:rsidRPr="00B64941">
              <w:rPr>
                <w:rFonts w:cs="Arial"/>
                <w:sz w:val="18"/>
                <w:szCs w:val="18"/>
              </w:rPr>
              <w:t>Guidance for Members of UPOV on Ongoing Obligations and Related Notifications</w:t>
            </w:r>
          </w:p>
        </w:tc>
        <w:tc>
          <w:tcPr>
            <w:tcW w:w="3920" w:type="dxa"/>
          </w:tcPr>
          <w:p w:rsidR="003870AE" w:rsidRPr="00B64941" w:rsidRDefault="003870AE" w:rsidP="004440F7">
            <w:pPr>
              <w:jc w:val="left"/>
              <w:rPr>
                <w:rFonts w:cs="Arial"/>
                <w:sz w:val="18"/>
                <w:szCs w:val="18"/>
              </w:rPr>
            </w:pPr>
            <w:r w:rsidRPr="00B64941">
              <w:rPr>
                <w:rFonts w:cs="Arial"/>
                <w:sz w:val="18"/>
                <w:szCs w:val="18"/>
              </w:rPr>
              <w:t xml:space="preserve">UPOV/INF/15/3 </w:t>
            </w:r>
            <w:r w:rsidR="004440F7">
              <w:rPr>
                <w:rFonts w:cs="Arial"/>
                <w:sz w:val="18"/>
                <w:szCs w:val="18"/>
              </w:rPr>
              <w:t xml:space="preserve">adopted by the </w:t>
            </w:r>
            <w:r w:rsidRPr="00B64941">
              <w:rPr>
                <w:rFonts w:cs="Arial"/>
                <w:sz w:val="18"/>
                <w:szCs w:val="18"/>
              </w:rPr>
              <w:t xml:space="preserve">Council in </w:t>
            </w:r>
            <w:r w:rsidRPr="004440F7">
              <w:rPr>
                <w:rFonts w:cs="Arial"/>
                <w:sz w:val="18"/>
                <w:szCs w:val="18"/>
              </w:rPr>
              <w:t>March 2015</w:t>
            </w:r>
            <w:r w:rsidR="00D90646" w:rsidRPr="004440F7">
              <w:rPr>
                <w:rFonts w:cs="Arial"/>
                <w:sz w:val="18"/>
                <w:szCs w:val="18"/>
              </w:rPr>
              <w:t xml:space="preserve"> </w:t>
            </w:r>
          </w:p>
        </w:tc>
      </w:tr>
      <w:tr w:rsidR="003870AE" w:rsidRPr="00B64941" w:rsidTr="003870AE">
        <w:trPr>
          <w:cantSplit/>
          <w:jc w:val="center"/>
        </w:trPr>
        <w:tc>
          <w:tcPr>
            <w:tcW w:w="1758" w:type="dxa"/>
          </w:tcPr>
          <w:p w:rsidR="003870AE" w:rsidRPr="00B64941" w:rsidRDefault="003870AE" w:rsidP="003870AE">
            <w:pPr>
              <w:jc w:val="left"/>
              <w:rPr>
                <w:rFonts w:cs="Arial"/>
                <w:sz w:val="18"/>
                <w:szCs w:val="18"/>
              </w:rPr>
            </w:pPr>
            <w:r w:rsidRPr="00B64941">
              <w:rPr>
                <w:rFonts w:cs="Arial"/>
                <w:sz w:val="18"/>
                <w:szCs w:val="18"/>
              </w:rPr>
              <w:t>UPOV/INF/16</w:t>
            </w:r>
          </w:p>
        </w:tc>
        <w:tc>
          <w:tcPr>
            <w:tcW w:w="4807" w:type="dxa"/>
          </w:tcPr>
          <w:p w:rsidR="003870AE" w:rsidRPr="00B64941" w:rsidRDefault="003870AE" w:rsidP="003870AE">
            <w:pPr>
              <w:jc w:val="left"/>
              <w:rPr>
                <w:rFonts w:cs="Arial"/>
                <w:sz w:val="18"/>
                <w:szCs w:val="18"/>
              </w:rPr>
            </w:pPr>
            <w:r w:rsidRPr="00B64941">
              <w:rPr>
                <w:rFonts w:cs="Arial"/>
                <w:sz w:val="18"/>
                <w:szCs w:val="18"/>
              </w:rPr>
              <w:t>Exchangeable Software</w:t>
            </w:r>
          </w:p>
        </w:tc>
        <w:tc>
          <w:tcPr>
            <w:tcW w:w="3920" w:type="dxa"/>
          </w:tcPr>
          <w:p w:rsidR="003870AE" w:rsidRPr="00B64941" w:rsidRDefault="003870AE" w:rsidP="003870AE">
            <w:pPr>
              <w:jc w:val="left"/>
              <w:rPr>
                <w:rFonts w:cs="Arial"/>
                <w:sz w:val="18"/>
                <w:szCs w:val="18"/>
              </w:rPr>
            </w:pPr>
            <w:r w:rsidRPr="00B64941">
              <w:rPr>
                <w:rFonts w:cs="Arial"/>
                <w:sz w:val="18"/>
                <w:szCs w:val="18"/>
              </w:rPr>
              <w:t>UPOV/INF/16/4 adopted in October 2014</w:t>
            </w:r>
          </w:p>
          <w:p w:rsidR="003870AE" w:rsidRPr="00B64941" w:rsidRDefault="00B64941" w:rsidP="003870AE">
            <w:pPr>
              <w:jc w:val="left"/>
              <w:rPr>
                <w:rFonts w:cs="Arial"/>
                <w:sz w:val="18"/>
                <w:szCs w:val="18"/>
              </w:rPr>
            </w:pPr>
            <w:r w:rsidRPr="00AC4B94">
              <w:rPr>
                <w:rFonts w:cs="Arial"/>
                <w:sz w:val="18"/>
                <w:szCs w:val="18"/>
              </w:rPr>
              <w:t>Document UPOV/INF/16/5 Draft 1 to be considered by the Council in October 2015</w:t>
            </w:r>
          </w:p>
        </w:tc>
      </w:tr>
      <w:tr w:rsidR="003870AE" w:rsidRPr="00B64941" w:rsidTr="003870AE">
        <w:trPr>
          <w:cantSplit/>
          <w:jc w:val="center"/>
        </w:trPr>
        <w:tc>
          <w:tcPr>
            <w:tcW w:w="1758" w:type="dxa"/>
          </w:tcPr>
          <w:p w:rsidR="003870AE" w:rsidRPr="00B64941" w:rsidRDefault="003870AE" w:rsidP="003870AE">
            <w:pPr>
              <w:jc w:val="left"/>
              <w:rPr>
                <w:rFonts w:cs="Arial"/>
                <w:sz w:val="18"/>
                <w:szCs w:val="18"/>
              </w:rPr>
            </w:pPr>
            <w:r w:rsidRPr="00B64941">
              <w:rPr>
                <w:rFonts w:cs="Arial"/>
                <w:sz w:val="18"/>
                <w:szCs w:val="18"/>
              </w:rPr>
              <w:t>UPOV/INF/17</w:t>
            </w:r>
          </w:p>
        </w:tc>
        <w:tc>
          <w:tcPr>
            <w:tcW w:w="4807" w:type="dxa"/>
          </w:tcPr>
          <w:p w:rsidR="003870AE" w:rsidRPr="00B64941" w:rsidRDefault="003870AE" w:rsidP="003870AE">
            <w:pPr>
              <w:jc w:val="left"/>
              <w:rPr>
                <w:rFonts w:cs="Arial"/>
                <w:sz w:val="18"/>
                <w:szCs w:val="18"/>
              </w:rPr>
            </w:pPr>
            <w:r w:rsidRPr="00B64941">
              <w:rPr>
                <w:rFonts w:cs="Arial"/>
                <w:sz w:val="18"/>
                <w:szCs w:val="18"/>
              </w:rPr>
              <w:t>Guidelines for DNA-Profiling: Molecular Marker Selection and Database Construction (“BMT Guidelines”)</w:t>
            </w:r>
          </w:p>
        </w:tc>
        <w:tc>
          <w:tcPr>
            <w:tcW w:w="3920" w:type="dxa"/>
          </w:tcPr>
          <w:p w:rsidR="003870AE" w:rsidRPr="00B64941" w:rsidRDefault="003870AE" w:rsidP="003870AE">
            <w:pPr>
              <w:jc w:val="left"/>
              <w:rPr>
                <w:rFonts w:cs="Arial"/>
                <w:sz w:val="18"/>
                <w:szCs w:val="18"/>
              </w:rPr>
            </w:pPr>
            <w:r w:rsidRPr="00B64941">
              <w:rPr>
                <w:rFonts w:cs="Arial"/>
                <w:sz w:val="18"/>
                <w:szCs w:val="18"/>
              </w:rPr>
              <w:t>UPOV/INF/17/1 adopted in October 2010</w:t>
            </w:r>
          </w:p>
        </w:tc>
      </w:tr>
      <w:tr w:rsidR="003870AE" w:rsidRPr="00B64941" w:rsidTr="003870AE">
        <w:trPr>
          <w:cantSplit/>
          <w:jc w:val="center"/>
        </w:trPr>
        <w:tc>
          <w:tcPr>
            <w:tcW w:w="1758" w:type="dxa"/>
          </w:tcPr>
          <w:p w:rsidR="003870AE" w:rsidRPr="00B64941" w:rsidRDefault="003870AE" w:rsidP="003870AE">
            <w:pPr>
              <w:jc w:val="left"/>
              <w:rPr>
                <w:rFonts w:cs="Arial"/>
                <w:sz w:val="18"/>
                <w:szCs w:val="18"/>
              </w:rPr>
            </w:pPr>
            <w:r w:rsidRPr="00B64941">
              <w:rPr>
                <w:rFonts w:cs="Arial"/>
                <w:sz w:val="18"/>
                <w:szCs w:val="18"/>
              </w:rPr>
              <w:t>UPOV/INF/18</w:t>
            </w:r>
          </w:p>
        </w:tc>
        <w:tc>
          <w:tcPr>
            <w:tcW w:w="4807" w:type="dxa"/>
          </w:tcPr>
          <w:p w:rsidR="003870AE" w:rsidRPr="00B64941" w:rsidRDefault="003870AE" w:rsidP="003870AE">
            <w:pPr>
              <w:jc w:val="left"/>
              <w:rPr>
                <w:rFonts w:cs="Arial"/>
                <w:sz w:val="18"/>
                <w:szCs w:val="18"/>
              </w:rPr>
            </w:pPr>
            <w:r w:rsidRPr="00B64941">
              <w:rPr>
                <w:rFonts w:cs="Arial"/>
                <w:sz w:val="18"/>
                <w:szCs w:val="18"/>
              </w:rPr>
              <w:t>Possible use of Molecular Markers in the Examination of Distinctness, Uniformity and Stability (DUS)</w:t>
            </w:r>
          </w:p>
        </w:tc>
        <w:tc>
          <w:tcPr>
            <w:tcW w:w="3920" w:type="dxa"/>
          </w:tcPr>
          <w:p w:rsidR="003870AE" w:rsidRPr="00B64941" w:rsidRDefault="003870AE" w:rsidP="003870AE">
            <w:pPr>
              <w:jc w:val="left"/>
              <w:rPr>
                <w:rFonts w:cs="Arial"/>
                <w:sz w:val="18"/>
                <w:szCs w:val="18"/>
              </w:rPr>
            </w:pPr>
            <w:r w:rsidRPr="00B64941">
              <w:rPr>
                <w:rFonts w:cs="Arial"/>
                <w:sz w:val="18"/>
                <w:szCs w:val="18"/>
              </w:rPr>
              <w:t>UPOV/INF/18/1 adopted in October 2011</w:t>
            </w:r>
          </w:p>
        </w:tc>
      </w:tr>
      <w:tr w:rsidR="003870AE" w:rsidRPr="00B64941" w:rsidTr="003870AE">
        <w:trPr>
          <w:cantSplit/>
          <w:jc w:val="center"/>
        </w:trPr>
        <w:tc>
          <w:tcPr>
            <w:tcW w:w="1758" w:type="dxa"/>
          </w:tcPr>
          <w:p w:rsidR="003870AE" w:rsidRPr="00B64941" w:rsidRDefault="003870AE" w:rsidP="003870AE">
            <w:pPr>
              <w:jc w:val="left"/>
              <w:rPr>
                <w:rFonts w:cs="Arial"/>
                <w:sz w:val="18"/>
                <w:szCs w:val="18"/>
              </w:rPr>
            </w:pPr>
            <w:r w:rsidRPr="00B64941">
              <w:rPr>
                <w:rFonts w:cs="Arial"/>
                <w:sz w:val="18"/>
                <w:szCs w:val="18"/>
              </w:rPr>
              <w:t>UPOV/INF/19</w:t>
            </w:r>
          </w:p>
        </w:tc>
        <w:tc>
          <w:tcPr>
            <w:tcW w:w="4807" w:type="dxa"/>
          </w:tcPr>
          <w:p w:rsidR="003870AE" w:rsidRPr="00B64941" w:rsidRDefault="003870AE" w:rsidP="003870AE">
            <w:pPr>
              <w:jc w:val="left"/>
              <w:rPr>
                <w:rFonts w:cs="Arial"/>
                <w:sz w:val="18"/>
                <w:szCs w:val="18"/>
              </w:rPr>
            </w:pPr>
            <w:r w:rsidRPr="00B64941">
              <w:rPr>
                <w:rFonts w:cs="Arial"/>
                <w:sz w:val="18"/>
                <w:szCs w:val="18"/>
              </w:rPr>
              <w:t>Rules governing the granting of observer status to States, intergovernmental organizations and international non-governmental organizations in UPOV bodies</w:t>
            </w:r>
          </w:p>
        </w:tc>
        <w:tc>
          <w:tcPr>
            <w:tcW w:w="3920" w:type="dxa"/>
          </w:tcPr>
          <w:p w:rsidR="003870AE" w:rsidRPr="00B64941" w:rsidRDefault="003870AE" w:rsidP="003870AE">
            <w:pPr>
              <w:jc w:val="left"/>
              <w:rPr>
                <w:rFonts w:cs="Arial"/>
                <w:iCs/>
                <w:sz w:val="18"/>
                <w:szCs w:val="18"/>
              </w:rPr>
            </w:pPr>
            <w:r w:rsidRPr="00B64941">
              <w:rPr>
                <w:rFonts w:cs="Arial"/>
                <w:sz w:val="18"/>
                <w:szCs w:val="18"/>
              </w:rPr>
              <w:t xml:space="preserve">UPOV/INF/19/1 </w:t>
            </w:r>
            <w:r w:rsidRPr="00B64941">
              <w:rPr>
                <w:rFonts w:cs="Arial"/>
                <w:iCs/>
                <w:sz w:val="18"/>
                <w:szCs w:val="18"/>
              </w:rPr>
              <w:t>adopted in November 2012</w:t>
            </w:r>
          </w:p>
        </w:tc>
      </w:tr>
      <w:tr w:rsidR="003870AE" w:rsidRPr="00B64941" w:rsidTr="003870AE">
        <w:trPr>
          <w:cantSplit/>
          <w:jc w:val="center"/>
        </w:trPr>
        <w:tc>
          <w:tcPr>
            <w:tcW w:w="1758" w:type="dxa"/>
          </w:tcPr>
          <w:p w:rsidR="003870AE" w:rsidRPr="00B64941" w:rsidRDefault="003870AE" w:rsidP="003870AE">
            <w:pPr>
              <w:jc w:val="left"/>
              <w:rPr>
                <w:rFonts w:cs="Arial"/>
                <w:sz w:val="18"/>
                <w:szCs w:val="18"/>
              </w:rPr>
            </w:pPr>
            <w:r w:rsidRPr="00B64941">
              <w:rPr>
                <w:rFonts w:cs="Arial"/>
                <w:sz w:val="18"/>
                <w:szCs w:val="18"/>
              </w:rPr>
              <w:t>UPOV/INF/20</w:t>
            </w:r>
          </w:p>
        </w:tc>
        <w:tc>
          <w:tcPr>
            <w:tcW w:w="4807" w:type="dxa"/>
          </w:tcPr>
          <w:p w:rsidR="003870AE" w:rsidRPr="00B64941" w:rsidRDefault="003870AE" w:rsidP="003870AE">
            <w:pPr>
              <w:jc w:val="left"/>
              <w:rPr>
                <w:rFonts w:cs="Arial"/>
                <w:sz w:val="18"/>
                <w:szCs w:val="18"/>
              </w:rPr>
            </w:pPr>
            <w:r w:rsidRPr="00B64941">
              <w:rPr>
                <w:rFonts w:cs="Arial"/>
                <w:sz w:val="18"/>
                <w:szCs w:val="18"/>
              </w:rPr>
              <w:t>Rules governing access to UPOV documents</w:t>
            </w:r>
          </w:p>
        </w:tc>
        <w:tc>
          <w:tcPr>
            <w:tcW w:w="3920" w:type="dxa"/>
          </w:tcPr>
          <w:p w:rsidR="003870AE" w:rsidRPr="00B64941" w:rsidRDefault="003870AE" w:rsidP="003870AE">
            <w:pPr>
              <w:jc w:val="left"/>
              <w:rPr>
                <w:rFonts w:cs="Arial"/>
                <w:iCs/>
                <w:sz w:val="18"/>
                <w:szCs w:val="18"/>
              </w:rPr>
            </w:pPr>
            <w:r w:rsidRPr="00B64941">
              <w:rPr>
                <w:rFonts w:cs="Arial"/>
                <w:sz w:val="18"/>
                <w:szCs w:val="18"/>
              </w:rPr>
              <w:t xml:space="preserve">UPOV/INF/20/1 </w:t>
            </w:r>
            <w:r w:rsidRPr="00B64941">
              <w:rPr>
                <w:rFonts w:cs="Arial"/>
                <w:iCs/>
                <w:sz w:val="18"/>
                <w:szCs w:val="18"/>
              </w:rPr>
              <w:t>adopted in November 2012</w:t>
            </w:r>
          </w:p>
        </w:tc>
      </w:tr>
      <w:tr w:rsidR="003870AE" w:rsidRPr="00B64941" w:rsidTr="003870AE">
        <w:trPr>
          <w:cantSplit/>
          <w:jc w:val="center"/>
        </w:trPr>
        <w:tc>
          <w:tcPr>
            <w:tcW w:w="1758" w:type="dxa"/>
          </w:tcPr>
          <w:p w:rsidR="003870AE" w:rsidRPr="00B64941" w:rsidRDefault="003870AE" w:rsidP="003870AE">
            <w:pPr>
              <w:jc w:val="left"/>
              <w:rPr>
                <w:rFonts w:cs="Arial"/>
                <w:sz w:val="18"/>
                <w:szCs w:val="18"/>
              </w:rPr>
            </w:pPr>
            <w:r w:rsidRPr="00B64941">
              <w:rPr>
                <w:rFonts w:cs="Arial"/>
                <w:sz w:val="18"/>
                <w:szCs w:val="18"/>
              </w:rPr>
              <w:t>UPOV/INF/21</w:t>
            </w:r>
          </w:p>
        </w:tc>
        <w:tc>
          <w:tcPr>
            <w:tcW w:w="4807" w:type="dxa"/>
          </w:tcPr>
          <w:p w:rsidR="003870AE" w:rsidRPr="00B64941" w:rsidRDefault="003870AE" w:rsidP="003870AE">
            <w:pPr>
              <w:jc w:val="left"/>
              <w:rPr>
                <w:rFonts w:cs="Arial"/>
                <w:sz w:val="18"/>
                <w:szCs w:val="18"/>
              </w:rPr>
            </w:pPr>
            <w:r w:rsidRPr="00B64941">
              <w:rPr>
                <w:rFonts w:cs="Arial"/>
                <w:sz w:val="18"/>
                <w:szCs w:val="18"/>
              </w:rPr>
              <w:t>Alternative Dispute Settlement Mechanisms</w:t>
            </w:r>
          </w:p>
        </w:tc>
        <w:tc>
          <w:tcPr>
            <w:tcW w:w="3920" w:type="dxa"/>
          </w:tcPr>
          <w:p w:rsidR="003870AE" w:rsidRPr="00B64941" w:rsidRDefault="003870AE" w:rsidP="003870AE">
            <w:pPr>
              <w:jc w:val="left"/>
              <w:rPr>
                <w:rFonts w:cs="Arial"/>
                <w:sz w:val="18"/>
                <w:szCs w:val="18"/>
              </w:rPr>
            </w:pPr>
            <w:r w:rsidRPr="00B64941">
              <w:rPr>
                <w:rFonts w:cs="Arial"/>
                <w:sz w:val="18"/>
                <w:szCs w:val="18"/>
              </w:rPr>
              <w:t xml:space="preserve">UPOV/INF/21/1 adopted </w:t>
            </w:r>
            <w:r w:rsidRPr="00B64941">
              <w:rPr>
                <w:rFonts w:cs="Arial"/>
                <w:iCs/>
                <w:sz w:val="18"/>
                <w:szCs w:val="18"/>
              </w:rPr>
              <w:t>in November 2012</w:t>
            </w:r>
          </w:p>
        </w:tc>
      </w:tr>
      <w:tr w:rsidR="003870AE" w:rsidRPr="00B64941" w:rsidTr="003870AE">
        <w:trPr>
          <w:cantSplit/>
          <w:jc w:val="center"/>
        </w:trPr>
        <w:tc>
          <w:tcPr>
            <w:tcW w:w="1758" w:type="dxa"/>
          </w:tcPr>
          <w:p w:rsidR="003870AE" w:rsidRPr="00B64941" w:rsidRDefault="003870AE" w:rsidP="003870AE">
            <w:pPr>
              <w:rPr>
                <w:sz w:val="18"/>
                <w:szCs w:val="18"/>
              </w:rPr>
            </w:pPr>
            <w:r w:rsidRPr="00B64941">
              <w:rPr>
                <w:sz w:val="18"/>
                <w:szCs w:val="18"/>
              </w:rPr>
              <w:t>UPOV/INF/22</w:t>
            </w:r>
          </w:p>
        </w:tc>
        <w:tc>
          <w:tcPr>
            <w:tcW w:w="4807" w:type="dxa"/>
          </w:tcPr>
          <w:p w:rsidR="003870AE" w:rsidRPr="00B64941" w:rsidRDefault="003870AE" w:rsidP="003870AE">
            <w:pPr>
              <w:rPr>
                <w:sz w:val="18"/>
                <w:szCs w:val="18"/>
              </w:rPr>
            </w:pPr>
            <w:r w:rsidRPr="00B64941">
              <w:rPr>
                <w:sz w:val="18"/>
                <w:szCs w:val="18"/>
              </w:rPr>
              <w:t xml:space="preserve">Software and Equipment Used by Members of the Union </w:t>
            </w:r>
          </w:p>
        </w:tc>
        <w:tc>
          <w:tcPr>
            <w:tcW w:w="3920" w:type="dxa"/>
          </w:tcPr>
          <w:p w:rsidR="003870AE" w:rsidRPr="00B64941" w:rsidRDefault="003870AE" w:rsidP="003870AE">
            <w:pPr>
              <w:jc w:val="left"/>
              <w:rPr>
                <w:sz w:val="18"/>
                <w:szCs w:val="18"/>
              </w:rPr>
            </w:pPr>
            <w:r w:rsidRPr="00B64941">
              <w:rPr>
                <w:sz w:val="18"/>
                <w:szCs w:val="18"/>
              </w:rPr>
              <w:t>UPOV/INF/22/1 adopted in October 2014</w:t>
            </w:r>
          </w:p>
          <w:p w:rsidR="003870AE" w:rsidRPr="00B64941" w:rsidRDefault="00B64941" w:rsidP="003870AE">
            <w:pPr>
              <w:jc w:val="left"/>
              <w:rPr>
                <w:sz w:val="18"/>
                <w:szCs w:val="18"/>
                <w:highlight w:val="yellow"/>
              </w:rPr>
            </w:pPr>
            <w:r w:rsidRPr="00AC4B94">
              <w:rPr>
                <w:bCs/>
                <w:snapToGrid w:val="0"/>
                <w:spacing w:val="-4"/>
                <w:sz w:val="18"/>
                <w:szCs w:val="18"/>
              </w:rPr>
              <w:t>Document UPOV/INF/22/2 Draft 1 to be considered by the Council in October 2015</w:t>
            </w:r>
          </w:p>
        </w:tc>
      </w:tr>
    </w:tbl>
    <w:p w:rsidR="003870AE" w:rsidRDefault="003870AE" w:rsidP="003870AE"/>
    <w:p w:rsidR="003870AE" w:rsidRDefault="003870AE" w:rsidP="003870AE"/>
    <w:p w:rsidR="003870AE" w:rsidRDefault="003870AE" w:rsidP="003870AE"/>
    <w:p w:rsidR="003870AE" w:rsidRPr="000022C4" w:rsidRDefault="003870AE" w:rsidP="003870AE">
      <w:pPr>
        <w:jc w:val="right"/>
      </w:pPr>
      <w:r>
        <w:t>[End of the Annex and of the document]</w:t>
      </w:r>
    </w:p>
    <w:p w:rsidR="00900C26" w:rsidRDefault="00900C26" w:rsidP="003870AE">
      <w:pPr>
        <w:rPr>
          <w:snapToGrid w:val="0"/>
        </w:rPr>
      </w:pPr>
    </w:p>
    <w:sectPr w:rsidR="00900C26" w:rsidSect="001C4474">
      <w:headerReference w:type="default" r:id="rId11"/>
      <w:foot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C16" w:rsidRDefault="001E2C16">
      <w:r>
        <w:separator/>
      </w:r>
    </w:p>
    <w:p w:rsidR="001E2C16" w:rsidRDefault="001E2C16"/>
    <w:p w:rsidR="001E2C16" w:rsidRDefault="001E2C16"/>
  </w:endnote>
  <w:endnote w:type="continuationSeparator" w:id="0">
    <w:p w:rsidR="001E2C16" w:rsidRDefault="001E2C16">
      <w:r>
        <w:separator/>
      </w:r>
    </w:p>
    <w:p w:rsidR="001E2C16" w:rsidRPr="00664515" w:rsidRDefault="001E2C16">
      <w:pPr>
        <w:pStyle w:val="Footer"/>
        <w:spacing w:after="60"/>
        <w:rPr>
          <w:sz w:val="18"/>
          <w:lang w:val="fr-CH"/>
        </w:rPr>
      </w:pPr>
      <w:r w:rsidRPr="00664515">
        <w:rPr>
          <w:sz w:val="18"/>
          <w:lang w:val="fr-CH"/>
        </w:rPr>
        <w:t>[Suite de la note de la page précédente]</w:t>
      </w:r>
    </w:p>
    <w:p w:rsidR="001E2C16" w:rsidRPr="00664515" w:rsidRDefault="001E2C16">
      <w:pPr>
        <w:rPr>
          <w:lang w:val="fr-CH"/>
        </w:rPr>
      </w:pPr>
    </w:p>
    <w:p w:rsidR="001E2C16" w:rsidRPr="00664515" w:rsidRDefault="001E2C16">
      <w:pPr>
        <w:rPr>
          <w:lang w:val="fr-CH"/>
        </w:rPr>
      </w:pPr>
    </w:p>
  </w:endnote>
  <w:endnote w:type="continuationNotice" w:id="1">
    <w:p w:rsidR="001E2C16" w:rsidRPr="00664515" w:rsidRDefault="001E2C16">
      <w:pPr>
        <w:spacing w:before="60"/>
        <w:jc w:val="right"/>
        <w:rPr>
          <w:sz w:val="18"/>
          <w:lang w:val="fr-CH"/>
        </w:rPr>
      </w:pPr>
      <w:r w:rsidRPr="00664515">
        <w:rPr>
          <w:sz w:val="18"/>
          <w:lang w:val="fr-CH"/>
        </w:rPr>
        <w:t>[Suite de la note page suivante]</w:t>
      </w:r>
    </w:p>
    <w:p w:rsidR="001E2C16" w:rsidRPr="00664515" w:rsidRDefault="001E2C16">
      <w:pPr>
        <w:rPr>
          <w:lang w:val="fr-CH"/>
        </w:rPr>
      </w:pPr>
    </w:p>
    <w:p w:rsidR="001E2C16" w:rsidRPr="00664515" w:rsidRDefault="001E2C16">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C16" w:rsidRPr="00001960" w:rsidRDefault="001E2C16" w:rsidP="000019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C16" w:rsidRDefault="001E2C16" w:rsidP="009D690D">
      <w:pPr>
        <w:spacing w:before="120"/>
      </w:pPr>
      <w:r>
        <w:separator/>
      </w:r>
    </w:p>
  </w:footnote>
  <w:footnote w:type="continuationSeparator" w:id="0">
    <w:p w:rsidR="001E2C16" w:rsidRDefault="001E2C16" w:rsidP="00520297">
      <w:pPr>
        <w:spacing w:before="120"/>
        <w:jc w:val="left"/>
      </w:pPr>
      <w:r>
        <w:separator/>
      </w:r>
    </w:p>
  </w:footnote>
  <w:footnote w:type="continuationNotice" w:id="1">
    <w:p w:rsidR="001E2C16" w:rsidRDefault="001E2C16"/>
  </w:footnote>
  <w:footnote w:id="2">
    <w:p w:rsidR="001E2C16" w:rsidRPr="0021431F" w:rsidRDefault="001E2C16" w:rsidP="0021431F">
      <w:pPr>
        <w:pStyle w:val="FootnoteText"/>
        <w:rPr>
          <w:szCs w:val="16"/>
        </w:rPr>
      </w:pPr>
      <w:r w:rsidRPr="0021431F">
        <w:rPr>
          <w:rStyle w:val="FootnoteReference"/>
          <w:szCs w:val="16"/>
        </w:rPr>
        <w:footnoteRef/>
      </w:r>
      <w:r w:rsidRPr="0021431F">
        <w:rPr>
          <w:szCs w:val="16"/>
        </w:rPr>
        <w:t xml:space="preserve"> </w:t>
      </w:r>
      <w:r w:rsidRPr="0021431F">
        <w:rPr>
          <w:szCs w:val="16"/>
        </w:rPr>
        <w:tab/>
      </w:r>
      <w:proofErr w:type="gramStart"/>
      <w:r w:rsidRPr="0021431F">
        <w:rPr>
          <w:szCs w:val="16"/>
        </w:rPr>
        <w:t>Held in Geneva on October 24, 2005.</w:t>
      </w:r>
      <w:proofErr w:type="gramEnd"/>
    </w:p>
  </w:footnote>
  <w:footnote w:id="3">
    <w:p w:rsidR="001E2C16" w:rsidRPr="0021431F" w:rsidRDefault="001E2C16" w:rsidP="0021431F">
      <w:pPr>
        <w:pStyle w:val="FootnoteText"/>
        <w:rPr>
          <w:szCs w:val="16"/>
        </w:rPr>
      </w:pPr>
      <w:r w:rsidRPr="0021431F">
        <w:rPr>
          <w:rStyle w:val="FootnoteReference"/>
          <w:szCs w:val="16"/>
        </w:rPr>
        <w:footnoteRef/>
      </w:r>
      <w:r w:rsidRPr="0021431F">
        <w:rPr>
          <w:szCs w:val="16"/>
        </w:rPr>
        <w:t xml:space="preserve"> </w:t>
      </w:r>
      <w:r w:rsidRPr="0021431F">
        <w:rPr>
          <w:szCs w:val="16"/>
        </w:rPr>
        <w:tab/>
        <w:t>See document CAJ/52/4” Approach for the development of information materials concerning the UPOV Convention”, paragraphs 8 to 10.</w:t>
      </w:r>
    </w:p>
  </w:footnote>
  <w:footnote w:id="4">
    <w:p w:rsidR="001E2C16" w:rsidRPr="0021431F" w:rsidRDefault="001E2C16" w:rsidP="0021431F">
      <w:pPr>
        <w:pStyle w:val="FootnoteText"/>
        <w:rPr>
          <w:szCs w:val="16"/>
        </w:rPr>
      </w:pPr>
      <w:r w:rsidRPr="0021431F">
        <w:rPr>
          <w:rStyle w:val="FootnoteReference"/>
          <w:szCs w:val="16"/>
        </w:rPr>
        <w:footnoteRef/>
      </w:r>
      <w:r w:rsidRPr="0021431F">
        <w:rPr>
          <w:szCs w:val="16"/>
        </w:rPr>
        <w:t xml:space="preserve"> </w:t>
      </w:r>
      <w:r w:rsidRPr="0021431F">
        <w:rPr>
          <w:szCs w:val="16"/>
        </w:rPr>
        <w:tab/>
        <w:t>See document CAJ/52/4, paragraphs 11 to 14 and document CAJ/52/5 “Report”, paragraph 67.</w:t>
      </w:r>
    </w:p>
  </w:footnote>
  <w:footnote w:id="5">
    <w:p w:rsidR="001E2C16" w:rsidRPr="0021431F" w:rsidRDefault="001E2C16" w:rsidP="0021431F">
      <w:pPr>
        <w:pStyle w:val="FootnoteText"/>
        <w:rPr>
          <w:szCs w:val="16"/>
        </w:rPr>
      </w:pPr>
      <w:r w:rsidRPr="0021431F">
        <w:rPr>
          <w:rStyle w:val="FootnoteReference"/>
          <w:szCs w:val="16"/>
        </w:rPr>
        <w:footnoteRef/>
      </w:r>
      <w:r w:rsidRPr="0021431F">
        <w:rPr>
          <w:szCs w:val="16"/>
        </w:rPr>
        <w:t xml:space="preserve"> </w:t>
      </w:r>
      <w:r w:rsidRPr="0021431F">
        <w:rPr>
          <w:szCs w:val="16"/>
        </w:rPr>
        <w:tab/>
        <w:t>Held in Geneva on October 13, 2014</w:t>
      </w:r>
    </w:p>
  </w:footnote>
  <w:footnote w:id="6">
    <w:p w:rsidR="001E2C16" w:rsidRPr="0021431F" w:rsidRDefault="001E2C16" w:rsidP="0021431F">
      <w:pPr>
        <w:pStyle w:val="FootnoteText"/>
        <w:rPr>
          <w:szCs w:val="16"/>
        </w:rPr>
      </w:pPr>
      <w:r w:rsidRPr="0021431F">
        <w:rPr>
          <w:rStyle w:val="FootnoteReference"/>
          <w:szCs w:val="16"/>
        </w:rPr>
        <w:footnoteRef/>
      </w:r>
      <w:r w:rsidRPr="0021431F">
        <w:rPr>
          <w:szCs w:val="16"/>
        </w:rPr>
        <w:t xml:space="preserve"> </w:t>
      </w:r>
      <w:r w:rsidRPr="0021431F">
        <w:rPr>
          <w:szCs w:val="16"/>
        </w:rPr>
        <w:tab/>
      </w:r>
      <w:proofErr w:type="gramStart"/>
      <w:r w:rsidRPr="0021431F">
        <w:rPr>
          <w:szCs w:val="16"/>
        </w:rPr>
        <w:t>Held in Geneva on October 14 and 17, 2014.</w:t>
      </w:r>
      <w:proofErr w:type="gramEnd"/>
    </w:p>
  </w:footnote>
  <w:footnote w:id="7">
    <w:p w:rsidR="001E2C16" w:rsidRPr="0021431F" w:rsidRDefault="001E2C16" w:rsidP="0021431F">
      <w:pPr>
        <w:pStyle w:val="FootnoteText"/>
        <w:rPr>
          <w:szCs w:val="16"/>
        </w:rPr>
      </w:pPr>
      <w:r w:rsidRPr="0021431F">
        <w:rPr>
          <w:rStyle w:val="FootnoteReference"/>
          <w:szCs w:val="16"/>
        </w:rPr>
        <w:footnoteRef/>
      </w:r>
      <w:r w:rsidRPr="0021431F">
        <w:rPr>
          <w:szCs w:val="16"/>
        </w:rPr>
        <w:t xml:space="preserve"> </w:t>
      </w:r>
      <w:r w:rsidRPr="0021431F">
        <w:rPr>
          <w:szCs w:val="16"/>
        </w:rPr>
        <w:tab/>
        <w:t>See document CAJ/70/10 “Report on the Conclusions”, paragraphs 38 to 41.</w:t>
      </w:r>
    </w:p>
  </w:footnote>
  <w:footnote w:id="8">
    <w:p w:rsidR="00662E19" w:rsidRPr="0021431F" w:rsidRDefault="00662E19" w:rsidP="0021431F">
      <w:pPr>
        <w:pStyle w:val="FootnoteText"/>
        <w:rPr>
          <w:szCs w:val="16"/>
        </w:rPr>
      </w:pPr>
      <w:r w:rsidRPr="0021431F">
        <w:rPr>
          <w:rStyle w:val="FootnoteReference"/>
          <w:szCs w:val="16"/>
        </w:rPr>
        <w:footnoteRef/>
      </w:r>
      <w:r w:rsidRPr="0021431F">
        <w:rPr>
          <w:szCs w:val="16"/>
        </w:rPr>
        <w:t xml:space="preserve"> </w:t>
      </w:r>
      <w:r w:rsidRPr="0021431F">
        <w:rPr>
          <w:szCs w:val="16"/>
        </w:rPr>
        <w:tab/>
      </w:r>
      <w:proofErr w:type="gramStart"/>
      <w:r w:rsidRPr="0021431F">
        <w:rPr>
          <w:szCs w:val="16"/>
        </w:rPr>
        <w:t>Held in Geneva on March 26, 2015.</w:t>
      </w:r>
      <w:proofErr w:type="gramEnd"/>
    </w:p>
  </w:footnote>
  <w:footnote w:id="9">
    <w:p w:rsidR="001B333C" w:rsidRPr="0021431F" w:rsidRDefault="001B333C" w:rsidP="001B333C">
      <w:pPr>
        <w:pStyle w:val="FootnoteText"/>
        <w:rPr>
          <w:szCs w:val="16"/>
        </w:rPr>
      </w:pPr>
      <w:r w:rsidRPr="0021431F">
        <w:rPr>
          <w:rStyle w:val="FootnoteReference"/>
          <w:szCs w:val="16"/>
        </w:rPr>
        <w:footnoteRef/>
      </w:r>
      <w:r w:rsidRPr="0021431F">
        <w:rPr>
          <w:szCs w:val="16"/>
        </w:rPr>
        <w:t xml:space="preserve"> </w:t>
      </w:r>
      <w:r w:rsidRPr="0021431F">
        <w:rPr>
          <w:szCs w:val="16"/>
        </w:rPr>
        <w:tab/>
      </w:r>
      <w:proofErr w:type="gramStart"/>
      <w:r w:rsidRPr="0021431F">
        <w:rPr>
          <w:szCs w:val="16"/>
        </w:rPr>
        <w:t>Held in Geneva, on October 14 and 17, 2014.</w:t>
      </w:r>
      <w:proofErr w:type="gramEnd"/>
    </w:p>
  </w:footnote>
  <w:footnote w:id="10">
    <w:p w:rsidR="009F4C84" w:rsidRPr="0021431F" w:rsidRDefault="009F4C84" w:rsidP="0021431F">
      <w:pPr>
        <w:pStyle w:val="FootnoteText"/>
        <w:rPr>
          <w:szCs w:val="16"/>
        </w:rPr>
      </w:pPr>
      <w:r w:rsidRPr="0021431F">
        <w:rPr>
          <w:rStyle w:val="FootnoteReference"/>
          <w:szCs w:val="16"/>
        </w:rPr>
        <w:footnoteRef/>
      </w:r>
      <w:r w:rsidRPr="0021431F">
        <w:rPr>
          <w:szCs w:val="16"/>
        </w:rPr>
        <w:t xml:space="preserve"> </w:t>
      </w:r>
      <w:r w:rsidRPr="0021431F">
        <w:rPr>
          <w:szCs w:val="16"/>
        </w:rPr>
        <w:tab/>
      </w:r>
      <w:r w:rsidR="001B333C">
        <w:rPr>
          <w:szCs w:val="16"/>
        </w:rPr>
        <w:t xml:space="preserve">See </w:t>
      </w:r>
      <w:r w:rsidRPr="0021431F">
        <w:rPr>
          <w:szCs w:val="16"/>
        </w:rPr>
        <w:t>document CAJ/71/10 “Report on</w:t>
      </w:r>
      <w:r w:rsidR="001B333C">
        <w:rPr>
          <w:szCs w:val="16"/>
        </w:rPr>
        <w:t xml:space="preserve"> the Conclusions”, paragraph 10</w:t>
      </w:r>
      <w:r w:rsidRPr="0021431F">
        <w:rPr>
          <w:szCs w:val="16"/>
        </w:rPr>
        <w:t>.</w:t>
      </w:r>
    </w:p>
  </w:footnote>
  <w:footnote w:id="11">
    <w:p w:rsidR="00612CF3" w:rsidRPr="0021431F" w:rsidRDefault="00612CF3" w:rsidP="0021431F">
      <w:pPr>
        <w:pStyle w:val="FootnoteText"/>
        <w:rPr>
          <w:szCs w:val="16"/>
        </w:rPr>
      </w:pPr>
      <w:r w:rsidRPr="0021431F">
        <w:rPr>
          <w:rStyle w:val="FootnoteReference"/>
          <w:szCs w:val="16"/>
        </w:rPr>
        <w:footnoteRef/>
      </w:r>
      <w:r w:rsidRPr="0021431F">
        <w:rPr>
          <w:szCs w:val="16"/>
        </w:rPr>
        <w:t xml:space="preserve"> </w:t>
      </w:r>
      <w:r w:rsidRPr="0021431F">
        <w:rPr>
          <w:szCs w:val="16"/>
        </w:rPr>
        <w:tab/>
      </w:r>
      <w:r w:rsidR="001B333C">
        <w:rPr>
          <w:szCs w:val="16"/>
        </w:rPr>
        <w:t xml:space="preserve">See </w:t>
      </w:r>
      <w:r w:rsidRPr="0021431F">
        <w:rPr>
          <w:szCs w:val="16"/>
        </w:rPr>
        <w:t xml:space="preserve">document CAJ/71/10 “Report on the </w:t>
      </w:r>
      <w:r w:rsidR="001B333C" w:rsidRPr="0021431F">
        <w:rPr>
          <w:szCs w:val="16"/>
        </w:rPr>
        <w:t>Conclusions</w:t>
      </w:r>
      <w:r w:rsidR="00492D94" w:rsidRPr="0021431F">
        <w:rPr>
          <w:szCs w:val="16"/>
        </w:rPr>
        <w:t>”</w:t>
      </w:r>
      <w:r w:rsidRPr="0021431F">
        <w:rPr>
          <w:szCs w:val="16"/>
        </w:rPr>
        <w:t>, paragraph 1</w:t>
      </w:r>
      <w:r w:rsidR="001B333C">
        <w:rPr>
          <w:szCs w:val="16"/>
        </w:rPr>
        <w:t>1</w:t>
      </w:r>
      <w:r w:rsidRPr="0021431F">
        <w:rPr>
          <w:szCs w:val="16"/>
        </w:rPr>
        <w:t>.</w:t>
      </w:r>
    </w:p>
  </w:footnote>
  <w:footnote w:id="12">
    <w:p w:rsidR="00612CF3" w:rsidRPr="0021431F" w:rsidRDefault="00612CF3" w:rsidP="0021431F">
      <w:pPr>
        <w:spacing w:before="60"/>
        <w:ind w:left="567" w:hanging="567"/>
        <w:rPr>
          <w:sz w:val="16"/>
          <w:szCs w:val="16"/>
        </w:rPr>
      </w:pPr>
      <w:r w:rsidRPr="0021431F">
        <w:rPr>
          <w:rStyle w:val="FootnoteReference"/>
          <w:sz w:val="16"/>
          <w:szCs w:val="16"/>
        </w:rPr>
        <w:footnoteRef/>
      </w:r>
      <w:r w:rsidRPr="0021431F">
        <w:rPr>
          <w:sz w:val="16"/>
          <w:szCs w:val="16"/>
        </w:rPr>
        <w:t xml:space="preserve"> </w:t>
      </w:r>
      <w:r w:rsidRPr="0021431F">
        <w:rPr>
          <w:sz w:val="16"/>
          <w:szCs w:val="16"/>
        </w:rPr>
        <w:tab/>
      </w:r>
      <w:r w:rsidR="001B333C">
        <w:rPr>
          <w:sz w:val="16"/>
          <w:szCs w:val="16"/>
        </w:rPr>
        <w:t xml:space="preserve">See </w:t>
      </w:r>
      <w:r w:rsidRPr="0021431F">
        <w:rPr>
          <w:sz w:val="16"/>
          <w:szCs w:val="16"/>
        </w:rPr>
        <w:t xml:space="preserve">document CAJ/71/10 “Report on the </w:t>
      </w:r>
      <w:r w:rsidR="001B333C" w:rsidRPr="0021431F">
        <w:rPr>
          <w:sz w:val="16"/>
          <w:szCs w:val="16"/>
        </w:rPr>
        <w:t>Conclusions</w:t>
      </w:r>
      <w:r w:rsidR="00492D94" w:rsidRPr="0021431F">
        <w:rPr>
          <w:sz w:val="16"/>
          <w:szCs w:val="16"/>
        </w:rPr>
        <w:t>”</w:t>
      </w:r>
      <w:r w:rsidR="001B333C">
        <w:rPr>
          <w:sz w:val="16"/>
          <w:szCs w:val="16"/>
        </w:rPr>
        <w:t>, paragraph 12</w:t>
      </w:r>
      <w:r w:rsidRPr="0021431F">
        <w:rPr>
          <w:sz w:val="16"/>
          <w:szCs w:val="16"/>
        </w:rPr>
        <w:t>.</w:t>
      </w:r>
    </w:p>
  </w:footnote>
  <w:footnote w:id="13">
    <w:p w:rsidR="000D0D63" w:rsidRPr="0021431F" w:rsidRDefault="000D0D63" w:rsidP="0021431F">
      <w:pPr>
        <w:pStyle w:val="FootnoteText"/>
        <w:rPr>
          <w:szCs w:val="16"/>
        </w:rPr>
      </w:pPr>
      <w:r w:rsidRPr="0021431F">
        <w:rPr>
          <w:rStyle w:val="FootnoteReference"/>
          <w:szCs w:val="16"/>
        </w:rPr>
        <w:footnoteRef/>
      </w:r>
      <w:r w:rsidRPr="0021431F">
        <w:rPr>
          <w:szCs w:val="16"/>
        </w:rPr>
        <w:t xml:space="preserve"> </w:t>
      </w:r>
      <w:r w:rsidRPr="0021431F">
        <w:rPr>
          <w:szCs w:val="16"/>
        </w:rPr>
        <w:tab/>
      </w:r>
      <w:r w:rsidR="001B333C">
        <w:rPr>
          <w:szCs w:val="16"/>
        </w:rPr>
        <w:t xml:space="preserve">See </w:t>
      </w:r>
      <w:r w:rsidRPr="0021431F">
        <w:rPr>
          <w:szCs w:val="16"/>
        </w:rPr>
        <w:t>document CAJ/71/10 “Report o</w:t>
      </w:r>
      <w:r w:rsidR="001B333C">
        <w:rPr>
          <w:szCs w:val="16"/>
        </w:rPr>
        <w:t>n the Conclusions”, paragraph 13</w:t>
      </w:r>
      <w:r w:rsidRPr="0021431F">
        <w:rPr>
          <w:szCs w:val="16"/>
        </w:rPr>
        <w:t>.</w:t>
      </w:r>
    </w:p>
  </w:footnote>
  <w:footnote w:id="14">
    <w:p w:rsidR="00442C39" w:rsidRPr="0021431F" w:rsidRDefault="00442C39" w:rsidP="0021431F">
      <w:pPr>
        <w:spacing w:before="60"/>
        <w:ind w:left="567" w:hanging="567"/>
        <w:rPr>
          <w:sz w:val="16"/>
          <w:szCs w:val="16"/>
        </w:rPr>
      </w:pPr>
      <w:r w:rsidRPr="0021431F">
        <w:rPr>
          <w:rStyle w:val="FootnoteReference"/>
          <w:sz w:val="16"/>
          <w:szCs w:val="16"/>
        </w:rPr>
        <w:footnoteRef/>
      </w:r>
      <w:r w:rsidRPr="0021431F">
        <w:rPr>
          <w:sz w:val="16"/>
          <w:szCs w:val="16"/>
        </w:rPr>
        <w:tab/>
      </w:r>
      <w:r w:rsidR="001B333C">
        <w:rPr>
          <w:sz w:val="16"/>
          <w:szCs w:val="16"/>
        </w:rPr>
        <w:t xml:space="preserve">See </w:t>
      </w:r>
      <w:r w:rsidRPr="0021431F">
        <w:rPr>
          <w:sz w:val="16"/>
          <w:szCs w:val="16"/>
        </w:rPr>
        <w:t>document CAJ/71/10 “Report on the Conclusions</w:t>
      </w:r>
      <w:r w:rsidR="001B333C">
        <w:rPr>
          <w:sz w:val="16"/>
          <w:szCs w:val="16"/>
        </w:rPr>
        <w:t>”</w:t>
      </w:r>
      <w:r w:rsidRPr="0021431F">
        <w:rPr>
          <w:sz w:val="16"/>
          <w:szCs w:val="16"/>
        </w:rPr>
        <w:t>, paragraph 14.</w:t>
      </w:r>
    </w:p>
  </w:footnote>
  <w:footnote w:id="15">
    <w:p w:rsidR="001B333C" w:rsidRDefault="001B333C" w:rsidP="001B333C">
      <w:pPr>
        <w:spacing w:before="60"/>
        <w:ind w:left="567" w:hanging="567"/>
      </w:pPr>
      <w:r w:rsidRPr="0021431F">
        <w:rPr>
          <w:rStyle w:val="FootnoteReference"/>
          <w:sz w:val="16"/>
          <w:szCs w:val="16"/>
        </w:rPr>
        <w:footnoteRef/>
      </w:r>
      <w:r>
        <w:rPr>
          <w:sz w:val="16"/>
          <w:szCs w:val="16"/>
        </w:rPr>
        <w:tab/>
        <w:t>See document CAJ/71/10 “Report on the Conclusions”, paragraph 15</w:t>
      </w:r>
      <w:r w:rsidRPr="0021431F">
        <w:rPr>
          <w:sz w:val="16"/>
          <w:szCs w:val="16"/>
        </w:rPr>
        <w:t>.</w:t>
      </w:r>
    </w:p>
  </w:footnote>
  <w:footnote w:id="16">
    <w:p w:rsidR="007709BE" w:rsidRPr="001B333C" w:rsidRDefault="007709BE" w:rsidP="001B333C">
      <w:pPr>
        <w:spacing w:before="60"/>
        <w:ind w:left="567" w:hanging="567"/>
        <w:rPr>
          <w:sz w:val="16"/>
          <w:szCs w:val="16"/>
        </w:rPr>
      </w:pPr>
      <w:r w:rsidRPr="0021431F">
        <w:rPr>
          <w:rStyle w:val="FootnoteReference"/>
          <w:sz w:val="16"/>
          <w:szCs w:val="16"/>
        </w:rPr>
        <w:footnoteRef/>
      </w:r>
      <w:r w:rsidRPr="0021431F">
        <w:rPr>
          <w:sz w:val="16"/>
          <w:szCs w:val="16"/>
        </w:rPr>
        <w:t xml:space="preserve"> </w:t>
      </w:r>
      <w:r w:rsidRPr="0021431F">
        <w:rPr>
          <w:sz w:val="16"/>
          <w:szCs w:val="16"/>
        </w:rPr>
        <w:tab/>
      </w:r>
      <w:r w:rsidR="001B333C">
        <w:rPr>
          <w:sz w:val="16"/>
          <w:szCs w:val="16"/>
        </w:rPr>
        <w:t>See document CAJ/71/10 “Report on the Conclusions”, paragraph 30.</w:t>
      </w:r>
    </w:p>
  </w:footnote>
  <w:footnote w:id="17">
    <w:p w:rsidR="007709BE" w:rsidRPr="0021431F" w:rsidRDefault="007709BE" w:rsidP="001B333C">
      <w:pPr>
        <w:spacing w:before="60"/>
        <w:outlineLvl w:val="1"/>
        <w:rPr>
          <w:sz w:val="16"/>
          <w:szCs w:val="16"/>
        </w:rPr>
      </w:pPr>
      <w:r w:rsidRPr="0021431F">
        <w:rPr>
          <w:rStyle w:val="FootnoteReference"/>
          <w:sz w:val="16"/>
          <w:szCs w:val="16"/>
        </w:rPr>
        <w:footnoteRef/>
      </w:r>
      <w:r w:rsidRPr="0021431F">
        <w:rPr>
          <w:sz w:val="16"/>
          <w:szCs w:val="16"/>
        </w:rPr>
        <w:tab/>
      </w:r>
      <w:r w:rsidR="001B333C">
        <w:rPr>
          <w:sz w:val="16"/>
          <w:szCs w:val="16"/>
        </w:rPr>
        <w:t>See document CAJ/71/10 “Report on the Conclusions”, paragraph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C16" w:rsidRDefault="001E2C16">
    <w:pPr>
      <w:jc w:val="center"/>
    </w:pPr>
    <w:r>
      <w:t>CAJ/72/2</w:t>
    </w:r>
  </w:p>
  <w:p w:rsidR="001E2C16" w:rsidRDefault="001E2C16">
    <w:pPr>
      <w:jc w:val="center"/>
    </w:pPr>
    <w:proofErr w:type="gramStart"/>
    <w:r>
      <w:t>page</w:t>
    </w:r>
    <w:proofErr w:type="gramEnd"/>
    <w:r>
      <w:t xml:space="preserve"> </w:t>
    </w:r>
    <w:r>
      <w:fldChar w:fldCharType="begin"/>
    </w:r>
    <w:r>
      <w:instrText xml:space="preserve"> PAGE  \* MERGEFORMAT </w:instrText>
    </w:r>
    <w:r>
      <w:fldChar w:fldCharType="separate"/>
    </w:r>
    <w:r w:rsidR="00993C16">
      <w:rPr>
        <w:noProof/>
      </w:rPr>
      <w:t>2</w:t>
    </w:r>
    <w:r>
      <w:fldChar w:fldCharType="end"/>
    </w:r>
  </w:p>
  <w:p w:rsidR="001E2C16" w:rsidRDefault="001E2C16">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C16" w:rsidRPr="00997029" w:rsidRDefault="001E2C16" w:rsidP="00E23920">
    <w:pPr>
      <w:jc w:val="center"/>
      <w:rPr>
        <w:rStyle w:val="PageNumber"/>
      </w:rPr>
    </w:pPr>
    <w:r>
      <w:rPr>
        <w:rStyle w:val="PageNumber"/>
      </w:rPr>
      <w:t>CAJ/72/2</w:t>
    </w:r>
  </w:p>
  <w:p w:rsidR="001E2C16" w:rsidRPr="00997029" w:rsidRDefault="001E2C16" w:rsidP="00E23920">
    <w:pPr>
      <w:jc w:val="center"/>
    </w:pPr>
    <w:r>
      <w:t xml:space="preserve">Annex,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993C16">
      <w:rPr>
        <w:rStyle w:val="PageNumber"/>
        <w:noProof/>
      </w:rPr>
      <w:t>2</w:t>
    </w:r>
    <w:r w:rsidRPr="00997029">
      <w:rPr>
        <w:rStyle w:val="PageNumber"/>
      </w:rPr>
      <w:fldChar w:fldCharType="end"/>
    </w:r>
  </w:p>
  <w:p w:rsidR="001E2C16" w:rsidRPr="00997029" w:rsidRDefault="001E2C16"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203FE"/>
    <w:multiLevelType w:val="hybridMultilevel"/>
    <w:tmpl w:val="C0D2B172"/>
    <w:lvl w:ilvl="0" w:tplc="72628AC2">
      <w:start w:val="1"/>
      <w:numFmt w:val="lowerLetter"/>
      <w:lvlText w:val="(%1)"/>
      <w:lvlJc w:val="left"/>
      <w:pPr>
        <w:ind w:left="6877" w:hanging="360"/>
      </w:pPr>
      <w:rPr>
        <w:rFonts w:hint="default"/>
      </w:rPr>
    </w:lvl>
    <w:lvl w:ilvl="1" w:tplc="04090019">
      <w:start w:val="1"/>
      <w:numFmt w:val="lowerLetter"/>
      <w:lvlText w:val="%2."/>
      <w:lvlJc w:val="left"/>
      <w:pPr>
        <w:ind w:left="7597" w:hanging="360"/>
      </w:pPr>
    </w:lvl>
    <w:lvl w:ilvl="2" w:tplc="0409001B" w:tentative="1">
      <w:start w:val="1"/>
      <w:numFmt w:val="lowerRoman"/>
      <w:lvlText w:val="%3."/>
      <w:lvlJc w:val="right"/>
      <w:pPr>
        <w:ind w:left="8317" w:hanging="180"/>
      </w:pPr>
    </w:lvl>
    <w:lvl w:ilvl="3" w:tplc="0409000F" w:tentative="1">
      <w:start w:val="1"/>
      <w:numFmt w:val="decimal"/>
      <w:lvlText w:val="%4."/>
      <w:lvlJc w:val="left"/>
      <w:pPr>
        <w:ind w:left="9037" w:hanging="360"/>
      </w:pPr>
    </w:lvl>
    <w:lvl w:ilvl="4" w:tplc="04090019" w:tentative="1">
      <w:start w:val="1"/>
      <w:numFmt w:val="lowerLetter"/>
      <w:lvlText w:val="%5."/>
      <w:lvlJc w:val="left"/>
      <w:pPr>
        <w:ind w:left="9757" w:hanging="360"/>
      </w:pPr>
    </w:lvl>
    <w:lvl w:ilvl="5" w:tplc="0409001B" w:tentative="1">
      <w:start w:val="1"/>
      <w:numFmt w:val="lowerRoman"/>
      <w:lvlText w:val="%6."/>
      <w:lvlJc w:val="right"/>
      <w:pPr>
        <w:ind w:left="10477" w:hanging="180"/>
      </w:pPr>
    </w:lvl>
    <w:lvl w:ilvl="6" w:tplc="0409000F" w:tentative="1">
      <w:start w:val="1"/>
      <w:numFmt w:val="decimal"/>
      <w:lvlText w:val="%7."/>
      <w:lvlJc w:val="left"/>
      <w:pPr>
        <w:ind w:left="11197" w:hanging="360"/>
      </w:pPr>
    </w:lvl>
    <w:lvl w:ilvl="7" w:tplc="04090019" w:tentative="1">
      <w:start w:val="1"/>
      <w:numFmt w:val="lowerLetter"/>
      <w:lvlText w:val="%8."/>
      <w:lvlJc w:val="left"/>
      <w:pPr>
        <w:ind w:left="11917" w:hanging="360"/>
      </w:pPr>
    </w:lvl>
    <w:lvl w:ilvl="8" w:tplc="0409001B" w:tentative="1">
      <w:start w:val="1"/>
      <w:numFmt w:val="lowerRoman"/>
      <w:lvlText w:val="%9."/>
      <w:lvlJc w:val="right"/>
      <w:pPr>
        <w:ind w:left="12637" w:hanging="180"/>
      </w:pPr>
    </w:lvl>
  </w:abstractNum>
  <w:abstractNum w:abstractNumId="1">
    <w:nsid w:val="18FE102A"/>
    <w:multiLevelType w:val="hybridMultilevel"/>
    <w:tmpl w:val="1DDE27F2"/>
    <w:lvl w:ilvl="0" w:tplc="6250EDE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9464DF0"/>
    <w:multiLevelType w:val="hybridMultilevel"/>
    <w:tmpl w:val="770A5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AD79CE"/>
    <w:multiLevelType w:val="hybridMultilevel"/>
    <w:tmpl w:val="F326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D3268D"/>
    <w:multiLevelType w:val="hybridMultilevel"/>
    <w:tmpl w:val="7528F7DA"/>
    <w:lvl w:ilvl="0" w:tplc="F31C057A">
      <w:start w:val="1"/>
      <w:numFmt w:val="low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D92F8B"/>
    <w:multiLevelType w:val="hybridMultilevel"/>
    <w:tmpl w:val="9C668BE2"/>
    <w:lvl w:ilvl="0" w:tplc="D158AF32">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
    <w:nsid w:val="56EF5343"/>
    <w:multiLevelType w:val="hybridMultilevel"/>
    <w:tmpl w:val="D772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7B7CAB"/>
    <w:multiLevelType w:val="hybridMultilevel"/>
    <w:tmpl w:val="F748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816EE7"/>
    <w:multiLevelType w:val="hybridMultilevel"/>
    <w:tmpl w:val="B7B2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0"/>
  </w:num>
  <w:num w:numId="5">
    <w:abstractNumId w:val="1"/>
  </w:num>
  <w:num w:numId="6">
    <w:abstractNumId w:val="8"/>
  </w:num>
  <w:num w:numId="7">
    <w:abstractNumId w:val="4"/>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numFmt w:val="lowerLette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83B"/>
    <w:rsid w:val="00001380"/>
    <w:rsid w:val="000018A0"/>
    <w:rsid w:val="00001960"/>
    <w:rsid w:val="00001D48"/>
    <w:rsid w:val="00010CF3"/>
    <w:rsid w:val="00011E27"/>
    <w:rsid w:val="000148BC"/>
    <w:rsid w:val="00021553"/>
    <w:rsid w:val="00024AB8"/>
    <w:rsid w:val="00036028"/>
    <w:rsid w:val="000446B9"/>
    <w:rsid w:val="00047E21"/>
    <w:rsid w:val="0006472C"/>
    <w:rsid w:val="000844D5"/>
    <w:rsid w:val="00084870"/>
    <w:rsid w:val="00085505"/>
    <w:rsid w:val="000C7021"/>
    <w:rsid w:val="000D0D63"/>
    <w:rsid w:val="000D492E"/>
    <w:rsid w:val="000D6BBC"/>
    <w:rsid w:val="000D7780"/>
    <w:rsid w:val="000F251F"/>
    <w:rsid w:val="000F7EA6"/>
    <w:rsid w:val="00105929"/>
    <w:rsid w:val="00110481"/>
    <w:rsid w:val="001131D5"/>
    <w:rsid w:val="00141DB8"/>
    <w:rsid w:val="00146A37"/>
    <w:rsid w:val="00155F6F"/>
    <w:rsid w:val="0017474A"/>
    <w:rsid w:val="001758C6"/>
    <w:rsid w:val="001A3D2B"/>
    <w:rsid w:val="001A72F0"/>
    <w:rsid w:val="001B333C"/>
    <w:rsid w:val="001B5FCE"/>
    <w:rsid w:val="001C3DF3"/>
    <w:rsid w:val="001C4474"/>
    <w:rsid w:val="001E2C16"/>
    <w:rsid w:val="001F1F2A"/>
    <w:rsid w:val="001F2DA6"/>
    <w:rsid w:val="0021332C"/>
    <w:rsid w:val="00213982"/>
    <w:rsid w:val="0021431F"/>
    <w:rsid w:val="00237C7D"/>
    <w:rsid w:val="0024416D"/>
    <w:rsid w:val="00245BF2"/>
    <w:rsid w:val="0027309C"/>
    <w:rsid w:val="002800A0"/>
    <w:rsid w:val="00281060"/>
    <w:rsid w:val="0028743B"/>
    <w:rsid w:val="0029439F"/>
    <w:rsid w:val="002979E7"/>
    <w:rsid w:val="002A6E50"/>
    <w:rsid w:val="002C256A"/>
    <w:rsid w:val="002E7BA1"/>
    <w:rsid w:val="002F78FA"/>
    <w:rsid w:val="00305A7F"/>
    <w:rsid w:val="003152FE"/>
    <w:rsid w:val="00323E49"/>
    <w:rsid w:val="00327436"/>
    <w:rsid w:val="00344BD6"/>
    <w:rsid w:val="0035528D"/>
    <w:rsid w:val="00361821"/>
    <w:rsid w:val="003870AE"/>
    <w:rsid w:val="003915CD"/>
    <w:rsid w:val="00397968"/>
    <w:rsid w:val="003A17C8"/>
    <w:rsid w:val="003B4009"/>
    <w:rsid w:val="003C10A6"/>
    <w:rsid w:val="003C563E"/>
    <w:rsid w:val="003D227C"/>
    <w:rsid w:val="003D2B4D"/>
    <w:rsid w:val="003F6136"/>
    <w:rsid w:val="0040489E"/>
    <w:rsid w:val="00427139"/>
    <w:rsid w:val="00442C39"/>
    <w:rsid w:val="004440F7"/>
    <w:rsid w:val="00444A88"/>
    <w:rsid w:val="00473BA7"/>
    <w:rsid w:val="00474DA4"/>
    <w:rsid w:val="00492D94"/>
    <w:rsid w:val="004C2D12"/>
    <w:rsid w:val="004D047D"/>
    <w:rsid w:val="004D15EA"/>
    <w:rsid w:val="004D271E"/>
    <w:rsid w:val="004E0273"/>
    <w:rsid w:val="004F305A"/>
    <w:rsid w:val="00512164"/>
    <w:rsid w:val="00520297"/>
    <w:rsid w:val="005338F9"/>
    <w:rsid w:val="00541770"/>
    <w:rsid w:val="0054281C"/>
    <w:rsid w:val="0054398A"/>
    <w:rsid w:val="00551E76"/>
    <w:rsid w:val="0055268D"/>
    <w:rsid w:val="00572E44"/>
    <w:rsid w:val="00576BE4"/>
    <w:rsid w:val="005A400A"/>
    <w:rsid w:val="00612379"/>
    <w:rsid w:val="00612CF3"/>
    <w:rsid w:val="0061555F"/>
    <w:rsid w:val="0061574C"/>
    <w:rsid w:val="00641200"/>
    <w:rsid w:val="00656E01"/>
    <w:rsid w:val="00662E19"/>
    <w:rsid w:val="00663ED8"/>
    <w:rsid w:val="00664515"/>
    <w:rsid w:val="00687EB4"/>
    <w:rsid w:val="006B17D2"/>
    <w:rsid w:val="006B45FA"/>
    <w:rsid w:val="006C224E"/>
    <w:rsid w:val="006D412B"/>
    <w:rsid w:val="0070366F"/>
    <w:rsid w:val="00716622"/>
    <w:rsid w:val="00732DEC"/>
    <w:rsid w:val="00735BD5"/>
    <w:rsid w:val="007469A7"/>
    <w:rsid w:val="0075117E"/>
    <w:rsid w:val="007556F6"/>
    <w:rsid w:val="00760EEF"/>
    <w:rsid w:val="0076461B"/>
    <w:rsid w:val="007709BE"/>
    <w:rsid w:val="00777EE5"/>
    <w:rsid w:val="00784836"/>
    <w:rsid w:val="0079023E"/>
    <w:rsid w:val="007B38B6"/>
    <w:rsid w:val="007B6894"/>
    <w:rsid w:val="007C6639"/>
    <w:rsid w:val="007D0B9D"/>
    <w:rsid w:val="007D19B0"/>
    <w:rsid w:val="007F498F"/>
    <w:rsid w:val="0080679D"/>
    <w:rsid w:val="008108B0"/>
    <w:rsid w:val="00811B20"/>
    <w:rsid w:val="0082296E"/>
    <w:rsid w:val="00824099"/>
    <w:rsid w:val="00836E88"/>
    <w:rsid w:val="008504F4"/>
    <w:rsid w:val="00855DBD"/>
    <w:rsid w:val="00866CDE"/>
    <w:rsid w:val="00867AC1"/>
    <w:rsid w:val="008973BD"/>
    <w:rsid w:val="008A395B"/>
    <w:rsid w:val="008A743F"/>
    <w:rsid w:val="008B51D0"/>
    <w:rsid w:val="008C0970"/>
    <w:rsid w:val="008C20F1"/>
    <w:rsid w:val="008D2CF7"/>
    <w:rsid w:val="008E793E"/>
    <w:rsid w:val="00900C26"/>
    <w:rsid w:val="0090197F"/>
    <w:rsid w:val="00906DDC"/>
    <w:rsid w:val="00934E09"/>
    <w:rsid w:val="00936253"/>
    <w:rsid w:val="00953DEE"/>
    <w:rsid w:val="009606DF"/>
    <w:rsid w:val="00970FED"/>
    <w:rsid w:val="00975253"/>
    <w:rsid w:val="00993C16"/>
    <w:rsid w:val="00997029"/>
    <w:rsid w:val="009D0DE5"/>
    <w:rsid w:val="009D690D"/>
    <w:rsid w:val="009E65B6"/>
    <w:rsid w:val="009F4C84"/>
    <w:rsid w:val="00A42AC3"/>
    <w:rsid w:val="00A430CF"/>
    <w:rsid w:val="00A54309"/>
    <w:rsid w:val="00AA60A5"/>
    <w:rsid w:val="00AB2B93"/>
    <w:rsid w:val="00AC4B94"/>
    <w:rsid w:val="00AC5727"/>
    <w:rsid w:val="00AE0EF1"/>
    <w:rsid w:val="00B07301"/>
    <w:rsid w:val="00B224DE"/>
    <w:rsid w:val="00B64941"/>
    <w:rsid w:val="00B8224B"/>
    <w:rsid w:val="00B84BBD"/>
    <w:rsid w:val="00BA43FB"/>
    <w:rsid w:val="00BC127D"/>
    <w:rsid w:val="00BC1FE6"/>
    <w:rsid w:val="00BD4C24"/>
    <w:rsid w:val="00C061B6"/>
    <w:rsid w:val="00C21DBF"/>
    <w:rsid w:val="00C2446C"/>
    <w:rsid w:val="00C36AE5"/>
    <w:rsid w:val="00C41F17"/>
    <w:rsid w:val="00C54BF4"/>
    <w:rsid w:val="00C5791C"/>
    <w:rsid w:val="00C6137B"/>
    <w:rsid w:val="00C66290"/>
    <w:rsid w:val="00C72B7A"/>
    <w:rsid w:val="00C75932"/>
    <w:rsid w:val="00C93B07"/>
    <w:rsid w:val="00C973F2"/>
    <w:rsid w:val="00CA6757"/>
    <w:rsid w:val="00CA774A"/>
    <w:rsid w:val="00CB4A6E"/>
    <w:rsid w:val="00CC11B0"/>
    <w:rsid w:val="00CD4CD3"/>
    <w:rsid w:val="00CE0D93"/>
    <w:rsid w:val="00CF3AE4"/>
    <w:rsid w:val="00CF7E36"/>
    <w:rsid w:val="00D01738"/>
    <w:rsid w:val="00D233D8"/>
    <w:rsid w:val="00D24210"/>
    <w:rsid w:val="00D3708D"/>
    <w:rsid w:val="00D40426"/>
    <w:rsid w:val="00D54874"/>
    <w:rsid w:val="00D57C96"/>
    <w:rsid w:val="00D90646"/>
    <w:rsid w:val="00D91203"/>
    <w:rsid w:val="00D95174"/>
    <w:rsid w:val="00D95A5C"/>
    <w:rsid w:val="00DA6F36"/>
    <w:rsid w:val="00DC00EA"/>
    <w:rsid w:val="00DE183B"/>
    <w:rsid w:val="00E23920"/>
    <w:rsid w:val="00E72D49"/>
    <w:rsid w:val="00E7593C"/>
    <w:rsid w:val="00E7678A"/>
    <w:rsid w:val="00E85586"/>
    <w:rsid w:val="00E935F1"/>
    <w:rsid w:val="00E94A81"/>
    <w:rsid w:val="00EA1FFB"/>
    <w:rsid w:val="00EB048E"/>
    <w:rsid w:val="00EB24D1"/>
    <w:rsid w:val="00EB3EFA"/>
    <w:rsid w:val="00EF2F89"/>
    <w:rsid w:val="00EF49D4"/>
    <w:rsid w:val="00EF6E5E"/>
    <w:rsid w:val="00F04DEB"/>
    <w:rsid w:val="00F1237A"/>
    <w:rsid w:val="00F22CBD"/>
    <w:rsid w:val="00F37961"/>
    <w:rsid w:val="00F6334D"/>
    <w:rsid w:val="00F718BE"/>
    <w:rsid w:val="00F81138"/>
    <w:rsid w:val="00FA32B9"/>
    <w:rsid w:val="00FA49AB"/>
    <w:rsid w:val="00FB0D37"/>
    <w:rsid w:val="00FD02B1"/>
    <w:rsid w:val="00FE39C7"/>
    <w:rsid w:val="00FE4AF3"/>
    <w:rsid w:val="00FF5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CF3"/>
    <w:pPr>
      <w:jc w:val="both"/>
    </w:pPr>
    <w:rPr>
      <w:rFonts w:ascii="Arial" w:hAnsi="Arial"/>
    </w:rPr>
  </w:style>
  <w:style w:type="paragraph" w:styleId="Heading1">
    <w:name w:val="heading 1"/>
    <w:next w:val="Normal"/>
    <w:link w:val="Heading1Char"/>
    <w:autoRedefine/>
    <w:qFormat/>
    <w:rsid w:val="00EF49D4"/>
    <w:pPr>
      <w:keepNext/>
      <w:jc w:val="both"/>
      <w:outlineLvl w:val="0"/>
    </w:pPr>
    <w:rPr>
      <w:rFonts w:ascii="Arial" w:hAnsi="Arial"/>
      <w:caps/>
    </w:rPr>
  </w:style>
  <w:style w:type="paragraph" w:styleId="Heading2">
    <w:name w:val="heading 2"/>
    <w:next w:val="Normal"/>
    <w:link w:val="Heading2Char"/>
    <w:autoRedefine/>
    <w:qFormat/>
    <w:rsid w:val="00993C16"/>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0F251F"/>
    <w:pPr>
      <w:tabs>
        <w:tab w:val="right" w:leader="dot" w:pos="9639"/>
      </w:tabs>
      <w:spacing w:before="60" w:after="120"/>
      <w:ind w:left="284" w:right="851"/>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0F251F"/>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basedOn w:val="DefaultParagraphFont"/>
    <w:link w:val="DecisionParagraphs"/>
    <w:rsid w:val="003870AE"/>
    <w:rPr>
      <w:rFonts w:ascii="Arial" w:hAnsi="Arial"/>
      <w:i/>
    </w:rPr>
  </w:style>
  <w:style w:type="character" w:customStyle="1" w:styleId="FootnoteTextChar">
    <w:name w:val="Footnote Text Char"/>
    <w:link w:val="FootnoteText"/>
    <w:rsid w:val="003870AE"/>
    <w:rPr>
      <w:rFonts w:ascii="Arial" w:hAnsi="Arial"/>
      <w:sz w:val="16"/>
    </w:rPr>
  </w:style>
  <w:style w:type="character" w:customStyle="1" w:styleId="Heading1Char">
    <w:name w:val="Heading 1 Char"/>
    <w:basedOn w:val="DefaultParagraphFont"/>
    <w:link w:val="Heading1"/>
    <w:rsid w:val="00EF49D4"/>
    <w:rPr>
      <w:rFonts w:ascii="Arial" w:hAnsi="Arial"/>
      <w:caps/>
    </w:rPr>
  </w:style>
  <w:style w:type="paragraph" w:styleId="ListParagraph">
    <w:name w:val="List Paragraph"/>
    <w:basedOn w:val="Normal"/>
    <w:uiPriority w:val="34"/>
    <w:qFormat/>
    <w:rsid w:val="003870AE"/>
    <w:pPr>
      <w:ind w:left="720"/>
      <w:contextualSpacing/>
    </w:pPr>
  </w:style>
  <w:style w:type="character" w:customStyle="1" w:styleId="Heading2Char">
    <w:name w:val="Heading 2 Char"/>
    <w:link w:val="Heading2"/>
    <w:rsid w:val="00993C16"/>
    <w:rPr>
      <w:rFonts w:ascii="Arial" w:hAnsi="Arial"/>
      <w:u w:val="single"/>
    </w:rPr>
  </w:style>
  <w:style w:type="paragraph" w:customStyle="1" w:styleId="Style1">
    <w:name w:val="Style1"/>
    <w:basedOn w:val="Normal"/>
    <w:rsid w:val="003870AE"/>
    <w:pPr>
      <w:tabs>
        <w:tab w:val="decimal" w:pos="907"/>
        <w:tab w:val="left" w:pos="1077"/>
      </w:tabs>
    </w:pPr>
    <w:rPr>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CF3"/>
    <w:pPr>
      <w:jc w:val="both"/>
    </w:pPr>
    <w:rPr>
      <w:rFonts w:ascii="Arial" w:hAnsi="Arial"/>
    </w:rPr>
  </w:style>
  <w:style w:type="paragraph" w:styleId="Heading1">
    <w:name w:val="heading 1"/>
    <w:next w:val="Normal"/>
    <w:link w:val="Heading1Char"/>
    <w:autoRedefine/>
    <w:qFormat/>
    <w:rsid w:val="00EF49D4"/>
    <w:pPr>
      <w:keepNext/>
      <w:jc w:val="both"/>
      <w:outlineLvl w:val="0"/>
    </w:pPr>
    <w:rPr>
      <w:rFonts w:ascii="Arial" w:hAnsi="Arial"/>
      <w:caps/>
    </w:rPr>
  </w:style>
  <w:style w:type="paragraph" w:styleId="Heading2">
    <w:name w:val="heading 2"/>
    <w:next w:val="Normal"/>
    <w:link w:val="Heading2Char"/>
    <w:autoRedefine/>
    <w:qFormat/>
    <w:rsid w:val="00993C16"/>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0F251F"/>
    <w:pPr>
      <w:tabs>
        <w:tab w:val="right" w:leader="dot" w:pos="9639"/>
      </w:tabs>
      <w:spacing w:before="60" w:after="120"/>
      <w:ind w:left="284" w:right="851"/>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0F251F"/>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basedOn w:val="DefaultParagraphFont"/>
    <w:link w:val="DecisionParagraphs"/>
    <w:rsid w:val="003870AE"/>
    <w:rPr>
      <w:rFonts w:ascii="Arial" w:hAnsi="Arial"/>
      <w:i/>
    </w:rPr>
  </w:style>
  <w:style w:type="character" w:customStyle="1" w:styleId="FootnoteTextChar">
    <w:name w:val="Footnote Text Char"/>
    <w:link w:val="FootnoteText"/>
    <w:rsid w:val="003870AE"/>
    <w:rPr>
      <w:rFonts w:ascii="Arial" w:hAnsi="Arial"/>
      <w:sz w:val="16"/>
    </w:rPr>
  </w:style>
  <w:style w:type="character" w:customStyle="1" w:styleId="Heading1Char">
    <w:name w:val="Heading 1 Char"/>
    <w:basedOn w:val="DefaultParagraphFont"/>
    <w:link w:val="Heading1"/>
    <w:rsid w:val="00EF49D4"/>
    <w:rPr>
      <w:rFonts w:ascii="Arial" w:hAnsi="Arial"/>
      <w:caps/>
    </w:rPr>
  </w:style>
  <w:style w:type="paragraph" w:styleId="ListParagraph">
    <w:name w:val="List Paragraph"/>
    <w:basedOn w:val="Normal"/>
    <w:uiPriority w:val="34"/>
    <w:qFormat/>
    <w:rsid w:val="003870AE"/>
    <w:pPr>
      <w:ind w:left="720"/>
      <w:contextualSpacing/>
    </w:pPr>
  </w:style>
  <w:style w:type="character" w:customStyle="1" w:styleId="Heading2Char">
    <w:name w:val="Heading 2 Char"/>
    <w:link w:val="Heading2"/>
    <w:rsid w:val="00993C16"/>
    <w:rPr>
      <w:rFonts w:ascii="Arial" w:hAnsi="Arial"/>
      <w:u w:val="single"/>
    </w:rPr>
  </w:style>
  <w:style w:type="paragraph" w:customStyle="1" w:styleId="Style1">
    <w:name w:val="Style1"/>
    <w:basedOn w:val="Normal"/>
    <w:rsid w:val="003870AE"/>
    <w:pPr>
      <w:tabs>
        <w:tab w:val="decimal" w:pos="907"/>
        <w:tab w:val="left" w:pos="1077"/>
      </w:tabs>
    </w:pPr>
    <w:rPr>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2\templates\CAJ_7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E72DA-F907-4345-A70F-F4E7045EB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CAJ_72_EN</Template>
  <TotalTime>34</TotalTime>
  <Pages>9</Pages>
  <Words>3380</Words>
  <Characters>19961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CAJ/72/2</vt:lpstr>
    </vt:vector>
  </TitlesOfParts>
  <Company>UPOV</Company>
  <LinksUpToDate>false</LinksUpToDate>
  <CharactersWithSpaces>23295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CAJ/72/2</dc:title>
  <dc:creator>BESSE Ariane</dc:creator>
  <cp:lastModifiedBy>HUERTA-CASADO Yolanda</cp:lastModifiedBy>
  <cp:revision>17</cp:revision>
  <cp:lastPrinted>2015-09-18T14:26:00Z</cp:lastPrinted>
  <dcterms:created xsi:type="dcterms:W3CDTF">2015-09-17T08:34:00Z</dcterms:created>
  <dcterms:modified xsi:type="dcterms:W3CDTF">2015-09-18T14:26:00Z</dcterms:modified>
</cp:coreProperties>
</file>