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bookmarkStart w:id="0" w:name="_GoBack"/>
            <w:bookmarkEnd w:id="0"/>
          </w:p>
        </w:tc>
        <w:tc>
          <w:tcPr>
            <w:tcW w:w="1646" w:type="dxa"/>
            <w:vAlign w:val="center"/>
          </w:tcPr>
          <w:p w:rsidR="000D7780" w:rsidRPr="004F26E5" w:rsidRDefault="00110481" w:rsidP="00576BE4">
            <w:pPr>
              <w:pStyle w:val="LogoUPOV"/>
            </w:pPr>
            <w:r w:rsidRPr="004F26E5">
              <w:rPr>
                <w:noProof/>
              </w:rPr>
              <w:drawing>
                <wp:inline distT="0" distB="0" distL="0" distR="0" wp14:anchorId="710FACD2" wp14:editId="0165D99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F26E5" w:rsidRDefault="0024416D" w:rsidP="00576BE4">
            <w:pPr>
              <w:pStyle w:val="Lettrine"/>
            </w:pPr>
            <w:r w:rsidRPr="004F26E5">
              <w:t>E</w:t>
            </w:r>
          </w:p>
          <w:p w:rsidR="000D7780" w:rsidRPr="004F26E5" w:rsidRDefault="00F37961" w:rsidP="00474DA4">
            <w:pPr>
              <w:pStyle w:val="Docoriginal"/>
              <w:jc w:val="left"/>
            </w:pPr>
            <w:r w:rsidRPr="004F26E5">
              <w:t>CAJ/</w:t>
            </w:r>
            <w:r w:rsidR="00155F6F" w:rsidRPr="004F26E5">
              <w:t>7</w:t>
            </w:r>
            <w:r w:rsidR="00551E76" w:rsidRPr="004F26E5">
              <w:t>1</w:t>
            </w:r>
            <w:r w:rsidR="00EB3EFA" w:rsidRPr="004F26E5">
              <w:t>/</w:t>
            </w:r>
            <w:bookmarkStart w:id="1" w:name="Code"/>
            <w:bookmarkEnd w:id="1"/>
            <w:r w:rsidR="00641173" w:rsidRPr="004F26E5">
              <w:t>9</w:t>
            </w:r>
          </w:p>
          <w:p w:rsidR="000D7780" w:rsidRPr="004F26E5" w:rsidRDefault="0061555F" w:rsidP="00474DA4">
            <w:pPr>
              <w:pStyle w:val="Docoriginal"/>
              <w:jc w:val="left"/>
            </w:pPr>
            <w:r w:rsidRPr="004F26E5">
              <w:rPr>
                <w:rStyle w:val="StyleDoclangBold"/>
                <w:b/>
                <w:bCs/>
                <w:spacing w:val="0"/>
              </w:rPr>
              <w:t>ORIGINAL</w:t>
            </w:r>
            <w:r w:rsidR="000D7780" w:rsidRPr="004F26E5">
              <w:rPr>
                <w:rStyle w:val="StyleDoclangBold"/>
                <w:b/>
                <w:bCs/>
                <w:spacing w:val="0"/>
              </w:rPr>
              <w:t>:</w:t>
            </w:r>
            <w:r w:rsidRPr="004F26E5">
              <w:rPr>
                <w:rStyle w:val="StyleDocoriginalNotBold1"/>
                <w:spacing w:val="0"/>
              </w:rPr>
              <w:t xml:space="preserve"> </w:t>
            </w:r>
            <w:r w:rsidR="000D7780" w:rsidRPr="004F26E5">
              <w:rPr>
                <w:rStyle w:val="StyleDocoriginalNotBold1"/>
                <w:spacing w:val="0"/>
              </w:rPr>
              <w:t xml:space="preserve"> </w:t>
            </w:r>
            <w:bookmarkStart w:id="2" w:name="Original"/>
            <w:bookmarkEnd w:id="2"/>
            <w:r w:rsidR="0024416D" w:rsidRPr="004F26E5">
              <w:rPr>
                <w:b w:val="0"/>
                <w:spacing w:val="0"/>
              </w:rPr>
              <w:t>English</w:t>
            </w:r>
          </w:p>
          <w:p w:rsidR="000D7780" w:rsidRPr="004F26E5" w:rsidRDefault="000D7780" w:rsidP="004F26E5">
            <w:pPr>
              <w:pStyle w:val="Docoriginal"/>
              <w:jc w:val="left"/>
              <w:rPr>
                <w:b w:val="0"/>
                <w:spacing w:val="0"/>
              </w:rPr>
            </w:pPr>
            <w:r w:rsidRPr="004F26E5">
              <w:rPr>
                <w:spacing w:val="0"/>
              </w:rPr>
              <w:t>DATE:</w:t>
            </w:r>
            <w:r w:rsidR="0061555F" w:rsidRPr="004F26E5">
              <w:rPr>
                <w:b w:val="0"/>
                <w:spacing w:val="0"/>
              </w:rPr>
              <w:t xml:space="preserve"> </w:t>
            </w:r>
            <w:r w:rsidRPr="004F26E5">
              <w:rPr>
                <w:rStyle w:val="StyleDocoriginalNotBold1"/>
                <w:spacing w:val="0"/>
              </w:rPr>
              <w:t xml:space="preserve"> </w:t>
            </w:r>
            <w:bookmarkStart w:id="3" w:name="Date"/>
            <w:bookmarkEnd w:id="3"/>
            <w:r w:rsidR="004F26E5" w:rsidRPr="004F26E5">
              <w:rPr>
                <w:rStyle w:val="StyleDocoriginalNotBold1"/>
                <w:spacing w:val="0"/>
              </w:rPr>
              <w:t>March 25</w:t>
            </w:r>
            <w:r w:rsidR="00155F6F" w:rsidRPr="004F26E5">
              <w:rPr>
                <w:rStyle w:val="StyleDocoriginalNotBold1"/>
                <w:spacing w:val="0"/>
              </w:rPr>
              <w:t>, 201</w:t>
            </w:r>
            <w:r w:rsidR="00551E76" w:rsidRPr="004F26E5">
              <w:rPr>
                <w:rStyle w:val="StyleDocoriginalNotBold1"/>
                <w:spacing w:val="0"/>
              </w:rPr>
              <w:t>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y-First</w:t>
      </w:r>
      <w:r w:rsidR="00F37961">
        <w:t xml:space="preserve"> </w:t>
      </w:r>
      <w:r w:rsidR="00FB0D37">
        <w:t>Session</w:t>
      </w:r>
      <w:r w:rsidR="00361821" w:rsidRPr="00997029">
        <w:br/>
      </w:r>
      <w:r w:rsidR="00FB0D37">
        <w:t xml:space="preserve">Geneva, </w:t>
      </w:r>
      <w:r w:rsidR="00551E76">
        <w:t>March 26, 2015</w:t>
      </w:r>
    </w:p>
    <w:p w:rsidR="000D7780" w:rsidRPr="00997029" w:rsidRDefault="00641173" w:rsidP="0080679D">
      <w:pPr>
        <w:pStyle w:val="Titleofdoc0"/>
      </w:pPr>
      <w:bookmarkStart w:id="4" w:name="TitleOfDoc"/>
      <w:bookmarkEnd w:id="4"/>
      <w:r w:rsidRPr="00AE0F27">
        <w:rPr>
          <w:kern w:val="28"/>
        </w:rPr>
        <w:t>Report on developments in the Technical Committee</w:t>
      </w:r>
      <w:r>
        <w:rPr>
          <w:kern w:val="28"/>
        </w:rPr>
        <w:t xml:space="preserve"> </w:t>
      </w:r>
    </w:p>
    <w:p w:rsidR="000D7780" w:rsidRPr="00997029" w:rsidRDefault="00AE0EF1" w:rsidP="0080679D">
      <w:pPr>
        <w:pStyle w:val="preparedby1"/>
      </w:pPr>
      <w:bookmarkStart w:id="5" w:name="Prepared"/>
      <w:bookmarkEnd w:id="5"/>
      <w:r w:rsidRPr="00641173">
        <w:t>Document</w:t>
      </w:r>
      <w:r w:rsidRPr="00997029">
        <w:t xml:space="preserve"> </w:t>
      </w:r>
      <w:r w:rsidR="0061555F" w:rsidRPr="00997029">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694D19" w:rsidRPr="003E6A61" w:rsidRDefault="00694D19" w:rsidP="00694D19">
      <w:pPr>
        <w:rPr>
          <w:spacing w:val="-2"/>
          <w:szCs w:val="24"/>
        </w:rPr>
      </w:pPr>
      <w:r w:rsidRPr="003E6A61">
        <w:rPr>
          <w:spacing w:val="-2"/>
          <w:szCs w:val="24"/>
        </w:rPr>
        <w:t xml:space="preserve">The purpose of this document is to report on developments in the Technical Committee (TC) at its </w:t>
      </w:r>
      <w:r w:rsidRPr="003E6A61">
        <w:rPr>
          <w:snapToGrid w:val="0"/>
        </w:rPr>
        <w:t>fift</w:t>
      </w:r>
      <w:r>
        <w:rPr>
          <w:snapToGrid w:val="0"/>
        </w:rPr>
        <w:t>y</w:t>
      </w:r>
      <w:r>
        <w:rPr>
          <w:snapToGrid w:val="0"/>
        </w:rPr>
        <w:noBreakHyphen/>
        <w:t>first</w:t>
      </w:r>
      <w:r w:rsidRPr="003E6A61">
        <w:rPr>
          <w:snapToGrid w:val="0"/>
        </w:rPr>
        <w:t> session,</w:t>
      </w:r>
      <w:r w:rsidRPr="003E6A61">
        <w:t xml:space="preserve"> held in Geneva from </w:t>
      </w:r>
      <w:r>
        <w:t>March 23 to 25, 2015</w:t>
      </w:r>
      <w:r w:rsidRPr="003E6A61">
        <w:rPr>
          <w:spacing w:val="-2"/>
          <w:szCs w:val="24"/>
        </w:rPr>
        <w:t xml:space="preserve">, of particular relevance for matters to be considered by the Administrative and Legal Committee (CAJ) at its </w:t>
      </w:r>
      <w:r>
        <w:rPr>
          <w:spacing w:val="-2"/>
          <w:szCs w:val="24"/>
        </w:rPr>
        <w:t>seventy</w:t>
      </w:r>
      <w:r w:rsidRPr="003E6A61">
        <w:rPr>
          <w:spacing w:val="-2"/>
          <w:szCs w:val="24"/>
        </w:rPr>
        <w:t>-</w:t>
      </w:r>
      <w:r>
        <w:rPr>
          <w:spacing w:val="-2"/>
          <w:szCs w:val="24"/>
        </w:rPr>
        <w:t>first</w:t>
      </w:r>
      <w:r w:rsidRPr="003E6A61">
        <w:rPr>
          <w:spacing w:val="-2"/>
          <w:szCs w:val="24"/>
        </w:rPr>
        <w:t xml:space="preserve"> session, to be held in Geneva on </w:t>
      </w:r>
      <w:r>
        <w:rPr>
          <w:spacing w:val="-2"/>
          <w:szCs w:val="24"/>
        </w:rPr>
        <w:t>March 26, 2015</w:t>
      </w:r>
      <w:r w:rsidRPr="003E6A61">
        <w:rPr>
          <w:spacing w:val="-2"/>
          <w:szCs w:val="24"/>
        </w:rPr>
        <w:t>.  Those developments are reported in the Annex to this document.  The report of the TC is available in document TC/5</w:t>
      </w:r>
      <w:r>
        <w:rPr>
          <w:spacing w:val="-2"/>
          <w:szCs w:val="24"/>
        </w:rPr>
        <w:t>1</w:t>
      </w:r>
      <w:r w:rsidRPr="003E6A61">
        <w:rPr>
          <w:spacing w:val="-2"/>
          <w:szCs w:val="24"/>
        </w:rPr>
        <w:t>/3</w:t>
      </w:r>
      <w:r>
        <w:rPr>
          <w:spacing w:val="-2"/>
          <w:szCs w:val="24"/>
        </w:rPr>
        <w:t>9</w:t>
      </w:r>
      <w:r w:rsidRPr="003E6A61">
        <w:rPr>
          <w:spacing w:val="-2"/>
          <w:szCs w:val="24"/>
        </w:rPr>
        <w:t xml:space="preserve"> “Report”.</w:t>
      </w:r>
    </w:p>
    <w:p w:rsidR="00694D19" w:rsidRPr="003E6A61" w:rsidRDefault="00694D19" w:rsidP="00694D19">
      <w:pPr>
        <w:rPr>
          <w:spacing w:val="-2"/>
          <w:szCs w:val="24"/>
        </w:rPr>
      </w:pPr>
    </w:p>
    <w:p w:rsidR="00694D19" w:rsidRPr="003E6A61" w:rsidRDefault="00694D19" w:rsidP="00694D19">
      <w:pPr>
        <w:rPr>
          <w:spacing w:val="-2"/>
          <w:szCs w:val="24"/>
        </w:rPr>
      </w:pPr>
    </w:p>
    <w:p w:rsidR="00694D19" w:rsidRPr="003E6A61" w:rsidRDefault="00694D19" w:rsidP="00694D19">
      <w:pPr>
        <w:rPr>
          <w:spacing w:val="-2"/>
          <w:szCs w:val="24"/>
        </w:rPr>
      </w:pPr>
    </w:p>
    <w:p w:rsidR="00694D19" w:rsidRPr="003E6A61" w:rsidRDefault="00694D19" w:rsidP="00694D19">
      <w:pPr>
        <w:jc w:val="right"/>
      </w:pPr>
      <w:r w:rsidRPr="003E6A61">
        <w:t>[Annex follows]</w:t>
      </w:r>
    </w:p>
    <w:p w:rsidR="00155F6F" w:rsidRDefault="00155F6F">
      <w:pPr>
        <w:jc w:val="left"/>
        <w:rPr>
          <w:snapToGrid w:val="0"/>
        </w:rPr>
      </w:pPr>
    </w:p>
    <w:p w:rsidR="00641173" w:rsidRDefault="00641173">
      <w:pPr>
        <w:jc w:val="left"/>
        <w:rPr>
          <w:snapToGrid w:val="0"/>
        </w:rPr>
      </w:pPr>
    </w:p>
    <w:p w:rsidR="006C6337" w:rsidRDefault="006C6337" w:rsidP="00664515">
      <w:pPr>
        <w:jc w:val="left"/>
        <w:rPr>
          <w:snapToGrid w:val="0"/>
        </w:rPr>
        <w:sectPr w:rsidR="006C6337" w:rsidSect="00906DDC">
          <w:headerReference w:type="default" r:id="rId8"/>
          <w:pgSz w:w="11907" w:h="16840" w:code="9"/>
          <w:pgMar w:top="510" w:right="1134" w:bottom="1134" w:left="1134" w:header="510" w:footer="680" w:gutter="0"/>
          <w:cols w:space="720"/>
          <w:titlePg/>
        </w:sectPr>
      </w:pPr>
    </w:p>
    <w:p w:rsidR="00900C26" w:rsidRDefault="006C6337" w:rsidP="006C6337">
      <w:pPr>
        <w:jc w:val="center"/>
        <w:rPr>
          <w:snapToGrid w:val="0"/>
        </w:rPr>
      </w:pPr>
      <w:r>
        <w:rPr>
          <w:snapToGrid w:val="0"/>
        </w:rPr>
        <w:lastRenderedPageBreak/>
        <w:t>CAJ/71/9</w:t>
      </w:r>
    </w:p>
    <w:p w:rsidR="006C6337" w:rsidRDefault="006C6337" w:rsidP="006C6337">
      <w:pPr>
        <w:jc w:val="center"/>
        <w:rPr>
          <w:snapToGrid w:val="0"/>
        </w:rPr>
      </w:pPr>
    </w:p>
    <w:p w:rsidR="006C6337" w:rsidRDefault="006C6337" w:rsidP="006C6337">
      <w:pPr>
        <w:jc w:val="center"/>
        <w:rPr>
          <w:snapToGrid w:val="0"/>
        </w:rPr>
      </w:pPr>
      <w:r>
        <w:rPr>
          <w:snapToGrid w:val="0"/>
        </w:rPr>
        <w:t>ANNEX</w:t>
      </w:r>
    </w:p>
    <w:p w:rsidR="006C6337" w:rsidRDefault="006C6337" w:rsidP="006C6337">
      <w:pPr>
        <w:jc w:val="center"/>
        <w:rPr>
          <w:snapToGrid w:val="0"/>
        </w:rPr>
      </w:pPr>
    </w:p>
    <w:p w:rsidR="006C6337" w:rsidRDefault="006C6337" w:rsidP="006C6337">
      <w:pPr>
        <w:jc w:val="center"/>
        <w:rPr>
          <w:snapToGrid w:val="0"/>
        </w:rPr>
      </w:pPr>
    </w:p>
    <w:p w:rsidR="006C6337" w:rsidRPr="003E6A61" w:rsidRDefault="006C6337" w:rsidP="006C6337">
      <w:pPr>
        <w:jc w:val="center"/>
      </w:pPr>
      <w:r w:rsidRPr="003E6A61">
        <w:t>CONCLUSIONS OF THE TECHNICAL COMMITTEE IN RELATION TO MATTERS</w:t>
      </w:r>
      <w:r w:rsidRPr="003E6A61">
        <w:br/>
        <w:t>TO BE CONSIDERED BY THE ADMINIST</w:t>
      </w:r>
      <w:r w:rsidR="00572FDC">
        <w:t>RATIVE AND LEGAL COMMITTEE</w:t>
      </w:r>
    </w:p>
    <w:p w:rsidR="006C6337" w:rsidRDefault="006C6337" w:rsidP="006C6337"/>
    <w:p w:rsidR="006C6337" w:rsidRDefault="006C6337" w:rsidP="006C6337"/>
    <w:p w:rsidR="006C6337" w:rsidRPr="003E6A61" w:rsidRDefault="006C6337" w:rsidP="006C6337">
      <w:pPr>
        <w:tabs>
          <w:tab w:val="right" w:pos="9071"/>
        </w:tabs>
        <w:jc w:val="left"/>
        <w:rPr>
          <w:i/>
          <w:u w:val="single"/>
        </w:rPr>
      </w:pPr>
      <w:r w:rsidRPr="003E6A61">
        <w:rPr>
          <w:u w:val="single"/>
        </w:rPr>
        <w:t xml:space="preserve">AGENDA ITEM 5:  </w:t>
      </w:r>
      <w:r w:rsidRPr="006C6337">
        <w:rPr>
          <w:u w:val="single"/>
        </w:rPr>
        <w:t>VARIETY DENOMINATIONS</w:t>
      </w:r>
    </w:p>
    <w:p w:rsidR="006C6337" w:rsidRDefault="006C6337" w:rsidP="006C6337"/>
    <w:p w:rsidR="009B0A3F" w:rsidRPr="009B0A3F" w:rsidRDefault="009B0A3F" w:rsidP="006C6337">
      <w:pPr>
        <w:rPr>
          <w:i/>
        </w:rPr>
      </w:pPr>
      <w:r w:rsidRPr="009B0A3F">
        <w:rPr>
          <w:i/>
        </w:rPr>
        <w:t>Variety denominations (document CAJ/71/3)</w:t>
      </w:r>
    </w:p>
    <w:p w:rsidR="009B0A3F" w:rsidRDefault="009B0A3F" w:rsidP="006C6337"/>
    <w:p w:rsidR="00ED1957" w:rsidRPr="009E720E" w:rsidRDefault="00ED1957" w:rsidP="00ED1957">
      <w:pPr>
        <w:ind w:left="567" w:hanging="567"/>
      </w:pPr>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TC/51/12</w:t>
      </w:r>
      <w:r w:rsidR="0053445A">
        <w:rPr>
          <w:rFonts w:cs="Arial"/>
          <w:snapToGrid w:val="0"/>
        </w:rPr>
        <w:t xml:space="preserve"> “</w:t>
      </w:r>
      <w:r w:rsidR="0053445A" w:rsidRPr="0053445A">
        <w:rPr>
          <w:rFonts w:cs="Arial"/>
          <w:snapToGrid w:val="0"/>
        </w:rPr>
        <w:t>Variety denominations</w:t>
      </w:r>
      <w:r w:rsidR="0053445A">
        <w:rPr>
          <w:rFonts w:cs="Arial"/>
          <w:snapToGrid w:val="0"/>
        </w:rPr>
        <w:t>”</w:t>
      </w:r>
      <w:r w:rsidRPr="009E720E">
        <w:t xml:space="preserve">. </w:t>
      </w:r>
    </w:p>
    <w:p w:rsidR="00ED1957" w:rsidRPr="009E720E" w:rsidRDefault="00ED1957" w:rsidP="00ED1957">
      <w:pPr>
        <w:ind w:left="567" w:hanging="567"/>
      </w:pPr>
    </w:p>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w:t>
      </w:r>
      <w:r w:rsidRPr="009E720E">
        <w:rPr>
          <w:color w:val="000000" w:themeColor="text1"/>
        </w:rPr>
        <w:t xml:space="preserve">noted the work on the possible development of a UPOV similarity search tool for variety denomination purposes by the </w:t>
      </w:r>
      <w:r w:rsidRPr="009E720E">
        <w:rPr>
          <w:snapToGrid w:val="0"/>
          <w:lang w:eastAsia="ja-JP"/>
        </w:rPr>
        <w:t>Working Group for the Development of a UPOV Denomination Similarity Search Tool (</w:t>
      </w:r>
      <w:r w:rsidRPr="009E720E">
        <w:rPr>
          <w:color w:val="000000" w:themeColor="text1"/>
        </w:rPr>
        <w:t xml:space="preserve">WG-DST), including the test study, as set out in paragraphs 4 to 15 </w:t>
      </w:r>
      <w:r w:rsidRPr="009E720E">
        <w:rPr>
          <w:rFonts w:eastAsia="MS Mincho"/>
          <w:snapToGrid w:val="0"/>
          <w:lang w:eastAsia="ja-JP"/>
        </w:rPr>
        <w:t xml:space="preserve">of </w:t>
      </w:r>
      <w:r w:rsidRPr="009E720E">
        <w:t xml:space="preserve">document </w:t>
      </w:r>
      <w:r w:rsidRPr="009E720E">
        <w:rPr>
          <w:rFonts w:cs="Arial"/>
          <w:snapToGrid w:val="0"/>
        </w:rPr>
        <w:t xml:space="preserve">TC/51/12.  The TC also noted that the </w:t>
      </w:r>
      <w:r w:rsidRPr="009E720E">
        <w:t>result</w:t>
      </w:r>
      <w:r w:rsidRPr="009E720E">
        <w:rPr>
          <w:lang w:eastAsia="ja-JP"/>
        </w:rPr>
        <w:t xml:space="preserve"> of the test study would be reported to the second meeting of the WG-DST and t</w:t>
      </w:r>
      <w:r w:rsidRPr="009E720E">
        <w:t xml:space="preserve">he most effective search tool </w:t>
      </w:r>
      <w:r w:rsidRPr="009E720E">
        <w:rPr>
          <w:lang w:eastAsia="ja-JP"/>
        </w:rPr>
        <w:t xml:space="preserve">would </w:t>
      </w:r>
      <w:r w:rsidRPr="009E720E">
        <w:t xml:space="preserve">be described and documented.  </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w:t>
      </w:r>
      <w:r w:rsidRPr="009E720E">
        <w:rPr>
          <w:rFonts w:eastAsia="MS Mincho" w:cs="Arial"/>
          <w:lang w:eastAsia="ja-JP"/>
        </w:rPr>
        <w:t xml:space="preserve">noted </w:t>
      </w:r>
      <w:r w:rsidRPr="009E720E">
        <w:t xml:space="preserve">the proposed revision of document UPOV/INF/12 in relation to changes of registered variety denominations, as set out in paragraph 20 </w:t>
      </w:r>
      <w:r w:rsidRPr="009E720E">
        <w:rPr>
          <w:rFonts w:eastAsia="MS Mincho"/>
          <w:snapToGrid w:val="0"/>
          <w:lang w:eastAsia="ja-JP"/>
        </w:rPr>
        <w:t xml:space="preserve">of </w:t>
      </w:r>
      <w:r w:rsidRPr="009E720E">
        <w:t xml:space="preserve">document </w:t>
      </w:r>
      <w:r w:rsidRPr="009E720E">
        <w:rPr>
          <w:rFonts w:cs="Arial"/>
          <w:snapToGrid w:val="0"/>
        </w:rPr>
        <w:t>TC/51/12</w:t>
      </w:r>
      <w:r w:rsidRPr="009E720E">
        <w:t>, and that, subject to agreement by the CAJ, that revision would be proposed for adoption by the Council at its forty-ninth ordinary session, to be held on October 28, 2015.</w:t>
      </w:r>
    </w:p>
    <w:p w:rsidR="00ED1957" w:rsidRPr="009E720E" w:rsidRDefault="00ED1957" w:rsidP="00ED1957">
      <w:pPr>
        <w:ind w:left="567" w:hanging="567"/>
      </w:pPr>
    </w:p>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noted that the CAJ, at its seventy-first session, may invite the WG-DST to consider the comments by the CAJ-AG, at its ninth session, on the proposals in document UPOV/INF/12/5 Draft 2 concerning Sections 2.2.2 (b), 2.3.1 (c) and (d), and 2.3.3, as set out in paragraph 26 </w:t>
      </w:r>
      <w:r w:rsidRPr="009E720E">
        <w:rPr>
          <w:rFonts w:eastAsia="MS Mincho"/>
          <w:snapToGrid w:val="0"/>
          <w:lang w:eastAsia="ja-JP"/>
        </w:rPr>
        <w:t xml:space="preserve">of </w:t>
      </w:r>
      <w:r w:rsidRPr="009E720E">
        <w:t xml:space="preserve">document </w:t>
      </w:r>
      <w:r w:rsidRPr="009E720E">
        <w:rPr>
          <w:rFonts w:cs="Arial"/>
          <w:snapToGrid w:val="0"/>
        </w:rPr>
        <w:t>TC/51/12.</w:t>
      </w:r>
    </w:p>
    <w:p w:rsidR="00ED1957" w:rsidRPr="009E720E" w:rsidRDefault="00ED1957" w:rsidP="00ED1957">
      <w:pPr>
        <w:ind w:left="567" w:hanging="567"/>
      </w:pPr>
    </w:p>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w:t>
      </w:r>
      <w:r w:rsidRPr="009E720E">
        <w:rPr>
          <w:rFonts w:cs="Arial"/>
        </w:rPr>
        <w:t>noted that the CAJ, at its seventy-first session, may suggest that the proposals of the CAJ-AG under Sections 2.2.2 (c), 4 (a) and 4 (e)(i) be considered by the CAJ, at its seventy-second session, as set out in paragraph 2</w:t>
      </w:r>
      <w:r w:rsidRPr="009E720E">
        <w:rPr>
          <w:rFonts w:cs="Arial"/>
          <w:lang w:eastAsia="ja-JP"/>
        </w:rPr>
        <w:t>7</w:t>
      </w:r>
      <w:r w:rsidRPr="009E720E">
        <w:rPr>
          <w:rFonts w:cs="Arial"/>
        </w:rPr>
        <w:t xml:space="preserve"> </w:t>
      </w:r>
      <w:r w:rsidRPr="009E720E">
        <w:t xml:space="preserve">document </w:t>
      </w:r>
      <w:r w:rsidRPr="009E720E">
        <w:rPr>
          <w:rFonts w:cs="Arial"/>
          <w:snapToGrid w:val="0"/>
        </w:rPr>
        <w:t>TC/51/12.</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Delegation of Argentina reported that it was conducting a study on variety denominations that would be presented to the CAJ at its session </w:t>
      </w:r>
      <w:r w:rsidR="003539A6">
        <w:t>in</w:t>
      </w:r>
      <w:r w:rsidRPr="009E720E">
        <w:t xml:space="preserve"> October 2015</w:t>
      </w:r>
      <w:r>
        <w:t xml:space="preserve"> (see document TC/51/39 “Report”, paragraphs 182 to 187)</w:t>
      </w:r>
      <w:r w:rsidRPr="009E720E">
        <w:t xml:space="preserve">. </w:t>
      </w:r>
    </w:p>
    <w:p w:rsidR="009B0A3F" w:rsidRDefault="009B0A3F" w:rsidP="006C6337"/>
    <w:p w:rsidR="00FE248C" w:rsidRDefault="00FE248C" w:rsidP="006C6337"/>
    <w:p w:rsidR="00CA1AA5" w:rsidRDefault="00CA1AA5" w:rsidP="006C6337"/>
    <w:p w:rsidR="009B0A3F" w:rsidRPr="003E6A61" w:rsidRDefault="009B0A3F" w:rsidP="009B0A3F">
      <w:pPr>
        <w:tabs>
          <w:tab w:val="right" w:pos="9071"/>
        </w:tabs>
        <w:jc w:val="left"/>
        <w:rPr>
          <w:i/>
          <w:u w:val="single"/>
        </w:rPr>
      </w:pPr>
      <w:r w:rsidRPr="003E6A61">
        <w:rPr>
          <w:u w:val="single"/>
        </w:rPr>
        <w:t xml:space="preserve">AGENDA ITEM </w:t>
      </w:r>
      <w:r>
        <w:rPr>
          <w:u w:val="single"/>
        </w:rPr>
        <w:t>6</w:t>
      </w:r>
      <w:r w:rsidRPr="003E6A61">
        <w:rPr>
          <w:u w:val="single"/>
        </w:rPr>
        <w:t xml:space="preserve">:  </w:t>
      </w:r>
      <w:r>
        <w:rPr>
          <w:u w:val="single"/>
        </w:rPr>
        <w:t>INFORMATION AND DATABASES</w:t>
      </w:r>
    </w:p>
    <w:p w:rsidR="009B0A3F" w:rsidRDefault="009B0A3F" w:rsidP="009B0A3F"/>
    <w:p w:rsidR="009B0A3F" w:rsidRPr="009B0A3F" w:rsidRDefault="009B0A3F" w:rsidP="009B0A3F">
      <w:pPr>
        <w:rPr>
          <w:i/>
        </w:rPr>
      </w:pPr>
      <w:r w:rsidRPr="009B0A3F">
        <w:rPr>
          <w:i/>
        </w:rPr>
        <w:t>(a)</w:t>
      </w:r>
      <w:r w:rsidRPr="009B0A3F">
        <w:rPr>
          <w:i/>
        </w:rPr>
        <w:tab/>
        <w:t>Electronic application systems (document CAJ/71/4)</w:t>
      </w:r>
    </w:p>
    <w:p w:rsidR="009B0A3F" w:rsidRDefault="009B0A3F" w:rsidP="009B0A3F"/>
    <w:p w:rsidR="00ED1957" w:rsidRPr="009E720E" w:rsidRDefault="00ED1957" w:rsidP="00ED1957">
      <w:r w:rsidRPr="009E720E">
        <w:fldChar w:fldCharType="begin"/>
      </w:r>
      <w:r w:rsidRPr="009E720E">
        <w:instrText xml:space="preserve"> AUTONUM  </w:instrText>
      </w:r>
      <w:r w:rsidRPr="009E720E">
        <w:fldChar w:fldCharType="end"/>
      </w:r>
      <w:r w:rsidRPr="009E720E">
        <w:tab/>
        <w:t>The TC considered document TC/51/7 “Electronic application systems”.</w:t>
      </w:r>
    </w:p>
    <w:p w:rsidR="00ED1957" w:rsidRPr="009E720E" w:rsidRDefault="00ED1957" w:rsidP="00ED1957"/>
    <w:p w:rsidR="00ED1957" w:rsidRPr="009E720E" w:rsidRDefault="00ED1957" w:rsidP="00ED1957">
      <w:pPr>
        <w:rPr>
          <w:snapToGrid w:val="0"/>
        </w:rPr>
      </w:pPr>
      <w:r w:rsidRPr="009E720E">
        <w:rPr>
          <w:color w:val="000000"/>
        </w:rPr>
        <w:fldChar w:fldCharType="begin"/>
      </w:r>
      <w:r w:rsidRPr="009E720E">
        <w:rPr>
          <w:color w:val="000000"/>
        </w:rPr>
        <w:instrText xml:space="preserve"> AUTONUM  </w:instrText>
      </w:r>
      <w:r w:rsidRPr="009E720E">
        <w:rPr>
          <w:color w:val="000000"/>
        </w:rPr>
        <w:fldChar w:fldCharType="end"/>
      </w:r>
      <w:r w:rsidRPr="009E720E">
        <w:rPr>
          <w:color w:val="000000"/>
        </w:rPr>
        <w:tab/>
      </w:r>
      <w:r w:rsidRPr="009E720E">
        <w:t xml:space="preserve">The TC noted </w:t>
      </w:r>
      <w:r w:rsidRPr="009E720E">
        <w:rPr>
          <w:snapToGrid w:val="0"/>
        </w:rPr>
        <w:t xml:space="preserve">the developments concerning the development of a prototype electronic form as set out in document </w:t>
      </w:r>
      <w:r w:rsidRPr="009E720E">
        <w:t>TC/51/7</w:t>
      </w:r>
      <w:r w:rsidRPr="009E720E">
        <w:rPr>
          <w:snapToGrid w:val="0"/>
        </w:rPr>
        <w:t>.</w:t>
      </w:r>
    </w:p>
    <w:p w:rsidR="00ED1957" w:rsidRPr="009E720E" w:rsidRDefault="00ED1957" w:rsidP="00ED1957">
      <w:pPr>
        <w:rPr>
          <w:snapToGrid w:val="0"/>
        </w:rPr>
      </w:pPr>
    </w:p>
    <w:p w:rsidR="00ED1957" w:rsidRDefault="00ED1957" w:rsidP="00ED1957">
      <w:r w:rsidRPr="009E720E">
        <w:rPr>
          <w:snapToGrid w:val="0"/>
        </w:rPr>
        <w:fldChar w:fldCharType="begin"/>
      </w:r>
      <w:r w:rsidRPr="009E720E">
        <w:rPr>
          <w:snapToGrid w:val="0"/>
        </w:rPr>
        <w:instrText xml:space="preserve"> AUTONUM  </w:instrText>
      </w:r>
      <w:r w:rsidRPr="009E720E">
        <w:rPr>
          <w:snapToGrid w:val="0"/>
        </w:rPr>
        <w:fldChar w:fldCharType="end"/>
      </w:r>
      <w:r w:rsidRPr="009E720E">
        <w:rPr>
          <w:snapToGrid w:val="0"/>
        </w:rPr>
        <w:tab/>
        <w:t>The European Union requested additional time to provide comments on the development of the prototype electronic form. The UPOV Office clarified that all comments received could be addressed in the subsequent versions of the prototype and invited all UPOV members and breeders to join the project</w:t>
      </w:r>
      <w:r>
        <w:rPr>
          <w:snapToGrid w:val="0"/>
        </w:rPr>
        <w:t xml:space="preserve"> </w:t>
      </w:r>
      <w:r>
        <w:t>(see document TC/51/39 “Report”, paragraphs 200 to 202)</w:t>
      </w:r>
      <w:r w:rsidRPr="009E720E">
        <w:t>.</w:t>
      </w:r>
    </w:p>
    <w:p w:rsidR="00CA1AA5" w:rsidRDefault="00CA1AA5" w:rsidP="00CA1AA5"/>
    <w:p w:rsidR="00A328A7" w:rsidRDefault="00A328A7" w:rsidP="00CA1AA5"/>
    <w:p w:rsidR="009B0A3F" w:rsidRPr="00ED1957" w:rsidRDefault="009B0A3F" w:rsidP="009B0A3F">
      <w:pPr>
        <w:rPr>
          <w:i/>
          <w:lang w:val="fr-FR"/>
        </w:rPr>
      </w:pPr>
      <w:r w:rsidRPr="00ED1957">
        <w:rPr>
          <w:i/>
          <w:lang w:val="fr-FR"/>
        </w:rPr>
        <w:t>(b)</w:t>
      </w:r>
      <w:r w:rsidRPr="00ED1957">
        <w:rPr>
          <w:i/>
          <w:lang w:val="fr-FR"/>
        </w:rPr>
        <w:tab/>
        <w:t>UPOV information databases (document CAJ/71/5)</w:t>
      </w:r>
    </w:p>
    <w:p w:rsidR="009B0A3F" w:rsidRPr="00ED1957" w:rsidRDefault="009B0A3F" w:rsidP="009B0A3F">
      <w:pPr>
        <w:rPr>
          <w:lang w:val="fr-FR"/>
        </w:rPr>
      </w:pPr>
    </w:p>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TC/51/6.</w:t>
      </w:r>
    </w:p>
    <w:p w:rsidR="00ED1957" w:rsidRPr="009E720E" w:rsidRDefault="00ED1957" w:rsidP="00ED1957"/>
    <w:p w:rsidR="00ED1957" w:rsidRPr="00672F59" w:rsidRDefault="00ED1957" w:rsidP="004C118C">
      <w:pPr>
        <w:pStyle w:val="Heading4"/>
        <w:rPr>
          <w:lang w:val="en-US"/>
        </w:rPr>
      </w:pPr>
      <w:bookmarkStart w:id="6" w:name="_Toc412204187"/>
      <w:r w:rsidRPr="00672F59">
        <w:rPr>
          <w:lang w:val="en-US"/>
        </w:rPr>
        <w:t>GENIE database</w:t>
      </w:r>
      <w:bookmarkEnd w:id="6"/>
    </w:p>
    <w:p w:rsidR="00ED1957" w:rsidRPr="009E720E" w:rsidRDefault="00ED1957" w:rsidP="00ED1957"/>
    <w:p w:rsidR="00ED1957" w:rsidRPr="004C118C" w:rsidRDefault="00ED1957" w:rsidP="004C118C">
      <w:pPr>
        <w:pStyle w:val="Heading5"/>
      </w:pPr>
      <w:bookmarkStart w:id="7" w:name="_Toc412204188"/>
      <w:r w:rsidRPr="004C118C">
        <w:t>Information on type of crop</w:t>
      </w:r>
      <w:bookmarkEnd w:id="7"/>
    </w:p>
    <w:p w:rsidR="00ED1957" w:rsidRPr="009E720E" w:rsidRDefault="00ED1957" w:rsidP="00ED1957"/>
    <w:p w:rsidR="00ED1957" w:rsidRPr="009E720E" w:rsidRDefault="00ED1957" w:rsidP="00ED1957">
      <w:pPr>
        <w:rPr>
          <w:rFonts w:cs="Arial"/>
          <w:snapToGrid w:val="0"/>
        </w:rPr>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 xml:space="preserve">noted the information on allocation of crop type(s) for </w:t>
      </w:r>
      <w:r w:rsidRPr="009E720E">
        <w:rPr>
          <w:snapToGrid w:val="0"/>
          <w:lang w:eastAsia="ja-JP"/>
        </w:rPr>
        <w:t xml:space="preserve">UPOV codes currently used in the PLUTO database, as set out in paragraphs 12 and 13 of </w:t>
      </w:r>
      <w:r w:rsidRPr="009E720E">
        <w:t xml:space="preserve">document </w:t>
      </w:r>
      <w:r w:rsidRPr="009E720E">
        <w:rPr>
          <w:rFonts w:cs="Arial"/>
          <w:snapToGrid w:val="0"/>
        </w:rPr>
        <w:t>TC/51/6.</w:t>
      </w:r>
    </w:p>
    <w:p w:rsidR="00ED1957" w:rsidRPr="009E720E" w:rsidRDefault="00ED1957" w:rsidP="00ED1957">
      <w:pPr>
        <w:rPr>
          <w:rFonts w:cs="Arial"/>
          <w:snapToGrid w:val="0"/>
        </w:rPr>
      </w:pPr>
    </w:p>
    <w:p w:rsidR="00ED1957" w:rsidRPr="009E720E" w:rsidRDefault="00ED1957" w:rsidP="00ED1957">
      <w:r w:rsidRPr="009E720E">
        <w:lastRenderedPageBreak/>
        <w:fldChar w:fldCharType="begin"/>
      </w:r>
      <w:r w:rsidRPr="009E720E">
        <w:instrText xml:space="preserve"> AUTONUM  </w:instrText>
      </w:r>
      <w:r w:rsidRPr="009E720E">
        <w:fldChar w:fldCharType="end"/>
      </w:r>
      <w:r w:rsidRPr="009E720E">
        <w:tab/>
        <w:t xml:space="preserve">The TC </w:t>
      </w:r>
      <w:r w:rsidRPr="009E720E">
        <w:rPr>
          <w:lang w:eastAsia="ja-JP"/>
        </w:rPr>
        <w:t>noted that information on crop type(s) would be introduced in the GENIE database and the GENIE database would be modified to show the crop type(s) for each UPOV Code by the end of March 2015.</w:t>
      </w:r>
    </w:p>
    <w:p w:rsidR="00ED1957" w:rsidRPr="009E720E" w:rsidRDefault="00ED1957" w:rsidP="00ED1957"/>
    <w:p w:rsidR="00ED1957" w:rsidRPr="009E720E" w:rsidRDefault="00ED1957" w:rsidP="00ED1957">
      <w:pPr>
        <w:rPr>
          <w:snapToGrid w:val="0"/>
          <w:lang w:eastAsia="ja-JP"/>
        </w:rPr>
      </w:pPr>
      <w:r w:rsidRPr="009E720E">
        <w:fldChar w:fldCharType="begin"/>
      </w:r>
      <w:r w:rsidRPr="009E720E">
        <w:instrText xml:space="preserve"> AUTONUM  </w:instrText>
      </w:r>
      <w:r w:rsidRPr="009E720E">
        <w:fldChar w:fldCharType="end"/>
      </w:r>
      <w:r w:rsidRPr="009E720E">
        <w:tab/>
        <w:t xml:space="preserve">The TC </w:t>
      </w:r>
      <w:r w:rsidRPr="009E720E">
        <w:rPr>
          <w:lang w:eastAsia="ja-JP"/>
        </w:rPr>
        <w:t>noted</w:t>
      </w:r>
      <w:r w:rsidRPr="009E720E">
        <w:rPr>
          <w:snapToGrid w:val="0"/>
          <w:lang w:eastAsia="ja-JP"/>
        </w:rPr>
        <w:t xml:space="preserve"> that a standard report for TWP allocations for UPOV codes would be introduced on the GENIE webpage by the end of March 2015.</w:t>
      </w:r>
    </w:p>
    <w:p w:rsidR="00ED1957" w:rsidRPr="009E720E" w:rsidRDefault="00ED1957" w:rsidP="00ED1957">
      <w:pPr>
        <w:rPr>
          <w:snapToGrid w:val="0"/>
          <w:lang w:eastAsia="ja-JP"/>
        </w:rPr>
      </w:pPr>
    </w:p>
    <w:p w:rsidR="00ED1957" w:rsidRPr="009E720E" w:rsidRDefault="00ED1957" w:rsidP="00ED1957">
      <w:r w:rsidRPr="009E720E">
        <w:fldChar w:fldCharType="begin"/>
      </w:r>
      <w:r w:rsidRPr="009E720E">
        <w:instrText xml:space="preserve"> AUTONUM  </w:instrText>
      </w:r>
      <w:r w:rsidRPr="009E720E">
        <w:fldChar w:fldCharType="end"/>
      </w:r>
      <w:r w:rsidRPr="009E720E">
        <w:tab/>
        <w:t>The TC</w:t>
      </w:r>
      <w:r w:rsidRPr="009E720E">
        <w:rPr>
          <w:lang w:eastAsia="ja-JP"/>
        </w:rPr>
        <w:t xml:space="preserve"> agreed that the Office of the Union would prepare tables of allocation of crop type(s) for UPOV codes used in the PLUTO database for the first time for checking by the relevant authorities, for each of the TWP sessions in 2015</w:t>
      </w:r>
      <w:r>
        <w:rPr>
          <w:lang w:eastAsia="ja-JP"/>
        </w:rPr>
        <w:t xml:space="preserve"> </w:t>
      </w:r>
      <w:r>
        <w:t>(see document TC/51/39 “Report”, paragraphs 189 to 1</w:t>
      </w:r>
      <w:r w:rsidR="00682298">
        <w:t>92</w:t>
      </w:r>
      <w:r>
        <w:t>)</w:t>
      </w:r>
      <w:r w:rsidRPr="009E720E">
        <w:rPr>
          <w:lang w:eastAsia="ja-JP"/>
        </w:rPr>
        <w:t>.</w:t>
      </w:r>
    </w:p>
    <w:p w:rsidR="00ED1957" w:rsidRPr="009E720E" w:rsidRDefault="00ED1957" w:rsidP="00ED1957"/>
    <w:p w:rsidR="00ED1957" w:rsidRPr="00672F59" w:rsidRDefault="00ED1957" w:rsidP="004C118C">
      <w:pPr>
        <w:pStyle w:val="Heading4"/>
        <w:rPr>
          <w:lang w:val="en-US"/>
        </w:rPr>
      </w:pPr>
      <w:bookmarkStart w:id="8" w:name="_Toc381022345"/>
      <w:r w:rsidRPr="00672F59">
        <w:rPr>
          <w:lang w:val="en-US"/>
        </w:rPr>
        <w:t>UPOV code system</w:t>
      </w:r>
      <w:bookmarkEnd w:id="8"/>
    </w:p>
    <w:p w:rsidR="00ED1957" w:rsidRPr="009E720E" w:rsidRDefault="00ED1957" w:rsidP="00ED1957">
      <w:pPr>
        <w:keepNext/>
      </w:pPr>
    </w:p>
    <w:p w:rsidR="00ED1957" w:rsidRPr="009E720E" w:rsidRDefault="00ED1957" w:rsidP="00ED1957">
      <w:r w:rsidRPr="009E720E">
        <w:fldChar w:fldCharType="begin"/>
      </w:r>
      <w:r w:rsidRPr="009E720E">
        <w:instrText xml:space="preserve"> AUTONUM  </w:instrText>
      </w:r>
      <w:r w:rsidRPr="009E720E">
        <w:fldChar w:fldCharType="end"/>
      </w:r>
      <w:r w:rsidRPr="009E720E">
        <w:tab/>
        <w:t>The TC considered the developments concerning UPOV codes</w:t>
      </w:r>
      <w:r w:rsidRPr="009E720E">
        <w:rPr>
          <w:snapToGrid w:val="0"/>
        </w:rPr>
        <w:t xml:space="preserve">, as set out in </w:t>
      </w:r>
      <w:r w:rsidRPr="009E720E">
        <w:t xml:space="preserve">document TC/51/6, </w:t>
      </w:r>
      <w:r w:rsidRPr="009E720E">
        <w:rPr>
          <w:snapToGrid w:val="0"/>
        </w:rPr>
        <w:t>paragraph 17</w:t>
      </w:r>
      <w:r w:rsidRPr="009E720E">
        <w:t>.  The TC noted that i</w:t>
      </w:r>
      <w:r w:rsidRPr="009E720E">
        <w:rPr>
          <w:rFonts w:cs="Arial"/>
          <w:snapToGrid w:val="0"/>
        </w:rPr>
        <w:t>n 201</w:t>
      </w:r>
      <w:r w:rsidRPr="009E720E">
        <w:rPr>
          <w:rFonts w:cs="Arial"/>
          <w:snapToGrid w:val="0"/>
          <w:lang w:eastAsia="ja-JP"/>
        </w:rPr>
        <w:t>4</w:t>
      </w:r>
      <w:r w:rsidRPr="009E720E">
        <w:rPr>
          <w:rFonts w:cs="Arial"/>
          <w:snapToGrid w:val="0"/>
        </w:rPr>
        <w:t xml:space="preserve">, </w:t>
      </w:r>
      <w:r w:rsidRPr="009E720E">
        <w:rPr>
          <w:rFonts w:cs="Arial"/>
          <w:snapToGrid w:val="0"/>
          <w:lang w:eastAsia="ja-JP"/>
        </w:rPr>
        <w:t>577</w:t>
      </w:r>
      <w:r w:rsidRPr="009E720E">
        <w:rPr>
          <w:rFonts w:cs="Arial"/>
          <w:snapToGrid w:val="0"/>
        </w:rPr>
        <w:t xml:space="preserve"> new UPOV codes had been created and amendments made to </w:t>
      </w:r>
      <w:r w:rsidRPr="009E720E">
        <w:rPr>
          <w:rFonts w:cs="Arial"/>
          <w:snapToGrid w:val="0"/>
          <w:lang w:eastAsia="ja-JP"/>
        </w:rPr>
        <w:t>37</w:t>
      </w:r>
      <w:r w:rsidRPr="009E720E">
        <w:rPr>
          <w:rFonts w:cs="Arial"/>
          <w:snapToGrid w:val="0"/>
        </w:rPr>
        <w:t xml:space="preserve"> existing UPOV codes.  The TC also noted that the total number of UPOV codes in the GENIE database at the end of 201</w:t>
      </w:r>
      <w:r w:rsidRPr="009E720E">
        <w:rPr>
          <w:rFonts w:cs="Arial"/>
          <w:snapToGrid w:val="0"/>
          <w:lang w:eastAsia="ja-JP"/>
        </w:rPr>
        <w:t>4</w:t>
      </w:r>
      <w:r w:rsidRPr="009E720E">
        <w:rPr>
          <w:rFonts w:cs="Arial"/>
          <w:snapToGrid w:val="0"/>
        </w:rPr>
        <w:t xml:space="preserve"> was </w:t>
      </w:r>
      <w:r w:rsidRPr="009E720E">
        <w:rPr>
          <w:rFonts w:cs="Arial"/>
          <w:snapToGrid w:val="0"/>
          <w:lang w:eastAsia="ja-JP"/>
        </w:rPr>
        <w:t>7,808</w:t>
      </w:r>
      <w:r w:rsidRPr="009E720E">
        <w:rPr>
          <w:rFonts w:cs="Arial"/>
          <w:snapToGrid w:val="0"/>
        </w:rPr>
        <w:t xml:space="preserve">. </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The TC</w:t>
      </w:r>
      <w:r w:rsidRPr="009E720E">
        <w:rPr>
          <w:lang w:eastAsia="ja-JP"/>
        </w:rPr>
        <w:t xml:space="preserve"> agreed that </w:t>
      </w:r>
      <w:r w:rsidRPr="009E720E">
        <w:t xml:space="preserve">the Office of the Union </w:t>
      </w:r>
      <w:r w:rsidRPr="009E720E">
        <w:rPr>
          <w:lang w:eastAsia="ja-JP"/>
        </w:rPr>
        <w:t>would</w:t>
      </w:r>
      <w:r w:rsidRPr="009E720E">
        <w:t xml:space="preserve"> prepare tables of UPOV codes additions and amendments, for checking by the relevant authorities, for each of the TWP sessions in 201</w:t>
      </w:r>
      <w:r w:rsidRPr="009E720E">
        <w:rPr>
          <w:lang w:eastAsia="ja-JP"/>
        </w:rPr>
        <w:t>5</w:t>
      </w:r>
      <w:r w:rsidRPr="009E720E">
        <w:t>, as set out in document TC/51/6, paragraph 18</w:t>
      </w:r>
      <w:r w:rsidR="00682298">
        <w:t xml:space="preserve"> (see document TC/51/39 “Report”, paragraphs 193 and 194)</w:t>
      </w:r>
      <w:r w:rsidRPr="009E720E">
        <w:t>.</w:t>
      </w:r>
    </w:p>
    <w:p w:rsidR="00ED1957" w:rsidRPr="009E720E" w:rsidRDefault="00ED1957" w:rsidP="00ED1957"/>
    <w:p w:rsidR="00ED1957" w:rsidRPr="00672F59" w:rsidRDefault="00ED1957" w:rsidP="004C118C">
      <w:pPr>
        <w:pStyle w:val="Heading4"/>
        <w:rPr>
          <w:lang w:val="en-US"/>
        </w:rPr>
      </w:pPr>
      <w:bookmarkStart w:id="9" w:name="_Toc381022348"/>
      <w:r w:rsidRPr="00672F59">
        <w:rPr>
          <w:lang w:val="en-US"/>
        </w:rPr>
        <w:t>PLUTO database</w:t>
      </w:r>
      <w:bookmarkEnd w:id="9"/>
    </w:p>
    <w:p w:rsidR="00ED1957" w:rsidRPr="009E720E" w:rsidRDefault="00ED1957" w:rsidP="00ED1957">
      <w:pPr>
        <w:keepNext/>
      </w:pPr>
    </w:p>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noted </w:t>
      </w:r>
      <w:r w:rsidRPr="009E720E">
        <w:rPr>
          <w:rFonts w:cs="Arial"/>
          <w:bCs/>
        </w:rPr>
        <w:t xml:space="preserve">the summary of contributions to the </w:t>
      </w:r>
      <w:r w:rsidRPr="009E720E">
        <w:rPr>
          <w:rFonts w:cs="Arial"/>
          <w:bCs/>
          <w:color w:val="000000"/>
        </w:rPr>
        <w:t>PLUTO database from 201</w:t>
      </w:r>
      <w:r w:rsidRPr="009E720E">
        <w:rPr>
          <w:rFonts w:cs="Arial"/>
          <w:bCs/>
          <w:color w:val="000000"/>
          <w:lang w:eastAsia="ja-JP"/>
        </w:rPr>
        <w:t>2</w:t>
      </w:r>
      <w:r w:rsidRPr="009E720E">
        <w:rPr>
          <w:rFonts w:cs="Arial"/>
          <w:bCs/>
          <w:color w:val="000000"/>
        </w:rPr>
        <w:t xml:space="preserve"> to 201</w:t>
      </w:r>
      <w:r w:rsidRPr="009E720E">
        <w:rPr>
          <w:rFonts w:cs="Arial"/>
          <w:bCs/>
          <w:color w:val="000000"/>
          <w:lang w:eastAsia="ja-JP"/>
        </w:rPr>
        <w:t>4</w:t>
      </w:r>
      <w:r w:rsidRPr="009E720E">
        <w:rPr>
          <w:rFonts w:cs="Arial"/>
          <w:bCs/>
          <w:color w:val="000000"/>
        </w:rPr>
        <w:t xml:space="preserve"> and the current situation of members of the Union on data contribution,</w:t>
      </w:r>
      <w:r w:rsidRPr="009E720E">
        <w:rPr>
          <w:rFonts w:cs="Arial"/>
          <w:bCs/>
          <w:color w:val="000000"/>
          <w:lang w:eastAsia="ja-JP"/>
        </w:rPr>
        <w:t xml:space="preserve"> as presented in </w:t>
      </w:r>
      <w:r w:rsidRPr="009E720E">
        <w:t xml:space="preserve">document TC/51/6, </w:t>
      </w:r>
      <w:r w:rsidRPr="009E720E">
        <w:rPr>
          <w:rFonts w:cs="Arial"/>
          <w:bCs/>
          <w:color w:val="000000"/>
          <w:lang w:eastAsia="ja-JP"/>
        </w:rPr>
        <w:t>Annex II</w:t>
      </w:r>
      <w:r w:rsidRPr="009E720E">
        <w:t>.</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noted that the number of submissions to the PLUTO database in Annex II </w:t>
      </w:r>
      <w:r w:rsidRPr="009E720E">
        <w:rPr>
          <w:rFonts w:cs="Arial"/>
          <w:bCs/>
          <w:color w:val="000000"/>
          <w:lang w:eastAsia="ja-JP"/>
        </w:rPr>
        <w:t xml:space="preserve">to </w:t>
      </w:r>
      <w:r w:rsidRPr="009E720E">
        <w:t xml:space="preserve">document TC/51/6 did not include all of the submissions made by the CPVO during transitional arrangements for online uploading of data and noted that the Office would provide </w:t>
      </w:r>
      <w:r w:rsidR="00A328A7">
        <w:t>a corrected version of Annex II.</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noted </w:t>
      </w:r>
      <w:r w:rsidRPr="009E720E">
        <w:rPr>
          <w:lang w:eastAsia="ja-JP"/>
        </w:rPr>
        <w:t>that an additional column in the PLUTO search screen, showing the date on which the information was provided, would be introduced by the end of March 2015.</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The TC agreed</w:t>
      </w:r>
      <w:r w:rsidRPr="009E720E">
        <w:rPr>
          <w:lang w:eastAsia="ja-JP"/>
        </w:rPr>
        <w:t xml:space="preserve"> to make both the “Denomination” and “Breeder’s Ref” fields searchable, independently or in combination, by denomination search tools on the “Denomination Search” page of the PLUTO database, as set out in document TC/51/6, paragraphs 28 and 29, and noted that the conclusions of the TC on that matter would be reported to the CAJ at its seventy-first session, to be held in Geneva, on March 26, 2015.</w:t>
      </w:r>
    </w:p>
    <w:p w:rsidR="00ED1957" w:rsidRPr="009E720E" w:rsidRDefault="00ED1957" w:rsidP="00ED1957"/>
    <w:p w:rsidR="00ED1957" w:rsidRPr="009E720E" w:rsidRDefault="00ED1957" w:rsidP="00ED1957">
      <w:r w:rsidRPr="009E720E">
        <w:fldChar w:fldCharType="begin"/>
      </w:r>
      <w:r w:rsidRPr="009E720E">
        <w:instrText xml:space="preserve"> AUTONUM  </w:instrText>
      </w:r>
      <w:r w:rsidRPr="009E720E">
        <w:fldChar w:fldCharType="end"/>
      </w:r>
      <w:r w:rsidRPr="009E720E">
        <w:tab/>
        <w:t xml:space="preserve">The TC noted </w:t>
      </w:r>
      <w:r w:rsidRPr="009E720E">
        <w:rPr>
          <w:rFonts w:eastAsia="MS Mincho"/>
          <w:color w:val="000000"/>
          <w:lang w:eastAsia="ja-JP"/>
        </w:rPr>
        <w:t xml:space="preserve">the information concerning the </w:t>
      </w:r>
      <w:r w:rsidRPr="009E720E">
        <w:t xml:space="preserve">training course “Contributing data to the PLUTO database”, held in Geneva in December 2014, as set out in </w:t>
      </w:r>
      <w:r w:rsidRPr="009E720E">
        <w:rPr>
          <w:lang w:eastAsia="ja-JP"/>
        </w:rPr>
        <w:t>document TC/51/6,</w:t>
      </w:r>
      <w:r w:rsidRPr="009E720E">
        <w:t xml:space="preserve"> paragraphs 3</w:t>
      </w:r>
      <w:r w:rsidRPr="009E720E">
        <w:rPr>
          <w:lang w:eastAsia="ja-JP"/>
        </w:rPr>
        <w:t>1</w:t>
      </w:r>
      <w:r w:rsidRPr="009E720E">
        <w:t xml:space="preserve"> to 34,</w:t>
      </w:r>
      <w:r w:rsidRPr="009E720E">
        <w:rPr>
          <w:lang w:eastAsia="ja-JP"/>
        </w:rPr>
        <w:t xml:space="preserve"> </w:t>
      </w:r>
      <w:r w:rsidRPr="009E720E">
        <w:t xml:space="preserve">and </w:t>
      </w:r>
      <w:r w:rsidRPr="009E720E">
        <w:rPr>
          <w:snapToGrid w:val="0"/>
        </w:rPr>
        <w:t xml:space="preserve">the plans to organize </w:t>
      </w:r>
      <w:r w:rsidRPr="009E720E">
        <w:rPr>
          <w:snapToGrid w:val="0"/>
          <w:lang w:eastAsia="ja-JP"/>
        </w:rPr>
        <w:t>t</w:t>
      </w:r>
      <w:r w:rsidRPr="009E720E">
        <w:rPr>
          <w:snapToGrid w:val="0"/>
        </w:rPr>
        <w:t>hree further courses, in English, French and Spanish, in 2015</w:t>
      </w:r>
      <w:r w:rsidR="00682298">
        <w:rPr>
          <w:snapToGrid w:val="0"/>
        </w:rPr>
        <w:t xml:space="preserve"> </w:t>
      </w:r>
      <w:r w:rsidR="00682298">
        <w:t>(see document TC/51/39 “Report”, paragraphs 195 to 199)</w:t>
      </w:r>
      <w:r w:rsidRPr="009E720E">
        <w:rPr>
          <w:snapToGrid w:val="0"/>
        </w:rPr>
        <w:t>.</w:t>
      </w:r>
    </w:p>
    <w:p w:rsidR="00682298" w:rsidRDefault="00682298" w:rsidP="00CA1AA5"/>
    <w:p w:rsidR="00A328A7" w:rsidRDefault="00A328A7" w:rsidP="00CA1AA5"/>
    <w:p w:rsidR="009B0A3F" w:rsidRPr="009B0A3F" w:rsidRDefault="009B0A3F" w:rsidP="00A328A7">
      <w:pPr>
        <w:pStyle w:val="Heading3"/>
      </w:pPr>
      <w:r w:rsidRPr="009B0A3F">
        <w:t>(c)</w:t>
      </w:r>
      <w:r w:rsidRPr="009B0A3F">
        <w:tab/>
        <w:t>Exchange and use of software and equipment (document CAJ/71/6)</w:t>
      </w:r>
    </w:p>
    <w:p w:rsidR="009B0A3F" w:rsidRDefault="009B0A3F" w:rsidP="009B0A3F"/>
    <w:p w:rsidR="00682298" w:rsidRPr="009E720E" w:rsidRDefault="00682298" w:rsidP="00682298">
      <w:r w:rsidRPr="009E720E">
        <w:fldChar w:fldCharType="begin"/>
      </w:r>
      <w:r w:rsidRPr="009E720E">
        <w:instrText xml:space="preserve"> AUTONUM  </w:instrText>
      </w:r>
      <w:r w:rsidRPr="009E720E">
        <w:fldChar w:fldCharType="end"/>
      </w:r>
      <w:r w:rsidRPr="009E720E">
        <w:tab/>
        <w:t>The TC considered document TC/51/8</w:t>
      </w:r>
      <w:r w:rsidR="00BF4028">
        <w:t xml:space="preserve"> “</w:t>
      </w:r>
      <w:r w:rsidR="00BF4028" w:rsidRPr="009B0A3F">
        <w:t>Exchange and use of software and equipment</w:t>
      </w:r>
      <w:r w:rsidR="00BF4028">
        <w:t>”</w:t>
      </w:r>
      <w:r w:rsidRPr="009E720E">
        <w:t>.</w:t>
      </w:r>
    </w:p>
    <w:p w:rsidR="00682298" w:rsidRPr="009E720E" w:rsidRDefault="00682298" w:rsidP="00682298"/>
    <w:p w:rsidR="00682298" w:rsidRPr="00672F59" w:rsidRDefault="00682298" w:rsidP="004C118C">
      <w:pPr>
        <w:pStyle w:val="Heading4"/>
        <w:rPr>
          <w:lang w:val="en-US"/>
        </w:rPr>
      </w:pPr>
      <w:r w:rsidRPr="00672F59">
        <w:rPr>
          <w:lang w:val="en-US"/>
        </w:rPr>
        <w:t>Document UPOV/INF/16 “Exchangeable Software”</w:t>
      </w:r>
    </w:p>
    <w:p w:rsidR="00682298" w:rsidRPr="009E720E" w:rsidRDefault="00682298" w:rsidP="00A328A7">
      <w:pPr>
        <w:rPr>
          <w:rFonts w:eastAsia="MS Mincho"/>
        </w:rPr>
      </w:pPr>
    </w:p>
    <w:p w:rsidR="00682298" w:rsidRPr="009E720E" w:rsidRDefault="00682298" w:rsidP="004C118C">
      <w:pPr>
        <w:pStyle w:val="Heading5"/>
      </w:pPr>
      <w:bookmarkStart w:id="10" w:name="_Toc412793140"/>
      <w:r w:rsidRPr="009E720E">
        <w:t>Revision of document UPOV/INF/16</w:t>
      </w:r>
      <w:bookmarkEnd w:id="10"/>
    </w:p>
    <w:p w:rsidR="00682298" w:rsidRPr="009E720E" w:rsidRDefault="00682298" w:rsidP="00682298">
      <w:pPr>
        <w:keepNext/>
        <w:rPr>
          <w:rFonts w:eastAsia="MS Mincho"/>
        </w:rPr>
      </w:pPr>
    </w:p>
    <w:p w:rsidR="00682298" w:rsidRPr="009E720E" w:rsidRDefault="00682298" w:rsidP="00682298">
      <w:pPr>
        <w:rPr>
          <w:rFonts w:eastAsia="MS Mincho"/>
        </w:rPr>
      </w:pPr>
      <w:r w:rsidRPr="009E720E">
        <w:rPr>
          <w:rFonts w:eastAsia="MS Mincho"/>
        </w:rPr>
        <w:fldChar w:fldCharType="begin"/>
      </w:r>
      <w:r w:rsidRPr="009E720E">
        <w:rPr>
          <w:rFonts w:eastAsia="MS Mincho"/>
        </w:rPr>
        <w:instrText xml:space="preserve"> AUTONUM  </w:instrText>
      </w:r>
      <w:r w:rsidRPr="009E720E">
        <w:rPr>
          <w:rFonts w:eastAsia="MS Mincho"/>
        </w:rPr>
        <w:fldChar w:fldCharType="end"/>
      </w:r>
      <w:r w:rsidRPr="009E720E">
        <w:rPr>
          <w:rFonts w:eastAsia="MS Mincho"/>
        </w:rPr>
        <w:tab/>
        <w:t xml:space="preserve">The TC noted </w:t>
      </w:r>
      <w:r w:rsidRPr="009E720E">
        <w:rPr>
          <w:lang w:eastAsia="ja-JP"/>
        </w:rPr>
        <w:t xml:space="preserve">that </w:t>
      </w:r>
      <w:r w:rsidRPr="009E720E">
        <w:rPr>
          <w:color w:val="000000"/>
          <w:lang w:eastAsia="ja-JP"/>
        </w:rPr>
        <w:t>the Council, at its forty-eighth ordinary session, held in Geneva, on October 16, 2014, had adopted the revision of document UPOV/INF/16 “Exchangeable Software” (document UPOV/INF/16/4)</w:t>
      </w:r>
      <w:r w:rsidRPr="009E720E">
        <w:rPr>
          <w:rFonts w:eastAsia="MS Mincho"/>
        </w:rPr>
        <w:t>.</w:t>
      </w:r>
    </w:p>
    <w:p w:rsidR="00682298" w:rsidRPr="009E720E" w:rsidRDefault="00682298" w:rsidP="00682298">
      <w:pPr>
        <w:rPr>
          <w:rFonts w:eastAsia="MS Mincho"/>
        </w:rPr>
      </w:pPr>
    </w:p>
    <w:p w:rsidR="00682298" w:rsidRPr="009E720E" w:rsidRDefault="00682298" w:rsidP="004C118C">
      <w:pPr>
        <w:pStyle w:val="Heading5"/>
      </w:pPr>
      <w:bookmarkStart w:id="11" w:name="_Toc380588284"/>
      <w:bookmarkStart w:id="12" w:name="_Toc412793141"/>
      <w:r w:rsidRPr="009E720E">
        <w:lastRenderedPageBreak/>
        <w:t>Software proposed for inclusion in document UPOV/INF/16 “Exchangeable software”</w:t>
      </w:r>
      <w:bookmarkEnd w:id="11"/>
      <w:bookmarkEnd w:id="12"/>
    </w:p>
    <w:p w:rsidR="00682298" w:rsidRPr="009E720E" w:rsidRDefault="00682298" w:rsidP="00A328A7">
      <w:pPr>
        <w:keepNext/>
      </w:pPr>
    </w:p>
    <w:p w:rsidR="00682298" w:rsidRPr="009E720E" w:rsidRDefault="00682298" w:rsidP="00682298">
      <w:r w:rsidRPr="009E720E">
        <w:fldChar w:fldCharType="begin"/>
      </w:r>
      <w:r w:rsidRPr="009E720E">
        <w:instrText xml:space="preserve"> AUTONUM  </w:instrText>
      </w:r>
      <w:r w:rsidRPr="009E720E">
        <w:fldChar w:fldCharType="end"/>
      </w:r>
      <w:r w:rsidRPr="009E720E">
        <w:tab/>
        <w:t>The TC noted</w:t>
      </w:r>
      <w:r w:rsidRPr="009E720E">
        <w:rPr>
          <w:lang w:eastAsia="ja-JP"/>
        </w:rPr>
        <w:t xml:space="preserve"> that </w:t>
      </w:r>
      <w:r w:rsidRPr="009E720E">
        <w:t>the discussions on the inclusion of the SISNAVA software in document UPOV/INF/16 would be continued in the TWC</w:t>
      </w:r>
      <w:r w:rsidRPr="009E720E">
        <w:rPr>
          <w:lang w:eastAsia="ja-JP"/>
        </w:rPr>
        <w:t>,</w:t>
      </w:r>
      <w:r w:rsidRPr="009E720E">
        <w:t xml:space="preserve"> subject to the conclusion on discussions on the variation of variety descriptions over years in different locations.</w:t>
      </w:r>
    </w:p>
    <w:p w:rsidR="00682298" w:rsidRPr="009E720E" w:rsidRDefault="00682298" w:rsidP="00682298"/>
    <w:p w:rsidR="00682298" w:rsidRPr="009E720E" w:rsidRDefault="00682298" w:rsidP="004C118C">
      <w:pPr>
        <w:pStyle w:val="Heading5"/>
      </w:pPr>
      <w:bookmarkStart w:id="13" w:name="_Toc412793143"/>
      <w:r w:rsidRPr="009E720E">
        <w:t>Information on use by members</w:t>
      </w:r>
      <w:bookmarkEnd w:id="13"/>
    </w:p>
    <w:p w:rsidR="00682298" w:rsidRPr="009E720E" w:rsidRDefault="00682298" w:rsidP="00682298"/>
    <w:p w:rsidR="00682298" w:rsidRPr="009E720E" w:rsidRDefault="00682298" w:rsidP="00682298">
      <w:r w:rsidRPr="009E720E">
        <w:fldChar w:fldCharType="begin"/>
      </w:r>
      <w:r w:rsidRPr="009E720E">
        <w:instrText xml:space="preserve"> AUTONUM  </w:instrText>
      </w:r>
      <w:r w:rsidRPr="009E720E">
        <w:fldChar w:fldCharType="end"/>
      </w:r>
      <w:r w:rsidRPr="009E720E">
        <w:tab/>
        <w:t>The TC approved the revision of document UPOV/INF/16/4 concerning the inclusion of information on the use of software by members of the Union, as set out in Annex I to document TC/51/8.</w:t>
      </w:r>
    </w:p>
    <w:p w:rsidR="00682298" w:rsidRPr="009E720E" w:rsidRDefault="00682298" w:rsidP="00682298"/>
    <w:p w:rsidR="00682298" w:rsidRPr="009E720E" w:rsidRDefault="00682298" w:rsidP="00682298">
      <w:r w:rsidRPr="009E720E">
        <w:fldChar w:fldCharType="begin"/>
      </w:r>
      <w:r w:rsidRPr="009E720E">
        <w:instrText xml:space="preserve"> AUTONUM  </w:instrText>
      </w:r>
      <w:r w:rsidRPr="009E720E">
        <w:fldChar w:fldCharType="end"/>
      </w:r>
      <w:r w:rsidRPr="009E720E">
        <w:tab/>
        <w:t xml:space="preserve">The TC noted that the </w:t>
      </w:r>
      <w:r w:rsidR="003539A6">
        <w:t>conclusion</w:t>
      </w:r>
      <w:r w:rsidR="00556C4B">
        <w:t>s</w:t>
      </w:r>
      <w:r w:rsidRPr="009E720E">
        <w:t xml:space="preserve"> of the TC, at its fifty-first session, concerning the use of software by members of the Union, would be reported to the CAJ at its seventy-first session, to be held in Geneva on March 26, 2015, and if agreed by the CAJ, a draft document UPOV/INF/16/5 would be presented for adoption by the Council at its forty-ninth ordinary session, to be held on October 29, 2015</w:t>
      </w:r>
      <w:r>
        <w:t xml:space="preserve"> (see document TC/51/39 “Report”, paragraphs 206 and 207)</w:t>
      </w:r>
      <w:r w:rsidRPr="009E720E">
        <w:t>.</w:t>
      </w:r>
    </w:p>
    <w:p w:rsidR="00682298" w:rsidRDefault="00682298" w:rsidP="00682298"/>
    <w:p w:rsidR="003539A6" w:rsidRPr="009E720E" w:rsidRDefault="003539A6" w:rsidP="00682298"/>
    <w:p w:rsidR="00682298" w:rsidRPr="00672F59" w:rsidRDefault="00682298" w:rsidP="004C118C">
      <w:pPr>
        <w:pStyle w:val="Heading4"/>
        <w:rPr>
          <w:lang w:val="en-US"/>
        </w:rPr>
      </w:pPr>
      <w:bookmarkStart w:id="14" w:name="_Toc412793144"/>
      <w:r w:rsidRPr="00672F59">
        <w:rPr>
          <w:lang w:val="en-US"/>
        </w:rPr>
        <w:t>Document UPOV/INF/22 “Software and Equipment used by members of the Union”</w:t>
      </w:r>
      <w:bookmarkEnd w:id="14"/>
    </w:p>
    <w:p w:rsidR="00682298" w:rsidRPr="009E720E" w:rsidRDefault="00682298" w:rsidP="00682298">
      <w:pPr>
        <w:keepNext/>
      </w:pPr>
    </w:p>
    <w:p w:rsidR="00682298" w:rsidRPr="009E720E" w:rsidRDefault="00682298" w:rsidP="004C118C">
      <w:pPr>
        <w:pStyle w:val="Heading5"/>
      </w:pPr>
      <w:bookmarkStart w:id="15" w:name="_Toc412793145"/>
      <w:r w:rsidRPr="009E720E">
        <w:t>Adoption of document UPOV/INF/22/1</w:t>
      </w:r>
      <w:bookmarkEnd w:id="15"/>
    </w:p>
    <w:p w:rsidR="00682298" w:rsidRPr="009E720E" w:rsidRDefault="00682298" w:rsidP="00682298">
      <w:pPr>
        <w:keepNext/>
      </w:pPr>
    </w:p>
    <w:p w:rsidR="00682298" w:rsidRPr="009E720E" w:rsidRDefault="00682298" w:rsidP="00682298">
      <w:r w:rsidRPr="009E720E">
        <w:fldChar w:fldCharType="begin"/>
      </w:r>
      <w:r w:rsidRPr="009E720E">
        <w:instrText xml:space="preserve"> AUTONUM  </w:instrText>
      </w:r>
      <w:r w:rsidRPr="009E720E">
        <w:fldChar w:fldCharType="end"/>
      </w:r>
      <w:r w:rsidRPr="009E720E">
        <w:tab/>
        <w:t xml:space="preserve">The TC </w:t>
      </w:r>
      <w:r w:rsidRPr="009E720E">
        <w:rPr>
          <w:lang w:eastAsia="ja-JP"/>
        </w:rPr>
        <w:t xml:space="preserve">noted that </w:t>
      </w:r>
      <w:r w:rsidRPr="009E720E">
        <w:rPr>
          <w:color w:val="000000"/>
          <w:lang w:eastAsia="ja-JP"/>
        </w:rPr>
        <w:t>the Council, at its forty-eighth ordinary session, held in Geneva, on October 16, 2014, had adopted document UPOV/INF/22/1 “</w:t>
      </w:r>
      <w:r w:rsidRPr="009E720E">
        <w:rPr>
          <w:rFonts w:eastAsia="MS Mincho"/>
          <w:snapToGrid w:val="0"/>
        </w:rPr>
        <w:t>Software and equipment used by members of the Union</w:t>
      </w:r>
      <w:r w:rsidRPr="009E720E">
        <w:rPr>
          <w:color w:val="000000"/>
          <w:lang w:eastAsia="ja-JP"/>
        </w:rPr>
        <w:t>”.</w:t>
      </w:r>
    </w:p>
    <w:p w:rsidR="00682298" w:rsidRPr="009E720E" w:rsidRDefault="00682298" w:rsidP="00682298"/>
    <w:p w:rsidR="00682298" w:rsidRPr="009E720E" w:rsidRDefault="00682298" w:rsidP="004C118C">
      <w:pPr>
        <w:pStyle w:val="Heading5"/>
      </w:pPr>
      <w:bookmarkStart w:id="16" w:name="_Toc412793146"/>
      <w:r w:rsidRPr="009E720E">
        <w:t>Software/Equipment proposed for inclusion in document UPOV/INF/22</w:t>
      </w:r>
      <w:bookmarkEnd w:id="16"/>
    </w:p>
    <w:p w:rsidR="00682298" w:rsidRPr="009E720E" w:rsidRDefault="00682298" w:rsidP="00682298"/>
    <w:p w:rsidR="00682298" w:rsidRPr="009E720E" w:rsidRDefault="00682298" w:rsidP="00682298">
      <w:r w:rsidRPr="009E720E">
        <w:fldChar w:fldCharType="begin"/>
      </w:r>
      <w:r w:rsidRPr="009E720E">
        <w:instrText xml:space="preserve"> AUTONUM  </w:instrText>
      </w:r>
      <w:r w:rsidRPr="009E720E">
        <w:fldChar w:fldCharType="end"/>
      </w:r>
      <w:r w:rsidRPr="009E720E">
        <w:tab/>
        <w:t>The TC agreed the information in Annex II to document TC/51/8 for inclusion in document UPOV/INF/22, subject to corrections to be provided by Germany and to checking of the data provided by Uruguay.</w:t>
      </w:r>
    </w:p>
    <w:p w:rsidR="00682298" w:rsidRPr="009E720E" w:rsidRDefault="00682298" w:rsidP="00682298"/>
    <w:p w:rsidR="00682298" w:rsidRPr="000B03FD" w:rsidRDefault="00682298" w:rsidP="00682298">
      <w:r w:rsidRPr="009E720E">
        <w:fldChar w:fldCharType="begin"/>
      </w:r>
      <w:r w:rsidRPr="009E720E">
        <w:instrText xml:space="preserve"> AUTONUM  </w:instrText>
      </w:r>
      <w:r w:rsidRPr="009E720E">
        <w:fldChar w:fldCharType="end"/>
      </w:r>
      <w:r w:rsidRPr="009E720E">
        <w:tab/>
        <w:t xml:space="preserve">The TC noted that </w:t>
      </w:r>
      <w:r w:rsidR="003539A6">
        <w:t>the comments of</w:t>
      </w:r>
      <w:r w:rsidRPr="009E720E">
        <w:t xml:space="preserve"> the TC concerning the use of software by members of the Union would be reported to the CAJ at its seventy-first session, and if agreed by the CAJ, a draft of document UPOV/INF/22/2 </w:t>
      </w:r>
      <w:r w:rsidR="003539A6">
        <w:t>would</w:t>
      </w:r>
      <w:r w:rsidRPr="009E720E">
        <w:t xml:space="preserve"> be presented for adoption by the Council at its forty-ninth ordinary session, to be held on October 29, 2015</w:t>
      </w:r>
      <w:r w:rsidR="006562FD">
        <w:t xml:space="preserve"> (see document TC/51/39 “Report”, paragraphs 208 to 210)</w:t>
      </w:r>
      <w:r w:rsidR="006562FD" w:rsidRPr="009E720E">
        <w:rPr>
          <w:snapToGrid w:val="0"/>
        </w:rPr>
        <w:t>.</w:t>
      </w:r>
    </w:p>
    <w:p w:rsidR="009B0A3F" w:rsidRDefault="009B0A3F" w:rsidP="009B0A3F"/>
    <w:p w:rsidR="003539A6" w:rsidRDefault="003539A6" w:rsidP="009B0A3F"/>
    <w:p w:rsidR="00A328A7" w:rsidRDefault="00A328A7" w:rsidP="009B0A3F"/>
    <w:p w:rsidR="006C6337" w:rsidRPr="003E6A61" w:rsidRDefault="006C6337" w:rsidP="006C6337">
      <w:pPr>
        <w:tabs>
          <w:tab w:val="right" w:pos="9071"/>
        </w:tabs>
        <w:jc w:val="left"/>
        <w:rPr>
          <w:i/>
          <w:u w:val="single"/>
        </w:rPr>
      </w:pPr>
      <w:r w:rsidRPr="003E6A61">
        <w:rPr>
          <w:u w:val="single"/>
        </w:rPr>
        <w:t xml:space="preserve">AGENDA ITEM </w:t>
      </w:r>
      <w:r w:rsidR="009B0A3F">
        <w:rPr>
          <w:u w:val="single"/>
        </w:rPr>
        <w:t>7</w:t>
      </w:r>
      <w:r w:rsidRPr="003E6A61">
        <w:rPr>
          <w:u w:val="single"/>
        </w:rPr>
        <w:t>:  TGP DOCUMENTS</w:t>
      </w:r>
    </w:p>
    <w:p w:rsidR="006C6337" w:rsidRDefault="006C6337" w:rsidP="006C6337">
      <w:pPr>
        <w:keepNext/>
        <w:rPr>
          <w:snapToGrid w:val="0"/>
        </w:rPr>
      </w:pPr>
    </w:p>
    <w:p w:rsidR="003539A6" w:rsidRDefault="003539A6" w:rsidP="006C6337">
      <w:pPr>
        <w:keepNext/>
        <w:rPr>
          <w:snapToGrid w:val="0"/>
        </w:rPr>
      </w:pPr>
    </w:p>
    <w:p w:rsidR="009B0A3F" w:rsidRPr="009B0A3F" w:rsidRDefault="009B0A3F" w:rsidP="00A328A7">
      <w:pPr>
        <w:pStyle w:val="Heading3"/>
        <w:rPr>
          <w:snapToGrid w:val="0"/>
        </w:rPr>
      </w:pPr>
      <w:r w:rsidRPr="009B0A3F">
        <w:rPr>
          <w:snapToGrid w:val="0"/>
        </w:rPr>
        <w:t>TGP documents (document CAJ/71/7)</w:t>
      </w:r>
    </w:p>
    <w:p w:rsidR="009B0A3F" w:rsidRDefault="009B0A3F" w:rsidP="009B0A3F">
      <w:pPr>
        <w:rPr>
          <w:snapToGrid w:val="0"/>
        </w:rPr>
      </w:pPr>
    </w:p>
    <w:p w:rsidR="006C6337" w:rsidRPr="00672F59" w:rsidRDefault="00FB109E" w:rsidP="004C118C">
      <w:pPr>
        <w:pStyle w:val="Heading4"/>
        <w:rPr>
          <w:lang w:val="en-US"/>
        </w:rPr>
      </w:pPr>
      <w:r w:rsidRPr="00672F59">
        <w:rPr>
          <w:lang w:val="en-US"/>
        </w:rPr>
        <w:t>Matters for adoption by the Council in 2015</w:t>
      </w:r>
    </w:p>
    <w:p w:rsidR="006C6337" w:rsidRPr="003E6A61" w:rsidRDefault="006C6337" w:rsidP="006335E2">
      <w:pPr>
        <w:jc w:val="left"/>
        <w:rPr>
          <w:snapToGrid w:val="0"/>
        </w:rPr>
      </w:pPr>
    </w:p>
    <w:p w:rsidR="006C6337" w:rsidRPr="00ED1957" w:rsidRDefault="006C6337" w:rsidP="004C118C">
      <w:pPr>
        <w:pStyle w:val="Heading5"/>
      </w:pPr>
      <w:bookmarkStart w:id="17" w:name="_Toc374385107"/>
      <w:bookmarkStart w:id="18" w:name="_Toc374631044"/>
      <w:bookmarkStart w:id="19" w:name="_Toc374632516"/>
      <w:bookmarkStart w:id="20" w:name="_Toc374635716"/>
      <w:bookmarkStart w:id="21" w:name="_Toc378251505"/>
      <w:bookmarkStart w:id="22" w:name="_Toc381279966"/>
      <w:r w:rsidRPr="00ED1957">
        <w:t>TGP/0:  List of TGP Documents and Latest Issue Dates</w:t>
      </w:r>
      <w:bookmarkEnd w:id="17"/>
      <w:bookmarkEnd w:id="18"/>
      <w:bookmarkEnd w:id="19"/>
      <w:bookmarkEnd w:id="20"/>
      <w:bookmarkEnd w:id="21"/>
      <w:bookmarkEnd w:id="22"/>
    </w:p>
    <w:p w:rsidR="006C6337" w:rsidRPr="003E6A61" w:rsidRDefault="006C6337" w:rsidP="006335E2">
      <w:pPr>
        <w:keepNext/>
      </w:pPr>
    </w:p>
    <w:p w:rsidR="00C9137D" w:rsidRPr="000B03FD" w:rsidRDefault="00C9137D" w:rsidP="00C9137D">
      <w:r w:rsidRPr="000B03FD">
        <w:fldChar w:fldCharType="begin"/>
      </w:r>
      <w:r w:rsidRPr="000B03FD">
        <w:instrText xml:space="preserve"> AUTONUM  </w:instrText>
      </w:r>
      <w:r w:rsidRPr="000B03FD">
        <w:fldChar w:fldCharType="end"/>
      </w:r>
      <w:r w:rsidRPr="000B03FD">
        <w:tab/>
        <w:t>The TC considered document TC/51/5 “TGP Documents” and noted that the Council would be invited to adopt document TGP/0/8, in order to reflect the adoption of TGP documents.</w:t>
      </w:r>
    </w:p>
    <w:p w:rsidR="006C6337" w:rsidRDefault="006C6337" w:rsidP="006C6337"/>
    <w:p w:rsidR="004C6889" w:rsidRPr="00ED1957" w:rsidRDefault="004C6889" w:rsidP="004C118C">
      <w:pPr>
        <w:pStyle w:val="Heading5"/>
      </w:pPr>
      <w:r w:rsidRPr="00ED1957">
        <w:t>TGP/9:  Examining Distinctness</w:t>
      </w:r>
    </w:p>
    <w:p w:rsidR="004C6889" w:rsidRPr="003E6A61" w:rsidRDefault="004C6889" w:rsidP="004C6889">
      <w:pPr>
        <w:keepNext/>
      </w:pPr>
    </w:p>
    <w:p w:rsidR="006335E2" w:rsidRDefault="006335E2" w:rsidP="006335E2">
      <w:r>
        <w:fldChar w:fldCharType="begin"/>
      </w:r>
      <w:r>
        <w:instrText xml:space="preserve"> AUTONUM  </w:instrText>
      </w:r>
      <w:r>
        <w:fldChar w:fldCharType="end"/>
      </w:r>
      <w:r>
        <w:tab/>
        <w:t>The TC considered document TC/51/23</w:t>
      </w:r>
      <w:r w:rsidR="00745485">
        <w:t xml:space="preserve"> “</w:t>
      </w:r>
      <w:r w:rsidR="00745485" w:rsidRPr="00745485">
        <w:t>TGP/9: Examining Distinctness</w:t>
      </w:r>
      <w:r w:rsidR="00745485">
        <w:t>”</w:t>
      </w:r>
      <w:r>
        <w:t>.</w:t>
      </w:r>
    </w:p>
    <w:p w:rsidR="006335E2" w:rsidRDefault="006335E2" w:rsidP="006335E2"/>
    <w:p w:rsidR="00FB109E" w:rsidRPr="006335E2" w:rsidRDefault="00FB109E" w:rsidP="00A328A7">
      <w:pPr>
        <w:ind w:left="1418" w:hanging="567"/>
        <w:rPr>
          <w:i/>
        </w:rPr>
      </w:pPr>
      <w:r w:rsidRPr="006335E2">
        <w:rPr>
          <w:i/>
        </w:rPr>
        <w:t>(i)</w:t>
      </w:r>
      <w:r w:rsidRPr="006335E2">
        <w:rPr>
          <w:i/>
        </w:rPr>
        <w:tab/>
        <w:t>Revision of document TGP/9: Section 1.6: Schematic Overview of TGP Documents Concerning Distinctness</w:t>
      </w:r>
    </w:p>
    <w:p w:rsidR="006335E2" w:rsidRDefault="006335E2" w:rsidP="00FB109E"/>
    <w:p w:rsidR="00C9137D" w:rsidRPr="000B03FD" w:rsidRDefault="00C9137D" w:rsidP="00C9137D">
      <w:r w:rsidRPr="000B03FD">
        <w:fldChar w:fldCharType="begin"/>
      </w:r>
      <w:r w:rsidRPr="000B03FD">
        <w:instrText xml:space="preserve"> AUTONUM  </w:instrText>
      </w:r>
      <w:r w:rsidRPr="000B03FD">
        <w:fldChar w:fldCharType="end"/>
      </w:r>
      <w:r w:rsidRPr="000B03FD">
        <w:tab/>
        <w:t>The TC agreed that the flow diagram in TGP/9, Section 1.6 “Schematic overview of TGP documents concerning distinctness”, should be revised as set out in Annexes I and II to document TC/51/23.</w:t>
      </w:r>
    </w:p>
    <w:p w:rsidR="003539A6" w:rsidRDefault="003539A6" w:rsidP="00FB109E"/>
    <w:p w:rsidR="003539A6" w:rsidRDefault="003539A6" w:rsidP="00FB109E"/>
    <w:p w:rsidR="003539A6" w:rsidRDefault="003539A6" w:rsidP="00FB109E"/>
    <w:p w:rsidR="003539A6" w:rsidRDefault="003539A6" w:rsidP="00FB109E"/>
    <w:p w:rsidR="00FB109E" w:rsidRPr="006335E2" w:rsidRDefault="00FB109E" w:rsidP="00A328A7">
      <w:pPr>
        <w:ind w:left="1418" w:hanging="567"/>
        <w:rPr>
          <w:i/>
        </w:rPr>
      </w:pPr>
      <w:r w:rsidRPr="006335E2">
        <w:rPr>
          <w:i/>
        </w:rPr>
        <w:lastRenderedPageBreak/>
        <w:t>(ii)</w:t>
      </w:r>
      <w:r w:rsidRPr="006335E2">
        <w:rPr>
          <w:i/>
        </w:rPr>
        <w:tab/>
        <w:t>Revision of document TGP/9: Section 2.5: Photographs</w:t>
      </w:r>
    </w:p>
    <w:p w:rsidR="006335E2" w:rsidRDefault="006335E2" w:rsidP="00FB109E"/>
    <w:p w:rsidR="00C9137D" w:rsidRPr="000B03FD" w:rsidRDefault="00C9137D" w:rsidP="00C9137D">
      <w:r w:rsidRPr="000B03FD">
        <w:fldChar w:fldCharType="begin"/>
      </w:r>
      <w:r w:rsidRPr="000B03FD">
        <w:instrText xml:space="preserve"> AUTONUM  </w:instrText>
      </w:r>
      <w:r w:rsidRPr="000B03FD">
        <w:fldChar w:fldCharType="end"/>
      </w:r>
      <w:r w:rsidRPr="000B03FD">
        <w:tab/>
        <w:t>The TC considered the proposed guidance on photographs for inclu</w:t>
      </w:r>
      <w:r w:rsidR="00745485">
        <w:t>sion in document TGP/9, Section </w:t>
      </w:r>
      <w:r w:rsidRPr="000B03FD">
        <w:t>2.5 “Photographs”, and agreed the guidance to read as follows:</w:t>
      </w:r>
    </w:p>
    <w:p w:rsidR="00C9137D" w:rsidRPr="000B03FD" w:rsidRDefault="00C9137D" w:rsidP="00C9137D"/>
    <w:p w:rsidR="00C9137D" w:rsidRPr="000B03FD" w:rsidRDefault="00C9137D" w:rsidP="00C9137D">
      <w:pPr>
        <w:autoSpaceDE w:val="0"/>
        <w:autoSpaceDN w:val="0"/>
        <w:adjustRightInd w:val="0"/>
        <w:ind w:left="567" w:right="567"/>
      </w:pPr>
      <w:r w:rsidRPr="000B03FD">
        <w:rPr>
          <w:sz w:val="18"/>
        </w:rPr>
        <w:t>“</w:t>
      </w:r>
      <w:r w:rsidRPr="000B03FD">
        <w:rPr>
          <w:rFonts w:cs="Arial"/>
          <w:sz w:val="18"/>
        </w:rPr>
        <w:t>2.5.3</w:t>
      </w:r>
      <w:r w:rsidRPr="000B03FD">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C9137D" w:rsidRDefault="00C9137D" w:rsidP="00C9137D">
      <w:pPr>
        <w:ind w:left="1418" w:hanging="851"/>
      </w:pPr>
    </w:p>
    <w:p w:rsidR="00C9137D" w:rsidRPr="003306D3" w:rsidRDefault="00C9137D" w:rsidP="00C9137D">
      <w:r w:rsidRPr="003306D3">
        <w:fldChar w:fldCharType="begin"/>
      </w:r>
      <w:r w:rsidRPr="003306D3">
        <w:instrText xml:space="preserve"> AUTONUM  </w:instrText>
      </w:r>
      <w:r w:rsidRPr="003306D3">
        <w:fldChar w:fldCharType="end"/>
      </w:r>
      <w:r w:rsidRPr="003306D3">
        <w:tab/>
        <w:t>The TC noted that editorial changes needed to be made to the draft text in German and recalled that the language experts of the editorial committee would be requested to check the translations in French, German and Spanish of all documents before they were prepared for adoption by the Council.</w:t>
      </w:r>
    </w:p>
    <w:p w:rsidR="00C9137D" w:rsidRDefault="00C9137D" w:rsidP="00C9137D">
      <w:pPr>
        <w:rPr>
          <w:lang w:val="de-DE"/>
        </w:rPr>
      </w:pPr>
    </w:p>
    <w:p w:rsidR="003539A6" w:rsidRPr="00D50E26" w:rsidRDefault="003539A6" w:rsidP="00C9137D">
      <w:pPr>
        <w:rPr>
          <w:lang w:val="de-DE"/>
        </w:rPr>
      </w:pPr>
    </w:p>
    <w:p w:rsidR="004C6889" w:rsidRPr="006335E2" w:rsidRDefault="00FB109E" w:rsidP="00A328A7">
      <w:pPr>
        <w:keepNext/>
        <w:ind w:left="1418" w:hanging="567"/>
        <w:rPr>
          <w:i/>
        </w:rPr>
      </w:pPr>
      <w:r w:rsidRPr="006335E2">
        <w:rPr>
          <w:i/>
        </w:rPr>
        <w:t>(iii)</w:t>
      </w:r>
      <w:r w:rsidRPr="006335E2">
        <w:rPr>
          <w:i/>
        </w:rPr>
        <w:tab/>
        <w:t>Revision of document TGP/9: Sections 4.3.2 and 4.3.4 Method of Observation (Single Measurement – MG)</w:t>
      </w:r>
    </w:p>
    <w:p w:rsidR="006335E2" w:rsidRDefault="006335E2" w:rsidP="006335E2">
      <w:pPr>
        <w:keepNext/>
      </w:pPr>
    </w:p>
    <w:p w:rsidR="00C9137D" w:rsidRPr="000B03FD" w:rsidRDefault="00C9137D" w:rsidP="00C9137D">
      <w:r w:rsidRPr="000B03FD">
        <w:fldChar w:fldCharType="begin"/>
      </w:r>
      <w:r w:rsidRPr="000B03FD">
        <w:instrText xml:space="preserve"> AUTONUM  </w:instrText>
      </w:r>
      <w:r w:rsidRPr="000B03FD">
        <w:fldChar w:fldCharType="end"/>
      </w:r>
      <w:r w:rsidRPr="000B03FD">
        <w:tab/>
        <w:t>The TC considered the proposed example of a single record for a group of plants (MG) taken on plant parts for inclusion in document TGP/9, Section 4.3.2 “Single record for a group of plants or parts of plants (G)” and Section 4.3.4 “Schematic Summary”, and agreed the guidance to read as follows:</w:t>
      </w:r>
    </w:p>
    <w:p w:rsidR="00C9137D" w:rsidRPr="000B03FD" w:rsidRDefault="00C9137D" w:rsidP="00C9137D"/>
    <w:p w:rsidR="00C9137D" w:rsidRPr="000B03FD" w:rsidRDefault="00C9137D" w:rsidP="00C9137D">
      <w:pPr>
        <w:autoSpaceDE w:val="0"/>
        <w:autoSpaceDN w:val="0"/>
        <w:adjustRightInd w:val="0"/>
        <w:ind w:left="567" w:right="567"/>
        <w:rPr>
          <w:rFonts w:cs="Arial"/>
          <w:sz w:val="18"/>
        </w:rPr>
      </w:pPr>
      <w:r w:rsidRPr="000B03FD">
        <w:rPr>
          <w:sz w:val="18"/>
        </w:rPr>
        <w:t>“</w:t>
      </w:r>
      <w:r w:rsidRPr="000B03FD">
        <w:rPr>
          <w:rFonts w:cs="Arial"/>
          <w:sz w:val="18"/>
        </w:rPr>
        <w:t>Example (MG)</w:t>
      </w:r>
    </w:p>
    <w:p w:rsidR="00C9137D" w:rsidRPr="000B03FD" w:rsidRDefault="00C9137D" w:rsidP="00C9137D">
      <w:pPr>
        <w:autoSpaceDE w:val="0"/>
        <w:autoSpaceDN w:val="0"/>
        <w:adjustRightInd w:val="0"/>
        <w:ind w:left="567" w:right="567"/>
        <w:rPr>
          <w:rFonts w:cs="Arial"/>
          <w:sz w:val="18"/>
        </w:rPr>
      </w:pPr>
    </w:p>
    <w:p w:rsidR="00C9137D" w:rsidRPr="000B03FD" w:rsidRDefault="00C9137D" w:rsidP="00C9137D">
      <w:pPr>
        <w:autoSpaceDE w:val="0"/>
        <w:autoSpaceDN w:val="0"/>
        <w:adjustRightInd w:val="0"/>
        <w:ind w:left="567" w:right="567"/>
        <w:rPr>
          <w:rFonts w:cs="Arial"/>
          <w:sz w:val="18"/>
        </w:rPr>
      </w:pPr>
      <w:r w:rsidRPr="000B03FD">
        <w:rPr>
          <w:rFonts w:cs="Arial"/>
          <w:sz w:val="18"/>
        </w:rPr>
        <w:t>“Measurement (MG): ‘Leaf blade: width’ in Hosta (vegetatively propagated): a representative measurement in the plot.”</w:t>
      </w:r>
    </w:p>
    <w:p w:rsidR="00C9137D" w:rsidRPr="000B03FD" w:rsidRDefault="00C9137D" w:rsidP="00C9137D">
      <w:pPr>
        <w:rPr>
          <w:rFonts w:cs="Arial"/>
        </w:rPr>
      </w:pPr>
    </w:p>
    <w:p w:rsidR="00C9137D" w:rsidRPr="000B03FD" w:rsidRDefault="00C9137D" w:rsidP="00C9137D">
      <w:r w:rsidRPr="000B03FD">
        <w:fldChar w:fldCharType="begin"/>
      </w:r>
      <w:r w:rsidRPr="000B03FD">
        <w:instrText xml:space="preserve"> AUTONUM  </w:instrText>
      </w:r>
      <w:r w:rsidRPr="000B03FD">
        <w:fldChar w:fldCharType="end"/>
      </w:r>
      <w:r w:rsidRPr="000B03FD">
        <w:tab/>
        <w:t>The TC agreed that the illustration for inclusion in Subsection 4.3.4, should be amended to appear as follows:</w:t>
      </w:r>
    </w:p>
    <w:p w:rsidR="00C9137D" w:rsidRPr="00535AD1" w:rsidRDefault="00C9137D" w:rsidP="00C9137D">
      <w:pPr>
        <w:rPr>
          <w:sz w:val="14"/>
        </w:rPr>
      </w:pPr>
    </w:p>
    <w:p w:rsidR="00C9137D" w:rsidRPr="000B03FD" w:rsidRDefault="00C9137D" w:rsidP="00C9137D">
      <w:pPr>
        <w:ind w:left="567"/>
      </w:pPr>
      <w:r w:rsidRPr="000B03FD">
        <w:rPr>
          <w:noProof/>
        </w:rPr>
        <w:drawing>
          <wp:inline distT="0" distB="0" distL="0" distR="0" wp14:anchorId="1C6F6859" wp14:editId="7902DD6B">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C9137D" w:rsidRDefault="00C9137D" w:rsidP="006C6337"/>
    <w:p w:rsidR="00E03CFB" w:rsidRDefault="00E03CFB" w:rsidP="006C6337"/>
    <w:p w:rsidR="00FB109E" w:rsidRPr="00FB109E" w:rsidRDefault="00FB109E" w:rsidP="004C118C">
      <w:pPr>
        <w:pStyle w:val="Heading5"/>
      </w:pPr>
      <w:r w:rsidRPr="00FB109E">
        <w:t>TGP/14:  Glossary of Terms Used in UPOV Documents</w:t>
      </w:r>
    </w:p>
    <w:p w:rsidR="006C6337" w:rsidRDefault="006C6337" w:rsidP="006C6337"/>
    <w:p w:rsidR="00FB109E" w:rsidRPr="006335E2" w:rsidRDefault="00FB109E" w:rsidP="00A328A7">
      <w:pPr>
        <w:ind w:left="1418" w:hanging="567"/>
        <w:rPr>
          <w:i/>
        </w:rPr>
      </w:pPr>
      <w:r w:rsidRPr="006335E2">
        <w:rPr>
          <w:i/>
        </w:rPr>
        <w:t>(i)</w:t>
      </w:r>
      <w:r w:rsidRPr="006335E2">
        <w:rPr>
          <w:i/>
        </w:rPr>
        <w:tab/>
        <w:t>Revision of document TGP/14: Section 2.4 “Apex/tip shape characteristics”</w:t>
      </w:r>
    </w:p>
    <w:p w:rsidR="006335E2" w:rsidRDefault="006335E2" w:rsidP="006C6337"/>
    <w:p w:rsidR="00C9137D" w:rsidRPr="000B03FD" w:rsidRDefault="00C9137D" w:rsidP="00C9137D">
      <w:pPr>
        <w:keepNext/>
      </w:pPr>
      <w:r w:rsidRPr="000B03FD">
        <w:fldChar w:fldCharType="begin"/>
      </w:r>
      <w:r w:rsidRPr="000B03FD">
        <w:instrText xml:space="preserve"> AUTONUM  </w:instrText>
      </w:r>
      <w:r w:rsidRPr="000B03FD">
        <w:fldChar w:fldCharType="end"/>
      </w:r>
      <w:r w:rsidRPr="000B03FD">
        <w:tab/>
        <w:t>The TC considered the revision of document TGP/14 Section 2.4 as presented in document TC/51/25 and agreed that the wording should read as follows:</w:t>
      </w:r>
    </w:p>
    <w:p w:rsidR="00C9137D" w:rsidRPr="000B03FD" w:rsidRDefault="00C9137D" w:rsidP="00C9137D"/>
    <w:p w:rsidR="00C9137D" w:rsidRPr="003539A6" w:rsidRDefault="00C9137D" w:rsidP="003539A6">
      <w:pPr>
        <w:ind w:left="567" w:right="567"/>
        <w:rPr>
          <w:sz w:val="18"/>
        </w:rPr>
      </w:pPr>
      <w:r w:rsidRPr="003539A6">
        <w:rPr>
          <w:sz w:val="18"/>
        </w:rPr>
        <w:t>“2.4</w:t>
      </w:r>
      <w:r w:rsidRPr="003539A6">
        <w:rPr>
          <w:sz w:val="18"/>
        </w:rPr>
        <w:tab/>
        <w:t>Apex/Tip Shape Characteristics</w:t>
      </w:r>
    </w:p>
    <w:p w:rsidR="00C9137D" w:rsidRPr="003539A6" w:rsidRDefault="00C9137D" w:rsidP="003539A6">
      <w:pPr>
        <w:ind w:left="567" w:right="567"/>
        <w:rPr>
          <w:sz w:val="18"/>
        </w:rPr>
      </w:pPr>
    </w:p>
    <w:p w:rsidR="00C9137D" w:rsidRPr="003539A6" w:rsidRDefault="00C9137D" w:rsidP="003539A6">
      <w:pPr>
        <w:ind w:left="567" w:right="567"/>
        <w:rPr>
          <w:sz w:val="18"/>
        </w:rPr>
      </w:pPr>
      <w:r w:rsidRPr="003539A6">
        <w:rPr>
          <w:sz w:val="18"/>
        </w:rPr>
        <w:t>“2.4.1</w:t>
      </w:r>
      <w:r w:rsidRPr="003539A6">
        <w:rPr>
          <w:sz w:val="18"/>
        </w:rPr>
        <w:tab/>
        <w:t>The APEX (apical or distal part) of an organ or plant part is the end furthest from the point of attachment. In some cases, the distal extremity of the apex may be differentiated into a ‘TIP’.</w:t>
      </w:r>
    </w:p>
    <w:p w:rsidR="00C9137D" w:rsidRPr="003539A6" w:rsidRDefault="00C9137D" w:rsidP="003539A6">
      <w:pPr>
        <w:ind w:left="567" w:right="567"/>
        <w:rPr>
          <w:sz w:val="18"/>
        </w:rPr>
      </w:pPr>
    </w:p>
    <w:p w:rsidR="00C9137D" w:rsidRPr="000B03FD" w:rsidRDefault="00C9137D" w:rsidP="00C9137D">
      <w:pPr>
        <w:ind w:left="567" w:right="567"/>
        <w:rPr>
          <w:sz w:val="18"/>
        </w:rPr>
      </w:pPr>
      <w:r w:rsidRPr="000B03FD">
        <w:rPr>
          <w:sz w:val="18"/>
        </w:rPr>
        <w:lastRenderedPageBreak/>
        <w:t>“2.4.2</w:t>
      </w:r>
      <w:r w:rsidRPr="000B03FD">
        <w:rPr>
          <w:sz w:val="18"/>
        </w:rPr>
        <w:tab/>
      </w:r>
      <w:r w:rsidRPr="000B03FD">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0B03FD">
        <w:rPr>
          <w:sz w:val="18"/>
        </w:rPr>
        <w:t xml:space="preserve"> </w:t>
      </w:r>
    </w:p>
    <w:p w:rsidR="00C9137D" w:rsidRPr="000B03FD" w:rsidRDefault="00C9137D" w:rsidP="00C9137D">
      <w:pPr>
        <w:ind w:left="567" w:right="567"/>
        <w:rPr>
          <w:sz w:val="18"/>
        </w:rPr>
      </w:pPr>
    </w:p>
    <w:p w:rsidR="00C9137D" w:rsidRPr="000B03FD" w:rsidRDefault="00C9137D" w:rsidP="00C9137D">
      <w:pPr>
        <w:ind w:left="567" w:right="567"/>
        <w:rPr>
          <w:sz w:val="18"/>
        </w:rPr>
      </w:pPr>
      <w:r w:rsidRPr="000B03FD">
        <w:rPr>
          <w:sz w:val="18"/>
        </w:rPr>
        <w:t>“2.4.3</w:t>
      </w:r>
      <w:r w:rsidRPr="000B03FD">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C9137D" w:rsidRPr="000B03FD" w:rsidRDefault="00C9137D" w:rsidP="00C9137D">
      <w:pPr>
        <w:ind w:left="567" w:right="567"/>
        <w:rPr>
          <w:sz w:val="18"/>
        </w:rPr>
      </w:pPr>
    </w:p>
    <w:p w:rsidR="00C9137D" w:rsidRDefault="00C9137D" w:rsidP="00C9137D">
      <w:pPr>
        <w:ind w:left="567" w:right="567"/>
        <w:rPr>
          <w:sz w:val="18"/>
        </w:rPr>
      </w:pPr>
      <w:r w:rsidRPr="000B03FD">
        <w:rPr>
          <w:sz w:val="18"/>
        </w:rPr>
        <w:t>[…]”</w:t>
      </w:r>
    </w:p>
    <w:p w:rsidR="00C9137D" w:rsidRDefault="00C9137D" w:rsidP="00C9137D">
      <w:pPr>
        <w:ind w:left="567" w:right="567"/>
        <w:rPr>
          <w:sz w:val="18"/>
        </w:rPr>
      </w:pPr>
    </w:p>
    <w:p w:rsidR="00C9137D" w:rsidRPr="003306D3" w:rsidRDefault="00C9137D" w:rsidP="00C9137D">
      <w:r w:rsidRPr="003306D3">
        <w:fldChar w:fldCharType="begin"/>
      </w:r>
      <w:r w:rsidRPr="003306D3">
        <w:instrText xml:space="preserve"> AUTONUM  </w:instrText>
      </w:r>
      <w:r w:rsidRPr="003306D3">
        <w:fldChar w:fldCharType="end"/>
      </w:r>
      <w:r w:rsidRPr="003306D3">
        <w:tab/>
        <w:t>The TC noted that editorial changes needed to be made to the draft text in German and recalled that the language experts of the editorial committee would be requested to check the translations in French, German and Spanish of all documents before they were prepared for adoption by the Council.</w:t>
      </w:r>
    </w:p>
    <w:p w:rsidR="00C9137D" w:rsidRPr="003306D3" w:rsidRDefault="00C9137D" w:rsidP="00C9137D"/>
    <w:p w:rsidR="00FB109E" w:rsidRPr="006335E2" w:rsidRDefault="00FB109E" w:rsidP="00A328A7">
      <w:pPr>
        <w:ind w:left="1418" w:hanging="567"/>
        <w:rPr>
          <w:i/>
        </w:rPr>
      </w:pPr>
      <w:r w:rsidRPr="006335E2">
        <w:rPr>
          <w:i/>
        </w:rPr>
        <w:t>(ii)</w:t>
      </w:r>
      <w:r w:rsidRPr="006335E2">
        <w:rPr>
          <w:i/>
        </w:rPr>
        <w:tab/>
        <w:t>Revision of document TGP/14: Subsection 3: “Color”, Annex</w:t>
      </w:r>
    </w:p>
    <w:p w:rsidR="00FB109E" w:rsidRDefault="00FB109E" w:rsidP="006C6337"/>
    <w:p w:rsidR="00C9137D" w:rsidRPr="000B03FD" w:rsidRDefault="00C9137D" w:rsidP="00C9137D">
      <w:r w:rsidRPr="000B03FD">
        <w:fldChar w:fldCharType="begin"/>
      </w:r>
      <w:r w:rsidRPr="000B03FD">
        <w:instrText xml:space="preserve"> AUTONUM  </w:instrText>
      </w:r>
      <w:r w:rsidRPr="000B03FD">
        <w:fldChar w:fldCharType="end"/>
      </w:r>
      <w:r w:rsidRPr="000B03FD">
        <w:tab/>
        <w:t>The TC noted the correction to the French translation of the color group “dark purple red” to read “rouge pourpre foncé” in document TGP/14 Subsection 3: “Color”</w:t>
      </w:r>
      <w:r w:rsidR="00224A44" w:rsidRPr="00224A44">
        <w:t xml:space="preserve"> </w:t>
      </w:r>
      <w:r w:rsidR="00224A44">
        <w:t>(see document TC/51/39 “Report”, paragraphs 113 to 125)</w:t>
      </w:r>
      <w:r w:rsidRPr="000B03FD">
        <w:t>.</w:t>
      </w:r>
    </w:p>
    <w:p w:rsidR="00C9137D" w:rsidRPr="000B03FD" w:rsidRDefault="00C9137D" w:rsidP="00C9137D"/>
    <w:p w:rsidR="006335E2" w:rsidRDefault="006335E2" w:rsidP="006C6337"/>
    <w:p w:rsidR="00FB109E" w:rsidRPr="003E6A61" w:rsidRDefault="00FB109E" w:rsidP="00A328A7">
      <w:pPr>
        <w:pStyle w:val="Heading3"/>
      </w:pPr>
      <w:r w:rsidRPr="00C9137D">
        <w:t>Possible future revision of TGP documents</w:t>
      </w:r>
    </w:p>
    <w:p w:rsidR="00FB109E" w:rsidRPr="003E6A61" w:rsidRDefault="00FB109E" w:rsidP="00FB109E">
      <w:pPr>
        <w:jc w:val="left"/>
        <w:rPr>
          <w:snapToGrid w:val="0"/>
        </w:rPr>
      </w:pPr>
    </w:p>
    <w:p w:rsidR="00FB109E" w:rsidRPr="00672F59" w:rsidRDefault="00FB109E" w:rsidP="004C118C">
      <w:pPr>
        <w:pStyle w:val="Heading4"/>
        <w:rPr>
          <w:lang w:val="en-US"/>
        </w:rPr>
      </w:pPr>
      <w:r w:rsidRPr="00672F59">
        <w:rPr>
          <w:lang w:val="en-US"/>
        </w:rPr>
        <w:t>TGP/5:</w:t>
      </w:r>
      <w:r w:rsidR="00A80E7A" w:rsidRPr="00672F59">
        <w:rPr>
          <w:lang w:val="en-US"/>
        </w:rPr>
        <w:t xml:space="preserve">  </w:t>
      </w:r>
      <w:r w:rsidRPr="00672F59">
        <w:rPr>
          <w:lang w:val="en-US"/>
        </w:rPr>
        <w:t>Experience and Cooperation in DUS Testing</w:t>
      </w:r>
    </w:p>
    <w:p w:rsidR="002E3867" w:rsidRDefault="002E3867" w:rsidP="00FB109E"/>
    <w:p w:rsidR="002E3867" w:rsidRDefault="002E3867" w:rsidP="002E3867">
      <w:r>
        <w:fldChar w:fldCharType="begin"/>
      </w:r>
      <w:r>
        <w:instrText xml:space="preserve"> AUTONUM  </w:instrText>
      </w:r>
      <w:r>
        <w:fldChar w:fldCharType="end"/>
      </w:r>
      <w:r>
        <w:tab/>
        <w:t>The TC considered document TC/51/5</w:t>
      </w:r>
      <w:r w:rsidR="00745485">
        <w:t xml:space="preserve"> “TGP documents”</w:t>
      </w:r>
      <w:r>
        <w:t>.</w:t>
      </w:r>
    </w:p>
    <w:p w:rsidR="00E03CFB" w:rsidRDefault="00E03CFB" w:rsidP="00FB109E"/>
    <w:p w:rsidR="002E3867" w:rsidRDefault="002E3867" w:rsidP="00FB109E"/>
    <w:p w:rsidR="00A80E7A" w:rsidRPr="00672F59" w:rsidRDefault="00A80E7A" w:rsidP="00A80E7A">
      <w:pPr>
        <w:pStyle w:val="Heading4"/>
        <w:ind w:left="1134" w:hanging="567"/>
        <w:rPr>
          <w:lang w:val="en-US"/>
        </w:rPr>
      </w:pPr>
      <w:bookmarkStart w:id="23" w:name="_Toc412193736"/>
      <w:r w:rsidRPr="00672F59">
        <w:rPr>
          <w:lang w:val="en-US"/>
        </w:rPr>
        <w:t>(i)</w:t>
      </w:r>
      <w:r w:rsidRPr="00672F59">
        <w:rPr>
          <w:lang w:val="en-US"/>
        </w:rPr>
        <w:tab/>
        <w:t>Revision of document TGP/5: Section 3: Technical Questionnaire to be Completed in Connection with an Application for Plant Breeders’ Rights</w:t>
      </w:r>
      <w:bookmarkEnd w:id="23"/>
    </w:p>
    <w:p w:rsidR="00A80E7A" w:rsidRPr="000B03FD" w:rsidRDefault="00A80E7A" w:rsidP="00164D9A">
      <w:pPr>
        <w:keepNext/>
      </w:pPr>
    </w:p>
    <w:p w:rsidR="00A80E7A" w:rsidRPr="000B03FD" w:rsidRDefault="00A80E7A" w:rsidP="00164D9A">
      <w:pPr>
        <w:keepNext/>
      </w:pPr>
      <w:r w:rsidRPr="000B03FD">
        <w:fldChar w:fldCharType="begin"/>
      </w:r>
      <w:r w:rsidRPr="000B03FD">
        <w:instrText xml:space="preserve"> AUTONUM  </w:instrText>
      </w:r>
      <w:r w:rsidRPr="000B03FD">
        <w:fldChar w:fldCharType="end"/>
      </w:r>
      <w:r w:rsidRPr="000B03FD">
        <w:tab/>
        <w:t>The TC agreed that document TGP/5: Section 3 should read as follows:</w:t>
      </w:r>
    </w:p>
    <w:p w:rsidR="00A80E7A" w:rsidRPr="000B03FD" w:rsidRDefault="00A80E7A" w:rsidP="00164D9A">
      <w:pPr>
        <w:keepNext/>
      </w:pPr>
    </w:p>
    <w:p w:rsidR="00A80E7A" w:rsidRPr="000B03FD" w:rsidRDefault="00A80E7A" w:rsidP="00A80E7A">
      <w:pPr>
        <w:ind w:left="567" w:right="567" w:firstLine="567"/>
        <w:rPr>
          <w:sz w:val="18"/>
        </w:rPr>
      </w:pPr>
      <w:r w:rsidRPr="000B03FD">
        <w:rPr>
          <w:sz w:val="18"/>
        </w:rPr>
        <w:t>“A model Technical Questionnaire is provided in document TGP/7 ‘Development of Test Guidelines’: Annex 1:  TG Template:  Chapter 10.  The UPOV Test Guidelines (http://www.upov.int/edocs/tgpdocs/en/tgp_7.pdf) contain, in Chapter 10, a specific Technical  Questionnaire for varieties covered by those Test Guidelines.”</w:t>
      </w:r>
    </w:p>
    <w:p w:rsidR="00A80E7A" w:rsidRDefault="00A80E7A" w:rsidP="00FB109E"/>
    <w:p w:rsidR="00FB109E" w:rsidRPr="00672F59" w:rsidRDefault="002E3867" w:rsidP="004C118C">
      <w:pPr>
        <w:pStyle w:val="Heading4"/>
        <w:rPr>
          <w:lang w:val="en-US"/>
        </w:rPr>
      </w:pPr>
      <w:r w:rsidRPr="00672F59">
        <w:rPr>
          <w:lang w:val="en-US"/>
        </w:rPr>
        <w:t>(ii)</w:t>
      </w:r>
      <w:r w:rsidRPr="00672F59">
        <w:rPr>
          <w:lang w:val="en-US"/>
        </w:rPr>
        <w:tab/>
      </w:r>
      <w:r w:rsidR="00FB109E" w:rsidRPr="00672F59">
        <w:rPr>
          <w:lang w:val="en-US"/>
        </w:rPr>
        <w:t>Revision of document TGP/5: Section 8: Cooperation in Examination</w:t>
      </w:r>
    </w:p>
    <w:p w:rsidR="002E3867" w:rsidRDefault="002E3867" w:rsidP="00FB109E"/>
    <w:p w:rsidR="00C9137D" w:rsidRPr="000B03FD" w:rsidRDefault="00C9137D" w:rsidP="00C9137D">
      <w:r w:rsidRPr="000B03FD">
        <w:fldChar w:fldCharType="begin"/>
      </w:r>
      <w:r w:rsidRPr="000B03FD">
        <w:instrText xml:space="preserve"> AUTONUM  </w:instrText>
      </w:r>
      <w:r w:rsidRPr="000B03FD">
        <w:fldChar w:fldCharType="end"/>
      </w:r>
      <w:r w:rsidRPr="000B03FD">
        <w:rPr>
          <w:b/>
        </w:rPr>
        <w:tab/>
      </w:r>
      <w:r w:rsidRPr="000B03FD">
        <w:t>The TC agreed that document TGP/5: Section 8 should read as follows:</w:t>
      </w:r>
    </w:p>
    <w:p w:rsidR="00C9137D" w:rsidRPr="000B03FD" w:rsidRDefault="00C9137D" w:rsidP="00C9137D"/>
    <w:p w:rsidR="00C9137D" w:rsidRPr="000B03FD" w:rsidRDefault="00C9137D" w:rsidP="00C9137D">
      <w:pPr>
        <w:ind w:left="567" w:right="567"/>
        <w:rPr>
          <w:sz w:val="18"/>
        </w:rPr>
      </w:pPr>
      <w:r w:rsidRPr="000B03FD">
        <w:rPr>
          <w:sz w:val="18"/>
        </w:rPr>
        <w:tab/>
        <w:t>“A synopsis of cooperation in examination between authorities is provided in the form of a Council document:</w:t>
      </w:r>
    </w:p>
    <w:p w:rsidR="00C9137D" w:rsidRPr="000B03FD" w:rsidRDefault="00C9137D" w:rsidP="00C9137D">
      <w:pPr>
        <w:ind w:left="567" w:right="567"/>
        <w:rPr>
          <w:sz w:val="18"/>
        </w:rPr>
      </w:pPr>
    </w:p>
    <w:p w:rsidR="00C9137D" w:rsidRPr="00BA2C0C" w:rsidRDefault="00C9137D" w:rsidP="00C9137D">
      <w:pPr>
        <w:ind w:left="567" w:right="567" w:firstLine="567"/>
        <w:rPr>
          <w:sz w:val="18"/>
          <w:lang w:val="fr-FR"/>
        </w:rPr>
      </w:pPr>
      <w:r w:rsidRPr="00BA2C0C">
        <w:rPr>
          <w:sz w:val="18"/>
          <w:lang w:val="fr-FR"/>
        </w:rPr>
        <w:t>“C/[session]/5 (e.g. C/49/5), (http://www.upov.int/meetings/en/topic.jsp?group_id=251).”</w:t>
      </w:r>
    </w:p>
    <w:p w:rsidR="00C9137D" w:rsidRPr="00C9137D" w:rsidRDefault="00C9137D" w:rsidP="002E3867">
      <w:pPr>
        <w:rPr>
          <w:lang w:val="fr-FR"/>
        </w:rPr>
      </w:pPr>
    </w:p>
    <w:p w:rsidR="00FB109E" w:rsidRPr="00672F59" w:rsidRDefault="002E3867" w:rsidP="00A80E7A">
      <w:pPr>
        <w:pStyle w:val="Heading4"/>
        <w:ind w:left="1134" w:hanging="567"/>
        <w:rPr>
          <w:lang w:val="en-US"/>
        </w:rPr>
      </w:pPr>
      <w:r w:rsidRPr="00672F59">
        <w:rPr>
          <w:lang w:val="en-US"/>
        </w:rPr>
        <w:t>(iii)</w:t>
      </w:r>
      <w:r w:rsidRPr="00672F59">
        <w:rPr>
          <w:lang w:val="en-US"/>
        </w:rPr>
        <w:tab/>
      </w:r>
      <w:r w:rsidR="00FB109E" w:rsidRPr="00672F59">
        <w:rPr>
          <w:lang w:val="en-US"/>
        </w:rPr>
        <w:t>Revision of document TGP/5: Section 9: List of Species in Which Practical Knowledge has Been Acquired or for Which National Test Guidelines Have Been Established</w:t>
      </w:r>
    </w:p>
    <w:p w:rsidR="00FB109E" w:rsidRDefault="00FB109E" w:rsidP="006C6337"/>
    <w:p w:rsidR="00C9137D" w:rsidRPr="000B03FD" w:rsidRDefault="00C9137D" w:rsidP="00C9137D">
      <w:r w:rsidRPr="000B03FD">
        <w:fldChar w:fldCharType="begin"/>
      </w:r>
      <w:r w:rsidRPr="000B03FD">
        <w:instrText xml:space="preserve"> AUTONUM  </w:instrText>
      </w:r>
      <w:r w:rsidRPr="000B03FD">
        <w:fldChar w:fldCharType="end"/>
      </w:r>
      <w:r w:rsidRPr="000B03FD">
        <w:tab/>
        <w:t>The TC agreed that document TGP/5: Section 9 should read as follows:</w:t>
      </w:r>
    </w:p>
    <w:p w:rsidR="00C9137D" w:rsidRPr="000B03FD" w:rsidRDefault="00C9137D" w:rsidP="00C9137D"/>
    <w:p w:rsidR="00C9137D" w:rsidRPr="000B03FD" w:rsidRDefault="00C9137D" w:rsidP="00C9137D">
      <w:pPr>
        <w:ind w:left="567" w:right="567" w:firstLine="567"/>
        <w:rPr>
          <w:sz w:val="18"/>
        </w:rPr>
      </w:pPr>
      <w:r w:rsidRPr="000B03FD">
        <w:rPr>
          <w:sz w:val="18"/>
        </w:rPr>
        <w:t>“A list of genera and species in which practical knowledge has been acquired or for which national test guidelines have been established is provided in the Technical Committee document:</w:t>
      </w:r>
    </w:p>
    <w:p w:rsidR="00C9137D" w:rsidRPr="000B03FD" w:rsidRDefault="00C9137D" w:rsidP="00C9137D">
      <w:pPr>
        <w:ind w:left="567" w:right="567"/>
        <w:rPr>
          <w:sz w:val="18"/>
        </w:rPr>
      </w:pPr>
    </w:p>
    <w:p w:rsidR="00C9137D" w:rsidRPr="00BA2C0C" w:rsidRDefault="00C9137D" w:rsidP="00C9137D">
      <w:pPr>
        <w:ind w:left="567" w:right="567" w:firstLine="567"/>
        <w:rPr>
          <w:sz w:val="18"/>
          <w:lang w:val="fr-FR"/>
        </w:rPr>
      </w:pPr>
      <w:r w:rsidRPr="00BA2C0C">
        <w:rPr>
          <w:sz w:val="18"/>
          <w:lang w:val="fr-FR"/>
        </w:rPr>
        <w:t>“TC/[session]/4 (e.g. TC/51/4), (http://www.upov.int/meetings/en/topic.jsp?group_id=254).</w:t>
      </w:r>
    </w:p>
    <w:p w:rsidR="002E3867" w:rsidRDefault="002E3867" w:rsidP="006C6337">
      <w:pPr>
        <w:rPr>
          <w:lang w:val="fr-FR"/>
        </w:rPr>
      </w:pPr>
    </w:p>
    <w:p w:rsidR="00224A44" w:rsidRPr="00672F59" w:rsidRDefault="00224A44" w:rsidP="006C6337">
      <w:r>
        <w:t>(See document TC/51/39 “Report”, paragraphs 163 to 170.)</w:t>
      </w:r>
    </w:p>
    <w:p w:rsidR="00C9137D" w:rsidRPr="00672F59" w:rsidRDefault="00C9137D" w:rsidP="006C6337"/>
    <w:p w:rsidR="00164D9A" w:rsidRPr="00672F59" w:rsidRDefault="00164D9A" w:rsidP="006C6337"/>
    <w:p w:rsidR="00FB109E" w:rsidRPr="003E6A61" w:rsidRDefault="00FB109E" w:rsidP="00A328A7">
      <w:pPr>
        <w:pStyle w:val="Heading3"/>
      </w:pPr>
      <w:r w:rsidRPr="00672F59">
        <w:t>Program for the development of TGP documents</w:t>
      </w:r>
    </w:p>
    <w:p w:rsidR="00FB109E" w:rsidRDefault="00FB109E" w:rsidP="006C6337"/>
    <w:p w:rsidR="00C9137D" w:rsidRDefault="00C9137D" w:rsidP="00C9137D">
      <w:r w:rsidRPr="000B03FD">
        <w:fldChar w:fldCharType="begin"/>
      </w:r>
      <w:r w:rsidRPr="000B03FD">
        <w:instrText xml:space="preserve"> AUTONUM  </w:instrText>
      </w:r>
      <w:r w:rsidRPr="000B03FD">
        <w:fldChar w:fldCharType="end"/>
      </w:r>
      <w:r w:rsidRPr="000B03FD">
        <w:tab/>
        <w:t xml:space="preserve">The TC agreed the program for the development of TGP documents, as set out in </w:t>
      </w:r>
      <w:r w:rsidR="00A80E7A">
        <w:t>Appendix</w:t>
      </w:r>
      <w:r w:rsidR="00044E2E">
        <w:t>es</w:t>
      </w:r>
      <w:r w:rsidR="00A80E7A">
        <w:t xml:space="preserve"> </w:t>
      </w:r>
      <w:r w:rsidR="00044E2E">
        <w:t xml:space="preserve">I and II of </w:t>
      </w:r>
      <w:r>
        <w:t>this document</w:t>
      </w:r>
      <w:r w:rsidR="00224A44">
        <w:t xml:space="preserve"> (see document TC/51/39 “Report”, paragraph 171)</w:t>
      </w:r>
      <w:r w:rsidRPr="000B03FD">
        <w:t xml:space="preserve">. </w:t>
      </w:r>
    </w:p>
    <w:p w:rsidR="00C9137D" w:rsidRDefault="00C9137D" w:rsidP="00C9137D"/>
    <w:p w:rsidR="00A80E7A" w:rsidRPr="000B03FD" w:rsidRDefault="00A80E7A" w:rsidP="00C9137D"/>
    <w:p w:rsidR="009B0A3F" w:rsidRPr="00C9137D" w:rsidRDefault="009B0A3F" w:rsidP="009B0A3F">
      <w:pPr>
        <w:tabs>
          <w:tab w:val="right" w:pos="9071"/>
        </w:tabs>
        <w:jc w:val="left"/>
        <w:rPr>
          <w:i/>
          <w:u w:val="single"/>
          <w:lang w:val="fr-FR"/>
        </w:rPr>
      </w:pPr>
      <w:r w:rsidRPr="00C9137D">
        <w:rPr>
          <w:u w:val="single"/>
          <w:lang w:val="fr-FR"/>
        </w:rPr>
        <w:t>AGENDA ITEM 8:  MOLECULAR TECHNIQUES</w:t>
      </w:r>
    </w:p>
    <w:p w:rsidR="009B0A3F" w:rsidRPr="00C9137D" w:rsidRDefault="009B0A3F" w:rsidP="009B0A3F">
      <w:pPr>
        <w:keepNext/>
        <w:rPr>
          <w:snapToGrid w:val="0"/>
          <w:lang w:val="fr-FR"/>
        </w:rPr>
      </w:pPr>
    </w:p>
    <w:p w:rsidR="009B0A3F" w:rsidRPr="00C9137D" w:rsidRDefault="009B0A3F" w:rsidP="00A328A7">
      <w:pPr>
        <w:pStyle w:val="Heading3"/>
        <w:rPr>
          <w:snapToGrid w:val="0"/>
          <w:lang w:val="fr-FR"/>
        </w:rPr>
      </w:pPr>
      <w:r w:rsidRPr="00C9137D">
        <w:rPr>
          <w:snapToGrid w:val="0"/>
          <w:lang w:val="fr-FR"/>
        </w:rPr>
        <w:t>Molecular techniques (document CAJ/71/8)</w:t>
      </w:r>
    </w:p>
    <w:p w:rsidR="009B0A3F" w:rsidRPr="00C9137D" w:rsidRDefault="009B0A3F" w:rsidP="009B0A3F">
      <w:pPr>
        <w:rPr>
          <w:snapToGrid w:val="0"/>
          <w:lang w:val="fr-FR"/>
        </w:rPr>
      </w:pPr>
    </w:p>
    <w:p w:rsidR="00C9137D" w:rsidRPr="006C393B" w:rsidRDefault="00C9137D" w:rsidP="004C118C">
      <w:pPr>
        <w:pStyle w:val="Heading4"/>
      </w:pPr>
      <w:r w:rsidRPr="006C393B">
        <w:t>Discussion on molecular techniques</w:t>
      </w:r>
    </w:p>
    <w:p w:rsidR="00C9137D" w:rsidRPr="006C393B" w:rsidRDefault="00C9137D" w:rsidP="00C9137D">
      <w:pPr>
        <w:keepNext/>
        <w:rPr>
          <w:u w:val="single"/>
          <w:lang w:val="fr-CH"/>
        </w:rPr>
      </w:pPr>
    </w:p>
    <w:p w:rsidR="00C9137D" w:rsidRPr="009E720E" w:rsidRDefault="00C9137D" w:rsidP="00C9137D">
      <w:r w:rsidRPr="009E720E">
        <w:fldChar w:fldCharType="begin"/>
      </w:r>
      <w:r w:rsidRPr="009E720E">
        <w:instrText xml:space="preserve"> AUTONUM  </w:instrText>
      </w:r>
      <w:r w:rsidRPr="009E720E">
        <w:fldChar w:fldCharType="end"/>
      </w:r>
      <w:r w:rsidRPr="009E720E">
        <w:tab/>
        <w:t>The TC received the following presentations on molecular techniques (in order of presentation):</w:t>
      </w:r>
    </w:p>
    <w:p w:rsidR="00C9137D" w:rsidRPr="009E720E" w:rsidRDefault="00C9137D" w:rsidP="00C9137D"/>
    <w:tbl>
      <w:tblPr>
        <w:tblStyle w:val="TableGrid"/>
        <w:tblW w:w="9497"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62"/>
        <w:gridCol w:w="3435"/>
      </w:tblGrid>
      <w:tr w:rsidR="00C9137D" w:rsidRPr="009E720E" w:rsidTr="00164D9A">
        <w:tc>
          <w:tcPr>
            <w:tcW w:w="6062" w:type="dxa"/>
            <w:vAlign w:val="center"/>
          </w:tcPr>
          <w:p w:rsidR="00C9137D" w:rsidRPr="009E720E" w:rsidRDefault="00C9137D" w:rsidP="00532877">
            <w:pPr>
              <w:spacing w:before="60" w:after="60"/>
              <w:ind w:right="34"/>
            </w:pPr>
            <w:r w:rsidRPr="009E720E">
              <w:t xml:space="preserve">Reports on developments in UPOV Concerning Biochemical and Molecular Techniques </w:t>
            </w:r>
          </w:p>
        </w:tc>
        <w:tc>
          <w:tcPr>
            <w:tcW w:w="3435" w:type="dxa"/>
          </w:tcPr>
          <w:p w:rsidR="00C9137D" w:rsidRPr="009E720E" w:rsidRDefault="00C9137D" w:rsidP="00164D9A">
            <w:pPr>
              <w:spacing w:before="60" w:after="60"/>
              <w:jc w:val="left"/>
            </w:pPr>
            <w:r w:rsidRPr="009E720E">
              <w:t>UPOV Office</w:t>
            </w:r>
          </w:p>
        </w:tc>
      </w:tr>
      <w:tr w:rsidR="00C9137D" w:rsidRPr="009E720E" w:rsidTr="00164D9A">
        <w:tc>
          <w:tcPr>
            <w:tcW w:w="6062" w:type="dxa"/>
            <w:vAlign w:val="center"/>
          </w:tcPr>
          <w:p w:rsidR="00C9137D" w:rsidRPr="009E720E" w:rsidRDefault="00C9137D" w:rsidP="00532877">
            <w:pPr>
              <w:spacing w:before="60" w:after="60"/>
              <w:ind w:right="34"/>
            </w:pPr>
            <w:r w:rsidRPr="009E720E">
              <w:t>Marker-Assisted Selection of “Similar Variety” in DUS Testing</w:t>
            </w:r>
          </w:p>
        </w:tc>
        <w:tc>
          <w:tcPr>
            <w:tcW w:w="3435" w:type="dxa"/>
          </w:tcPr>
          <w:p w:rsidR="00C9137D" w:rsidRPr="009E720E" w:rsidRDefault="00C9137D" w:rsidP="00164D9A">
            <w:pPr>
              <w:spacing w:before="60" w:after="60"/>
              <w:jc w:val="left"/>
            </w:pPr>
            <w:r w:rsidRPr="009E720E">
              <w:t xml:space="preserve">Republic of Korea (Mr. </w:t>
            </w:r>
            <w:r w:rsidRPr="009E720E">
              <w:rPr>
                <w:rFonts w:cs="Arial"/>
                <w:lang w:eastAsia="zh-CN"/>
              </w:rPr>
              <w:t>Seung-In Yi)</w:t>
            </w:r>
          </w:p>
        </w:tc>
      </w:tr>
      <w:tr w:rsidR="00C9137D" w:rsidRPr="009E720E" w:rsidTr="00164D9A">
        <w:tc>
          <w:tcPr>
            <w:tcW w:w="6062" w:type="dxa"/>
            <w:vAlign w:val="center"/>
          </w:tcPr>
          <w:p w:rsidR="00C9137D" w:rsidRPr="009E720E" w:rsidRDefault="00C9137D" w:rsidP="00532877">
            <w:pPr>
              <w:spacing w:before="60" w:after="60"/>
              <w:ind w:right="34"/>
            </w:pPr>
            <w:r w:rsidRPr="009E720E">
              <w:t>The Use of Reference Varieties in Varietal Distinctness: An Approach under Investigation in the United States of America for Potential Application in Plant Variety Protection</w:t>
            </w:r>
          </w:p>
        </w:tc>
        <w:tc>
          <w:tcPr>
            <w:tcW w:w="3435" w:type="dxa"/>
          </w:tcPr>
          <w:p w:rsidR="00C9137D" w:rsidRPr="009E720E" w:rsidRDefault="00C9137D" w:rsidP="00164D9A">
            <w:pPr>
              <w:spacing w:before="60" w:after="60"/>
              <w:jc w:val="left"/>
            </w:pPr>
            <w:r w:rsidRPr="009E720E">
              <w:t xml:space="preserve">United States of America </w:t>
            </w:r>
            <w:r w:rsidRPr="009E720E">
              <w:br/>
              <w:t>(Mr. Paul Nelson)</w:t>
            </w:r>
          </w:p>
        </w:tc>
      </w:tr>
      <w:tr w:rsidR="00C9137D" w:rsidRPr="009E720E" w:rsidTr="00164D9A">
        <w:tc>
          <w:tcPr>
            <w:tcW w:w="6062" w:type="dxa"/>
            <w:vAlign w:val="center"/>
          </w:tcPr>
          <w:p w:rsidR="00C9137D" w:rsidRPr="009E720E" w:rsidRDefault="00C9137D" w:rsidP="00532877">
            <w:pPr>
              <w:spacing w:before="60" w:after="60"/>
              <w:ind w:right="34"/>
            </w:pPr>
            <w:r w:rsidRPr="009E720E">
              <w:t>A European Potato Database as Centralized Collection of Varieties of Common Knowledge</w:t>
            </w:r>
          </w:p>
        </w:tc>
        <w:tc>
          <w:tcPr>
            <w:tcW w:w="3435" w:type="dxa"/>
          </w:tcPr>
          <w:p w:rsidR="00C9137D" w:rsidRPr="009E720E" w:rsidRDefault="00C9137D" w:rsidP="00164D9A">
            <w:pPr>
              <w:spacing w:before="60" w:after="60"/>
              <w:jc w:val="left"/>
            </w:pPr>
            <w:r w:rsidRPr="009E720E">
              <w:t>United Kingdom (Mr. Alex Reid)</w:t>
            </w:r>
          </w:p>
        </w:tc>
      </w:tr>
      <w:tr w:rsidR="00C9137D" w:rsidRPr="009E720E" w:rsidTr="00164D9A">
        <w:tc>
          <w:tcPr>
            <w:tcW w:w="6062" w:type="dxa"/>
            <w:vAlign w:val="center"/>
          </w:tcPr>
          <w:p w:rsidR="00C9137D" w:rsidRPr="009E720E" w:rsidRDefault="00C9137D" w:rsidP="00532877">
            <w:pPr>
              <w:spacing w:before="60" w:after="60"/>
              <w:ind w:right="34"/>
            </w:pPr>
            <w:r w:rsidRPr="009E720E">
              <w:t>Development of EST-SSR Markers of Lettuce and Application for Variety Identification</w:t>
            </w:r>
          </w:p>
        </w:tc>
        <w:tc>
          <w:tcPr>
            <w:tcW w:w="3435" w:type="dxa"/>
          </w:tcPr>
          <w:p w:rsidR="00C9137D" w:rsidRPr="009E720E" w:rsidRDefault="00C9137D" w:rsidP="00164D9A">
            <w:pPr>
              <w:spacing w:before="60" w:after="60"/>
              <w:jc w:val="left"/>
            </w:pPr>
            <w:r w:rsidRPr="009E720E">
              <w:t xml:space="preserve">Republic of Korea (Mr. </w:t>
            </w:r>
            <w:r w:rsidRPr="009E720E">
              <w:rPr>
                <w:rFonts w:cs="Arial"/>
                <w:lang w:eastAsia="zh-CN"/>
              </w:rPr>
              <w:t>Seung-In Yi)</w:t>
            </w:r>
          </w:p>
        </w:tc>
      </w:tr>
      <w:tr w:rsidR="00C9137D" w:rsidRPr="009E720E" w:rsidTr="00164D9A">
        <w:tblPrEx>
          <w:tblLook w:val="0000" w:firstRow="0" w:lastRow="0" w:firstColumn="0" w:lastColumn="0" w:noHBand="0" w:noVBand="0"/>
        </w:tblPrEx>
        <w:trPr>
          <w:trHeight w:val="300"/>
        </w:trPr>
        <w:tc>
          <w:tcPr>
            <w:tcW w:w="6062" w:type="dxa"/>
            <w:vAlign w:val="center"/>
          </w:tcPr>
          <w:p w:rsidR="00C9137D" w:rsidRPr="009E720E" w:rsidRDefault="00C9137D" w:rsidP="00532877">
            <w:pPr>
              <w:spacing w:before="60" w:after="60"/>
              <w:ind w:right="34"/>
            </w:pPr>
            <w:r w:rsidRPr="009E720E">
              <w:t>Ownership and Use of DUS Samples and of DNA and DNA Data During and After the DUS Tests</w:t>
            </w:r>
          </w:p>
        </w:tc>
        <w:tc>
          <w:tcPr>
            <w:tcW w:w="3435" w:type="dxa"/>
          </w:tcPr>
          <w:p w:rsidR="00C9137D" w:rsidRPr="009E720E" w:rsidRDefault="00C9137D" w:rsidP="00164D9A">
            <w:pPr>
              <w:spacing w:before="60" w:after="60"/>
              <w:jc w:val="left"/>
            </w:pPr>
            <w:r w:rsidRPr="009E720E">
              <w:t>Netherlands (Mr. Kees van Ettekoven)</w:t>
            </w:r>
          </w:p>
        </w:tc>
      </w:tr>
      <w:tr w:rsidR="00C9137D" w:rsidRPr="009E720E" w:rsidTr="00164D9A">
        <w:tblPrEx>
          <w:tblLook w:val="0000" w:firstRow="0" w:lastRow="0" w:firstColumn="0" w:lastColumn="0" w:noHBand="0" w:noVBand="0"/>
        </w:tblPrEx>
        <w:trPr>
          <w:trHeight w:val="300"/>
        </w:trPr>
        <w:tc>
          <w:tcPr>
            <w:tcW w:w="6062" w:type="dxa"/>
            <w:vAlign w:val="center"/>
          </w:tcPr>
          <w:p w:rsidR="00C9137D" w:rsidRPr="009E720E" w:rsidRDefault="00C9137D" w:rsidP="00532877">
            <w:pPr>
              <w:spacing w:before="60" w:after="60"/>
              <w:ind w:right="34"/>
            </w:pPr>
            <w:r w:rsidRPr="009E720E">
              <w:t xml:space="preserve">Existing Areas of Cooperation Between OECD, UPOV and ISTA </w:t>
            </w:r>
          </w:p>
        </w:tc>
        <w:tc>
          <w:tcPr>
            <w:tcW w:w="3435" w:type="dxa"/>
          </w:tcPr>
          <w:p w:rsidR="00C9137D" w:rsidRPr="009E720E" w:rsidRDefault="00C9137D" w:rsidP="00164D9A">
            <w:pPr>
              <w:spacing w:before="60" w:after="60"/>
              <w:jc w:val="left"/>
            </w:pPr>
            <w:r w:rsidRPr="009E720E">
              <w:t>UPOV Office</w:t>
            </w:r>
          </w:p>
        </w:tc>
      </w:tr>
    </w:tbl>
    <w:p w:rsidR="00C9137D" w:rsidRPr="009E720E" w:rsidRDefault="00C9137D" w:rsidP="00C9137D"/>
    <w:p w:rsidR="00C9137D" w:rsidRPr="009E720E" w:rsidRDefault="00C9137D" w:rsidP="00C9137D">
      <w:r w:rsidRPr="009E720E">
        <w:fldChar w:fldCharType="begin"/>
      </w:r>
      <w:r w:rsidRPr="009E720E">
        <w:instrText xml:space="preserve"> AUTONUM  </w:instrText>
      </w:r>
      <w:r w:rsidRPr="009E720E">
        <w:fldChar w:fldCharType="end"/>
      </w:r>
      <w:r w:rsidRPr="009E720E">
        <w:tab/>
        <w:t>The TC noted that a copy of the presentations would be made available on the UPOV website.</w:t>
      </w:r>
    </w:p>
    <w:p w:rsidR="00C9137D" w:rsidRPr="009E720E" w:rsidRDefault="00C9137D" w:rsidP="00C9137D"/>
    <w:p w:rsidR="00C9137D" w:rsidRPr="009E720E" w:rsidRDefault="00C9137D" w:rsidP="00C9137D">
      <w:r w:rsidRPr="009E720E">
        <w:fldChar w:fldCharType="begin"/>
      </w:r>
      <w:r w:rsidRPr="009E720E">
        <w:instrText xml:space="preserve"> AUTONUM  </w:instrText>
      </w:r>
      <w:r w:rsidRPr="009E720E">
        <w:fldChar w:fldCharType="end"/>
      </w:r>
      <w:r w:rsidRPr="009E720E">
        <w:tab/>
        <w:t xml:space="preserve">The TC considered document </w:t>
      </w:r>
      <w:r w:rsidRPr="009E720E">
        <w:rPr>
          <w:rFonts w:cs="Arial"/>
          <w:snapToGrid w:val="0"/>
        </w:rPr>
        <w:t>TC/51/11 Rev. “Molecular techniques”</w:t>
      </w:r>
      <w:r w:rsidR="00164D9A">
        <w:rPr>
          <w:rFonts w:cs="Arial"/>
          <w:snapToGrid w:val="0"/>
        </w:rPr>
        <w:t>.</w:t>
      </w:r>
    </w:p>
    <w:p w:rsidR="00C9137D" w:rsidRPr="009E720E" w:rsidRDefault="00C9137D" w:rsidP="00C9137D"/>
    <w:p w:rsidR="00C9137D" w:rsidRPr="009E720E" w:rsidRDefault="00C9137D" w:rsidP="00C9137D">
      <w:r w:rsidRPr="009E720E">
        <w:fldChar w:fldCharType="begin"/>
      </w:r>
      <w:r w:rsidRPr="009E720E">
        <w:instrText xml:space="preserve"> AUTONUM  </w:instrText>
      </w:r>
      <w:r w:rsidRPr="009E720E">
        <w:fldChar w:fldCharType="end"/>
      </w:r>
      <w:r w:rsidRPr="009E720E">
        <w:tab/>
        <w:t xml:space="preserve">The TC noted the report on developments in the TC, TWPs and BMT, as set out in paragraphs 4 to 22 of document </w:t>
      </w:r>
      <w:r w:rsidRPr="009E720E">
        <w:rPr>
          <w:rFonts w:cs="Arial"/>
          <w:snapToGrid w:val="0"/>
        </w:rPr>
        <w:t>TC/51/11 Rev.</w:t>
      </w:r>
    </w:p>
    <w:p w:rsidR="00C9137D" w:rsidRPr="009E720E" w:rsidRDefault="00C9137D" w:rsidP="00C9137D"/>
    <w:p w:rsidR="00C9137D" w:rsidRPr="009E720E" w:rsidRDefault="00C9137D" w:rsidP="00C9137D">
      <w:r w:rsidRPr="009E720E">
        <w:fldChar w:fldCharType="begin"/>
      </w:r>
      <w:r w:rsidRPr="009E720E">
        <w:instrText xml:space="preserve"> AUTONUM  </w:instrText>
      </w:r>
      <w:r w:rsidRPr="009E720E">
        <w:fldChar w:fldCharType="end"/>
      </w:r>
      <w:r w:rsidRPr="009E720E">
        <w:tab/>
        <w:t>The TC approved the program for the fifteenth session of the BMT, to be held in 2016, including the dedication of a particular date (“Breeders’ Day”), for the items on the use of molecular techniques in the consideration of essential derivation and in variety identification, as set out in paragraph 22 of document TC/51/11 Rev.</w:t>
      </w:r>
    </w:p>
    <w:p w:rsidR="00C9137D" w:rsidRPr="009E720E" w:rsidRDefault="00C9137D" w:rsidP="00C9137D">
      <w:pPr>
        <w:rPr>
          <w:rFonts w:cs="Arial"/>
          <w:lang w:eastAsia="ja-JP"/>
        </w:rPr>
      </w:pPr>
    </w:p>
    <w:p w:rsidR="00C9137D" w:rsidRPr="009E720E" w:rsidRDefault="00C9137D" w:rsidP="00C9137D">
      <w:pPr>
        <w:rPr>
          <w:rFonts w:cs="Arial"/>
          <w:lang w:eastAsia="ja-JP"/>
        </w:rPr>
      </w:pPr>
      <w:r w:rsidRPr="009E720E">
        <w:fldChar w:fldCharType="begin"/>
      </w:r>
      <w:r w:rsidRPr="009E720E">
        <w:instrText xml:space="preserve"> AUTONUM  </w:instrText>
      </w:r>
      <w:r w:rsidRPr="009E720E">
        <w:fldChar w:fldCharType="end"/>
      </w:r>
      <w:r w:rsidRPr="009E720E">
        <w:tab/>
        <w:t>The TC agreed to develop a joint document explaining the principal features of the systems of OECD, UPOV and ISTA (</w:t>
      </w:r>
      <w:r w:rsidRPr="009E720E">
        <w:rPr>
          <w:rFonts w:cs="Arial"/>
          <w:lang w:eastAsia="ja-JP"/>
        </w:rPr>
        <w:t>e.g. DUS, variety identification, variety purity, etc.), subject to the approval of the Council and in coordination with OECD and ISTA.</w:t>
      </w:r>
    </w:p>
    <w:p w:rsidR="00C9137D" w:rsidRPr="009E720E" w:rsidRDefault="00C9137D" w:rsidP="00C9137D"/>
    <w:p w:rsidR="00C9137D" w:rsidRPr="009E720E" w:rsidRDefault="00C9137D" w:rsidP="00C9137D">
      <w:r w:rsidRPr="009E720E">
        <w:fldChar w:fldCharType="begin"/>
      </w:r>
      <w:r w:rsidRPr="009E720E">
        <w:instrText xml:space="preserve"> AUTONUM  </w:instrText>
      </w:r>
      <w:r w:rsidRPr="009E720E">
        <w:fldChar w:fldCharType="end"/>
      </w:r>
      <w:r w:rsidRPr="009E720E">
        <w:tab/>
        <w:t xml:space="preserve">The TC noted that the </w:t>
      </w:r>
      <w:r w:rsidRPr="009E720E">
        <w:rPr>
          <w:rFonts w:cs="Arial"/>
          <w:lang w:eastAsia="ja-JP"/>
        </w:rPr>
        <w:t xml:space="preserve">OECD/UPOV/ISTA </w:t>
      </w:r>
      <w:r w:rsidRPr="009E720E">
        <w:rPr>
          <w:lang w:eastAsia="ja-JP"/>
        </w:rPr>
        <w:t xml:space="preserve">Joint Workshop on Molecular Techniques </w:t>
      </w:r>
      <w:r w:rsidRPr="009E720E">
        <w:t>had agreed that it would be useful to repeat the joint workshop at relevant meetings of the OECD and ISTA and, in that regard, that the Technical Working Group Meeting of the OECD Seed Schemes, had agreed that another OECD/UPOV/ISTA Joint Workshop on Molecular Techniques should be organized either back-to-back with the Annual Meeting of the OECD Seed Schemes, to be held in Paris, in June, 2015, or in conjunction with the Technical Working Group Meet</w:t>
      </w:r>
      <w:r w:rsidR="00317A7C">
        <w:t>ing to be held in January 2016.</w:t>
      </w:r>
    </w:p>
    <w:p w:rsidR="00C9137D" w:rsidRPr="009E720E" w:rsidRDefault="00C9137D" w:rsidP="00C9137D"/>
    <w:p w:rsidR="00C9137D" w:rsidRPr="009E720E" w:rsidRDefault="00C9137D" w:rsidP="00C9137D">
      <w:r w:rsidRPr="009E720E">
        <w:fldChar w:fldCharType="begin"/>
      </w:r>
      <w:r w:rsidRPr="009E720E">
        <w:instrText xml:space="preserve"> AUTONUM  </w:instrText>
      </w:r>
      <w:r w:rsidRPr="009E720E">
        <w:fldChar w:fldCharType="end"/>
      </w:r>
      <w:r w:rsidRPr="009E720E">
        <w:tab/>
        <w:t>The TC agreed to develop an inventory on the use of molecular marker techniques, by crop, with a view to developing a joint OECD/UPOV/ISTA document containing that information, in a similar format to UPOV document UPOV/INF/16 “Exchangeable Software”, as set out in paragraph 26 of document TC/51/11</w:t>
      </w:r>
      <w:r w:rsidRPr="009E720E">
        <w:rPr>
          <w:rFonts w:cs="Arial"/>
          <w:lang w:eastAsia="ja-JP"/>
        </w:rPr>
        <w:t xml:space="preserve">, subject to the approval of the Council and in coordination with OECD and ISTA.  It agreed that it would be necessary to establish criteria and a process for information to be added to the document. </w:t>
      </w:r>
    </w:p>
    <w:p w:rsidR="00C9137D" w:rsidRPr="009E720E" w:rsidRDefault="00C9137D" w:rsidP="00C9137D"/>
    <w:p w:rsidR="00C9137D" w:rsidRPr="000B03FD" w:rsidRDefault="00C9137D" w:rsidP="00C9137D">
      <w:r w:rsidRPr="009E720E">
        <w:fldChar w:fldCharType="begin"/>
      </w:r>
      <w:r w:rsidRPr="009E720E">
        <w:instrText xml:space="preserve"> AUTONUM  </w:instrText>
      </w:r>
      <w:r w:rsidRPr="009E720E">
        <w:fldChar w:fldCharType="end"/>
      </w:r>
      <w:r w:rsidRPr="009E720E">
        <w:tab/>
        <w:t>The TC agreed that the BMT, at its fifteenth session, should develop lists of possible joint initiatives with OECD and ISTA in relation to molecular techniques, for consideration by the TC.</w:t>
      </w:r>
      <w:r w:rsidRPr="000B03FD">
        <w:t xml:space="preserve"> </w:t>
      </w:r>
    </w:p>
    <w:p w:rsidR="00C9137D" w:rsidRPr="000B03FD" w:rsidRDefault="00C9137D" w:rsidP="00C9137D"/>
    <w:p w:rsidR="00C9137D" w:rsidRPr="000F2BDF" w:rsidRDefault="00C9137D" w:rsidP="00C9137D">
      <w:r w:rsidRPr="000F2BDF">
        <w:fldChar w:fldCharType="begin"/>
      </w:r>
      <w:r w:rsidRPr="000F2BDF">
        <w:instrText xml:space="preserve"> AUTONUM  </w:instrText>
      </w:r>
      <w:r w:rsidRPr="000F2BDF">
        <w:fldChar w:fldCharType="end"/>
      </w:r>
      <w:r w:rsidRPr="000F2BDF">
        <w:tab/>
        <w:t xml:space="preserve">The TC considered the development of a draft question and answer concerning the information on the situation in UPOV with regard to the use of molecular techniques for a wider audience, including the public in </w:t>
      </w:r>
      <w:r w:rsidRPr="000F2BDF">
        <w:lastRenderedPageBreak/>
        <w:t xml:space="preserve">general. The TC agreed to request the TWPs, at their sessions in 2015, to consider the </w:t>
      </w:r>
      <w:r>
        <w:t>following initial draft discussed during the TC session (see document TC/51/39 “Report”, paragraphs 172 to 181)</w:t>
      </w:r>
      <w:r w:rsidRPr="000F2BDF">
        <w:t>:</w:t>
      </w:r>
    </w:p>
    <w:p w:rsidR="00C9137D" w:rsidRPr="000F2BDF" w:rsidRDefault="00C9137D" w:rsidP="00C9137D"/>
    <w:p w:rsidR="00C9137D" w:rsidRPr="000F2BDF" w:rsidRDefault="00C9137D" w:rsidP="00C9137D">
      <w:pPr>
        <w:ind w:left="567" w:right="567"/>
        <w:rPr>
          <w:sz w:val="18"/>
        </w:rPr>
      </w:pPr>
      <w:r w:rsidRPr="000F2BDF">
        <w:rPr>
          <w:sz w:val="18"/>
        </w:rPr>
        <w:t>“Is it possible to obtain protection of a variety on the basis of its DNA-profile?</w:t>
      </w:r>
    </w:p>
    <w:p w:rsidR="00C9137D" w:rsidRPr="000F2BDF" w:rsidRDefault="00C9137D" w:rsidP="00C9137D">
      <w:pPr>
        <w:ind w:left="567" w:right="567"/>
        <w:rPr>
          <w:sz w:val="18"/>
        </w:rPr>
      </w:pPr>
    </w:p>
    <w:p w:rsidR="00C9137D" w:rsidRPr="000F2BDF" w:rsidRDefault="00C9137D" w:rsidP="00C9137D">
      <w:pPr>
        <w:ind w:left="567" w:right="567"/>
        <w:rPr>
          <w:sz w:val="18"/>
        </w:rPr>
      </w:pPr>
      <w:r w:rsidRPr="000F2BDF">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C9137D" w:rsidRPr="000F2BDF" w:rsidRDefault="00C9137D" w:rsidP="00C9137D">
      <w:pPr>
        <w:ind w:left="567" w:right="567"/>
        <w:rPr>
          <w:sz w:val="18"/>
        </w:rPr>
      </w:pPr>
    </w:p>
    <w:p w:rsidR="00C9137D" w:rsidRPr="000F2BDF" w:rsidRDefault="00C9137D" w:rsidP="00C9137D">
      <w:pPr>
        <w:ind w:left="567" w:right="567"/>
        <w:rPr>
          <w:sz w:val="18"/>
        </w:rPr>
      </w:pPr>
      <w:r w:rsidRPr="000F2BDF">
        <w:rPr>
          <w:sz w:val="18"/>
        </w:rPr>
        <w:t>“A more detailed explanation is provided in the FAQ ‘Does UPOV allow molecular techniques (DNA profiles) in the examination of Distinctness, Uniformity and Stability (“DUS”)?’</w:t>
      </w:r>
    </w:p>
    <w:p w:rsidR="00C9137D" w:rsidRPr="000F2BDF" w:rsidRDefault="00C9137D" w:rsidP="00C9137D">
      <w:pPr>
        <w:ind w:left="567" w:right="567"/>
        <w:rPr>
          <w:sz w:val="18"/>
        </w:rPr>
      </w:pPr>
    </w:p>
    <w:p w:rsidR="00C9137D" w:rsidRPr="000F2BDF" w:rsidRDefault="00C9137D" w:rsidP="00C9137D">
      <w:pPr>
        <w:ind w:left="567" w:right="567"/>
        <w:rPr>
          <w:sz w:val="18"/>
        </w:rPr>
      </w:pPr>
      <w:r w:rsidRPr="000F2BDF">
        <w:rPr>
          <w:sz w:val="18"/>
        </w:rPr>
        <w:t>“See also:</w:t>
      </w:r>
    </w:p>
    <w:p w:rsidR="00C9137D" w:rsidRPr="000F2BDF" w:rsidRDefault="00C9137D" w:rsidP="00C9137D">
      <w:pPr>
        <w:ind w:left="567" w:right="567"/>
        <w:rPr>
          <w:sz w:val="18"/>
        </w:rPr>
      </w:pPr>
      <w:r w:rsidRPr="000F2BDF">
        <w:rPr>
          <w:sz w:val="18"/>
        </w:rPr>
        <w:t>“What are the requirements for protecting a new plant variety?”</w:t>
      </w:r>
    </w:p>
    <w:p w:rsidR="002E3867" w:rsidRDefault="002E3867" w:rsidP="006C6337"/>
    <w:p w:rsidR="00C9137D" w:rsidRDefault="00C9137D" w:rsidP="006C6337"/>
    <w:p w:rsidR="002E3867" w:rsidRDefault="002E3867" w:rsidP="006C6337"/>
    <w:p w:rsidR="00960597" w:rsidRDefault="00960597" w:rsidP="00A328A7">
      <w:pPr>
        <w:jc w:val="right"/>
      </w:pPr>
      <w:r>
        <w:t>[</w:t>
      </w:r>
      <w:r w:rsidR="00A80E7A">
        <w:t xml:space="preserve">Appendix </w:t>
      </w:r>
      <w:r>
        <w:t>follows]</w:t>
      </w:r>
    </w:p>
    <w:p w:rsidR="00960597" w:rsidRDefault="00960597" w:rsidP="006C6337">
      <w:pPr>
        <w:sectPr w:rsidR="00960597" w:rsidSect="006C6337">
          <w:headerReference w:type="default" r:id="rId10"/>
          <w:pgSz w:w="11907" w:h="16840" w:code="9"/>
          <w:pgMar w:top="510" w:right="1134" w:bottom="1134" w:left="1134" w:header="510" w:footer="680" w:gutter="0"/>
          <w:pgNumType w:start="1"/>
          <w:cols w:space="720"/>
          <w:titlePg/>
        </w:sectPr>
      </w:pPr>
    </w:p>
    <w:p w:rsidR="00FE248C" w:rsidRDefault="00FE248C" w:rsidP="00A80E7A">
      <w:pPr>
        <w:jc w:val="center"/>
      </w:pPr>
      <w:r>
        <w:lastRenderedPageBreak/>
        <w:t>APPENDIX</w:t>
      </w:r>
      <w:r w:rsidR="00451C60">
        <w:t xml:space="preserve"> I</w:t>
      </w:r>
    </w:p>
    <w:p w:rsidR="00FE248C" w:rsidRDefault="00FE248C" w:rsidP="00A80E7A">
      <w:pPr>
        <w:jc w:val="center"/>
      </w:pPr>
    </w:p>
    <w:p w:rsidR="00960597" w:rsidRDefault="00960597" w:rsidP="00A80E7A">
      <w:pPr>
        <w:jc w:val="center"/>
      </w:pPr>
    </w:p>
    <w:p w:rsidR="00A80E7A" w:rsidRDefault="00A80E7A" w:rsidP="006C6337"/>
    <w:p w:rsidR="00FE248C" w:rsidRDefault="00FE248C" w:rsidP="006C6337"/>
    <w:p w:rsidR="00960597" w:rsidRDefault="00A80E7A" w:rsidP="006C6337">
      <w:r>
        <w:t>See Excel spreadsheet</w:t>
      </w:r>
    </w:p>
    <w:p w:rsidR="00960597" w:rsidRDefault="00960597" w:rsidP="006C6337"/>
    <w:p w:rsidR="00FE248C" w:rsidRDefault="00FE248C">
      <w:pPr>
        <w:jc w:val="left"/>
      </w:pPr>
      <w:r>
        <w:br w:type="page"/>
      </w:r>
    </w:p>
    <w:p w:rsidR="00451C60" w:rsidRDefault="00451C60" w:rsidP="00451C60">
      <w:pPr>
        <w:jc w:val="center"/>
      </w:pPr>
      <w:r>
        <w:lastRenderedPageBreak/>
        <w:t>APPENDIX II</w:t>
      </w:r>
    </w:p>
    <w:p w:rsidR="00451C60" w:rsidRDefault="00451C60" w:rsidP="00451C60">
      <w:pPr>
        <w:jc w:val="center"/>
      </w:pPr>
    </w:p>
    <w:p w:rsidR="00451C60" w:rsidRDefault="00451C60" w:rsidP="00451C60">
      <w:pPr>
        <w:jc w:val="center"/>
      </w:pPr>
    </w:p>
    <w:p w:rsidR="00FE248C" w:rsidRDefault="00FE248C" w:rsidP="00FE248C">
      <w:pPr>
        <w:rPr>
          <w:snapToGrid w:val="0"/>
        </w:rPr>
      </w:pPr>
      <w:r>
        <w:rPr>
          <w:snapToGrid w:val="0"/>
        </w:rPr>
        <w:t>See Excel Spreadsheet</w:t>
      </w:r>
    </w:p>
    <w:p w:rsidR="00FE248C" w:rsidRDefault="00FE248C" w:rsidP="00FE248C">
      <w:pPr>
        <w:rPr>
          <w:snapToGrid w:val="0"/>
        </w:rPr>
      </w:pPr>
    </w:p>
    <w:p w:rsidR="00FE248C" w:rsidRDefault="00FE248C" w:rsidP="00FE248C">
      <w:pPr>
        <w:rPr>
          <w:snapToGrid w:val="0"/>
        </w:rPr>
      </w:pPr>
    </w:p>
    <w:p w:rsidR="00FE248C" w:rsidRDefault="00FE248C" w:rsidP="006C6337">
      <w:pPr>
        <w:jc w:val="right"/>
        <w:rPr>
          <w:snapToGrid w:val="0"/>
        </w:rPr>
      </w:pPr>
    </w:p>
    <w:p w:rsidR="00FE248C" w:rsidRDefault="00FE248C" w:rsidP="006C6337">
      <w:pPr>
        <w:jc w:val="right"/>
        <w:rPr>
          <w:snapToGrid w:val="0"/>
        </w:rPr>
      </w:pPr>
    </w:p>
    <w:p w:rsidR="006C6337" w:rsidRPr="003E6A61" w:rsidRDefault="00FE248C" w:rsidP="006C6337">
      <w:pPr>
        <w:jc w:val="right"/>
        <w:rPr>
          <w:snapToGrid w:val="0"/>
        </w:rPr>
      </w:pPr>
      <w:r w:rsidRPr="003E6A61">
        <w:rPr>
          <w:snapToGrid w:val="0"/>
        </w:rPr>
        <w:t xml:space="preserve"> </w:t>
      </w:r>
      <w:r w:rsidR="006C6337" w:rsidRPr="003E6A61">
        <w:rPr>
          <w:snapToGrid w:val="0"/>
        </w:rPr>
        <w:t>[End of Annex and of document]</w:t>
      </w:r>
    </w:p>
    <w:p w:rsidR="006C6337" w:rsidRPr="006C6337" w:rsidRDefault="006C6337" w:rsidP="006C6337"/>
    <w:sectPr w:rsidR="006C6337" w:rsidRPr="006C6337" w:rsidSect="00FE248C">
      <w:headerReference w:type="default" r:id="rId11"/>
      <w:headerReference w:type="firs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173" w:rsidRDefault="00641173">
      <w:r>
        <w:separator/>
      </w:r>
    </w:p>
    <w:p w:rsidR="00641173" w:rsidRDefault="00641173"/>
    <w:p w:rsidR="00641173" w:rsidRDefault="00641173"/>
  </w:endnote>
  <w:endnote w:type="continuationSeparator" w:id="0">
    <w:p w:rsidR="00641173" w:rsidRDefault="00641173">
      <w:r>
        <w:separator/>
      </w:r>
    </w:p>
    <w:p w:rsidR="00641173" w:rsidRPr="00664515" w:rsidRDefault="00641173">
      <w:pPr>
        <w:pStyle w:val="Footer"/>
        <w:spacing w:after="60"/>
        <w:rPr>
          <w:sz w:val="18"/>
          <w:lang w:val="fr-CH"/>
        </w:rPr>
      </w:pPr>
      <w:r w:rsidRPr="00664515">
        <w:rPr>
          <w:sz w:val="18"/>
          <w:lang w:val="fr-CH"/>
        </w:rPr>
        <w:t>[Suite de la note de la page précédente]</w:t>
      </w:r>
    </w:p>
    <w:p w:rsidR="00641173" w:rsidRPr="00664515" w:rsidRDefault="00641173">
      <w:pPr>
        <w:rPr>
          <w:lang w:val="fr-CH"/>
        </w:rPr>
      </w:pPr>
    </w:p>
    <w:p w:rsidR="00641173" w:rsidRPr="00664515" w:rsidRDefault="00641173">
      <w:pPr>
        <w:rPr>
          <w:lang w:val="fr-CH"/>
        </w:rPr>
      </w:pPr>
    </w:p>
  </w:endnote>
  <w:endnote w:type="continuationNotice" w:id="1">
    <w:p w:rsidR="00641173" w:rsidRPr="00664515" w:rsidRDefault="00641173">
      <w:pPr>
        <w:spacing w:before="60"/>
        <w:jc w:val="right"/>
        <w:rPr>
          <w:sz w:val="18"/>
          <w:lang w:val="fr-CH"/>
        </w:rPr>
      </w:pPr>
      <w:r w:rsidRPr="00664515">
        <w:rPr>
          <w:sz w:val="18"/>
          <w:lang w:val="fr-CH"/>
        </w:rPr>
        <w:t>[Suite de la note page suivante]</w:t>
      </w:r>
    </w:p>
    <w:p w:rsidR="00641173" w:rsidRPr="00664515" w:rsidRDefault="00641173">
      <w:pPr>
        <w:rPr>
          <w:lang w:val="fr-CH"/>
        </w:rPr>
      </w:pPr>
    </w:p>
    <w:p w:rsidR="00641173" w:rsidRPr="00664515" w:rsidRDefault="0064117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173" w:rsidRDefault="00641173" w:rsidP="009D690D">
      <w:pPr>
        <w:spacing w:before="120"/>
      </w:pPr>
      <w:r>
        <w:separator/>
      </w:r>
    </w:p>
  </w:footnote>
  <w:footnote w:type="continuationSeparator" w:id="0">
    <w:p w:rsidR="00641173" w:rsidRDefault="00641173" w:rsidP="00520297">
      <w:pPr>
        <w:spacing w:before="120"/>
        <w:jc w:val="left"/>
      </w:pPr>
      <w:r>
        <w:separator/>
      </w:r>
    </w:p>
  </w:footnote>
  <w:footnote w:type="continuationNotice" w:id="1">
    <w:p w:rsidR="00641173" w:rsidRDefault="006411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w:t>
    </w:r>
    <w:r w:rsidR="00155F6F">
      <w:rPr>
        <w:rStyle w:val="PageNumber"/>
      </w:rPr>
      <w:t>7</w:t>
    </w:r>
    <w:r w:rsidR="00551E76">
      <w:rPr>
        <w:rStyle w:val="PageNumber"/>
      </w:rPr>
      <w:t>1</w:t>
    </w:r>
    <w:r>
      <w:rPr>
        <w:rStyle w:val="PageNumber"/>
      </w:rPr>
      <w:t>/</w:t>
    </w:r>
    <w:r w:rsidR="00641173">
      <w:rPr>
        <w:rStyle w:val="PageNumber"/>
      </w:rPr>
      <w:t>9</w:t>
    </w:r>
  </w:p>
  <w:p w:rsidR="002F78FA" w:rsidRPr="00997029" w:rsidRDefault="002F78F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D419F">
      <w:rPr>
        <w:rStyle w:val="PageNumber"/>
        <w:noProof/>
      </w:rPr>
      <w:t>6</w:t>
    </w:r>
    <w:r w:rsidRPr="00997029">
      <w:rPr>
        <w:rStyle w:val="PageNumber"/>
      </w:rPr>
      <w:fldChar w:fldCharType="end"/>
    </w:r>
  </w:p>
  <w:p w:rsidR="002F78FA" w:rsidRPr="00997029" w:rsidRDefault="002F78F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6337" w:rsidRPr="00997029" w:rsidRDefault="006C6337" w:rsidP="00E23920">
    <w:pPr>
      <w:jc w:val="center"/>
      <w:rPr>
        <w:rStyle w:val="PageNumber"/>
      </w:rPr>
    </w:pPr>
    <w:r>
      <w:rPr>
        <w:rStyle w:val="PageNumber"/>
      </w:rPr>
      <w:t>CAJ/71/9</w:t>
    </w:r>
  </w:p>
  <w:p w:rsidR="006C6337" w:rsidRPr="00997029" w:rsidRDefault="006C6337"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314AE">
      <w:rPr>
        <w:rStyle w:val="PageNumber"/>
        <w:noProof/>
      </w:rPr>
      <w:t>7</w:t>
    </w:r>
    <w:r w:rsidRPr="00997029">
      <w:rPr>
        <w:rStyle w:val="PageNumber"/>
      </w:rPr>
      <w:fldChar w:fldCharType="end"/>
    </w:r>
  </w:p>
  <w:p w:rsidR="006C6337" w:rsidRPr="00997029" w:rsidRDefault="006C6337"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E7A" w:rsidRPr="00997029" w:rsidRDefault="00A80E7A" w:rsidP="00E23920">
    <w:pPr>
      <w:jc w:val="center"/>
      <w:rPr>
        <w:rStyle w:val="PageNumber"/>
      </w:rPr>
    </w:pPr>
    <w:r>
      <w:rPr>
        <w:rStyle w:val="PageNumber"/>
      </w:rPr>
      <w:t>CAJ/71/9</w:t>
    </w:r>
  </w:p>
  <w:p w:rsidR="00A80E7A" w:rsidRPr="00997029" w:rsidRDefault="00A80E7A" w:rsidP="00E23920">
    <w:pPr>
      <w:jc w:val="cent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314AE">
      <w:rPr>
        <w:rStyle w:val="PageNumber"/>
        <w:noProof/>
      </w:rPr>
      <w:t>9</w:t>
    </w:r>
    <w:r w:rsidRPr="00997029">
      <w:rPr>
        <w:rStyle w:val="PageNumber"/>
      </w:rPr>
      <w:fldChar w:fldCharType="end"/>
    </w:r>
  </w:p>
  <w:p w:rsidR="00A80E7A" w:rsidRDefault="00A80E7A" w:rsidP="00EB048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48C" w:rsidRPr="00997029" w:rsidRDefault="00FE248C" w:rsidP="00FE248C">
    <w:pPr>
      <w:jc w:val="center"/>
      <w:rPr>
        <w:rStyle w:val="PageNumber"/>
      </w:rPr>
    </w:pPr>
    <w:r>
      <w:rPr>
        <w:rStyle w:val="PageNumber"/>
      </w:rPr>
      <w:t>CAJ/71/9</w:t>
    </w:r>
  </w:p>
  <w:p w:rsidR="00FE248C" w:rsidRDefault="00FE248C" w:rsidP="00FE248C">
    <w:pPr>
      <w:jc w:val="center"/>
      <w:rPr>
        <w:rStyle w:val="PageNumber"/>
      </w:rP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B314AE">
      <w:rPr>
        <w:rStyle w:val="PageNumber"/>
        <w:noProof/>
      </w:rPr>
      <w:t>8</w:t>
    </w:r>
    <w:r w:rsidRPr="00997029">
      <w:rPr>
        <w:rStyle w:val="PageNumber"/>
      </w:rPr>
      <w:fldChar w:fldCharType="end"/>
    </w:r>
  </w:p>
  <w:p w:rsidR="00FE248C" w:rsidRPr="00997029" w:rsidRDefault="00FE248C" w:rsidP="00FE248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3"/>
    <w:rsid w:val="00001380"/>
    <w:rsid w:val="00001D48"/>
    <w:rsid w:val="00010CF3"/>
    <w:rsid w:val="00011E27"/>
    <w:rsid w:val="000148BC"/>
    <w:rsid w:val="00024AB8"/>
    <w:rsid w:val="00036028"/>
    <w:rsid w:val="000446B9"/>
    <w:rsid w:val="00044E2E"/>
    <w:rsid w:val="00047E21"/>
    <w:rsid w:val="0006472C"/>
    <w:rsid w:val="00085505"/>
    <w:rsid w:val="000C7021"/>
    <w:rsid w:val="000D492E"/>
    <w:rsid w:val="000D6BBC"/>
    <w:rsid w:val="000D7780"/>
    <w:rsid w:val="00105929"/>
    <w:rsid w:val="00110481"/>
    <w:rsid w:val="001131D5"/>
    <w:rsid w:val="00141DB8"/>
    <w:rsid w:val="00155F6F"/>
    <w:rsid w:val="00164D9A"/>
    <w:rsid w:val="0017474A"/>
    <w:rsid w:val="001758C6"/>
    <w:rsid w:val="001C3DF3"/>
    <w:rsid w:val="001F1F2A"/>
    <w:rsid w:val="0021332C"/>
    <w:rsid w:val="00213982"/>
    <w:rsid w:val="00224A44"/>
    <w:rsid w:val="00236ACA"/>
    <w:rsid w:val="00237C7D"/>
    <w:rsid w:val="0024416D"/>
    <w:rsid w:val="0027309C"/>
    <w:rsid w:val="002800A0"/>
    <w:rsid w:val="00281060"/>
    <w:rsid w:val="0029439F"/>
    <w:rsid w:val="002A6E50"/>
    <w:rsid w:val="002C256A"/>
    <w:rsid w:val="002D419F"/>
    <w:rsid w:val="002E3867"/>
    <w:rsid w:val="002E7BA1"/>
    <w:rsid w:val="002F78FA"/>
    <w:rsid w:val="00305A7F"/>
    <w:rsid w:val="003152FE"/>
    <w:rsid w:val="00317A7C"/>
    <w:rsid w:val="00327436"/>
    <w:rsid w:val="00344BD6"/>
    <w:rsid w:val="003539A6"/>
    <w:rsid w:val="0035528D"/>
    <w:rsid w:val="00361821"/>
    <w:rsid w:val="003A17C8"/>
    <w:rsid w:val="003C563E"/>
    <w:rsid w:val="003D227C"/>
    <w:rsid w:val="003D2B4D"/>
    <w:rsid w:val="003F6136"/>
    <w:rsid w:val="00427139"/>
    <w:rsid w:val="00444A88"/>
    <w:rsid w:val="00451C60"/>
    <w:rsid w:val="00474DA4"/>
    <w:rsid w:val="004C118C"/>
    <w:rsid w:val="004C6889"/>
    <w:rsid w:val="004D047D"/>
    <w:rsid w:val="004F26E5"/>
    <w:rsid w:val="004F305A"/>
    <w:rsid w:val="00512164"/>
    <w:rsid w:val="00520297"/>
    <w:rsid w:val="005338F9"/>
    <w:rsid w:val="0053445A"/>
    <w:rsid w:val="0054281C"/>
    <w:rsid w:val="00551E76"/>
    <w:rsid w:val="0055268D"/>
    <w:rsid w:val="00556C4B"/>
    <w:rsid w:val="00572E44"/>
    <w:rsid w:val="00572FDC"/>
    <w:rsid w:val="00576BE4"/>
    <w:rsid w:val="005A400A"/>
    <w:rsid w:val="005E0335"/>
    <w:rsid w:val="00612379"/>
    <w:rsid w:val="0061555F"/>
    <w:rsid w:val="006335E2"/>
    <w:rsid w:val="00641173"/>
    <w:rsid w:val="00641200"/>
    <w:rsid w:val="006562FD"/>
    <w:rsid w:val="00663ED8"/>
    <w:rsid w:val="00664515"/>
    <w:rsid w:val="00672F59"/>
    <w:rsid w:val="00682298"/>
    <w:rsid w:val="00687EB4"/>
    <w:rsid w:val="00694D19"/>
    <w:rsid w:val="006B17D2"/>
    <w:rsid w:val="006B45FA"/>
    <w:rsid w:val="006C224E"/>
    <w:rsid w:val="006C6337"/>
    <w:rsid w:val="00732DEC"/>
    <w:rsid w:val="00735BD5"/>
    <w:rsid w:val="00745485"/>
    <w:rsid w:val="0075117E"/>
    <w:rsid w:val="007556F6"/>
    <w:rsid w:val="00760EEF"/>
    <w:rsid w:val="00777EE5"/>
    <w:rsid w:val="00784836"/>
    <w:rsid w:val="0079023E"/>
    <w:rsid w:val="007B6894"/>
    <w:rsid w:val="007C6639"/>
    <w:rsid w:val="007D0B9D"/>
    <w:rsid w:val="007D19B0"/>
    <w:rsid w:val="007F498F"/>
    <w:rsid w:val="0080679D"/>
    <w:rsid w:val="008108B0"/>
    <w:rsid w:val="00811B20"/>
    <w:rsid w:val="0082296E"/>
    <w:rsid w:val="00824099"/>
    <w:rsid w:val="00836E88"/>
    <w:rsid w:val="00855DBD"/>
    <w:rsid w:val="00867AC1"/>
    <w:rsid w:val="00881216"/>
    <w:rsid w:val="008A395B"/>
    <w:rsid w:val="008A743F"/>
    <w:rsid w:val="008B51D0"/>
    <w:rsid w:val="008C0970"/>
    <w:rsid w:val="008D2CF7"/>
    <w:rsid w:val="008E793E"/>
    <w:rsid w:val="00900C26"/>
    <w:rsid w:val="0090197F"/>
    <w:rsid w:val="00906DDC"/>
    <w:rsid w:val="00934E09"/>
    <w:rsid w:val="00936253"/>
    <w:rsid w:val="00960597"/>
    <w:rsid w:val="00970FED"/>
    <w:rsid w:val="00997029"/>
    <w:rsid w:val="009B0A3F"/>
    <w:rsid w:val="009C04F1"/>
    <w:rsid w:val="009D0DE5"/>
    <w:rsid w:val="009D690D"/>
    <w:rsid w:val="009E65B6"/>
    <w:rsid w:val="00A328A7"/>
    <w:rsid w:val="00A42AC3"/>
    <w:rsid w:val="00A430CF"/>
    <w:rsid w:val="00A54309"/>
    <w:rsid w:val="00A80E7A"/>
    <w:rsid w:val="00AB2B93"/>
    <w:rsid w:val="00AE0EF1"/>
    <w:rsid w:val="00AF15D6"/>
    <w:rsid w:val="00B07301"/>
    <w:rsid w:val="00B224DE"/>
    <w:rsid w:val="00B314AE"/>
    <w:rsid w:val="00B84BBD"/>
    <w:rsid w:val="00BA43FB"/>
    <w:rsid w:val="00BC127D"/>
    <w:rsid w:val="00BC1FE6"/>
    <w:rsid w:val="00BD4C24"/>
    <w:rsid w:val="00BF4028"/>
    <w:rsid w:val="00C061B6"/>
    <w:rsid w:val="00C21DBF"/>
    <w:rsid w:val="00C2446C"/>
    <w:rsid w:val="00C36AE5"/>
    <w:rsid w:val="00C41F17"/>
    <w:rsid w:val="00C54BF4"/>
    <w:rsid w:val="00C5791C"/>
    <w:rsid w:val="00C66290"/>
    <w:rsid w:val="00C72B7A"/>
    <w:rsid w:val="00C9137D"/>
    <w:rsid w:val="00C973F2"/>
    <w:rsid w:val="00CA1AA5"/>
    <w:rsid w:val="00CA774A"/>
    <w:rsid w:val="00CC11B0"/>
    <w:rsid w:val="00CF7E36"/>
    <w:rsid w:val="00D233D8"/>
    <w:rsid w:val="00D24210"/>
    <w:rsid w:val="00D3708D"/>
    <w:rsid w:val="00D40426"/>
    <w:rsid w:val="00D57C96"/>
    <w:rsid w:val="00D91203"/>
    <w:rsid w:val="00D95174"/>
    <w:rsid w:val="00D95A5C"/>
    <w:rsid w:val="00DA6F36"/>
    <w:rsid w:val="00DC00EA"/>
    <w:rsid w:val="00E03CFB"/>
    <w:rsid w:val="00E23920"/>
    <w:rsid w:val="00E72D49"/>
    <w:rsid w:val="00E7593C"/>
    <w:rsid w:val="00E7678A"/>
    <w:rsid w:val="00E935F1"/>
    <w:rsid w:val="00E94A81"/>
    <w:rsid w:val="00EA1FFB"/>
    <w:rsid w:val="00EB048E"/>
    <w:rsid w:val="00EB3EFA"/>
    <w:rsid w:val="00ED1957"/>
    <w:rsid w:val="00EE303E"/>
    <w:rsid w:val="00EF2F89"/>
    <w:rsid w:val="00F04DEB"/>
    <w:rsid w:val="00F1237A"/>
    <w:rsid w:val="00F22CBD"/>
    <w:rsid w:val="00F37961"/>
    <w:rsid w:val="00F6334D"/>
    <w:rsid w:val="00F7286D"/>
    <w:rsid w:val="00FA49AB"/>
    <w:rsid w:val="00FB0D37"/>
    <w:rsid w:val="00FB109E"/>
    <w:rsid w:val="00FC2193"/>
    <w:rsid w:val="00FE248C"/>
    <w:rsid w:val="00FE39C7"/>
    <w:rsid w:val="00FE4AF3"/>
    <w:rsid w:val="00FF3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09E"/>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basedOn w:val="Normal"/>
    <w:next w:val="Normal"/>
    <w:link w:val="Heading3Char"/>
    <w:autoRedefine/>
    <w:qFormat/>
    <w:rsid w:val="00A328A7"/>
    <w:pPr>
      <w:outlineLvl w:val="2"/>
    </w:pPr>
    <w:rPr>
      <w:i/>
    </w:rPr>
  </w:style>
  <w:style w:type="paragraph" w:styleId="Heading4">
    <w:name w:val="heading 4"/>
    <w:next w:val="Normal"/>
    <w:autoRedefine/>
    <w:qFormat/>
    <w:rsid w:val="004C118C"/>
    <w:pPr>
      <w:keepNext/>
      <w:ind w:left="567"/>
      <w:jc w:val="both"/>
      <w:outlineLvl w:val="3"/>
    </w:pPr>
    <w:rPr>
      <w:rFonts w:ascii="Arial" w:hAnsi="Arial"/>
      <w:u w:val="single"/>
      <w:lang w:val="fr-FR"/>
    </w:rPr>
  </w:style>
  <w:style w:type="paragraph" w:styleId="Heading5">
    <w:name w:val="heading 5"/>
    <w:next w:val="Normal"/>
    <w:autoRedefine/>
    <w:qFormat/>
    <w:rsid w:val="004C118C"/>
    <w:pPr>
      <w:keepNext/>
      <w:ind w:left="1134" w:hanging="567"/>
      <w:jc w:val="both"/>
      <w:outlineLvl w:val="4"/>
    </w:pPr>
    <w:rPr>
      <w:rFonts w:ascii="Arial" w:hAnsi="Arial"/>
      <w:i/>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locked/>
    <w:rsid w:val="006C6337"/>
    <w:rPr>
      <w:rFonts w:ascii="Arial" w:hAnsi="Arial"/>
      <w:u w:val="single"/>
    </w:rPr>
  </w:style>
  <w:style w:type="character" w:customStyle="1" w:styleId="Heading3Char">
    <w:name w:val="Heading 3 Char"/>
    <w:link w:val="Heading3"/>
    <w:locked/>
    <w:rsid w:val="00A328A7"/>
    <w:rPr>
      <w:rFonts w:ascii="Arial" w:hAnsi="Arial"/>
      <w:i/>
    </w:rPr>
  </w:style>
  <w:style w:type="table" w:styleId="TableGrid">
    <w:name w:val="Table Grid"/>
    <w:basedOn w:val="TableNormal"/>
    <w:rsid w:val="00C913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09E"/>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basedOn w:val="Normal"/>
    <w:next w:val="Normal"/>
    <w:link w:val="Heading3Char"/>
    <w:autoRedefine/>
    <w:qFormat/>
    <w:rsid w:val="00A328A7"/>
    <w:pPr>
      <w:outlineLvl w:val="2"/>
    </w:pPr>
    <w:rPr>
      <w:i/>
    </w:rPr>
  </w:style>
  <w:style w:type="paragraph" w:styleId="Heading4">
    <w:name w:val="heading 4"/>
    <w:next w:val="Normal"/>
    <w:autoRedefine/>
    <w:qFormat/>
    <w:rsid w:val="004C118C"/>
    <w:pPr>
      <w:keepNext/>
      <w:ind w:left="567"/>
      <w:jc w:val="both"/>
      <w:outlineLvl w:val="3"/>
    </w:pPr>
    <w:rPr>
      <w:rFonts w:ascii="Arial" w:hAnsi="Arial"/>
      <w:u w:val="single"/>
      <w:lang w:val="fr-FR"/>
    </w:rPr>
  </w:style>
  <w:style w:type="paragraph" w:styleId="Heading5">
    <w:name w:val="heading 5"/>
    <w:next w:val="Normal"/>
    <w:autoRedefine/>
    <w:qFormat/>
    <w:rsid w:val="004C118C"/>
    <w:pPr>
      <w:keepNext/>
      <w:ind w:left="1134" w:hanging="567"/>
      <w:jc w:val="both"/>
      <w:outlineLvl w:val="4"/>
    </w:pPr>
    <w:rPr>
      <w:rFonts w:ascii="Arial" w:hAnsi="Arial"/>
      <w:i/>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locked/>
    <w:rsid w:val="006C6337"/>
    <w:rPr>
      <w:rFonts w:ascii="Arial" w:hAnsi="Arial"/>
      <w:u w:val="single"/>
    </w:rPr>
  </w:style>
  <w:style w:type="character" w:customStyle="1" w:styleId="Heading3Char">
    <w:name w:val="Heading 3 Char"/>
    <w:link w:val="Heading3"/>
    <w:locked/>
    <w:rsid w:val="00A328A7"/>
    <w:rPr>
      <w:rFonts w:ascii="Arial" w:hAnsi="Arial"/>
      <w:i/>
    </w:rPr>
  </w:style>
  <w:style w:type="table" w:styleId="TableGrid">
    <w:name w:val="Table Grid"/>
    <w:basedOn w:val="TableNormal"/>
    <w:rsid w:val="00C9137D"/>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CAJ_71_EN.dotx</Template>
  <TotalTime>168</TotalTime>
  <Pages>10</Pages>
  <Words>3098</Words>
  <Characters>17021</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20079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32</cp:revision>
  <cp:lastPrinted>2015-03-25T21:26:00Z</cp:lastPrinted>
  <dcterms:created xsi:type="dcterms:W3CDTF">2014-11-07T08:00:00Z</dcterms:created>
  <dcterms:modified xsi:type="dcterms:W3CDTF">2015-03-25T21:26:00Z</dcterms:modified>
</cp:coreProperties>
</file>