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010E42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576BE4" w:rsidRDefault="00110481" w:rsidP="00576BE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F643CAB" wp14:editId="03783BD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010E42" w:rsidRDefault="0024416D" w:rsidP="00576BE4">
            <w:pPr>
              <w:pStyle w:val="Lettrine"/>
            </w:pPr>
            <w:r w:rsidRPr="00010E42">
              <w:t>E</w:t>
            </w:r>
          </w:p>
          <w:p w:rsidR="000D7780" w:rsidRPr="00010E42" w:rsidRDefault="00AD68FC" w:rsidP="00474DA4">
            <w:pPr>
              <w:pStyle w:val="Docoriginal"/>
              <w:jc w:val="left"/>
            </w:pPr>
            <w:r>
              <w:t>CAJ/70</w:t>
            </w:r>
            <w:r w:rsidR="00EB3EFA" w:rsidRPr="00010E42">
              <w:t>/</w:t>
            </w:r>
            <w:bookmarkStart w:id="0" w:name="Code"/>
            <w:bookmarkEnd w:id="0"/>
            <w:r>
              <w:t>8</w:t>
            </w:r>
          </w:p>
          <w:p w:rsidR="000D7780" w:rsidRPr="00010E42" w:rsidRDefault="0061555F" w:rsidP="00474DA4">
            <w:pPr>
              <w:pStyle w:val="Docoriginal"/>
              <w:jc w:val="left"/>
            </w:pPr>
            <w:r w:rsidRPr="00010E4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010E42">
              <w:rPr>
                <w:rStyle w:val="StyleDoclangBold"/>
                <w:b/>
                <w:bCs/>
                <w:spacing w:val="0"/>
              </w:rPr>
              <w:t>:</w:t>
            </w:r>
            <w:r w:rsidRPr="00010E42">
              <w:rPr>
                <w:rStyle w:val="StyleDocoriginalNotBold1"/>
                <w:spacing w:val="0"/>
              </w:rPr>
              <w:t xml:space="preserve"> </w:t>
            </w:r>
            <w:r w:rsidR="000D7780" w:rsidRPr="00010E42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010E42">
              <w:rPr>
                <w:b w:val="0"/>
                <w:spacing w:val="0"/>
              </w:rPr>
              <w:t>English</w:t>
            </w:r>
          </w:p>
          <w:p w:rsidR="000D7780" w:rsidRPr="00010E42" w:rsidRDefault="000D7780" w:rsidP="00780AB9">
            <w:pPr>
              <w:pStyle w:val="Docoriginal"/>
              <w:jc w:val="left"/>
              <w:rPr>
                <w:b w:val="0"/>
                <w:spacing w:val="0"/>
                <w:lang w:eastAsia="ja-JP"/>
              </w:rPr>
            </w:pPr>
            <w:r w:rsidRPr="00010E42">
              <w:rPr>
                <w:spacing w:val="0"/>
              </w:rPr>
              <w:t>DATE:</w:t>
            </w:r>
            <w:r w:rsidR="0061555F" w:rsidRPr="00010E42">
              <w:rPr>
                <w:b w:val="0"/>
                <w:spacing w:val="0"/>
              </w:rPr>
              <w:t xml:space="preserve"> </w:t>
            </w:r>
            <w:r w:rsidRPr="00010E4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80AB9">
              <w:rPr>
                <w:rStyle w:val="StyleDocoriginalNotBold1"/>
                <w:spacing w:val="0"/>
                <w:lang w:eastAsia="ja-JP"/>
              </w:rPr>
              <w:t>August</w:t>
            </w:r>
            <w:r w:rsidR="00475EBF">
              <w:rPr>
                <w:rStyle w:val="StyleDocoriginalNotBold1"/>
                <w:rFonts w:hint="eastAsia"/>
                <w:spacing w:val="0"/>
                <w:lang w:eastAsia="ja-JP"/>
              </w:rPr>
              <w:t xml:space="preserve"> </w:t>
            </w:r>
            <w:r w:rsidR="00780AB9">
              <w:rPr>
                <w:rStyle w:val="StyleDocoriginalNotBold1"/>
                <w:spacing w:val="0"/>
                <w:lang w:eastAsia="ja-JP"/>
              </w:rPr>
              <w:t>6</w:t>
            </w:r>
            <w:bookmarkStart w:id="3" w:name="_GoBack"/>
            <w:bookmarkEnd w:id="3"/>
            <w:r w:rsidR="0024416D" w:rsidRPr="00010E42">
              <w:rPr>
                <w:b w:val="0"/>
                <w:spacing w:val="0"/>
              </w:rPr>
              <w:t xml:space="preserve">, </w:t>
            </w:r>
            <w:r w:rsidR="001131D5" w:rsidRPr="00010E42">
              <w:rPr>
                <w:b w:val="0"/>
                <w:spacing w:val="0"/>
              </w:rPr>
              <w:t>201</w:t>
            </w:r>
            <w:r w:rsidR="00475EBF">
              <w:rPr>
                <w:rFonts w:hint="eastAsia"/>
                <w:b w:val="0"/>
                <w:spacing w:val="0"/>
                <w:lang w:eastAsia="ja-JP"/>
              </w:rPr>
              <w:t>4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 w:rsidRPr="00997029">
              <w:t>Gen</w:t>
            </w:r>
            <w:r w:rsidR="0061555F" w:rsidRPr="00997029">
              <w:t>e</w:t>
            </w:r>
            <w:r w:rsidRPr="00997029">
              <w:t>v</w:t>
            </w:r>
            <w:r w:rsidR="0061555F" w:rsidRPr="00997029">
              <w:t>a</w:t>
            </w:r>
          </w:p>
        </w:tc>
      </w:tr>
    </w:tbl>
    <w:p w:rsidR="000D7780" w:rsidRPr="00997029" w:rsidRDefault="00FB0D37" w:rsidP="0080679D">
      <w:pPr>
        <w:pStyle w:val="Sessiontc"/>
      </w:pPr>
      <w:r>
        <w:t>ADministrative and legal committee</w:t>
      </w:r>
    </w:p>
    <w:p w:rsidR="00361821" w:rsidRPr="00997029" w:rsidRDefault="00937FBC" w:rsidP="0080679D">
      <w:pPr>
        <w:pStyle w:val="Sessiontcplacedate"/>
      </w:pPr>
      <w:r>
        <w:t>Seventieth</w:t>
      </w:r>
      <w:r w:rsidR="00F37961">
        <w:t xml:space="preserve"> </w:t>
      </w:r>
      <w:r w:rsidR="00FB0D37">
        <w:t>Session</w:t>
      </w:r>
      <w:r w:rsidR="00361821" w:rsidRPr="00997029">
        <w:br/>
      </w:r>
      <w:r w:rsidR="00FB0D37">
        <w:t xml:space="preserve">Geneva, </w:t>
      </w:r>
      <w:r w:rsidR="00AE2550">
        <w:t>October 13</w:t>
      </w:r>
      <w:r w:rsidR="007C6639">
        <w:t>, 2014</w:t>
      </w:r>
    </w:p>
    <w:p w:rsidR="000D7780" w:rsidRPr="00997029" w:rsidRDefault="002C6721" w:rsidP="0080679D">
      <w:pPr>
        <w:pStyle w:val="Titleofdoc0"/>
      </w:pPr>
      <w:bookmarkStart w:id="4" w:name="TitleOfDoc"/>
      <w:bookmarkEnd w:id="4"/>
      <w:r w:rsidRPr="003638B2">
        <w:rPr>
          <w:kern w:val="28"/>
        </w:rPr>
        <w:t>UPOV information databases</w:t>
      </w:r>
    </w:p>
    <w:p w:rsidR="000D7780" w:rsidRPr="00997029" w:rsidRDefault="00AE0EF1" w:rsidP="0080679D">
      <w:pPr>
        <w:pStyle w:val="preparedby1"/>
      </w:pPr>
      <w:bookmarkStart w:id="5" w:name="Prepared"/>
      <w:bookmarkEnd w:id="5"/>
      <w:r w:rsidRPr="00EA430A">
        <w:t xml:space="preserve">Document </w:t>
      </w:r>
      <w:r w:rsidR="0061555F" w:rsidRPr="00EA430A">
        <w:t>prepared by the Office of the Union</w:t>
      </w:r>
      <w:r w:rsidR="00836E88">
        <w:br/>
      </w:r>
      <w:r w:rsidR="00836E88">
        <w:br/>
      </w:r>
      <w:r w:rsidR="00836E88" w:rsidRPr="00B62F85">
        <w:rPr>
          <w:color w:val="A6A6A6" w:themeColor="background1" w:themeShade="A6"/>
        </w:rPr>
        <w:t>Disclaimer:  this document does not repr</w:t>
      </w:r>
      <w:r w:rsidR="00C21DBF">
        <w:rPr>
          <w:color w:val="A6A6A6" w:themeColor="background1" w:themeShade="A6"/>
        </w:rPr>
        <w:t>esent UPOV policies or guidance</w:t>
      </w:r>
    </w:p>
    <w:p w:rsidR="00E92519" w:rsidRPr="002C2C18" w:rsidRDefault="00DB7A81" w:rsidP="00E92519">
      <w:r w:rsidRPr="001E700D">
        <w:rPr>
          <w:rFonts w:cs="Arial"/>
        </w:rPr>
        <w:fldChar w:fldCharType="begin"/>
      </w:r>
      <w:r w:rsidRPr="001E700D">
        <w:rPr>
          <w:rFonts w:cs="Arial"/>
        </w:rPr>
        <w:instrText xml:space="preserve"> AUTONUM  </w:instrText>
      </w:r>
      <w:r w:rsidRPr="001E700D">
        <w:rPr>
          <w:rFonts w:cs="Arial"/>
        </w:rPr>
        <w:fldChar w:fldCharType="end"/>
      </w:r>
      <w:r w:rsidRPr="001E700D">
        <w:rPr>
          <w:rFonts w:cs="Arial"/>
        </w:rPr>
        <w:tab/>
      </w:r>
      <w:r w:rsidR="00E92519" w:rsidRPr="002C2C18">
        <w:t>Th</w:t>
      </w:r>
      <w:r w:rsidR="00E92519">
        <w:t xml:space="preserve">e purpose of this document </w:t>
      </w:r>
      <w:r w:rsidR="00E92519">
        <w:rPr>
          <w:rFonts w:hint="eastAsia"/>
          <w:lang w:eastAsia="ja-JP"/>
        </w:rPr>
        <w:t>is</w:t>
      </w:r>
      <w:r w:rsidR="00E92519" w:rsidRPr="002C2C18">
        <w:t xml:space="preserve"> to </w:t>
      </w:r>
      <w:r w:rsidR="00E92519">
        <w:t>report an initiative</w:t>
      </w:r>
      <w:r w:rsidR="00E92519" w:rsidRPr="002C2C18">
        <w:t xml:space="preserve"> </w:t>
      </w:r>
      <w:r w:rsidR="00E92519" w:rsidRPr="002C2C18">
        <w:rPr>
          <w:rFonts w:cs="Arial"/>
        </w:rPr>
        <w:t>to provide information on the type of crop for each UPOV code in the GENIE database.</w:t>
      </w:r>
      <w:r w:rsidR="00E92519" w:rsidRPr="002C2C18">
        <w:t xml:space="preserve"> </w:t>
      </w:r>
    </w:p>
    <w:p w:rsidR="00DB7A81" w:rsidRDefault="00DB7A81" w:rsidP="00DB7A81">
      <w:pPr>
        <w:rPr>
          <w:rFonts w:cs="Arial"/>
          <w:lang w:eastAsia="ja-JP"/>
        </w:rPr>
      </w:pPr>
    </w:p>
    <w:p w:rsidR="00082029" w:rsidRPr="002C2C18" w:rsidRDefault="00082029" w:rsidP="00082029">
      <w:pPr>
        <w:keepNext/>
        <w:rPr>
          <w:color w:val="000000"/>
        </w:rPr>
      </w:pPr>
      <w:r w:rsidRPr="002C2C18">
        <w:rPr>
          <w:color w:val="000000"/>
        </w:rPr>
        <w:fldChar w:fldCharType="begin"/>
      </w:r>
      <w:r w:rsidRPr="002C2C18">
        <w:rPr>
          <w:color w:val="000000"/>
        </w:rPr>
        <w:instrText xml:space="preserve"> AUTONUM  </w:instrText>
      </w:r>
      <w:r w:rsidRPr="002C2C18">
        <w:rPr>
          <w:color w:val="000000"/>
        </w:rPr>
        <w:fldChar w:fldCharType="end"/>
      </w:r>
      <w:r w:rsidRPr="002C2C18">
        <w:rPr>
          <w:color w:val="000000"/>
        </w:rPr>
        <w:tab/>
        <w:t>The following abbreviations are used in this document:</w:t>
      </w:r>
    </w:p>
    <w:p w:rsidR="00082029" w:rsidRPr="002C2C18" w:rsidRDefault="00082029" w:rsidP="00082029">
      <w:pPr>
        <w:keepNext/>
        <w:ind w:left="1692" w:hanging="1125"/>
        <w:jc w:val="left"/>
        <w:rPr>
          <w:color w:val="000000"/>
        </w:rPr>
      </w:pPr>
    </w:p>
    <w:p w:rsidR="00082029" w:rsidRPr="002C2C18" w:rsidRDefault="00082029" w:rsidP="00082029">
      <w:pPr>
        <w:keepNext/>
        <w:tabs>
          <w:tab w:val="left" w:pos="567"/>
          <w:tab w:val="left" w:pos="1701"/>
        </w:tabs>
      </w:pPr>
      <w:r w:rsidRPr="002C2C18">
        <w:tab/>
        <w:t>CAJ:</w:t>
      </w:r>
      <w:r w:rsidRPr="002C2C18">
        <w:tab/>
        <w:t>Administrative and Legal Committee</w:t>
      </w:r>
    </w:p>
    <w:p w:rsidR="00082029" w:rsidRPr="002C2C18" w:rsidRDefault="00082029" w:rsidP="00082029">
      <w:pPr>
        <w:keepNext/>
        <w:tabs>
          <w:tab w:val="left" w:pos="567"/>
          <w:tab w:val="left" w:pos="1701"/>
        </w:tabs>
      </w:pPr>
      <w:r w:rsidRPr="002C2C18">
        <w:tab/>
        <w:t>TC:</w:t>
      </w:r>
      <w:r w:rsidRPr="002C2C18">
        <w:tab/>
        <w:t>Technical Committee</w:t>
      </w:r>
    </w:p>
    <w:p w:rsidR="00082029" w:rsidRPr="002C2C18" w:rsidRDefault="00082029" w:rsidP="00082029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2C18">
        <w:rPr>
          <w:rFonts w:eastAsia="PMingLiU"/>
          <w:szCs w:val="24"/>
        </w:rPr>
        <w:tab/>
        <w:t>TWO:</w:t>
      </w:r>
      <w:r w:rsidRPr="002C2C18">
        <w:rPr>
          <w:rFonts w:eastAsia="PMingLiU"/>
          <w:szCs w:val="24"/>
        </w:rPr>
        <w:tab/>
        <w:t>Technical Working Party for Ornamental Plants and Forest Trees</w:t>
      </w:r>
    </w:p>
    <w:p w:rsidR="00082029" w:rsidRPr="002C2C18" w:rsidRDefault="00082029" w:rsidP="00082029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C2C18">
        <w:rPr>
          <w:rFonts w:eastAsia="PMingLiU"/>
          <w:szCs w:val="24"/>
        </w:rPr>
        <w:tab/>
        <w:t>TWP(s):</w:t>
      </w:r>
      <w:r w:rsidRPr="002C2C18">
        <w:rPr>
          <w:rFonts w:eastAsia="PMingLiU"/>
          <w:szCs w:val="24"/>
        </w:rPr>
        <w:tab/>
        <w:t xml:space="preserve">Technical Working </w:t>
      </w:r>
      <w:proofErr w:type="gramStart"/>
      <w:r w:rsidRPr="002C2C18">
        <w:rPr>
          <w:rFonts w:eastAsia="PMingLiU"/>
          <w:szCs w:val="24"/>
        </w:rPr>
        <w:t>Party(</w:t>
      </w:r>
      <w:proofErr w:type="spellStart"/>
      <w:proofErr w:type="gramEnd"/>
      <w:r w:rsidRPr="002C2C18">
        <w:rPr>
          <w:rFonts w:eastAsia="PMingLiU"/>
          <w:szCs w:val="24"/>
        </w:rPr>
        <w:t>ies</w:t>
      </w:r>
      <w:proofErr w:type="spellEnd"/>
      <w:r w:rsidRPr="002C2C18">
        <w:rPr>
          <w:rFonts w:eastAsia="PMingLiU"/>
          <w:szCs w:val="24"/>
        </w:rPr>
        <w:t>)</w:t>
      </w:r>
    </w:p>
    <w:p w:rsidR="00082029" w:rsidRPr="001E700D" w:rsidRDefault="00082029" w:rsidP="00DB7A81">
      <w:pPr>
        <w:rPr>
          <w:rFonts w:cs="Arial"/>
          <w:lang w:eastAsia="ja-JP"/>
        </w:rPr>
      </w:pPr>
    </w:p>
    <w:p w:rsidR="00E92519" w:rsidRPr="00FB2998" w:rsidRDefault="00E92519" w:rsidP="00E92519">
      <w:pPr>
        <w:rPr>
          <w:rFonts w:cs="Arial"/>
        </w:rPr>
      </w:pPr>
      <w:r w:rsidRPr="00FB2998">
        <w:rPr>
          <w:rFonts w:cs="Arial"/>
        </w:rPr>
        <w:fldChar w:fldCharType="begin"/>
      </w:r>
      <w:r w:rsidRPr="00FB2998">
        <w:rPr>
          <w:rFonts w:cs="Arial"/>
        </w:rPr>
        <w:instrText xml:space="preserve"> AUTONUM  </w:instrText>
      </w:r>
      <w:r w:rsidRPr="00FB2998">
        <w:rPr>
          <w:rFonts w:cs="Arial"/>
        </w:rPr>
        <w:fldChar w:fldCharType="end"/>
      </w:r>
      <w:r w:rsidRPr="00FB2998">
        <w:rPr>
          <w:rFonts w:cs="Arial"/>
        </w:rPr>
        <w:tab/>
        <w:t xml:space="preserve">The Office of the Union has received requests from experts from members of the Union for information on the type of crop </w:t>
      </w:r>
      <w:r>
        <w:rPr>
          <w:rFonts w:cs="Arial"/>
        </w:rPr>
        <w:t>corresponding to</w:t>
      </w:r>
      <w:r w:rsidRPr="00FB2998">
        <w:rPr>
          <w:rFonts w:cs="Arial"/>
        </w:rPr>
        <w:t xml:space="preserve"> each UPOV code in the GENIE database. </w:t>
      </w:r>
    </w:p>
    <w:p w:rsidR="00E92519" w:rsidRPr="00FB2998" w:rsidRDefault="00E92519" w:rsidP="00E92519">
      <w:pPr>
        <w:rPr>
          <w:rFonts w:cs="Arial"/>
        </w:rPr>
      </w:pPr>
    </w:p>
    <w:p w:rsidR="00E92519" w:rsidRDefault="00E92519" w:rsidP="00E92519">
      <w:pPr>
        <w:rPr>
          <w:rFonts w:cs="Arial"/>
        </w:rPr>
      </w:pPr>
      <w:r w:rsidRPr="00AF2B73">
        <w:rPr>
          <w:rFonts w:cs="Arial"/>
        </w:rPr>
        <w:fldChar w:fldCharType="begin"/>
      </w:r>
      <w:r w:rsidRPr="00AF2B73">
        <w:rPr>
          <w:rFonts w:cs="Arial"/>
        </w:rPr>
        <w:instrText xml:space="preserve"> AUTONUM  </w:instrText>
      </w:r>
      <w:r w:rsidRPr="00AF2B73">
        <w:rPr>
          <w:rFonts w:cs="Arial"/>
        </w:rPr>
        <w:fldChar w:fldCharType="end"/>
      </w:r>
      <w:r w:rsidRPr="00AF2B73">
        <w:rPr>
          <w:rFonts w:cs="Arial"/>
        </w:rPr>
        <w:tab/>
        <w:t xml:space="preserve">At present, the administrative interface of the GENIE database allows each UPOV code to be allocated to a particular Technical Working Party or Technical Working Parties.  The purpose of that feature is to allocate the checking of UPOV codes to the appropriate Technical Working </w:t>
      </w:r>
      <w:proofErr w:type="gramStart"/>
      <w:r w:rsidRPr="00AF2B73">
        <w:rPr>
          <w:rFonts w:cs="Arial"/>
        </w:rPr>
        <w:t>Party(</w:t>
      </w:r>
      <w:proofErr w:type="spellStart"/>
      <w:proofErr w:type="gramEnd"/>
      <w:r w:rsidRPr="00AF2B73">
        <w:rPr>
          <w:rFonts w:cs="Arial"/>
        </w:rPr>
        <w:t>ies</w:t>
      </w:r>
      <w:proofErr w:type="spellEnd"/>
      <w:r w:rsidRPr="00AF2B73">
        <w:rPr>
          <w:rFonts w:cs="Arial"/>
        </w:rPr>
        <w:t xml:space="preserve">).  However, that information is not made available on the UPOV website version of the GENIE database.  Furthermore, whilst all new UPOV codes are allocated to a Technical Working </w:t>
      </w:r>
      <w:proofErr w:type="gramStart"/>
      <w:r w:rsidRPr="00AF2B73">
        <w:rPr>
          <w:rFonts w:cs="Arial"/>
        </w:rPr>
        <w:t>Party(</w:t>
      </w:r>
      <w:proofErr w:type="spellStart"/>
      <w:proofErr w:type="gramEnd"/>
      <w:r w:rsidRPr="00AF2B73">
        <w:rPr>
          <w:rFonts w:cs="Arial"/>
        </w:rPr>
        <w:t>ies</w:t>
      </w:r>
      <w:proofErr w:type="spellEnd"/>
      <w:r w:rsidRPr="00AF2B73">
        <w:rPr>
          <w:rFonts w:cs="Arial"/>
        </w:rPr>
        <w:t>), there are a large number of old UPOV codes that have not been allocated to a Technical Working Party(</w:t>
      </w:r>
      <w:proofErr w:type="spellStart"/>
      <w:r w:rsidRPr="00AF2B73">
        <w:rPr>
          <w:rFonts w:cs="Arial"/>
        </w:rPr>
        <w:t>ies</w:t>
      </w:r>
      <w:proofErr w:type="spellEnd"/>
      <w:r w:rsidRPr="00AF2B73">
        <w:rPr>
          <w:rFonts w:cs="Arial"/>
        </w:rPr>
        <w:t>).</w:t>
      </w:r>
    </w:p>
    <w:p w:rsidR="00E92519" w:rsidRDefault="00E92519" w:rsidP="00E92519">
      <w:pPr>
        <w:rPr>
          <w:rFonts w:cs="Arial"/>
        </w:rPr>
      </w:pPr>
    </w:p>
    <w:p w:rsidR="00E92519" w:rsidRDefault="00E92519" w:rsidP="00E9251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In addition to the above, the Council, a</w:t>
      </w:r>
      <w:r w:rsidRPr="00286A49">
        <w:rPr>
          <w:rFonts w:cs="Arial"/>
        </w:rPr>
        <w:t>t its forty-seventh ordinary ses</w:t>
      </w:r>
      <w:r>
        <w:rPr>
          <w:rFonts w:cs="Arial"/>
        </w:rPr>
        <w:t>sion, held in Geneva on October </w:t>
      </w:r>
      <w:r w:rsidRPr="00286A49">
        <w:rPr>
          <w:rFonts w:cs="Arial"/>
        </w:rPr>
        <w:t>24, 2013, noted that the Office of</w:t>
      </w:r>
      <w:r>
        <w:rPr>
          <w:rFonts w:cs="Arial"/>
        </w:rPr>
        <w:t xml:space="preserve"> </w:t>
      </w:r>
      <w:r w:rsidRPr="00286A49">
        <w:rPr>
          <w:rFonts w:cs="Arial"/>
        </w:rPr>
        <w:t>the Union would explore the possibility of providing information on statistics by crop type (e.g. agriculture,</w:t>
      </w:r>
      <w:r>
        <w:rPr>
          <w:rFonts w:cs="Arial"/>
        </w:rPr>
        <w:t xml:space="preserve"> </w:t>
      </w:r>
      <w:r w:rsidRPr="00286A49">
        <w:rPr>
          <w:rFonts w:cs="Arial"/>
        </w:rPr>
        <w:t>fruit,</w:t>
      </w:r>
      <w:r>
        <w:rPr>
          <w:rFonts w:cs="Arial"/>
        </w:rPr>
        <w:t xml:space="preserve"> </w:t>
      </w:r>
      <w:r w:rsidRPr="00286A49">
        <w:rPr>
          <w:rFonts w:cs="Arial"/>
        </w:rPr>
        <w:t xml:space="preserve">ornamental, vegetable and forest trees) in </w:t>
      </w:r>
      <w:r>
        <w:rPr>
          <w:rFonts w:cs="Arial"/>
        </w:rPr>
        <w:t>future versions of document C</w:t>
      </w:r>
      <w:proofErr w:type="gramStart"/>
      <w:r>
        <w:rPr>
          <w:rFonts w:cs="Arial"/>
        </w:rPr>
        <w:t>/[</w:t>
      </w:r>
      <w:proofErr w:type="gramEnd"/>
      <w:r>
        <w:rPr>
          <w:rFonts w:cs="Arial"/>
        </w:rPr>
        <w:t>session]</w:t>
      </w:r>
      <w:r w:rsidRPr="00286A49">
        <w:rPr>
          <w:rFonts w:cs="Arial"/>
        </w:rPr>
        <w:t>/7</w:t>
      </w:r>
      <w:r>
        <w:rPr>
          <w:rFonts w:cs="Arial"/>
        </w:rPr>
        <w:t xml:space="preserve"> “</w:t>
      </w:r>
      <w:r w:rsidRPr="00286A49">
        <w:rPr>
          <w:rFonts w:cs="Arial"/>
        </w:rPr>
        <w:t>Plant variety protection statistics</w:t>
      </w:r>
      <w:r>
        <w:rPr>
          <w:rFonts w:cs="Arial"/>
        </w:rPr>
        <w:t>”</w:t>
      </w:r>
      <w:r w:rsidR="0029565E">
        <w:rPr>
          <w:rFonts w:cs="Arial" w:hint="eastAsia"/>
          <w:lang w:eastAsia="ja-JP"/>
        </w:rPr>
        <w:t xml:space="preserve"> </w:t>
      </w:r>
      <w:r w:rsidR="009A146B">
        <w:rPr>
          <w:rFonts w:cs="Arial" w:hint="eastAsia"/>
          <w:lang w:eastAsia="ja-JP"/>
        </w:rPr>
        <w:t xml:space="preserve">(see </w:t>
      </w:r>
      <w:r w:rsidR="009A146B">
        <w:rPr>
          <w:rFonts w:cs="Arial"/>
          <w:lang w:eastAsia="ja-JP"/>
        </w:rPr>
        <w:t>document</w:t>
      </w:r>
      <w:r w:rsidR="009A146B">
        <w:rPr>
          <w:rFonts w:cs="Arial" w:hint="eastAsia"/>
          <w:lang w:eastAsia="ja-JP"/>
        </w:rPr>
        <w:t xml:space="preserve"> C/47/19 </w:t>
      </w:r>
      <w:r w:rsidR="009A146B">
        <w:rPr>
          <w:rFonts w:cs="Arial"/>
          <w:lang w:eastAsia="ja-JP"/>
        </w:rPr>
        <w:t>“</w:t>
      </w:r>
      <w:r w:rsidR="009A146B">
        <w:rPr>
          <w:rFonts w:cs="Arial" w:hint="eastAsia"/>
          <w:lang w:eastAsia="ja-JP"/>
        </w:rPr>
        <w:t>Report on the Decisions</w:t>
      </w:r>
      <w:r w:rsidR="009A146B">
        <w:rPr>
          <w:rFonts w:cs="Arial"/>
          <w:lang w:eastAsia="ja-JP"/>
        </w:rPr>
        <w:t>”</w:t>
      </w:r>
      <w:r w:rsidR="0029565E">
        <w:rPr>
          <w:rFonts w:cs="Arial" w:hint="eastAsia"/>
          <w:lang w:eastAsia="ja-JP"/>
        </w:rPr>
        <w:t>,</w:t>
      </w:r>
      <w:r w:rsidR="009A146B">
        <w:rPr>
          <w:rFonts w:cs="Arial" w:hint="eastAsia"/>
          <w:lang w:eastAsia="ja-JP"/>
        </w:rPr>
        <w:t xml:space="preserve"> paragraph 58)</w:t>
      </w:r>
      <w:r w:rsidRPr="00286A49">
        <w:rPr>
          <w:rFonts w:cs="Arial"/>
        </w:rPr>
        <w:t>.</w:t>
      </w:r>
      <w:r>
        <w:rPr>
          <w:rFonts w:cs="Arial"/>
        </w:rPr>
        <w:t xml:space="preserve">   </w:t>
      </w:r>
      <w:r w:rsidRPr="00FB2998">
        <w:rPr>
          <w:rFonts w:cs="Arial"/>
        </w:rPr>
        <w:t xml:space="preserve"> </w:t>
      </w:r>
    </w:p>
    <w:p w:rsidR="00E92519" w:rsidRPr="007B7E34" w:rsidRDefault="00E92519" w:rsidP="00B42F04"/>
    <w:p w:rsidR="00E92519" w:rsidRDefault="00E92519" w:rsidP="00E92519">
      <w:pPr>
        <w:rPr>
          <w:lang w:eastAsia="ja-JP"/>
        </w:rPr>
      </w:pPr>
      <w:r w:rsidRPr="00FB2998">
        <w:fldChar w:fldCharType="begin"/>
      </w:r>
      <w:r w:rsidRPr="00FB2998">
        <w:instrText xml:space="preserve"> AUTONUM  </w:instrText>
      </w:r>
      <w:r w:rsidRPr="00FB2998">
        <w:fldChar w:fldCharType="end"/>
      </w:r>
      <w:r w:rsidR="00082029">
        <w:tab/>
        <w:t xml:space="preserve">The </w:t>
      </w:r>
      <w:r w:rsidR="00082029">
        <w:rPr>
          <w:rFonts w:hint="eastAsia"/>
          <w:lang w:eastAsia="ja-JP"/>
        </w:rPr>
        <w:t>TC</w:t>
      </w:r>
      <w:r>
        <w:t>, at its fiftieth session, held in Geneva, April 7 to 9, 2014,</w:t>
      </w:r>
      <w:r w:rsidRPr="00FB2998">
        <w:t xml:space="preserve"> </w:t>
      </w:r>
      <w:r>
        <w:t xml:space="preserve">agreed </w:t>
      </w:r>
      <w:r w:rsidRPr="00AF2B73">
        <w:t xml:space="preserve">to provide information </w:t>
      </w:r>
      <w:r>
        <w:t>on the</w:t>
      </w:r>
      <w:r w:rsidRPr="00AF2B73">
        <w:t xml:space="preserve"> type of crop for each </w:t>
      </w:r>
      <w:r>
        <w:t>UPOV code in the GENIE database</w:t>
      </w:r>
      <w:r>
        <w:rPr>
          <w:rFonts w:hint="eastAsia"/>
          <w:lang w:eastAsia="ja-JP"/>
        </w:rPr>
        <w:t xml:space="preserve"> as follows:</w:t>
      </w:r>
    </w:p>
    <w:p w:rsidR="00E92519" w:rsidRDefault="00E92519" w:rsidP="00E92519">
      <w:pPr>
        <w:rPr>
          <w:rFonts w:cs="Arial"/>
          <w:lang w:eastAsia="ja-JP"/>
        </w:rPr>
      </w:pPr>
    </w:p>
    <w:p w:rsidR="00E92519" w:rsidRDefault="00E92519" w:rsidP="00E92519">
      <w:pPr>
        <w:ind w:firstLine="567"/>
        <w:rPr>
          <w:rFonts w:cs="Arial"/>
        </w:rPr>
      </w:pPr>
      <w:r>
        <w:rPr>
          <w:rFonts w:cs="Arial" w:hint="eastAsia"/>
          <w:lang w:eastAsia="ja-JP"/>
        </w:rPr>
        <w:t>T</w:t>
      </w:r>
      <w:r>
        <w:rPr>
          <w:rFonts w:cs="Arial"/>
        </w:rPr>
        <w:t xml:space="preserve">he </w:t>
      </w:r>
      <w:r w:rsidRPr="006E50D5">
        <w:rPr>
          <w:rFonts w:cs="Arial"/>
        </w:rPr>
        <w:t>Office of the Union</w:t>
      </w:r>
      <w:r>
        <w:rPr>
          <w:rFonts w:cs="Arial" w:hint="eastAsia"/>
          <w:lang w:eastAsia="ja-JP"/>
        </w:rPr>
        <w:t xml:space="preserve"> will</w:t>
      </w:r>
      <w:r>
        <w:rPr>
          <w:rFonts w:cs="Arial"/>
        </w:rPr>
        <w:t>:</w:t>
      </w:r>
    </w:p>
    <w:p w:rsidR="00E92519" w:rsidRDefault="00E92519" w:rsidP="00E92519">
      <w:pPr>
        <w:rPr>
          <w:rFonts w:cs="Arial"/>
        </w:rPr>
      </w:pPr>
    </w:p>
    <w:p w:rsidR="00E92519" w:rsidRDefault="00E92519" w:rsidP="00E92519">
      <w:pPr>
        <w:ind w:left="567" w:firstLine="567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proofErr w:type="gramStart"/>
      <w:r>
        <w:rPr>
          <w:rFonts w:cs="Arial"/>
        </w:rPr>
        <w:t>allocate</w:t>
      </w:r>
      <w:proofErr w:type="gramEnd"/>
      <w:r>
        <w:rPr>
          <w:rFonts w:cs="Arial"/>
        </w:rPr>
        <w:t xml:space="preserve"> TWP(s) to all UPOV codes, with a sub-division for the TWO into (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>) ornamental plants and (ii) forest trees;</w:t>
      </w:r>
    </w:p>
    <w:p w:rsidR="00E92519" w:rsidRDefault="00E92519" w:rsidP="00E92519">
      <w:pPr>
        <w:ind w:firstLine="567"/>
        <w:rPr>
          <w:rFonts w:cs="Arial"/>
        </w:rPr>
      </w:pPr>
    </w:p>
    <w:p w:rsidR="00E92519" w:rsidRDefault="00E92519" w:rsidP="00E92519">
      <w:pPr>
        <w:ind w:left="567" w:firstLine="567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</w:r>
      <w:proofErr w:type="gramStart"/>
      <w:r>
        <w:rPr>
          <w:rFonts w:cs="Arial"/>
        </w:rPr>
        <w:t>request</w:t>
      </w:r>
      <w:proofErr w:type="gramEnd"/>
      <w:r>
        <w:rPr>
          <w:rFonts w:cs="Arial"/>
        </w:rPr>
        <w:t xml:space="preserve"> the TWPs to check the TWP allocations by correspondence by the end of 2014;</w:t>
      </w:r>
    </w:p>
    <w:p w:rsidR="00E92519" w:rsidRDefault="00E92519" w:rsidP="00E92519">
      <w:pPr>
        <w:ind w:firstLine="567"/>
        <w:rPr>
          <w:rFonts w:cs="Arial"/>
        </w:rPr>
      </w:pPr>
    </w:p>
    <w:p w:rsidR="00E92519" w:rsidRDefault="00E92519" w:rsidP="00E92519">
      <w:pPr>
        <w:ind w:left="567" w:firstLine="567"/>
        <w:rPr>
          <w:rFonts w:cs="Arial"/>
        </w:rPr>
      </w:pPr>
      <w:r>
        <w:rPr>
          <w:rFonts w:cs="Arial"/>
        </w:rPr>
        <w:lastRenderedPageBreak/>
        <w:t>(</w:t>
      </w:r>
      <w:r>
        <w:rPr>
          <w:rFonts w:cs="Arial" w:hint="eastAsia"/>
          <w:lang w:eastAsia="ja-JP"/>
        </w:rPr>
        <w:t>c</w:t>
      </w:r>
      <w:r>
        <w:rPr>
          <w:rFonts w:cs="Arial"/>
        </w:rPr>
        <w:t>)</w:t>
      </w:r>
      <w:r>
        <w:rPr>
          <w:rFonts w:cs="Arial"/>
        </w:rPr>
        <w:tab/>
      </w:r>
      <w:proofErr w:type="gramStart"/>
      <w:r>
        <w:rPr>
          <w:rFonts w:cs="Arial"/>
        </w:rPr>
        <w:t>investigate</w:t>
      </w:r>
      <w:proofErr w:type="gramEnd"/>
      <w:r>
        <w:rPr>
          <w:rFonts w:cs="Arial"/>
        </w:rPr>
        <w:t xml:space="preserve"> the feasibility of modifying the GENIE </w:t>
      </w:r>
      <w:r w:rsidRPr="006E50D5">
        <w:rPr>
          <w:rFonts w:cs="Arial"/>
        </w:rPr>
        <w:t>database</w:t>
      </w:r>
      <w:r>
        <w:rPr>
          <w:rFonts w:cs="Arial"/>
        </w:rPr>
        <w:t xml:space="preserve"> to allow information on the allocated crop type/</w:t>
      </w:r>
      <w:r w:rsidRPr="006E50D5">
        <w:rPr>
          <w:rFonts w:cs="Arial"/>
        </w:rPr>
        <w:t>Technical Working Party</w:t>
      </w:r>
      <w:r>
        <w:rPr>
          <w:rFonts w:cs="Arial"/>
        </w:rPr>
        <w:t>(</w:t>
      </w:r>
      <w:proofErr w:type="spellStart"/>
      <w:r>
        <w:rPr>
          <w:rFonts w:cs="Arial"/>
        </w:rPr>
        <w:t>ies</w:t>
      </w:r>
      <w:proofErr w:type="spellEnd"/>
      <w:r>
        <w:rPr>
          <w:rFonts w:cs="Arial"/>
        </w:rPr>
        <w:t xml:space="preserve">) to be displayed for each UPOV code; </w:t>
      </w:r>
    </w:p>
    <w:p w:rsidR="00E92519" w:rsidRDefault="00E92519" w:rsidP="00E92519">
      <w:pPr>
        <w:ind w:firstLine="567"/>
        <w:rPr>
          <w:rFonts w:cs="Arial"/>
        </w:rPr>
      </w:pPr>
    </w:p>
    <w:p w:rsidR="00E92519" w:rsidRPr="00FB2998" w:rsidRDefault="00E92519" w:rsidP="00E92519">
      <w:pPr>
        <w:ind w:left="567" w:firstLine="567"/>
        <w:rPr>
          <w:rFonts w:cs="Arial"/>
        </w:rPr>
      </w:pPr>
      <w:r>
        <w:rPr>
          <w:rFonts w:cs="Arial"/>
        </w:rPr>
        <w:t>(</w:t>
      </w:r>
      <w:r>
        <w:rPr>
          <w:rFonts w:cs="Arial" w:hint="eastAsia"/>
          <w:lang w:eastAsia="ja-JP"/>
        </w:rPr>
        <w:t>d</w:t>
      </w:r>
      <w:r>
        <w:rPr>
          <w:rFonts w:cs="Arial"/>
        </w:rPr>
        <w:t>)</w:t>
      </w:r>
      <w:r>
        <w:rPr>
          <w:rFonts w:cs="Arial"/>
        </w:rPr>
        <w:tab/>
      </w:r>
      <w:proofErr w:type="gramStart"/>
      <w:r>
        <w:rPr>
          <w:rFonts w:cs="Arial"/>
        </w:rPr>
        <w:t>create</w:t>
      </w:r>
      <w:proofErr w:type="gramEnd"/>
      <w:r>
        <w:rPr>
          <w:rFonts w:cs="Arial"/>
        </w:rPr>
        <w:t xml:space="preserve">, by the end of 2014, a standard report feature on the GENIE webpage (see </w:t>
      </w:r>
      <w:hyperlink r:id="rId10" w:history="1">
        <w:r w:rsidRPr="007F4149">
          <w:rPr>
            <w:rStyle w:val="Hyperlink"/>
            <w:rFonts w:cs="Arial"/>
          </w:rPr>
          <w:t>http://www.upov.int/genie/en/reports/</w:t>
        </w:r>
      </w:hyperlink>
      <w:r>
        <w:rPr>
          <w:rFonts w:cs="Arial"/>
        </w:rPr>
        <w:t>) with all TWP allocations.</w:t>
      </w:r>
    </w:p>
    <w:p w:rsidR="00E92519" w:rsidRPr="00FB2998" w:rsidRDefault="00E92519" w:rsidP="00E92519">
      <w:pPr>
        <w:rPr>
          <w:rFonts w:cs="Arial"/>
        </w:rPr>
      </w:pPr>
    </w:p>
    <w:p w:rsidR="00E92519" w:rsidRPr="00AF2B73" w:rsidRDefault="00E92519" w:rsidP="00E92519">
      <w:pPr>
        <w:spacing w:after="240"/>
        <w:rPr>
          <w:rFonts w:cs="Arial"/>
          <w:snapToGrid w:val="0"/>
        </w:rPr>
      </w:pPr>
      <w:r w:rsidRPr="00AF2B73">
        <w:rPr>
          <w:rFonts w:cs="Arial"/>
          <w:snapToGrid w:val="0"/>
        </w:rPr>
        <w:fldChar w:fldCharType="begin"/>
      </w:r>
      <w:r w:rsidRPr="00AF2B73">
        <w:rPr>
          <w:rFonts w:cs="Arial"/>
          <w:snapToGrid w:val="0"/>
        </w:rPr>
        <w:instrText xml:space="preserve"> AUTONUM  </w:instrText>
      </w:r>
      <w:r w:rsidRPr="00AF2B73">
        <w:rPr>
          <w:rFonts w:cs="Arial"/>
          <w:snapToGrid w:val="0"/>
        </w:rPr>
        <w:fldChar w:fldCharType="end"/>
      </w:r>
      <w:r>
        <w:rPr>
          <w:rFonts w:cs="Arial" w:hint="eastAsia"/>
          <w:snapToGrid w:val="0"/>
          <w:lang w:eastAsia="ja-JP"/>
        </w:rPr>
        <w:tab/>
        <w:t>T</w:t>
      </w:r>
      <w:r w:rsidRPr="00AF2B73">
        <w:rPr>
          <w:rFonts w:cs="Arial"/>
          <w:snapToGrid w:val="0"/>
        </w:rPr>
        <w:t xml:space="preserve">he </w:t>
      </w:r>
      <w:r>
        <w:rPr>
          <w:rFonts w:cs="Arial" w:hint="eastAsia"/>
          <w:snapToGrid w:val="0"/>
          <w:lang w:eastAsia="ja-JP"/>
        </w:rPr>
        <w:t xml:space="preserve">TC agreed </w:t>
      </w:r>
      <w:r w:rsidR="009A146B">
        <w:rPr>
          <w:rFonts w:cs="Arial" w:hint="eastAsia"/>
          <w:snapToGrid w:val="0"/>
          <w:lang w:eastAsia="ja-JP"/>
        </w:rPr>
        <w:t xml:space="preserve">that the above </w:t>
      </w:r>
      <w:r w:rsidR="00082029">
        <w:rPr>
          <w:rFonts w:cs="Arial" w:hint="eastAsia"/>
          <w:snapToGrid w:val="0"/>
          <w:lang w:eastAsia="ja-JP"/>
        </w:rPr>
        <w:t>information</w:t>
      </w:r>
      <w:r w:rsidRPr="00AF2B73">
        <w:rPr>
          <w:rFonts w:cs="Arial"/>
          <w:snapToGrid w:val="0"/>
        </w:rPr>
        <w:t xml:space="preserve"> </w:t>
      </w:r>
      <w:r w:rsidR="009A146B">
        <w:rPr>
          <w:rFonts w:cs="Arial" w:hint="eastAsia"/>
          <w:snapToGrid w:val="0"/>
          <w:lang w:eastAsia="ja-JP"/>
        </w:rPr>
        <w:t>would</w:t>
      </w:r>
      <w:r w:rsidRPr="00AF2B73">
        <w:rPr>
          <w:rFonts w:cs="Arial"/>
          <w:snapToGrid w:val="0"/>
        </w:rPr>
        <w:t xml:space="preserve"> be presented </w:t>
      </w:r>
      <w:r w:rsidR="00082029">
        <w:rPr>
          <w:rFonts w:cs="Arial"/>
          <w:snapToGrid w:val="0"/>
        </w:rPr>
        <w:t xml:space="preserve">to the </w:t>
      </w:r>
      <w:r w:rsidRPr="00AF2B73">
        <w:rPr>
          <w:rFonts w:cs="Arial"/>
          <w:snapToGrid w:val="0"/>
        </w:rPr>
        <w:t xml:space="preserve">CAJ for consideration at its seventieth session, to be held in Geneva in October 2014.  </w:t>
      </w:r>
    </w:p>
    <w:p w:rsidR="00E92519" w:rsidRDefault="00082029" w:rsidP="00E92519">
      <w:r w:rsidRPr="00AF2B73">
        <w:rPr>
          <w:rFonts w:cs="Arial"/>
          <w:snapToGrid w:val="0"/>
        </w:rPr>
        <w:fldChar w:fldCharType="begin"/>
      </w:r>
      <w:r w:rsidRPr="00AF2B73">
        <w:rPr>
          <w:rFonts w:cs="Arial"/>
          <w:snapToGrid w:val="0"/>
        </w:rPr>
        <w:instrText xml:space="preserve"> AUTONUM  </w:instrText>
      </w:r>
      <w:r w:rsidRPr="00AF2B73">
        <w:rPr>
          <w:rFonts w:cs="Arial"/>
          <w:snapToGrid w:val="0"/>
        </w:rPr>
        <w:fldChar w:fldCharType="end"/>
      </w:r>
      <w:r>
        <w:rPr>
          <w:rFonts w:cs="Arial" w:hint="eastAsia"/>
          <w:snapToGrid w:val="0"/>
          <w:lang w:eastAsia="ja-JP"/>
        </w:rPr>
        <w:tab/>
      </w:r>
      <w:r w:rsidR="00E92519">
        <w:t>It was clarified that more than one crop type could be allocated to a single UPOV</w:t>
      </w:r>
      <w:r w:rsidR="007A058D">
        <w:rPr>
          <w:rFonts w:hint="eastAsia"/>
          <w:lang w:eastAsia="ja-JP"/>
        </w:rPr>
        <w:t xml:space="preserve"> code</w:t>
      </w:r>
      <w:r w:rsidR="00E92519">
        <w:t>.</w:t>
      </w:r>
    </w:p>
    <w:p w:rsidR="00E92519" w:rsidRDefault="00E92519" w:rsidP="00E92519"/>
    <w:p w:rsidR="00E92519" w:rsidRPr="00FB2998" w:rsidRDefault="00E92519" w:rsidP="00E92519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 noted that the proposed approach would </w:t>
      </w:r>
      <w:r w:rsidRPr="00F62281">
        <w:t>enable the data in the PLUTO database to be analyzed with regard to applications filed, titles issued and titles having ceased to be in force by type of crop</w:t>
      </w:r>
      <w:r>
        <w:t xml:space="preserve">, whilst noting that the multiple crop types for some UPOV codes would result in some limitations in that </w:t>
      </w:r>
      <w:r w:rsidR="00E83E57" w:rsidRPr="00E83E57">
        <w:t>Code (see document</w:t>
      </w:r>
      <w:r w:rsidR="00A33275">
        <w:rPr>
          <w:rFonts w:hint="eastAsia"/>
          <w:lang w:eastAsia="ja-JP"/>
        </w:rPr>
        <w:t>s</w:t>
      </w:r>
      <w:r w:rsidR="00E83E57" w:rsidRPr="00E83E57">
        <w:t xml:space="preserve"> TC/50/6 “UPOV Information Databases”, paragraph 8 to 10 and TC/50/36 “Report on the Conclusions”, paragraph</w:t>
      </w:r>
      <w:r w:rsidR="00E83E57">
        <w:rPr>
          <w:rFonts w:hint="eastAsia"/>
          <w:lang w:eastAsia="ja-JP"/>
        </w:rPr>
        <w:t>s</w:t>
      </w:r>
      <w:r w:rsidR="00E83E57" w:rsidRPr="00E83E57">
        <w:t xml:space="preserve"> 95</w:t>
      </w:r>
      <w:r w:rsidR="00E83E57">
        <w:rPr>
          <w:rFonts w:hint="eastAsia"/>
          <w:lang w:eastAsia="ja-JP"/>
        </w:rPr>
        <w:t xml:space="preserve"> and 96</w:t>
      </w:r>
      <w:r w:rsidR="00E83E57" w:rsidRPr="00E83E57">
        <w:t>)</w:t>
      </w:r>
      <w:r>
        <w:t>.</w:t>
      </w:r>
    </w:p>
    <w:p w:rsidR="00E92519" w:rsidRDefault="00E92519" w:rsidP="00AD68FC">
      <w:pPr>
        <w:rPr>
          <w:lang w:eastAsia="ja-JP"/>
        </w:rPr>
      </w:pPr>
    </w:p>
    <w:p w:rsidR="00B14390" w:rsidRPr="001E700D" w:rsidRDefault="00B14390" w:rsidP="00B14390">
      <w:pPr>
        <w:pStyle w:val="DecisionInvitingPara"/>
        <w:tabs>
          <w:tab w:val="left" w:pos="5387"/>
        </w:tabs>
        <w:ind w:left="4820"/>
        <w:rPr>
          <w:lang w:val="en-US"/>
        </w:rPr>
      </w:pPr>
      <w:r w:rsidRPr="00010E42">
        <w:fldChar w:fldCharType="begin"/>
      </w:r>
      <w:r w:rsidRPr="00010E42">
        <w:rPr>
          <w:lang w:val="en-US"/>
        </w:rPr>
        <w:instrText xml:space="preserve"> AUTONUM  </w:instrText>
      </w:r>
      <w:r w:rsidRPr="00010E42">
        <w:fldChar w:fldCharType="end"/>
      </w:r>
      <w:r w:rsidRPr="00010E42">
        <w:rPr>
          <w:lang w:val="en-US"/>
        </w:rPr>
        <w:tab/>
        <w:t xml:space="preserve">The CAJ is invited to </w:t>
      </w:r>
      <w:r w:rsidR="00933204">
        <w:rPr>
          <w:rFonts w:hint="eastAsia"/>
          <w:lang w:val="en-US" w:eastAsia="ja-JP"/>
        </w:rPr>
        <w:t>consider</w:t>
      </w:r>
      <w:r w:rsidRPr="00010E42">
        <w:rPr>
          <w:lang w:val="en-US"/>
        </w:rPr>
        <w:t xml:space="preserve"> </w:t>
      </w:r>
      <w:r w:rsidR="00B236EE">
        <w:rPr>
          <w:rFonts w:hint="eastAsia"/>
          <w:lang w:val="en-US" w:eastAsia="ja-JP"/>
        </w:rPr>
        <w:t xml:space="preserve">the plan to provide </w:t>
      </w:r>
      <w:r w:rsidR="00B236EE">
        <w:rPr>
          <w:lang w:val="en-US"/>
        </w:rPr>
        <w:t xml:space="preserve">information on type of crop </w:t>
      </w:r>
      <w:r w:rsidR="00B236EE">
        <w:rPr>
          <w:rFonts w:hint="eastAsia"/>
          <w:lang w:val="en-US" w:eastAsia="ja-JP"/>
        </w:rPr>
        <w:t>for</w:t>
      </w:r>
      <w:r>
        <w:rPr>
          <w:lang w:val="en-US"/>
        </w:rPr>
        <w:t xml:space="preserve"> </w:t>
      </w:r>
      <w:r w:rsidRPr="00010E42">
        <w:rPr>
          <w:lang w:val="en-US"/>
        </w:rPr>
        <w:t>UPOV codes</w:t>
      </w:r>
      <w:r w:rsidRPr="00010E42">
        <w:rPr>
          <w:rFonts w:cs="Arial"/>
          <w:snapToGrid w:val="0"/>
          <w:lang w:val="en-US"/>
        </w:rPr>
        <w:t xml:space="preserve">, as set out in </w:t>
      </w:r>
      <w:r w:rsidR="007A058D">
        <w:rPr>
          <w:rFonts w:cs="Arial"/>
          <w:snapToGrid w:val="0"/>
          <w:lang w:val="en-US"/>
        </w:rPr>
        <w:t>paragraph</w:t>
      </w:r>
      <w:r w:rsidR="006E22A9">
        <w:rPr>
          <w:rFonts w:cs="Arial"/>
          <w:snapToGrid w:val="0"/>
          <w:lang w:val="en-US"/>
        </w:rPr>
        <w:t xml:space="preserve"> </w:t>
      </w:r>
      <w:r w:rsidR="00B236EE">
        <w:rPr>
          <w:rFonts w:cs="Arial" w:hint="eastAsia"/>
          <w:snapToGrid w:val="0"/>
          <w:lang w:val="en-US" w:eastAsia="ja-JP"/>
        </w:rPr>
        <w:t>6</w:t>
      </w:r>
      <w:r w:rsidRPr="00010E42">
        <w:rPr>
          <w:rFonts w:cs="Arial"/>
          <w:snapToGrid w:val="0"/>
          <w:lang w:val="en-US"/>
        </w:rPr>
        <w:t xml:space="preserve"> of this document.</w:t>
      </w:r>
    </w:p>
    <w:p w:rsidR="00DB7A81" w:rsidRDefault="00DB7A81" w:rsidP="00DB7A81"/>
    <w:p w:rsidR="00DB7A81" w:rsidRDefault="00DB7A81" w:rsidP="00DB7A81"/>
    <w:p w:rsidR="0030342C" w:rsidRPr="001E700D" w:rsidRDefault="0030342C" w:rsidP="00DB7A81"/>
    <w:p w:rsidR="00900C26" w:rsidRDefault="00B42F04" w:rsidP="00B42F04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900C26" w:rsidSect="00E26286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66" w:rsidRDefault="00DE2866">
      <w:r>
        <w:separator/>
      </w:r>
    </w:p>
    <w:p w:rsidR="00DE2866" w:rsidRDefault="00DE2866"/>
    <w:p w:rsidR="00DE2866" w:rsidRDefault="00DE2866"/>
  </w:endnote>
  <w:endnote w:type="continuationSeparator" w:id="0">
    <w:p w:rsidR="00DE2866" w:rsidRDefault="00DE2866">
      <w:r>
        <w:separator/>
      </w:r>
    </w:p>
    <w:p w:rsidR="00DE2866" w:rsidRPr="00664515" w:rsidRDefault="00DE286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DE2866" w:rsidRPr="00664515" w:rsidRDefault="00DE2866">
      <w:pPr>
        <w:rPr>
          <w:lang w:val="fr-CH"/>
        </w:rPr>
      </w:pPr>
    </w:p>
    <w:p w:rsidR="00DE2866" w:rsidRPr="00664515" w:rsidRDefault="00DE2866">
      <w:pPr>
        <w:rPr>
          <w:lang w:val="fr-CH"/>
        </w:rPr>
      </w:pPr>
    </w:p>
  </w:endnote>
  <w:endnote w:type="continuationNotice" w:id="1">
    <w:p w:rsidR="00DE2866" w:rsidRPr="00664515" w:rsidRDefault="00DE286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DE2866" w:rsidRPr="00664515" w:rsidRDefault="00DE2866">
      <w:pPr>
        <w:rPr>
          <w:lang w:val="fr-CH"/>
        </w:rPr>
      </w:pPr>
    </w:p>
    <w:p w:rsidR="00DE2866" w:rsidRPr="00664515" w:rsidRDefault="00DE286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66" w:rsidRDefault="00DE2866" w:rsidP="009D690D">
      <w:pPr>
        <w:spacing w:before="120"/>
      </w:pPr>
      <w:r>
        <w:separator/>
      </w:r>
    </w:p>
  </w:footnote>
  <w:footnote w:type="continuationSeparator" w:id="0">
    <w:p w:rsidR="00DE2866" w:rsidRDefault="00DE2866" w:rsidP="00520297">
      <w:pPr>
        <w:spacing w:before="120"/>
        <w:jc w:val="left"/>
      </w:pPr>
      <w:r>
        <w:separator/>
      </w:r>
    </w:p>
  </w:footnote>
  <w:footnote w:type="continuationNotice" w:id="1">
    <w:p w:rsidR="00DE2866" w:rsidRDefault="00DE28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66" w:rsidRDefault="00DE2866" w:rsidP="00E23920">
    <w:pPr>
      <w:jc w:val="center"/>
      <w:rPr>
        <w:rStyle w:val="PageNumber"/>
      </w:rPr>
    </w:pPr>
    <w:r>
      <w:rPr>
        <w:rStyle w:val="PageNumber"/>
      </w:rPr>
      <w:t>CAJ/70/8</w:t>
    </w:r>
  </w:p>
  <w:p w:rsidR="00DE2866" w:rsidRPr="00997029" w:rsidRDefault="00B42F04" w:rsidP="00E23920">
    <w:pPr>
      <w:jc w:val="center"/>
    </w:pPr>
    <w:proofErr w:type="gramStart"/>
    <w:r>
      <w:t>p</w:t>
    </w:r>
    <w:r w:rsidRPr="00997029">
      <w:t>age</w:t>
    </w:r>
    <w:proofErr w:type="gramEnd"/>
    <w:r w:rsidRPr="00997029">
      <w:t xml:space="preserve"> </w:t>
    </w:r>
    <w:r w:rsidR="00DE2866" w:rsidRPr="00997029">
      <w:rPr>
        <w:rStyle w:val="PageNumber"/>
      </w:rPr>
      <w:fldChar w:fldCharType="begin"/>
    </w:r>
    <w:r w:rsidR="00DE2866" w:rsidRPr="00997029">
      <w:rPr>
        <w:rStyle w:val="PageNumber"/>
      </w:rPr>
      <w:instrText xml:space="preserve"> PAGE </w:instrText>
    </w:r>
    <w:r w:rsidR="00DE2866" w:rsidRPr="00997029">
      <w:rPr>
        <w:rStyle w:val="PageNumber"/>
      </w:rPr>
      <w:fldChar w:fldCharType="separate"/>
    </w:r>
    <w:r w:rsidR="001F55CC">
      <w:rPr>
        <w:rStyle w:val="PageNumber"/>
        <w:noProof/>
      </w:rPr>
      <w:t>2</w:t>
    </w:r>
    <w:r w:rsidR="00DE2866" w:rsidRPr="00997029">
      <w:rPr>
        <w:rStyle w:val="PageNumber"/>
      </w:rPr>
      <w:fldChar w:fldCharType="end"/>
    </w:r>
  </w:p>
  <w:p w:rsidR="00DE2866" w:rsidRPr="00997029" w:rsidRDefault="00DE2866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</w:lvl>
    <w:lvl w:ilvl="1" w:tplc="04090019">
      <w:start w:val="1"/>
      <w:numFmt w:val="lowerLetter"/>
      <w:lvlText w:val="%2."/>
      <w:lvlJc w:val="left"/>
      <w:pPr>
        <w:ind w:left="5616" w:hanging="360"/>
      </w:pPr>
    </w:lvl>
    <w:lvl w:ilvl="2" w:tplc="0409001B">
      <w:start w:val="1"/>
      <w:numFmt w:val="lowerRoman"/>
      <w:lvlText w:val="%3."/>
      <w:lvlJc w:val="right"/>
      <w:pPr>
        <w:ind w:left="6336" w:hanging="180"/>
      </w:pPr>
    </w:lvl>
    <w:lvl w:ilvl="3" w:tplc="0409000F">
      <w:start w:val="1"/>
      <w:numFmt w:val="decimal"/>
      <w:lvlText w:val="%4."/>
      <w:lvlJc w:val="left"/>
      <w:pPr>
        <w:ind w:left="7056" w:hanging="360"/>
      </w:pPr>
    </w:lvl>
    <w:lvl w:ilvl="4" w:tplc="04090019">
      <w:start w:val="1"/>
      <w:numFmt w:val="lowerLetter"/>
      <w:lvlText w:val="%5."/>
      <w:lvlJc w:val="left"/>
      <w:pPr>
        <w:ind w:left="7776" w:hanging="360"/>
      </w:pPr>
    </w:lvl>
    <w:lvl w:ilvl="5" w:tplc="0409001B">
      <w:start w:val="1"/>
      <w:numFmt w:val="lowerRoman"/>
      <w:lvlText w:val="%6."/>
      <w:lvlJc w:val="right"/>
      <w:pPr>
        <w:ind w:left="8496" w:hanging="180"/>
      </w:pPr>
    </w:lvl>
    <w:lvl w:ilvl="6" w:tplc="0409000F">
      <w:start w:val="1"/>
      <w:numFmt w:val="decimal"/>
      <w:lvlText w:val="%7."/>
      <w:lvlJc w:val="left"/>
      <w:pPr>
        <w:ind w:left="9216" w:hanging="360"/>
      </w:pPr>
    </w:lvl>
    <w:lvl w:ilvl="7" w:tplc="04090019">
      <w:start w:val="1"/>
      <w:numFmt w:val="lowerLetter"/>
      <w:lvlText w:val="%8."/>
      <w:lvlJc w:val="left"/>
      <w:pPr>
        <w:ind w:left="9936" w:hanging="360"/>
      </w:pPr>
    </w:lvl>
    <w:lvl w:ilvl="8" w:tplc="0409001B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0"/>
    <w:rsid w:val="00001380"/>
    <w:rsid w:val="00001D48"/>
    <w:rsid w:val="0001054C"/>
    <w:rsid w:val="00010CF3"/>
    <w:rsid w:val="00010E42"/>
    <w:rsid w:val="00011AF7"/>
    <w:rsid w:val="00011E27"/>
    <w:rsid w:val="000148BC"/>
    <w:rsid w:val="00022DD8"/>
    <w:rsid w:val="00024AB8"/>
    <w:rsid w:val="00031671"/>
    <w:rsid w:val="00036028"/>
    <w:rsid w:val="000446B9"/>
    <w:rsid w:val="00047E21"/>
    <w:rsid w:val="00082029"/>
    <w:rsid w:val="00083BB0"/>
    <w:rsid w:val="00085505"/>
    <w:rsid w:val="000907BD"/>
    <w:rsid w:val="000A3AA3"/>
    <w:rsid w:val="000B0F80"/>
    <w:rsid w:val="000C7021"/>
    <w:rsid w:val="000D3D10"/>
    <w:rsid w:val="000D3F8C"/>
    <w:rsid w:val="000D492E"/>
    <w:rsid w:val="000D6BBC"/>
    <w:rsid w:val="000D7780"/>
    <w:rsid w:val="000E0487"/>
    <w:rsid w:val="000F1DA4"/>
    <w:rsid w:val="000F5F18"/>
    <w:rsid w:val="00105929"/>
    <w:rsid w:val="00110481"/>
    <w:rsid w:val="001131D5"/>
    <w:rsid w:val="00141DB8"/>
    <w:rsid w:val="001657EC"/>
    <w:rsid w:val="0017474A"/>
    <w:rsid w:val="001758C6"/>
    <w:rsid w:val="001913CC"/>
    <w:rsid w:val="001B511A"/>
    <w:rsid w:val="001C3DF3"/>
    <w:rsid w:val="001D1332"/>
    <w:rsid w:val="001E7623"/>
    <w:rsid w:val="001F1F2A"/>
    <w:rsid w:val="001F333C"/>
    <w:rsid w:val="001F55CC"/>
    <w:rsid w:val="00212DE3"/>
    <w:rsid w:val="0021332C"/>
    <w:rsid w:val="00213982"/>
    <w:rsid w:val="00224402"/>
    <w:rsid w:val="00237C7D"/>
    <w:rsid w:val="0024416D"/>
    <w:rsid w:val="0027309C"/>
    <w:rsid w:val="00280003"/>
    <w:rsid w:val="002800A0"/>
    <w:rsid w:val="00281060"/>
    <w:rsid w:val="0029439F"/>
    <w:rsid w:val="0029565E"/>
    <w:rsid w:val="002968A6"/>
    <w:rsid w:val="002A3AE4"/>
    <w:rsid w:val="002A55D6"/>
    <w:rsid w:val="002A6E50"/>
    <w:rsid w:val="002B2E5E"/>
    <w:rsid w:val="002C256A"/>
    <w:rsid w:val="002C6721"/>
    <w:rsid w:val="002C6F8E"/>
    <w:rsid w:val="002D5566"/>
    <w:rsid w:val="002E7BA1"/>
    <w:rsid w:val="002F0B4C"/>
    <w:rsid w:val="002F78FA"/>
    <w:rsid w:val="0030342C"/>
    <w:rsid w:val="00305A7F"/>
    <w:rsid w:val="00306AEC"/>
    <w:rsid w:val="003132F9"/>
    <w:rsid w:val="003152FE"/>
    <w:rsid w:val="00322B24"/>
    <w:rsid w:val="00327436"/>
    <w:rsid w:val="00344BD6"/>
    <w:rsid w:val="0035528D"/>
    <w:rsid w:val="00361821"/>
    <w:rsid w:val="00377348"/>
    <w:rsid w:val="003A17C8"/>
    <w:rsid w:val="003C563E"/>
    <w:rsid w:val="003D227C"/>
    <w:rsid w:val="003D2B4D"/>
    <w:rsid w:val="003E32C3"/>
    <w:rsid w:val="003F6136"/>
    <w:rsid w:val="004066DA"/>
    <w:rsid w:val="004155FB"/>
    <w:rsid w:val="00427139"/>
    <w:rsid w:val="00444A88"/>
    <w:rsid w:val="00450C54"/>
    <w:rsid w:val="00474DA4"/>
    <w:rsid w:val="00475EBF"/>
    <w:rsid w:val="00483A84"/>
    <w:rsid w:val="0049561B"/>
    <w:rsid w:val="004B6667"/>
    <w:rsid w:val="004C0BA8"/>
    <w:rsid w:val="004D047D"/>
    <w:rsid w:val="004E35F2"/>
    <w:rsid w:val="004F305A"/>
    <w:rsid w:val="0051184A"/>
    <w:rsid w:val="00512164"/>
    <w:rsid w:val="00520297"/>
    <w:rsid w:val="005326C0"/>
    <w:rsid w:val="005338F9"/>
    <w:rsid w:val="0054281C"/>
    <w:rsid w:val="0055268D"/>
    <w:rsid w:val="00555EAE"/>
    <w:rsid w:val="00557AC6"/>
    <w:rsid w:val="00572E44"/>
    <w:rsid w:val="00576BE4"/>
    <w:rsid w:val="005937B6"/>
    <w:rsid w:val="005A400A"/>
    <w:rsid w:val="005A54D5"/>
    <w:rsid w:val="005F5315"/>
    <w:rsid w:val="006023F2"/>
    <w:rsid w:val="00612379"/>
    <w:rsid w:val="0061555F"/>
    <w:rsid w:val="006404DE"/>
    <w:rsid w:val="00641200"/>
    <w:rsid w:val="006570D7"/>
    <w:rsid w:val="00657E9F"/>
    <w:rsid w:val="00663ED8"/>
    <w:rsid w:val="00664515"/>
    <w:rsid w:val="0067445F"/>
    <w:rsid w:val="00687EB4"/>
    <w:rsid w:val="00691111"/>
    <w:rsid w:val="006B17D2"/>
    <w:rsid w:val="006B244B"/>
    <w:rsid w:val="006B45FA"/>
    <w:rsid w:val="006C224E"/>
    <w:rsid w:val="006E22A9"/>
    <w:rsid w:val="006F015C"/>
    <w:rsid w:val="006F3604"/>
    <w:rsid w:val="007022F7"/>
    <w:rsid w:val="007063EC"/>
    <w:rsid w:val="00720EE4"/>
    <w:rsid w:val="00724F63"/>
    <w:rsid w:val="00732DEC"/>
    <w:rsid w:val="00735BD5"/>
    <w:rsid w:val="0073777F"/>
    <w:rsid w:val="0074361C"/>
    <w:rsid w:val="0075117E"/>
    <w:rsid w:val="007556F6"/>
    <w:rsid w:val="00760EEF"/>
    <w:rsid w:val="00763D02"/>
    <w:rsid w:val="007721A0"/>
    <w:rsid w:val="00777EE5"/>
    <w:rsid w:val="00780A5C"/>
    <w:rsid w:val="00780AB9"/>
    <w:rsid w:val="00784836"/>
    <w:rsid w:val="0079023E"/>
    <w:rsid w:val="00797AB8"/>
    <w:rsid w:val="007A058D"/>
    <w:rsid w:val="007A6656"/>
    <w:rsid w:val="007B6894"/>
    <w:rsid w:val="007C6639"/>
    <w:rsid w:val="007D0B9D"/>
    <w:rsid w:val="007D19B0"/>
    <w:rsid w:val="007F498F"/>
    <w:rsid w:val="008037A6"/>
    <w:rsid w:val="00805BC3"/>
    <w:rsid w:val="0080679D"/>
    <w:rsid w:val="00807430"/>
    <w:rsid w:val="00810486"/>
    <w:rsid w:val="008108B0"/>
    <w:rsid w:val="00811B20"/>
    <w:rsid w:val="00816701"/>
    <w:rsid w:val="0082296E"/>
    <w:rsid w:val="00824099"/>
    <w:rsid w:val="00836E88"/>
    <w:rsid w:val="00852B1C"/>
    <w:rsid w:val="00855DBD"/>
    <w:rsid w:val="00867AC1"/>
    <w:rsid w:val="00883AE5"/>
    <w:rsid w:val="008A2FDC"/>
    <w:rsid w:val="008A395B"/>
    <w:rsid w:val="008A743F"/>
    <w:rsid w:val="008B51D0"/>
    <w:rsid w:val="008C0970"/>
    <w:rsid w:val="008D2CF7"/>
    <w:rsid w:val="008E69ED"/>
    <w:rsid w:val="008E793E"/>
    <w:rsid w:val="008F33C5"/>
    <w:rsid w:val="00900469"/>
    <w:rsid w:val="00900C26"/>
    <w:rsid w:val="0090197F"/>
    <w:rsid w:val="00906DDC"/>
    <w:rsid w:val="00911E02"/>
    <w:rsid w:val="00933204"/>
    <w:rsid w:val="00934E09"/>
    <w:rsid w:val="00935D63"/>
    <w:rsid w:val="00936253"/>
    <w:rsid w:val="00937FBC"/>
    <w:rsid w:val="00970FED"/>
    <w:rsid w:val="009924EE"/>
    <w:rsid w:val="00997029"/>
    <w:rsid w:val="009A146B"/>
    <w:rsid w:val="009C1F6B"/>
    <w:rsid w:val="009C47A9"/>
    <w:rsid w:val="009D0DE5"/>
    <w:rsid w:val="009D690D"/>
    <w:rsid w:val="009E65B6"/>
    <w:rsid w:val="00A04067"/>
    <w:rsid w:val="00A33275"/>
    <w:rsid w:val="00A36939"/>
    <w:rsid w:val="00A420E9"/>
    <w:rsid w:val="00A42AC3"/>
    <w:rsid w:val="00A430CF"/>
    <w:rsid w:val="00A52B36"/>
    <w:rsid w:val="00A54309"/>
    <w:rsid w:val="00A74A3B"/>
    <w:rsid w:val="00A83F7E"/>
    <w:rsid w:val="00A9370D"/>
    <w:rsid w:val="00AA1B45"/>
    <w:rsid w:val="00AA399B"/>
    <w:rsid w:val="00AB2B93"/>
    <w:rsid w:val="00AC7FDB"/>
    <w:rsid w:val="00AD1B6F"/>
    <w:rsid w:val="00AD68FC"/>
    <w:rsid w:val="00AE0EF1"/>
    <w:rsid w:val="00AE2550"/>
    <w:rsid w:val="00B07301"/>
    <w:rsid w:val="00B14390"/>
    <w:rsid w:val="00B224DE"/>
    <w:rsid w:val="00B236EE"/>
    <w:rsid w:val="00B42F04"/>
    <w:rsid w:val="00B603AE"/>
    <w:rsid w:val="00B67450"/>
    <w:rsid w:val="00B84BBD"/>
    <w:rsid w:val="00BA43FB"/>
    <w:rsid w:val="00BA4780"/>
    <w:rsid w:val="00BC0374"/>
    <w:rsid w:val="00BC127D"/>
    <w:rsid w:val="00BC1FE6"/>
    <w:rsid w:val="00BC3D48"/>
    <w:rsid w:val="00BC4CF5"/>
    <w:rsid w:val="00BC6DDC"/>
    <w:rsid w:val="00BD1ABC"/>
    <w:rsid w:val="00BD4C24"/>
    <w:rsid w:val="00BE6977"/>
    <w:rsid w:val="00C02E56"/>
    <w:rsid w:val="00C061B6"/>
    <w:rsid w:val="00C21DBF"/>
    <w:rsid w:val="00C2446C"/>
    <w:rsid w:val="00C260DE"/>
    <w:rsid w:val="00C32236"/>
    <w:rsid w:val="00C36AE5"/>
    <w:rsid w:val="00C41F17"/>
    <w:rsid w:val="00C54BF4"/>
    <w:rsid w:val="00C5791C"/>
    <w:rsid w:val="00C6105C"/>
    <w:rsid w:val="00C66290"/>
    <w:rsid w:val="00C71FA4"/>
    <w:rsid w:val="00C72A22"/>
    <w:rsid w:val="00C72B7A"/>
    <w:rsid w:val="00C867C9"/>
    <w:rsid w:val="00C871B7"/>
    <w:rsid w:val="00C96A65"/>
    <w:rsid w:val="00C973F2"/>
    <w:rsid w:val="00CA774A"/>
    <w:rsid w:val="00CC11B0"/>
    <w:rsid w:val="00CC28D8"/>
    <w:rsid w:val="00CD4052"/>
    <w:rsid w:val="00CE0E16"/>
    <w:rsid w:val="00CE5D9D"/>
    <w:rsid w:val="00CF53D2"/>
    <w:rsid w:val="00CF7E36"/>
    <w:rsid w:val="00D14980"/>
    <w:rsid w:val="00D2107E"/>
    <w:rsid w:val="00D233D8"/>
    <w:rsid w:val="00D24210"/>
    <w:rsid w:val="00D3708D"/>
    <w:rsid w:val="00D40426"/>
    <w:rsid w:val="00D57296"/>
    <w:rsid w:val="00D57C96"/>
    <w:rsid w:val="00D90339"/>
    <w:rsid w:val="00D91203"/>
    <w:rsid w:val="00D92AE1"/>
    <w:rsid w:val="00D95174"/>
    <w:rsid w:val="00D95A5C"/>
    <w:rsid w:val="00DA0CC6"/>
    <w:rsid w:val="00DA6F36"/>
    <w:rsid w:val="00DB7A81"/>
    <w:rsid w:val="00DC00EA"/>
    <w:rsid w:val="00DD1CCD"/>
    <w:rsid w:val="00DD3F65"/>
    <w:rsid w:val="00DE2866"/>
    <w:rsid w:val="00DE56CE"/>
    <w:rsid w:val="00DF7276"/>
    <w:rsid w:val="00DF7EC6"/>
    <w:rsid w:val="00E02B4F"/>
    <w:rsid w:val="00E04288"/>
    <w:rsid w:val="00E20C50"/>
    <w:rsid w:val="00E23920"/>
    <w:rsid w:val="00E26286"/>
    <w:rsid w:val="00E41B33"/>
    <w:rsid w:val="00E553D6"/>
    <w:rsid w:val="00E72D49"/>
    <w:rsid w:val="00E7593C"/>
    <w:rsid w:val="00E7678A"/>
    <w:rsid w:val="00E83E57"/>
    <w:rsid w:val="00E92519"/>
    <w:rsid w:val="00E935F1"/>
    <w:rsid w:val="00E94A81"/>
    <w:rsid w:val="00EA1FFB"/>
    <w:rsid w:val="00EA430A"/>
    <w:rsid w:val="00EB048E"/>
    <w:rsid w:val="00EB383D"/>
    <w:rsid w:val="00EB3EFA"/>
    <w:rsid w:val="00EC4F90"/>
    <w:rsid w:val="00EF25D3"/>
    <w:rsid w:val="00EF2F89"/>
    <w:rsid w:val="00EF71F3"/>
    <w:rsid w:val="00F03AF7"/>
    <w:rsid w:val="00F04DEB"/>
    <w:rsid w:val="00F1237A"/>
    <w:rsid w:val="00F22CBD"/>
    <w:rsid w:val="00F37961"/>
    <w:rsid w:val="00F61A2C"/>
    <w:rsid w:val="00F6227B"/>
    <w:rsid w:val="00F6334D"/>
    <w:rsid w:val="00F85C9A"/>
    <w:rsid w:val="00FA49AB"/>
    <w:rsid w:val="00FB0D37"/>
    <w:rsid w:val="00FB4B80"/>
    <w:rsid w:val="00FB4E14"/>
    <w:rsid w:val="00FD5463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8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E26286"/>
    <w:pPr>
      <w:tabs>
        <w:tab w:val="right" w:leader="dot" w:pos="9639"/>
      </w:tabs>
      <w:spacing w:before="120" w:after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E26286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7A8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DB7A81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DB7A8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C96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B36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E26286"/>
    <w:rPr>
      <w:rFonts w:ascii="Arial" w:hAnsi="Arial"/>
      <w:sz w:val="16"/>
    </w:rPr>
  </w:style>
  <w:style w:type="paragraph" w:customStyle="1" w:styleId="xl65">
    <w:name w:val="xl65"/>
    <w:basedOn w:val="Normal"/>
    <w:rsid w:val="00BD1A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BD1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D1AB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BD1AB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BD1AB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BD1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BD1A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BD1A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D1A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D1A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D1A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BD1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DE2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8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E26286"/>
    <w:pPr>
      <w:tabs>
        <w:tab w:val="right" w:leader="dot" w:pos="9639"/>
      </w:tabs>
      <w:spacing w:before="120" w:after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E26286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7A8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DB7A81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DB7A8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C96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B36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E26286"/>
    <w:rPr>
      <w:rFonts w:ascii="Arial" w:hAnsi="Arial"/>
      <w:sz w:val="16"/>
    </w:rPr>
  </w:style>
  <w:style w:type="paragraph" w:customStyle="1" w:styleId="xl65">
    <w:name w:val="xl65"/>
    <w:basedOn w:val="Normal"/>
    <w:rsid w:val="00BD1A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BD1AB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D1AB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BD1AB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BD1AB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BD1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BD1AB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BD1A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D1AB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D1AB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D1AB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BD1AB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DE2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ov.int/genie/en/report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69\templates\CAJ_6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94F5-5772-41CF-89F4-52714AA7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CAJ_69_EN</Template>
  <TotalTime>271</TotalTime>
  <Pages>2</Pages>
  <Words>578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lastModifiedBy>MAY Jessica</cp:lastModifiedBy>
  <cp:revision>21</cp:revision>
  <cp:lastPrinted>2014-08-28T14:14:00Z</cp:lastPrinted>
  <dcterms:created xsi:type="dcterms:W3CDTF">2014-06-24T18:24:00Z</dcterms:created>
  <dcterms:modified xsi:type="dcterms:W3CDTF">2014-08-28T14:14:00Z</dcterms:modified>
</cp:coreProperties>
</file>