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F37961" w:rsidP="00474DA4">
            <w:pPr>
              <w:pStyle w:val="Docoriginal"/>
              <w:jc w:val="left"/>
            </w:pPr>
            <w:r w:rsidRPr="00664515">
              <w:t>CAJ/</w:t>
            </w:r>
            <w:r w:rsidR="00155F6F">
              <w:t>70</w:t>
            </w:r>
            <w:r w:rsidR="00EB3EFA" w:rsidRPr="00664515">
              <w:t>/</w:t>
            </w:r>
            <w:bookmarkStart w:id="0" w:name="Code"/>
            <w:bookmarkEnd w:id="0"/>
            <w:r w:rsidR="009D1C08">
              <w:t>4</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1" w:name="Original"/>
            <w:bookmarkEnd w:id="1"/>
            <w:r w:rsidR="0024416D" w:rsidRPr="00CA774A">
              <w:rPr>
                <w:b w:val="0"/>
                <w:spacing w:val="0"/>
              </w:rPr>
              <w:t>English</w:t>
            </w:r>
          </w:p>
          <w:p w:rsidR="000D7780" w:rsidRPr="00EB3EFA" w:rsidRDefault="000D7780" w:rsidP="0042406B">
            <w:pPr>
              <w:pStyle w:val="Docoriginal"/>
              <w:jc w:val="left"/>
              <w:rPr>
                <w:b w:val="0"/>
                <w:spacing w:val="0"/>
                <w:highlight w:val="cyan"/>
              </w:rPr>
            </w:pPr>
            <w:r w:rsidRPr="00CA774A">
              <w:rPr>
                <w:spacing w:val="0"/>
              </w:rPr>
              <w:t>DATE:</w:t>
            </w:r>
            <w:r w:rsidR="0061555F" w:rsidRPr="00CA774A">
              <w:rPr>
                <w:b w:val="0"/>
                <w:spacing w:val="0"/>
              </w:rPr>
              <w:t xml:space="preserve"> </w:t>
            </w:r>
            <w:r w:rsidRPr="00CA774A">
              <w:rPr>
                <w:rStyle w:val="StyleDocoriginalNotBold1"/>
                <w:spacing w:val="0"/>
              </w:rPr>
              <w:t xml:space="preserve"> </w:t>
            </w:r>
            <w:bookmarkStart w:id="2" w:name="Date"/>
            <w:bookmarkEnd w:id="2"/>
            <w:r w:rsidR="009D7B76" w:rsidRPr="00B25CD4">
              <w:rPr>
                <w:rStyle w:val="StyleDocoriginalNotBold1"/>
                <w:spacing w:val="0"/>
              </w:rPr>
              <w:t>August 1</w:t>
            </w:r>
            <w:r w:rsidR="0042406B" w:rsidRPr="00B25CD4">
              <w:rPr>
                <w:rStyle w:val="StyleDocoriginalNotBold1"/>
                <w:spacing w:val="0"/>
              </w:rPr>
              <w:t>4</w:t>
            </w:r>
            <w:r w:rsidR="00155F6F" w:rsidRPr="00B25CD4">
              <w:rPr>
                <w:rStyle w:val="StyleDocoriginalNotBold1"/>
                <w:spacing w:val="0"/>
              </w:rPr>
              <w:t>, 2014</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Seventie</w:t>
      </w:r>
      <w:r w:rsidR="00F37961">
        <w:t xml:space="preserve">th </w:t>
      </w:r>
      <w:r w:rsidR="00FB0D37">
        <w:t>Session</w:t>
      </w:r>
      <w:r w:rsidR="00361821" w:rsidRPr="00997029">
        <w:br/>
      </w:r>
      <w:r w:rsidR="00FB0D37">
        <w:t xml:space="preserve">Geneva, </w:t>
      </w:r>
      <w:r>
        <w:t>October 13</w:t>
      </w:r>
      <w:r w:rsidR="007C6639">
        <w:t>, 2014</w:t>
      </w:r>
    </w:p>
    <w:p w:rsidR="000D7780" w:rsidRPr="00997029" w:rsidRDefault="009D1C08" w:rsidP="0080679D">
      <w:pPr>
        <w:pStyle w:val="Titleofdoc0"/>
      </w:pPr>
      <w:bookmarkStart w:id="3" w:name="TitleOfDoc"/>
      <w:bookmarkEnd w:id="3"/>
      <w:r w:rsidRPr="009D1C08">
        <w:t>Variety denominations</w:t>
      </w:r>
    </w:p>
    <w:p w:rsidR="00F03B03" w:rsidRPr="00376C56" w:rsidRDefault="00AE0EF1" w:rsidP="00376C56">
      <w:pPr>
        <w:pStyle w:val="preparedby1"/>
      </w:pPr>
      <w:bookmarkStart w:id="4" w:name="Prepared"/>
      <w:bookmarkEnd w:id="4"/>
      <w:r w:rsidRPr="00F32656">
        <w:t xml:space="preserve">Document </w:t>
      </w:r>
      <w:r w:rsidR="0061555F" w:rsidRPr="00F32656">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76602F" w:rsidRDefault="0076602F" w:rsidP="00F03B03">
      <w:pPr>
        <w:rPr>
          <w:rFonts w:cs="Arial"/>
          <w:snapToGrid w:val="0"/>
        </w:rPr>
      </w:pPr>
    </w:p>
    <w:p w:rsidR="0076602F" w:rsidRPr="009C1193" w:rsidRDefault="0076602F" w:rsidP="005E37F0">
      <w:pPr>
        <w:jc w:val="left"/>
        <w:rPr>
          <w:rFonts w:cs="Arial"/>
          <w:b/>
          <w:snapToGrid w:val="0"/>
        </w:rPr>
      </w:pPr>
      <w:r w:rsidRPr="009C1193">
        <w:rPr>
          <w:rFonts w:cs="Arial"/>
          <w:b/>
          <w:snapToGrid w:val="0"/>
        </w:rPr>
        <w:t>Executive Summary</w:t>
      </w:r>
      <w:r w:rsidR="001F67A6">
        <w:rPr>
          <w:rStyle w:val="EndnoteReference"/>
          <w:rFonts w:cs="Arial"/>
          <w:b/>
          <w:snapToGrid w:val="0"/>
        </w:rPr>
        <w:endnoteReference w:id="2"/>
      </w:r>
    </w:p>
    <w:p w:rsidR="00376C56" w:rsidRPr="009C1193" w:rsidRDefault="00376C56" w:rsidP="00F03B03">
      <w:pPr>
        <w:rPr>
          <w:rFonts w:cs="Arial"/>
          <w:b/>
          <w:snapToGrid w:val="0"/>
        </w:rPr>
      </w:pPr>
    </w:p>
    <w:p w:rsidR="00ED786F" w:rsidRPr="009C1193" w:rsidRDefault="00ED786F" w:rsidP="00ED786F">
      <w:pPr>
        <w:rPr>
          <w:rFonts w:cs="Arial"/>
          <w:snapToGrid w:val="0"/>
        </w:rPr>
      </w:pPr>
      <w:r w:rsidRPr="009C1193">
        <w:rPr>
          <w:rFonts w:cs="Arial"/>
          <w:snapToGrid w:val="0"/>
        </w:rPr>
        <w:fldChar w:fldCharType="begin"/>
      </w:r>
      <w:r w:rsidRPr="009C1193">
        <w:rPr>
          <w:rFonts w:cs="Arial"/>
          <w:snapToGrid w:val="0"/>
        </w:rPr>
        <w:instrText xml:space="preserve"> AUTONUM  </w:instrText>
      </w:r>
      <w:r w:rsidRPr="009C1193">
        <w:rPr>
          <w:rFonts w:cs="Arial"/>
          <w:snapToGrid w:val="0"/>
        </w:rPr>
        <w:fldChar w:fldCharType="end"/>
      </w:r>
      <w:r w:rsidRPr="009C1193">
        <w:rPr>
          <w:rFonts w:cs="Arial"/>
          <w:snapToGrid w:val="0"/>
        </w:rPr>
        <w:tab/>
      </w:r>
      <w:r w:rsidR="004F0A25" w:rsidRPr="009C1193">
        <w:rPr>
          <w:rFonts w:cs="Arial"/>
          <w:snapToGrid w:val="0"/>
        </w:rPr>
        <w:t xml:space="preserve">The purpose of this document is to report on developments concerning </w:t>
      </w:r>
      <w:r w:rsidRPr="009C1193">
        <w:rPr>
          <w:rFonts w:cs="Arial"/>
          <w:snapToGrid w:val="0"/>
        </w:rPr>
        <w:t xml:space="preserve">the </w:t>
      </w:r>
      <w:r w:rsidR="004F0A25" w:rsidRPr="009C1193">
        <w:rPr>
          <w:color w:val="000000"/>
        </w:rPr>
        <w:t>working group to develop proposals for a UPOV similarity search tool for variety deno</w:t>
      </w:r>
      <w:r w:rsidRPr="009C1193">
        <w:rPr>
          <w:color w:val="000000"/>
        </w:rPr>
        <w:t>mination purposes (the “WG-DST”)</w:t>
      </w:r>
      <w:r w:rsidR="009C1193">
        <w:rPr>
          <w:color w:val="000000"/>
        </w:rPr>
        <w:t xml:space="preserve"> and</w:t>
      </w:r>
      <w:r w:rsidR="00DB2BE5" w:rsidRPr="009C1193">
        <w:rPr>
          <w:color w:val="000000"/>
        </w:rPr>
        <w:t xml:space="preserve"> the revision of document UPOV/INF/12/4 “Explanatory Notes on Variety Denominations under the UPOV Convention</w:t>
      </w:r>
      <w:r w:rsidR="009C1193">
        <w:rPr>
          <w:color w:val="000000"/>
        </w:rPr>
        <w:t>”</w:t>
      </w:r>
      <w:r w:rsidRPr="009C1193">
        <w:rPr>
          <w:rFonts w:cs="Arial"/>
          <w:snapToGrid w:val="0"/>
        </w:rPr>
        <w:t>.</w:t>
      </w:r>
    </w:p>
    <w:p w:rsidR="00ED786F" w:rsidRPr="009C1193" w:rsidRDefault="00ED786F" w:rsidP="00ED786F">
      <w:pPr>
        <w:rPr>
          <w:color w:val="000000"/>
        </w:rPr>
      </w:pPr>
    </w:p>
    <w:p w:rsidR="00ED786F" w:rsidRPr="009C1193" w:rsidRDefault="007F741C" w:rsidP="00ED786F">
      <w:r w:rsidRPr="009C1193">
        <w:rPr>
          <w:rFonts w:cs="Arial"/>
          <w:snapToGrid w:val="0"/>
        </w:rPr>
        <w:fldChar w:fldCharType="begin"/>
      </w:r>
      <w:r w:rsidRPr="009C1193">
        <w:rPr>
          <w:rFonts w:cs="Arial"/>
          <w:snapToGrid w:val="0"/>
        </w:rPr>
        <w:instrText xml:space="preserve"> AUTONUM  </w:instrText>
      </w:r>
      <w:r w:rsidRPr="009C1193">
        <w:rPr>
          <w:rFonts w:cs="Arial"/>
          <w:snapToGrid w:val="0"/>
        </w:rPr>
        <w:fldChar w:fldCharType="end"/>
      </w:r>
      <w:r w:rsidRPr="009C1193">
        <w:rPr>
          <w:rFonts w:cs="Arial"/>
          <w:snapToGrid w:val="0"/>
        </w:rPr>
        <w:tab/>
      </w:r>
      <w:r w:rsidR="006B130D" w:rsidRPr="009C1193">
        <w:t>A report on the</w:t>
      </w:r>
      <w:r w:rsidR="006B130D" w:rsidRPr="009C1193">
        <w:rPr>
          <w:rFonts w:eastAsia="MS Mincho"/>
        </w:rPr>
        <w:t xml:space="preserve"> first meeting of the </w:t>
      </w:r>
      <w:r w:rsidR="006B130D" w:rsidRPr="009C1193">
        <w:t>WG-DST</w:t>
      </w:r>
      <w:r w:rsidR="00397154">
        <w:t>,</w:t>
      </w:r>
      <w:r w:rsidR="009C1193">
        <w:t xml:space="preserve"> which will be held in Geneva on September 3, 2014,</w:t>
      </w:r>
      <w:r w:rsidR="00AA5EB1" w:rsidRPr="009C1193">
        <w:rPr>
          <w:rFonts w:eastAsia="MS Mincho"/>
        </w:rPr>
        <w:t xml:space="preserve"> will</w:t>
      </w:r>
      <w:r w:rsidR="006B130D" w:rsidRPr="009C1193">
        <w:rPr>
          <w:rFonts w:eastAsia="MS Mincho"/>
        </w:rPr>
        <w:t xml:space="preserve"> be made to the CAJ at its seventieth session.</w:t>
      </w:r>
      <w:r w:rsidRPr="009C1193">
        <w:t xml:space="preserve"> </w:t>
      </w:r>
    </w:p>
    <w:p w:rsidR="00376C56" w:rsidRDefault="00376C56" w:rsidP="00F03B03">
      <w:pPr>
        <w:rPr>
          <w:i/>
          <w:lang w:eastAsia="ja-JP"/>
        </w:rPr>
      </w:pPr>
    </w:p>
    <w:p w:rsidR="00D62150" w:rsidRDefault="00397154" w:rsidP="00F03B03">
      <w:pPr>
        <w:rPr>
          <w:i/>
          <w:lang w:eastAsia="ja-JP"/>
        </w:rPr>
      </w:pPr>
      <w:r w:rsidRPr="009C1193">
        <w:rPr>
          <w:rFonts w:cs="Arial"/>
          <w:snapToGrid w:val="0"/>
        </w:rPr>
        <w:fldChar w:fldCharType="begin"/>
      </w:r>
      <w:r w:rsidRPr="009C1193">
        <w:rPr>
          <w:rFonts w:cs="Arial"/>
          <w:snapToGrid w:val="0"/>
        </w:rPr>
        <w:instrText xml:space="preserve"> AUTONUM  </w:instrText>
      </w:r>
      <w:r w:rsidRPr="009C1193">
        <w:rPr>
          <w:rFonts w:cs="Arial"/>
          <w:snapToGrid w:val="0"/>
        </w:rPr>
        <w:fldChar w:fldCharType="end"/>
      </w:r>
      <w:r w:rsidRPr="009C1193">
        <w:rPr>
          <w:rFonts w:cs="Arial"/>
          <w:snapToGrid w:val="0"/>
        </w:rPr>
        <w:tab/>
      </w:r>
      <w:r w:rsidR="00264B50">
        <w:rPr>
          <w:rFonts w:cs="Arial"/>
          <w:snapToGrid w:val="0"/>
        </w:rPr>
        <w:t>Latest</w:t>
      </w:r>
      <w:r>
        <w:rPr>
          <w:rFonts w:cs="Arial"/>
          <w:snapToGrid w:val="0"/>
        </w:rPr>
        <w:t xml:space="preserve"> </w:t>
      </w:r>
      <w:r>
        <w:t xml:space="preserve">developments concerning the </w:t>
      </w:r>
      <w:r w:rsidRPr="006B130D">
        <w:t>revision of document UPOV/INF/12 “Explanatory Notes on Variety Denominations under the UPOV Convention”, which will be considered by the CAJ-AG, at its ninth session on October 14 and 17, 2014, are reported in document CAJ/70/2 “Development of information materials co</w:t>
      </w:r>
      <w:r>
        <w:t>ncerning the UPOV Convention“.</w:t>
      </w:r>
    </w:p>
    <w:p w:rsidR="00B605A8" w:rsidRDefault="00B605A8" w:rsidP="00F03B03">
      <w:pPr>
        <w:rPr>
          <w:i/>
          <w:lang w:eastAsia="ja-JP"/>
        </w:rPr>
      </w:pPr>
    </w:p>
    <w:p w:rsidR="00B605A8" w:rsidRDefault="00B605A8" w:rsidP="00F03B03">
      <w:pPr>
        <w:rPr>
          <w:i/>
          <w:lang w:eastAsia="ja-JP"/>
        </w:rPr>
      </w:pPr>
    </w:p>
    <w:p w:rsidR="00B605A8" w:rsidRDefault="00B605A8" w:rsidP="00F03B03">
      <w:pPr>
        <w:rPr>
          <w:i/>
          <w:lang w:eastAsia="ja-JP"/>
        </w:rPr>
      </w:pPr>
    </w:p>
    <w:p w:rsidR="00DB2BE5" w:rsidRPr="00376C56" w:rsidRDefault="00DB2BE5" w:rsidP="001D483F">
      <w:pPr>
        <w:rPr>
          <w:rFonts w:cs="Arial"/>
          <w:i/>
          <w:snapToGrid w:val="0"/>
        </w:rPr>
      </w:pPr>
    </w:p>
    <w:p w:rsidR="005E37F0" w:rsidRDefault="005E37F0">
      <w:pPr>
        <w:jc w:val="left"/>
        <w:rPr>
          <w:rFonts w:cs="Arial"/>
          <w:snapToGrid w:val="0"/>
          <w:u w:val="single"/>
        </w:rPr>
      </w:pPr>
      <w:r>
        <w:rPr>
          <w:rFonts w:cs="Arial"/>
          <w:snapToGrid w:val="0"/>
          <w:u w:val="single"/>
        </w:rPr>
        <w:br w:type="page"/>
      </w:r>
    </w:p>
    <w:p w:rsidR="001D483F" w:rsidRPr="00636AAE" w:rsidRDefault="00636AAE" w:rsidP="001D483F">
      <w:pPr>
        <w:rPr>
          <w:rFonts w:cs="Arial"/>
          <w:snapToGrid w:val="0"/>
          <w:u w:val="single"/>
        </w:rPr>
      </w:pPr>
      <w:r w:rsidRPr="00636AAE">
        <w:rPr>
          <w:rFonts w:cs="Arial"/>
          <w:snapToGrid w:val="0"/>
          <w:u w:val="single"/>
        </w:rPr>
        <w:lastRenderedPageBreak/>
        <w:t xml:space="preserve">Table of </w:t>
      </w:r>
      <w:r>
        <w:rPr>
          <w:rFonts w:cs="Arial"/>
          <w:snapToGrid w:val="0"/>
          <w:u w:val="single"/>
        </w:rPr>
        <w:t>c</w:t>
      </w:r>
      <w:r w:rsidRPr="00636AAE">
        <w:rPr>
          <w:rFonts w:cs="Arial"/>
          <w:snapToGrid w:val="0"/>
          <w:u w:val="single"/>
        </w:rPr>
        <w:t xml:space="preserve">ontents </w:t>
      </w:r>
    </w:p>
    <w:p w:rsidR="001D483F" w:rsidRDefault="001D483F" w:rsidP="001D483F">
      <w:pPr>
        <w:rPr>
          <w:rFonts w:cs="Arial"/>
          <w:snapToGrid w:val="0"/>
        </w:rPr>
      </w:pPr>
    </w:p>
    <w:p w:rsidR="00064796" w:rsidRDefault="001D483F">
      <w:pPr>
        <w:pStyle w:val="TOC1"/>
        <w:rPr>
          <w:rFonts w:asciiTheme="minorHAnsi" w:eastAsiaTheme="minorEastAsia" w:hAnsiTheme="minorHAnsi" w:cstheme="minorBidi"/>
          <w:caps w:val="0"/>
          <w:sz w:val="22"/>
          <w:szCs w:val="22"/>
        </w:rPr>
      </w:pPr>
      <w:r>
        <w:rPr>
          <w:rFonts w:cs="Arial"/>
          <w:snapToGrid w:val="0"/>
        </w:rPr>
        <w:fldChar w:fldCharType="begin"/>
      </w:r>
      <w:r>
        <w:rPr>
          <w:rFonts w:cs="Arial"/>
          <w:snapToGrid w:val="0"/>
        </w:rPr>
        <w:instrText xml:space="preserve"> TOC \o "1-3" \h \z \u </w:instrText>
      </w:r>
      <w:r>
        <w:rPr>
          <w:rFonts w:cs="Arial"/>
          <w:snapToGrid w:val="0"/>
        </w:rPr>
        <w:fldChar w:fldCharType="separate"/>
      </w:r>
      <w:hyperlink w:anchor="_Toc395626222" w:history="1">
        <w:r w:rsidR="00064796" w:rsidRPr="006B5754">
          <w:rPr>
            <w:rStyle w:val="Hyperlink"/>
            <w:snapToGrid w:val="0"/>
          </w:rPr>
          <w:t>I.</w:t>
        </w:r>
        <w:r w:rsidR="00064796">
          <w:rPr>
            <w:rFonts w:asciiTheme="minorHAnsi" w:eastAsiaTheme="minorEastAsia" w:hAnsiTheme="minorHAnsi" w:cstheme="minorBidi"/>
            <w:caps w:val="0"/>
            <w:sz w:val="22"/>
            <w:szCs w:val="22"/>
          </w:rPr>
          <w:tab/>
        </w:r>
        <w:r w:rsidR="00064796" w:rsidRPr="006B5754">
          <w:rPr>
            <w:rStyle w:val="Hyperlink"/>
            <w:snapToGrid w:val="0"/>
          </w:rPr>
          <w:t>POSSIBLE Development of a UPOV similarity search tool for variety denomination purposes</w:t>
        </w:r>
        <w:r w:rsidR="00064796">
          <w:rPr>
            <w:webHidden/>
          </w:rPr>
          <w:tab/>
        </w:r>
        <w:r w:rsidR="00064796">
          <w:rPr>
            <w:webHidden/>
          </w:rPr>
          <w:fldChar w:fldCharType="begin"/>
        </w:r>
        <w:r w:rsidR="00064796">
          <w:rPr>
            <w:webHidden/>
          </w:rPr>
          <w:instrText xml:space="preserve"> PAGEREF _Toc395626222 \h </w:instrText>
        </w:r>
        <w:r w:rsidR="00064796">
          <w:rPr>
            <w:webHidden/>
          </w:rPr>
        </w:r>
        <w:r w:rsidR="00064796">
          <w:rPr>
            <w:webHidden/>
          </w:rPr>
          <w:fldChar w:fldCharType="separate"/>
        </w:r>
        <w:r w:rsidR="00064796">
          <w:rPr>
            <w:webHidden/>
          </w:rPr>
          <w:t>2</w:t>
        </w:r>
        <w:r w:rsidR="00064796">
          <w:rPr>
            <w:webHidden/>
          </w:rPr>
          <w:fldChar w:fldCharType="end"/>
        </w:r>
      </w:hyperlink>
    </w:p>
    <w:p w:rsidR="00064796" w:rsidRDefault="004A30D9">
      <w:pPr>
        <w:pStyle w:val="TOC1"/>
        <w:rPr>
          <w:rFonts w:asciiTheme="minorHAnsi" w:eastAsiaTheme="minorEastAsia" w:hAnsiTheme="minorHAnsi" w:cstheme="minorBidi"/>
          <w:caps w:val="0"/>
          <w:sz w:val="22"/>
          <w:szCs w:val="22"/>
        </w:rPr>
      </w:pPr>
      <w:hyperlink w:anchor="_Toc395626223" w:history="1">
        <w:r w:rsidR="00064796" w:rsidRPr="006B5754">
          <w:rPr>
            <w:rStyle w:val="Hyperlink"/>
            <w:snapToGrid w:val="0"/>
          </w:rPr>
          <w:t>II.</w:t>
        </w:r>
        <w:r w:rsidR="00064796">
          <w:rPr>
            <w:rFonts w:asciiTheme="minorHAnsi" w:eastAsiaTheme="minorEastAsia" w:hAnsiTheme="minorHAnsi" w:cstheme="minorBidi"/>
            <w:caps w:val="0"/>
            <w:sz w:val="22"/>
            <w:szCs w:val="22"/>
          </w:rPr>
          <w:tab/>
        </w:r>
        <w:r w:rsidR="00064796" w:rsidRPr="006B5754">
          <w:rPr>
            <w:rStyle w:val="Hyperlink"/>
            <w:snapToGrid w:val="0"/>
          </w:rPr>
          <w:t>revision of document UPOV/INF/12 “Explanatory Notes on Variety Denominations under the UPOV Convention”</w:t>
        </w:r>
        <w:r w:rsidR="00064796">
          <w:rPr>
            <w:webHidden/>
          </w:rPr>
          <w:tab/>
        </w:r>
        <w:r w:rsidR="00064796">
          <w:rPr>
            <w:webHidden/>
          </w:rPr>
          <w:fldChar w:fldCharType="begin"/>
        </w:r>
        <w:r w:rsidR="00064796">
          <w:rPr>
            <w:webHidden/>
          </w:rPr>
          <w:instrText xml:space="preserve"> PAGEREF _Toc395626223 \h </w:instrText>
        </w:r>
        <w:r w:rsidR="00064796">
          <w:rPr>
            <w:webHidden/>
          </w:rPr>
        </w:r>
        <w:r w:rsidR="00064796">
          <w:rPr>
            <w:webHidden/>
          </w:rPr>
          <w:fldChar w:fldCharType="separate"/>
        </w:r>
        <w:r w:rsidR="00064796">
          <w:rPr>
            <w:webHidden/>
          </w:rPr>
          <w:t>2</w:t>
        </w:r>
        <w:r w:rsidR="00064796">
          <w:rPr>
            <w:webHidden/>
          </w:rPr>
          <w:fldChar w:fldCharType="end"/>
        </w:r>
      </w:hyperlink>
    </w:p>
    <w:p w:rsidR="001D483F" w:rsidRDefault="001D483F" w:rsidP="002A551B">
      <w:pPr>
        <w:ind w:left="567" w:hanging="567"/>
        <w:rPr>
          <w:rFonts w:cs="Arial"/>
          <w:snapToGrid w:val="0"/>
        </w:rPr>
      </w:pPr>
      <w:r>
        <w:rPr>
          <w:rFonts w:cs="Arial"/>
          <w:snapToGrid w:val="0"/>
        </w:rPr>
        <w:fldChar w:fldCharType="end"/>
      </w:r>
    </w:p>
    <w:p w:rsidR="003A0A5A" w:rsidRDefault="003A0A5A" w:rsidP="002A551B">
      <w:pPr>
        <w:ind w:left="567" w:hanging="567"/>
        <w:rPr>
          <w:rFonts w:cs="Arial"/>
          <w:snapToGrid w:val="0"/>
        </w:rPr>
      </w:pPr>
    </w:p>
    <w:p w:rsidR="001D483F" w:rsidRDefault="001D483F" w:rsidP="001D483F">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The following abbreviations are used in this document:</w:t>
      </w:r>
    </w:p>
    <w:p w:rsidR="001D483F" w:rsidRDefault="001D483F" w:rsidP="001D483F">
      <w:pPr>
        <w:rPr>
          <w:rFonts w:cs="Arial"/>
          <w:snapToGrid w:val="0"/>
        </w:rPr>
      </w:pPr>
    </w:p>
    <w:p w:rsidR="001D483F" w:rsidRDefault="001D483F" w:rsidP="001D483F">
      <w:pPr>
        <w:ind w:left="567"/>
        <w:rPr>
          <w:rFonts w:cs="Arial"/>
          <w:snapToGrid w:val="0"/>
        </w:rPr>
      </w:pPr>
      <w:r>
        <w:rPr>
          <w:rFonts w:cs="Arial"/>
          <w:snapToGrid w:val="0"/>
          <w:color w:val="000000"/>
        </w:rPr>
        <w:t xml:space="preserve">CAJ:  </w:t>
      </w:r>
      <w:r w:rsidRPr="00EA0502">
        <w:rPr>
          <w:rFonts w:cs="Arial"/>
          <w:snapToGrid w:val="0"/>
          <w:color w:val="000000"/>
        </w:rPr>
        <w:t xml:space="preserve">Administrative and Legal Committee </w:t>
      </w:r>
    </w:p>
    <w:p w:rsidR="001D483F" w:rsidRDefault="001D483F" w:rsidP="001D483F">
      <w:pPr>
        <w:ind w:left="567"/>
        <w:rPr>
          <w:rFonts w:cs="Arial"/>
          <w:snapToGrid w:val="0"/>
        </w:rPr>
      </w:pPr>
      <w:r>
        <w:rPr>
          <w:rFonts w:cs="Arial"/>
          <w:snapToGrid w:val="0"/>
        </w:rPr>
        <w:t xml:space="preserve">CAJ-AG:  </w:t>
      </w:r>
      <w:r w:rsidRPr="00EA0502">
        <w:rPr>
          <w:rFonts w:cs="Arial"/>
          <w:snapToGrid w:val="0"/>
        </w:rPr>
        <w:t xml:space="preserve">Administrative and Legal Committee Advisory Group </w:t>
      </w:r>
    </w:p>
    <w:p w:rsidR="001D483F" w:rsidRDefault="001D483F" w:rsidP="001D483F">
      <w:pPr>
        <w:ind w:left="567"/>
        <w:rPr>
          <w:rFonts w:cs="Arial"/>
          <w:snapToGrid w:val="0"/>
        </w:rPr>
      </w:pPr>
      <w:r>
        <w:rPr>
          <w:rFonts w:cs="Arial"/>
          <w:snapToGrid w:val="0"/>
        </w:rPr>
        <w:t>TC:  Technical Committee</w:t>
      </w:r>
    </w:p>
    <w:p w:rsidR="001D483F" w:rsidRDefault="001D483F" w:rsidP="001D483F">
      <w:pPr>
        <w:ind w:left="567"/>
        <w:rPr>
          <w:rFonts w:cs="Arial"/>
          <w:snapToGrid w:val="0"/>
        </w:rPr>
      </w:pPr>
      <w:r>
        <w:rPr>
          <w:rFonts w:cs="Arial"/>
          <w:snapToGrid w:val="0"/>
        </w:rPr>
        <w:t xml:space="preserve">IUBS Commission:  </w:t>
      </w:r>
      <w:r w:rsidRPr="00EA0502">
        <w:rPr>
          <w:rFonts w:cs="Arial"/>
          <w:snapToGrid w:val="0"/>
        </w:rPr>
        <w:t xml:space="preserve">International Union of Biological Sciences </w:t>
      </w:r>
      <w:r>
        <w:rPr>
          <w:rFonts w:cs="Arial"/>
          <w:snapToGrid w:val="0"/>
        </w:rPr>
        <w:t>Commission</w:t>
      </w:r>
    </w:p>
    <w:p w:rsidR="001D483F" w:rsidRDefault="001D483F" w:rsidP="001D483F">
      <w:pPr>
        <w:ind w:left="567"/>
        <w:rPr>
          <w:rFonts w:cs="Arial"/>
          <w:snapToGrid w:val="0"/>
        </w:rPr>
      </w:pPr>
      <w:r>
        <w:rPr>
          <w:rFonts w:cs="Arial"/>
          <w:snapToGrid w:val="0"/>
        </w:rPr>
        <w:t xml:space="preserve">ISHS Commission:  </w:t>
      </w:r>
      <w:r w:rsidRPr="00EA0502">
        <w:rPr>
          <w:rFonts w:cs="Arial"/>
          <w:snapToGrid w:val="0"/>
        </w:rPr>
        <w:t xml:space="preserve">International Society for Horticultural Sciences </w:t>
      </w:r>
      <w:r>
        <w:rPr>
          <w:rFonts w:cs="Arial"/>
          <w:snapToGrid w:val="0"/>
        </w:rPr>
        <w:t>Commission</w:t>
      </w:r>
    </w:p>
    <w:p w:rsidR="001D483F" w:rsidRDefault="001D483F" w:rsidP="001D483F">
      <w:pPr>
        <w:rPr>
          <w:rFonts w:cs="Arial"/>
          <w:snapToGrid w:val="0"/>
        </w:rPr>
      </w:pPr>
    </w:p>
    <w:p w:rsidR="001D483F" w:rsidRDefault="001D483F" w:rsidP="001D483F"/>
    <w:p w:rsidR="00636AAE" w:rsidRDefault="00636AAE" w:rsidP="001D483F"/>
    <w:p w:rsidR="001D483F" w:rsidRPr="00CA664D" w:rsidRDefault="003F1037" w:rsidP="001D483F">
      <w:pPr>
        <w:pStyle w:val="Heading1"/>
        <w:ind w:left="567" w:hanging="567"/>
        <w:rPr>
          <w:snapToGrid w:val="0"/>
        </w:rPr>
      </w:pPr>
      <w:bookmarkStart w:id="6" w:name="_Toc395626222"/>
      <w:r>
        <w:rPr>
          <w:snapToGrid w:val="0"/>
        </w:rPr>
        <w:t>I</w:t>
      </w:r>
      <w:r w:rsidR="001D483F">
        <w:rPr>
          <w:snapToGrid w:val="0"/>
        </w:rPr>
        <w:t>.</w:t>
      </w:r>
      <w:r w:rsidR="001D483F">
        <w:rPr>
          <w:snapToGrid w:val="0"/>
        </w:rPr>
        <w:tab/>
        <w:t xml:space="preserve">POSSIBLE Development of </w:t>
      </w:r>
      <w:r w:rsidR="001D483F" w:rsidRPr="000316DA">
        <w:rPr>
          <w:snapToGrid w:val="0"/>
        </w:rPr>
        <w:t>a UPOV similarity search tool for variety denomination purposes</w:t>
      </w:r>
      <w:r w:rsidR="008D2FC8">
        <w:rPr>
          <w:rStyle w:val="FootnoteReference"/>
          <w:snapToGrid w:val="0"/>
        </w:rPr>
        <w:footnoteReference w:id="2"/>
      </w:r>
      <w:bookmarkEnd w:id="6"/>
    </w:p>
    <w:p w:rsidR="00FB4349" w:rsidRDefault="00FB4349" w:rsidP="002D70DD">
      <w:pPr>
        <w:rPr>
          <w:spacing w:val="-2"/>
          <w:kern w:val="28"/>
        </w:rPr>
      </w:pPr>
    </w:p>
    <w:p w:rsidR="00FB4349" w:rsidRDefault="00FB4349" w:rsidP="00FB4349">
      <w:r>
        <w:rPr>
          <w:spacing w:val="-2"/>
          <w:kern w:val="28"/>
        </w:rPr>
        <w:fldChar w:fldCharType="begin"/>
      </w:r>
      <w:r>
        <w:rPr>
          <w:spacing w:val="-2"/>
          <w:kern w:val="28"/>
        </w:rPr>
        <w:instrText xml:space="preserve"> AUTONUM  </w:instrText>
      </w:r>
      <w:r>
        <w:rPr>
          <w:spacing w:val="-2"/>
          <w:kern w:val="28"/>
        </w:rPr>
        <w:fldChar w:fldCharType="end"/>
      </w:r>
      <w:r>
        <w:rPr>
          <w:spacing w:val="-2"/>
          <w:kern w:val="28"/>
        </w:rPr>
        <w:tab/>
      </w:r>
      <w:r>
        <w:rPr>
          <w:color w:val="000000"/>
        </w:rPr>
        <w:t>The Administrative and Legal Committee (CAJ), at its sixty-eighth sess</w:t>
      </w:r>
      <w:r w:rsidR="0066431E">
        <w:rPr>
          <w:color w:val="000000"/>
        </w:rPr>
        <w:t>ion, held in Geneva, on October </w:t>
      </w:r>
      <w:r>
        <w:rPr>
          <w:color w:val="000000"/>
        </w:rPr>
        <w:t xml:space="preserve">21, 2013, approved the establishment of a working group to develop proposals for a UPOV similarity search tool for variety denomination purposes (the “WG-DST”).  </w:t>
      </w:r>
      <w:r>
        <w:t xml:space="preserve">The terms of reference of the </w:t>
      </w:r>
      <w:r>
        <w:rPr>
          <w:color w:val="000000"/>
        </w:rPr>
        <w:t>WG-DST</w:t>
      </w:r>
      <w:r>
        <w:t xml:space="preserve"> and its composition are contained in Annexes I and II to this document.</w:t>
      </w:r>
    </w:p>
    <w:p w:rsidR="002D70DD" w:rsidRPr="000A6443" w:rsidRDefault="002D70DD" w:rsidP="002D70DD">
      <w:pPr>
        <w:rPr>
          <w:highlight w:val="yellow"/>
        </w:rPr>
      </w:pPr>
    </w:p>
    <w:p w:rsidR="00FB4349" w:rsidRDefault="002D70DD" w:rsidP="002D70DD">
      <w:r w:rsidRPr="000A6443">
        <w:fldChar w:fldCharType="begin"/>
      </w:r>
      <w:r w:rsidRPr="000A6443">
        <w:instrText xml:space="preserve"> AUTONUM  </w:instrText>
      </w:r>
      <w:r w:rsidRPr="000A6443">
        <w:fldChar w:fldCharType="end"/>
      </w:r>
      <w:r w:rsidRPr="000A6443">
        <w:tab/>
        <w:t>The CAJ</w:t>
      </w:r>
      <w:r w:rsidR="00FB4349">
        <w:t xml:space="preserve">, at </w:t>
      </w:r>
      <w:r w:rsidR="00FB4349" w:rsidRPr="000A6443">
        <w:t>its sixty-ninth session</w:t>
      </w:r>
      <w:r w:rsidR="00FB4349">
        <w:t>, held in Geneva on April 10, 2014,</w:t>
      </w:r>
      <w:r w:rsidRPr="000A6443">
        <w:t xml:space="preserve"> noted that the TC, </w:t>
      </w:r>
      <w:r w:rsidRPr="000A6443">
        <w:rPr>
          <w:rFonts w:eastAsia="MS Mincho"/>
        </w:rPr>
        <w:t xml:space="preserve">at its fiftieth session, </w:t>
      </w:r>
      <w:r w:rsidR="00FB4349" w:rsidRPr="000A6443">
        <w:t xml:space="preserve">held in </w:t>
      </w:r>
      <w:r w:rsidR="00FB4349">
        <w:t>Geneva from April 7 to 9, 2014,</w:t>
      </w:r>
      <w:r>
        <w:rPr>
          <w:rFonts w:eastAsia="MS Mincho"/>
        </w:rPr>
        <w:t xml:space="preserve"> </w:t>
      </w:r>
      <w:r w:rsidRPr="000A6443">
        <w:rPr>
          <w:rFonts w:eastAsia="MS Mincho"/>
        </w:rPr>
        <w:t xml:space="preserve">had </w:t>
      </w:r>
      <w:r w:rsidRPr="000A6443">
        <w:t xml:space="preserve">welcomed the establishment of a working group for the development of a UPOV similarity search tool and had invited experts to contribute to its work.  Furthermore, the </w:t>
      </w:r>
      <w:r>
        <w:t xml:space="preserve">CAJ agreed with the TC </w:t>
      </w:r>
      <w:r w:rsidRPr="000A6443">
        <w:t>that there were some challenges concerning linguistic and alphabet aspects which should be considered by the working group when defining the objectives of its work</w:t>
      </w:r>
      <w:r w:rsidR="008D2FC8">
        <w:t>.</w:t>
      </w:r>
      <w:r w:rsidR="008D2FC8">
        <w:rPr>
          <w:rStyle w:val="FootnoteReference"/>
        </w:rPr>
        <w:footnoteReference w:id="3"/>
      </w:r>
    </w:p>
    <w:p w:rsidR="008D2FC8" w:rsidRDefault="008D2FC8" w:rsidP="002D70DD"/>
    <w:p w:rsidR="00FB4349" w:rsidRDefault="00FB4349" w:rsidP="002D70DD">
      <w:pPr>
        <w:rPr>
          <w:color w:val="000000"/>
        </w:rPr>
      </w:pPr>
      <w:r>
        <w:fldChar w:fldCharType="begin"/>
      </w:r>
      <w:r>
        <w:instrText xml:space="preserve"> AUTONUM  </w:instrText>
      </w:r>
      <w:r>
        <w:fldChar w:fldCharType="end"/>
      </w:r>
      <w:r>
        <w:tab/>
        <w:t xml:space="preserve">On </w:t>
      </w:r>
      <w:r w:rsidR="006350AB">
        <w:t xml:space="preserve">May 12, 2014, </w:t>
      </w:r>
      <w:r>
        <w:t xml:space="preserve">the United States of America </w:t>
      </w:r>
      <w:r w:rsidR="009C1193">
        <w:t>requested to participate</w:t>
      </w:r>
      <w:r>
        <w:t xml:space="preserve"> in the </w:t>
      </w:r>
      <w:r w:rsidR="005121A6">
        <w:rPr>
          <w:color w:val="000000"/>
        </w:rPr>
        <w:t>WG</w:t>
      </w:r>
      <w:r w:rsidR="005121A6">
        <w:rPr>
          <w:color w:val="000000"/>
        </w:rPr>
        <w:noBreakHyphen/>
        <w:t>DST.</w:t>
      </w:r>
    </w:p>
    <w:p w:rsidR="00ED786F" w:rsidRDefault="00ED786F" w:rsidP="002D70DD">
      <w:pPr>
        <w:rPr>
          <w:color w:val="000000"/>
        </w:rPr>
      </w:pPr>
    </w:p>
    <w:p w:rsidR="00ED786F" w:rsidRDefault="00ED786F" w:rsidP="00ED786F">
      <w:pPr>
        <w:rPr>
          <w:color w:val="000000"/>
        </w:rPr>
      </w:pPr>
      <w:r>
        <w:fldChar w:fldCharType="begin"/>
      </w:r>
      <w:r>
        <w:instrText xml:space="preserve"> AUTONUM  </w:instrText>
      </w:r>
      <w:r>
        <w:fldChar w:fldCharType="end"/>
      </w:r>
      <w:r>
        <w:tab/>
        <w:t xml:space="preserve">On August </w:t>
      </w:r>
      <w:r w:rsidR="009D7B76">
        <w:t>4</w:t>
      </w:r>
      <w:r>
        <w:t xml:space="preserve">, 2014, Australia </w:t>
      </w:r>
      <w:r w:rsidR="009C1193">
        <w:t>requested to participate</w:t>
      </w:r>
      <w:r>
        <w:t xml:space="preserve"> in the </w:t>
      </w:r>
      <w:r>
        <w:rPr>
          <w:color w:val="000000"/>
        </w:rPr>
        <w:t>WG</w:t>
      </w:r>
      <w:r>
        <w:rPr>
          <w:color w:val="000000"/>
        </w:rPr>
        <w:noBreakHyphen/>
        <w:t>DST.</w:t>
      </w:r>
    </w:p>
    <w:p w:rsidR="00FB4349" w:rsidRDefault="00FB4349" w:rsidP="002D70DD"/>
    <w:p w:rsidR="00FB4349" w:rsidRPr="000A6443" w:rsidRDefault="00FB4349" w:rsidP="002D70DD">
      <w:pPr>
        <w:rPr>
          <w:lang w:eastAsia="ja-JP"/>
        </w:rPr>
      </w:pPr>
      <w:r>
        <w:fldChar w:fldCharType="begin"/>
      </w:r>
      <w:r>
        <w:instrText xml:space="preserve"> AUTONUM  </w:instrText>
      </w:r>
      <w:r>
        <w:fldChar w:fldCharType="end"/>
      </w:r>
      <w:r w:rsidR="00DF0767">
        <w:tab/>
      </w:r>
      <w:r w:rsidR="005121A6">
        <w:t xml:space="preserve">The first meeting of the </w:t>
      </w:r>
      <w:r w:rsidR="005121A6">
        <w:rPr>
          <w:color w:val="000000"/>
        </w:rPr>
        <w:t>WG-DST</w:t>
      </w:r>
      <w:r w:rsidR="005121A6">
        <w:t xml:space="preserve"> will be held at the UPOV headquarters in Geneva,</w:t>
      </w:r>
      <w:r w:rsidR="00DB2BE5">
        <w:rPr>
          <w:lang w:eastAsia="ja-JP"/>
        </w:rPr>
        <w:t xml:space="preserve"> on September 3, 2014 </w:t>
      </w:r>
      <w:r w:rsidR="005121A6">
        <w:rPr>
          <w:lang w:eastAsia="ja-JP"/>
        </w:rPr>
        <w:t>(</w:t>
      </w:r>
      <w:r w:rsidR="00DB2BE5">
        <w:rPr>
          <w:lang w:eastAsia="ja-JP"/>
        </w:rPr>
        <w:t xml:space="preserve">see </w:t>
      </w:r>
      <w:r w:rsidR="005121A6" w:rsidRPr="005121A6">
        <w:rPr>
          <w:lang w:eastAsia="ja-JP"/>
        </w:rPr>
        <w:t>UPOV circ</w:t>
      </w:r>
      <w:r w:rsidR="005121A6">
        <w:rPr>
          <w:lang w:eastAsia="ja-JP"/>
        </w:rPr>
        <w:t>ular E-14/189 of</w:t>
      </w:r>
      <w:r w:rsidR="005121A6" w:rsidRPr="005121A6">
        <w:rPr>
          <w:lang w:eastAsia="ja-JP"/>
        </w:rPr>
        <w:t xml:space="preserve"> July 15, 2014</w:t>
      </w:r>
      <w:r w:rsidR="005121A6">
        <w:rPr>
          <w:lang w:eastAsia="ja-JP"/>
        </w:rPr>
        <w:t>)</w:t>
      </w:r>
      <w:r w:rsidR="009D7B76">
        <w:t>. </w:t>
      </w:r>
    </w:p>
    <w:p w:rsidR="002D70DD" w:rsidRPr="000A6443" w:rsidRDefault="002D70DD" w:rsidP="002D70DD"/>
    <w:p w:rsidR="002D70DD" w:rsidRPr="000A6443" w:rsidRDefault="002D70DD" w:rsidP="002D70DD">
      <w:r w:rsidRPr="000A6443">
        <w:fldChar w:fldCharType="begin"/>
      </w:r>
      <w:r w:rsidRPr="000A6443">
        <w:instrText xml:space="preserve"> AUTONUM  </w:instrText>
      </w:r>
      <w:r w:rsidRPr="000A6443">
        <w:fldChar w:fldCharType="end"/>
      </w:r>
      <w:r w:rsidRPr="000A6443">
        <w:tab/>
      </w:r>
      <w:r w:rsidR="005121A6">
        <w:t>A report on the</w:t>
      </w:r>
      <w:r w:rsidRPr="000A6443">
        <w:rPr>
          <w:rFonts w:eastAsia="MS Mincho"/>
          <w:snapToGrid w:val="0"/>
        </w:rPr>
        <w:t xml:space="preserve"> first meeting of the </w:t>
      </w:r>
      <w:r w:rsidR="006B130D">
        <w:rPr>
          <w:color w:val="000000"/>
        </w:rPr>
        <w:t>WG-DST</w:t>
      </w:r>
      <w:r w:rsidR="006B130D">
        <w:t xml:space="preserve"> </w:t>
      </w:r>
      <w:r w:rsidRPr="000A6443">
        <w:rPr>
          <w:rFonts w:eastAsia="MS Mincho"/>
          <w:snapToGrid w:val="0"/>
        </w:rPr>
        <w:t>w</w:t>
      </w:r>
      <w:r w:rsidR="00DF0767">
        <w:rPr>
          <w:rFonts w:eastAsia="MS Mincho"/>
          <w:snapToGrid w:val="0"/>
        </w:rPr>
        <w:t>i</w:t>
      </w:r>
      <w:r w:rsidRPr="000A6443">
        <w:rPr>
          <w:rFonts w:eastAsia="MS Mincho"/>
          <w:snapToGrid w:val="0"/>
        </w:rPr>
        <w:t>l</w:t>
      </w:r>
      <w:r w:rsidR="00DF0767">
        <w:rPr>
          <w:rFonts w:eastAsia="MS Mincho"/>
          <w:snapToGrid w:val="0"/>
        </w:rPr>
        <w:t>l</w:t>
      </w:r>
      <w:r w:rsidRPr="000A6443">
        <w:rPr>
          <w:rFonts w:eastAsia="MS Mincho"/>
          <w:snapToGrid w:val="0"/>
        </w:rPr>
        <w:t xml:space="preserve"> be made to the</w:t>
      </w:r>
      <w:r w:rsidR="005121A6">
        <w:rPr>
          <w:rFonts w:eastAsia="MS Mincho"/>
          <w:snapToGrid w:val="0"/>
        </w:rPr>
        <w:t xml:space="preserve"> CAJ at its seventieth session.</w:t>
      </w:r>
    </w:p>
    <w:p w:rsidR="002D70DD" w:rsidRDefault="002D70DD" w:rsidP="002D70DD"/>
    <w:p w:rsidR="003A0A5A" w:rsidRPr="000A6443" w:rsidRDefault="003A0A5A" w:rsidP="002D70DD"/>
    <w:p w:rsidR="001D483F" w:rsidRDefault="001D483F" w:rsidP="001D483F">
      <w:pPr>
        <w:rPr>
          <w:rFonts w:cs="Arial"/>
          <w:snapToGrid w:val="0"/>
        </w:rPr>
      </w:pPr>
    </w:p>
    <w:p w:rsidR="00376C56" w:rsidRDefault="00376C56" w:rsidP="00376C56">
      <w:pPr>
        <w:pStyle w:val="Heading1"/>
        <w:ind w:left="567" w:hanging="567"/>
        <w:rPr>
          <w:snapToGrid w:val="0"/>
        </w:rPr>
      </w:pPr>
      <w:bookmarkStart w:id="7" w:name="_Toc395626223"/>
      <w:r>
        <w:rPr>
          <w:snapToGrid w:val="0"/>
        </w:rPr>
        <w:t>I</w:t>
      </w:r>
      <w:r w:rsidR="003F1037">
        <w:rPr>
          <w:snapToGrid w:val="0"/>
        </w:rPr>
        <w:t>I</w:t>
      </w:r>
      <w:r>
        <w:rPr>
          <w:snapToGrid w:val="0"/>
        </w:rPr>
        <w:t>.</w:t>
      </w:r>
      <w:r>
        <w:rPr>
          <w:snapToGrid w:val="0"/>
        </w:rPr>
        <w:tab/>
      </w:r>
      <w:r w:rsidRPr="000316DA">
        <w:rPr>
          <w:snapToGrid w:val="0"/>
        </w:rPr>
        <w:t xml:space="preserve">revision of </w:t>
      </w:r>
      <w:r>
        <w:rPr>
          <w:snapToGrid w:val="0"/>
        </w:rPr>
        <w:t>document UPOV/INF/12 “</w:t>
      </w:r>
      <w:r w:rsidRPr="009C4E6C">
        <w:rPr>
          <w:snapToGrid w:val="0"/>
        </w:rPr>
        <w:t>Explanatory Notes on Variety Denominations under the UPOV Convention</w:t>
      </w:r>
      <w:r>
        <w:rPr>
          <w:snapToGrid w:val="0"/>
        </w:rPr>
        <w:t>”</w:t>
      </w:r>
      <w:bookmarkEnd w:id="7"/>
    </w:p>
    <w:p w:rsidR="00376C56" w:rsidRDefault="00376C56" w:rsidP="00376C56">
      <w:pPr>
        <w:keepNext/>
      </w:pPr>
    </w:p>
    <w:p w:rsidR="00064796" w:rsidRDefault="00376C56" w:rsidP="003C4722">
      <w:r>
        <w:fldChar w:fldCharType="begin"/>
      </w:r>
      <w:r>
        <w:instrText xml:space="preserve"> AUTONUM  </w:instrText>
      </w:r>
      <w:r>
        <w:fldChar w:fldCharType="end"/>
      </w:r>
      <w:r>
        <w:tab/>
      </w:r>
      <w:r w:rsidR="00DF0767">
        <w:t>D</w:t>
      </w:r>
      <w:r>
        <w:t xml:space="preserve">evelopments concerning the revision of </w:t>
      </w:r>
      <w:r w:rsidR="00DB2BE5">
        <w:t>document UPOV/INF/12</w:t>
      </w:r>
      <w:r>
        <w:t xml:space="preserve"> </w:t>
      </w:r>
      <w:r w:rsidRPr="00482F75">
        <w:t>“Explanatory Notes on Variety Denominations under the UPOV Con</w:t>
      </w:r>
      <w:r w:rsidR="00DB2BE5">
        <w:t>vention”</w:t>
      </w:r>
      <w:r>
        <w:t xml:space="preserve">, which will be considered by the CAJ-AG, at its ninth session on October 14 and 17, 2014, </w:t>
      </w:r>
      <w:r w:rsidR="00DB2BE5">
        <w:t xml:space="preserve">are </w:t>
      </w:r>
      <w:r>
        <w:t>reported in document CAJ/70/2 “</w:t>
      </w:r>
      <w:r w:rsidRPr="00204B33">
        <w:rPr>
          <w:kern w:val="28"/>
        </w:rPr>
        <w:t>Development of information materials</w:t>
      </w:r>
      <w:r>
        <w:rPr>
          <w:kern w:val="28"/>
        </w:rPr>
        <w:t xml:space="preserve"> concerning the UPOV Convention</w:t>
      </w:r>
      <w:r w:rsidR="009D7B76">
        <w:rPr>
          <w:kern w:val="28"/>
        </w:rPr>
        <w:t>”</w:t>
      </w:r>
      <w:r>
        <w:t>.</w:t>
      </w:r>
    </w:p>
    <w:p w:rsidR="00E40A1F" w:rsidRPr="003C4722" w:rsidRDefault="00376C56" w:rsidP="003C4722">
      <w:r>
        <w:t xml:space="preserve"> </w:t>
      </w:r>
    </w:p>
    <w:p w:rsidR="003C4722" w:rsidRDefault="003C4722">
      <w:pPr>
        <w:jc w:val="left"/>
        <w:rPr>
          <w:i/>
        </w:rPr>
      </w:pPr>
      <w:r>
        <w:br w:type="page"/>
      </w:r>
    </w:p>
    <w:p w:rsidR="00DB2BE5" w:rsidRPr="006B130D" w:rsidRDefault="001D483F" w:rsidP="006B130D">
      <w:pPr>
        <w:pStyle w:val="DecisionParagraphs"/>
      </w:pPr>
      <w:r w:rsidRPr="006B130D">
        <w:lastRenderedPageBreak/>
        <w:fldChar w:fldCharType="begin"/>
      </w:r>
      <w:r w:rsidRPr="006B130D">
        <w:instrText xml:space="preserve"> AUTONUM  </w:instrText>
      </w:r>
      <w:r w:rsidRPr="006B130D">
        <w:fldChar w:fldCharType="end"/>
      </w:r>
      <w:r w:rsidRPr="006B130D">
        <w:tab/>
        <w:t>The CAJ is invited to note</w:t>
      </w:r>
      <w:r w:rsidR="00F21342">
        <w:t xml:space="preserve"> that</w:t>
      </w:r>
      <w:r w:rsidR="00DB2BE5" w:rsidRPr="006B130D">
        <w:t>:</w:t>
      </w:r>
    </w:p>
    <w:p w:rsidR="00DB2BE5" w:rsidRPr="006B130D" w:rsidRDefault="00DB2BE5" w:rsidP="006B130D">
      <w:pPr>
        <w:pStyle w:val="DecisionParagraphs"/>
      </w:pPr>
    </w:p>
    <w:p w:rsidR="00AA5EB1" w:rsidRDefault="00F32FC6" w:rsidP="009D7B76">
      <w:pPr>
        <w:pStyle w:val="DecisionParagraphs"/>
        <w:numPr>
          <w:ilvl w:val="0"/>
          <w:numId w:val="8"/>
        </w:numPr>
        <w:ind w:left="4820" w:firstLine="567"/>
      </w:pPr>
      <w:r>
        <w:tab/>
      </w:r>
      <w:r w:rsidR="00F21342" w:rsidRPr="006B130D">
        <w:t>a report on the</w:t>
      </w:r>
      <w:r w:rsidR="00F21342" w:rsidRPr="006B130D">
        <w:rPr>
          <w:rFonts w:eastAsia="MS Mincho"/>
        </w:rPr>
        <w:t xml:space="preserve"> first meeting of the </w:t>
      </w:r>
      <w:r w:rsidR="00F21342">
        <w:t>WG</w:t>
      </w:r>
      <w:r w:rsidR="00F21342">
        <w:noBreakHyphen/>
      </w:r>
      <w:r w:rsidR="00F21342" w:rsidRPr="006B130D">
        <w:t>DST</w:t>
      </w:r>
      <w:r w:rsidR="00F21342" w:rsidRPr="006B130D">
        <w:rPr>
          <w:rFonts w:eastAsia="MS Mincho"/>
        </w:rPr>
        <w:t xml:space="preserve"> </w:t>
      </w:r>
      <w:r w:rsidR="00F21342">
        <w:rPr>
          <w:rFonts w:eastAsia="MS Mincho"/>
        </w:rPr>
        <w:t>which will be held in Geneva on September</w:t>
      </w:r>
      <w:r w:rsidR="003D6DAF">
        <w:rPr>
          <w:rFonts w:eastAsia="MS Mincho"/>
        </w:rPr>
        <w:t> </w:t>
      </w:r>
      <w:r w:rsidR="00F21342">
        <w:rPr>
          <w:rFonts w:eastAsia="MS Mincho"/>
        </w:rPr>
        <w:t xml:space="preserve">3, 2014, </w:t>
      </w:r>
      <w:r w:rsidR="00F21342" w:rsidRPr="006B130D">
        <w:rPr>
          <w:rFonts w:eastAsia="MS Mincho"/>
        </w:rPr>
        <w:t>w</w:t>
      </w:r>
      <w:r w:rsidR="00F21342">
        <w:rPr>
          <w:rFonts w:eastAsia="MS Mincho"/>
        </w:rPr>
        <w:t>ill</w:t>
      </w:r>
      <w:r w:rsidR="00F21342" w:rsidRPr="006B130D">
        <w:rPr>
          <w:rFonts w:eastAsia="MS Mincho"/>
        </w:rPr>
        <w:t xml:space="preserve"> be made to the CAJ at its seventieth session;</w:t>
      </w:r>
    </w:p>
    <w:p w:rsidR="006B130D" w:rsidRPr="006B130D" w:rsidRDefault="006B130D" w:rsidP="00F21342">
      <w:pPr>
        <w:pStyle w:val="DecisionParagraphs"/>
      </w:pPr>
    </w:p>
    <w:p w:rsidR="006B130D" w:rsidRDefault="006B130D" w:rsidP="009D7B76">
      <w:pPr>
        <w:pStyle w:val="DecisionParagraphs"/>
        <w:ind w:firstLine="567"/>
      </w:pPr>
      <w:r>
        <w:t>(</w:t>
      </w:r>
      <w:r w:rsidR="009D7B76">
        <w:t>b</w:t>
      </w:r>
      <w:r>
        <w:t xml:space="preserve">) </w:t>
      </w:r>
      <w:r w:rsidR="00AA5EB1">
        <w:tab/>
      </w:r>
      <w:r w:rsidRPr="006B130D">
        <w:t>that lat</w:t>
      </w:r>
      <w:r>
        <w:t xml:space="preserve">est developments concerning the </w:t>
      </w:r>
      <w:r w:rsidRPr="006B130D">
        <w:t>revision of document UPOV/INF/12 “Explanatory Notes on Variety Denominations under the UPOV Convention”, which will be considered by the CAJ-AG, at its ninth session on October 14 and 17, 2014, are reported in document CAJ/70/2 “Development of information materials co</w:t>
      </w:r>
      <w:r w:rsidR="00F21342">
        <w:t>ncerning the UPOV Convention“.</w:t>
      </w:r>
    </w:p>
    <w:p w:rsidR="006B130D" w:rsidRPr="006B130D" w:rsidRDefault="006B130D" w:rsidP="006B130D">
      <w:pPr>
        <w:pStyle w:val="DecisionParagraphs"/>
      </w:pPr>
    </w:p>
    <w:p w:rsidR="001D483F" w:rsidRPr="006B130D" w:rsidRDefault="001D483F" w:rsidP="00F21342">
      <w:pPr>
        <w:pStyle w:val="DecisionParagraphs"/>
        <w:ind w:left="0"/>
      </w:pPr>
    </w:p>
    <w:p w:rsidR="003A0A5A" w:rsidRDefault="003A0A5A" w:rsidP="001D483F">
      <w:pPr>
        <w:rPr>
          <w:snapToGrid w:val="0"/>
        </w:rPr>
      </w:pPr>
    </w:p>
    <w:p w:rsidR="003A0A5A" w:rsidRDefault="003A0A5A" w:rsidP="001D483F">
      <w:pPr>
        <w:rPr>
          <w:snapToGrid w:val="0"/>
        </w:rPr>
      </w:pPr>
    </w:p>
    <w:p w:rsidR="008D2FC8" w:rsidRDefault="00E40A1F" w:rsidP="00E40A1F">
      <w:pPr>
        <w:jc w:val="right"/>
        <w:rPr>
          <w:snapToGrid w:val="0"/>
        </w:rPr>
      </w:pPr>
      <w:r>
        <w:rPr>
          <w:snapToGrid w:val="0"/>
        </w:rPr>
        <w:t>[Annexes follow]</w:t>
      </w:r>
    </w:p>
    <w:p w:rsidR="00AA5EB1" w:rsidRDefault="00AA5EB1">
      <w:pPr>
        <w:jc w:val="left"/>
        <w:rPr>
          <w:snapToGrid w:val="0"/>
        </w:rPr>
      </w:pPr>
      <w:r>
        <w:rPr>
          <w:snapToGrid w:val="0"/>
        </w:rPr>
        <w:br w:type="page"/>
      </w:r>
    </w:p>
    <w:p w:rsidR="003A0A5A" w:rsidRDefault="003A0A5A">
      <w:pPr>
        <w:jc w:val="left"/>
        <w:rPr>
          <w:snapToGrid w:val="0"/>
        </w:rPr>
        <w:sectPr w:rsidR="003A0A5A" w:rsidSect="00114079">
          <w:headerReference w:type="default" r:id="rId10"/>
          <w:endnotePr>
            <w:numFmt w:val="lowerLetter"/>
          </w:endnotePr>
          <w:type w:val="continuous"/>
          <w:pgSz w:w="11907" w:h="16840" w:code="9"/>
          <w:pgMar w:top="510" w:right="1134" w:bottom="1134" w:left="1134" w:header="510" w:footer="680" w:gutter="0"/>
          <w:cols w:space="720"/>
          <w:titlePg/>
        </w:sectPr>
      </w:pPr>
    </w:p>
    <w:p w:rsidR="008D2FC8" w:rsidRDefault="003A0A5A" w:rsidP="003A0A5A">
      <w:pPr>
        <w:jc w:val="center"/>
        <w:rPr>
          <w:snapToGrid w:val="0"/>
        </w:rPr>
      </w:pPr>
      <w:r>
        <w:rPr>
          <w:snapToGrid w:val="0"/>
        </w:rPr>
        <w:lastRenderedPageBreak/>
        <w:t>CAJ/70/4</w:t>
      </w:r>
    </w:p>
    <w:p w:rsidR="001D483F" w:rsidRPr="005F74D7" w:rsidRDefault="001D483F" w:rsidP="003A0A5A">
      <w:pPr>
        <w:rPr>
          <w:snapToGrid w:val="0"/>
        </w:rPr>
      </w:pPr>
    </w:p>
    <w:p w:rsidR="002D70DD" w:rsidRDefault="002D70DD" w:rsidP="002D70DD">
      <w:pPr>
        <w:jc w:val="center"/>
        <w:rPr>
          <w:rFonts w:cs="Arial"/>
        </w:rPr>
      </w:pPr>
      <w:r w:rsidRPr="00C36725">
        <w:rPr>
          <w:rFonts w:cs="Arial"/>
        </w:rPr>
        <w:t>A</w:t>
      </w:r>
      <w:r>
        <w:rPr>
          <w:rFonts w:cs="Arial"/>
        </w:rPr>
        <w:t>NNEX I</w:t>
      </w:r>
    </w:p>
    <w:p w:rsidR="002D70DD" w:rsidRDefault="002D70DD" w:rsidP="002D70DD">
      <w:pPr>
        <w:jc w:val="center"/>
        <w:rPr>
          <w:rFonts w:cs="Arial"/>
        </w:rPr>
      </w:pPr>
    </w:p>
    <w:p w:rsidR="003A0A5A" w:rsidRDefault="003A0A5A" w:rsidP="002D70DD">
      <w:pPr>
        <w:jc w:val="center"/>
        <w:rPr>
          <w:rFonts w:cs="Arial"/>
        </w:rPr>
      </w:pPr>
    </w:p>
    <w:p w:rsidR="002D70DD" w:rsidRDefault="002D70DD" w:rsidP="002D70DD">
      <w:pPr>
        <w:jc w:val="center"/>
        <w:rPr>
          <w:rFonts w:cs="Arial"/>
        </w:rPr>
      </w:pPr>
      <w:r>
        <w:rPr>
          <w:rFonts w:cs="Arial"/>
        </w:rPr>
        <w:t xml:space="preserve">TERMS OF REFERENCE OF THE </w:t>
      </w:r>
      <w:r w:rsidRPr="0075388A">
        <w:rPr>
          <w:rFonts w:cs="Arial"/>
        </w:rPr>
        <w:t xml:space="preserve">WORKING GROUP </w:t>
      </w:r>
      <w:r>
        <w:rPr>
          <w:rFonts w:cs="Arial"/>
        </w:rPr>
        <w:t>TO DEVELOP PROPOSALS FOR A UPOV </w:t>
      </w:r>
      <w:r w:rsidRPr="0075388A">
        <w:rPr>
          <w:rFonts w:cs="Arial"/>
        </w:rPr>
        <w:t>SIMILARITY SEARCH TOOL FOR VARIETY DENOMINATION PURPOSES</w:t>
      </w:r>
    </w:p>
    <w:p w:rsidR="002D70DD" w:rsidRDefault="002D70DD" w:rsidP="002D70DD">
      <w:pPr>
        <w:jc w:val="center"/>
        <w:rPr>
          <w:rFonts w:cs="Arial"/>
        </w:rPr>
      </w:pPr>
      <w:r>
        <w:rPr>
          <w:rFonts w:cs="Arial"/>
        </w:rPr>
        <w:t>(“Working Group on Denomination Search Tool”)</w:t>
      </w:r>
    </w:p>
    <w:p w:rsidR="002D70DD" w:rsidRDefault="002D70DD" w:rsidP="002D70DD">
      <w:pPr>
        <w:jc w:val="center"/>
        <w:rPr>
          <w:rFonts w:cs="Arial"/>
        </w:rPr>
      </w:pPr>
    </w:p>
    <w:p w:rsidR="002D70DD" w:rsidRDefault="002D70DD" w:rsidP="002D70DD">
      <w:pPr>
        <w:jc w:val="center"/>
        <w:rPr>
          <w:rFonts w:cs="Arial"/>
        </w:rPr>
      </w:pPr>
    </w:p>
    <w:p w:rsidR="002D70DD" w:rsidRPr="00C36725" w:rsidRDefault="002D70DD" w:rsidP="002D70DD">
      <w:pPr>
        <w:jc w:val="center"/>
        <w:rPr>
          <w:rFonts w:cs="Arial"/>
        </w:rPr>
      </w:pPr>
    </w:p>
    <w:p w:rsidR="002D70DD" w:rsidRPr="00C36725" w:rsidRDefault="002D70DD" w:rsidP="002D70DD">
      <w:pPr>
        <w:rPr>
          <w:rFonts w:cs="Arial"/>
        </w:rPr>
      </w:pPr>
      <w:r w:rsidRPr="00C36725">
        <w:rPr>
          <w:rFonts w:cs="Arial"/>
        </w:rPr>
        <w:t>ESTABLISHMENT OF A WORKING GROUP</w:t>
      </w:r>
    </w:p>
    <w:p w:rsidR="002D70DD" w:rsidRDefault="002D70DD" w:rsidP="002D70DD">
      <w:pPr>
        <w:rPr>
          <w:rFonts w:cs="Arial"/>
        </w:rPr>
      </w:pPr>
    </w:p>
    <w:p w:rsidR="002D70DD" w:rsidRPr="00C36725" w:rsidRDefault="002D70DD" w:rsidP="002D70DD">
      <w:pPr>
        <w:rPr>
          <w:rFonts w:cs="Arial"/>
        </w:rPr>
      </w:pPr>
      <w:r w:rsidRPr="00C36725">
        <w:rPr>
          <w:rFonts w:cs="Arial"/>
        </w:rPr>
        <w:t xml:space="preserve">The </w:t>
      </w:r>
      <w:r>
        <w:rPr>
          <w:rFonts w:cs="Arial"/>
        </w:rPr>
        <w:t>Administrative and Legal Committee (</w:t>
      </w:r>
      <w:r w:rsidRPr="00C36725">
        <w:rPr>
          <w:rFonts w:cs="Arial"/>
        </w:rPr>
        <w:t>CAJ</w:t>
      </w:r>
      <w:r>
        <w:rPr>
          <w:rFonts w:cs="Arial"/>
        </w:rPr>
        <w:t>)</w:t>
      </w:r>
      <w:r w:rsidRPr="00C36725">
        <w:rPr>
          <w:rFonts w:cs="Arial"/>
        </w:rPr>
        <w:t>, at its sixty-eighth session, held in Geneva, on October 21, 2013, considered document CAJ/68/9 “Possible development of a UPOV similarity search tool for variety denomination purposes” and approved the establishment of a working group to develop proposals for a UPOV similarity search tool for variety denomination purposes, as proposed in document CAJ/68/9, paragraphs 4 to 7, as follows</w:t>
      </w:r>
      <w:r w:rsidR="00F80C45">
        <w:rPr>
          <w:rStyle w:val="FootnoteReference"/>
          <w:rFonts w:cs="Arial"/>
        </w:rPr>
        <w:footnoteReference w:id="4"/>
      </w:r>
      <w:r w:rsidR="00F80C45">
        <w:rPr>
          <w:rFonts w:cs="Arial"/>
        </w:rPr>
        <w:t>:</w:t>
      </w:r>
    </w:p>
    <w:p w:rsidR="002D70DD" w:rsidRPr="00C36725" w:rsidRDefault="002D70DD" w:rsidP="002D70DD">
      <w:pPr>
        <w:rPr>
          <w:rFonts w:cs="Arial"/>
        </w:rPr>
      </w:pPr>
    </w:p>
    <w:p w:rsidR="002D70DD" w:rsidRPr="00C36725" w:rsidRDefault="002D70DD" w:rsidP="002D70DD">
      <w:pPr>
        <w:ind w:left="567" w:right="567"/>
        <w:rPr>
          <w:rFonts w:cs="Arial"/>
        </w:rPr>
      </w:pPr>
      <w:r w:rsidRPr="00C36725">
        <w:rPr>
          <w:rFonts w:cs="Arial"/>
        </w:rPr>
        <w:t>Composition of the working group:</w:t>
      </w:r>
    </w:p>
    <w:p w:rsidR="002D70DD" w:rsidRPr="00C36725" w:rsidRDefault="002D70DD" w:rsidP="002D70DD">
      <w:pPr>
        <w:ind w:left="567" w:right="567"/>
        <w:rPr>
          <w:rFonts w:cs="Arial"/>
        </w:rPr>
      </w:pPr>
    </w:p>
    <w:p w:rsidR="002D70DD" w:rsidRPr="00C36725" w:rsidRDefault="002D70DD" w:rsidP="002D70DD">
      <w:pPr>
        <w:spacing w:line="360" w:lineRule="auto"/>
        <w:ind w:left="567" w:right="567"/>
        <w:rPr>
          <w:rFonts w:cs="Arial"/>
        </w:rPr>
      </w:pPr>
      <w:r>
        <w:rPr>
          <w:rFonts w:cs="Arial"/>
        </w:rPr>
        <w:tab/>
      </w:r>
      <w:r w:rsidRPr="00C36725">
        <w:rPr>
          <w:rFonts w:cs="Arial"/>
        </w:rPr>
        <w:t>(a)</w:t>
      </w:r>
      <w:r w:rsidRPr="00C36725">
        <w:rPr>
          <w:rFonts w:cs="Arial"/>
        </w:rPr>
        <w:tab/>
        <w:t>Denomination examiners from members of the Union (3 to 6 experts);</w:t>
      </w:r>
    </w:p>
    <w:p w:rsidR="002D70DD" w:rsidRPr="00C36725" w:rsidRDefault="002D70DD" w:rsidP="002D70DD">
      <w:pPr>
        <w:spacing w:line="360" w:lineRule="auto"/>
        <w:ind w:left="567" w:right="567"/>
        <w:rPr>
          <w:rFonts w:cs="Arial"/>
        </w:rPr>
      </w:pPr>
      <w:r>
        <w:rPr>
          <w:rFonts w:cs="Arial"/>
        </w:rPr>
        <w:tab/>
      </w:r>
      <w:r w:rsidRPr="00C36725">
        <w:rPr>
          <w:rFonts w:cs="Arial"/>
        </w:rPr>
        <w:t>(b)</w:t>
      </w:r>
      <w:r w:rsidRPr="00C36725">
        <w:rPr>
          <w:rFonts w:cs="Arial"/>
        </w:rPr>
        <w:tab/>
        <w:t>WIPO Global Databases Service (responsible for the PLUTO database);</w:t>
      </w:r>
    </w:p>
    <w:p w:rsidR="002D70DD" w:rsidRPr="00C36725" w:rsidRDefault="002D70DD" w:rsidP="002D70DD">
      <w:pPr>
        <w:spacing w:line="360" w:lineRule="auto"/>
        <w:ind w:left="567" w:right="567"/>
        <w:rPr>
          <w:rFonts w:cs="Arial"/>
        </w:rPr>
      </w:pPr>
      <w:r>
        <w:rPr>
          <w:rFonts w:cs="Arial"/>
        </w:rPr>
        <w:tab/>
      </w:r>
      <w:r w:rsidRPr="00C36725">
        <w:rPr>
          <w:rFonts w:cs="Arial"/>
        </w:rPr>
        <w:t>(c)</w:t>
      </w:r>
      <w:r w:rsidRPr="00C36725">
        <w:rPr>
          <w:rFonts w:cs="Arial"/>
        </w:rPr>
        <w:tab/>
        <w:t>Community Plant Variety Office of the European Union (CPVO);  and</w:t>
      </w:r>
    </w:p>
    <w:p w:rsidR="002D70DD" w:rsidRPr="00C36725" w:rsidRDefault="002D70DD" w:rsidP="002D70DD">
      <w:pPr>
        <w:ind w:left="567" w:right="567"/>
        <w:rPr>
          <w:rFonts w:cs="Arial"/>
        </w:rPr>
      </w:pPr>
      <w:r>
        <w:rPr>
          <w:rFonts w:cs="Arial"/>
        </w:rPr>
        <w:tab/>
      </w:r>
      <w:r w:rsidRPr="00C36725">
        <w:rPr>
          <w:rFonts w:cs="Arial"/>
        </w:rPr>
        <w:t>(d)</w:t>
      </w:r>
      <w:r w:rsidRPr="00C36725">
        <w:rPr>
          <w:rFonts w:cs="Arial"/>
        </w:rPr>
        <w:tab/>
        <w:t>Office of the Union.</w:t>
      </w:r>
    </w:p>
    <w:p w:rsidR="002D70DD" w:rsidRPr="00C36725" w:rsidRDefault="002D70DD" w:rsidP="002D70DD">
      <w:pPr>
        <w:ind w:left="567" w:right="567"/>
        <w:rPr>
          <w:rFonts w:cs="Arial"/>
        </w:rPr>
      </w:pPr>
    </w:p>
    <w:p w:rsidR="002D70DD" w:rsidRPr="00C36725" w:rsidRDefault="002D70DD" w:rsidP="002D70DD">
      <w:pPr>
        <w:ind w:left="567" w:right="567"/>
        <w:rPr>
          <w:rFonts w:cs="Arial"/>
        </w:rPr>
      </w:pPr>
      <w:r w:rsidRPr="00C36725">
        <w:rPr>
          <w:rFonts w:cs="Arial"/>
        </w:rPr>
        <w:t xml:space="preserve">The work plan of the working group will be established by the working group itself; however, it is anticipated that the first step will be to review the search types currently available in the denomination search tab of the PLUTO database, particularly the Similarity factor (CPVO search tool), and to review search types in use in other situations (e.g. in relation to trademarks) that might provide an alternative basis for a UPOV similarity search tool.  </w:t>
      </w:r>
    </w:p>
    <w:p w:rsidR="002D70DD" w:rsidRPr="00C36725" w:rsidRDefault="002D70DD" w:rsidP="002D70DD">
      <w:pPr>
        <w:ind w:left="567" w:right="567"/>
        <w:rPr>
          <w:rFonts w:cs="Arial"/>
        </w:rPr>
      </w:pPr>
    </w:p>
    <w:p w:rsidR="002D70DD" w:rsidRPr="00C36725" w:rsidRDefault="002D70DD" w:rsidP="002D70DD">
      <w:pPr>
        <w:ind w:left="567" w:right="567"/>
        <w:rPr>
          <w:rFonts w:cs="Arial"/>
        </w:rPr>
      </w:pPr>
      <w:r w:rsidRPr="00C36725">
        <w:rPr>
          <w:rFonts w:cs="Arial"/>
        </w:rPr>
        <w:t xml:space="preserve">The review of the suitability of search types will, in particular, take into account document UPOV/INF/12 “Explanatory notes on variety denominations under the UPOV Convention”.  In that regard, the working group will need to refer to the CAJ for further guidance if its work indicates that a review of document UPOV/INF/12 would be necessary for the development of an effective UPOV similarity search tool.    </w:t>
      </w:r>
    </w:p>
    <w:p w:rsidR="002D70DD" w:rsidRPr="00C36725" w:rsidRDefault="002D70DD" w:rsidP="002D70DD">
      <w:pPr>
        <w:ind w:left="567" w:right="567"/>
        <w:rPr>
          <w:rFonts w:cs="Arial"/>
        </w:rPr>
      </w:pPr>
    </w:p>
    <w:p w:rsidR="002D70DD" w:rsidRPr="00C36725" w:rsidRDefault="002D70DD" w:rsidP="002D70DD">
      <w:pPr>
        <w:ind w:left="567" w:right="567"/>
        <w:rPr>
          <w:rFonts w:cs="Arial"/>
        </w:rPr>
      </w:pPr>
      <w:r w:rsidRPr="00C36725">
        <w:rPr>
          <w:rFonts w:cs="Arial"/>
        </w:rPr>
        <w:t xml:space="preserve">The meetings of the working group will be hosted by the Office of the Union in Geneva and will be chaired by the Office of the Union.  The meetings will not be arranged to coincide with UPOV sessions and electronic participation by denomination examiners and the CPVO will be anticipated.  Proposals developed by the working group will be presented to the CAJ and to the Technical Committee (TC), and the CAJ and TC will receive a brief report of the meetings of the working group. </w:t>
      </w:r>
    </w:p>
    <w:p w:rsidR="002D70DD" w:rsidRPr="00C36725" w:rsidRDefault="002D70DD" w:rsidP="002D70DD">
      <w:pPr>
        <w:rPr>
          <w:rFonts w:cs="Arial"/>
        </w:rPr>
      </w:pPr>
    </w:p>
    <w:p w:rsidR="002D70DD" w:rsidRPr="00C36725" w:rsidRDefault="002D70DD" w:rsidP="002D70DD">
      <w:pPr>
        <w:rPr>
          <w:rFonts w:cs="Arial"/>
        </w:rPr>
      </w:pPr>
      <w:r w:rsidRPr="00C36725">
        <w:rPr>
          <w:rFonts w:cs="Arial"/>
        </w:rPr>
        <w:t>The CAJ, at its sixty-eighth session, noted the suggestion by the Delegation of the European Union for the inclusion in the working group of denomination examiners from the Netherlands and Spain and the importance of ensuring that there was sufficient coverage by the experts of the linguistic aspects of variety denominations</w:t>
      </w:r>
      <w:r w:rsidR="00F80C45">
        <w:rPr>
          <w:rStyle w:val="FootnoteReference"/>
          <w:rFonts w:cs="Arial"/>
        </w:rPr>
        <w:footnoteReference w:id="5"/>
      </w:r>
      <w:r w:rsidRPr="00C36725">
        <w:rPr>
          <w:rFonts w:cs="Arial"/>
        </w:rPr>
        <w:t>.</w:t>
      </w:r>
    </w:p>
    <w:p w:rsidR="002D70DD" w:rsidRPr="00C36725" w:rsidRDefault="002D70DD" w:rsidP="002D70DD">
      <w:pPr>
        <w:rPr>
          <w:rFonts w:cs="Arial"/>
        </w:rPr>
      </w:pPr>
    </w:p>
    <w:p w:rsidR="002D70DD" w:rsidRPr="00C36725" w:rsidRDefault="002D70DD" w:rsidP="002D70DD">
      <w:pPr>
        <w:rPr>
          <w:rFonts w:cs="Arial"/>
        </w:rPr>
      </w:pPr>
      <w:r w:rsidRPr="00C36725">
        <w:rPr>
          <w:rFonts w:cs="Arial"/>
        </w:rPr>
        <w:t xml:space="preserve">The CAJ, at its sixty-eighth session, agreed that members and observers should be encouraged to provide suggestions on matters concerning </w:t>
      </w:r>
      <w:r w:rsidR="00F80C45">
        <w:rPr>
          <w:rFonts w:cs="Arial"/>
        </w:rPr>
        <w:t>the tasks of the working group</w:t>
      </w:r>
      <w:r w:rsidR="00F80C45">
        <w:rPr>
          <w:rStyle w:val="FootnoteReference"/>
          <w:rFonts w:cs="Arial"/>
        </w:rPr>
        <w:footnoteReference w:id="6"/>
      </w:r>
      <w:r w:rsidRPr="00C36725">
        <w:rPr>
          <w:rFonts w:cs="Arial"/>
        </w:rPr>
        <w:t>.</w:t>
      </w:r>
    </w:p>
    <w:p w:rsidR="002D70DD" w:rsidRDefault="002D70DD" w:rsidP="002D70DD">
      <w:pPr>
        <w:rPr>
          <w:rFonts w:cs="Arial"/>
        </w:rPr>
      </w:pPr>
    </w:p>
    <w:p w:rsidR="002D70DD" w:rsidRDefault="002D70DD" w:rsidP="002D70DD">
      <w:pPr>
        <w:rPr>
          <w:rFonts w:cs="Arial"/>
        </w:rPr>
      </w:pPr>
    </w:p>
    <w:p w:rsidR="002D70DD" w:rsidRDefault="002D70DD" w:rsidP="002D70DD">
      <w:pPr>
        <w:rPr>
          <w:rFonts w:cs="Arial"/>
        </w:rPr>
      </w:pPr>
    </w:p>
    <w:p w:rsidR="002D70DD" w:rsidRDefault="002D70DD" w:rsidP="002D70DD">
      <w:pPr>
        <w:jc w:val="right"/>
        <w:rPr>
          <w:rFonts w:cs="Arial"/>
        </w:rPr>
      </w:pPr>
      <w:r>
        <w:rPr>
          <w:rFonts w:cs="Arial"/>
        </w:rPr>
        <w:t>[Annex II follows]</w:t>
      </w:r>
    </w:p>
    <w:p w:rsidR="003A0A5A" w:rsidRDefault="003A0A5A">
      <w:pPr>
        <w:jc w:val="left"/>
        <w:rPr>
          <w:rFonts w:cs="Arial"/>
        </w:rPr>
        <w:sectPr w:rsidR="003A0A5A" w:rsidSect="00636AAE">
          <w:endnotePr>
            <w:numFmt w:val="lowerLetter"/>
          </w:endnotePr>
          <w:type w:val="continuous"/>
          <w:pgSz w:w="11907" w:h="16840" w:code="9"/>
          <w:pgMar w:top="510" w:right="1134" w:bottom="1134" w:left="1134" w:header="510" w:footer="680" w:gutter="0"/>
          <w:cols w:space="720"/>
          <w:titlePg/>
        </w:sectPr>
      </w:pPr>
    </w:p>
    <w:p w:rsidR="002D70DD" w:rsidRDefault="003A0A5A" w:rsidP="003A0A5A">
      <w:pPr>
        <w:jc w:val="center"/>
        <w:rPr>
          <w:rFonts w:cs="Arial"/>
        </w:rPr>
      </w:pPr>
      <w:r>
        <w:rPr>
          <w:rFonts w:cs="Arial"/>
        </w:rPr>
        <w:lastRenderedPageBreak/>
        <w:t>CAJ/70/4</w:t>
      </w:r>
    </w:p>
    <w:p w:rsidR="002D70DD" w:rsidRDefault="002D70DD" w:rsidP="002D70DD">
      <w:pPr>
        <w:jc w:val="center"/>
        <w:rPr>
          <w:rFonts w:cs="Arial"/>
        </w:rPr>
      </w:pPr>
    </w:p>
    <w:p w:rsidR="002D70DD" w:rsidRDefault="002D70DD" w:rsidP="002D70DD">
      <w:pPr>
        <w:jc w:val="center"/>
        <w:rPr>
          <w:rFonts w:cs="Arial"/>
        </w:rPr>
      </w:pPr>
      <w:r w:rsidRPr="00C36725">
        <w:rPr>
          <w:rFonts w:cs="Arial"/>
        </w:rPr>
        <w:t>A</w:t>
      </w:r>
      <w:r>
        <w:rPr>
          <w:rFonts w:cs="Arial"/>
        </w:rPr>
        <w:t>NNEX II</w:t>
      </w:r>
    </w:p>
    <w:p w:rsidR="002D70DD" w:rsidRDefault="002D70DD" w:rsidP="002D70DD">
      <w:pPr>
        <w:jc w:val="center"/>
        <w:rPr>
          <w:rFonts w:cs="Arial"/>
        </w:rPr>
      </w:pPr>
    </w:p>
    <w:p w:rsidR="002D70DD" w:rsidRDefault="002D70DD" w:rsidP="002D70DD">
      <w:pPr>
        <w:jc w:val="center"/>
        <w:rPr>
          <w:rFonts w:cs="Arial"/>
        </w:rPr>
      </w:pPr>
    </w:p>
    <w:p w:rsidR="002D70DD" w:rsidRDefault="002D70DD" w:rsidP="002D70DD">
      <w:pPr>
        <w:jc w:val="center"/>
        <w:rPr>
          <w:rFonts w:cs="Arial"/>
        </w:rPr>
      </w:pPr>
      <w:r w:rsidRPr="0075388A">
        <w:rPr>
          <w:rFonts w:cs="Arial"/>
        </w:rPr>
        <w:t xml:space="preserve">WORKING GROUP </w:t>
      </w:r>
      <w:r>
        <w:rPr>
          <w:rFonts w:cs="Arial"/>
        </w:rPr>
        <w:t>TO DEVELOP PROPOSALS FOR A UPOV </w:t>
      </w:r>
      <w:r w:rsidRPr="0075388A">
        <w:rPr>
          <w:rFonts w:cs="Arial"/>
        </w:rPr>
        <w:t>SIMILARITY SEARCH TOOL</w:t>
      </w:r>
      <w:r w:rsidR="003A0A5A">
        <w:rPr>
          <w:rFonts w:cs="Arial"/>
        </w:rPr>
        <w:br/>
      </w:r>
      <w:r w:rsidRPr="0075388A">
        <w:rPr>
          <w:rFonts w:cs="Arial"/>
        </w:rPr>
        <w:t>FOR VARIETY DENOMINATION PURPOSES</w:t>
      </w:r>
    </w:p>
    <w:p w:rsidR="002D70DD" w:rsidRDefault="002D70DD" w:rsidP="002D70DD">
      <w:pPr>
        <w:jc w:val="center"/>
        <w:rPr>
          <w:rFonts w:cs="Arial"/>
        </w:rPr>
      </w:pPr>
    </w:p>
    <w:p w:rsidR="002D70DD" w:rsidRDefault="002D70DD" w:rsidP="002D70DD">
      <w:pPr>
        <w:jc w:val="center"/>
        <w:rPr>
          <w:rFonts w:cs="Arial"/>
        </w:rPr>
      </w:pPr>
      <w:r>
        <w:rPr>
          <w:rFonts w:cs="Arial"/>
        </w:rPr>
        <w:t xml:space="preserve">(Composition as of </w:t>
      </w:r>
      <w:r w:rsidR="00ED786F">
        <w:rPr>
          <w:rFonts w:cs="Arial"/>
        </w:rPr>
        <w:t>August</w:t>
      </w:r>
      <w:r w:rsidR="0057612C">
        <w:rPr>
          <w:rFonts w:cs="Arial"/>
        </w:rPr>
        <w:t xml:space="preserve"> 14</w:t>
      </w:r>
      <w:r w:rsidR="006B130D">
        <w:rPr>
          <w:rFonts w:cs="Arial"/>
        </w:rPr>
        <w:t xml:space="preserve">, </w:t>
      </w:r>
      <w:r>
        <w:rPr>
          <w:rFonts w:cs="Arial"/>
        </w:rPr>
        <w:t>2014)</w:t>
      </w:r>
    </w:p>
    <w:p w:rsidR="002D70DD" w:rsidRDefault="002D70DD" w:rsidP="002D70DD">
      <w:pPr>
        <w:jc w:val="center"/>
        <w:rPr>
          <w:rFonts w:cs="Arial"/>
        </w:rPr>
      </w:pPr>
    </w:p>
    <w:p w:rsidR="002D70DD" w:rsidRDefault="002D70DD" w:rsidP="002D70DD">
      <w:pPr>
        <w:jc w:val="center"/>
        <w:rPr>
          <w:rFonts w:cs="Arial"/>
        </w:rPr>
      </w:pPr>
    </w:p>
    <w:p w:rsidR="002D70DD" w:rsidRPr="0034437F" w:rsidRDefault="002D70DD" w:rsidP="002D70DD">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402"/>
        <w:gridCol w:w="4253"/>
      </w:tblGrid>
      <w:tr w:rsidR="002D70DD" w:rsidRPr="0034437F" w:rsidTr="005D3B96">
        <w:trPr>
          <w:jc w:val="center"/>
        </w:trPr>
        <w:tc>
          <w:tcPr>
            <w:tcW w:w="3402" w:type="dxa"/>
          </w:tcPr>
          <w:p w:rsidR="002D70DD" w:rsidRPr="0034437F" w:rsidRDefault="002D70DD" w:rsidP="005D3B96">
            <w:pPr>
              <w:rPr>
                <w:i/>
              </w:rPr>
            </w:pPr>
            <w:r w:rsidRPr="0034437F">
              <w:rPr>
                <w:i/>
              </w:rPr>
              <w:t>Member of the Union</w:t>
            </w:r>
          </w:p>
        </w:tc>
        <w:tc>
          <w:tcPr>
            <w:tcW w:w="4253" w:type="dxa"/>
          </w:tcPr>
          <w:p w:rsidR="002D70DD" w:rsidRPr="0034437F" w:rsidRDefault="002D70DD" w:rsidP="005D3B96">
            <w:pPr>
              <w:rPr>
                <w:i/>
              </w:rPr>
            </w:pPr>
            <w:r w:rsidRPr="0034437F">
              <w:rPr>
                <w:i/>
              </w:rPr>
              <w:t>Expert</w:t>
            </w:r>
          </w:p>
        </w:tc>
      </w:tr>
      <w:tr w:rsidR="00ED786F" w:rsidRPr="0034437F" w:rsidTr="005D3B96">
        <w:trPr>
          <w:jc w:val="center"/>
        </w:trPr>
        <w:tc>
          <w:tcPr>
            <w:tcW w:w="3402" w:type="dxa"/>
          </w:tcPr>
          <w:p w:rsidR="00ED786F" w:rsidRPr="00ED786F" w:rsidRDefault="00ED786F" w:rsidP="005D3B96">
            <w:r>
              <w:t>Australia</w:t>
            </w:r>
          </w:p>
        </w:tc>
        <w:tc>
          <w:tcPr>
            <w:tcW w:w="4253" w:type="dxa"/>
          </w:tcPr>
          <w:p w:rsidR="00ED786F" w:rsidRPr="00ED786F" w:rsidRDefault="00ED786F" w:rsidP="005D3B96">
            <w:r>
              <w:t>Mr. Nik Hulse</w:t>
            </w:r>
          </w:p>
        </w:tc>
      </w:tr>
      <w:tr w:rsidR="002D70DD" w:rsidRPr="0057612C" w:rsidTr="005D3B96">
        <w:trPr>
          <w:jc w:val="center"/>
        </w:trPr>
        <w:tc>
          <w:tcPr>
            <w:tcW w:w="3402" w:type="dxa"/>
          </w:tcPr>
          <w:p w:rsidR="002D70DD" w:rsidRPr="0034437F" w:rsidRDefault="002D70DD" w:rsidP="005D3B96">
            <w:r>
              <w:t>European Union</w:t>
            </w:r>
          </w:p>
        </w:tc>
        <w:tc>
          <w:tcPr>
            <w:tcW w:w="4253" w:type="dxa"/>
          </w:tcPr>
          <w:p w:rsidR="002D70DD" w:rsidRPr="00A87649" w:rsidRDefault="002D70DD" w:rsidP="005D3B96">
            <w:pPr>
              <w:rPr>
                <w:lang w:val="fr-CH"/>
              </w:rPr>
            </w:pPr>
            <w:r w:rsidRPr="00A87649">
              <w:rPr>
                <w:lang w:val="fr-CH"/>
              </w:rPr>
              <w:t>Mr. Jean Maison (CPVO)</w:t>
            </w:r>
          </w:p>
          <w:p w:rsidR="002D70DD" w:rsidRPr="00A87649" w:rsidRDefault="002D70DD" w:rsidP="005D3B96">
            <w:pPr>
              <w:rPr>
                <w:lang w:val="fr-CH"/>
              </w:rPr>
            </w:pPr>
            <w:r w:rsidRPr="00A87649">
              <w:rPr>
                <w:lang w:val="fr-CH"/>
              </w:rPr>
              <w:t>Mr. Patrick Lecoq (CPVO)</w:t>
            </w:r>
          </w:p>
          <w:p w:rsidR="002D70DD" w:rsidRPr="00A87649" w:rsidRDefault="002D70DD" w:rsidP="005D3B96">
            <w:pPr>
              <w:rPr>
                <w:lang w:val="fr-CH"/>
              </w:rPr>
            </w:pPr>
            <w:r w:rsidRPr="00A87649">
              <w:rPr>
                <w:lang w:val="fr-CH"/>
              </w:rPr>
              <w:t>Ms. Carole Bonneau (CPVO)</w:t>
            </w:r>
          </w:p>
        </w:tc>
      </w:tr>
      <w:tr w:rsidR="002D70DD" w:rsidRPr="0034437F" w:rsidTr="005D3B96">
        <w:trPr>
          <w:jc w:val="center"/>
        </w:trPr>
        <w:tc>
          <w:tcPr>
            <w:tcW w:w="3402" w:type="dxa"/>
          </w:tcPr>
          <w:p w:rsidR="002D70DD" w:rsidRPr="0034437F" w:rsidRDefault="002D70DD" w:rsidP="005D3B96">
            <w:r>
              <w:t>Netherlands</w:t>
            </w:r>
          </w:p>
        </w:tc>
        <w:tc>
          <w:tcPr>
            <w:tcW w:w="4253" w:type="dxa"/>
          </w:tcPr>
          <w:p w:rsidR="002D70DD" w:rsidRPr="0034437F" w:rsidRDefault="002D70DD" w:rsidP="005D3B96">
            <w:r>
              <w:t>Mr. Kees van Ettekoven</w:t>
            </w:r>
          </w:p>
        </w:tc>
      </w:tr>
      <w:tr w:rsidR="002D70DD" w:rsidRPr="0034437F" w:rsidTr="005D3B96">
        <w:trPr>
          <w:jc w:val="center"/>
        </w:trPr>
        <w:tc>
          <w:tcPr>
            <w:tcW w:w="3402" w:type="dxa"/>
          </w:tcPr>
          <w:p w:rsidR="002D70DD" w:rsidRPr="0034437F" w:rsidRDefault="002D70DD" w:rsidP="005D3B96">
            <w:r>
              <w:t>Spain</w:t>
            </w:r>
          </w:p>
        </w:tc>
        <w:tc>
          <w:tcPr>
            <w:tcW w:w="4253" w:type="dxa"/>
          </w:tcPr>
          <w:p w:rsidR="002D70DD" w:rsidRPr="0034437F" w:rsidRDefault="002D70DD" w:rsidP="005D3B96">
            <w:r>
              <w:t>Mr. Luis Salaices</w:t>
            </w:r>
          </w:p>
        </w:tc>
      </w:tr>
      <w:tr w:rsidR="002D70DD" w:rsidRPr="0034437F" w:rsidTr="005D3B96">
        <w:trPr>
          <w:jc w:val="center"/>
        </w:trPr>
        <w:tc>
          <w:tcPr>
            <w:tcW w:w="3402" w:type="dxa"/>
          </w:tcPr>
          <w:p w:rsidR="002D70DD" w:rsidRPr="0034437F" w:rsidRDefault="002D70DD" w:rsidP="005D3B96">
            <w:r w:rsidRPr="0034437F">
              <w:t>United States of America</w:t>
            </w:r>
          </w:p>
        </w:tc>
        <w:tc>
          <w:tcPr>
            <w:tcW w:w="4253" w:type="dxa"/>
          </w:tcPr>
          <w:p w:rsidR="002D70DD" w:rsidRPr="0034437F" w:rsidRDefault="002D70DD" w:rsidP="005D3B96">
            <w:r>
              <w:t>Mr. Fawad S. Shah</w:t>
            </w:r>
          </w:p>
        </w:tc>
      </w:tr>
    </w:tbl>
    <w:p w:rsidR="002D70DD" w:rsidRDefault="002D70DD" w:rsidP="002D70DD"/>
    <w:p w:rsidR="002D70DD" w:rsidRPr="0034437F" w:rsidRDefault="002D70DD" w:rsidP="002D70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tblGrid>
      <w:tr w:rsidR="002D70DD" w:rsidRPr="0034437F" w:rsidTr="005D3B96">
        <w:trPr>
          <w:jc w:val="center"/>
        </w:trPr>
        <w:tc>
          <w:tcPr>
            <w:tcW w:w="7655" w:type="dxa"/>
          </w:tcPr>
          <w:p w:rsidR="002D70DD" w:rsidRPr="0034437F" w:rsidRDefault="002D70DD" w:rsidP="005D3B96">
            <w:pPr>
              <w:jc w:val="center"/>
              <w:rPr>
                <w:i/>
              </w:rPr>
            </w:pPr>
            <w:r w:rsidRPr="001009AE">
              <w:rPr>
                <w:i/>
              </w:rPr>
              <w:t>WIPO Global Databases Service</w:t>
            </w:r>
          </w:p>
        </w:tc>
      </w:tr>
      <w:tr w:rsidR="002D70DD" w:rsidRPr="0034437F" w:rsidTr="005D3B96">
        <w:trPr>
          <w:jc w:val="center"/>
        </w:trPr>
        <w:tc>
          <w:tcPr>
            <w:tcW w:w="7655" w:type="dxa"/>
          </w:tcPr>
          <w:p w:rsidR="002D70DD" w:rsidRPr="0034437F" w:rsidRDefault="002D70DD" w:rsidP="005D3B96">
            <w:r>
              <w:rPr>
                <w:rFonts w:cs="Arial"/>
              </w:rPr>
              <w:t xml:space="preserve">Mr. </w:t>
            </w:r>
            <w:r w:rsidRPr="00F616C6">
              <w:rPr>
                <w:rFonts w:cs="Arial"/>
              </w:rPr>
              <w:t>Glenn Mac Stravic</w:t>
            </w:r>
          </w:p>
        </w:tc>
      </w:tr>
      <w:tr w:rsidR="002D70DD" w:rsidRPr="0034437F" w:rsidTr="005D3B96">
        <w:trPr>
          <w:jc w:val="center"/>
        </w:trPr>
        <w:tc>
          <w:tcPr>
            <w:tcW w:w="7655" w:type="dxa"/>
          </w:tcPr>
          <w:p w:rsidR="002D70DD" w:rsidRDefault="002D70DD" w:rsidP="005D3B96">
            <w:pPr>
              <w:rPr>
                <w:rFonts w:cs="Arial"/>
              </w:rPr>
            </w:pPr>
            <w:r>
              <w:rPr>
                <w:rFonts w:cs="Arial"/>
              </w:rPr>
              <w:t>Ms. Lili Chen</w:t>
            </w:r>
          </w:p>
        </w:tc>
      </w:tr>
    </w:tbl>
    <w:p w:rsidR="002D70DD" w:rsidRDefault="002D70DD" w:rsidP="002D70DD"/>
    <w:p w:rsidR="002D70DD" w:rsidRPr="0034437F" w:rsidRDefault="002D70DD" w:rsidP="002D70D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tblGrid>
      <w:tr w:rsidR="002D70DD" w:rsidRPr="0034437F" w:rsidTr="005D3B96">
        <w:trPr>
          <w:jc w:val="center"/>
        </w:trPr>
        <w:tc>
          <w:tcPr>
            <w:tcW w:w="7655" w:type="dxa"/>
          </w:tcPr>
          <w:p w:rsidR="002D70DD" w:rsidRPr="0034437F" w:rsidRDefault="002D70DD" w:rsidP="005D3B96">
            <w:pPr>
              <w:jc w:val="center"/>
              <w:rPr>
                <w:i/>
              </w:rPr>
            </w:pPr>
            <w:r w:rsidRPr="001009AE">
              <w:rPr>
                <w:i/>
              </w:rPr>
              <w:t>Office</w:t>
            </w:r>
            <w:r>
              <w:rPr>
                <w:i/>
              </w:rPr>
              <w:t xml:space="preserve"> of the Union</w:t>
            </w:r>
          </w:p>
        </w:tc>
      </w:tr>
      <w:tr w:rsidR="002D70DD" w:rsidRPr="0034437F" w:rsidTr="005D3B96">
        <w:trPr>
          <w:jc w:val="center"/>
        </w:trPr>
        <w:tc>
          <w:tcPr>
            <w:tcW w:w="7655" w:type="dxa"/>
          </w:tcPr>
          <w:p w:rsidR="002D70DD" w:rsidRPr="0034437F" w:rsidRDefault="002D70DD" w:rsidP="005D3B96">
            <w:r>
              <w:t>Mr. Peter Button, Chair</w:t>
            </w:r>
          </w:p>
        </w:tc>
      </w:tr>
      <w:tr w:rsidR="002D70DD" w:rsidRPr="0034437F" w:rsidTr="005D3B96">
        <w:trPr>
          <w:jc w:val="center"/>
        </w:trPr>
        <w:tc>
          <w:tcPr>
            <w:tcW w:w="7655" w:type="dxa"/>
          </w:tcPr>
          <w:p w:rsidR="002D70DD" w:rsidRPr="0034437F" w:rsidRDefault="002D70DD" w:rsidP="005D3B96">
            <w:r>
              <w:t>Ms. Yolanda Huerta</w:t>
            </w:r>
          </w:p>
        </w:tc>
      </w:tr>
      <w:tr w:rsidR="002D70DD" w:rsidRPr="0034437F" w:rsidTr="005D3B96">
        <w:trPr>
          <w:jc w:val="center"/>
        </w:trPr>
        <w:tc>
          <w:tcPr>
            <w:tcW w:w="7655" w:type="dxa"/>
          </w:tcPr>
          <w:p w:rsidR="002D70DD" w:rsidRDefault="002D70DD" w:rsidP="005D3B96">
            <w:r>
              <w:t>Mr. Jun Koide</w:t>
            </w:r>
          </w:p>
        </w:tc>
      </w:tr>
      <w:tr w:rsidR="002D70DD" w:rsidRPr="0034437F" w:rsidTr="005D3B96">
        <w:trPr>
          <w:jc w:val="center"/>
        </w:trPr>
        <w:tc>
          <w:tcPr>
            <w:tcW w:w="7655" w:type="dxa"/>
          </w:tcPr>
          <w:p w:rsidR="002D70DD" w:rsidRDefault="002D70DD" w:rsidP="005D3B96">
            <w:r>
              <w:t>Mr. Ben Rivoire</w:t>
            </w:r>
          </w:p>
        </w:tc>
      </w:tr>
      <w:tr w:rsidR="002D70DD" w:rsidRPr="0034437F" w:rsidTr="005D3B96">
        <w:trPr>
          <w:jc w:val="center"/>
        </w:trPr>
        <w:tc>
          <w:tcPr>
            <w:tcW w:w="7655" w:type="dxa"/>
          </w:tcPr>
          <w:p w:rsidR="002D70DD" w:rsidRDefault="002D70DD" w:rsidP="005D3B96">
            <w:r>
              <w:t>Mr. Leontino Taveira</w:t>
            </w:r>
          </w:p>
        </w:tc>
      </w:tr>
    </w:tbl>
    <w:p w:rsidR="002D70DD" w:rsidRDefault="002D70DD" w:rsidP="002D70DD"/>
    <w:p w:rsidR="002D70DD" w:rsidRDefault="002D70DD" w:rsidP="002D70DD">
      <w:pPr>
        <w:rPr>
          <w:rFonts w:cs="Arial"/>
        </w:rPr>
      </w:pPr>
    </w:p>
    <w:p w:rsidR="002D70DD" w:rsidRDefault="002D70DD" w:rsidP="002D70DD">
      <w:pPr>
        <w:rPr>
          <w:rFonts w:cs="Arial"/>
        </w:rPr>
      </w:pPr>
    </w:p>
    <w:p w:rsidR="002D70DD" w:rsidRPr="007E7836" w:rsidRDefault="002D70DD" w:rsidP="002D70DD">
      <w:pPr>
        <w:jc w:val="right"/>
        <w:rPr>
          <w:rFonts w:cs="Arial"/>
        </w:rPr>
      </w:pPr>
      <w:r>
        <w:rPr>
          <w:rFonts w:cs="Arial"/>
        </w:rPr>
        <w:t>[End of Annex II and of document]</w:t>
      </w:r>
    </w:p>
    <w:p w:rsidR="00900C26" w:rsidRDefault="00900C26" w:rsidP="001D483F">
      <w:pPr>
        <w:rPr>
          <w:snapToGrid w:val="0"/>
        </w:rPr>
      </w:pPr>
    </w:p>
    <w:sectPr w:rsidR="00900C26" w:rsidSect="00906DDC">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656" w:rsidRDefault="00F32656">
      <w:r>
        <w:separator/>
      </w:r>
    </w:p>
  </w:endnote>
  <w:endnote w:type="continuationSeparator" w:id="0">
    <w:p w:rsidR="00F32656" w:rsidRDefault="00F32656">
      <w:r>
        <w:separator/>
      </w:r>
    </w:p>
    <w:p w:rsidR="00F32656" w:rsidRPr="00664515" w:rsidRDefault="00F32656">
      <w:pPr>
        <w:pStyle w:val="Footer"/>
        <w:spacing w:after="60"/>
        <w:rPr>
          <w:sz w:val="18"/>
          <w:lang w:val="fr-CH"/>
        </w:rPr>
      </w:pPr>
      <w:r w:rsidRPr="00664515">
        <w:rPr>
          <w:sz w:val="18"/>
          <w:lang w:val="fr-CH"/>
        </w:rPr>
        <w:t>[Suite de la note de la page précédente]</w:t>
      </w:r>
    </w:p>
    <w:p w:rsidR="00F32656" w:rsidRPr="00664515" w:rsidRDefault="00F32656">
      <w:pPr>
        <w:rPr>
          <w:lang w:val="fr-CH"/>
        </w:rPr>
      </w:pPr>
    </w:p>
    <w:p w:rsidR="00F32656" w:rsidRPr="00664515" w:rsidRDefault="00F32656">
      <w:pPr>
        <w:rPr>
          <w:lang w:val="fr-CH"/>
        </w:rPr>
      </w:pPr>
    </w:p>
  </w:endnote>
  <w:endnote w:type="continuationNotice" w:id="1">
    <w:p w:rsidR="00F32656" w:rsidRPr="00664515" w:rsidRDefault="00F32656">
      <w:pPr>
        <w:spacing w:before="60"/>
        <w:jc w:val="right"/>
        <w:rPr>
          <w:sz w:val="18"/>
          <w:lang w:val="fr-CH"/>
        </w:rPr>
      </w:pPr>
      <w:r w:rsidRPr="00664515">
        <w:rPr>
          <w:sz w:val="18"/>
          <w:lang w:val="fr-CH"/>
        </w:rPr>
        <w:t>[Suite de la note page suivante]</w:t>
      </w:r>
    </w:p>
    <w:p w:rsidR="00F32656" w:rsidRPr="00664515" w:rsidRDefault="00F32656">
      <w:pPr>
        <w:rPr>
          <w:lang w:val="fr-CH"/>
        </w:rPr>
      </w:pPr>
    </w:p>
    <w:p w:rsidR="00F32656" w:rsidRPr="00664515" w:rsidRDefault="00F32656">
      <w:pPr>
        <w:rPr>
          <w:lang w:val="fr-CH"/>
        </w:rPr>
      </w:pPr>
    </w:p>
  </w:endnote>
  <w:endnote w:id="2">
    <w:p w:rsidR="001F67A6" w:rsidRPr="004F0A25" w:rsidRDefault="001F67A6" w:rsidP="003C4722">
      <w:pPr>
        <w:ind w:left="284" w:hanging="284"/>
        <w:rPr>
          <w:sz w:val="16"/>
          <w:szCs w:val="16"/>
        </w:rPr>
      </w:pPr>
      <w:r>
        <w:rPr>
          <w:rStyle w:val="EndnoteReference"/>
        </w:rPr>
        <w:endnoteRef/>
      </w:r>
      <w:r w:rsidR="003C4722">
        <w:tab/>
      </w:r>
      <w:r w:rsidRPr="004F0A25">
        <w:rPr>
          <w:sz w:val="16"/>
          <w:szCs w:val="16"/>
        </w:rPr>
        <w:t>The CAJ, at its sixty-ninth session, held in Geneva on April 10, 2014, agreed to consider the possibility to modify CAJ documents in order to:</w:t>
      </w:r>
    </w:p>
    <w:p w:rsidR="001F67A6" w:rsidRPr="004F0A25" w:rsidRDefault="001F67A6" w:rsidP="003C4722">
      <w:pPr>
        <w:pStyle w:val="ListParagraph"/>
        <w:numPr>
          <w:ilvl w:val="0"/>
          <w:numId w:val="1"/>
        </w:numPr>
        <w:ind w:left="851" w:hanging="283"/>
        <w:rPr>
          <w:sz w:val="16"/>
          <w:szCs w:val="16"/>
        </w:rPr>
      </w:pPr>
      <w:r w:rsidRPr="004F0A25">
        <w:rPr>
          <w:sz w:val="16"/>
          <w:szCs w:val="16"/>
        </w:rPr>
        <w:t>include an executive summary</w:t>
      </w:r>
    </w:p>
    <w:p w:rsidR="001F67A6" w:rsidRPr="004F0A25" w:rsidRDefault="001F67A6" w:rsidP="003C4722">
      <w:pPr>
        <w:pStyle w:val="ListParagraph"/>
        <w:numPr>
          <w:ilvl w:val="0"/>
          <w:numId w:val="1"/>
        </w:numPr>
        <w:ind w:left="851" w:hanging="283"/>
        <w:rPr>
          <w:sz w:val="16"/>
          <w:szCs w:val="16"/>
        </w:rPr>
      </w:pPr>
      <w:r w:rsidRPr="004F0A25">
        <w:rPr>
          <w:sz w:val="16"/>
          <w:szCs w:val="16"/>
        </w:rPr>
        <w:t>make reference to previous documents in footnotes</w:t>
      </w:r>
    </w:p>
    <w:p w:rsidR="001F67A6" w:rsidRPr="004F0A25" w:rsidRDefault="001F67A6" w:rsidP="003C4722">
      <w:pPr>
        <w:pStyle w:val="ListParagraph"/>
        <w:numPr>
          <w:ilvl w:val="0"/>
          <w:numId w:val="1"/>
        </w:numPr>
        <w:ind w:left="851" w:hanging="283"/>
        <w:rPr>
          <w:sz w:val="16"/>
          <w:szCs w:val="16"/>
        </w:rPr>
      </w:pPr>
      <w:r w:rsidRPr="004F0A25">
        <w:rPr>
          <w:sz w:val="16"/>
          <w:szCs w:val="16"/>
        </w:rPr>
        <w:t>use presentations</w:t>
      </w:r>
    </w:p>
    <w:p w:rsidR="001F67A6" w:rsidRPr="004F0A25" w:rsidRDefault="001F67A6" w:rsidP="003C4722">
      <w:pPr>
        <w:pStyle w:val="ListParagraph"/>
        <w:numPr>
          <w:ilvl w:val="0"/>
          <w:numId w:val="1"/>
        </w:numPr>
        <w:ind w:left="851" w:hanging="283"/>
        <w:rPr>
          <w:sz w:val="16"/>
          <w:szCs w:val="16"/>
        </w:rPr>
      </w:pPr>
      <w:r w:rsidRPr="004F0A25">
        <w:rPr>
          <w:sz w:val="16"/>
          <w:szCs w:val="16"/>
        </w:rPr>
        <w:t>combine decision paragraphs relating to matters for information.</w:t>
      </w:r>
    </w:p>
    <w:p w:rsidR="001F67A6" w:rsidRPr="004F0A25" w:rsidRDefault="001F67A6" w:rsidP="001F67A6">
      <w:pPr>
        <w:rPr>
          <w:sz w:val="16"/>
          <w:szCs w:val="16"/>
        </w:rPr>
      </w:pPr>
    </w:p>
    <w:p w:rsidR="001F67A6" w:rsidRPr="004F0A25" w:rsidRDefault="001F67A6" w:rsidP="001F67A6">
      <w:pPr>
        <w:rPr>
          <w:sz w:val="16"/>
          <w:szCs w:val="16"/>
        </w:rPr>
      </w:pPr>
      <w:r w:rsidRPr="004F0A25">
        <w:rPr>
          <w:sz w:val="16"/>
          <w:szCs w:val="16"/>
        </w:rPr>
        <w:t>The CAJ requested the Office of the Union to develop examples for consideration by the CAJ at its seventieth session and to provide information on resource implicat</w:t>
      </w:r>
      <w:r>
        <w:rPr>
          <w:sz w:val="16"/>
          <w:szCs w:val="16"/>
        </w:rPr>
        <w:t>ion for the Office of the Union</w:t>
      </w:r>
      <w:r w:rsidRPr="004F0A25">
        <w:rPr>
          <w:sz w:val="16"/>
          <w:szCs w:val="16"/>
        </w:rPr>
        <w:t xml:space="preserve"> </w:t>
      </w:r>
      <w:r>
        <w:rPr>
          <w:sz w:val="16"/>
          <w:szCs w:val="16"/>
        </w:rPr>
        <w:t>(se</w:t>
      </w:r>
      <w:r w:rsidRPr="004F0A25">
        <w:rPr>
          <w:sz w:val="16"/>
          <w:szCs w:val="16"/>
        </w:rPr>
        <w:t>e document CAJ/69/12 “Report on the Conclusions”, paragraphs 95 and 96</w:t>
      </w:r>
      <w:r>
        <w:rPr>
          <w:szCs w:val="16"/>
        </w:rPr>
        <w:t>)</w:t>
      </w:r>
      <w:r w:rsidRPr="004F0A25">
        <w:rPr>
          <w:sz w:val="16"/>
          <w:szCs w:val="16"/>
        </w:rPr>
        <w:t>.</w:t>
      </w:r>
    </w:p>
    <w:p w:rsidR="001F67A6" w:rsidRPr="004F0A25" w:rsidRDefault="001F67A6" w:rsidP="001F67A6">
      <w:pPr>
        <w:rPr>
          <w:rFonts w:cs="Arial"/>
          <w:snapToGrid w:val="0"/>
          <w:sz w:val="16"/>
          <w:szCs w:val="16"/>
        </w:rPr>
      </w:pPr>
      <w:r w:rsidRPr="004F0A25">
        <w:rPr>
          <w:rFonts w:cs="Arial"/>
          <w:snapToGrid w:val="0"/>
          <w:sz w:val="16"/>
          <w:szCs w:val="16"/>
        </w:rPr>
        <w:tab/>
      </w:r>
    </w:p>
    <w:p w:rsidR="001F67A6" w:rsidRPr="00114079" w:rsidRDefault="001F67A6" w:rsidP="00114079">
      <w:pPr>
        <w:rPr>
          <w:rFonts w:cs="Arial"/>
          <w:snapToGrid w:val="0"/>
          <w:sz w:val="16"/>
          <w:szCs w:val="16"/>
        </w:rPr>
      </w:pPr>
      <w:r w:rsidRPr="004F0A25">
        <w:rPr>
          <w:rFonts w:cs="Arial"/>
          <w:snapToGrid w:val="0"/>
          <w:sz w:val="16"/>
          <w:szCs w:val="16"/>
        </w:rPr>
        <w:t xml:space="preserve">This document is intended to provide an example. </w:t>
      </w:r>
      <w:r w:rsidRPr="004F0A25">
        <w:rPr>
          <w:sz w:val="16"/>
          <w:szCs w:val="16"/>
        </w:rPr>
        <w:t>Information on resource implication for the Office of the Union</w:t>
      </w:r>
      <w:r w:rsidR="004A30D9">
        <w:rPr>
          <w:rFonts w:cs="Arial"/>
          <w:snapToGrid w:val="0"/>
          <w:sz w:val="16"/>
          <w:szCs w:val="16"/>
        </w:rPr>
        <w:t xml:space="preserve"> will</w:t>
      </w:r>
      <w:bookmarkStart w:id="5" w:name="_GoBack"/>
      <w:bookmarkEnd w:id="5"/>
      <w:r w:rsidRPr="004F0A25">
        <w:rPr>
          <w:rFonts w:cs="Arial"/>
          <w:snapToGrid w:val="0"/>
          <w:sz w:val="16"/>
          <w:szCs w:val="16"/>
        </w:rPr>
        <w:t xml:space="preserve"> be provided in a document for consideration at the CAJ session in March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656" w:rsidRDefault="00F32656" w:rsidP="009D690D">
      <w:pPr>
        <w:spacing w:before="120"/>
      </w:pPr>
      <w:r>
        <w:separator/>
      </w:r>
    </w:p>
  </w:footnote>
  <w:footnote w:type="continuationSeparator" w:id="0">
    <w:p w:rsidR="00F32656" w:rsidRDefault="00F32656" w:rsidP="00520297">
      <w:pPr>
        <w:spacing w:before="120"/>
        <w:jc w:val="left"/>
      </w:pPr>
      <w:r>
        <w:separator/>
      </w:r>
    </w:p>
  </w:footnote>
  <w:footnote w:type="continuationNotice" w:id="1">
    <w:p w:rsidR="00F32656" w:rsidRDefault="00F32656"/>
  </w:footnote>
  <w:footnote w:id="2">
    <w:p w:rsidR="008D2FC8" w:rsidRPr="003A0A5A" w:rsidRDefault="008D2FC8" w:rsidP="003A0A5A">
      <w:pPr>
        <w:ind w:left="567" w:hanging="567"/>
        <w:rPr>
          <w:sz w:val="16"/>
        </w:rPr>
      </w:pPr>
      <w:r>
        <w:rPr>
          <w:rStyle w:val="FootnoteReference"/>
        </w:rPr>
        <w:footnoteRef/>
      </w:r>
      <w:r w:rsidR="003A0A5A">
        <w:tab/>
      </w:r>
      <w:r w:rsidRPr="008D2FC8">
        <w:rPr>
          <w:rFonts w:cs="Arial"/>
          <w:snapToGrid w:val="0"/>
          <w:sz w:val="16"/>
          <w:szCs w:val="16"/>
        </w:rPr>
        <w:t xml:space="preserve">The background to this topic is provided in document </w:t>
      </w:r>
      <w:r w:rsidRPr="008D2FC8">
        <w:rPr>
          <w:spacing w:val="-2"/>
          <w:kern w:val="28"/>
          <w:sz w:val="16"/>
          <w:szCs w:val="16"/>
        </w:rPr>
        <w:t>CAJ/69/9 “Possible development of a UPOV similarity search tool for variety denomination purposes”.</w:t>
      </w:r>
    </w:p>
  </w:footnote>
  <w:footnote w:id="3">
    <w:p w:rsidR="008D2FC8" w:rsidRPr="003A0A5A" w:rsidRDefault="008D2FC8" w:rsidP="003A0A5A">
      <w:pPr>
        <w:rPr>
          <w:sz w:val="16"/>
        </w:rPr>
      </w:pPr>
      <w:r>
        <w:rPr>
          <w:rStyle w:val="FootnoteReference"/>
        </w:rPr>
        <w:footnoteRef/>
      </w:r>
      <w:r w:rsidR="003A0A5A">
        <w:rPr>
          <w:sz w:val="16"/>
          <w:szCs w:val="16"/>
        </w:rPr>
        <w:tab/>
      </w:r>
      <w:r w:rsidRPr="008D2FC8">
        <w:rPr>
          <w:sz w:val="16"/>
          <w:szCs w:val="16"/>
        </w:rPr>
        <w:t>See document CAJ/69/12 “Report on the Conclusions”, paragraph 77.</w:t>
      </w:r>
      <w:r w:rsidRPr="000A6443">
        <w:t xml:space="preserve"> </w:t>
      </w:r>
    </w:p>
  </w:footnote>
  <w:footnote w:id="4">
    <w:p w:rsidR="00F80C45" w:rsidRDefault="00F80C45">
      <w:pPr>
        <w:pStyle w:val="FootnoteText"/>
      </w:pPr>
      <w:r>
        <w:rPr>
          <w:rStyle w:val="FootnoteReference"/>
        </w:rPr>
        <w:footnoteRef/>
      </w:r>
      <w:r w:rsidR="00114079">
        <w:tab/>
      </w:r>
      <w:r>
        <w:rPr>
          <w:rFonts w:cs="Arial"/>
        </w:rPr>
        <w:t>S</w:t>
      </w:r>
      <w:r w:rsidRPr="00C36725">
        <w:rPr>
          <w:rFonts w:cs="Arial"/>
        </w:rPr>
        <w:t xml:space="preserve">ee document CAJ/68/10 “Report on </w:t>
      </w:r>
      <w:r>
        <w:rPr>
          <w:rFonts w:cs="Arial"/>
        </w:rPr>
        <w:t>the Conclusions”, paragraph 40.</w:t>
      </w:r>
    </w:p>
  </w:footnote>
  <w:footnote w:id="5">
    <w:p w:rsidR="00F80C45" w:rsidRDefault="00F80C45">
      <w:pPr>
        <w:pStyle w:val="FootnoteText"/>
      </w:pPr>
      <w:r>
        <w:rPr>
          <w:rStyle w:val="FootnoteReference"/>
        </w:rPr>
        <w:footnoteRef/>
      </w:r>
      <w:r w:rsidR="00114079">
        <w:tab/>
      </w:r>
      <w:r>
        <w:rPr>
          <w:rFonts w:cs="Arial"/>
        </w:rPr>
        <w:t>S</w:t>
      </w:r>
      <w:r w:rsidRPr="00C36725">
        <w:rPr>
          <w:rFonts w:cs="Arial"/>
        </w:rPr>
        <w:t>ee document CAJ/68/10 “Report on the Conclusions”, paragraph 41</w:t>
      </w:r>
      <w:r>
        <w:rPr>
          <w:rFonts w:cs="Arial"/>
        </w:rPr>
        <w:t>.</w:t>
      </w:r>
    </w:p>
  </w:footnote>
  <w:footnote w:id="6">
    <w:p w:rsidR="00F80C45" w:rsidRDefault="00F80C45">
      <w:pPr>
        <w:pStyle w:val="FootnoteText"/>
      </w:pPr>
      <w:r>
        <w:rPr>
          <w:rStyle w:val="FootnoteReference"/>
        </w:rPr>
        <w:footnoteRef/>
      </w:r>
      <w:r w:rsidR="00114079">
        <w:rPr>
          <w:rFonts w:cs="Arial"/>
        </w:rPr>
        <w:tab/>
      </w:r>
      <w:r>
        <w:rPr>
          <w:rFonts w:cs="Arial"/>
        </w:rPr>
        <w:t>S</w:t>
      </w:r>
      <w:r w:rsidRPr="00C36725">
        <w:rPr>
          <w:rFonts w:cs="Arial"/>
        </w:rPr>
        <w:t>ee document CAJ/68/10 “Report on</w:t>
      </w:r>
      <w:r>
        <w:rPr>
          <w:rFonts w:cs="Arial"/>
        </w:rPr>
        <w:t xml:space="preserve"> the Conclusions”, paragraph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2F78FA" w:rsidP="00E23920">
    <w:pPr>
      <w:jc w:val="center"/>
      <w:rPr>
        <w:rStyle w:val="PageNumber"/>
      </w:rPr>
    </w:pPr>
    <w:r>
      <w:rPr>
        <w:rStyle w:val="PageNumber"/>
      </w:rPr>
      <w:t>CAJ/</w:t>
    </w:r>
    <w:r w:rsidR="00155F6F">
      <w:rPr>
        <w:rStyle w:val="PageNumber"/>
      </w:rPr>
      <w:t>70</w:t>
    </w:r>
    <w:r>
      <w:rPr>
        <w:rStyle w:val="PageNumber"/>
      </w:rPr>
      <w:t>/</w:t>
    </w:r>
    <w:r w:rsidR="001D483F">
      <w:rPr>
        <w:rStyle w:val="PageNumber"/>
      </w:rPr>
      <w:t>4</w:t>
    </w:r>
  </w:p>
  <w:p w:rsidR="002F78FA" w:rsidRPr="00997029" w:rsidRDefault="002F78FA"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A30D9">
      <w:rPr>
        <w:rStyle w:val="PageNumber"/>
        <w:noProof/>
      </w:rPr>
      <w:t>3</w:t>
    </w:r>
    <w:r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70C4"/>
    <w:multiLevelType w:val="hybridMultilevel"/>
    <w:tmpl w:val="68EA49DC"/>
    <w:lvl w:ilvl="0" w:tplc="08ECA78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17CD48E2"/>
    <w:multiLevelType w:val="hybridMultilevel"/>
    <w:tmpl w:val="7088ABC6"/>
    <w:lvl w:ilvl="0" w:tplc="2828D0B0">
      <w:start w:val="1"/>
      <w:numFmt w:val="lowerLetter"/>
      <w:lvlText w:val="(%1)"/>
      <w:lvlJc w:val="left"/>
      <w:pPr>
        <w:ind w:left="6030" w:hanging="36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
    <w:nsid w:val="3C6F2641"/>
    <w:multiLevelType w:val="hybridMultilevel"/>
    <w:tmpl w:val="BB16F13E"/>
    <w:lvl w:ilvl="0" w:tplc="48680C7E">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943A6F"/>
    <w:multiLevelType w:val="hybridMultilevel"/>
    <w:tmpl w:val="27AA2B0E"/>
    <w:lvl w:ilvl="0" w:tplc="774ABCDE">
      <w:start w:val="1"/>
      <w:numFmt w:val="lowerLetter"/>
      <w:lvlText w:val="(%1)"/>
      <w:lvlJc w:val="left"/>
      <w:pPr>
        <w:ind w:left="5390" w:hanging="57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5">
    <w:nsid w:val="4A3A693D"/>
    <w:multiLevelType w:val="hybridMultilevel"/>
    <w:tmpl w:val="2E888DC0"/>
    <w:lvl w:ilvl="0" w:tplc="40DC9DB2">
      <w:start w:val="1"/>
      <w:numFmt w:val="lowerLetter"/>
      <w:lvlText w:val="(%1)"/>
      <w:lvlJc w:val="left"/>
      <w:pPr>
        <w:ind w:left="5746" w:hanging="360"/>
      </w:pPr>
      <w:rPr>
        <w:rFonts w:hint="default"/>
      </w:rPr>
    </w:lvl>
    <w:lvl w:ilvl="1" w:tplc="04090019" w:tentative="1">
      <w:start w:val="1"/>
      <w:numFmt w:val="lowerLetter"/>
      <w:lvlText w:val="%2."/>
      <w:lvlJc w:val="left"/>
      <w:pPr>
        <w:ind w:left="6466" w:hanging="360"/>
      </w:pPr>
    </w:lvl>
    <w:lvl w:ilvl="2" w:tplc="0409001B" w:tentative="1">
      <w:start w:val="1"/>
      <w:numFmt w:val="lowerRoman"/>
      <w:lvlText w:val="%3."/>
      <w:lvlJc w:val="right"/>
      <w:pPr>
        <w:ind w:left="7186" w:hanging="180"/>
      </w:pPr>
    </w:lvl>
    <w:lvl w:ilvl="3" w:tplc="0409000F" w:tentative="1">
      <w:start w:val="1"/>
      <w:numFmt w:val="decimal"/>
      <w:lvlText w:val="%4."/>
      <w:lvlJc w:val="left"/>
      <w:pPr>
        <w:ind w:left="7906" w:hanging="360"/>
      </w:pPr>
    </w:lvl>
    <w:lvl w:ilvl="4" w:tplc="04090019" w:tentative="1">
      <w:start w:val="1"/>
      <w:numFmt w:val="lowerLetter"/>
      <w:lvlText w:val="%5."/>
      <w:lvlJc w:val="left"/>
      <w:pPr>
        <w:ind w:left="8626" w:hanging="360"/>
      </w:pPr>
    </w:lvl>
    <w:lvl w:ilvl="5" w:tplc="0409001B" w:tentative="1">
      <w:start w:val="1"/>
      <w:numFmt w:val="lowerRoman"/>
      <w:lvlText w:val="%6."/>
      <w:lvlJc w:val="right"/>
      <w:pPr>
        <w:ind w:left="9346" w:hanging="180"/>
      </w:pPr>
    </w:lvl>
    <w:lvl w:ilvl="6" w:tplc="0409000F" w:tentative="1">
      <w:start w:val="1"/>
      <w:numFmt w:val="decimal"/>
      <w:lvlText w:val="%7."/>
      <w:lvlJc w:val="left"/>
      <w:pPr>
        <w:ind w:left="10066" w:hanging="360"/>
      </w:pPr>
    </w:lvl>
    <w:lvl w:ilvl="7" w:tplc="04090019" w:tentative="1">
      <w:start w:val="1"/>
      <w:numFmt w:val="lowerLetter"/>
      <w:lvlText w:val="%8."/>
      <w:lvlJc w:val="left"/>
      <w:pPr>
        <w:ind w:left="10786" w:hanging="360"/>
      </w:pPr>
    </w:lvl>
    <w:lvl w:ilvl="8" w:tplc="0409001B" w:tentative="1">
      <w:start w:val="1"/>
      <w:numFmt w:val="lowerRoman"/>
      <w:lvlText w:val="%9."/>
      <w:lvlJc w:val="right"/>
      <w:pPr>
        <w:ind w:left="11506" w:hanging="180"/>
      </w:pPr>
    </w:lvl>
  </w:abstractNum>
  <w:abstractNum w:abstractNumId="6">
    <w:nsid w:val="60920F01"/>
    <w:multiLevelType w:val="hybridMultilevel"/>
    <w:tmpl w:val="9BBE375C"/>
    <w:lvl w:ilvl="0" w:tplc="29A4C40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68973F82"/>
    <w:multiLevelType w:val="hybridMultilevel"/>
    <w:tmpl w:val="1FD225CC"/>
    <w:lvl w:ilvl="0" w:tplc="B61612CA">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num w:numId="1">
    <w:abstractNumId w:val="3"/>
  </w:num>
  <w:num w:numId="2">
    <w:abstractNumId w:val="2"/>
  </w:num>
  <w:num w:numId="3">
    <w:abstractNumId w:val="4"/>
  </w:num>
  <w:num w:numId="4">
    <w:abstractNumId w:val="6"/>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numFmt w:val="lowerLette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56"/>
    <w:rsid w:val="00001380"/>
    <w:rsid w:val="00001D48"/>
    <w:rsid w:val="00010CF3"/>
    <w:rsid w:val="00011E27"/>
    <w:rsid w:val="000148BC"/>
    <w:rsid w:val="00024AB8"/>
    <w:rsid w:val="00036028"/>
    <w:rsid w:val="000446B9"/>
    <w:rsid w:val="00047E21"/>
    <w:rsid w:val="0006472C"/>
    <w:rsid w:val="00064796"/>
    <w:rsid w:val="00085505"/>
    <w:rsid w:val="000C450F"/>
    <w:rsid w:val="000C7021"/>
    <w:rsid w:val="000D492E"/>
    <w:rsid w:val="000D6BBC"/>
    <w:rsid w:val="000D7780"/>
    <w:rsid w:val="00105929"/>
    <w:rsid w:val="00110481"/>
    <w:rsid w:val="001131D5"/>
    <w:rsid w:val="00114079"/>
    <w:rsid w:val="00141DB8"/>
    <w:rsid w:val="00155F6F"/>
    <w:rsid w:val="0017474A"/>
    <w:rsid w:val="001758C6"/>
    <w:rsid w:val="00190B81"/>
    <w:rsid w:val="001C3DF3"/>
    <w:rsid w:val="001D483F"/>
    <w:rsid w:val="001F1F2A"/>
    <w:rsid w:val="001F67A6"/>
    <w:rsid w:val="0021332C"/>
    <w:rsid w:val="00213982"/>
    <w:rsid w:val="00237C7D"/>
    <w:rsid w:val="0024416D"/>
    <w:rsid w:val="00264B50"/>
    <w:rsid w:val="0027309C"/>
    <w:rsid w:val="002800A0"/>
    <w:rsid w:val="00281060"/>
    <w:rsid w:val="0029439F"/>
    <w:rsid w:val="002A551B"/>
    <w:rsid w:val="002A6E50"/>
    <w:rsid w:val="002C256A"/>
    <w:rsid w:val="002D70DD"/>
    <w:rsid w:val="002E7BA1"/>
    <w:rsid w:val="002F78FA"/>
    <w:rsid w:val="00305A7F"/>
    <w:rsid w:val="003152FE"/>
    <w:rsid w:val="00327436"/>
    <w:rsid w:val="00344BD6"/>
    <w:rsid w:val="0035528D"/>
    <w:rsid w:val="00361821"/>
    <w:rsid w:val="00376C56"/>
    <w:rsid w:val="00397154"/>
    <w:rsid w:val="003A0A5A"/>
    <w:rsid w:val="003A17C8"/>
    <w:rsid w:val="003C4722"/>
    <w:rsid w:val="003C563E"/>
    <w:rsid w:val="003D227C"/>
    <w:rsid w:val="003D2B4D"/>
    <w:rsid w:val="003D6DAF"/>
    <w:rsid w:val="003E67F8"/>
    <w:rsid w:val="003F1037"/>
    <w:rsid w:val="003F6136"/>
    <w:rsid w:val="0042406B"/>
    <w:rsid w:val="00427139"/>
    <w:rsid w:val="00444A88"/>
    <w:rsid w:val="00446BC2"/>
    <w:rsid w:val="00474DA4"/>
    <w:rsid w:val="004A30D9"/>
    <w:rsid w:val="004D047D"/>
    <w:rsid w:val="004D1617"/>
    <w:rsid w:val="004F0A25"/>
    <w:rsid w:val="004F305A"/>
    <w:rsid w:val="00512164"/>
    <w:rsid w:val="005121A6"/>
    <w:rsid w:val="00520297"/>
    <w:rsid w:val="00524038"/>
    <w:rsid w:val="005338F9"/>
    <w:rsid w:val="0054281C"/>
    <w:rsid w:val="0055268D"/>
    <w:rsid w:val="00572E44"/>
    <w:rsid w:val="0057612C"/>
    <w:rsid w:val="00576BE4"/>
    <w:rsid w:val="005A400A"/>
    <w:rsid w:val="005D2E37"/>
    <w:rsid w:val="005E37F0"/>
    <w:rsid w:val="0060018F"/>
    <w:rsid w:val="00612379"/>
    <w:rsid w:val="0061555F"/>
    <w:rsid w:val="00630A8B"/>
    <w:rsid w:val="006350AB"/>
    <w:rsid w:val="00636AAE"/>
    <w:rsid w:val="00641200"/>
    <w:rsid w:val="00663ED8"/>
    <w:rsid w:val="0066431E"/>
    <w:rsid w:val="00664515"/>
    <w:rsid w:val="00687EB4"/>
    <w:rsid w:val="006B130D"/>
    <w:rsid w:val="006B17D2"/>
    <w:rsid w:val="006B45FA"/>
    <w:rsid w:val="006C224E"/>
    <w:rsid w:val="00732DEC"/>
    <w:rsid w:val="00735BD5"/>
    <w:rsid w:val="0075117E"/>
    <w:rsid w:val="007556F6"/>
    <w:rsid w:val="00760EEF"/>
    <w:rsid w:val="0076602F"/>
    <w:rsid w:val="00777EE5"/>
    <w:rsid w:val="00784836"/>
    <w:rsid w:val="0079023E"/>
    <w:rsid w:val="007B6894"/>
    <w:rsid w:val="007C6639"/>
    <w:rsid w:val="007D0B9D"/>
    <w:rsid w:val="007D19B0"/>
    <w:rsid w:val="007F498F"/>
    <w:rsid w:val="007F5980"/>
    <w:rsid w:val="007F741C"/>
    <w:rsid w:val="0080679D"/>
    <w:rsid w:val="008108B0"/>
    <w:rsid w:val="00811B20"/>
    <w:rsid w:val="0082296E"/>
    <w:rsid w:val="00824099"/>
    <w:rsid w:val="00836E88"/>
    <w:rsid w:val="00855DBD"/>
    <w:rsid w:val="00867AC1"/>
    <w:rsid w:val="008837CE"/>
    <w:rsid w:val="008A395B"/>
    <w:rsid w:val="008A743F"/>
    <w:rsid w:val="008B129D"/>
    <w:rsid w:val="008B51D0"/>
    <w:rsid w:val="008C0970"/>
    <w:rsid w:val="008D2CF7"/>
    <w:rsid w:val="008D2FC8"/>
    <w:rsid w:val="008E793E"/>
    <w:rsid w:val="00900C26"/>
    <w:rsid w:val="0090197F"/>
    <w:rsid w:val="00906DDC"/>
    <w:rsid w:val="00934E09"/>
    <w:rsid w:val="00936253"/>
    <w:rsid w:val="0095226C"/>
    <w:rsid w:val="00970FED"/>
    <w:rsid w:val="00997029"/>
    <w:rsid w:val="009C1193"/>
    <w:rsid w:val="009D0DE5"/>
    <w:rsid w:val="009D1C08"/>
    <w:rsid w:val="009D690D"/>
    <w:rsid w:val="009D7B76"/>
    <w:rsid w:val="009E65A2"/>
    <w:rsid w:val="009E65B6"/>
    <w:rsid w:val="009F776E"/>
    <w:rsid w:val="00A12D06"/>
    <w:rsid w:val="00A42AC3"/>
    <w:rsid w:val="00A430CF"/>
    <w:rsid w:val="00A54309"/>
    <w:rsid w:val="00A6303F"/>
    <w:rsid w:val="00A83973"/>
    <w:rsid w:val="00A87649"/>
    <w:rsid w:val="00AA5EB1"/>
    <w:rsid w:val="00AB2B93"/>
    <w:rsid w:val="00AE0EF1"/>
    <w:rsid w:val="00B07301"/>
    <w:rsid w:val="00B224DE"/>
    <w:rsid w:val="00B25CD4"/>
    <w:rsid w:val="00B605A8"/>
    <w:rsid w:val="00B84BBD"/>
    <w:rsid w:val="00BA43FB"/>
    <w:rsid w:val="00BC127D"/>
    <w:rsid w:val="00BC1FE6"/>
    <w:rsid w:val="00BD4C24"/>
    <w:rsid w:val="00BF43D9"/>
    <w:rsid w:val="00C061B6"/>
    <w:rsid w:val="00C21DBF"/>
    <w:rsid w:val="00C2446C"/>
    <w:rsid w:val="00C36AE5"/>
    <w:rsid w:val="00C41F17"/>
    <w:rsid w:val="00C54BF4"/>
    <w:rsid w:val="00C5791C"/>
    <w:rsid w:val="00C66290"/>
    <w:rsid w:val="00C72B7A"/>
    <w:rsid w:val="00C973F2"/>
    <w:rsid w:val="00CA774A"/>
    <w:rsid w:val="00CC11B0"/>
    <w:rsid w:val="00CF7E36"/>
    <w:rsid w:val="00D233D8"/>
    <w:rsid w:val="00D24210"/>
    <w:rsid w:val="00D3708D"/>
    <w:rsid w:val="00D40426"/>
    <w:rsid w:val="00D541EC"/>
    <w:rsid w:val="00D57C96"/>
    <w:rsid w:val="00D62150"/>
    <w:rsid w:val="00D91203"/>
    <w:rsid w:val="00D95174"/>
    <w:rsid w:val="00D95A5C"/>
    <w:rsid w:val="00DA6F36"/>
    <w:rsid w:val="00DB2BE5"/>
    <w:rsid w:val="00DC00EA"/>
    <w:rsid w:val="00DF0767"/>
    <w:rsid w:val="00E23920"/>
    <w:rsid w:val="00E40A1F"/>
    <w:rsid w:val="00E72D49"/>
    <w:rsid w:val="00E7593C"/>
    <w:rsid w:val="00E7678A"/>
    <w:rsid w:val="00E80D8E"/>
    <w:rsid w:val="00E935F1"/>
    <w:rsid w:val="00E94A81"/>
    <w:rsid w:val="00EA1FFB"/>
    <w:rsid w:val="00EB048E"/>
    <w:rsid w:val="00EB3EFA"/>
    <w:rsid w:val="00EC4922"/>
    <w:rsid w:val="00ED786F"/>
    <w:rsid w:val="00EE2D14"/>
    <w:rsid w:val="00EF2F89"/>
    <w:rsid w:val="00EF3B63"/>
    <w:rsid w:val="00F03B03"/>
    <w:rsid w:val="00F04DEB"/>
    <w:rsid w:val="00F1237A"/>
    <w:rsid w:val="00F21342"/>
    <w:rsid w:val="00F22CBD"/>
    <w:rsid w:val="00F32656"/>
    <w:rsid w:val="00F32FC6"/>
    <w:rsid w:val="00F37961"/>
    <w:rsid w:val="00F53615"/>
    <w:rsid w:val="00F6334D"/>
    <w:rsid w:val="00F80C45"/>
    <w:rsid w:val="00FA49AB"/>
    <w:rsid w:val="00FB0D37"/>
    <w:rsid w:val="00FB4349"/>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2A551B"/>
    <w:pPr>
      <w:tabs>
        <w:tab w:val="left" w:pos="1134"/>
        <w:tab w:val="right" w:leader="dot" w:pos="9639"/>
      </w:tabs>
      <w:spacing w:before="120"/>
      <w:ind w:left="567"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D483F"/>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1D483F"/>
    <w:rPr>
      <w:rFonts w:ascii="Arial" w:hAnsi="Arial"/>
      <w:caps/>
    </w:rPr>
  </w:style>
  <w:style w:type="character" w:customStyle="1" w:styleId="Heading2Char">
    <w:name w:val="Heading 2 Char"/>
    <w:basedOn w:val="DefaultParagraphFont"/>
    <w:link w:val="Heading2"/>
    <w:rsid w:val="001D483F"/>
    <w:rPr>
      <w:rFonts w:ascii="Arial" w:hAnsi="Arial"/>
      <w:u w:val="single"/>
    </w:rPr>
  </w:style>
  <w:style w:type="character" w:customStyle="1" w:styleId="HeaderChar">
    <w:name w:val="Header Char"/>
    <w:basedOn w:val="DefaultParagraphFont"/>
    <w:link w:val="Header"/>
    <w:rsid w:val="001D483F"/>
    <w:rPr>
      <w:rFonts w:ascii="Arial" w:hAnsi="Arial"/>
      <w:lang w:val="fr-FR"/>
    </w:rPr>
  </w:style>
  <w:style w:type="character" w:customStyle="1" w:styleId="DecisionParagraphsChar">
    <w:name w:val="DecisionParagraphs Char"/>
    <w:basedOn w:val="DefaultParagraphFont"/>
    <w:link w:val="DecisionParagraphs"/>
    <w:rsid w:val="001D483F"/>
    <w:rPr>
      <w:rFonts w:ascii="Arial" w:hAnsi="Arial"/>
      <w:i/>
    </w:rPr>
  </w:style>
  <w:style w:type="paragraph" w:styleId="ListParagraph">
    <w:name w:val="List Paragraph"/>
    <w:basedOn w:val="Normal"/>
    <w:uiPriority w:val="34"/>
    <w:qFormat/>
    <w:rsid w:val="00F03B03"/>
    <w:pPr>
      <w:ind w:left="720"/>
      <w:contextualSpacing/>
    </w:pPr>
  </w:style>
  <w:style w:type="table" w:styleId="TableGrid">
    <w:name w:val="Table Grid"/>
    <w:basedOn w:val="TableNormal"/>
    <w:rsid w:val="00766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2A551B"/>
    <w:pPr>
      <w:tabs>
        <w:tab w:val="left" w:pos="1134"/>
        <w:tab w:val="right" w:leader="dot" w:pos="9639"/>
      </w:tabs>
      <w:spacing w:before="120"/>
      <w:ind w:left="567"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D483F"/>
    <w:pPr>
      <w:tabs>
        <w:tab w:val="right" w:leader="dot" w:pos="9639"/>
      </w:tabs>
      <w:spacing w:before="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1Char">
    <w:name w:val="Heading 1 Char"/>
    <w:basedOn w:val="DefaultParagraphFont"/>
    <w:link w:val="Heading1"/>
    <w:rsid w:val="001D483F"/>
    <w:rPr>
      <w:rFonts w:ascii="Arial" w:hAnsi="Arial"/>
      <w:caps/>
    </w:rPr>
  </w:style>
  <w:style w:type="character" w:customStyle="1" w:styleId="Heading2Char">
    <w:name w:val="Heading 2 Char"/>
    <w:basedOn w:val="DefaultParagraphFont"/>
    <w:link w:val="Heading2"/>
    <w:rsid w:val="001D483F"/>
    <w:rPr>
      <w:rFonts w:ascii="Arial" w:hAnsi="Arial"/>
      <w:u w:val="single"/>
    </w:rPr>
  </w:style>
  <w:style w:type="character" w:customStyle="1" w:styleId="HeaderChar">
    <w:name w:val="Header Char"/>
    <w:basedOn w:val="DefaultParagraphFont"/>
    <w:link w:val="Header"/>
    <w:rsid w:val="001D483F"/>
    <w:rPr>
      <w:rFonts w:ascii="Arial" w:hAnsi="Arial"/>
      <w:lang w:val="fr-FR"/>
    </w:rPr>
  </w:style>
  <w:style w:type="character" w:customStyle="1" w:styleId="DecisionParagraphsChar">
    <w:name w:val="DecisionParagraphs Char"/>
    <w:basedOn w:val="DefaultParagraphFont"/>
    <w:link w:val="DecisionParagraphs"/>
    <w:rsid w:val="001D483F"/>
    <w:rPr>
      <w:rFonts w:ascii="Arial" w:hAnsi="Arial"/>
      <w:i/>
    </w:rPr>
  </w:style>
  <w:style w:type="paragraph" w:styleId="ListParagraph">
    <w:name w:val="List Paragraph"/>
    <w:basedOn w:val="Normal"/>
    <w:uiPriority w:val="34"/>
    <w:qFormat/>
    <w:rsid w:val="00F03B03"/>
    <w:pPr>
      <w:ind w:left="720"/>
      <w:contextualSpacing/>
    </w:pPr>
  </w:style>
  <w:style w:type="table" w:styleId="TableGrid">
    <w:name w:val="Table Grid"/>
    <w:basedOn w:val="TableNormal"/>
    <w:rsid w:val="007660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7156">
      <w:bodyDiv w:val="1"/>
      <w:marLeft w:val="0"/>
      <w:marRight w:val="0"/>
      <w:marTop w:val="0"/>
      <w:marBottom w:val="0"/>
      <w:divBdr>
        <w:top w:val="none" w:sz="0" w:space="0" w:color="auto"/>
        <w:left w:val="none" w:sz="0" w:space="0" w:color="auto"/>
        <w:bottom w:val="none" w:sz="0" w:space="0" w:color="auto"/>
        <w:right w:val="none" w:sz="0" w:space="0" w:color="auto"/>
      </w:divBdr>
    </w:div>
    <w:div w:id="987901799">
      <w:bodyDiv w:val="1"/>
      <w:marLeft w:val="0"/>
      <w:marRight w:val="0"/>
      <w:marTop w:val="0"/>
      <w:marBottom w:val="0"/>
      <w:divBdr>
        <w:top w:val="none" w:sz="0" w:space="0" w:color="auto"/>
        <w:left w:val="none" w:sz="0" w:space="0" w:color="auto"/>
        <w:bottom w:val="none" w:sz="0" w:space="0" w:color="auto"/>
        <w:right w:val="none" w:sz="0" w:space="0" w:color="auto"/>
      </w:divBdr>
    </w:div>
    <w:div w:id="1503006366">
      <w:bodyDiv w:val="1"/>
      <w:marLeft w:val="0"/>
      <w:marRight w:val="0"/>
      <w:marTop w:val="0"/>
      <w:marBottom w:val="0"/>
      <w:divBdr>
        <w:top w:val="none" w:sz="0" w:space="0" w:color="auto"/>
        <w:left w:val="none" w:sz="0" w:space="0" w:color="auto"/>
        <w:bottom w:val="none" w:sz="0" w:space="0" w:color="auto"/>
        <w:right w:val="none" w:sz="0" w:space="0" w:color="auto"/>
      </w:divBdr>
    </w:div>
    <w:div w:id="1548643232">
      <w:bodyDiv w:val="1"/>
      <w:marLeft w:val="0"/>
      <w:marRight w:val="0"/>
      <w:marTop w:val="0"/>
      <w:marBottom w:val="0"/>
      <w:divBdr>
        <w:top w:val="none" w:sz="0" w:space="0" w:color="auto"/>
        <w:left w:val="none" w:sz="0" w:space="0" w:color="auto"/>
        <w:bottom w:val="none" w:sz="0" w:space="0" w:color="auto"/>
        <w:right w:val="none" w:sz="0" w:space="0" w:color="auto"/>
      </w:divBdr>
    </w:div>
    <w:div w:id="1674068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0\templates\CAJ_7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318A-A3AF-4938-90B8-A8229233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CAJ_70_EN.dotx</Template>
  <TotalTime>83</TotalTime>
  <Pages>5</Pages>
  <Words>1184</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MAY Jessica</dc:creator>
  <cp:lastModifiedBy>BESSE Ariane</cp:lastModifiedBy>
  <cp:revision>32</cp:revision>
  <cp:lastPrinted>2014-08-12T15:01:00Z</cp:lastPrinted>
  <dcterms:created xsi:type="dcterms:W3CDTF">2014-08-12T09:08:00Z</dcterms:created>
  <dcterms:modified xsi:type="dcterms:W3CDTF">2014-08-29T16:13:00Z</dcterms:modified>
</cp:coreProperties>
</file>