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F56C99" w:rsidP="006655D3">
            <w:pPr>
              <w:pStyle w:val="Docoriginal"/>
            </w:pPr>
            <w:proofErr w:type="gramStart"/>
            <w:r>
              <w:t>C</w:t>
            </w:r>
            <w:r w:rsidR="00A468CA">
              <w:t>(</w:t>
            </w:r>
            <w:proofErr w:type="spellStart"/>
            <w:proofErr w:type="gramEnd"/>
            <w:r w:rsidR="00A468CA">
              <w:t>Extr</w:t>
            </w:r>
            <w:proofErr w:type="spellEnd"/>
            <w:r w:rsidR="00A468CA">
              <w:t>.)</w:t>
            </w:r>
            <w:r>
              <w:t>/</w:t>
            </w:r>
            <w:r w:rsidR="00A468CA">
              <w:t>3</w:t>
            </w:r>
            <w:r w:rsidR="00C77813">
              <w:t>3</w:t>
            </w:r>
            <w:r>
              <w:t>/</w:t>
            </w:r>
            <w:bookmarkStart w:id="0" w:name="Code"/>
            <w:bookmarkEnd w:id="0"/>
            <w:r w:rsidR="0030098F">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A30EB0">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1A38E2">
            <w:pPr>
              <w:pStyle w:val="Docoriginal"/>
            </w:pPr>
            <w:r w:rsidRPr="0033507D">
              <w:t>DATE:</w:t>
            </w:r>
            <w:r w:rsidR="0061555F" w:rsidRPr="0033507D">
              <w:t xml:space="preserve"> </w:t>
            </w:r>
            <w:r w:rsidRPr="00B46575">
              <w:rPr>
                <w:rStyle w:val="StyleDocoriginalNotBold1"/>
                <w:spacing w:val="0"/>
              </w:rPr>
              <w:t xml:space="preserve"> </w:t>
            </w:r>
            <w:bookmarkStart w:id="2" w:name="Date"/>
            <w:bookmarkEnd w:id="2"/>
            <w:r w:rsidR="001A38E2" w:rsidRPr="001A38E2">
              <w:rPr>
                <w:b w:val="0"/>
                <w:spacing w:val="0"/>
              </w:rPr>
              <w:t>March 17</w:t>
            </w:r>
            <w:r w:rsidR="0024416D" w:rsidRPr="001A38E2">
              <w:rPr>
                <w:b w:val="0"/>
                <w:spacing w:val="0"/>
              </w:rPr>
              <w:t xml:space="preserve">, </w:t>
            </w:r>
            <w:r w:rsidR="001131D5" w:rsidRPr="001A38E2">
              <w:rPr>
                <w:b w:val="0"/>
                <w:spacing w:val="0"/>
              </w:rPr>
              <w:t>201</w:t>
            </w:r>
            <w:r w:rsidR="0030098F" w:rsidRPr="001A38E2">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C77813">
        <w:t>Third</w:t>
      </w:r>
      <w:r w:rsidR="00D70FD9">
        <w:t xml:space="preserve">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 xml:space="preserve">March </w:t>
      </w:r>
      <w:r w:rsidR="00C77813">
        <w:t>17, 2016</w:t>
      </w:r>
    </w:p>
    <w:p w:rsidR="000D7780" w:rsidRPr="00C5280D" w:rsidRDefault="0030098F" w:rsidP="006655D3">
      <w:pPr>
        <w:pStyle w:val="Titleofdoc0"/>
      </w:pPr>
      <w:bookmarkStart w:id="3" w:name="TitleOfDoc"/>
      <w:bookmarkEnd w:id="3"/>
      <w:r w:rsidRPr="0030098F">
        <w:t xml:space="preserve">Report by the President on the work of the ninety-first session </w:t>
      </w:r>
      <w:r>
        <w:br/>
      </w:r>
      <w:r w:rsidRPr="0030098F">
        <w:t>of the Consultative Committee; adoption of recommendations</w:t>
      </w:r>
      <w:proofErr w:type="gramStart"/>
      <w:r w:rsidRPr="0030098F">
        <w:t>,</w:t>
      </w:r>
      <w:proofErr w:type="gramEnd"/>
      <w:r w:rsidR="001A38E2">
        <w:br/>
      </w:r>
      <w:r w:rsidRPr="0030098F">
        <w:t>if any, prepared by that Committee</w:t>
      </w:r>
    </w:p>
    <w:p w:rsidR="000D7780" w:rsidRPr="00C5280D" w:rsidRDefault="0061555F" w:rsidP="006655D3">
      <w:pPr>
        <w:pStyle w:val="preparedby1"/>
      </w:pPr>
      <w:bookmarkStart w:id="4" w:name="Prepared"/>
      <w:bookmarkEnd w:id="4"/>
      <w:proofErr w:type="gramStart"/>
      <w:r w:rsidRPr="0030098F">
        <w:t>prepared</w:t>
      </w:r>
      <w:proofErr w:type="gramEnd"/>
      <w:r w:rsidRPr="0030098F">
        <w:t xml:space="preserve"> by the Office of the Union</w:t>
      </w:r>
      <w:r w:rsidR="00560A6D">
        <w:br/>
      </w:r>
      <w:r w:rsidR="00560A6D">
        <w:br/>
      </w:r>
      <w:r w:rsidR="00560A6D">
        <w:rPr>
          <w:color w:val="A6A6A6" w:themeColor="background1" w:themeShade="A6"/>
        </w:rPr>
        <w:t>Disclaimer:  this document does not represent UPOV policies or guidance</w:t>
      </w:r>
    </w:p>
    <w:p w:rsidR="001A38E2" w:rsidRDefault="001A38E2" w:rsidP="001A38E2">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ninety-first session in Geneva on March17, 2017.</w:t>
      </w:r>
    </w:p>
    <w:p w:rsidR="001A38E2" w:rsidRDefault="001A38E2" w:rsidP="001A38E2"/>
    <w:p w:rsidR="001A38E2" w:rsidRDefault="001A38E2" w:rsidP="001A38E2">
      <w:r>
        <w:fldChar w:fldCharType="begin"/>
      </w:r>
      <w:r>
        <w:instrText xml:space="preserve"> AUTONUM  </w:instrText>
      </w:r>
      <w:r>
        <w:fldChar w:fldCharType="end"/>
      </w:r>
      <w:r>
        <w:tab/>
        <w:t xml:space="preserve">The recommendations made by the Consultative Committee on the following items, as set out in </w:t>
      </w:r>
      <w:r w:rsidR="00FC1C22">
        <w:br/>
      </w:r>
      <w:r>
        <w:t xml:space="preserve">this report, will be considered by the Council under the relevant agenda items (see document </w:t>
      </w:r>
      <w:proofErr w:type="gramStart"/>
      <w:r>
        <w:t>C(</w:t>
      </w:r>
      <w:proofErr w:type="spellStart"/>
      <w:proofErr w:type="gramEnd"/>
      <w:r>
        <w:t>Extr</w:t>
      </w:r>
      <w:proofErr w:type="spellEnd"/>
      <w:r>
        <w:t>.)/3</w:t>
      </w:r>
      <w:r w:rsidR="0028445A">
        <w:t>3</w:t>
      </w:r>
      <w:r>
        <w:t>/1 Rev</w:t>
      </w:r>
      <w:r w:rsidR="0028445A">
        <w:t>.2</w:t>
      </w:r>
      <w:r>
        <w:t>):</w:t>
      </w:r>
    </w:p>
    <w:p w:rsidR="001A38E2" w:rsidRDefault="001A38E2" w:rsidP="001A38E2"/>
    <w:p w:rsidR="00C651CE" w:rsidRDefault="0028445A" w:rsidP="0028445A">
      <w:pPr>
        <w:ind w:firstLine="567"/>
        <w:jc w:val="left"/>
      </w:pPr>
      <w:r>
        <w:t>(a)</w:t>
      </w:r>
      <w:r>
        <w:tab/>
      </w:r>
      <w:r w:rsidR="002777B5">
        <w:t xml:space="preserve">Adoption of documents (document </w:t>
      </w:r>
      <w:proofErr w:type="gramStart"/>
      <w:r w:rsidR="002777B5">
        <w:t>C(</w:t>
      </w:r>
      <w:proofErr w:type="spellStart"/>
      <w:proofErr w:type="gramEnd"/>
      <w:r w:rsidR="002777B5">
        <w:t>Extr</w:t>
      </w:r>
      <w:proofErr w:type="spellEnd"/>
      <w:r w:rsidR="002777B5">
        <w:t>.)/33/2)</w:t>
      </w:r>
    </w:p>
    <w:p w:rsidR="0028445A" w:rsidRDefault="0028445A" w:rsidP="0028445A">
      <w:pPr>
        <w:ind w:firstLine="567"/>
        <w:jc w:val="left"/>
      </w:pPr>
    </w:p>
    <w:p w:rsidR="002777B5" w:rsidRPr="004A63B0" w:rsidRDefault="002777B5" w:rsidP="002777B5">
      <w:pPr>
        <w:pStyle w:val="BodyText"/>
        <w:ind w:left="1134" w:hanging="567"/>
      </w:pPr>
      <w:r>
        <w:t>(b)</w:t>
      </w:r>
      <w:r w:rsidRPr="004A63B0">
        <w:tab/>
        <w:t>Calendar of meetings in 201</w:t>
      </w:r>
      <w:r>
        <w:t>6</w:t>
      </w:r>
      <w:r w:rsidRPr="004A63B0">
        <w:t xml:space="preserve"> (document </w:t>
      </w:r>
      <w:proofErr w:type="gramStart"/>
      <w:r w:rsidRPr="004A63B0">
        <w:rPr>
          <w:lang w:val="fr-FR"/>
        </w:rPr>
        <w:t>C(</w:t>
      </w:r>
      <w:proofErr w:type="spellStart"/>
      <w:proofErr w:type="gramEnd"/>
      <w:r w:rsidRPr="004A63B0">
        <w:rPr>
          <w:lang w:val="fr-FR"/>
        </w:rPr>
        <w:t>Extr</w:t>
      </w:r>
      <w:proofErr w:type="spellEnd"/>
      <w:r w:rsidRPr="004A63B0">
        <w:rPr>
          <w:lang w:val="fr-FR"/>
        </w:rPr>
        <w:t>.)/3</w:t>
      </w:r>
      <w:r>
        <w:rPr>
          <w:lang w:val="fr-FR"/>
        </w:rPr>
        <w:t>3/4</w:t>
      </w:r>
      <w:r w:rsidRPr="004A63B0">
        <w:t xml:space="preserve">) </w:t>
      </w:r>
    </w:p>
    <w:p w:rsidR="002777B5" w:rsidRPr="004A63B0" w:rsidRDefault="002777B5" w:rsidP="002777B5">
      <w:pPr>
        <w:pStyle w:val="BodyText"/>
        <w:ind w:left="1134" w:hanging="567"/>
      </w:pPr>
    </w:p>
    <w:p w:rsidR="002777B5" w:rsidRPr="004A63B0" w:rsidRDefault="002777B5" w:rsidP="002777B5">
      <w:pPr>
        <w:ind w:left="1134" w:hanging="567"/>
      </w:pPr>
      <w:r>
        <w:t>(c)</w:t>
      </w:r>
      <w:r w:rsidRPr="004A63B0">
        <w:tab/>
        <w:t xml:space="preserve">Press Release (document </w:t>
      </w:r>
      <w:proofErr w:type="gramStart"/>
      <w:r>
        <w:rPr>
          <w:lang w:val="fr-FR"/>
        </w:rPr>
        <w:t>C(</w:t>
      </w:r>
      <w:proofErr w:type="spellStart"/>
      <w:proofErr w:type="gramEnd"/>
      <w:r>
        <w:rPr>
          <w:lang w:val="fr-FR"/>
        </w:rPr>
        <w:t>Extr</w:t>
      </w:r>
      <w:proofErr w:type="spellEnd"/>
      <w:r>
        <w:rPr>
          <w:lang w:val="fr-FR"/>
        </w:rPr>
        <w:t>.)/33</w:t>
      </w:r>
      <w:r w:rsidRPr="004A63B0">
        <w:rPr>
          <w:lang w:val="fr-FR"/>
        </w:rPr>
        <w:t>/</w:t>
      </w:r>
      <w:r>
        <w:rPr>
          <w:lang w:val="fr-FR"/>
        </w:rPr>
        <w:t>5</w:t>
      </w:r>
      <w:r w:rsidRPr="004A63B0">
        <w:rPr>
          <w:lang w:val="fr-FR"/>
        </w:rPr>
        <w:t>)</w:t>
      </w:r>
    </w:p>
    <w:p w:rsidR="002777B5" w:rsidRDefault="002777B5" w:rsidP="002777B5">
      <w:pPr>
        <w:pStyle w:val="TOC1"/>
        <w:rPr>
          <w:snapToGrid w:val="0"/>
        </w:rPr>
      </w:pPr>
    </w:p>
    <w:p w:rsidR="00C07B0F" w:rsidRDefault="00C07B0F" w:rsidP="00C07B0F">
      <w:pPr>
        <w:rPr>
          <w:snapToGrid w:val="0"/>
          <w:color w:val="000000" w:themeColor="text1"/>
        </w:rPr>
      </w:pPr>
      <w:r w:rsidRPr="00DA70D4">
        <w:fldChar w:fldCharType="begin"/>
      </w:r>
      <w:r w:rsidRPr="00DA70D4">
        <w:instrText xml:space="preserve"> AUTONUM  </w:instrText>
      </w:r>
      <w:r w:rsidRPr="00DA70D4">
        <w:fldChar w:fldCharType="end"/>
      </w:r>
      <w:r w:rsidRPr="00DA70D4">
        <w:tab/>
        <w:t xml:space="preserve">The Consultative Committee recommended to </w:t>
      </w:r>
      <w:r w:rsidR="0086702F">
        <w:rPr>
          <w:snapToGrid w:val="0"/>
          <w:color w:val="000000" w:themeColor="text1"/>
        </w:rPr>
        <w:t>the Council</w:t>
      </w:r>
      <w:r>
        <w:rPr>
          <w:snapToGrid w:val="0"/>
          <w:color w:val="000000" w:themeColor="text1"/>
        </w:rPr>
        <w:t>:</w:t>
      </w:r>
    </w:p>
    <w:p w:rsidR="00C07B0F" w:rsidRDefault="00C07B0F" w:rsidP="00C07B0F">
      <w:pPr>
        <w:rPr>
          <w:snapToGrid w:val="0"/>
          <w:color w:val="000000" w:themeColor="text1"/>
        </w:rPr>
      </w:pPr>
    </w:p>
    <w:p w:rsidR="00C07B0F" w:rsidRDefault="009630E9" w:rsidP="00C07B0F">
      <w:pPr>
        <w:rPr>
          <w:snapToGrid w:val="0"/>
        </w:rPr>
      </w:pPr>
      <w:r>
        <w:tab/>
      </w:r>
      <w:r w:rsidR="0086702F">
        <w:t>(a)</w:t>
      </w:r>
      <w:r w:rsidR="0086702F">
        <w:tab/>
      </w:r>
      <w:r w:rsidR="0086702F" w:rsidRPr="00B64A2F">
        <w:rPr>
          <w:snapToGrid w:val="0"/>
        </w:rPr>
        <w:t>with the agreement of the Direct</w:t>
      </w:r>
      <w:r w:rsidR="0086702F">
        <w:rPr>
          <w:snapToGrid w:val="0"/>
        </w:rPr>
        <w:t xml:space="preserve">or General of the </w:t>
      </w:r>
      <w:r w:rsidR="0086702F" w:rsidRPr="002D7EAF">
        <w:rPr>
          <w:snapToGrid w:val="0"/>
        </w:rPr>
        <w:t>World Intellectual Property Organization (WIPO)</w:t>
      </w:r>
      <w:r w:rsidR="0086702F">
        <w:rPr>
          <w:snapToGrid w:val="0"/>
        </w:rPr>
        <w:t xml:space="preserve"> (see Article </w:t>
      </w:r>
      <w:r w:rsidR="0086702F" w:rsidRPr="00B64A2F">
        <w:rPr>
          <w:snapToGrid w:val="0"/>
        </w:rPr>
        <w:t>8(1) of the WIPO/UPOV Agreem</w:t>
      </w:r>
      <w:r w:rsidR="0086702F">
        <w:rPr>
          <w:snapToGrid w:val="0"/>
        </w:rPr>
        <w:t>ent), an exception for Ms. Hend </w:t>
      </w:r>
      <w:r w:rsidR="0086702F" w:rsidRPr="00B64A2F">
        <w:rPr>
          <w:snapToGrid w:val="0"/>
        </w:rPr>
        <w:t xml:space="preserve">Madhour, </w:t>
      </w:r>
      <w:r w:rsidR="0086702F">
        <w:rPr>
          <w:snapToGrid w:val="0"/>
        </w:rPr>
        <w:t>in relation to Staff Regulation </w:t>
      </w:r>
      <w:r w:rsidR="0086702F" w:rsidRPr="00B64A2F">
        <w:rPr>
          <w:snapToGrid w:val="0"/>
        </w:rPr>
        <w:t xml:space="preserve">4.16 (a), to provide for a maximum </w:t>
      </w:r>
      <w:r w:rsidR="0086702F">
        <w:rPr>
          <w:snapToGrid w:val="0"/>
        </w:rPr>
        <w:t>additional</w:t>
      </w:r>
      <w:r w:rsidR="0086702F" w:rsidRPr="00B64A2F">
        <w:rPr>
          <w:snapToGrid w:val="0"/>
        </w:rPr>
        <w:t xml:space="preserve"> two-year extension of the temporary appoin</w:t>
      </w:r>
      <w:r w:rsidR="0086702F">
        <w:rPr>
          <w:snapToGrid w:val="0"/>
        </w:rPr>
        <w:t>tment of Ms. </w:t>
      </w:r>
      <w:r w:rsidR="0086702F" w:rsidRPr="00B64A2F">
        <w:rPr>
          <w:snapToGrid w:val="0"/>
        </w:rPr>
        <w:t xml:space="preserve">Madhour </w:t>
      </w:r>
      <w:r w:rsidR="0086702F" w:rsidRPr="009C6AC9">
        <w:rPr>
          <w:snapToGrid w:val="0"/>
        </w:rPr>
        <w:t>in order for</w:t>
      </w:r>
      <w:r w:rsidR="0086702F" w:rsidRPr="00B64A2F">
        <w:rPr>
          <w:snapToGrid w:val="0"/>
        </w:rPr>
        <w:t xml:space="preserve"> her to continue her functions in relation to the “Electronic a</w:t>
      </w:r>
      <w:r w:rsidR="0086702F">
        <w:rPr>
          <w:snapToGrid w:val="0"/>
        </w:rPr>
        <w:t xml:space="preserve">pplication </w:t>
      </w:r>
      <w:proofErr w:type="gramStart"/>
      <w:r w:rsidR="0086702F">
        <w:rPr>
          <w:snapToGrid w:val="0"/>
        </w:rPr>
        <w:t>form</w:t>
      </w:r>
      <w:proofErr w:type="gramEnd"/>
      <w:r w:rsidR="0086702F">
        <w:rPr>
          <w:snapToGrid w:val="0"/>
        </w:rPr>
        <w:t xml:space="preserve"> project” (EAF Project);</w:t>
      </w:r>
    </w:p>
    <w:p w:rsidR="0086702F" w:rsidRDefault="0086702F" w:rsidP="00C07B0F">
      <w:pPr>
        <w:rPr>
          <w:snapToGrid w:val="0"/>
        </w:rPr>
      </w:pPr>
    </w:p>
    <w:p w:rsidR="0086702F" w:rsidRDefault="0086702F" w:rsidP="00C07B0F">
      <w:r>
        <w:rPr>
          <w:snapToGrid w:val="0"/>
        </w:rPr>
        <w:tab/>
        <w:t>(b)</w:t>
      </w:r>
      <w:r>
        <w:rPr>
          <w:snapToGrid w:val="0"/>
        </w:rPr>
        <w:tab/>
      </w:r>
      <w:r w:rsidRPr="00A176E9">
        <w:t>the establishment of a separate UPOV bank account to hold funds allocated for financing UPOV’s After-Service Health Insurance (ASHI) liability, and that the amount represented by the provisions for ASHI obligations at the end of the 2014</w:t>
      </w:r>
      <w:r w:rsidRPr="00A176E9">
        <w:noBreakHyphen/>
        <w:t xml:space="preserve">2015 biennium, together with the balance from the 6 per cent charge after deduction of the respective biennium’s payments, if any, be transferred to that account starting from the 2016-2017 biennium and to apply to that account the investment policy that WIPO applied to the account for </w:t>
      </w:r>
      <w:r>
        <w:t>financing WIPO’s ASHI liability;</w:t>
      </w:r>
    </w:p>
    <w:p w:rsidR="0086702F" w:rsidRDefault="0086702F" w:rsidP="00C07B0F"/>
    <w:p w:rsidR="00541DC4" w:rsidRPr="00C07B0F" w:rsidRDefault="0086702F" w:rsidP="00541DC4">
      <w:r>
        <w:tab/>
      </w:r>
      <w:r w:rsidR="00541DC4">
        <w:t>(c)</w:t>
      </w:r>
      <w:r w:rsidR="00541DC4">
        <w:tab/>
      </w:r>
      <w:r w:rsidR="00541DC4" w:rsidRPr="005C6465">
        <w:rPr>
          <w:rFonts w:cs="Arial"/>
        </w:rPr>
        <w:t>to approve the organization of a “Symposium on possible interrelations between the International Treaty on Plant Genetic Resources for Food and Agriculture (ITPGRFA) and the International Convention for the Protection of New Varieties of Plants (UPOV Convention)”, to be held at UPOV Headquarters in Geneva, on October 26, 2016</w:t>
      </w:r>
      <w:r w:rsidR="00541DC4">
        <w:rPr>
          <w:rFonts w:cs="Arial"/>
        </w:rPr>
        <w:t>, as set out in paragraphs 28 and 29 of this document;</w:t>
      </w:r>
    </w:p>
    <w:p w:rsidR="00541DC4" w:rsidRPr="00C07B0F" w:rsidRDefault="00541DC4" w:rsidP="00541DC4"/>
    <w:p w:rsidR="0086702F" w:rsidRDefault="00541DC4" w:rsidP="00541DC4">
      <w:r>
        <w:tab/>
      </w:r>
      <w:r w:rsidR="0086702F">
        <w:t>(</w:t>
      </w:r>
      <w:r>
        <w:t>d</w:t>
      </w:r>
      <w:r w:rsidR="0086702F">
        <w:t>)</w:t>
      </w:r>
      <w:r w:rsidR="0086702F">
        <w:tab/>
        <w:t xml:space="preserve">to approve the draft program for the “Seminar on Propagating and Harvested Material in the context of the UPOV Convention,” to be held in Geneva on October 24, 2016, as reproduced in the Annex </w:t>
      </w:r>
      <w:r>
        <w:t xml:space="preserve">and as set out </w:t>
      </w:r>
      <w:r w:rsidR="007A355F">
        <w:t xml:space="preserve">in </w:t>
      </w:r>
      <w:r>
        <w:t>paragraphs 3</w:t>
      </w:r>
      <w:r w:rsidR="001462BF">
        <w:t>0</w:t>
      </w:r>
      <w:r>
        <w:t xml:space="preserve"> to 3</w:t>
      </w:r>
      <w:r w:rsidR="001462BF">
        <w:t>2</w:t>
      </w:r>
      <w:r>
        <w:t xml:space="preserve"> of this document.</w:t>
      </w:r>
    </w:p>
    <w:p w:rsidR="00F505C7" w:rsidRDefault="00F505C7" w:rsidP="00F505C7">
      <w:r>
        <w:lastRenderedPageBreak/>
        <w:fldChar w:fldCharType="begin"/>
      </w:r>
      <w:r>
        <w:instrText xml:space="preserve"> AUTONUM  </w:instrText>
      </w:r>
      <w:r>
        <w:fldChar w:fldCharType="end"/>
      </w:r>
      <w:r>
        <w:tab/>
        <w:t>The work of the Consultative Committee at its ninety-first session is summarized in the following paragraphs.</w:t>
      </w:r>
    </w:p>
    <w:p w:rsidR="00F505C7" w:rsidRDefault="00F505C7" w:rsidP="00F505C7"/>
    <w:p w:rsidR="00F505C7" w:rsidRDefault="00F505C7" w:rsidP="00F505C7"/>
    <w:p w:rsidR="00541DC4" w:rsidRPr="000513B4" w:rsidRDefault="00541DC4" w:rsidP="00541DC4">
      <w:pPr>
        <w:pStyle w:val="Heading2"/>
      </w:pPr>
      <w:r w:rsidRPr="000513B4">
        <w:t>Documents propo</w:t>
      </w:r>
      <w:r>
        <w:t>sed for adoption by the Council</w:t>
      </w:r>
    </w:p>
    <w:p w:rsidR="00541DC4" w:rsidRDefault="00541DC4" w:rsidP="00541DC4">
      <w:pPr>
        <w:keepNext/>
      </w:pPr>
    </w:p>
    <w:p w:rsidR="00541DC4" w:rsidRDefault="00541DC4" w:rsidP="00541DC4">
      <w:pPr>
        <w:autoSpaceDE w:val="0"/>
        <w:autoSpaceDN w:val="0"/>
        <w:adjustRightInd w:val="0"/>
      </w:pPr>
      <w:r>
        <w:fldChar w:fldCharType="begin"/>
      </w:r>
      <w:r>
        <w:instrText xml:space="preserve"> AUTONUM  </w:instrText>
      </w:r>
      <w:r>
        <w:fldChar w:fldCharType="end"/>
      </w:r>
      <w:r>
        <w:tab/>
        <w:t xml:space="preserve">The Consultative Committee considered </w:t>
      </w:r>
      <w:r w:rsidRPr="0045043E">
        <w:t>document UPOV/EXN/PPM/1 Draft 6</w:t>
      </w:r>
      <w:r>
        <w:t xml:space="preserve"> </w:t>
      </w:r>
      <w:r w:rsidRPr="0045043E">
        <w:t>“Explanatory Notes on Propagating Mate</w:t>
      </w:r>
      <w:r>
        <w:t>rial under the UPOV Convention”.  The following suggestions were made to modify the text:</w:t>
      </w:r>
    </w:p>
    <w:p w:rsidR="00541DC4" w:rsidRDefault="00541DC4" w:rsidP="00541DC4">
      <w:pPr>
        <w:autoSpaceDE w:val="0"/>
        <w:autoSpaceDN w:val="0"/>
        <w:adjustRightInd w:val="0"/>
      </w:pPr>
    </w:p>
    <w:tbl>
      <w:tblPr>
        <w:tblStyle w:val="TableGrid"/>
        <w:tblW w:w="0" w:type="auto"/>
        <w:tblInd w:w="567" w:type="dxa"/>
        <w:tblCellMar>
          <w:top w:w="57" w:type="dxa"/>
          <w:left w:w="85" w:type="dxa"/>
          <w:bottom w:w="28" w:type="dxa"/>
          <w:right w:w="85" w:type="dxa"/>
        </w:tblCellMar>
        <w:tblLook w:val="04A0" w:firstRow="1" w:lastRow="0" w:firstColumn="1" w:lastColumn="0" w:noHBand="0" w:noVBand="1"/>
      </w:tblPr>
      <w:tblGrid>
        <w:gridCol w:w="9242"/>
      </w:tblGrid>
      <w:tr w:rsidR="00541DC4" w:rsidRPr="007C41DF" w:rsidTr="00126E83">
        <w:trPr>
          <w:cantSplit/>
        </w:trPr>
        <w:tc>
          <w:tcPr>
            <w:tcW w:w="9288" w:type="dxa"/>
          </w:tcPr>
          <w:p w:rsidR="00541DC4" w:rsidRPr="00891E10" w:rsidRDefault="00541DC4" w:rsidP="00126E83">
            <w:pPr>
              <w:jc w:val="center"/>
              <w:rPr>
                <w:sz w:val="18"/>
              </w:rPr>
            </w:pPr>
            <w:bookmarkStart w:id="5" w:name="_Toc443307096"/>
            <w:r w:rsidRPr="00891E10">
              <w:rPr>
                <w:sz w:val="18"/>
              </w:rPr>
              <w:t xml:space="preserve">“FACTORS THAT </w:t>
            </w:r>
            <w:r w:rsidRPr="00891E10">
              <w:rPr>
                <w:strike/>
                <w:sz w:val="18"/>
                <w:highlight w:val="lightGray"/>
              </w:rPr>
              <w:t>MIGHT BE</w:t>
            </w:r>
            <w:r w:rsidRPr="00891E10">
              <w:rPr>
                <w:sz w:val="18"/>
                <w:highlight w:val="lightGray"/>
              </w:rPr>
              <w:t xml:space="preserve"> </w:t>
            </w:r>
            <w:r w:rsidRPr="00891E10">
              <w:rPr>
                <w:sz w:val="18"/>
                <w:highlight w:val="lightGray"/>
                <w:u w:val="single"/>
              </w:rPr>
              <w:t>HAVE BEEN</w:t>
            </w:r>
            <w:r w:rsidRPr="00891E10">
              <w:rPr>
                <w:sz w:val="18"/>
              </w:rPr>
              <w:t xml:space="preserve"> CONSIDERED IN RELATION TO PROPAGATING MATERIAL</w:t>
            </w:r>
          </w:p>
          <w:p w:rsidR="00541DC4" w:rsidRPr="002F7939" w:rsidRDefault="00541DC4" w:rsidP="00126E83">
            <w:pPr>
              <w:rPr>
                <w:sz w:val="18"/>
                <w:szCs w:val="18"/>
              </w:rPr>
            </w:pPr>
          </w:p>
          <w:bookmarkEnd w:id="5"/>
          <w:p w:rsidR="00541DC4" w:rsidRDefault="00541DC4" w:rsidP="00126E83">
            <w:pPr>
              <w:rPr>
                <w:sz w:val="18"/>
              </w:rPr>
            </w:pPr>
            <w:r>
              <w:rPr>
                <w:sz w:val="18"/>
              </w:rPr>
              <w:t>“</w:t>
            </w:r>
            <w:r w:rsidRPr="007C41DF">
              <w:rPr>
                <w:sz w:val="18"/>
              </w:rPr>
              <w:t xml:space="preserve">The UPOV Convention does not provide a definition of </w:t>
            </w:r>
            <w:r>
              <w:rPr>
                <w:sz w:val="18"/>
              </w:rPr>
              <w:t>‘</w:t>
            </w:r>
            <w:r w:rsidRPr="007C41DF">
              <w:rPr>
                <w:sz w:val="18"/>
              </w:rPr>
              <w:t>propagating material</w:t>
            </w:r>
            <w:r>
              <w:rPr>
                <w:sz w:val="18"/>
              </w:rPr>
              <w:t>’</w:t>
            </w:r>
            <w:r w:rsidRPr="007C41DF">
              <w:rPr>
                <w:sz w:val="18"/>
              </w:rPr>
              <w:t xml:space="preserve">. </w:t>
            </w:r>
            <w:r w:rsidRPr="007C41DF">
              <w:rPr>
                <w:rFonts w:cs="Arial"/>
                <w:sz w:val="18"/>
              </w:rPr>
              <w:t xml:space="preserve"> Propagating material encompasses reproductive and vegetative propagating material.  </w:t>
            </w:r>
            <w:r w:rsidRPr="007C41DF">
              <w:rPr>
                <w:sz w:val="18"/>
              </w:rPr>
              <w:t>The following are non-exhaustive examples of factors that have been considered by members of the Union in relation to whether material is propagating material:</w:t>
            </w:r>
          </w:p>
          <w:p w:rsidR="00541DC4" w:rsidRPr="007C41DF" w:rsidRDefault="00541DC4" w:rsidP="00126E83">
            <w:pPr>
              <w:rPr>
                <w:sz w:val="18"/>
              </w:rPr>
            </w:pPr>
          </w:p>
          <w:p w:rsidR="00541DC4" w:rsidRDefault="00541DC4" w:rsidP="00126E83">
            <w:pPr>
              <w:ind w:left="567"/>
              <w:rPr>
                <w:sz w:val="18"/>
              </w:rPr>
            </w:pPr>
            <w:r w:rsidRPr="007C41DF">
              <w:rPr>
                <w:sz w:val="18"/>
              </w:rPr>
              <w:t>[…]</w:t>
            </w:r>
          </w:p>
          <w:p w:rsidR="00541DC4" w:rsidRDefault="00541DC4" w:rsidP="00126E83">
            <w:pPr>
              <w:ind w:left="567"/>
              <w:rPr>
                <w:sz w:val="18"/>
              </w:rPr>
            </w:pPr>
          </w:p>
          <w:p w:rsidR="00541DC4" w:rsidRPr="00891E10" w:rsidRDefault="00541DC4" w:rsidP="00126E83">
            <w:pPr>
              <w:ind w:left="567"/>
              <w:rPr>
                <w:sz w:val="18"/>
              </w:rPr>
            </w:pPr>
            <w:r w:rsidRPr="00891E10">
              <w:rPr>
                <w:sz w:val="18"/>
              </w:rPr>
              <w:t>(ii)</w:t>
            </w:r>
            <w:r w:rsidRPr="00891E10">
              <w:rPr>
                <w:sz w:val="18"/>
              </w:rPr>
              <w:tab/>
              <w:t xml:space="preserve">whether the material has been </w:t>
            </w:r>
            <w:r w:rsidRPr="00891E10">
              <w:rPr>
                <w:sz w:val="18"/>
                <w:highlight w:val="lightGray"/>
                <w:u w:val="single"/>
              </w:rPr>
              <w:t>or may be</w:t>
            </w:r>
            <w:r w:rsidRPr="00891E10">
              <w:rPr>
                <w:sz w:val="18"/>
              </w:rPr>
              <w:t xml:space="preserve"> used to propagate the variety;</w:t>
            </w:r>
          </w:p>
          <w:p w:rsidR="00541DC4" w:rsidRPr="007C41DF" w:rsidRDefault="00541DC4" w:rsidP="00126E83">
            <w:pPr>
              <w:ind w:left="567"/>
              <w:rPr>
                <w:sz w:val="18"/>
              </w:rPr>
            </w:pPr>
          </w:p>
          <w:p w:rsidR="00541DC4" w:rsidRPr="007C41DF" w:rsidRDefault="00541DC4" w:rsidP="00126E83">
            <w:pPr>
              <w:spacing w:after="120"/>
              <w:ind w:left="1134" w:hanging="567"/>
              <w:rPr>
                <w:sz w:val="18"/>
              </w:rPr>
            </w:pPr>
            <w:r w:rsidRPr="007C41DF">
              <w:rPr>
                <w:sz w:val="18"/>
              </w:rPr>
              <w:t>(iii)</w:t>
            </w:r>
            <w:r w:rsidRPr="007C41DF">
              <w:rPr>
                <w:sz w:val="18"/>
              </w:rPr>
              <w:tab/>
              <w:t>whether the material is capable of producing entire plants of the variety</w:t>
            </w:r>
            <w:r w:rsidRPr="007C41DF">
              <w:rPr>
                <w:strike/>
                <w:sz w:val="18"/>
              </w:rPr>
              <w:t xml:space="preserve"> </w:t>
            </w:r>
            <w:r w:rsidRPr="007C41DF">
              <w:rPr>
                <w:strike/>
                <w:sz w:val="18"/>
                <w:highlight w:val="lightGray"/>
              </w:rPr>
              <w:t>and is factually used for propagating purposes</w:t>
            </w:r>
            <w:r w:rsidRPr="007C41DF">
              <w:rPr>
                <w:sz w:val="18"/>
              </w:rPr>
              <w:t>;</w:t>
            </w:r>
          </w:p>
          <w:p w:rsidR="00541DC4" w:rsidRPr="007C41DF" w:rsidRDefault="00541DC4" w:rsidP="00126E83">
            <w:pPr>
              <w:spacing w:after="120"/>
              <w:ind w:left="567"/>
              <w:rPr>
                <w:sz w:val="18"/>
              </w:rPr>
            </w:pPr>
            <w:r w:rsidRPr="007C41DF">
              <w:rPr>
                <w:sz w:val="18"/>
              </w:rPr>
              <w:t>[…]</w:t>
            </w:r>
            <w:r w:rsidRPr="007C41DF">
              <w:t>”</w:t>
            </w:r>
          </w:p>
        </w:tc>
      </w:tr>
    </w:tbl>
    <w:p w:rsidR="00541DC4" w:rsidRDefault="00541DC4" w:rsidP="00541DC4"/>
    <w:p w:rsidR="00541DC4" w:rsidRDefault="00541DC4" w:rsidP="00541DC4">
      <w:pPr>
        <w:autoSpaceDE w:val="0"/>
        <w:autoSpaceDN w:val="0"/>
        <w:adjustRightInd w:val="0"/>
      </w:pPr>
      <w:r w:rsidRPr="0045043E">
        <w:fldChar w:fldCharType="begin"/>
      </w:r>
      <w:r w:rsidRPr="0045043E">
        <w:instrText xml:space="preserve"> AUTONUM  </w:instrText>
      </w:r>
      <w:r w:rsidRPr="0045043E">
        <w:fldChar w:fldCharType="end"/>
      </w:r>
      <w:r>
        <w:rPr>
          <w:i/>
        </w:rPr>
        <w:tab/>
      </w:r>
      <w:r>
        <w:t>The</w:t>
      </w:r>
      <w:r w:rsidRPr="004778A3">
        <w:t xml:space="preserve"> Consultative Committee </w:t>
      </w:r>
      <w:r>
        <w:t xml:space="preserve">agreed that it would not be possible to </w:t>
      </w:r>
      <w:r w:rsidRPr="004778A3">
        <w:t xml:space="preserve">recommend to </w:t>
      </w:r>
      <w:r>
        <w:t xml:space="preserve">the Council the adoption of </w:t>
      </w:r>
      <w:r w:rsidRPr="0045043E">
        <w:t>document UPOV/EXN/PPM/1 “Explanatory Notes on Propagating Material under the UPOV Convention”, on the basis of document UPOV/EXN/PPM/1 Draft 6</w:t>
      </w:r>
      <w:r>
        <w:t xml:space="preserve">, and recommended to the Council to ask the Administrative and Legal Committee (CAJ) to consider document </w:t>
      </w:r>
      <w:r w:rsidRPr="0045043E">
        <w:t>UPOV/EXN/PPM/1 Draft 6</w:t>
      </w:r>
      <w:r>
        <w:t xml:space="preserve"> at its seventy-third session, to be held in October 2016.  The </w:t>
      </w:r>
      <w:r w:rsidRPr="004778A3">
        <w:t xml:space="preserve">Consultative Committee </w:t>
      </w:r>
      <w:r>
        <w:t xml:space="preserve">agreed that the comments made on document </w:t>
      </w:r>
      <w:r w:rsidRPr="0045043E">
        <w:t>UPOV/EXN/PPM/1 Draft 6</w:t>
      </w:r>
      <w:r>
        <w:t xml:space="preserve">, at its ninety-first session and at the </w:t>
      </w:r>
      <w:r w:rsidRPr="007F2113">
        <w:t>“Seminar on Propagating and Harvested Material in the context of the UPOV Convention</w:t>
      </w:r>
      <w:r>
        <w:t>”</w:t>
      </w:r>
      <w:r w:rsidRPr="007F2113">
        <w:t>, to be held in Geneva on October 24, 2016</w:t>
      </w:r>
      <w:r>
        <w:t xml:space="preserve">, should be considered by the CAJ in conjunction with document </w:t>
      </w:r>
      <w:r w:rsidRPr="0045043E">
        <w:t>UPOV/EXN/PPM/1 Draft 6</w:t>
      </w:r>
      <w:r>
        <w:t>.</w:t>
      </w:r>
    </w:p>
    <w:p w:rsidR="00541DC4" w:rsidRDefault="00541DC4" w:rsidP="00541DC4">
      <w:pPr>
        <w:rPr>
          <w:snapToGrid w:val="0"/>
        </w:rPr>
      </w:pPr>
    </w:p>
    <w:p w:rsidR="00541DC4" w:rsidRDefault="00541DC4" w:rsidP="00541DC4">
      <w:pPr>
        <w:ind w:left="567" w:hanging="567"/>
        <w:rPr>
          <w:rFonts w:cs="Arial"/>
          <w:snapToGrid w:val="0"/>
        </w:rPr>
      </w:pPr>
    </w:p>
    <w:p w:rsidR="00541DC4" w:rsidRDefault="00541DC4" w:rsidP="00541DC4">
      <w:pPr>
        <w:pStyle w:val="Heading2"/>
      </w:pPr>
      <w:r w:rsidRPr="00463411">
        <w:t>Internal Audit and Reports of the WIPO Independent Advisory Oversight Committee</w:t>
      </w:r>
    </w:p>
    <w:p w:rsidR="00541DC4" w:rsidRDefault="00541DC4" w:rsidP="00541DC4">
      <w:pPr>
        <w:keepNext/>
      </w:pPr>
    </w:p>
    <w:p w:rsidR="00541DC4" w:rsidRPr="006F3AAF" w:rsidRDefault="00541DC4" w:rsidP="00541DC4">
      <w:r w:rsidRPr="006F3AAF">
        <w:fldChar w:fldCharType="begin"/>
      </w:r>
      <w:r w:rsidRPr="006F3AAF">
        <w:instrText xml:space="preserve"> AUTONUM  </w:instrText>
      </w:r>
      <w:r w:rsidRPr="006F3AAF">
        <w:fldChar w:fldCharType="end"/>
      </w:r>
      <w:r w:rsidRPr="006F3AAF">
        <w:tab/>
        <w:t>The Consultative Committee note</w:t>
      </w:r>
      <w:r>
        <w:t xml:space="preserve">d </w:t>
      </w:r>
      <w:r w:rsidRPr="006F3AAF">
        <w:t xml:space="preserve">that, on the basis of the risk assessment of UPOV, there </w:t>
      </w:r>
      <w:r>
        <w:t>had been</w:t>
      </w:r>
      <w:r w:rsidRPr="006F3AAF">
        <w:t xml:space="preserve"> no internal audit of UPOV in </w:t>
      </w:r>
      <w:r>
        <w:t>2015.</w:t>
      </w:r>
    </w:p>
    <w:p w:rsidR="00541DC4" w:rsidRPr="006F3AAF" w:rsidRDefault="00541DC4" w:rsidP="00541DC4"/>
    <w:p w:rsidR="00541DC4" w:rsidRPr="006F3AAF" w:rsidRDefault="00541DC4" w:rsidP="00541DC4">
      <w:r>
        <w:fldChar w:fldCharType="begin"/>
      </w:r>
      <w:r>
        <w:instrText xml:space="preserve"> AUTONUM  </w:instrText>
      </w:r>
      <w:r>
        <w:fldChar w:fldCharType="end"/>
      </w:r>
      <w:r>
        <w:tab/>
        <w:t xml:space="preserve">The Consultative Committee noted </w:t>
      </w:r>
      <w:r w:rsidRPr="006F3AAF">
        <w:t>that the Secretary-General ha</w:t>
      </w:r>
      <w:r>
        <w:t>d</w:t>
      </w:r>
      <w:r w:rsidRPr="006F3AAF">
        <w:t xml:space="preserve"> not been made aware of the need for any investigations in </w:t>
      </w:r>
      <w:r>
        <w:t>UPOV in 2015.</w:t>
      </w:r>
    </w:p>
    <w:p w:rsidR="00541DC4" w:rsidRPr="006F3AAF" w:rsidRDefault="00541DC4" w:rsidP="00541DC4"/>
    <w:p w:rsidR="00541DC4" w:rsidRPr="006F3AAF" w:rsidRDefault="00541DC4" w:rsidP="00541DC4">
      <w:pPr>
        <w:rPr>
          <w:spacing w:val="-2"/>
        </w:rPr>
      </w:pPr>
      <w:r>
        <w:fldChar w:fldCharType="begin"/>
      </w:r>
      <w:r>
        <w:instrText xml:space="preserve"> AUTONUM  </w:instrText>
      </w:r>
      <w:r>
        <w:fldChar w:fldCharType="end"/>
      </w:r>
      <w:r>
        <w:tab/>
        <w:t xml:space="preserve">The Consultative Committee noted </w:t>
      </w:r>
      <w:r w:rsidRPr="006F3AAF">
        <w:t xml:space="preserve">the information contained in the </w:t>
      </w:r>
      <w:r w:rsidRPr="002376D2">
        <w:t>Independent Advisory and Oversight Committee (IAOC)</w:t>
      </w:r>
      <w:r w:rsidRPr="006F3AAF">
        <w:t xml:space="preserve"> quarterly reports for 2015 (documents WO/IAOC/36/2, WO/IAOC/37/2, WO/IAOC/38/1 and WO/IAOC/39/1), and in the IAOC </w:t>
      </w:r>
      <w:r w:rsidRPr="006F3AAF">
        <w:rPr>
          <w:spacing w:val="-2"/>
        </w:rPr>
        <w:t>Annual Report 2014</w:t>
      </w:r>
      <w:r w:rsidRPr="006F3AAF">
        <w:rPr>
          <w:spacing w:val="-2"/>
        </w:rPr>
        <w:noBreakHyphen/>
        <w:t>2015 (document </w:t>
      </w:r>
      <w:r w:rsidRPr="006F3AAF">
        <w:t>WO/GA/47/2</w:t>
      </w:r>
      <w:r>
        <w:rPr>
          <w:spacing w:val="-2"/>
        </w:rPr>
        <w:t>).</w:t>
      </w:r>
    </w:p>
    <w:p w:rsidR="00541DC4" w:rsidRPr="006F3AAF" w:rsidRDefault="00541DC4" w:rsidP="00541DC4">
      <w:pPr>
        <w:rPr>
          <w:spacing w:val="-2"/>
        </w:rPr>
      </w:pPr>
    </w:p>
    <w:p w:rsidR="00541DC4" w:rsidRPr="0097212C" w:rsidRDefault="00541DC4" w:rsidP="00541DC4">
      <w:pPr>
        <w:rPr>
          <w:spacing w:val="-2"/>
        </w:rPr>
      </w:pPr>
      <w:r w:rsidRPr="0097212C">
        <w:rPr>
          <w:spacing w:val="-2"/>
        </w:rPr>
        <w:fldChar w:fldCharType="begin"/>
      </w:r>
      <w:r w:rsidRPr="0097212C">
        <w:rPr>
          <w:spacing w:val="-2"/>
        </w:rPr>
        <w:instrText xml:space="preserve"> AUTONUM  </w:instrText>
      </w:r>
      <w:r w:rsidRPr="0097212C">
        <w:rPr>
          <w:spacing w:val="-2"/>
        </w:rPr>
        <w:fldChar w:fldCharType="end"/>
      </w:r>
      <w:r w:rsidRPr="0097212C">
        <w:rPr>
          <w:spacing w:val="-2"/>
        </w:rPr>
        <w:tab/>
        <w:t>The Consultative Committee noted the developments concerning the evaluation of the program of activities of UPOV by the Internal Oversight Division (IOD).</w:t>
      </w:r>
    </w:p>
    <w:p w:rsidR="00541DC4" w:rsidRPr="006F3AAF" w:rsidRDefault="00541DC4" w:rsidP="00541DC4"/>
    <w:p w:rsidR="00541DC4" w:rsidRDefault="00541DC4" w:rsidP="00541DC4"/>
    <w:p w:rsidR="00541DC4" w:rsidRPr="00463411" w:rsidRDefault="00541DC4" w:rsidP="00541DC4">
      <w:pPr>
        <w:pStyle w:val="Heading2"/>
      </w:pPr>
      <w:r w:rsidRPr="00463411">
        <w:t>Financing of long-t</w:t>
      </w:r>
      <w:r>
        <w:t>erm employee benefits</w:t>
      </w:r>
    </w:p>
    <w:p w:rsidR="00541DC4" w:rsidRDefault="00541DC4" w:rsidP="00541DC4">
      <w:pPr>
        <w:keepNext/>
      </w:pPr>
    </w:p>
    <w:p w:rsidR="00541DC4" w:rsidRPr="00C26FBA" w:rsidRDefault="00541DC4" w:rsidP="00541DC4">
      <w:pPr>
        <w:spacing w:after="240"/>
        <w:rPr>
          <w:rFonts w:cs="Arial"/>
        </w:rPr>
      </w:pPr>
      <w:r w:rsidRPr="00C26FBA">
        <w:rPr>
          <w:rFonts w:eastAsia="Arial Unicode MS" w:cs="Arial Unicode MS"/>
          <w:u w:color="000000"/>
          <w:bdr w:val="nil"/>
        </w:rPr>
        <w:fldChar w:fldCharType="begin"/>
      </w:r>
      <w:r w:rsidRPr="00C26FBA">
        <w:rPr>
          <w:rFonts w:eastAsia="Arial Unicode MS" w:cs="Arial Unicode MS"/>
          <w:u w:color="000000"/>
          <w:bdr w:val="nil"/>
        </w:rPr>
        <w:instrText xml:space="preserve"> AUTONUM  </w:instrText>
      </w:r>
      <w:r w:rsidRPr="00C26FBA">
        <w:rPr>
          <w:rFonts w:eastAsia="Arial Unicode MS" w:cs="Arial Unicode MS"/>
          <w:u w:color="000000"/>
          <w:bdr w:val="nil"/>
        </w:rPr>
        <w:fldChar w:fldCharType="end"/>
      </w:r>
      <w:r w:rsidRPr="00C26FBA">
        <w:rPr>
          <w:rFonts w:eastAsia="Arial Unicode MS" w:cs="Arial Unicode MS"/>
          <w:u w:color="000000"/>
          <w:bdr w:val="nil"/>
        </w:rPr>
        <w:tab/>
      </w:r>
      <w:r w:rsidRPr="00C26FBA">
        <w:rPr>
          <w:rFonts w:cs="Arial"/>
        </w:rPr>
        <w:t>The Consultative Committee noted the oral report by the Controller concerning the consideration of document A/70/590 by the Advisory Committee on Administrative and Budgetary Questions (ACABQ) of the United Nations.</w:t>
      </w:r>
    </w:p>
    <w:p w:rsidR="00541DC4" w:rsidRDefault="00541DC4" w:rsidP="00541DC4">
      <w:r w:rsidRPr="00C26FBA">
        <w:rPr>
          <w:rFonts w:cs="Arial"/>
        </w:rPr>
        <w:fldChar w:fldCharType="begin"/>
      </w:r>
      <w:r w:rsidRPr="00C26FBA">
        <w:rPr>
          <w:rFonts w:cs="Arial"/>
        </w:rPr>
        <w:instrText xml:space="preserve"> AUTONUM  </w:instrText>
      </w:r>
      <w:r w:rsidRPr="00C26FBA">
        <w:rPr>
          <w:rFonts w:cs="Arial"/>
        </w:rPr>
        <w:fldChar w:fldCharType="end"/>
      </w:r>
      <w:r w:rsidRPr="00C26FBA">
        <w:rPr>
          <w:rFonts w:cs="Arial"/>
        </w:rPr>
        <w:tab/>
        <w:t>The Consultative Committee noted that the upcoming session of the High-Level Committee on Management (HLCM) from the member organizations of the United Nations system</w:t>
      </w:r>
      <w:r>
        <w:rPr>
          <w:rFonts w:cs="Arial"/>
        </w:rPr>
        <w:t>,</w:t>
      </w:r>
      <w:r w:rsidRPr="00C26FBA">
        <w:rPr>
          <w:rFonts w:cs="Arial"/>
        </w:rPr>
        <w:t xml:space="preserve"> to be held in Vienna later in March 2016</w:t>
      </w:r>
      <w:r>
        <w:rPr>
          <w:rFonts w:cs="Arial"/>
        </w:rPr>
        <w:t>,</w:t>
      </w:r>
      <w:r w:rsidRPr="00C26FBA">
        <w:rPr>
          <w:rFonts w:cs="Arial"/>
        </w:rPr>
        <w:t xml:space="preserve"> would </w:t>
      </w:r>
      <w:r>
        <w:rPr>
          <w:rFonts w:cs="Arial"/>
        </w:rPr>
        <w:t>consider</w:t>
      </w:r>
      <w:r w:rsidRPr="00C26FBA">
        <w:rPr>
          <w:rFonts w:cs="Arial"/>
        </w:rPr>
        <w:t xml:space="preserve"> the financing of long-term employee benefits.</w:t>
      </w:r>
    </w:p>
    <w:p w:rsidR="00541DC4" w:rsidRPr="00E52A77" w:rsidRDefault="00541DC4" w:rsidP="00541DC4"/>
    <w:p w:rsidR="00541DC4" w:rsidRDefault="00541DC4" w:rsidP="00541DC4">
      <w:r w:rsidRPr="00D000D2">
        <w:lastRenderedPageBreak/>
        <w:fldChar w:fldCharType="begin"/>
      </w:r>
      <w:r w:rsidRPr="00D000D2">
        <w:instrText xml:space="preserve"> AUTONUM  </w:instrText>
      </w:r>
      <w:r w:rsidRPr="00D000D2">
        <w:fldChar w:fldCharType="end"/>
      </w:r>
      <w:r w:rsidRPr="00D000D2">
        <w:tab/>
      </w:r>
      <w:r>
        <w:t>W</w:t>
      </w:r>
      <w:r w:rsidRPr="00D000D2">
        <w:t>ith regard to possible measures for the containment of after</w:t>
      </w:r>
      <w:r>
        <w:noBreakHyphen/>
      </w:r>
      <w:r w:rsidRPr="00D000D2">
        <w:t xml:space="preserve">service health insurance </w:t>
      </w:r>
      <w:r>
        <w:t>liabilities, t</w:t>
      </w:r>
      <w:r w:rsidRPr="00D000D2">
        <w:t>he Consultative Committee note</w:t>
      </w:r>
      <w:r>
        <w:t>d</w:t>
      </w:r>
      <w:r w:rsidRPr="00D000D2">
        <w:t xml:space="preserve"> the administrative efficiency of any UPOV measures being consistent with WIPO measures</w:t>
      </w:r>
      <w:r>
        <w:t xml:space="preserve"> and agreed that </w:t>
      </w:r>
      <w:r w:rsidRPr="00D000D2">
        <w:t>the plans of WIPO on this matter, which would be developed with due consideration for the measures developed by the Working Group of the UN CEB Finance and Budget Network</w:t>
      </w:r>
      <w:r>
        <w:t>, should be presented to the Consultative Committee</w:t>
      </w:r>
      <w:r w:rsidRPr="00D000D2">
        <w:t>.</w:t>
      </w:r>
    </w:p>
    <w:p w:rsidR="00541DC4" w:rsidRDefault="00541DC4" w:rsidP="00541DC4"/>
    <w:p w:rsidR="00541DC4" w:rsidRPr="008D3692" w:rsidRDefault="00541DC4" w:rsidP="00541DC4">
      <w:r w:rsidRPr="00A176E9">
        <w:fldChar w:fldCharType="begin"/>
      </w:r>
      <w:r w:rsidRPr="00A176E9">
        <w:instrText xml:space="preserve"> AUTONUM  </w:instrText>
      </w:r>
      <w:r w:rsidRPr="00A176E9">
        <w:fldChar w:fldCharType="end"/>
      </w:r>
      <w:r w:rsidRPr="00A176E9">
        <w:tab/>
        <w:t>The Consultative Committee recommended to the Council the establishment of a separate UPOV bank account to hold funds allocated for financing UPOV’s After-Service Health Insurance (ASHI) liability, and that the amount represented by the provisions for ASHI obligations at the end of the 2014</w:t>
      </w:r>
      <w:r w:rsidRPr="00A176E9">
        <w:noBreakHyphen/>
        <w:t>2015 biennium, together with the balance from the 6 per cent charge after deduction of the respective biennium’s payments, if any, be transferred to that account starting from the 2016-2017 biennium and to apply to that account the investment policy that WIPO applied to the account for financing WIPO’s ASHI liability.</w:t>
      </w:r>
    </w:p>
    <w:p w:rsidR="00541DC4" w:rsidRPr="00071683" w:rsidRDefault="00541DC4" w:rsidP="00541DC4">
      <w:pPr>
        <w:pStyle w:val="Body"/>
        <w:rPr>
          <w:color w:val="auto"/>
        </w:rPr>
      </w:pPr>
    </w:p>
    <w:p w:rsidR="00541DC4" w:rsidRPr="00D000D2" w:rsidRDefault="00541DC4" w:rsidP="00541DC4"/>
    <w:p w:rsidR="00541DC4" w:rsidRPr="00463411" w:rsidRDefault="00541DC4" w:rsidP="00541DC4">
      <w:pPr>
        <w:pStyle w:val="Heading2"/>
      </w:pPr>
      <w:r>
        <w:t>Electronic application form</w:t>
      </w:r>
    </w:p>
    <w:p w:rsidR="00541DC4" w:rsidRDefault="00541DC4" w:rsidP="00541DC4">
      <w:pPr>
        <w:keepNext/>
      </w:pPr>
    </w:p>
    <w:p w:rsidR="00541DC4" w:rsidRDefault="00541DC4" w:rsidP="00541DC4">
      <w:r w:rsidRPr="00A14123">
        <w:rPr>
          <w:snapToGrid w:val="0"/>
        </w:rPr>
        <w:fldChar w:fldCharType="begin"/>
      </w:r>
      <w:r w:rsidRPr="00A14123">
        <w:rPr>
          <w:snapToGrid w:val="0"/>
        </w:rPr>
        <w:instrText xml:space="preserve"> AUTONUM  </w:instrText>
      </w:r>
      <w:r w:rsidRPr="00A14123">
        <w:rPr>
          <w:snapToGrid w:val="0"/>
        </w:rPr>
        <w:fldChar w:fldCharType="end"/>
      </w:r>
      <w:r w:rsidRPr="00A14123">
        <w:rPr>
          <w:snapToGrid w:val="0"/>
        </w:rPr>
        <w:tab/>
        <w:t xml:space="preserve">The </w:t>
      </w:r>
      <w:r>
        <w:t>Consultative Committee</w:t>
      </w:r>
      <w:r w:rsidRPr="00A14123">
        <w:rPr>
          <w:snapToGrid w:val="0"/>
        </w:rPr>
        <w:t xml:space="preserve"> note</w:t>
      </w:r>
      <w:r>
        <w:rPr>
          <w:snapToGrid w:val="0"/>
        </w:rPr>
        <w:t>d</w:t>
      </w:r>
      <w:r w:rsidRPr="00A14123">
        <w:rPr>
          <w:snapToGrid w:val="0"/>
        </w:rPr>
        <w:t xml:space="preserve"> the developments concerning the development of a prototype electronic form </w:t>
      </w:r>
      <w:r>
        <w:rPr>
          <w:snapToGrid w:val="0"/>
        </w:rPr>
        <w:t xml:space="preserve">and </w:t>
      </w:r>
      <w:r w:rsidRPr="00BE36B6">
        <w:t>consider</w:t>
      </w:r>
      <w:r>
        <w:t>ed</w:t>
      </w:r>
      <w:r w:rsidRPr="00BE36B6">
        <w:t xml:space="preserve"> the plans for the development of the prototype electronic application form Version 2 (P</w:t>
      </w:r>
      <w:r>
        <w:t>V</w:t>
      </w:r>
      <w:r w:rsidR="007A355F">
        <w:t>2)</w:t>
      </w:r>
      <w:r>
        <w:t>.</w:t>
      </w:r>
    </w:p>
    <w:p w:rsidR="00541DC4" w:rsidRDefault="00541DC4" w:rsidP="00541DC4"/>
    <w:p w:rsidR="00541DC4" w:rsidRDefault="00541DC4" w:rsidP="00541DC4">
      <w:r>
        <w:rPr>
          <w:snapToGrid w:val="0"/>
        </w:rPr>
        <w:fldChar w:fldCharType="begin"/>
      </w:r>
      <w:r>
        <w:rPr>
          <w:snapToGrid w:val="0"/>
        </w:rPr>
        <w:instrText xml:space="preserve"> AUTONUM  </w:instrText>
      </w:r>
      <w:r>
        <w:rPr>
          <w:snapToGrid w:val="0"/>
        </w:rPr>
        <w:fldChar w:fldCharType="end"/>
      </w:r>
      <w:r>
        <w:rPr>
          <w:snapToGrid w:val="0"/>
        </w:rPr>
        <w:tab/>
      </w:r>
      <w:r w:rsidRPr="00A14123">
        <w:rPr>
          <w:snapToGrid w:val="0"/>
        </w:rPr>
        <w:t xml:space="preserve">The </w:t>
      </w:r>
      <w:r>
        <w:t xml:space="preserve">Consultative Committee noted </w:t>
      </w:r>
      <w:r>
        <w:rPr>
          <w:snapToGrid w:val="0"/>
        </w:rPr>
        <w:t xml:space="preserve">the oral </w:t>
      </w:r>
      <w:r w:rsidRPr="00A14123">
        <w:t>report</w:t>
      </w:r>
      <w:r>
        <w:t xml:space="preserve"> by the Vice Secretary</w:t>
      </w:r>
      <w:r>
        <w:noBreakHyphen/>
        <w:t>General</w:t>
      </w:r>
      <w:r w:rsidRPr="00A14123">
        <w:t xml:space="preserve"> of </w:t>
      </w:r>
      <w:r>
        <w:t>the Seventh</w:t>
      </w:r>
      <w:r w:rsidRPr="00BB4DBD">
        <w:t xml:space="preserve"> Meeting on the Development of a P</w:t>
      </w:r>
      <w:r>
        <w:t>rototype Electronic Form (“EAF/7</w:t>
      </w:r>
      <w:r w:rsidRPr="00BB4DBD">
        <w:t xml:space="preserve"> meeting”), held on </w:t>
      </w:r>
      <w:r>
        <w:t>March</w:t>
      </w:r>
      <w:r w:rsidRPr="00BB4DBD">
        <w:t xml:space="preserve"> </w:t>
      </w:r>
      <w:r>
        <w:t>16</w:t>
      </w:r>
      <w:r w:rsidRPr="00BB4DBD">
        <w:t>, 201</w:t>
      </w:r>
      <w:r>
        <w:t>6, in which it was reported that the EAF/7 meeting had agreed:</w:t>
      </w:r>
    </w:p>
    <w:p w:rsidR="00541DC4" w:rsidRDefault="00541DC4" w:rsidP="00541DC4"/>
    <w:p w:rsidR="00541DC4" w:rsidRDefault="00541DC4" w:rsidP="00541DC4">
      <w:pPr>
        <w:ind w:firstLine="567"/>
      </w:pPr>
      <w:r>
        <w:t>(a)</w:t>
      </w:r>
      <w:r>
        <w:tab/>
      </w:r>
      <w:proofErr w:type="gramStart"/>
      <w:r w:rsidRPr="00C36828">
        <w:t>on</w:t>
      </w:r>
      <w:proofErr w:type="gramEnd"/>
      <w:r w:rsidRPr="00C36828">
        <w:t xml:space="preserve"> the release of PVP-XML Version 2 (Version to be used for the Prototype_PV2)</w:t>
      </w:r>
      <w:r>
        <w:t>;</w:t>
      </w:r>
    </w:p>
    <w:p w:rsidR="00541DC4" w:rsidRDefault="00541DC4" w:rsidP="00541DC4">
      <w:pPr>
        <w:ind w:left="360"/>
      </w:pPr>
    </w:p>
    <w:p w:rsidR="00541DC4" w:rsidRDefault="00541DC4" w:rsidP="00541DC4">
      <w:pPr>
        <w:ind w:firstLine="567"/>
      </w:pPr>
      <w:r>
        <w:t>(b)</w:t>
      </w:r>
      <w:r>
        <w:tab/>
      </w:r>
      <w:proofErr w:type="gramStart"/>
      <w:r>
        <w:t>on</w:t>
      </w:r>
      <w:proofErr w:type="gramEnd"/>
      <w:r>
        <w:t xml:space="preserve"> the plan presented for the test campaign for PV2 and had noted that participating members should:</w:t>
      </w:r>
    </w:p>
    <w:p w:rsidR="00541DC4" w:rsidRDefault="00541DC4" w:rsidP="00541DC4">
      <w:pPr>
        <w:pStyle w:val="ListParagraph"/>
        <w:numPr>
          <w:ilvl w:val="0"/>
          <w:numId w:val="5"/>
        </w:numPr>
        <w:ind w:left="1560" w:hanging="426"/>
      </w:pPr>
      <w:r>
        <w:t>create WIPO Accounts to access and use the prototype (PVP Offices &amp; Breeders)</w:t>
      </w:r>
    </w:p>
    <w:p w:rsidR="00541DC4" w:rsidRDefault="00541DC4" w:rsidP="00541DC4">
      <w:pPr>
        <w:pStyle w:val="ListParagraph"/>
        <w:numPr>
          <w:ilvl w:val="0"/>
          <w:numId w:val="5"/>
        </w:numPr>
        <w:ind w:left="1560" w:hanging="426"/>
      </w:pPr>
      <w:r>
        <w:t>provide terms and conditions when needed (PVP Offices)</w:t>
      </w:r>
    </w:p>
    <w:p w:rsidR="00541DC4" w:rsidRDefault="00541DC4" w:rsidP="00541DC4">
      <w:pPr>
        <w:pStyle w:val="ListParagraph"/>
        <w:numPr>
          <w:ilvl w:val="0"/>
          <w:numId w:val="5"/>
        </w:numPr>
        <w:ind w:left="1560" w:hanging="426"/>
      </w:pPr>
      <w:r>
        <w:t xml:space="preserve">check mapping files: mandatory/optional elements (PVP Offices) </w:t>
      </w:r>
    </w:p>
    <w:p w:rsidR="00541DC4" w:rsidRDefault="00541DC4" w:rsidP="00541DC4">
      <w:pPr>
        <w:pStyle w:val="ListParagraph"/>
        <w:numPr>
          <w:ilvl w:val="0"/>
          <w:numId w:val="5"/>
        </w:numPr>
        <w:ind w:left="1560" w:hanging="426"/>
      </w:pPr>
      <w:r>
        <w:t>provide bank account details and application fee (amount and currency) to be used (PVP Offices)</w:t>
      </w:r>
    </w:p>
    <w:p w:rsidR="00541DC4" w:rsidRDefault="00541DC4" w:rsidP="00541DC4">
      <w:pPr>
        <w:pStyle w:val="ListParagraph"/>
        <w:numPr>
          <w:ilvl w:val="0"/>
          <w:numId w:val="5"/>
        </w:numPr>
        <w:ind w:left="1560" w:hanging="426"/>
      </w:pPr>
      <w:r>
        <w:t>develop the client interface to interact with EAF in form of system-to-system communication (if requested) (PVP Offices);</w:t>
      </w:r>
    </w:p>
    <w:p w:rsidR="00541DC4" w:rsidRDefault="00541DC4" w:rsidP="00541DC4"/>
    <w:p w:rsidR="00541DC4" w:rsidRDefault="00541DC4" w:rsidP="00541DC4">
      <w:pPr>
        <w:ind w:firstLine="567"/>
      </w:pPr>
      <w:r>
        <w:t>(c)</w:t>
      </w:r>
      <w:r>
        <w:tab/>
      </w:r>
      <w:proofErr w:type="gramStart"/>
      <w:r>
        <w:t>that</w:t>
      </w:r>
      <w:proofErr w:type="gramEnd"/>
      <w:r>
        <w:t xml:space="preserve"> the Eighth</w:t>
      </w:r>
      <w:r w:rsidRPr="00BB4DBD">
        <w:t xml:space="preserve"> Meeting on the Development of a P</w:t>
      </w:r>
      <w:r>
        <w:t>rototype Electronic Form (“EAF/8</w:t>
      </w:r>
      <w:r w:rsidRPr="00BB4DBD">
        <w:t xml:space="preserve"> meeting”)</w:t>
      </w:r>
      <w:r>
        <w:t xml:space="preserve"> would be held in Geneva on Monday October 24, 2016, starting at 6 p.m.</w:t>
      </w:r>
    </w:p>
    <w:p w:rsidR="00541DC4" w:rsidRDefault="00541DC4" w:rsidP="00541DC4"/>
    <w:p w:rsidR="00541DC4" w:rsidRDefault="00541DC4" w:rsidP="00541DC4">
      <w:r>
        <w:rPr>
          <w:snapToGrid w:val="0"/>
        </w:rPr>
        <w:fldChar w:fldCharType="begin"/>
      </w:r>
      <w:r>
        <w:rPr>
          <w:snapToGrid w:val="0"/>
        </w:rPr>
        <w:instrText xml:space="preserve"> AUTONUM  </w:instrText>
      </w:r>
      <w:r>
        <w:rPr>
          <w:snapToGrid w:val="0"/>
        </w:rPr>
        <w:fldChar w:fldCharType="end"/>
      </w:r>
      <w:r>
        <w:rPr>
          <w:snapToGrid w:val="0"/>
        </w:rPr>
        <w:tab/>
      </w:r>
      <w:r>
        <w:t>I</w:t>
      </w:r>
      <w:r w:rsidRPr="00BE36B6">
        <w:t xml:space="preserve">n relation to the </w:t>
      </w:r>
      <w:r w:rsidRPr="00BE36B6">
        <w:rPr>
          <w:snapToGrid w:val="0"/>
        </w:rPr>
        <w:t>possible implementation of an operational system</w:t>
      </w:r>
      <w:r>
        <w:rPr>
          <w:snapToGrid w:val="0"/>
        </w:rPr>
        <w:t>,</w:t>
      </w:r>
      <w:r w:rsidRPr="00EE40FC">
        <w:rPr>
          <w:snapToGrid w:val="0"/>
        </w:rPr>
        <w:t xml:space="preserve"> </w:t>
      </w:r>
      <w:r>
        <w:rPr>
          <w:snapToGrid w:val="0"/>
        </w:rPr>
        <w:t>t</w:t>
      </w:r>
      <w:r w:rsidRPr="00A14123">
        <w:rPr>
          <w:snapToGrid w:val="0"/>
        </w:rPr>
        <w:t xml:space="preserve">he </w:t>
      </w:r>
      <w:r>
        <w:t>Consultative Committee</w:t>
      </w:r>
      <w:r w:rsidRPr="00556EFC">
        <w:t xml:space="preserve"> </w:t>
      </w:r>
      <w:r>
        <w:t xml:space="preserve">agreed the following: </w:t>
      </w:r>
    </w:p>
    <w:p w:rsidR="00541DC4" w:rsidRDefault="00541DC4" w:rsidP="00541DC4"/>
    <w:p w:rsidR="00541DC4" w:rsidRDefault="00541DC4" w:rsidP="00541DC4">
      <w:pPr>
        <w:pStyle w:val="ListParagraph"/>
        <w:numPr>
          <w:ilvl w:val="0"/>
          <w:numId w:val="3"/>
        </w:numPr>
        <w:ind w:left="0" w:firstLine="567"/>
      </w:pPr>
      <w:r>
        <w:t>all legal requirements of the PVP Offices concerned would need to be met</w:t>
      </w:r>
    </w:p>
    <w:p w:rsidR="00541DC4" w:rsidRDefault="00541DC4" w:rsidP="00541DC4">
      <w:pPr>
        <w:pStyle w:val="ListParagraph"/>
        <w:numPr>
          <w:ilvl w:val="1"/>
          <w:numId w:val="2"/>
        </w:numPr>
      </w:pPr>
      <w:proofErr w:type="gramStart"/>
      <w:r>
        <w:t>e.g</w:t>
      </w:r>
      <w:proofErr w:type="gramEnd"/>
      <w:r>
        <w:t>. to clarify that the EAF does not represent an intermediary in the application process. The application would be made by the user with the PVP Office concerned;</w:t>
      </w:r>
    </w:p>
    <w:p w:rsidR="00541DC4" w:rsidRDefault="00541DC4" w:rsidP="00541DC4"/>
    <w:p w:rsidR="00541DC4" w:rsidRDefault="00541DC4" w:rsidP="00541DC4">
      <w:pPr>
        <w:pStyle w:val="ListParagraph"/>
        <w:numPr>
          <w:ilvl w:val="0"/>
          <w:numId w:val="2"/>
        </w:numPr>
        <w:ind w:left="0" w:firstLine="567"/>
      </w:pPr>
      <w:r>
        <w:t>all questions would be available in the languages of the participating UPOV members;</w:t>
      </w:r>
    </w:p>
    <w:p w:rsidR="00541DC4" w:rsidRDefault="00541DC4" w:rsidP="00541DC4"/>
    <w:p w:rsidR="00541DC4" w:rsidRDefault="00541DC4" w:rsidP="00541DC4">
      <w:pPr>
        <w:pStyle w:val="ListParagraph"/>
        <w:numPr>
          <w:ilvl w:val="0"/>
          <w:numId w:val="2"/>
        </w:numPr>
        <w:ind w:left="0" w:firstLine="567"/>
      </w:pPr>
      <w:r>
        <w:t>users would be required to provide information (answers) in a language accepted by the authority concerned (as indicated in the form);</w:t>
      </w:r>
    </w:p>
    <w:p w:rsidR="00541DC4" w:rsidRDefault="00541DC4" w:rsidP="00541DC4"/>
    <w:p w:rsidR="00541DC4" w:rsidRDefault="00541DC4" w:rsidP="00541DC4">
      <w:pPr>
        <w:pStyle w:val="ListParagraph"/>
        <w:numPr>
          <w:ilvl w:val="0"/>
          <w:numId w:val="2"/>
        </w:numPr>
        <w:ind w:left="0" w:firstLine="567"/>
      </w:pPr>
      <w:r>
        <w:t>the following two options in relation to integration with PVP Offices systems:</w:t>
      </w:r>
    </w:p>
    <w:p w:rsidR="00541DC4" w:rsidRDefault="00541DC4" w:rsidP="00541DC4">
      <w:pPr>
        <w:pStyle w:val="ListParagraph"/>
        <w:numPr>
          <w:ilvl w:val="0"/>
          <w:numId w:val="6"/>
        </w:numPr>
        <w:ind w:left="1701" w:hanging="261"/>
      </w:pPr>
      <w:r>
        <w:t>Case 1: In the case of PVP Offices with no electronic system or who do not wish to integrate their existing system with the EAF, they would receive the submitted application data via:</w:t>
      </w:r>
    </w:p>
    <w:p w:rsidR="00541DC4" w:rsidRDefault="00541DC4" w:rsidP="00541DC4">
      <w:pPr>
        <w:ind w:left="1701"/>
      </w:pPr>
      <w:r>
        <w:t>-</w:t>
      </w:r>
      <w:r>
        <w:tab/>
      </w:r>
      <w:proofErr w:type="gramStart"/>
      <w:r>
        <w:t>e-mail</w:t>
      </w:r>
      <w:proofErr w:type="gramEnd"/>
      <w:r>
        <w:t xml:space="preserve"> or</w:t>
      </w:r>
    </w:p>
    <w:p w:rsidR="00541DC4" w:rsidRDefault="00541DC4" w:rsidP="00541DC4">
      <w:pPr>
        <w:ind w:left="1701"/>
      </w:pPr>
      <w:r>
        <w:t>-</w:t>
      </w:r>
      <w:r>
        <w:tab/>
      </w:r>
      <w:proofErr w:type="gramStart"/>
      <w:r>
        <w:t>regular</w:t>
      </w:r>
      <w:proofErr w:type="gramEnd"/>
      <w:r>
        <w:t xml:space="preserve"> mail/hand delivery</w:t>
      </w:r>
    </w:p>
    <w:p w:rsidR="00541DC4" w:rsidRDefault="00541DC4" w:rsidP="00541DC4">
      <w:pPr>
        <w:pStyle w:val="ListParagraph"/>
        <w:keepNext/>
        <w:numPr>
          <w:ilvl w:val="0"/>
          <w:numId w:val="6"/>
        </w:numPr>
        <w:ind w:left="1701" w:hanging="261"/>
      </w:pPr>
      <w:r>
        <w:t>Case 2:  System-to-System communication</w:t>
      </w:r>
    </w:p>
    <w:p w:rsidR="00541DC4" w:rsidRDefault="00541DC4" w:rsidP="00541DC4">
      <w:pPr>
        <w:pStyle w:val="ListParagraph"/>
        <w:keepNext/>
        <w:ind w:left="1701"/>
      </w:pPr>
      <w:r>
        <w:t>-</w:t>
      </w:r>
      <w:r>
        <w:tab/>
        <w:t>Synchronization for submitted application data</w:t>
      </w:r>
    </w:p>
    <w:p w:rsidR="00541DC4" w:rsidRDefault="00541DC4" w:rsidP="00541DC4">
      <w:pPr>
        <w:pStyle w:val="ListParagraph"/>
        <w:ind w:left="1701"/>
      </w:pPr>
      <w:r>
        <w:t>-</w:t>
      </w:r>
      <w:r>
        <w:tab/>
        <w:t>Validation of submitted application data and authorization through Web application;</w:t>
      </w:r>
    </w:p>
    <w:p w:rsidR="00541DC4" w:rsidRDefault="00541DC4" w:rsidP="00541DC4">
      <w:pPr>
        <w:pStyle w:val="ListParagraph"/>
        <w:ind w:left="1701"/>
      </w:pPr>
    </w:p>
    <w:p w:rsidR="00541DC4" w:rsidRDefault="00541DC4" w:rsidP="00541DC4">
      <w:pPr>
        <w:pStyle w:val="ListParagraph"/>
        <w:numPr>
          <w:ilvl w:val="0"/>
          <w:numId w:val="2"/>
        </w:numPr>
        <w:ind w:left="0" w:firstLine="567"/>
      </w:pPr>
      <w:r>
        <w:t>all data would be encrypted and considered confidential;</w:t>
      </w:r>
    </w:p>
    <w:p w:rsidR="00541DC4" w:rsidRDefault="00541DC4" w:rsidP="00541DC4"/>
    <w:p w:rsidR="00541DC4" w:rsidRDefault="00541DC4" w:rsidP="00541DC4">
      <w:pPr>
        <w:pStyle w:val="ListParagraph"/>
        <w:numPr>
          <w:ilvl w:val="0"/>
          <w:numId w:val="2"/>
        </w:numPr>
        <w:ind w:left="0" w:firstLine="567"/>
      </w:pPr>
      <w:r>
        <w:t>that the EAF system should allow, if requested, for PVP Office fees to be collected by UPOV and distributed to the PVP Offices in a form and currency determined by the PVP Office concerned;</w:t>
      </w:r>
    </w:p>
    <w:p w:rsidR="00541DC4" w:rsidRDefault="00541DC4" w:rsidP="00541DC4"/>
    <w:p w:rsidR="00541DC4" w:rsidRDefault="00541DC4" w:rsidP="00541DC4">
      <w:pPr>
        <w:pStyle w:val="ListParagraph"/>
        <w:numPr>
          <w:ilvl w:val="0"/>
          <w:numId w:val="2"/>
        </w:numPr>
        <w:ind w:left="0" w:firstLine="567"/>
      </w:pPr>
      <w:r>
        <w:t>that the implementation of the EAF would not affect the fees that PVP Offices would receive per application;</w:t>
      </w:r>
    </w:p>
    <w:p w:rsidR="00541DC4" w:rsidRDefault="00541DC4" w:rsidP="00541DC4"/>
    <w:p w:rsidR="00541DC4" w:rsidRDefault="00541DC4" w:rsidP="00541DC4">
      <w:pPr>
        <w:pStyle w:val="ListParagraph"/>
        <w:numPr>
          <w:ilvl w:val="0"/>
          <w:numId w:val="2"/>
        </w:numPr>
        <w:ind w:left="0" w:firstLine="567"/>
      </w:pPr>
      <w:r>
        <w:t>for payment to cover the costs of the EAF, including UPOV charge per application, as follows:</w:t>
      </w:r>
    </w:p>
    <w:p w:rsidR="00541DC4" w:rsidRDefault="00541DC4" w:rsidP="00541DC4">
      <w:pPr>
        <w:pStyle w:val="ListParagraph"/>
        <w:numPr>
          <w:ilvl w:val="1"/>
          <w:numId w:val="2"/>
        </w:numPr>
      </w:pPr>
      <w:r>
        <w:t>CHF 150 / submitted application in 2017/2018</w:t>
      </w:r>
    </w:p>
    <w:p w:rsidR="00541DC4" w:rsidRDefault="00541DC4" w:rsidP="00541DC4">
      <w:pPr>
        <w:pStyle w:val="ListParagraph"/>
        <w:numPr>
          <w:ilvl w:val="1"/>
          <w:numId w:val="2"/>
        </w:numPr>
      </w:pPr>
      <w:r>
        <w:t>CHF 250 / submitted application from 2019 on;</w:t>
      </w:r>
    </w:p>
    <w:p w:rsidR="00541DC4" w:rsidRDefault="00541DC4" w:rsidP="00541DC4"/>
    <w:p w:rsidR="00541DC4" w:rsidRDefault="00541DC4" w:rsidP="00541DC4">
      <w:pPr>
        <w:pStyle w:val="ListParagraph"/>
        <w:numPr>
          <w:ilvl w:val="0"/>
          <w:numId w:val="2"/>
        </w:numPr>
        <w:ind w:left="0" w:firstLine="567"/>
      </w:pPr>
      <w:r>
        <w:t>that financial and administrative regulations and rules should be presented for approval at the EAF/8 meeting;</w:t>
      </w:r>
    </w:p>
    <w:p w:rsidR="00541DC4" w:rsidRDefault="00541DC4" w:rsidP="00541DC4"/>
    <w:p w:rsidR="00541DC4" w:rsidRDefault="00541DC4" w:rsidP="00541DC4">
      <w:pPr>
        <w:pStyle w:val="ListParagraph"/>
        <w:numPr>
          <w:ilvl w:val="0"/>
          <w:numId w:val="2"/>
        </w:numPr>
        <w:ind w:left="0" w:firstLine="567"/>
      </w:pPr>
      <w:r>
        <w:t>on the development of a program of training for PVP Offices and users, to be arranged in conjunction with the launch of the EAF;</w:t>
      </w:r>
    </w:p>
    <w:p w:rsidR="00541DC4" w:rsidRDefault="00541DC4" w:rsidP="00541DC4"/>
    <w:p w:rsidR="00541DC4" w:rsidRDefault="00541DC4" w:rsidP="00541DC4">
      <w:pPr>
        <w:pStyle w:val="ListParagraph"/>
        <w:numPr>
          <w:ilvl w:val="0"/>
          <w:numId w:val="2"/>
        </w:numPr>
        <w:ind w:left="0" w:firstLine="567"/>
      </w:pPr>
      <w:r>
        <w:t>on a program of publicity on the availability of the system for breeders to be organized in conjunction with the launch of the EAF;</w:t>
      </w:r>
    </w:p>
    <w:p w:rsidR="00541DC4" w:rsidRDefault="00541DC4" w:rsidP="00541DC4"/>
    <w:p w:rsidR="00541DC4" w:rsidRDefault="00541DC4" w:rsidP="00541DC4">
      <w:pPr>
        <w:pStyle w:val="ListParagraph"/>
        <w:numPr>
          <w:ilvl w:val="0"/>
          <w:numId w:val="2"/>
        </w:numPr>
        <w:ind w:left="0" w:firstLine="567"/>
      </w:pPr>
      <w:r>
        <w:t xml:space="preserve">on the need to develop an approach to add new crops more rapidly, for consideration at the EAF/8 meeting; </w:t>
      </w:r>
    </w:p>
    <w:p w:rsidR="00541DC4" w:rsidRDefault="00541DC4" w:rsidP="00541DC4"/>
    <w:p w:rsidR="00541DC4" w:rsidRDefault="00541DC4" w:rsidP="00541DC4">
      <w:pPr>
        <w:pStyle w:val="ListParagraph"/>
        <w:numPr>
          <w:ilvl w:val="0"/>
          <w:numId w:val="2"/>
        </w:numPr>
        <w:ind w:left="0" w:firstLine="567"/>
      </w:pPr>
      <w:proofErr w:type="gramStart"/>
      <w:r>
        <w:t>to</w:t>
      </w:r>
      <w:proofErr w:type="gramEnd"/>
      <w:r>
        <w:t xml:space="preserve"> make an initial assessment of the feasibility of including information for official variety list purposes, for consideration at the EAF/8 meeting.</w:t>
      </w:r>
    </w:p>
    <w:p w:rsidR="00541DC4" w:rsidRDefault="00541DC4" w:rsidP="00541DC4">
      <w:pPr>
        <w:pStyle w:val="ListParagraph"/>
      </w:pPr>
    </w:p>
    <w:p w:rsidR="00541DC4" w:rsidRDefault="00541DC4" w:rsidP="00541DC4">
      <w:r w:rsidRPr="00A14123">
        <w:rPr>
          <w:snapToGrid w:val="0"/>
        </w:rPr>
        <w:fldChar w:fldCharType="begin"/>
      </w:r>
      <w:r w:rsidRPr="00A14123">
        <w:rPr>
          <w:snapToGrid w:val="0"/>
        </w:rPr>
        <w:instrText xml:space="preserve"> AUTONUM  </w:instrText>
      </w:r>
      <w:r w:rsidRPr="00A14123">
        <w:rPr>
          <w:snapToGrid w:val="0"/>
        </w:rPr>
        <w:fldChar w:fldCharType="end"/>
      </w:r>
      <w:r w:rsidRPr="00A14123">
        <w:rPr>
          <w:snapToGrid w:val="0"/>
        </w:rPr>
        <w:tab/>
        <w:t xml:space="preserve">The </w:t>
      </w:r>
      <w:r>
        <w:t>Consultative Committee</w:t>
      </w:r>
      <w:r w:rsidRPr="00A14123">
        <w:rPr>
          <w:snapToGrid w:val="0"/>
        </w:rPr>
        <w:t xml:space="preserve"> </w:t>
      </w:r>
      <w:r>
        <w:t xml:space="preserve">agreed, </w:t>
      </w:r>
      <w:r w:rsidRPr="00040544">
        <w:t xml:space="preserve">subject to approval by the </w:t>
      </w:r>
      <w:r>
        <w:t xml:space="preserve">participants to the EAF project, the </w:t>
      </w:r>
      <w:r w:rsidRPr="00040544">
        <w:t xml:space="preserve">CAJ and </w:t>
      </w:r>
      <w:r>
        <w:t xml:space="preserve">the </w:t>
      </w:r>
      <w:r w:rsidRPr="00040544">
        <w:t>Consultative Committee, to seek the approval by the Council at its fiftieth session, to be held in Geneva on October 28, 2016, for the launch of the EAF at the end of 2016 or beginning of 2017</w:t>
      </w:r>
      <w:r>
        <w:t>.</w:t>
      </w:r>
    </w:p>
    <w:p w:rsidR="00541DC4" w:rsidRDefault="00541DC4" w:rsidP="00541DC4"/>
    <w:p w:rsidR="00541DC4" w:rsidRPr="00463411" w:rsidRDefault="00541DC4" w:rsidP="00541DC4"/>
    <w:p w:rsidR="00541DC4" w:rsidRPr="00463411" w:rsidRDefault="00541DC4" w:rsidP="00541DC4">
      <w:pPr>
        <w:pStyle w:val="Heading2"/>
      </w:pPr>
      <w:r w:rsidRPr="00463411">
        <w:t>Inte</w:t>
      </w:r>
      <w:r>
        <w:t>rnational system of cooperation</w:t>
      </w:r>
    </w:p>
    <w:p w:rsidR="00541DC4" w:rsidRDefault="00541DC4" w:rsidP="00541DC4">
      <w:pPr>
        <w:keepNext/>
      </w:pPr>
    </w:p>
    <w:p w:rsidR="00541DC4" w:rsidRDefault="00541DC4" w:rsidP="00541DC4">
      <w:r>
        <w:fldChar w:fldCharType="begin"/>
      </w:r>
      <w:r>
        <w:instrText xml:space="preserve"> AUTONUM  </w:instrText>
      </w:r>
      <w:r>
        <w:fldChar w:fldCharType="end"/>
      </w:r>
      <w:r>
        <w:tab/>
        <w:t>The Consultative Committee agreed that members of the Union be given until May 20, 2016, to:</w:t>
      </w:r>
    </w:p>
    <w:p w:rsidR="00541DC4" w:rsidRDefault="00541DC4" w:rsidP="00541DC4"/>
    <w:p w:rsidR="00541DC4" w:rsidRDefault="00541DC4" w:rsidP="00541DC4">
      <w:pPr>
        <w:pStyle w:val="ListParagraph"/>
        <w:numPr>
          <w:ilvl w:val="0"/>
          <w:numId w:val="4"/>
        </w:numPr>
        <w:ind w:left="0" w:firstLine="567"/>
      </w:pPr>
      <w:r>
        <w:t>provide additional</w:t>
      </w:r>
      <w:r w:rsidRPr="00F96A43">
        <w:t xml:space="preserve"> issues concerning a possible ISC</w:t>
      </w:r>
      <w:r>
        <w:t>;</w:t>
      </w:r>
    </w:p>
    <w:p w:rsidR="00541DC4" w:rsidRDefault="00541DC4" w:rsidP="00541DC4"/>
    <w:p w:rsidR="00541DC4" w:rsidRDefault="00541DC4" w:rsidP="00541DC4">
      <w:pPr>
        <w:pStyle w:val="ListParagraph"/>
        <w:numPr>
          <w:ilvl w:val="0"/>
          <w:numId w:val="4"/>
        </w:numPr>
        <w:ind w:left="0" w:firstLine="567"/>
      </w:pPr>
      <w:r>
        <w:t xml:space="preserve">comment on the </w:t>
      </w:r>
      <w:r w:rsidRPr="00F96A43">
        <w:t>draft mandate and terms of reference</w:t>
      </w:r>
      <w:r>
        <w:t>;  and</w:t>
      </w:r>
    </w:p>
    <w:p w:rsidR="00541DC4" w:rsidRDefault="00541DC4" w:rsidP="00541DC4"/>
    <w:p w:rsidR="00541DC4" w:rsidRPr="00C60E21" w:rsidRDefault="00541DC4" w:rsidP="00541DC4">
      <w:pPr>
        <w:pStyle w:val="ListParagraph"/>
        <w:numPr>
          <w:ilvl w:val="0"/>
          <w:numId w:val="4"/>
        </w:numPr>
        <w:ind w:left="0" w:firstLine="567"/>
        <w:rPr>
          <w:spacing w:val="-2"/>
        </w:rPr>
      </w:pPr>
      <w:proofErr w:type="gramStart"/>
      <w:r w:rsidRPr="00C60E21">
        <w:rPr>
          <w:spacing w:val="-2"/>
        </w:rPr>
        <w:t>indicate</w:t>
      </w:r>
      <w:proofErr w:type="gramEnd"/>
      <w:r w:rsidRPr="00C60E21">
        <w:rPr>
          <w:spacing w:val="-2"/>
        </w:rPr>
        <w:t xml:space="preserve"> their wish to participate in a working group to explore the issues concerning a possible ISC.</w:t>
      </w:r>
    </w:p>
    <w:p w:rsidR="00541DC4" w:rsidRDefault="00541DC4" w:rsidP="00541DC4"/>
    <w:p w:rsidR="00541DC4" w:rsidRDefault="00541DC4" w:rsidP="00541DC4">
      <w:r>
        <w:fldChar w:fldCharType="begin"/>
      </w:r>
      <w:r>
        <w:instrText xml:space="preserve"> AUTONUM  </w:instrText>
      </w:r>
      <w:r>
        <w:fldChar w:fldCharType="end"/>
      </w:r>
      <w:r>
        <w:tab/>
        <w:t xml:space="preserve">The Consultative Committee agreed that, on the basis of the information provided above, the </w:t>
      </w:r>
      <w:r w:rsidRPr="00F41032">
        <w:t>Office of the Union</w:t>
      </w:r>
      <w:r>
        <w:t xml:space="preserve"> would prepare a document for consideration at its ninety-second session, to be held in Geneva on October 27, 2016, containing a </w:t>
      </w:r>
      <w:r w:rsidRPr="00F96A43">
        <w:t>draft mandate and terms of reference for a possible ISC-WG</w:t>
      </w:r>
      <w:r>
        <w:t>, issues to be considered and proposed members of the ISC-WG.  Subject to agreement on those matters, the ISC-WG would meet immediately following the ninety-second session of the Consultative Committee.</w:t>
      </w:r>
    </w:p>
    <w:p w:rsidR="00541DC4" w:rsidRDefault="00541DC4" w:rsidP="00541DC4"/>
    <w:p w:rsidR="00541DC4" w:rsidRPr="00463411" w:rsidRDefault="00541DC4" w:rsidP="00541DC4"/>
    <w:p w:rsidR="00541DC4" w:rsidRDefault="00541DC4" w:rsidP="00541DC4">
      <w:pPr>
        <w:pStyle w:val="Heading2"/>
      </w:pPr>
      <w:r w:rsidRPr="00463411">
        <w:t>Interrelations with the International Treaty on Plant Genetic Resources fo</w:t>
      </w:r>
      <w:r>
        <w:t>r Food and Agriculture (ITPGRFA</w:t>
      </w:r>
      <w:r w:rsidRPr="00463411">
        <w:t>)</w:t>
      </w:r>
    </w:p>
    <w:p w:rsidR="00541DC4" w:rsidRDefault="00541DC4" w:rsidP="00541DC4">
      <w:pPr>
        <w:keepNext/>
        <w:ind w:left="567" w:hanging="567"/>
      </w:pPr>
    </w:p>
    <w:p w:rsidR="00541DC4" w:rsidRPr="005C6465" w:rsidRDefault="00541DC4" w:rsidP="00541DC4">
      <w:pPr>
        <w:rPr>
          <w:rFonts w:cs="Arial"/>
        </w:rPr>
      </w:pPr>
      <w:r w:rsidRPr="005C6465">
        <w:t xml:space="preserve">DISCUSSIONS IN THE PRESENCE </w:t>
      </w:r>
      <w:r>
        <w:t xml:space="preserve">OF </w:t>
      </w:r>
      <w:r w:rsidRPr="005C6465">
        <w:t xml:space="preserve">THE SECRETARY AND </w:t>
      </w:r>
      <w:r>
        <w:t xml:space="preserve">THE </w:t>
      </w:r>
      <w:r w:rsidRPr="005C6465">
        <w:t xml:space="preserve">CHAIR OF THE </w:t>
      </w:r>
      <w:r>
        <w:t>GOVERNING BODY</w:t>
      </w:r>
      <w:r w:rsidRPr="005C6465">
        <w:t xml:space="preserve"> OF THE ITPG</w:t>
      </w:r>
      <w:r>
        <w:t>R</w:t>
      </w:r>
      <w:r w:rsidRPr="005C6465">
        <w:t>FA AND OF OBSERVERS</w:t>
      </w:r>
    </w:p>
    <w:p w:rsidR="00541DC4" w:rsidRPr="005C6465" w:rsidRDefault="00541DC4" w:rsidP="00541DC4">
      <w:pPr>
        <w:rPr>
          <w:rFonts w:cs="Arial"/>
          <w:snapToGrid w:val="0"/>
        </w:rPr>
      </w:pPr>
    </w:p>
    <w:p w:rsidR="00541DC4" w:rsidRPr="005C6465" w:rsidRDefault="00541DC4" w:rsidP="00541DC4">
      <w:pPr>
        <w:rPr>
          <w:rFonts w:cs="Arial"/>
        </w:rPr>
      </w:pPr>
      <w:r w:rsidRPr="005C6465">
        <w:rPr>
          <w:rFonts w:cs="Arial"/>
        </w:rPr>
        <w:fldChar w:fldCharType="begin"/>
      </w:r>
      <w:r w:rsidRPr="005C6465">
        <w:rPr>
          <w:rFonts w:cs="Arial"/>
        </w:rPr>
        <w:instrText xml:space="preserve"> AUTONUM  </w:instrText>
      </w:r>
      <w:r w:rsidRPr="005C6465">
        <w:rPr>
          <w:rFonts w:cs="Arial"/>
        </w:rPr>
        <w:fldChar w:fldCharType="end"/>
      </w:r>
      <w:r w:rsidRPr="005C6465">
        <w:rPr>
          <w:rFonts w:cs="Arial"/>
        </w:rPr>
        <w:tab/>
        <w:t xml:space="preserve">The Consultative Committee </w:t>
      </w:r>
      <w:r>
        <w:rPr>
          <w:rFonts w:cs="Arial"/>
        </w:rPr>
        <w:t xml:space="preserve">welcomed </w:t>
      </w:r>
      <w:r w:rsidRPr="005C6465">
        <w:rPr>
          <w:rFonts w:cs="Arial"/>
        </w:rPr>
        <w:t>the presentation made by the Secretary of the International Treaty on Plant Genetic Resources for Food and Agriculture (ITPGRFA) on possible areas of interrelations between the ITPGRFA and the UPOV Convention.</w:t>
      </w:r>
    </w:p>
    <w:p w:rsidR="00541DC4" w:rsidRPr="005C6465" w:rsidRDefault="00541DC4" w:rsidP="00541DC4">
      <w:pPr>
        <w:rPr>
          <w:rFonts w:cs="Arial"/>
          <w:snapToGrid w:val="0"/>
        </w:rPr>
      </w:pPr>
    </w:p>
    <w:p w:rsidR="00541DC4" w:rsidRPr="00C26FBA" w:rsidRDefault="00541DC4" w:rsidP="00541DC4">
      <w:r w:rsidRPr="00C26FBA">
        <w:rPr>
          <w:rFonts w:cs="Arial"/>
        </w:rPr>
        <w:fldChar w:fldCharType="begin"/>
      </w:r>
      <w:r w:rsidRPr="00C26FBA">
        <w:rPr>
          <w:rFonts w:cs="Arial"/>
        </w:rPr>
        <w:instrText xml:space="preserve"> AUTONUM  </w:instrText>
      </w:r>
      <w:r w:rsidRPr="00C26FBA">
        <w:rPr>
          <w:rFonts w:cs="Arial"/>
        </w:rPr>
        <w:fldChar w:fldCharType="end"/>
      </w:r>
      <w:r w:rsidRPr="00C26FBA">
        <w:rPr>
          <w:rFonts w:cs="Arial"/>
        </w:rPr>
        <w:tab/>
        <w:t xml:space="preserve">The Consultative Committee noted the intervention made by the representative of the Association for Plant Breeding for the Benefit of Society (APBREBES) </w:t>
      </w:r>
      <w:r>
        <w:t xml:space="preserve">concerning </w:t>
      </w:r>
      <w:r w:rsidRPr="00C26FBA">
        <w:rPr>
          <w:rFonts w:cs="Arial"/>
        </w:rPr>
        <w:t xml:space="preserve">the letter and paper sent to UPOV on March 2, 2016, </w:t>
      </w:r>
      <w:r>
        <w:rPr>
          <w:rFonts w:cs="Arial"/>
        </w:rPr>
        <w:t xml:space="preserve">which had been </w:t>
      </w:r>
      <w:r w:rsidRPr="00C26FBA">
        <w:rPr>
          <w:rFonts w:cs="Arial"/>
        </w:rPr>
        <w:t>circulated to the Consultative Committee on March 3, 2016 (Circular E-16/043).</w:t>
      </w:r>
    </w:p>
    <w:p w:rsidR="00541DC4" w:rsidRPr="00C26FBA" w:rsidRDefault="00541DC4" w:rsidP="00541DC4">
      <w:pPr>
        <w:rPr>
          <w:rFonts w:cs="Arial"/>
        </w:rPr>
      </w:pPr>
    </w:p>
    <w:p w:rsidR="00541DC4" w:rsidRDefault="00541DC4" w:rsidP="00541DC4">
      <w:r w:rsidRPr="00C26FBA">
        <w:rPr>
          <w:rFonts w:cs="Arial"/>
        </w:rPr>
        <w:fldChar w:fldCharType="begin"/>
      </w:r>
      <w:r w:rsidRPr="00C26FBA">
        <w:rPr>
          <w:rFonts w:cs="Arial"/>
        </w:rPr>
        <w:instrText xml:space="preserve"> AUTONUM  </w:instrText>
      </w:r>
      <w:r w:rsidRPr="00C26FBA">
        <w:rPr>
          <w:rFonts w:cs="Arial"/>
        </w:rPr>
        <w:fldChar w:fldCharType="end"/>
      </w:r>
      <w:r w:rsidRPr="00C26FBA">
        <w:rPr>
          <w:rFonts w:cs="Arial"/>
        </w:rPr>
        <w:tab/>
        <w:t>The Consultative Committee noted the intervention made by the representative of South Center.</w:t>
      </w:r>
    </w:p>
    <w:p w:rsidR="00541DC4" w:rsidRPr="005C6465" w:rsidRDefault="00541DC4" w:rsidP="00541DC4">
      <w:pPr>
        <w:rPr>
          <w:rFonts w:cs="Arial"/>
        </w:rPr>
      </w:pPr>
    </w:p>
    <w:p w:rsidR="00541DC4" w:rsidRPr="005C6465" w:rsidRDefault="00541DC4" w:rsidP="00541DC4">
      <w:pPr>
        <w:rPr>
          <w:rFonts w:cs="Arial"/>
        </w:rPr>
      </w:pPr>
      <w:r w:rsidRPr="005C6465">
        <w:rPr>
          <w:rFonts w:cs="Arial"/>
        </w:rPr>
        <w:fldChar w:fldCharType="begin"/>
      </w:r>
      <w:r w:rsidRPr="005C6465">
        <w:rPr>
          <w:rFonts w:cs="Arial"/>
        </w:rPr>
        <w:instrText xml:space="preserve"> AUTONUM  </w:instrText>
      </w:r>
      <w:r w:rsidRPr="005C6465">
        <w:rPr>
          <w:rFonts w:cs="Arial"/>
        </w:rPr>
        <w:fldChar w:fldCharType="end"/>
      </w:r>
      <w:r w:rsidRPr="005C6465">
        <w:rPr>
          <w:rFonts w:cs="Arial"/>
        </w:rPr>
        <w:tab/>
        <w:t>The Consultative Committee noted that the summary of the discussions in the presence of observers would be provided in the detailed report.</w:t>
      </w:r>
    </w:p>
    <w:p w:rsidR="00541DC4" w:rsidRPr="005C6465" w:rsidRDefault="00541DC4" w:rsidP="00541DC4">
      <w:pPr>
        <w:rPr>
          <w:rFonts w:cs="Arial"/>
        </w:rPr>
      </w:pPr>
    </w:p>
    <w:p w:rsidR="00541DC4" w:rsidRPr="005C6465" w:rsidRDefault="00541DC4" w:rsidP="00541DC4">
      <w:pPr>
        <w:rPr>
          <w:rFonts w:cs="Arial"/>
        </w:rPr>
      </w:pPr>
      <w:r w:rsidRPr="005C6465">
        <w:t xml:space="preserve">DISCUSSIONS IN THE PRESENCE </w:t>
      </w:r>
      <w:r>
        <w:t xml:space="preserve">OF </w:t>
      </w:r>
      <w:r w:rsidRPr="005C6465">
        <w:t xml:space="preserve">THE SECRETARY AND </w:t>
      </w:r>
      <w:r>
        <w:t xml:space="preserve">THE </w:t>
      </w:r>
      <w:r w:rsidRPr="005C6465">
        <w:t xml:space="preserve">CHAIR OF THE </w:t>
      </w:r>
      <w:r>
        <w:t xml:space="preserve">GOVERNING BODY </w:t>
      </w:r>
      <w:r w:rsidRPr="005C6465">
        <w:t xml:space="preserve">OF THE </w:t>
      </w:r>
      <w:r>
        <w:t xml:space="preserve">ITPGRFA </w:t>
      </w:r>
      <w:r w:rsidRPr="005C6465">
        <w:t>WITHOUT THE PRESENCE OF OBSERVERS</w:t>
      </w:r>
    </w:p>
    <w:p w:rsidR="00541DC4" w:rsidRPr="005C6465" w:rsidRDefault="00541DC4" w:rsidP="00541DC4">
      <w:pPr>
        <w:rPr>
          <w:rFonts w:cs="Arial"/>
        </w:rPr>
      </w:pPr>
    </w:p>
    <w:p w:rsidR="00541DC4" w:rsidRPr="005C6465" w:rsidRDefault="00541DC4" w:rsidP="00541DC4">
      <w:pPr>
        <w:rPr>
          <w:rFonts w:cs="Arial"/>
        </w:rPr>
      </w:pPr>
      <w:r w:rsidRPr="005C6465">
        <w:rPr>
          <w:rFonts w:cs="Arial"/>
        </w:rPr>
        <w:fldChar w:fldCharType="begin"/>
      </w:r>
      <w:r w:rsidRPr="005C6465">
        <w:rPr>
          <w:rFonts w:cs="Arial"/>
        </w:rPr>
        <w:instrText xml:space="preserve"> AUTONUM  </w:instrText>
      </w:r>
      <w:r w:rsidRPr="005C6465">
        <w:rPr>
          <w:rFonts w:cs="Arial"/>
        </w:rPr>
        <w:fldChar w:fldCharType="end"/>
      </w:r>
      <w:r w:rsidRPr="005C6465">
        <w:rPr>
          <w:rFonts w:cs="Arial"/>
        </w:rPr>
        <w:tab/>
        <w:t xml:space="preserve">The Consultative Committee </w:t>
      </w:r>
      <w:r>
        <w:rPr>
          <w:rFonts w:cs="Arial"/>
        </w:rPr>
        <w:t>considered</w:t>
      </w:r>
      <w:r w:rsidRPr="005C6465">
        <w:rPr>
          <w:rFonts w:cs="Arial"/>
        </w:rPr>
        <w:t xml:space="preserve"> the possible e</w:t>
      </w:r>
      <w:r>
        <w:t xml:space="preserve">lements of a symposium program presented by the Secretary </w:t>
      </w:r>
      <w:r w:rsidRPr="005C6465">
        <w:rPr>
          <w:rFonts w:cs="Arial"/>
        </w:rPr>
        <w:t>of the ITPGRFA, as follows:</w:t>
      </w:r>
    </w:p>
    <w:p w:rsidR="00541DC4" w:rsidRPr="005C6465" w:rsidRDefault="00541DC4" w:rsidP="00541DC4">
      <w:pPr>
        <w:rPr>
          <w:rFonts w:cs="Arial"/>
        </w:rPr>
      </w:pPr>
    </w:p>
    <w:p w:rsidR="00541DC4" w:rsidRPr="00C26FBA" w:rsidRDefault="00541DC4" w:rsidP="00541DC4">
      <w:pPr>
        <w:ind w:left="567"/>
        <w:rPr>
          <w:rFonts w:cs="Arial"/>
          <w:sz w:val="18"/>
        </w:rPr>
      </w:pPr>
      <w:r w:rsidRPr="00C26FBA">
        <w:rPr>
          <w:rFonts w:cs="Arial"/>
          <w:bCs/>
          <w:sz w:val="18"/>
        </w:rPr>
        <w:t>Welcome remarks by UPOV and ITPGRFA</w:t>
      </w:r>
    </w:p>
    <w:p w:rsidR="00541DC4" w:rsidRPr="00C26FBA" w:rsidRDefault="00541DC4" w:rsidP="00541DC4">
      <w:pPr>
        <w:ind w:left="567"/>
        <w:rPr>
          <w:rFonts w:cs="Arial"/>
          <w:sz w:val="18"/>
        </w:rPr>
      </w:pPr>
      <w:r w:rsidRPr="00C26FBA">
        <w:rPr>
          <w:rFonts w:cs="Arial"/>
          <w:bCs/>
          <w:sz w:val="18"/>
        </w:rPr>
        <w:br/>
        <w:t>Session 1:</w:t>
      </w:r>
      <w:r>
        <w:rPr>
          <w:rFonts w:cs="Arial"/>
          <w:bCs/>
          <w:sz w:val="18"/>
        </w:rPr>
        <w:tab/>
      </w:r>
      <w:r w:rsidRPr="00C26FBA">
        <w:rPr>
          <w:rFonts w:cs="Arial"/>
          <w:bCs/>
          <w:sz w:val="18"/>
        </w:rPr>
        <w:t>Overview of UPOV and the ITPGRFA</w:t>
      </w:r>
    </w:p>
    <w:p w:rsidR="00541DC4" w:rsidRPr="00C26FBA" w:rsidRDefault="00541DC4" w:rsidP="00541DC4">
      <w:pPr>
        <w:pStyle w:val="ListParagraph"/>
        <w:numPr>
          <w:ilvl w:val="0"/>
          <w:numId w:val="7"/>
        </w:numPr>
        <w:rPr>
          <w:rFonts w:cs="Arial"/>
          <w:sz w:val="18"/>
        </w:rPr>
      </w:pPr>
      <w:r w:rsidRPr="00C26FBA">
        <w:rPr>
          <w:rFonts w:cs="Arial"/>
          <w:sz w:val="18"/>
        </w:rPr>
        <w:t>Overview of UPOV</w:t>
      </w:r>
    </w:p>
    <w:p w:rsidR="00541DC4" w:rsidRPr="00C26FBA" w:rsidRDefault="00541DC4" w:rsidP="00541DC4">
      <w:pPr>
        <w:pStyle w:val="ListParagraph"/>
        <w:numPr>
          <w:ilvl w:val="0"/>
          <w:numId w:val="7"/>
        </w:numPr>
        <w:rPr>
          <w:rFonts w:cs="Arial"/>
          <w:sz w:val="18"/>
        </w:rPr>
      </w:pPr>
      <w:r w:rsidRPr="00C26FBA">
        <w:rPr>
          <w:rFonts w:cs="Arial"/>
          <w:sz w:val="18"/>
        </w:rPr>
        <w:t>Overview of the ITPGRFA</w:t>
      </w:r>
    </w:p>
    <w:p w:rsidR="00541DC4" w:rsidRPr="00C26FBA" w:rsidRDefault="00541DC4" w:rsidP="00541DC4">
      <w:pPr>
        <w:ind w:left="1134"/>
        <w:rPr>
          <w:rFonts w:cs="Arial"/>
          <w:sz w:val="18"/>
        </w:rPr>
      </w:pPr>
    </w:p>
    <w:p w:rsidR="00541DC4" w:rsidRPr="00C26FBA" w:rsidRDefault="00541DC4" w:rsidP="00541DC4">
      <w:pPr>
        <w:ind w:left="1701" w:hanging="1134"/>
        <w:rPr>
          <w:rFonts w:cs="Arial"/>
          <w:sz w:val="18"/>
        </w:rPr>
      </w:pPr>
      <w:r>
        <w:rPr>
          <w:rFonts w:cs="Arial"/>
          <w:bCs/>
          <w:sz w:val="18"/>
        </w:rPr>
        <w:t>Session 2:</w:t>
      </w:r>
      <w:r>
        <w:rPr>
          <w:rFonts w:cs="Arial"/>
          <w:bCs/>
          <w:sz w:val="18"/>
        </w:rPr>
        <w:tab/>
      </w:r>
      <w:r w:rsidRPr="00C26FBA">
        <w:rPr>
          <w:rFonts w:cs="Arial"/>
          <w:bCs/>
          <w:sz w:val="18"/>
        </w:rPr>
        <w:t xml:space="preserve">Analysis of the Inter-relations between Farmers’ Rights and Plant Breeders’ Rights </w:t>
      </w:r>
      <w:proofErr w:type="gramStart"/>
      <w:r w:rsidRPr="00C26FBA">
        <w:rPr>
          <w:rFonts w:cs="Arial"/>
          <w:bCs/>
          <w:sz w:val="18"/>
        </w:rPr>
        <w:t>Under</w:t>
      </w:r>
      <w:proofErr w:type="gramEnd"/>
      <w:r w:rsidRPr="00C26FBA">
        <w:rPr>
          <w:rFonts w:cs="Arial"/>
          <w:bCs/>
          <w:sz w:val="18"/>
        </w:rPr>
        <w:t xml:space="preserve"> the ITPGRFA and the UPOV Convention</w:t>
      </w:r>
    </w:p>
    <w:p w:rsidR="00541DC4" w:rsidRPr="00C26FBA" w:rsidRDefault="00541DC4" w:rsidP="00541DC4">
      <w:pPr>
        <w:pStyle w:val="ListParagraph"/>
        <w:numPr>
          <w:ilvl w:val="0"/>
          <w:numId w:val="8"/>
        </w:numPr>
        <w:rPr>
          <w:rFonts w:cs="Arial"/>
          <w:sz w:val="18"/>
        </w:rPr>
      </w:pPr>
      <w:r w:rsidRPr="00C26FBA">
        <w:rPr>
          <w:rFonts w:cs="Arial"/>
          <w:sz w:val="18"/>
        </w:rPr>
        <w:t>Presentation by 4 experts</w:t>
      </w:r>
    </w:p>
    <w:p w:rsidR="00541DC4" w:rsidRPr="00C26FBA" w:rsidRDefault="00541DC4" w:rsidP="00541DC4">
      <w:pPr>
        <w:pStyle w:val="ListParagraph"/>
        <w:numPr>
          <w:ilvl w:val="0"/>
          <w:numId w:val="8"/>
        </w:numPr>
        <w:rPr>
          <w:rFonts w:cs="Arial"/>
          <w:sz w:val="18"/>
        </w:rPr>
      </w:pPr>
      <w:r w:rsidRPr="00C26FBA">
        <w:rPr>
          <w:rFonts w:cs="Arial"/>
          <w:sz w:val="18"/>
        </w:rPr>
        <w:t>Discussion</w:t>
      </w:r>
    </w:p>
    <w:p w:rsidR="00541DC4" w:rsidRPr="00C26FBA" w:rsidRDefault="00541DC4" w:rsidP="00541DC4">
      <w:pPr>
        <w:ind w:left="1134"/>
        <w:rPr>
          <w:rFonts w:cs="Arial"/>
          <w:sz w:val="18"/>
        </w:rPr>
      </w:pPr>
    </w:p>
    <w:p w:rsidR="00541DC4" w:rsidRPr="00C26FBA" w:rsidRDefault="00541DC4" w:rsidP="00541DC4">
      <w:pPr>
        <w:ind w:left="1701" w:hanging="1134"/>
        <w:rPr>
          <w:rFonts w:cs="Arial"/>
          <w:sz w:val="18"/>
        </w:rPr>
      </w:pPr>
      <w:r>
        <w:rPr>
          <w:rFonts w:cs="Arial"/>
          <w:bCs/>
          <w:sz w:val="18"/>
        </w:rPr>
        <w:t>Session 3:</w:t>
      </w:r>
      <w:r>
        <w:rPr>
          <w:rFonts w:cs="Arial"/>
          <w:bCs/>
          <w:sz w:val="18"/>
        </w:rPr>
        <w:tab/>
      </w:r>
      <w:r w:rsidRPr="00C26FBA">
        <w:rPr>
          <w:rFonts w:cs="Arial"/>
          <w:bCs/>
          <w:sz w:val="18"/>
        </w:rPr>
        <w:t>Experiences of the Contracting Parties in Implementing the UPOV Convention and the ITPGRFA</w:t>
      </w:r>
    </w:p>
    <w:p w:rsidR="00541DC4" w:rsidRPr="00C26FBA" w:rsidRDefault="00541DC4" w:rsidP="00541DC4">
      <w:pPr>
        <w:pStyle w:val="ListParagraph"/>
        <w:numPr>
          <w:ilvl w:val="0"/>
          <w:numId w:val="9"/>
        </w:numPr>
        <w:rPr>
          <w:rFonts w:cs="Arial"/>
          <w:sz w:val="18"/>
        </w:rPr>
      </w:pPr>
      <w:r w:rsidRPr="00C26FBA">
        <w:rPr>
          <w:rFonts w:cs="Arial"/>
          <w:sz w:val="18"/>
        </w:rPr>
        <w:t>Experiences shared by 4 Contracting Parties</w:t>
      </w:r>
    </w:p>
    <w:p w:rsidR="00541DC4" w:rsidRPr="00C26FBA" w:rsidRDefault="00541DC4" w:rsidP="00541DC4">
      <w:pPr>
        <w:pStyle w:val="ListParagraph"/>
        <w:numPr>
          <w:ilvl w:val="0"/>
          <w:numId w:val="9"/>
        </w:numPr>
        <w:rPr>
          <w:rFonts w:cs="Arial"/>
          <w:sz w:val="18"/>
        </w:rPr>
      </w:pPr>
      <w:r w:rsidRPr="00C26FBA">
        <w:rPr>
          <w:rFonts w:cs="Arial"/>
          <w:sz w:val="18"/>
        </w:rPr>
        <w:t>Discussion</w:t>
      </w:r>
    </w:p>
    <w:p w:rsidR="00541DC4" w:rsidRPr="00C26FBA" w:rsidRDefault="00541DC4" w:rsidP="00541DC4">
      <w:pPr>
        <w:ind w:left="1134"/>
        <w:rPr>
          <w:rFonts w:cs="Arial"/>
          <w:sz w:val="18"/>
        </w:rPr>
      </w:pPr>
    </w:p>
    <w:p w:rsidR="00541DC4" w:rsidRPr="00C26FBA" w:rsidRDefault="00541DC4" w:rsidP="00541DC4">
      <w:pPr>
        <w:ind w:left="567"/>
        <w:rPr>
          <w:rFonts w:cs="Arial"/>
          <w:sz w:val="18"/>
        </w:rPr>
      </w:pPr>
      <w:r w:rsidRPr="00C26FBA">
        <w:rPr>
          <w:rFonts w:cs="Arial"/>
          <w:bCs/>
          <w:sz w:val="18"/>
        </w:rPr>
        <w:t>Session 4:</w:t>
      </w:r>
      <w:r>
        <w:rPr>
          <w:rFonts w:cs="Arial"/>
          <w:bCs/>
          <w:sz w:val="18"/>
        </w:rPr>
        <w:tab/>
      </w:r>
      <w:r w:rsidRPr="00C26FBA">
        <w:rPr>
          <w:rFonts w:cs="Arial"/>
          <w:bCs/>
          <w:sz w:val="18"/>
        </w:rPr>
        <w:t>Overview of initiatives involving the ITPGRFA and UPOV</w:t>
      </w:r>
    </w:p>
    <w:p w:rsidR="00541DC4" w:rsidRPr="00C26FBA" w:rsidRDefault="00541DC4" w:rsidP="00541DC4">
      <w:pPr>
        <w:pStyle w:val="ListParagraph"/>
        <w:numPr>
          <w:ilvl w:val="0"/>
          <w:numId w:val="10"/>
        </w:numPr>
        <w:rPr>
          <w:rFonts w:cs="Arial"/>
          <w:sz w:val="18"/>
        </w:rPr>
      </w:pPr>
      <w:r w:rsidRPr="00C26FBA">
        <w:rPr>
          <w:rFonts w:cs="Arial"/>
          <w:sz w:val="18"/>
        </w:rPr>
        <w:t>Information initiatives (joint workshops)</w:t>
      </w:r>
    </w:p>
    <w:p w:rsidR="00541DC4" w:rsidRPr="00C26FBA" w:rsidRDefault="00541DC4" w:rsidP="00541DC4">
      <w:pPr>
        <w:pStyle w:val="ListParagraph"/>
        <w:numPr>
          <w:ilvl w:val="0"/>
          <w:numId w:val="10"/>
        </w:numPr>
        <w:rPr>
          <w:rFonts w:cs="Arial"/>
          <w:sz w:val="18"/>
        </w:rPr>
      </w:pPr>
      <w:r w:rsidRPr="00C26FBA">
        <w:rPr>
          <w:rFonts w:cs="Arial"/>
          <w:sz w:val="18"/>
        </w:rPr>
        <w:t>Practical initiatives (Platform for Co-development and Transfer of Technology; Public Private Partnership on Pre-breeding)</w:t>
      </w:r>
    </w:p>
    <w:p w:rsidR="00541DC4" w:rsidRPr="00C26FBA" w:rsidRDefault="00541DC4" w:rsidP="00541DC4">
      <w:pPr>
        <w:pStyle w:val="ListParagraph"/>
        <w:numPr>
          <w:ilvl w:val="0"/>
          <w:numId w:val="10"/>
        </w:numPr>
        <w:rPr>
          <w:rFonts w:cs="Arial"/>
          <w:sz w:val="18"/>
        </w:rPr>
      </w:pPr>
      <w:r w:rsidRPr="00C26FBA">
        <w:rPr>
          <w:rFonts w:cs="Arial"/>
          <w:sz w:val="18"/>
        </w:rPr>
        <w:t xml:space="preserve">Mutual attendance, participation, and information exchange (Committees, enhancement, </w:t>
      </w:r>
      <w:proofErr w:type="spellStart"/>
      <w:r w:rsidRPr="00C26FBA">
        <w:rPr>
          <w:rFonts w:cs="Arial"/>
          <w:sz w:val="18"/>
        </w:rPr>
        <w:t>etc</w:t>
      </w:r>
      <w:proofErr w:type="spellEnd"/>
      <w:r w:rsidRPr="00C26FBA">
        <w:rPr>
          <w:rFonts w:cs="Arial"/>
          <w:sz w:val="18"/>
        </w:rPr>
        <w:t>)</w:t>
      </w:r>
    </w:p>
    <w:p w:rsidR="00541DC4" w:rsidRPr="00C26FBA" w:rsidRDefault="00541DC4" w:rsidP="00541DC4">
      <w:pPr>
        <w:pStyle w:val="ListParagraph"/>
        <w:numPr>
          <w:ilvl w:val="0"/>
          <w:numId w:val="10"/>
        </w:numPr>
        <w:rPr>
          <w:rFonts w:cs="Arial"/>
          <w:sz w:val="18"/>
        </w:rPr>
      </w:pPr>
      <w:r w:rsidRPr="00C26FBA">
        <w:rPr>
          <w:rFonts w:cs="Arial"/>
          <w:sz w:val="18"/>
        </w:rPr>
        <w:t>Discussion</w:t>
      </w:r>
    </w:p>
    <w:p w:rsidR="00541DC4" w:rsidRPr="00C26FBA" w:rsidRDefault="00541DC4" w:rsidP="00541DC4">
      <w:pPr>
        <w:ind w:left="1134"/>
        <w:rPr>
          <w:rFonts w:cs="Arial"/>
          <w:sz w:val="18"/>
        </w:rPr>
      </w:pPr>
    </w:p>
    <w:p w:rsidR="00541DC4" w:rsidRPr="00C26FBA" w:rsidRDefault="00541DC4" w:rsidP="00541DC4">
      <w:pPr>
        <w:ind w:left="567"/>
        <w:rPr>
          <w:rFonts w:cs="Arial"/>
          <w:bCs/>
          <w:sz w:val="18"/>
        </w:rPr>
      </w:pPr>
      <w:r w:rsidRPr="00C26FBA">
        <w:rPr>
          <w:rFonts w:cs="Arial"/>
          <w:bCs/>
          <w:sz w:val="18"/>
        </w:rPr>
        <w:t>Closing Remarks by UPOV and ITPGRFA</w:t>
      </w:r>
    </w:p>
    <w:p w:rsidR="00541DC4" w:rsidRPr="00C26FBA" w:rsidRDefault="00541DC4" w:rsidP="00541DC4">
      <w:pPr>
        <w:rPr>
          <w:rFonts w:cs="Arial"/>
          <w:sz w:val="18"/>
        </w:rPr>
      </w:pPr>
    </w:p>
    <w:p w:rsidR="00541DC4" w:rsidRDefault="00541DC4" w:rsidP="00541DC4">
      <w:pPr>
        <w:rPr>
          <w:rFonts w:cs="Arial"/>
        </w:rPr>
      </w:pPr>
      <w:r w:rsidRPr="005C6465">
        <w:rPr>
          <w:rFonts w:cs="Arial"/>
        </w:rPr>
        <w:fldChar w:fldCharType="begin"/>
      </w:r>
      <w:r w:rsidRPr="005C6465">
        <w:rPr>
          <w:rFonts w:cs="Arial"/>
        </w:rPr>
        <w:instrText xml:space="preserve"> AUTONUM  </w:instrText>
      </w:r>
      <w:r w:rsidRPr="005C6465">
        <w:rPr>
          <w:rFonts w:cs="Arial"/>
        </w:rPr>
        <w:fldChar w:fldCharType="end"/>
      </w:r>
      <w:r w:rsidRPr="005C6465">
        <w:rPr>
          <w:rFonts w:cs="Arial"/>
        </w:rPr>
        <w:tab/>
        <w:t xml:space="preserve">The Consultative Committee endorsed the above elements </w:t>
      </w:r>
      <w:r>
        <w:rPr>
          <w:rFonts w:cs="Arial"/>
        </w:rPr>
        <w:t>of the program whilst noting that more than four presentations by Contracting Parties might be necessary and noting that it would be useful to provide information on real problems experienced by farmers</w:t>
      </w:r>
      <w:r w:rsidR="00137F1D">
        <w:rPr>
          <w:rFonts w:cs="Arial"/>
        </w:rPr>
        <w:t xml:space="preserve"> and breeders</w:t>
      </w:r>
      <w:r>
        <w:rPr>
          <w:rFonts w:cs="Arial"/>
        </w:rPr>
        <w:t>.</w:t>
      </w:r>
    </w:p>
    <w:p w:rsidR="00541DC4" w:rsidRPr="005C6465" w:rsidRDefault="00541DC4" w:rsidP="00541DC4">
      <w:pPr>
        <w:rPr>
          <w:rFonts w:cs="Arial"/>
        </w:rPr>
      </w:pPr>
      <w:r w:rsidRPr="005C6465">
        <w:rPr>
          <w:rFonts w:cs="Arial"/>
        </w:rPr>
        <w:t xml:space="preserve"> </w:t>
      </w:r>
    </w:p>
    <w:p w:rsidR="00541DC4" w:rsidRPr="00AF60A3" w:rsidRDefault="00541DC4" w:rsidP="00541DC4">
      <w:pPr>
        <w:rPr>
          <w:rFonts w:cs="Arial"/>
          <w:spacing w:val="-2"/>
        </w:rPr>
      </w:pPr>
      <w:r w:rsidRPr="00AF60A3">
        <w:rPr>
          <w:rFonts w:cs="Arial"/>
          <w:spacing w:val="-2"/>
        </w:rPr>
        <w:fldChar w:fldCharType="begin"/>
      </w:r>
      <w:r w:rsidRPr="00AF60A3">
        <w:rPr>
          <w:rFonts w:cs="Arial"/>
          <w:spacing w:val="-2"/>
        </w:rPr>
        <w:instrText xml:space="preserve"> AUTONUM  </w:instrText>
      </w:r>
      <w:r w:rsidRPr="00AF60A3">
        <w:rPr>
          <w:rFonts w:cs="Arial"/>
          <w:spacing w:val="-2"/>
        </w:rPr>
        <w:fldChar w:fldCharType="end"/>
      </w:r>
      <w:r w:rsidRPr="00AF60A3">
        <w:rPr>
          <w:rFonts w:cs="Arial"/>
          <w:spacing w:val="-2"/>
        </w:rPr>
        <w:tab/>
        <w:t>The Consultative Committee noted that the draft program would need to be considered within the ITPGRFA.  If there were substantial changes proposed by the ITPGRFA, the Consultative Committee would be consulted by correspondence.  If agreement could not be reached by correspondence, the Consultative Committee agreed that it would need to reconsider the matter further at its ninety-second session.</w:t>
      </w:r>
    </w:p>
    <w:p w:rsidR="00541DC4" w:rsidRPr="005C6465" w:rsidRDefault="00541DC4" w:rsidP="00541DC4">
      <w:pPr>
        <w:rPr>
          <w:rFonts w:cs="Arial"/>
        </w:rPr>
      </w:pPr>
    </w:p>
    <w:p w:rsidR="00541DC4" w:rsidRDefault="00541DC4" w:rsidP="00541DC4">
      <w:pPr>
        <w:rPr>
          <w:rFonts w:cs="Arial"/>
        </w:rPr>
      </w:pPr>
      <w:r w:rsidRPr="005C6465">
        <w:rPr>
          <w:rFonts w:cs="Arial"/>
        </w:rPr>
        <w:fldChar w:fldCharType="begin"/>
      </w:r>
      <w:r w:rsidRPr="005C6465">
        <w:rPr>
          <w:rFonts w:cs="Arial"/>
        </w:rPr>
        <w:instrText xml:space="preserve"> AUTONUM  </w:instrText>
      </w:r>
      <w:r w:rsidRPr="005C6465">
        <w:rPr>
          <w:rFonts w:cs="Arial"/>
        </w:rPr>
        <w:fldChar w:fldCharType="end"/>
      </w:r>
      <w:r w:rsidRPr="005C6465">
        <w:rPr>
          <w:rFonts w:cs="Arial"/>
        </w:rPr>
        <w:tab/>
        <w:t>The Consultative Committee recommended to the Council to approve the organization of a “Symposium on possible interrelations between the International Treaty on Plant Genetic Resources for Food and Agriculture (ITPGRFA) and the International Convention for the Protection of New Varieties of Plants (UPOV Convention)”, to be held at UPOV Headquarters in Geneva, on October 26, 2016, as follows:</w:t>
      </w:r>
    </w:p>
    <w:p w:rsidR="00541DC4" w:rsidRPr="005C6465" w:rsidRDefault="00541DC4" w:rsidP="00541DC4">
      <w:pPr>
        <w:rPr>
          <w:rFonts w:cs="Arial"/>
        </w:rPr>
      </w:pPr>
    </w:p>
    <w:p w:rsidR="00541DC4" w:rsidRPr="00C26FBA" w:rsidRDefault="00541DC4" w:rsidP="00541DC4">
      <w:pPr>
        <w:ind w:firstLine="567"/>
        <w:rPr>
          <w:rFonts w:cs="Arial"/>
        </w:rPr>
      </w:pPr>
      <w:r w:rsidRPr="00C26FBA">
        <w:rPr>
          <w:rFonts w:cs="Arial"/>
        </w:rPr>
        <w:t>(a)</w:t>
      </w:r>
      <w:r w:rsidRPr="00C26FBA">
        <w:rPr>
          <w:rFonts w:cs="Arial"/>
        </w:rPr>
        <w:tab/>
      </w:r>
      <w:proofErr w:type="gramStart"/>
      <w:r w:rsidRPr="00C26FBA">
        <w:rPr>
          <w:rFonts w:cs="Arial"/>
        </w:rPr>
        <w:t>the</w:t>
      </w:r>
      <w:proofErr w:type="gramEnd"/>
      <w:r w:rsidRPr="00C26FBA">
        <w:rPr>
          <w:rFonts w:cs="Arial"/>
        </w:rPr>
        <w:t xml:space="preserve"> draft program for a symposium, as presented by the Secretary of the ITPGRFA (see paragraph</w:t>
      </w:r>
      <w:r w:rsidR="00137F1D">
        <w:rPr>
          <w:rFonts w:cs="Arial"/>
        </w:rPr>
        <w:t>s</w:t>
      </w:r>
      <w:r w:rsidRPr="00C26FBA">
        <w:rPr>
          <w:rFonts w:cs="Arial"/>
        </w:rPr>
        <w:t xml:space="preserve"> </w:t>
      </w:r>
      <w:r w:rsidR="00137F1D">
        <w:rPr>
          <w:rFonts w:cs="Arial"/>
        </w:rPr>
        <w:t>25 and 26</w:t>
      </w:r>
      <w:r w:rsidRPr="00C26FBA">
        <w:rPr>
          <w:rFonts w:cs="Arial"/>
        </w:rPr>
        <w:t xml:space="preserve"> above);</w:t>
      </w:r>
    </w:p>
    <w:p w:rsidR="00541DC4" w:rsidRPr="00C26FBA" w:rsidRDefault="00541DC4" w:rsidP="00541DC4">
      <w:pPr>
        <w:ind w:firstLine="567"/>
        <w:rPr>
          <w:rFonts w:cs="Arial"/>
        </w:rPr>
      </w:pPr>
    </w:p>
    <w:p w:rsidR="00541DC4" w:rsidRPr="00C26FBA" w:rsidRDefault="00541DC4" w:rsidP="00541DC4">
      <w:pPr>
        <w:ind w:firstLine="567"/>
        <w:rPr>
          <w:rFonts w:cs="Arial"/>
        </w:rPr>
      </w:pPr>
      <w:r w:rsidRPr="00C26FBA">
        <w:rPr>
          <w:rFonts w:cs="Arial"/>
        </w:rPr>
        <w:t>(b)</w:t>
      </w:r>
      <w:r w:rsidRPr="00C26FBA">
        <w:rPr>
          <w:rFonts w:cs="Arial"/>
        </w:rPr>
        <w:tab/>
      </w:r>
      <w:proofErr w:type="gramStart"/>
      <w:r w:rsidRPr="00C26FBA">
        <w:rPr>
          <w:rFonts w:cs="Arial"/>
        </w:rPr>
        <w:t>four</w:t>
      </w:r>
      <w:proofErr w:type="gramEnd"/>
      <w:r w:rsidRPr="00C26FBA">
        <w:rPr>
          <w:rFonts w:cs="Arial"/>
        </w:rPr>
        <w:t xml:space="preserve"> experts, to be agreed by the Office of the Union</w:t>
      </w:r>
      <w:r>
        <w:rPr>
          <w:rFonts w:cs="Arial"/>
        </w:rPr>
        <w:t>,</w:t>
      </w:r>
      <w:r w:rsidRPr="00C26FBA">
        <w:rPr>
          <w:rFonts w:cs="Arial"/>
        </w:rPr>
        <w:t xml:space="preserve"> in consultation with the President of the </w:t>
      </w:r>
      <w:r>
        <w:rPr>
          <w:rFonts w:cs="Arial"/>
        </w:rPr>
        <w:t>Council,</w:t>
      </w:r>
      <w:r w:rsidRPr="00C26FBA">
        <w:rPr>
          <w:rFonts w:cs="Arial"/>
        </w:rPr>
        <w:t xml:space="preserve"> and the Secretary of the ITPGRFA, to be invited to present their views at the Symposium;</w:t>
      </w:r>
    </w:p>
    <w:p w:rsidR="00541DC4" w:rsidRPr="00C26FBA" w:rsidRDefault="00541DC4" w:rsidP="00541DC4">
      <w:pPr>
        <w:ind w:firstLine="567"/>
        <w:rPr>
          <w:rFonts w:cs="Arial"/>
        </w:rPr>
      </w:pPr>
    </w:p>
    <w:p w:rsidR="00541DC4" w:rsidRPr="00C26FBA" w:rsidRDefault="00541DC4" w:rsidP="00541DC4">
      <w:pPr>
        <w:ind w:firstLine="567"/>
        <w:rPr>
          <w:rFonts w:cs="Arial"/>
        </w:rPr>
      </w:pPr>
      <w:r w:rsidRPr="00C26FBA">
        <w:rPr>
          <w:rFonts w:cs="Arial"/>
        </w:rPr>
        <w:t>(c)</w:t>
      </w:r>
      <w:r w:rsidRPr="00C26FBA">
        <w:rPr>
          <w:rFonts w:cs="Arial"/>
        </w:rPr>
        <w:tab/>
        <w:t>Contracting Parties to the UPOV Convention and the ITPGRFA would present information on their experiences in implementing the UPOV Convention and the ITPGRFA;</w:t>
      </w:r>
    </w:p>
    <w:p w:rsidR="00541DC4" w:rsidRPr="00C26FBA" w:rsidRDefault="00541DC4" w:rsidP="00541DC4">
      <w:pPr>
        <w:ind w:firstLine="567"/>
        <w:rPr>
          <w:rFonts w:cs="Arial"/>
        </w:rPr>
      </w:pPr>
    </w:p>
    <w:p w:rsidR="00541DC4" w:rsidRPr="00C26FBA" w:rsidRDefault="00541DC4" w:rsidP="00541DC4">
      <w:pPr>
        <w:ind w:firstLine="567"/>
        <w:rPr>
          <w:rFonts w:cs="Arial"/>
        </w:rPr>
      </w:pPr>
      <w:r w:rsidRPr="00C26FBA">
        <w:rPr>
          <w:rFonts w:cs="Arial"/>
        </w:rPr>
        <w:t>(d)</w:t>
      </w:r>
      <w:r w:rsidRPr="00C26FBA">
        <w:rPr>
          <w:rFonts w:cs="Arial"/>
        </w:rPr>
        <w:tab/>
        <w:t>invitations to the Symposium to be sent to members and observers in UPOV bodies and to Contracting Parties and observers to the ITPGRFA and the Symposium to be open to the public with advance registration, with the presentations and a video of the Symposium being made available on the UPOV website a</w:t>
      </w:r>
      <w:r>
        <w:rPr>
          <w:rFonts w:cs="Arial"/>
        </w:rPr>
        <w:t>fter a suitable broadcast delay;</w:t>
      </w:r>
    </w:p>
    <w:p w:rsidR="00541DC4" w:rsidRPr="00C26FBA" w:rsidRDefault="00541DC4" w:rsidP="00541DC4">
      <w:pPr>
        <w:ind w:firstLine="567"/>
        <w:rPr>
          <w:rFonts w:cs="Arial"/>
        </w:rPr>
      </w:pPr>
    </w:p>
    <w:p w:rsidR="00541DC4" w:rsidRPr="005C6465" w:rsidRDefault="00541DC4" w:rsidP="00541DC4">
      <w:pPr>
        <w:ind w:firstLine="567"/>
        <w:rPr>
          <w:rFonts w:cs="Arial"/>
        </w:rPr>
      </w:pPr>
      <w:r w:rsidRPr="00C26FBA">
        <w:rPr>
          <w:rFonts w:cs="Arial"/>
        </w:rPr>
        <w:t>(e)</w:t>
      </w:r>
      <w:r w:rsidRPr="00C26FBA">
        <w:rPr>
          <w:rFonts w:cs="Arial"/>
        </w:rPr>
        <w:tab/>
      </w:r>
      <w:proofErr w:type="gramStart"/>
      <w:r w:rsidRPr="00C26FBA">
        <w:rPr>
          <w:rFonts w:cs="Arial"/>
        </w:rPr>
        <w:t>a</w:t>
      </w:r>
      <w:proofErr w:type="gramEnd"/>
      <w:r w:rsidRPr="00C26FBA">
        <w:rPr>
          <w:rFonts w:cs="Arial"/>
        </w:rPr>
        <w:t xml:space="preserve"> joint publication of the proceedings of the Symposium to be produced by the ITPGRFA, containing the speakers’ written contributions and a summary of discussions, to be made available on the UPOV website at a later date;</w:t>
      </w:r>
    </w:p>
    <w:p w:rsidR="00541DC4" w:rsidRPr="005C6465" w:rsidRDefault="00541DC4" w:rsidP="00541DC4">
      <w:pPr>
        <w:ind w:firstLine="567"/>
        <w:rPr>
          <w:rFonts w:cs="Arial"/>
        </w:rPr>
      </w:pPr>
    </w:p>
    <w:p w:rsidR="00541DC4" w:rsidRPr="005C6465" w:rsidRDefault="00541DC4" w:rsidP="00541DC4">
      <w:pPr>
        <w:ind w:firstLine="567"/>
        <w:rPr>
          <w:rFonts w:cs="Arial"/>
        </w:rPr>
      </w:pPr>
      <w:r w:rsidRPr="005C6465">
        <w:rPr>
          <w:rFonts w:cs="Arial"/>
        </w:rPr>
        <w:t>(f)</w:t>
      </w:r>
      <w:r>
        <w:rPr>
          <w:rFonts w:cs="Arial"/>
        </w:rPr>
        <w:tab/>
      </w:r>
      <w:r w:rsidRPr="005C6465">
        <w:rPr>
          <w:rFonts w:cs="Arial"/>
        </w:rPr>
        <w:t>UPOV to provide the venue for the Symposium and to cover the interpretation costs in English, French</w:t>
      </w:r>
      <w:r>
        <w:rPr>
          <w:rFonts w:cs="Arial"/>
        </w:rPr>
        <w:t xml:space="preserve">, </w:t>
      </w:r>
      <w:r w:rsidRPr="00C26FBA">
        <w:rPr>
          <w:rFonts w:cs="Arial"/>
        </w:rPr>
        <w:t>German</w:t>
      </w:r>
      <w:r w:rsidRPr="005C6465">
        <w:rPr>
          <w:rFonts w:cs="Arial"/>
        </w:rPr>
        <w:t xml:space="preserve"> and </w:t>
      </w:r>
      <w:r>
        <w:rPr>
          <w:rFonts w:cs="Arial"/>
        </w:rPr>
        <w:t>Spanish.</w:t>
      </w:r>
    </w:p>
    <w:p w:rsidR="00541DC4" w:rsidRDefault="00541DC4" w:rsidP="00541DC4">
      <w:pPr>
        <w:ind w:left="567" w:hanging="567"/>
      </w:pPr>
    </w:p>
    <w:p w:rsidR="00541DC4" w:rsidRDefault="00541DC4" w:rsidP="00541DC4">
      <w:r>
        <w:fldChar w:fldCharType="begin"/>
      </w:r>
      <w:r>
        <w:instrText xml:space="preserve"> AUTONUM  </w:instrText>
      </w:r>
      <w:r>
        <w:fldChar w:fldCharType="end"/>
      </w:r>
      <w:r>
        <w:tab/>
        <w:t>The Consultative Committee agreed to consider the outcome of the Symposium at its ninety-second session and to consider any possible further action concerning interrelations at that time.</w:t>
      </w:r>
    </w:p>
    <w:p w:rsidR="00541DC4" w:rsidRDefault="00541DC4" w:rsidP="00541DC4"/>
    <w:p w:rsidR="00541DC4" w:rsidRDefault="00541DC4" w:rsidP="00541DC4"/>
    <w:p w:rsidR="00541DC4" w:rsidRPr="00463411" w:rsidRDefault="00541DC4" w:rsidP="00541DC4">
      <w:pPr>
        <w:pStyle w:val="Heading2"/>
      </w:pPr>
      <w:r w:rsidRPr="007F2113">
        <w:t>Draft program for a “Seminar on Propagating and Harvested Material in the context of the UPOV Convention,” to be held in Geneva on October 24, 2016</w:t>
      </w:r>
    </w:p>
    <w:p w:rsidR="00541DC4" w:rsidRDefault="00541DC4" w:rsidP="00541DC4">
      <w:pPr>
        <w:keepNext/>
      </w:pPr>
    </w:p>
    <w:p w:rsidR="00541DC4" w:rsidRDefault="00541DC4" w:rsidP="00541DC4">
      <w:r>
        <w:fldChar w:fldCharType="begin"/>
      </w:r>
      <w:r>
        <w:instrText xml:space="preserve"> AUTONUM  </w:instrText>
      </w:r>
      <w:r>
        <w:fldChar w:fldCharType="end"/>
      </w:r>
      <w:r>
        <w:tab/>
        <w:t>The Consultative Committee recommended to the Council to approve the draft program for the “Seminar on Propagating and Harvested Material in the context of the UPOV Convention,” to be held in Geneva on October 24, 2016</w:t>
      </w:r>
      <w:r w:rsidR="00A45897">
        <w:t>, reproduced in the Annex to this document</w:t>
      </w:r>
      <w:r>
        <w:t>.</w:t>
      </w:r>
    </w:p>
    <w:p w:rsidR="00541DC4" w:rsidRDefault="00541DC4" w:rsidP="00541DC4">
      <w:pPr>
        <w:ind w:left="567" w:hanging="567"/>
      </w:pPr>
    </w:p>
    <w:p w:rsidR="00541DC4" w:rsidRDefault="00541DC4" w:rsidP="00541DC4">
      <w:r>
        <w:fldChar w:fldCharType="begin"/>
      </w:r>
      <w:r>
        <w:instrText xml:space="preserve"> AUTONUM  </w:instrText>
      </w:r>
      <w:r>
        <w:fldChar w:fldCharType="end"/>
      </w:r>
      <w:r>
        <w:tab/>
        <w:t>The Consultative Committee recommended to the Council that invitations to the Seminar be sent to members and observers in UPOV bodies, that the Seminar be open to the public with advance registration and that the presentations and a video of the Seminar be made available on the UPOV website after a suitable broadcast delay.</w:t>
      </w:r>
    </w:p>
    <w:p w:rsidR="00541DC4" w:rsidRDefault="00541DC4" w:rsidP="00541DC4">
      <w:pPr>
        <w:ind w:left="567" w:hanging="567"/>
      </w:pPr>
    </w:p>
    <w:p w:rsidR="00541DC4" w:rsidRDefault="00541DC4" w:rsidP="00541DC4">
      <w:r>
        <w:fldChar w:fldCharType="begin"/>
      </w:r>
      <w:r>
        <w:instrText xml:space="preserve"> AUTONUM  </w:instrText>
      </w:r>
      <w:r>
        <w:fldChar w:fldCharType="end"/>
      </w:r>
      <w:r>
        <w:tab/>
        <w:t>The Consultative Committee recommended to the Council that the proceedings of the Seminar, including the speakers’ written contributions and a summary of discussions, be published on the UPOV website.</w:t>
      </w:r>
    </w:p>
    <w:p w:rsidR="00541DC4" w:rsidRDefault="00541DC4" w:rsidP="00541DC4">
      <w:pPr>
        <w:ind w:left="567" w:hanging="567"/>
      </w:pPr>
    </w:p>
    <w:p w:rsidR="00541DC4" w:rsidRDefault="00541DC4" w:rsidP="00541DC4"/>
    <w:p w:rsidR="00541DC4" w:rsidRPr="00463411" w:rsidRDefault="00541DC4" w:rsidP="00541DC4">
      <w:pPr>
        <w:pStyle w:val="Heading2"/>
      </w:pPr>
      <w:r w:rsidRPr="00463411">
        <w:t>Developments of relevance to UPOV in other international fora</w:t>
      </w:r>
    </w:p>
    <w:p w:rsidR="00541DC4" w:rsidRDefault="00541DC4" w:rsidP="00541DC4">
      <w:pPr>
        <w:keepNext/>
      </w:pPr>
    </w:p>
    <w:p w:rsidR="00541DC4" w:rsidRPr="000A7767" w:rsidRDefault="00541DC4" w:rsidP="00541DC4">
      <w:r w:rsidRPr="000A7767">
        <w:rPr>
          <w:szCs w:val="24"/>
        </w:rPr>
        <w:fldChar w:fldCharType="begin"/>
      </w:r>
      <w:r w:rsidRPr="000A7767">
        <w:rPr>
          <w:szCs w:val="24"/>
        </w:rPr>
        <w:instrText xml:space="preserve"> AUTONUM  </w:instrText>
      </w:r>
      <w:r w:rsidRPr="000A7767">
        <w:rPr>
          <w:szCs w:val="24"/>
        </w:rPr>
        <w:fldChar w:fldCharType="end"/>
      </w:r>
      <w:r w:rsidRPr="000A7767">
        <w:rPr>
          <w:szCs w:val="24"/>
        </w:rPr>
        <w:tab/>
      </w:r>
      <w:r w:rsidRPr="000A7767">
        <w:t xml:space="preserve">The Consultative Committee </w:t>
      </w:r>
      <w:r>
        <w:t>noted the oral update by the Vice Secretary</w:t>
      </w:r>
      <w:r>
        <w:noBreakHyphen/>
        <w:t xml:space="preserve">General with regard to a </w:t>
      </w:r>
      <w:r>
        <w:rPr>
          <w:snapToGrid w:val="0"/>
        </w:rPr>
        <w:t>joint OECD/UPOV/ISTA/AOSA Workshop on Biochemical and Molecular T</w:t>
      </w:r>
      <w:r w:rsidRPr="000D6D5E">
        <w:rPr>
          <w:snapToGrid w:val="0"/>
        </w:rPr>
        <w:t>echniques</w:t>
      </w:r>
      <w:r w:rsidRPr="000A7767">
        <w:t>.</w:t>
      </w:r>
    </w:p>
    <w:p w:rsidR="00541DC4" w:rsidRPr="000A7767" w:rsidRDefault="00541DC4" w:rsidP="00541DC4">
      <w:pPr>
        <w:ind w:left="567" w:hanging="567"/>
      </w:pPr>
    </w:p>
    <w:p w:rsidR="00541DC4" w:rsidRDefault="00541DC4" w:rsidP="00541DC4">
      <w:pPr>
        <w:rPr>
          <w:snapToGrid w:val="0"/>
        </w:rPr>
      </w:pPr>
      <w:r>
        <w:rPr>
          <w:szCs w:val="24"/>
        </w:rPr>
        <w:fldChar w:fldCharType="begin"/>
      </w:r>
      <w:r>
        <w:rPr>
          <w:szCs w:val="24"/>
        </w:rPr>
        <w:instrText xml:space="preserve"> AUTONUM  </w:instrText>
      </w:r>
      <w:r>
        <w:rPr>
          <w:szCs w:val="24"/>
        </w:rPr>
        <w:fldChar w:fldCharType="end"/>
      </w:r>
      <w:r>
        <w:rPr>
          <w:szCs w:val="24"/>
        </w:rPr>
        <w:tab/>
      </w:r>
      <w:r w:rsidRPr="00D6280F">
        <w:t>The Consultative Committee note</w:t>
      </w:r>
      <w:r>
        <w:t>d</w:t>
      </w:r>
      <w:r w:rsidRPr="00D6280F">
        <w:t xml:space="preserve"> </w:t>
      </w:r>
      <w:r>
        <w:t>the</w:t>
      </w:r>
      <w:r w:rsidRPr="00D6280F">
        <w:t xml:space="preserve"> developments in</w:t>
      </w:r>
      <w:r>
        <w:t xml:space="preserve"> </w:t>
      </w:r>
      <w:r w:rsidRPr="00D6280F">
        <w:t xml:space="preserve">the </w:t>
      </w:r>
      <w:r w:rsidRPr="002D7EAF">
        <w:rPr>
          <w:snapToGrid w:val="0"/>
        </w:rPr>
        <w:t>Organization for Economic Co-operation and Development (OECD)</w:t>
      </w:r>
      <w:r w:rsidRPr="00D6280F">
        <w:rPr>
          <w:snapToGrid w:val="0"/>
        </w:rPr>
        <w:t xml:space="preserve"> Seed Schemes (TWG)</w:t>
      </w:r>
      <w:r>
        <w:rPr>
          <w:snapToGrid w:val="0"/>
        </w:rPr>
        <w:t xml:space="preserve"> and, in particular:</w:t>
      </w:r>
    </w:p>
    <w:p w:rsidR="00541DC4" w:rsidRDefault="00541DC4" w:rsidP="00541DC4">
      <w:pPr>
        <w:rPr>
          <w:snapToGrid w:val="0"/>
        </w:rPr>
      </w:pPr>
    </w:p>
    <w:p w:rsidR="00541DC4" w:rsidRPr="000D6D5E" w:rsidRDefault="00541DC4" w:rsidP="00541DC4">
      <w:pPr>
        <w:pStyle w:val="ListParagraph"/>
        <w:numPr>
          <w:ilvl w:val="0"/>
          <w:numId w:val="1"/>
        </w:numPr>
        <w:ind w:left="0" w:firstLine="567"/>
        <w:rPr>
          <w:snapToGrid w:val="0"/>
        </w:rPr>
      </w:pPr>
      <w:r>
        <w:rPr>
          <w:snapToGrid w:val="0"/>
        </w:rPr>
        <w:t xml:space="preserve">the </w:t>
      </w:r>
      <w:r w:rsidRPr="000D6D5E">
        <w:rPr>
          <w:snapToGrid w:val="0"/>
        </w:rPr>
        <w:t xml:space="preserve">amendments to rules on acceptance of varieties; </w:t>
      </w:r>
    </w:p>
    <w:p w:rsidR="00541DC4" w:rsidRPr="00082D56" w:rsidRDefault="00541DC4" w:rsidP="00541DC4">
      <w:pPr>
        <w:ind w:firstLine="567"/>
        <w:rPr>
          <w:snapToGrid w:val="0"/>
        </w:rPr>
      </w:pPr>
    </w:p>
    <w:p w:rsidR="00541DC4" w:rsidRPr="000D6D5E" w:rsidRDefault="00541DC4" w:rsidP="00541DC4">
      <w:pPr>
        <w:pStyle w:val="ListParagraph"/>
        <w:numPr>
          <w:ilvl w:val="0"/>
          <w:numId w:val="1"/>
        </w:numPr>
        <w:ind w:left="0" w:firstLine="567"/>
        <w:rPr>
          <w:snapToGrid w:val="0"/>
        </w:rPr>
      </w:pPr>
      <w:r>
        <w:rPr>
          <w:snapToGrid w:val="0"/>
        </w:rPr>
        <w:t xml:space="preserve">the </w:t>
      </w:r>
      <w:r w:rsidRPr="000D6D5E">
        <w:rPr>
          <w:snapToGrid w:val="0"/>
        </w:rPr>
        <w:t xml:space="preserve">role of biochemical and molecular techniques in describing / identifying varieties; </w:t>
      </w:r>
      <w:r>
        <w:rPr>
          <w:snapToGrid w:val="0"/>
        </w:rPr>
        <w:t xml:space="preserve"> </w:t>
      </w:r>
      <w:r w:rsidRPr="000D6D5E">
        <w:rPr>
          <w:snapToGrid w:val="0"/>
        </w:rPr>
        <w:t xml:space="preserve">and </w:t>
      </w:r>
    </w:p>
    <w:p w:rsidR="00541DC4" w:rsidRDefault="00541DC4" w:rsidP="00541DC4">
      <w:pPr>
        <w:ind w:firstLine="567"/>
        <w:rPr>
          <w:snapToGrid w:val="0"/>
        </w:rPr>
      </w:pPr>
    </w:p>
    <w:p w:rsidR="00541DC4" w:rsidRPr="000D6D5E" w:rsidRDefault="00541DC4" w:rsidP="00541DC4">
      <w:pPr>
        <w:pStyle w:val="ListParagraph"/>
        <w:numPr>
          <w:ilvl w:val="0"/>
          <w:numId w:val="1"/>
        </w:numPr>
        <w:ind w:left="0" w:firstLine="567"/>
        <w:rPr>
          <w:snapToGrid w:val="0"/>
        </w:rPr>
      </w:pPr>
      <w:r>
        <w:rPr>
          <w:snapToGrid w:val="0"/>
        </w:rPr>
        <w:t xml:space="preserve">the </w:t>
      </w:r>
      <w:r w:rsidRPr="000D6D5E">
        <w:rPr>
          <w:snapToGrid w:val="0"/>
        </w:rPr>
        <w:t>plans f</w:t>
      </w:r>
      <w:r>
        <w:rPr>
          <w:snapToGrid w:val="0"/>
        </w:rPr>
        <w:t>or a joint OECD/UPOV/ISTA/AOSA Workshop on Biochemical and Molecular T</w:t>
      </w:r>
      <w:r w:rsidRPr="000D6D5E">
        <w:rPr>
          <w:snapToGrid w:val="0"/>
        </w:rPr>
        <w:t>echniques to take place in Paris, on June 8, 2016.</w:t>
      </w:r>
    </w:p>
    <w:p w:rsidR="00541DC4" w:rsidRDefault="00541DC4" w:rsidP="00541DC4"/>
    <w:p w:rsidR="00541DC4" w:rsidRDefault="00541DC4" w:rsidP="00541DC4">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Consultative Committee noted the developments of relevance to UPOV in other international fora.</w:t>
      </w:r>
    </w:p>
    <w:p w:rsidR="00541DC4" w:rsidRDefault="00541DC4" w:rsidP="00541DC4">
      <w:pPr>
        <w:rPr>
          <w:snapToGrid w:val="0"/>
        </w:rPr>
      </w:pPr>
    </w:p>
    <w:p w:rsidR="00541DC4" w:rsidRPr="00992458" w:rsidRDefault="00541DC4" w:rsidP="00541DC4">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5A2BDF">
        <w:rPr>
          <w:snapToGrid w:val="0"/>
        </w:rPr>
        <w:t>Consultative Committee</w:t>
      </w:r>
      <w:r>
        <w:rPr>
          <w:snapToGrid w:val="0"/>
        </w:rPr>
        <w:t xml:space="preserve"> </w:t>
      </w:r>
      <w:r w:rsidRPr="00030F5B">
        <w:rPr>
          <w:snapToGrid w:val="0"/>
        </w:rPr>
        <w:t>request</w:t>
      </w:r>
      <w:r>
        <w:rPr>
          <w:snapToGrid w:val="0"/>
        </w:rPr>
        <w:t>ed</w:t>
      </w:r>
      <w:r w:rsidRPr="00030F5B">
        <w:rPr>
          <w:snapToGrid w:val="0"/>
        </w:rPr>
        <w:t xml:space="preserve"> the Office of the Union to prepare a draft FAQ on the rele</w:t>
      </w:r>
      <w:r>
        <w:rPr>
          <w:snapToGrid w:val="0"/>
        </w:rPr>
        <w:t>vance of the UPOV system of plan</w:t>
      </w:r>
      <w:r w:rsidRPr="00030F5B">
        <w:rPr>
          <w:snapToGrid w:val="0"/>
        </w:rPr>
        <w:t xml:space="preserve">t variety protection for the United Nations Sustainable Development </w:t>
      </w:r>
      <w:r w:rsidRPr="00992458">
        <w:rPr>
          <w:snapToGrid w:val="0"/>
        </w:rPr>
        <w:t>Goals (SDGs).</w:t>
      </w:r>
    </w:p>
    <w:p w:rsidR="00541DC4" w:rsidRPr="005A2BDF" w:rsidRDefault="00541DC4" w:rsidP="00541DC4">
      <w:pPr>
        <w:rPr>
          <w:snapToGrid w:val="0"/>
          <w:highlight w:val="yellow"/>
        </w:rPr>
      </w:pPr>
    </w:p>
    <w:p w:rsidR="00541DC4" w:rsidRDefault="00541DC4" w:rsidP="00541DC4"/>
    <w:p w:rsidR="00541DC4" w:rsidRPr="004E2AB4" w:rsidRDefault="00541DC4" w:rsidP="00541DC4">
      <w:pPr>
        <w:pStyle w:val="Heading2"/>
      </w:pPr>
      <w:r w:rsidRPr="00732235">
        <w:t>Preparation of the Calendar of Meetings</w:t>
      </w:r>
    </w:p>
    <w:p w:rsidR="00541DC4" w:rsidRDefault="00541DC4" w:rsidP="00541DC4">
      <w:pPr>
        <w:keepNext/>
        <w:ind w:left="567" w:hanging="567"/>
        <w:jc w:val="left"/>
        <w:rPr>
          <w:rFonts w:cs="Arial"/>
        </w:rPr>
      </w:pPr>
    </w:p>
    <w:p w:rsidR="00541DC4" w:rsidRDefault="00541DC4" w:rsidP="00541DC4">
      <w:r>
        <w:fldChar w:fldCharType="begin"/>
      </w:r>
      <w:r>
        <w:instrText xml:space="preserve"> AUTONUM  </w:instrText>
      </w:r>
      <w:r>
        <w:fldChar w:fldCharType="end"/>
      </w:r>
      <w:r>
        <w:tab/>
      </w:r>
      <w:r w:rsidRPr="00BD7EAD">
        <w:t xml:space="preserve">The </w:t>
      </w:r>
      <w:r>
        <w:t xml:space="preserve">Consultative Committee invited the </w:t>
      </w:r>
      <w:r w:rsidRPr="00BD7EAD">
        <w:t>Council to note the proposed cha</w:t>
      </w:r>
      <w:r>
        <w:t>nge of venue of the forty</w:t>
      </w:r>
      <w:r>
        <w:noBreakHyphen/>
        <w:t>fifth </w:t>
      </w:r>
      <w:r w:rsidRPr="00BD7EAD">
        <w:t xml:space="preserve">session of the </w:t>
      </w:r>
      <w:r>
        <w:t>Technical Working Party for Agricultural Crops (TWA)</w:t>
      </w:r>
      <w:r w:rsidRPr="00BD7EAD">
        <w:t>, to be held from July 11 to July 15, 2016 in M</w:t>
      </w:r>
      <w:r>
        <w:t>exico, from Queretaro to Mexico </w:t>
      </w:r>
      <w:r w:rsidRPr="00BD7EAD">
        <w:t xml:space="preserve">City, and to approve a revision of document C/49/8 Rev. “Calendar of </w:t>
      </w:r>
      <w:r>
        <w:t>Meetings in 2016” to reflect that</w:t>
      </w:r>
      <w:r w:rsidRPr="00BD7EAD">
        <w:t xml:space="preserve"> change.</w:t>
      </w:r>
    </w:p>
    <w:p w:rsidR="00541DC4" w:rsidRDefault="00541DC4" w:rsidP="00541DC4"/>
    <w:p w:rsidR="00541DC4" w:rsidRPr="00E83D62" w:rsidRDefault="00541DC4" w:rsidP="001462BF">
      <w:pPr>
        <w:keepNext/>
      </w:pPr>
      <w:r w:rsidRPr="00E83D62">
        <w:fldChar w:fldCharType="begin"/>
      </w:r>
      <w:r w:rsidRPr="00E83D62">
        <w:instrText xml:space="preserve"> AUTONUM  </w:instrText>
      </w:r>
      <w:r w:rsidRPr="00E83D62">
        <w:fldChar w:fldCharType="end"/>
      </w:r>
      <w:r w:rsidRPr="00E83D62">
        <w:tab/>
        <w:t xml:space="preserve">The Consultative Committee </w:t>
      </w:r>
      <w:r>
        <w:t xml:space="preserve">also </w:t>
      </w:r>
      <w:r w:rsidRPr="00E83D62">
        <w:t xml:space="preserve">recommended to the Council to include the following proposed meetings in </w:t>
      </w:r>
      <w:r>
        <w:t xml:space="preserve">the </w:t>
      </w:r>
      <w:r w:rsidRPr="00BD7EAD">
        <w:t xml:space="preserve">revision of document C/49/8 Rev. “Calendar of </w:t>
      </w:r>
      <w:r>
        <w:t>Meetings in 2016”</w:t>
      </w:r>
      <w:r w:rsidRPr="00E83D62">
        <w:t>, as follows:</w:t>
      </w:r>
    </w:p>
    <w:p w:rsidR="00541DC4" w:rsidRPr="00E83D62" w:rsidRDefault="00541DC4" w:rsidP="001462BF">
      <w:pPr>
        <w:keepNext/>
      </w:pPr>
    </w:p>
    <w:p w:rsidR="00541DC4" w:rsidRPr="00E83D62" w:rsidRDefault="00541DC4" w:rsidP="00541DC4">
      <w:r w:rsidRPr="00E83D62">
        <w:tab/>
        <w:t>(a)</w:t>
      </w:r>
      <w:r w:rsidRPr="00E83D62">
        <w:tab/>
      </w:r>
      <w:proofErr w:type="gramStart"/>
      <w:r w:rsidRPr="00E83D62">
        <w:t>the</w:t>
      </w:r>
      <w:proofErr w:type="gramEnd"/>
      <w:r w:rsidRPr="00E83D62">
        <w:t xml:space="preserve"> Eighth Meeting on the Development of a Prototype Electronic Form, to be held in the evening of October 24;</w:t>
      </w:r>
    </w:p>
    <w:p w:rsidR="00541DC4" w:rsidRPr="00E83D62" w:rsidRDefault="00541DC4" w:rsidP="00541DC4"/>
    <w:p w:rsidR="00541DC4" w:rsidRPr="00E83D62" w:rsidRDefault="00541DC4" w:rsidP="00541DC4">
      <w:pPr>
        <w:autoSpaceDE w:val="0"/>
        <w:autoSpaceDN w:val="0"/>
        <w:adjustRightInd w:val="0"/>
        <w:jc w:val="left"/>
      </w:pPr>
      <w:r w:rsidRPr="00E83D62">
        <w:tab/>
        <w:t>(b)</w:t>
      </w:r>
      <w:r w:rsidRPr="00E83D62">
        <w:tab/>
        <w:t>the Second Meeting of the Working Group on Variety Denominations (WG-DEN), to be held in the evening of October 25;</w:t>
      </w:r>
    </w:p>
    <w:p w:rsidR="00541DC4" w:rsidRPr="00E83D62" w:rsidRDefault="00541DC4" w:rsidP="00541DC4">
      <w:pPr>
        <w:autoSpaceDE w:val="0"/>
        <w:autoSpaceDN w:val="0"/>
        <w:adjustRightInd w:val="0"/>
        <w:jc w:val="left"/>
      </w:pPr>
    </w:p>
    <w:p w:rsidR="00541DC4" w:rsidRPr="00E83D62" w:rsidRDefault="00541DC4" w:rsidP="00541DC4">
      <w:pPr>
        <w:autoSpaceDE w:val="0"/>
        <w:autoSpaceDN w:val="0"/>
        <w:adjustRightInd w:val="0"/>
        <w:jc w:val="left"/>
      </w:pPr>
      <w:r w:rsidRPr="00E83D62">
        <w:tab/>
        <w:t>(c)</w:t>
      </w:r>
      <w:r w:rsidRPr="00E83D62">
        <w:tab/>
        <w:t xml:space="preserve">the </w:t>
      </w:r>
      <w:r>
        <w:t xml:space="preserve">“Symposium on possible interrelations between the </w:t>
      </w:r>
      <w:r w:rsidRPr="00DA59FD">
        <w:t>International Treaty on Plant Genetic Resources for Food and Agriculture (ITPGRFA)</w:t>
      </w:r>
      <w:r>
        <w:t xml:space="preserve"> and the International Convention for the Protection of New Varieties of Plants (UPOV Convention)”</w:t>
      </w:r>
      <w:r w:rsidRPr="00E83D62">
        <w:t>, to be held on October 26;</w:t>
      </w:r>
    </w:p>
    <w:p w:rsidR="00541DC4" w:rsidRPr="00E83D62" w:rsidRDefault="00541DC4" w:rsidP="00541DC4">
      <w:pPr>
        <w:autoSpaceDE w:val="0"/>
        <w:autoSpaceDN w:val="0"/>
        <w:adjustRightInd w:val="0"/>
        <w:jc w:val="left"/>
      </w:pPr>
    </w:p>
    <w:p w:rsidR="00541DC4" w:rsidRPr="00E83D62" w:rsidRDefault="00541DC4" w:rsidP="00541DC4">
      <w:pPr>
        <w:autoSpaceDE w:val="0"/>
        <w:autoSpaceDN w:val="0"/>
        <w:adjustRightInd w:val="0"/>
        <w:jc w:val="left"/>
      </w:pPr>
      <w:r w:rsidRPr="00E83D62">
        <w:tab/>
        <w:t>(d)</w:t>
      </w:r>
      <w:r w:rsidRPr="00E83D62">
        <w:tab/>
        <w:t>the First Meeting of the Working Group on a Possible International System of Cooperation (ISC-WG), to be held in the evening of October 2</w:t>
      </w:r>
      <w:r w:rsidR="00137F1D">
        <w:t>7</w:t>
      </w:r>
      <w:r w:rsidRPr="00E83D62">
        <w:t>.</w:t>
      </w:r>
    </w:p>
    <w:p w:rsidR="00541DC4" w:rsidRPr="00E83D62" w:rsidRDefault="00541DC4" w:rsidP="00541DC4">
      <w:pPr>
        <w:autoSpaceDE w:val="0"/>
        <w:autoSpaceDN w:val="0"/>
        <w:adjustRightInd w:val="0"/>
        <w:ind w:left="1134" w:hanging="1134"/>
        <w:jc w:val="left"/>
      </w:pPr>
    </w:p>
    <w:p w:rsidR="00541DC4" w:rsidRPr="00E83D62" w:rsidRDefault="00541DC4" w:rsidP="00541DC4">
      <w:pPr>
        <w:autoSpaceDE w:val="0"/>
        <w:autoSpaceDN w:val="0"/>
        <w:adjustRightInd w:val="0"/>
        <w:jc w:val="left"/>
      </w:pPr>
      <w:r w:rsidRPr="00E83D62">
        <w:fldChar w:fldCharType="begin"/>
      </w:r>
      <w:r w:rsidRPr="00E83D62">
        <w:instrText xml:space="preserve"> AUTONUM  </w:instrText>
      </w:r>
      <w:r w:rsidRPr="00E83D62">
        <w:fldChar w:fldCharType="end"/>
      </w:r>
      <w:r w:rsidRPr="00E83D62">
        <w:tab/>
        <w:t>Consequently, the revised calendar of meetings in 2016 (C/49/8 Rev.) would be modified as follows:</w:t>
      </w:r>
    </w:p>
    <w:p w:rsidR="00541DC4" w:rsidRPr="00E83D62" w:rsidRDefault="00541DC4" w:rsidP="00541DC4">
      <w:pPr>
        <w:autoSpaceDE w:val="0"/>
        <w:autoSpaceDN w:val="0"/>
        <w:adjustRightInd w:val="0"/>
        <w:jc w:val="left"/>
      </w:pPr>
    </w:p>
    <w:p w:rsidR="00541DC4" w:rsidRPr="00C713FA" w:rsidRDefault="00541DC4" w:rsidP="00541DC4">
      <w:pPr>
        <w:tabs>
          <w:tab w:val="left" w:pos="1134"/>
        </w:tabs>
        <w:ind w:left="567"/>
        <w:rPr>
          <w:u w:val="single"/>
        </w:rPr>
      </w:pPr>
      <w:r w:rsidRPr="00C713FA">
        <w:rPr>
          <w:u w:val="single"/>
        </w:rPr>
        <w:t>Council</w:t>
      </w:r>
    </w:p>
    <w:p w:rsidR="00541DC4" w:rsidRPr="00C713FA" w:rsidRDefault="00541DC4" w:rsidP="00541DC4">
      <w:pPr>
        <w:tabs>
          <w:tab w:val="left" w:pos="1134"/>
        </w:tabs>
        <w:ind w:left="567"/>
        <w:rPr>
          <w:u w:val="single"/>
        </w:rPr>
      </w:pPr>
    </w:p>
    <w:p w:rsidR="00541DC4" w:rsidRPr="00673575" w:rsidRDefault="00541DC4" w:rsidP="00541DC4">
      <w:pPr>
        <w:tabs>
          <w:tab w:val="left" w:pos="567"/>
          <w:tab w:val="left" w:pos="1134"/>
        </w:tabs>
        <w:ind w:left="2268" w:hanging="1701"/>
      </w:pPr>
      <w:r w:rsidRPr="00C713FA">
        <w:tab/>
      </w:r>
      <w:r w:rsidRPr="00673575">
        <w:t>C/</w:t>
      </w:r>
      <w:r>
        <w:t>50</w:t>
      </w:r>
      <w:r w:rsidRPr="00673575">
        <w:tab/>
        <w:t xml:space="preserve">October </w:t>
      </w:r>
      <w:r w:rsidRPr="002E4E60">
        <w:t>28</w:t>
      </w:r>
    </w:p>
    <w:p w:rsidR="00541DC4" w:rsidRDefault="00541DC4" w:rsidP="00541DC4">
      <w:pPr>
        <w:tabs>
          <w:tab w:val="left" w:pos="1134"/>
        </w:tabs>
        <w:ind w:left="567"/>
      </w:pPr>
    </w:p>
    <w:p w:rsidR="00541DC4" w:rsidRDefault="00541DC4" w:rsidP="00541DC4">
      <w:pPr>
        <w:tabs>
          <w:tab w:val="left" w:pos="1134"/>
        </w:tabs>
        <w:ind w:left="567"/>
      </w:pPr>
    </w:p>
    <w:p w:rsidR="00541DC4" w:rsidRDefault="00541DC4" w:rsidP="00541DC4">
      <w:pPr>
        <w:tabs>
          <w:tab w:val="left" w:pos="1134"/>
        </w:tabs>
        <w:ind w:left="567"/>
        <w:rPr>
          <w:u w:val="single"/>
        </w:rPr>
      </w:pPr>
      <w:r w:rsidRPr="007328D2">
        <w:rPr>
          <w:u w:val="single"/>
        </w:rPr>
        <w:t>Consultative Committee</w:t>
      </w:r>
    </w:p>
    <w:p w:rsidR="00541DC4" w:rsidRPr="007328D2" w:rsidRDefault="00541DC4" w:rsidP="00541DC4">
      <w:pPr>
        <w:tabs>
          <w:tab w:val="left" w:pos="1134"/>
        </w:tabs>
        <w:ind w:left="567"/>
      </w:pPr>
    </w:p>
    <w:p w:rsidR="00541DC4" w:rsidRPr="0037727F" w:rsidRDefault="00541DC4" w:rsidP="00541DC4">
      <w:pPr>
        <w:tabs>
          <w:tab w:val="left" w:pos="1134"/>
          <w:tab w:val="left" w:pos="2268"/>
        </w:tabs>
        <w:ind w:left="567"/>
      </w:pPr>
      <w:r w:rsidRPr="007328D2">
        <w:tab/>
      </w:r>
      <w:r>
        <w:t>CC/92</w:t>
      </w:r>
      <w:r>
        <w:tab/>
        <w:t>October 27</w:t>
      </w:r>
    </w:p>
    <w:p w:rsidR="00541DC4" w:rsidRPr="00914F98" w:rsidRDefault="00541DC4" w:rsidP="00541DC4">
      <w:pPr>
        <w:tabs>
          <w:tab w:val="left" w:pos="1134"/>
        </w:tabs>
        <w:ind w:left="2268"/>
        <w:jc w:val="left"/>
        <w:rPr>
          <w:u w:val="single"/>
        </w:rPr>
      </w:pPr>
      <w:r w:rsidRPr="00914F98">
        <w:rPr>
          <w:highlight w:val="lightGray"/>
          <w:u w:val="single"/>
        </w:rPr>
        <w:t>(Working Group on a Possible International System of Cooperation (</w:t>
      </w:r>
      <w:r>
        <w:rPr>
          <w:highlight w:val="lightGray"/>
          <w:u w:val="single"/>
        </w:rPr>
        <w:t>ISC-WG</w:t>
      </w:r>
      <w:r w:rsidRPr="00914F98">
        <w:rPr>
          <w:highlight w:val="lightGray"/>
          <w:u w:val="single"/>
        </w:rPr>
        <w:t>):  October 2</w:t>
      </w:r>
      <w:r w:rsidR="00137F1D">
        <w:rPr>
          <w:highlight w:val="lightGray"/>
          <w:u w:val="single"/>
        </w:rPr>
        <w:t>7</w:t>
      </w:r>
      <w:r w:rsidRPr="00914F98">
        <w:rPr>
          <w:highlight w:val="lightGray"/>
          <w:u w:val="single"/>
        </w:rPr>
        <w:t xml:space="preserve"> (evening)</w:t>
      </w:r>
    </w:p>
    <w:p w:rsidR="00541DC4" w:rsidRDefault="00541DC4" w:rsidP="00541DC4">
      <w:pPr>
        <w:tabs>
          <w:tab w:val="left" w:pos="1134"/>
        </w:tabs>
        <w:ind w:left="567"/>
      </w:pPr>
    </w:p>
    <w:p w:rsidR="00541DC4" w:rsidRDefault="00541DC4" w:rsidP="00541DC4">
      <w:pPr>
        <w:tabs>
          <w:tab w:val="left" w:pos="1134"/>
        </w:tabs>
        <w:ind w:left="567"/>
      </w:pPr>
    </w:p>
    <w:p w:rsidR="00541DC4" w:rsidRPr="00E83D62" w:rsidRDefault="00541DC4" w:rsidP="00541DC4">
      <w:pPr>
        <w:tabs>
          <w:tab w:val="left" w:pos="1134"/>
        </w:tabs>
        <w:ind w:left="2268" w:hanging="1701"/>
      </w:pPr>
      <w:r w:rsidRPr="00E83D62">
        <w:rPr>
          <w:u w:val="single"/>
        </w:rPr>
        <w:t>Administrative and Legal Committee</w:t>
      </w:r>
    </w:p>
    <w:p w:rsidR="00541DC4" w:rsidRPr="00E83D62" w:rsidRDefault="00541DC4" w:rsidP="00541DC4">
      <w:pPr>
        <w:tabs>
          <w:tab w:val="left" w:pos="1134"/>
        </w:tabs>
        <w:ind w:left="2268" w:hanging="1701"/>
        <w:rPr>
          <w:u w:val="single"/>
        </w:rPr>
      </w:pPr>
    </w:p>
    <w:p w:rsidR="00541DC4" w:rsidRPr="0037727F" w:rsidRDefault="00541DC4" w:rsidP="00541DC4">
      <w:pPr>
        <w:tabs>
          <w:tab w:val="left" w:pos="567"/>
          <w:tab w:val="left" w:pos="1134"/>
        </w:tabs>
        <w:ind w:left="2268" w:hanging="1701"/>
      </w:pPr>
      <w:r w:rsidRPr="00E83D62">
        <w:tab/>
        <w:t>CAJ/73</w:t>
      </w:r>
      <w:r w:rsidRPr="00E83D62">
        <w:tab/>
        <w:t>October 25</w:t>
      </w:r>
      <w:r w:rsidRPr="00E83D62">
        <w:rPr>
          <w:strike/>
          <w:highlight w:val="lightGray"/>
        </w:rPr>
        <w:t xml:space="preserve"> and 26</w:t>
      </w:r>
    </w:p>
    <w:p w:rsidR="00541DC4" w:rsidRPr="00E83D62" w:rsidRDefault="00541DC4" w:rsidP="00541DC4">
      <w:pPr>
        <w:tabs>
          <w:tab w:val="left" w:pos="1134"/>
        </w:tabs>
        <w:ind w:left="2268"/>
        <w:jc w:val="left"/>
        <w:rPr>
          <w:highlight w:val="lightGray"/>
          <w:u w:val="single"/>
        </w:rPr>
      </w:pPr>
      <w:r w:rsidRPr="00E83D62">
        <w:rPr>
          <w:highlight w:val="lightGray"/>
          <w:u w:val="single"/>
        </w:rPr>
        <w:t>(Meeting on the Development of a Prototype Electronic Form (EAF/8)</w:t>
      </w:r>
      <w:proofErr w:type="gramStart"/>
      <w:r w:rsidRPr="00E83D62">
        <w:rPr>
          <w:highlight w:val="lightGray"/>
          <w:u w:val="single"/>
        </w:rPr>
        <w:t>:</w:t>
      </w:r>
      <w:proofErr w:type="gramEnd"/>
      <w:r w:rsidRPr="00E83D62">
        <w:rPr>
          <w:highlight w:val="lightGray"/>
          <w:u w:val="single"/>
        </w:rPr>
        <w:br/>
        <w:t>October 24 (evening))</w:t>
      </w:r>
    </w:p>
    <w:p w:rsidR="00541DC4" w:rsidRDefault="00541DC4" w:rsidP="00541DC4">
      <w:pPr>
        <w:tabs>
          <w:tab w:val="left" w:pos="1134"/>
        </w:tabs>
        <w:ind w:left="3402" w:hanging="1134"/>
        <w:jc w:val="left"/>
        <w:rPr>
          <w:u w:val="single"/>
        </w:rPr>
      </w:pPr>
      <w:r w:rsidRPr="00E0125F">
        <w:rPr>
          <w:highlight w:val="lightGray"/>
          <w:u w:val="single"/>
        </w:rPr>
        <w:t>(Working Group on Variety Denominations (WG-DEN</w:t>
      </w:r>
      <w:r>
        <w:rPr>
          <w:highlight w:val="lightGray"/>
          <w:u w:val="single"/>
        </w:rPr>
        <w:t>/2</w:t>
      </w:r>
      <w:r w:rsidRPr="00E0125F">
        <w:rPr>
          <w:highlight w:val="lightGray"/>
          <w:u w:val="single"/>
        </w:rPr>
        <w:t>):</w:t>
      </w:r>
      <w:r>
        <w:rPr>
          <w:highlight w:val="lightGray"/>
          <w:u w:val="single"/>
        </w:rPr>
        <w:t xml:space="preserve">  October 25 (evening))</w:t>
      </w:r>
    </w:p>
    <w:p w:rsidR="00541DC4" w:rsidRDefault="00541DC4" w:rsidP="00541DC4">
      <w:pPr>
        <w:tabs>
          <w:tab w:val="left" w:pos="1134"/>
        </w:tabs>
        <w:ind w:left="567"/>
      </w:pPr>
    </w:p>
    <w:p w:rsidR="00541DC4" w:rsidRDefault="00541DC4" w:rsidP="00541DC4">
      <w:pPr>
        <w:tabs>
          <w:tab w:val="left" w:pos="1134"/>
        </w:tabs>
        <w:ind w:left="567"/>
      </w:pPr>
    </w:p>
    <w:p w:rsidR="00541DC4" w:rsidRPr="002E4E60" w:rsidRDefault="00541DC4" w:rsidP="00541DC4">
      <w:pPr>
        <w:tabs>
          <w:tab w:val="left" w:pos="1134"/>
        </w:tabs>
        <w:ind w:left="2268" w:hanging="1701"/>
        <w:rPr>
          <w:u w:val="single"/>
        </w:rPr>
      </w:pPr>
      <w:r w:rsidRPr="002E4E60">
        <w:rPr>
          <w:u w:val="single"/>
        </w:rPr>
        <w:t>Seminar on propagating and harvested material in the context of the UPOV Convention</w:t>
      </w:r>
    </w:p>
    <w:p w:rsidR="00541DC4" w:rsidRPr="002E4E60" w:rsidRDefault="00541DC4" w:rsidP="00541DC4">
      <w:pPr>
        <w:tabs>
          <w:tab w:val="left" w:pos="1134"/>
        </w:tabs>
        <w:ind w:left="567"/>
      </w:pPr>
    </w:p>
    <w:p w:rsidR="00541DC4" w:rsidRPr="002E4E60" w:rsidRDefault="00541DC4" w:rsidP="00541DC4">
      <w:pPr>
        <w:tabs>
          <w:tab w:val="left" w:pos="1134"/>
        </w:tabs>
        <w:ind w:left="567"/>
      </w:pPr>
      <w:r w:rsidRPr="002E4E60">
        <w:tab/>
        <w:t>October 24</w:t>
      </w:r>
    </w:p>
    <w:p w:rsidR="00541DC4" w:rsidRDefault="00541DC4" w:rsidP="00541DC4">
      <w:pPr>
        <w:tabs>
          <w:tab w:val="left" w:pos="1134"/>
        </w:tabs>
        <w:ind w:left="567"/>
        <w:rPr>
          <w:highlight w:val="lightGray"/>
        </w:rPr>
      </w:pPr>
    </w:p>
    <w:p w:rsidR="00541DC4" w:rsidRDefault="00541DC4" w:rsidP="00541DC4">
      <w:pPr>
        <w:tabs>
          <w:tab w:val="left" w:pos="1134"/>
        </w:tabs>
        <w:ind w:left="567"/>
        <w:rPr>
          <w:highlight w:val="lightGray"/>
        </w:rPr>
      </w:pPr>
    </w:p>
    <w:p w:rsidR="00541DC4" w:rsidRPr="00E83D62" w:rsidRDefault="00541DC4" w:rsidP="00541DC4">
      <w:pPr>
        <w:ind w:left="567"/>
        <w:rPr>
          <w:highlight w:val="lightGray"/>
          <w:u w:val="single"/>
        </w:rPr>
      </w:pPr>
      <w:r w:rsidRPr="00E83D62">
        <w:rPr>
          <w:highlight w:val="lightGray"/>
          <w:u w:val="single"/>
        </w:rPr>
        <w:t>Symposium on possible interrelations between the International Treaty on Plant Genetic Resources for Food and Agriculture (ITPGRFA) and the International Convention for the Protection of New Varieties of Plants (UPOV Convention)”</w:t>
      </w:r>
    </w:p>
    <w:p w:rsidR="00541DC4" w:rsidRDefault="00541DC4" w:rsidP="00541DC4">
      <w:pPr>
        <w:ind w:left="567"/>
        <w:rPr>
          <w:highlight w:val="lightGray"/>
          <w:u w:val="single"/>
        </w:rPr>
      </w:pPr>
    </w:p>
    <w:p w:rsidR="00541DC4" w:rsidRPr="001462BF" w:rsidRDefault="00541DC4" w:rsidP="001462BF">
      <w:pPr>
        <w:ind w:left="567"/>
        <w:rPr>
          <w:u w:val="single"/>
        </w:rPr>
      </w:pPr>
      <w:r w:rsidRPr="00311FB5">
        <w:rPr>
          <w:highlight w:val="lightGray"/>
        </w:rPr>
        <w:tab/>
      </w:r>
      <w:r w:rsidRPr="00E83D62">
        <w:rPr>
          <w:highlight w:val="lightGray"/>
          <w:u w:val="single"/>
        </w:rPr>
        <w:t>October 26</w:t>
      </w:r>
    </w:p>
    <w:p w:rsidR="00A87F06" w:rsidRDefault="00A87F06" w:rsidP="002777B5"/>
    <w:p w:rsidR="00E40BF9" w:rsidRDefault="00EA3D5C" w:rsidP="00E40BF9">
      <w:pPr>
        <w:pStyle w:val="DecisionParagraphs"/>
      </w:pPr>
      <w:r>
        <w:fldChar w:fldCharType="begin"/>
      </w:r>
      <w:r>
        <w:instrText xml:space="preserve"> AUTONUM  </w:instrText>
      </w:r>
      <w:r>
        <w:fldChar w:fldCharType="end"/>
      </w:r>
      <w:r>
        <w:tab/>
      </w:r>
      <w:r w:rsidR="00E40BF9">
        <w:t xml:space="preserve">The Council is invited to: </w:t>
      </w:r>
    </w:p>
    <w:p w:rsidR="00E40BF9" w:rsidRDefault="00E40BF9" w:rsidP="00E40BF9">
      <w:pPr>
        <w:pStyle w:val="DecisionParagraphs"/>
      </w:pPr>
    </w:p>
    <w:p w:rsidR="00E40BF9" w:rsidRDefault="00E40BF9" w:rsidP="00E40BF9">
      <w:pPr>
        <w:pStyle w:val="DecisionParagraphs"/>
        <w:tabs>
          <w:tab w:val="left" w:pos="5954"/>
        </w:tabs>
      </w:pPr>
      <w:r>
        <w:tab/>
        <w:t>(a)</w:t>
      </w:r>
      <w:r>
        <w:tab/>
      </w:r>
      <w:proofErr w:type="gramStart"/>
      <w:r>
        <w:t>consider</w:t>
      </w:r>
      <w:proofErr w:type="gramEnd"/>
      <w:r>
        <w:t xml:space="preserve"> the recommendations of the </w:t>
      </w:r>
      <w:r w:rsidRPr="006776EE">
        <w:t>Consultative Committee contained in paragraph 3;</w:t>
      </w:r>
      <w:r>
        <w:t xml:space="preserve"> and </w:t>
      </w:r>
      <w:bookmarkStart w:id="6" w:name="_GoBack"/>
      <w:bookmarkEnd w:id="6"/>
    </w:p>
    <w:p w:rsidR="00E40BF9" w:rsidRDefault="00E40BF9" w:rsidP="00E40BF9">
      <w:pPr>
        <w:pStyle w:val="DecisionParagraphs"/>
        <w:tabs>
          <w:tab w:val="left" w:pos="5954"/>
        </w:tabs>
      </w:pPr>
    </w:p>
    <w:p w:rsidR="00A87F06" w:rsidRDefault="00E40BF9" w:rsidP="00E40BF9">
      <w:pPr>
        <w:pStyle w:val="DecisionParagraphs"/>
        <w:tabs>
          <w:tab w:val="left" w:pos="5954"/>
        </w:tabs>
      </w:pPr>
      <w:r>
        <w:tab/>
        <w:t>(b)</w:t>
      </w:r>
      <w:r>
        <w:tab/>
      </w:r>
      <w:proofErr w:type="gramStart"/>
      <w:r>
        <w:t>note</w:t>
      </w:r>
      <w:proofErr w:type="gramEnd"/>
      <w:r>
        <w:t xml:space="preserve"> the work of the Consultative Committee at its ninety-first session, as reported in this document.</w:t>
      </w:r>
    </w:p>
    <w:p w:rsidR="00A87F06" w:rsidRDefault="00A87F06" w:rsidP="002777B5"/>
    <w:p w:rsidR="006776EE" w:rsidRPr="002777B5" w:rsidRDefault="006776EE" w:rsidP="002777B5"/>
    <w:p w:rsidR="0028445A" w:rsidRDefault="002777B5" w:rsidP="002777B5">
      <w:pPr>
        <w:jc w:val="right"/>
      </w:pPr>
      <w:r>
        <w:t xml:space="preserve"> </w:t>
      </w:r>
      <w:r w:rsidR="0028445A">
        <w:t>[Annex follows]</w:t>
      </w:r>
    </w:p>
    <w:p w:rsidR="0028445A" w:rsidRPr="000A68B4" w:rsidRDefault="0028445A" w:rsidP="000A68B4"/>
    <w:p w:rsidR="0028445A" w:rsidRDefault="0028445A" w:rsidP="0028445A">
      <w:pPr>
        <w:sectPr w:rsidR="0028445A" w:rsidSect="00906DDC">
          <w:headerReference w:type="default" r:id="rId9"/>
          <w:pgSz w:w="11907" w:h="16840" w:code="9"/>
          <w:pgMar w:top="510" w:right="1134" w:bottom="1134" w:left="1134" w:header="510" w:footer="680" w:gutter="0"/>
          <w:cols w:space="720"/>
          <w:titlePg/>
        </w:sectPr>
      </w:pPr>
    </w:p>
    <w:p w:rsidR="0028445A" w:rsidRDefault="0028445A" w:rsidP="0028445A">
      <w:pPr>
        <w:jc w:val="center"/>
      </w:pPr>
      <w:proofErr w:type="gramStart"/>
      <w:r>
        <w:t>C(</w:t>
      </w:r>
      <w:proofErr w:type="spellStart"/>
      <w:proofErr w:type="gramEnd"/>
      <w:r>
        <w:t>Extr</w:t>
      </w:r>
      <w:proofErr w:type="spellEnd"/>
      <w:r>
        <w:t>.)/33/3</w:t>
      </w:r>
    </w:p>
    <w:p w:rsidR="0028445A" w:rsidRDefault="0028445A" w:rsidP="0028445A">
      <w:pPr>
        <w:jc w:val="center"/>
      </w:pPr>
    </w:p>
    <w:p w:rsidR="0028445A" w:rsidRDefault="0028445A" w:rsidP="0028445A">
      <w:pPr>
        <w:jc w:val="center"/>
      </w:pPr>
      <w:r>
        <w:t>ANNEX</w:t>
      </w:r>
    </w:p>
    <w:p w:rsidR="0028445A" w:rsidRDefault="0028445A" w:rsidP="0028445A">
      <w:pPr>
        <w:jc w:val="center"/>
      </w:pPr>
    </w:p>
    <w:p w:rsidR="0028445A" w:rsidRDefault="0028445A" w:rsidP="00A87F06">
      <w:pPr>
        <w:jc w:val="center"/>
      </w:pPr>
    </w:p>
    <w:p w:rsidR="00A87F06" w:rsidRDefault="00A87F06" w:rsidP="00A87F06">
      <w:pPr>
        <w:pStyle w:val="Sessiontc"/>
        <w:spacing w:before="0"/>
        <w:rPr>
          <w:rFonts w:cs="Arial"/>
          <w:b w:val="0"/>
          <w:sz w:val="20"/>
        </w:rPr>
      </w:pPr>
      <w:r w:rsidRPr="00A87F06">
        <w:rPr>
          <w:rFonts w:cs="Arial"/>
          <w:b w:val="0"/>
          <w:sz w:val="20"/>
        </w:rPr>
        <w:t>Seminar on propagating and harvested material</w:t>
      </w:r>
      <w:r>
        <w:rPr>
          <w:rFonts w:cs="Arial"/>
          <w:b w:val="0"/>
          <w:sz w:val="20"/>
        </w:rPr>
        <w:br/>
      </w:r>
      <w:r w:rsidRPr="00A87F06">
        <w:rPr>
          <w:rFonts w:cs="Arial"/>
          <w:b w:val="0"/>
          <w:sz w:val="20"/>
        </w:rPr>
        <w:t>in the context of the UPOV Convention</w:t>
      </w:r>
    </w:p>
    <w:p w:rsidR="00A87F06" w:rsidRPr="00A87F06" w:rsidRDefault="00A87F06" w:rsidP="00A87F06">
      <w:pPr>
        <w:pStyle w:val="Sessiontc"/>
        <w:spacing w:before="0"/>
        <w:rPr>
          <w:b w:val="0"/>
          <w:sz w:val="20"/>
        </w:rPr>
      </w:pPr>
    </w:p>
    <w:p w:rsidR="00A87F06" w:rsidRDefault="00A87F06" w:rsidP="00A87F06">
      <w:pPr>
        <w:pStyle w:val="Sessiontcplacedate"/>
        <w:spacing w:before="0"/>
        <w:rPr>
          <w:b w:val="0"/>
          <w:sz w:val="20"/>
        </w:rPr>
      </w:pPr>
      <w:r w:rsidRPr="00A87F06">
        <w:rPr>
          <w:b w:val="0"/>
          <w:sz w:val="20"/>
        </w:rPr>
        <w:t>Geneva, October 24, 2016</w:t>
      </w:r>
    </w:p>
    <w:p w:rsidR="00A87F06" w:rsidRDefault="00A87F06" w:rsidP="00A87F06">
      <w:pPr>
        <w:pStyle w:val="Sessiontcplacedate"/>
        <w:spacing w:before="0"/>
        <w:rPr>
          <w:b w:val="0"/>
          <w:sz w:val="20"/>
        </w:rPr>
      </w:pPr>
    </w:p>
    <w:p w:rsidR="00A34037" w:rsidRPr="00A87F06" w:rsidRDefault="00A34037" w:rsidP="00A87F06">
      <w:pPr>
        <w:pStyle w:val="Sessiontcplacedate"/>
        <w:spacing w:before="0"/>
        <w:rPr>
          <w:b w:val="0"/>
          <w:sz w:val="20"/>
        </w:rPr>
      </w:pPr>
    </w:p>
    <w:p w:rsidR="00A87F06" w:rsidRDefault="00A87F06" w:rsidP="00A87F06">
      <w:pPr>
        <w:pStyle w:val="Titleofdoc0"/>
        <w:spacing w:before="0"/>
        <w:rPr>
          <w:rFonts w:cs="Arial"/>
          <w:caps w:val="0"/>
        </w:rPr>
      </w:pPr>
      <w:r w:rsidRPr="00A34037">
        <w:rPr>
          <w:rFonts w:cs="Arial"/>
          <w:caps w:val="0"/>
        </w:rPr>
        <w:t>DRAFT PROGRAM</w:t>
      </w:r>
    </w:p>
    <w:p w:rsidR="00A34037" w:rsidRPr="00A34037" w:rsidRDefault="00A34037" w:rsidP="00A87F06">
      <w:pPr>
        <w:pStyle w:val="Titleofdoc0"/>
        <w:spacing w:before="0"/>
        <w:rPr>
          <w:rFonts w:cs="Arial"/>
          <w:caps w:val="0"/>
        </w:rPr>
      </w:pPr>
    </w:p>
    <w:p w:rsidR="00A87F06" w:rsidRPr="00A34037" w:rsidRDefault="00A34037" w:rsidP="00A87F06">
      <w:pPr>
        <w:pStyle w:val="Titleofdoc0"/>
        <w:spacing w:before="0"/>
        <w:rPr>
          <w:i/>
          <w:caps w:val="0"/>
        </w:rPr>
      </w:pPr>
      <w:r w:rsidRPr="00A34037">
        <w:rPr>
          <w:i/>
          <w:caps w:val="0"/>
        </w:rPr>
        <w:t>(Extract from document UPOV/SEM/GE/16/1 Prov.)</w:t>
      </w:r>
    </w:p>
    <w:p w:rsidR="00A34037" w:rsidRDefault="00A34037" w:rsidP="00A87F06">
      <w:pPr>
        <w:pStyle w:val="Titleofdoc0"/>
        <w:spacing w:before="0"/>
        <w:rPr>
          <w:caps w:val="0"/>
        </w:rPr>
      </w:pPr>
    </w:p>
    <w:p w:rsidR="00A34037" w:rsidRPr="00A34037" w:rsidRDefault="00A34037" w:rsidP="00A87F06">
      <w:pPr>
        <w:pStyle w:val="Titleofdoc0"/>
        <w:spacing w:before="0"/>
        <w:rPr>
          <w:caps w:val="0"/>
        </w:rPr>
      </w:pPr>
    </w:p>
    <w:tbl>
      <w:tblPr>
        <w:tblW w:w="9606" w:type="dxa"/>
        <w:tblLook w:val="01E0" w:firstRow="1" w:lastRow="1" w:firstColumn="1" w:lastColumn="1" w:noHBand="0" w:noVBand="0"/>
      </w:tblPr>
      <w:tblGrid>
        <w:gridCol w:w="960"/>
        <w:gridCol w:w="566"/>
        <w:gridCol w:w="8080"/>
      </w:tblGrid>
      <w:tr w:rsidR="00A87F06" w:rsidRPr="00A87F06" w:rsidTr="00A34037">
        <w:trPr>
          <w:cantSplit/>
        </w:trPr>
        <w:tc>
          <w:tcPr>
            <w:tcW w:w="960" w:type="dxa"/>
            <w:shd w:val="clear" w:color="auto" w:fill="auto"/>
            <w:noWrap/>
          </w:tcPr>
          <w:p w:rsidR="00A87F06" w:rsidRPr="00A87F06" w:rsidRDefault="00A87F06" w:rsidP="00D54C6C">
            <w:pPr>
              <w:jc w:val="right"/>
              <w:rPr>
                <w:rFonts w:cs="Arial"/>
              </w:rPr>
            </w:pPr>
            <w:r w:rsidRPr="00A87F06">
              <w:rPr>
                <w:rFonts w:cs="Arial"/>
              </w:rPr>
              <w:t>8.30</w:t>
            </w:r>
          </w:p>
        </w:tc>
        <w:tc>
          <w:tcPr>
            <w:tcW w:w="566" w:type="dxa"/>
            <w:shd w:val="clear" w:color="auto" w:fill="auto"/>
            <w:noWrap/>
          </w:tcPr>
          <w:p w:rsidR="00A87F06" w:rsidRPr="00A87F06" w:rsidRDefault="00A87F06" w:rsidP="00D54C6C">
            <w:pPr>
              <w:jc w:val="right"/>
              <w:rPr>
                <w:rFonts w:cs="Arial"/>
              </w:rPr>
            </w:pPr>
          </w:p>
        </w:tc>
        <w:tc>
          <w:tcPr>
            <w:tcW w:w="8080" w:type="dxa"/>
            <w:shd w:val="clear" w:color="auto" w:fill="auto"/>
            <w:noWrap/>
          </w:tcPr>
          <w:p w:rsidR="00A87F06" w:rsidRPr="00A87F06" w:rsidRDefault="00A87F06" w:rsidP="00D54C6C">
            <w:pPr>
              <w:jc w:val="left"/>
              <w:rPr>
                <w:rFonts w:cs="Arial"/>
              </w:rPr>
            </w:pPr>
            <w:r w:rsidRPr="00A87F06">
              <w:rPr>
                <w:rFonts w:cs="Arial"/>
              </w:rPr>
              <w:t>Registration</w:t>
            </w:r>
          </w:p>
        </w:tc>
      </w:tr>
      <w:tr w:rsidR="00A87F06" w:rsidRPr="001914BF" w:rsidTr="00A34037">
        <w:trPr>
          <w:cantSplit/>
        </w:trPr>
        <w:tc>
          <w:tcPr>
            <w:tcW w:w="960" w:type="dxa"/>
            <w:shd w:val="clear" w:color="auto" w:fill="auto"/>
            <w:noWrap/>
          </w:tcPr>
          <w:p w:rsidR="00A87F06" w:rsidRPr="000A02BE" w:rsidRDefault="00A87F06" w:rsidP="00D54C6C">
            <w:pPr>
              <w:jc w:val="right"/>
              <w:rPr>
                <w:rFonts w:cs="Arial"/>
              </w:rPr>
            </w:pPr>
          </w:p>
        </w:tc>
        <w:tc>
          <w:tcPr>
            <w:tcW w:w="566" w:type="dxa"/>
            <w:shd w:val="clear" w:color="auto" w:fill="auto"/>
            <w:noWrap/>
          </w:tcPr>
          <w:p w:rsidR="00A87F06" w:rsidRPr="000A02BE" w:rsidRDefault="00A87F06" w:rsidP="00D54C6C">
            <w:pPr>
              <w:jc w:val="right"/>
              <w:rPr>
                <w:rFonts w:cs="Arial"/>
              </w:rPr>
            </w:pPr>
          </w:p>
        </w:tc>
        <w:tc>
          <w:tcPr>
            <w:tcW w:w="8080" w:type="dxa"/>
            <w:shd w:val="clear" w:color="auto" w:fill="auto"/>
            <w:noWrap/>
          </w:tcPr>
          <w:p w:rsidR="00A87F06" w:rsidRPr="000A02BE" w:rsidRDefault="00A87F06" w:rsidP="00D54C6C">
            <w:pPr>
              <w:jc w:val="left"/>
              <w:rPr>
                <w:rFonts w:cs="Arial"/>
              </w:rPr>
            </w:pPr>
          </w:p>
        </w:tc>
      </w:tr>
      <w:tr w:rsidR="00A87F06" w:rsidRPr="001914BF" w:rsidTr="00A34037">
        <w:trPr>
          <w:cantSplit/>
        </w:trPr>
        <w:tc>
          <w:tcPr>
            <w:tcW w:w="960" w:type="dxa"/>
            <w:shd w:val="clear" w:color="auto" w:fill="auto"/>
            <w:noWrap/>
          </w:tcPr>
          <w:p w:rsidR="00A87F06" w:rsidRPr="000A02BE" w:rsidRDefault="00A87F06" w:rsidP="00D54C6C">
            <w:pPr>
              <w:jc w:val="right"/>
              <w:rPr>
                <w:rFonts w:cs="Arial"/>
              </w:rPr>
            </w:pPr>
            <w:r w:rsidRPr="000A02BE">
              <w:rPr>
                <w:rFonts w:cs="Arial"/>
              </w:rPr>
              <w:t>9.30</w:t>
            </w:r>
          </w:p>
        </w:tc>
        <w:tc>
          <w:tcPr>
            <w:tcW w:w="566" w:type="dxa"/>
            <w:shd w:val="clear" w:color="auto" w:fill="auto"/>
            <w:noWrap/>
          </w:tcPr>
          <w:p w:rsidR="00A87F06" w:rsidRPr="000A02BE" w:rsidRDefault="00A87F06" w:rsidP="00D54C6C">
            <w:pPr>
              <w:jc w:val="right"/>
              <w:rPr>
                <w:rFonts w:cs="Arial"/>
              </w:rPr>
            </w:pPr>
          </w:p>
        </w:tc>
        <w:tc>
          <w:tcPr>
            <w:tcW w:w="8080" w:type="dxa"/>
            <w:shd w:val="clear" w:color="auto" w:fill="auto"/>
            <w:noWrap/>
          </w:tcPr>
          <w:p w:rsidR="00A87F06" w:rsidRPr="000A02BE" w:rsidRDefault="00A87F06" w:rsidP="00D54C6C">
            <w:pPr>
              <w:jc w:val="left"/>
              <w:rPr>
                <w:rFonts w:cs="Arial"/>
              </w:rPr>
            </w:pPr>
            <w:r w:rsidRPr="000A02BE">
              <w:rPr>
                <w:rFonts w:cs="Arial"/>
              </w:rPr>
              <w:t>Welcome address by Mr. Francis Gurry, Secretary-General, UPOV</w:t>
            </w:r>
          </w:p>
        </w:tc>
      </w:tr>
      <w:tr w:rsidR="00A87F06" w:rsidRPr="001914BF" w:rsidTr="00A34037">
        <w:trPr>
          <w:cantSplit/>
        </w:trPr>
        <w:tc>
          <w:tcPr>
            <w:tcW w:w="960" w:type="dxa"/>
            <w:shd w:val="clear" w:color="auto" w:fill="auto"/>
            <w:noWrap/>
          </w:tcPr>
          <w:p w:rsidR="00A87F06" w:rsidRPr="000A02BE" w:rsidRDefault="00A87F06" w:rsidP="00D54C6C">
            <w:pPr>
              <w:jc w:val="right"/>
              <w:rPr>
                <w:rFonts w:cs="Arial"/>
              </w:rPr>
            </w:pPr>
          </w:p>
        </w:tc>
        <w:tc>
          <w:tcPr>
            <w:tcW w:w="566" w:type="dxa"/>
            <w:shd w:val="clear" w:color="auto" w:fill="auto"/>
            <w:noWrap/>
          </w:tcPr>
          <w:p w:rsidR="00A87F06" w:rsidRPr="000A02BE" w:rsidRDefault="00A87F06" w:rsidP="00D54C6C">
            <w:pPr>
              <w:jc w:val="right"/>
              <w:rPr>
                <w:rFonts w:cs="Arial"/>
              </w:rPr>
            </w:pPr>
          </w:p>
        </w:tc>
        <w:tc>
          <w:tcPr>
            <w:tcW w:w="8080" w:type="dxa"/>
            <w:shd w:val="clear" w:color="auto" w:fill="auto"/>
            <w:noWrap/>
          </w:tcPr>
          <w:p w:rsidR="00A87F06" w:rsidRPr="000A02BE" w:rsidRDefault="00A87F06" w:rsidP="00D54C6C">
            <w:pPr>
              <w:jc w:val="left"/>
              <w:rPr>
                <w:rFonts w:cs="Arial"/>
              </w:rPr>
            </w:pPr>
          </w:p>
        </w:tc>
      </w:tr>
      <w:tr w:rsidR="00A87F06" w:rsidRPr="001914BF" w:rsidTr="00A34037">
        <w:trPr>
          <w:cantSplit/>
        </w:trPr>
        <w:tc>
          <w:tcPr>
            <w:tcW w:w="960" w:type="dxa"/>
            <w:shd w:val="clear" w:color="auto" w:fill="auto"/>
            <w:noWrap/>
          </w:tcPr>
          <w:p w:rsidR="00A87F06" w:rsidRPr="000A02BE" w:rsidRDefault="00A87F06" w:rsidP="00D54C6C">
            <w:pPr>
              <w:jc w:val="right"/>
              <w:rPr>
                <w:rFonts w:cs="Arial"/>
              </w:rPr>
            </w:pPr>
            <w:r w:rsidRPr="000A02BE">
              <w:rPr>
                <w:rFonts w:cs="Arial"/>
              </w:rPr>
              <w:t>9.</w:t>
            </w:r>
            <w:r>
              <w:rPr>
                <w:rFonts w:cs="Arial"/>
              </w:rPr>
              <w:t>35</w:t>
            </w:r>
          </w:p>
        </w:tc>
        <w:tc>
          <w:tcPr>
            <w:tcW w:w="566" w:type="dxa"/>
            <w:shd w:val="clear" w:color="auto" w:fill="auto"/>
            <w:noWrap/>
          </w:tcPr>
          <w:p w:rsidR="00A87F06" w:rsidRPr="000A02BE" w:rsidRDefault="00A87F06" w:rsidP="00D54C6C">
            <w:pPr>
              <w:jc w:val="right"/>
              <w:rPr>
                <w:rFonts w:cs="Arial"/>
              </w:rPr>
            </w:pPr>
          </w:p>
        </w:tc>
        <w:tc>
          <w:tcPr>
            <w:tcW w:w="8080" w:type="dxa"/>
            <w:shd w:val="clear" w:color="auto" w:fill="auto"/>
            <w:noWrap/>
          </w:tcPr>
          <w:p w:rsidR="00A87F06" w:rsidRPr="000A02BE" w:rsidRDefault="00A87F06" w:rsidP="00D54C6C">
            <w:pPr>
              <w:jc w:val="left"/>
              <w:rPr>
                <w:rFonts w:cs="Arial"/>
              </w:rPr>
            </w:pPr>
            <w:r>
              <w:rPr>
                <w:rFonts w:cs="Arial"/>
              </w:rPr>
              <w:t>Opening by Mr. Luis Salaices,</w:t>
            </w:r>
            <w:r w:rsidRPr="000A02BE">
              <w:rPr>
                <w:rFonts w:cs="Arial"/>
              </w:rPr>
              <w:t xml:space="preserve"> President of the Council of UPOV</w:t>
            </w:r>
          </w:p>
        </w:tc>
      </w:tr>
      <w:tr w:rsidR="00A87F06" w:rsidRPr="001914BF" w:rsidTr="00A34037">
        <w:trPr>
          <w:cantSplit/>
        </w:trPr>
        <w:tc>
          <w:tcPr>
            <w:tcW w:w="960" w:type="dxa"/>
            <w:shd w:val="clear" w:color="auto" w:fill="auto"/>
            <w:noWrap/>
          </w:tcPr>
          <w:p w:rsidR="00A87F06" w:rsidRPr="001914BF" w:rsidRDefault="00A87F06" w:rsidP="00D54C6C">
            <w:pPr>
              <w:jc w:val="right"/>
              <w:rPr>
                <w:rFonts w:cs="Arial"/>
                <w:highlight w:val="yellow"/>
              </w:rPr>
            </w:pPr>
          </w:p>
        </w:tc>
        <w:tc>
          <w:tcPr>
            <w:tcW w:w="566" w:type="dxa"/>
            <w:shd w:val="clear" w:color="auto" w:fill="auto"/>
            <w:noWrap/>
          </w:tcPr>
          <w:p w:rsidR="00A87F06" w:rsidRPr="001914BF" w:rsidRDefault="00A87F06" w:rsidP="00D54C6C">
            <w:pPr>
              <w:jc w:val="right"/>
              <w:rPr>
                <w:rFonts w:cs="Arial"/>
                <w:highlight w:val="yellow"/>
              </w:rPr>
            </w:pPr>
          </w:p>
        </w:tc>
        <w:tc>
          <w:tcPr>
            <w:tcW w:w="8080" w:type="dxa"/>
            <w:shd w:val="clear" w:color="auto" w:fill="auto"/>
            <w:noWrap/>
          </w:tcPr>
          <w:p w:rsidR="00A87F06" w:rsidRPr="001914BF" w:rsidRDefault="00A87F06" w:rsidP="00D54C6C">
            <w:pPr>
              <w:jc w:val="left"/>
              <w:rPr>
                <w:rFonts w:cs="Arial"/>
                <w:highlight w:val="yellow"/>
              </w:rPr>
            </w:pPr>
          </w:p>
        </w:tc>
      </w:tr>
      <w:tr w:rsidR="00A87F06" w:rsidRPr="001914BF" w:rsidTr="00A34037">
        <w:trPr>
          <w:cantSplit/>
        </w:trPr>
        <w:tc>
          <w:tcPr>
            <w:tcW w:w="960" w:type="dxa"/>
            <w:shd w:val="clear" w:color="auto" w:fill="auto"/>
            <w:noWrap/>
          </w:tcPr>
          <w:p w:rsidR="00A87F06" w:rsidRPr="001914BF" w:rsidRDefault="00A87F06" w:rsidP="00D54C6C">
            <w:pPr>
              <w:jc w:val="right"/>
              <w:rPr>
                <w:rFonts w:cs="Arial"/>
                <w:highlight w:val="yellow"/>
              </w:rPr>
            </w:pPr>
            <w:r w:rsidRPr="000A02BE">
              <w:rPr>
                <w:rFonts w:cs="Arial"/>
              </w:rPr>
              <w:t>9.</w:t>
            </w:r>
            <w:r>
              <w:rPr>
                <w:rFonts w:cs="Arial"/>
              </w:rPr>
              <w:t>40</w:t>
            </w:r>
          </w:p>
        </w:tc>
        <w:tc>
          <w:tcPr>
            <w:tcW w:w="566" w:type="dxa"/>
            <w:shd w:val="clear" w:color="auto" w:fill="auto"/>
            <w:noWrap/>
          </w:tcPr>
          <w:p w:rsidR="00A87F06" w:rsidRPr="001914BF" w:rsidRDefault="00A87F06" w:rsidP="00D54C6C">
            <w:pPr>
              <w:jc w:val="right"/>
              <w:rPr>
                <w:rFonts w:cs="Arial"/>
                <w:highlight w:val="yellow"/>
              </w:rPr>
            </w:pPr>
          </w:p>
        </w:tc>
        <w:tc>
          <w:tcPr>
            <w:tcW w:w="8080" w:type="dxa"/>
            <w:shd w:val="clear" w:color="auto" w:fill="auto"/>
            <w:noWrap/>
          </w:tcPr>
          <w:p w:rsidR="00A87F06" w:rsidRPr="00230A62" w:rsidRDefault="00A87F06" w:rsidP="00D54C6C">
            <w:pPr>
              <w:jc w:val="left"/>
              <w:rPr>
                <w:rFonts w:cs="Arial"/>
                <w:highlight w:val="yellow"/>
              </w:rPr>
            </w:pPr>
            <w:r w:rsidRPr="00BB1831">
              <w:rPr>
                <w:rFonts w:cs="Arial"/>
              </w:rPr>
              <w:t>The development of guidance on propagating and harvested material</w:t>
            </w:r>
          </w:p>
        </w:tc>
      </w:tr>
      <w:tr w:rsidR="00A87F06" w:rsidRPr="000741DD" w:rsidTr="00A34037">
        <w:trPr>
          <w:cantSplit/>
        </w:trPr>
        <w:tc>
          <w:tcPr>
            <w:tcW w:w="960" w:type="dxa"/>
            <w:shd w:val="clear" w:color="auto" w:fill="auto"/>
            <w:noWrap/>
          </w:tcPr>
          <w:p w:rsidR="00A87F06" w:rsidRPr="0038616F" w:rsidRDefault="00A87F06" w:rsidP="00D54C6C">
            <w:pPr>
              <w:jc w:val="right"/>
              <w:rPr>
                <w:rFonts w:cs="Arial"/>
              </w:rPr>
            </w:pPr>
          </w:p>
        </w:tc>
        <w:tc>
          <w:tcPr>
            <w:tcW w:w="566" w:type="dxa"/>
            <w:shd w:val="clear" w:color="auto" w:fill="auto"/>
            <w:noWrap/>
          </w:tcPr>
          <w:p w:rsidR="00A87F06" w:rsidRPr="0038616F" w:rsidRDefault="00A87F06" w:rsidP="00D54C6C">
            <w:pPr>
              <w:jc w:val="right"/>
              <w:rPr>
                <w:rFonts w:cs="Arial"/>
              </w:rPr>
            </w:pPr>
          </w:p>
        </w:tc>
        <w:tc>
          <w:tcPr>
            <w:tcW w:w="8080" w:type="dxa"/>
            <w:shd w:val="clear" w:color="auto" w:fill="auto"/>
            <w:noWrap/>
          </w:tcPr>
          <w:p w:rsidR="00A87F06" w:rsidRPr="00147A59" w:rsidRDefault="00A87F06" w:rsidP="00D54C6C">
            <w:pPr>
              <w:jc w:val="left"/>
              <w:rPr>
                <w:rFonts w:cs="Arial"/>
                <w:i/>
                <w:iCs/>
              </w:rPr>
            </w:pPr>
            <w:r w:rsidRPr="00147A59">
              <w:rPr>
                <w:rFonts w:cs="Arial"/>
                <w:i/>
              </w:rPr>
              <w:t>Mr. Peter Button, Vice Secretary-General, UPOV</w:t>
            </w:r>
          </w:p>
        </w:tc>
      </w:tr>
      <w:tr w:rsidR="00A87F06" w:rsidRPr="001914BF" w:rsidTr="00A34037">
        <w:trPr>
          <w:cantSplit/>
        </w:trPr>
        <w:tc>
          <w:tcPr>
            <w:tcW w:w="960" w:type="dxa"/>
            <w:shd w:val="clear" w:color="auto" w:fill="auto"/>
            <w:noWrap/>
          </w:tcPr>
          <w:p w:rsidR="00A87F06" w:rsidRPr="001914BF" w:rsidRDefault="00A87F06" w:rsidP="00D54C6C">
            <w:pPr>
              <w:jc w:val="right"/>
              <w:rPr>
                <w:rFonts w:cs="Arial"/>
                <w:highlight w:val="yellow"/>
              </w:rPr>
            </w:pPr>
          </w:p>
        </w:tc>
        <w:tc>
          <w:tcPr>
            <w:tcW w:w="566" w:type="dxa"/>
            <w:shd w:val="clear" w:color="auto" w:fill="auto"/>
            <w:noWrap/>
          </w:tcPr>
          <w:p w:rsidR="00A87F06" w:rsidRPr="001914BF" w:rsidRDefault="00A87F06" w:rsidP="00D54C6C">
            <w:pPr>
              <w:jc w:val="right"/>
              <w:rPr>
                <w:rFonts w:cs="Arial"/>
                <w:highlight w:val="yellow"/>
              </w:rPr>
            </w:pPr>
          </w:p>
        </w:tc>
        <w:tc>
          <w:tcPr>
            <w:tcW w:w="8080" w:type="dxa"/>
            <w:shd w:val="clear" w:color="auto" w:fill="auto"/>
            <w:noWrap/>
          </w:tcPr>
          <w:p w:rsidR="00A87F06" w:rsidRPr="001914BF" w:rsidRDefault="00A87F06" w:rsidP="00D54C6C">
            <w:pPr>
              <w:jc w:val="left"/>
              <w:rPr>
                <w:rFonts w:cs="Arial"/>
                <w:highlight w:val="yellow"/>
              </w:rPr>
            </w:pPr>
          </w:p>
        </w:tc>
      </w:tr>
      <w:tr w:rsidR="00A87F06" w:rsidRPr="00356FB4" w:rsidTr="00A34037">
        <w:trPr>
          <w:cantSplit/>
        </w:trPr>
        <w:tc>
          <w:tcPr>
            <w:tcW w:w="960" w:type="dxa"/>
            <w:shd w:val="clear" w:color="auto" w:fill="auto"/>
            <w:noWrap/>
          </w:tcPr>
          <w:p w:rsidR="00A87F06" w:rsidRPr="00B325B3" w:rsidRDefault="00A87F06" w:rsidP="00D54C6C">
            <w:pPr>
              <w:jc w:val="right"/>
              <w:rPr>
                <w:rFonts w:cs="Arial"/>
                <w:highlight w:val="yellow"/>
              </w:rPr>
            </w:pP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Default="00A87F06" w:rsidP="00D54C6C">
            <w:pPr>
              <w:jc w:val="left"/>
              <w:rPr>
                <w:rFonts w:cs="Arial"/>
                <w:u w:val="single"/>
              </w:rPr>
            </w:pPr>
            <w:r w:rsidRPr="00685FCB">
              <w:rPr>
                <w:rFonts w:cs="Arial"/>
                <w:u w:val="single"/>
              </w:rPr>
              <w:t xml:space="preserve">Session I:  </w:t>
            </w:r>
            <w:r>
              <w:rPr>
                <w:rFonts w:cs="Arial"/>
                <w:u w:val="single"/>
              </w:rPr>
              <w:t>Perspectives on t</w:t>
            </w:r>
            <w:r w:rsidRPr="00685FCB">
              <w:rPr>
                <w:rFonts w:cs="Arial"/>
                <w:u w:val="single"/>
              </w:rPr>
              <w:t>he</w:t>
            </w:r>
            <w:r>
              <w:rPr>
                <w:rFonts w:cs="Arial"/>
                <w:u w:val="single"/>
              </w:rPr>
              <w:t xml:space="preserve"> notions of</w:t>
            </w:r>
            <w:r w:rsidRPr="00153518">
              <w:rPr>
                <w:rFonts w:cs="Arial"/>
                <w:u w:val="single"/>
              </w:rPr>
              <w:t xml:space="preserve"> propagating material</w:t>
            </w:r>
            <w:r>
              <w:rPr>
                <w:rFonts w:cs="Arial"/>
                <w:u w:val="single"/>
              </w:rPr>
              <w:t xml:space="preserve"> and</w:t>
            </w:r>
            <w:r w:rsidRPr="00153518">
              <w:rPr>
                <w:rFonts w:cs="Arial"/>
                <w:u w:val="single"/>
              </w:rPr>
              <w:t xml:space="preserve"> </w:t>
            </w:r>
            <w:r>
              <w:rPr>
                <w:rFonts w:cs="Arial"/>
                <w:u w:val="single"/>
              </w:rPr>
              <w:t xml:space="preserve"> </w:t>
            </w:r>
            <w:r w:rsidRPr="00153518">
              <w:rPr>
                <w:rFonts w:cs="Arial"/>
                <w:u w:val="single"/>
              </w:rPr>
              <w:t>harvested material</w:t>
            </w:r>
          </w:p>
          <w:p w:rsidR="00A87F06" w:rsidRDefault="00A87F06" w:rsidP="00D54C6C">
            <w:pPr>
              <w:jc w:val="left"/>
              <w:rPr>
                <w:rFonts w:cs="Arial"/>
                <w:u w:val="single"/>
              </w:rPr>
            </w:pPr>
          </w:p>
          <w:p w:rsidR="00A87F06" w:rsidRPr="00356FB4" w:rsidRDefault="00A87F06" w:rsidP="00D54C6C">
            <w:pPr>
              <w:jc w:val="left"/>
              <w:rPr>
                <w:rFonts w:cs="Arial"/>
                <w:highlight w:val="yellow"/>
              </w:rPr>
            </w:pPr>
            <w:r w:rsidRPr="00356FB4">
              <w:rPr>
                <w:rFonts w:cs="Arial"/>
              </w:rPr>
              <w:t xml:space="preserve">Moderator:  </w:t>
            </w:r>
            <w:r w:rsidRPr="008B3809">
              <w:rPr>
                <w:rFonts w:cs="Arial"/>
              </w:rPr>
              <w:t>Mr. Button</w:t>
            </w:r>
          </w:p>
        </w:tc>
      </w:tr>
      <w:tr w:rsidR="00A87F06" w:rsidRPr="001914BF" w:rsidTr="00A34037">
        <w:trPr>
          <w:cantSplit/>
        </w:trPr>
        <w:tc>
          <w:tcPr>
            <w:tcW w:w="960" w:type="dxa"/>
            <w:shd w:val="clear" w:color="auto" w:fill="auto"/>
            <w:noWrap/>
          </w:tcPr>
          <w:p w:rsidR="00A87F06" w:rsidRPr="001914BF" w:rsidRDefault="00A87F06" w:rsidP="00D54C6C">
            <w:pPr>
              <w:jc w:val="right"/>
              <w:rPr>
                <w:rFonts w:cs="Arial"/>
                <w:highlight w:val="yellow"/>
              </w:rPr>
            </w:pPr>
          </w:p>
        </w:tc>
        <w:tc>
          <w:tcPr>
            <w:tcW w:w="566" w:type="dxa"/>
            <w:shd w:val="clear" w:color="auto" w:fill="auto"/>
            <w:noWrap/>
          </w:tcPr>
          <w:p w:rsidR="00A87F06" w:rsidRPr="001914BF" w:rsidRDefault="00A87F06" w:rsidP="00D54C6C">
            <w:pPr>
              <w:jc w:val="right"/>
              <w:rPr>
                <w:rFonts w:cs="Arial"/>
                <w:highlight w:val="yellow"/>
              </w:rPr>
            </w:pPr>
          </w:p>
        </w:tc>
        <w:tc>
          <w:tcPr>
            <w:tcW w:w="8080" w:type="dxa"/>
            <w:shd w:val="clear" w:color="auto" w:fill="auto"/>
            <w:noWrap/>
          </w:tcPr>
          <w:p w:rsidR="00A87F06" w:rsidRPr="001914BF" w:rsidRDefault="00A87F06" w:rsidP="00D54C6C">
            <w:pPr>
              <w:jc w:val="left"/>
              <w:rPr>
                <w:rFonts w:cs="Arial"/>
                <w:highlight w:val="yellow"/>
              </w:rPr>
            </w:pP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r>
              <w:rPr>
                <w:rFonts w:cs="Arial"/>
              </w:rPr>
              <w:t>9.50</w:t>
            </w:r>
          </w:p>
        </w:tc>
        <w:tc>
          <w:tcPr>
            <w:tcW w:w="566" w:type="dxa"/>
            <w:shd w:val="clear" w:color="auto" w:fill="auto"/>
            <w:noWrap/>
          </w:tcPr>
          <w:p w:rsidR="00A87F06" w:rsidRPr="00B325B3" w:rsidRDefault="00A87F06" w:rsidP="00D54C6C">
            <w:pPr>
              <w:jc w:val="center"/>
              <w:rPr>
                <w:rFonts w:cs="Arial"/>
                <w:highlight w:val="yellow"/>
              </w:rPr>
            </w:pPr>
          </w:p>
        </w:tc>
        <w:tc>
          <w:tcPr>
            <w:tcW w:w="8080" w:type="dxa"/>
            <w:shd w:val="clear" w:color="auto" w:fill="auto"/>
            <w:noWrap/>
          </w:tcPr>
          <w:p w:rsidR="00A87F06" w:rsidRDefault="00A87F06" w:rsidP="00D54C6C">
            <w:pPr>
              <w:jc w:val="left"/>
              <w:rPr>
                <w:rFonts w:cs="Arial"/>
              </w:rPr>
            </w:pPr>
            <w:r w:rsidRPr="005E7195">
              <w:rPr>
                <w:rFonts w:cs="Arial"/>
              </w:rPr>
              <w:t xml:space="preserve">Perspective of the International Community of Breeders of Asexually Reproduced Ornamental and Fruit-Tree Varieties (CIOPORA) </w:t>
            </w:r>
          </w:p>
          <w:p w:rsidR="00A87F06" w:rsidRPr="005E7195" w:rsidRDefault="00A87F06" w:rsidP="00D54C6C">
            <w:pPr>
              <w:jc w:val="left"/>
              <w:rPr>
                <w:rFonts w:cs="Arial"/>
                <w:i/>
                <w:iCs/>
              </w:rPr>
            </w:pPr>
            <w:r w:rsidRPr="005E7195">
              <w:rPr>
                <w:rFonts w:cs="Arial"/>
              </w:rPr>
              <w:t>(</w:t>
            </w:r>
            <w:r w:rsidRPr="005E7195">
              <w:rPr>
                <w:rFonts w:cs="Arial"/>
                <w:i/>
                <w:iCs/>
              </w:rPr>
              <w:t>speaker to be confirmed)</w:t>
            </w:r>
          </w:p>
        </w:tc>
      </w:tr>
      <w:tr w:rsidR="00A87F06" w:rsidRPr="001914BF" w:rsidTr="00A34037">
        <w:trPr>
          <w:cantSplit/>
        </w:trPr>
        <w:tc>
          <w:tcPr>
            <w:tcW w:w="960" w:type="dxa"/>
            <w:shd w:val="clear" w:color="auto" w:fill="auto"/>
            <w:noWrap/>
          </w:tcPr>
          <w:p w:rsidR="00A87F06" w:rsidRPr="001914BF" w:rsidRDefault="00A87F06" w:rsidP="00D54C6C">
            <w:pPr>
              <w:jc w:val="right"/>
              <w:rPr>
                <w:rFonts w:cs="Arial"/>
                <w:highlight w:val="yellow"/>
              </w:rPr>
            </w:pPr>
          </w:p>
        </w:tc>
        <w:tc>
          <w:tcPr>
            <w:tcW w:w="566" w:type="dxa"/>
            <w:shd w:val="clear" w:color="auto" w:fill="auto"/>
            <w:noWrap/>
          </w:tcPr>
          <w:p w:rsidR="00A87F06" w:rsidRPr="001914BF" w:rsidRDefault="00A87F06" w:rsidP="00D54C6C">
            <w:pPr>
              <w:jc w:val="right"/>
              <w:rPr>
                <w:rFonts w:cs="Arial"/>
                <w:highlight w:val="yellow"/>
              </w:rPr>
            </w:pPr>
          </w:p>
        </w:tc>
        <w:tc>
          <w:tcPr>
            <w:tcW w:w="8080" w:type="dxa"/>
            <w:shd w:val="clear" w:color="auto" w:fill="auto"/>
            <w:noWrap/>
          </w:tcPr>
          <w:p w:rsidR="00A87F06" w:rsidRPr="005E7195" w:rsidRDefault="00A87F06" w:rsidP="00D54C6C">
            <w:pPr>
              <w:jc w:val="left"/>
              <w:rPr>
                <w:rFonts w:cs="Arial"/>
              </w:rPr>
            </w:pP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r w:rsidRPr="00807E8C">
              <w:rPr>
                <w:rFonts w:cs="Arial"/>
              </w:rPr>
              <w:t>10.</w:t>
            </w:r>
            <w:r>
              <w:rPr>
                <w:rFonts w:cs="Arial"/>
              </w:rPr>
              <w:t>10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5E7195" w:rsidRDefault="00A87F06" w:rsidP="00D54C6C">
            <w:pPr>
              <w:jc w:val="left"/>
              <w:rPr>
                <w:rFonts w:cs="Arial"/>
                <w:i/>
                <w:iCs/>
              </w:rPr>
            </w:pPr>
            <w:r w:rsidRPr="005E7195">
              <w:rPr>
                <w:rFonts w:cs="Arial"/>
              </w:rPr>
              <w:t xml:space="preserve">Perspective </w:t>
            </w:r>
            <w:r w:rsidRPr="005E7195">
              <w:rPr>
                <w:rFonts w:cs="Arial"/>
                <w:iCs/>
              </w:rPr>
              <w:t xml:space="preserve">of the Committee of Professional Agricultural </w:t>
            </w:r>
            <w:proofErr w:type="spellStart"/>
            <w:r w:rsidRPr="005E7195">
              <w:rPr>
                <w:rFonts w:cs="Arial"/>
                <w:iCs/>
              </w:rPr>
              <w:t>Organisations</w:t>
            </w:r>
            <w:proofErr w:type="spellEnd"/>
            <w:r w:rsidRPr="005E7195">
              <w:rPr>
                <w:rFonts w:cs="Arial"/>
                <w:iCs/>
              </w:rPr>
              <w:t xml:space="preserve"> (COPA) –General Committee for Agricultural Cooperation in the European Union (COGEPA)</w:t>
            </w:r>
          </w:p>
          <w:p w:rsidR="00A87F06" w:rsidRPr="005E7195" w:rsidRDefault="00A87F06" w:rsidP="00D54C6C">
            <w:pPr>
              <w:jc w:val="left"/>
              <w:rPr>
                <w:rFonts w:cs="Arial"/>
                <w:i/>
                <w:iCs/>
              </w:rPr>
            </w:pPr>
            <w:r w:rsidRPr="005E7195">
              <w:rPr>
                <w:rFonts w:cs="Arial"/>
                <w:i/>
                <w:iCs/>
              </w:rPr>
              <w:t xml:space="preserve">Mr. Thor Gunnar </w:t>
            </w:r>
            <w:proofErr w:type="spellStart"/>
            <w:r w:rsidRPr="005E7195">
              <w:rPr>
                <w:rFonts w:cs="Arial"/>
                <w:i/>
                <w:iCs/>
              </w:rPr>
              <w:t>Kofoed</w:t>
            </w:r>
            <w:proofErr w:type="spellEnd"/>
            <w:r w:rsidRPr="005E7195">
              <w:rPr>
                <w:rFonts w:cs="Arial"/>
                <w:i/>
                <w:iCs/>
              </w:rPr>
              <w:t xml:space="preserve">, Denmark </w:t>
            </w:r>
          </w:p>
        </w:tc>
      </w:tr>
      <w:tr w:rsidR="00A87F06" w:rsidRPr="00356FB4" w:rsidTr="00A34037">
        <w:trPr>
          <w:cantSplit/>
        </w:trPr>
        <w:tc>
          <w:tcPr>
            <w:tcW w:w="960" w:type="dxa"/>
            <w:shd w:val="clear" w:color="auto" w:fill="auto"/>
            <w:noWrap/>
          </w:tcPr>
          <w:p w:rsidR="00A87F06" w:rsidRPr="00356FB4" w:rsidRDefault="00A87F06" w:rsidP="00D54C6C">
            <w:pPr>
              <w:jc w:val="right"/>
              <w:rPr>
                <w:rFonts w:cs="Arial"/>
                <w:i/>
                <w:iCs/>
                <w:highlight w:val="yellow"/>
              </w:rPr>
            </w:pPr>
          </w:p>
        </w:tc>
        <w:tc>
          <w:tcPr>
            <w:tcW w:w="566" w:type="dxa"/>
            <w:shd w:val="clear" w:color="auto" w:fill="auto"/>
            <w:noWrap/>
          </w:tcPr>
          <w:p w:rsidR="00A87F06" w:rsidRPr="00356FB4" w:rsidRDefault="00A87F06" w:rsidP="00D54C6C">
            <w:pPr>
              <w:jc w:val="right"/>
              <w:rPr>
                <w:rFonts w:cs="Arial"/>
                <w:i/>
                <w:iCs/>
                <w:highlight w:val="yellow"/>
              </w:rPr>
            </w:pPr>
          </w:p>
        </w:tc>
        <w:tc>
          <w:tcPr>
            <w:tcW w:w="8080" w:type="dxa"/>
            <w:shd w:val="clear" w:color="auto" w:fill="auto"/>
            <w:noWrap/>
          </w:tcPr>
          <w:p w:rsidR="00A87F06" w:rsidRPr="00356FB4" w:rsidRDefault="00A87F06" w:rsidP="00D54C6C">
            <w:pPr>
              <w:jc w:val="left"/>
              <w:rPr>
                <w:rFonts w:cs="Arial"/>
                <w:i/>
                <w:iCs/>
                <w:highlight w:val="yellow"/>
              </w:rPr>
            </w:pPr>
          </w:p>
        </w:tc>
      </w:tr>
      <w:tr w:rsidR="00A87F06" w:rsidRPr="00B325B3" w:rsidTr="00A34037">
        <w:trPr>
          <w:cantSplit/>
        </w:trPr>
        <w:tc>
          <w:tcPr>
            <w:tcW w:w="960" w:type="dxa"/>
            <w:shd w:val="clear" w:color="auto" w:fill="auto"/>
            <w:noWrap/>
          </w:tcPr>
          <w:p w:rsidR="00A87F06" w:rsidRPr="00807E8C" w:rsidRDefault="00A87F06" w:rsidP="00D54C6C">
            <w:pPr>
              <w:jc w:val="right"/>
              <w:rPr>
                <w:rFonts w:cs="Arial"/>
              </w:rPr>
            </w:pPr>
            <w:r w:rsidRPr="00807E8C">
              <w:rPr>
                <w:rFonts w:cs="Arial"/>
              </w:rPr>
              <w:t>10.</w:t>
            </w:r>
            <w:r>
              <w:rPr>
                <w:rFonts w:cs="Arial"/>
              </w:rPr>
              <w:t>30</w:t>
            </w:r>
          </w:p>
        </w:tc>
        <w:tc>
          <w:tcPr>
            <w:tcW w:w="566" w:type="dxa"/>
            <w:shd w:val="clear" w:color="auto" w:fill="auto"/>
            <w:noWrap/>
          </w:tcPr>
          <w:p w:rsidR="00A87F06" w:rsidRPr="00807E8C" w:rsidRDefault="00A87F06" w:rsidP="00D54C6C">
            <w:pPr>
              <w:jc w:val="right"/>
              <w:rPr>
                <w:rFonts w:cs="Arial"/>
              </w:rPr>
            </w:pPr>
          </w:p>
        </w:tc>
        <w:tc>
          <w:tcPr>
            <w:tcW w:w="8080" w:type="dxa"/>
            <w:shd w:val="clear" w:color="auto" w:fill="auto"/>
            <w:noWrap/>
          </w:tcPr>
          <w:p w:rsidR="00A87F06" w:rsidRDefault="00A87F06" w:rsidP="00D54C6C">
            <w:pPr>
              <w:jc w:val="left"/>
              <w:rPr>
                <w:rFonts w:cs="Arial"/>
              </w:rPr>
            </w:pPr>
            <w:r>
              <w:rPr>
                <w:rFonts w:cs="Arial"/>
              </w:rPr>
              <w:t>Perspective</w:t>
            </w:r>
            <w:r w:rsidRPr="00A405C7">
              <w:rPr>
                <w:rFonts w:cs="Arial"/>
              </w:rPr>
              <w:t xml:space="preserve"> </w:t>
            </w:r>
            <w:r w:rsidRPr="00FA685B">
              <w:rPr>
                <w:rFonts w:cs="Arial"/>
              </w:rPr>
              <w:t xml:space="preserve">of the European Coordination Via </w:t>
            </w:r>
            <w:proofErr w:type="spellStart"/>
            <w:r w:rsidRPr="00FA685B">
              <w:rPr>
                <w:rFonts w:cs="Arial"/>
              </w:rPr>
              <w:t>Campesina</w:t>
            </w:r>
            <w:proofErr w:type="spellEnd"/>
          </w:p>
          <w:p w:rsidR="00A87F06" w:rsidRPr="004914A5" w:rsidRDefault="00A87F06" w:rsidP="00D54C6C">
            <w:pPr>
              <w:jc w:val="left"/>
              <w:rPr>
                <w:rFonts w:cs="Arial"/>
              </w:rPr>
            </w:pPr>
            <w:r w:rsidRPr="00FA685B">
              <w:rPr>
                <w:rFonts w:cs="Arial"/>
              </w:rPr>
              <w:t>Mr. Guy Kastle</w:t>
            </w:r>
            <w:r>
              <w:rPr>
                <w:rFonts w:cs="Arial"/>
              </w:rPr>
              <w:t>r</w:t>
            </w:r>
          </w:p>
        </w:tc>
      </w:tr>
      <w:tr w:rsidR="00A87F06" w:rsidRPr="00356FB4" w:rsidTr="00A34037">
        <w:trPr>
          <w:cantSplit/>
        </w:trPr>
        <w:tc>
          <w:tcPr>
            <w:tcW w:w="960" w:type="dxa"/>
            <w:shd w:val="clear" w:color="auto" w:fill="auto"/>
            <w:noWrap/>
          </w:tcPr>
          <w:p w:rsidR="00A87F06" w:rsidRPr="00356FB4" w:rsidRDefault="00A87F06" w:rsidP="00D54C6C">
            <w:pPr>
              <w:jc w:val="right"/>
              <w:rPr>
                <w:rFonts w:cs="Arial"/>
                <w:i/>
                <w:iCs/>
                <w:highlight w:val="yellow"/>
              </w:rPr>
            </w:pPr>
          </w:p>
        </w:tc>
        <w:tc>
          <w:tcPr>
            <w:tcW w:w="566" w:type="dxa"/>
            <w:shd w:val="clear" w:color="auto" w:fill="auto"/>
            <w:noWrap/>
          </w:tcPr>
          <w:p w:rsidR="00A87F06" w:rsidRPr="00356FB4" w:rsidRDefault="00A87F06" w:rsidP="00D54C6C">
            <w:pPr>
              <w:jc w:val="right"/>
              <w:rPr>
                <w:rFonts w:cs="Arial"/>
                <w:i/>
                <w:iCs/>
                <w:highlight w:val="yellow"/>
              </w:rPr>
            </w:pPr>
          </w:p>
        </w:tc>
        <w:tc>
          <w:tcPr>
            <w:tcW w:w="8080" w:type="dxa"/>
            <w:shd w:val="clear" w:color="auto" w:fill="auto"/>
            <w:noWrap/>
          </w:tcPr>
          <w:p w:rsidR="00A87F06" w:rsidRPr="00356FB4" w:rsidRDefault="00A87F06" w:rsidP="00D54C6C">
            <w:pPr>
              <w:jc w:val="left"/>
              <w:rPr>
                <w:rFonts w:cs="Arial"/>
                <w:i/>
                <w:iCs/>
                <w:highlight w:val="yellow"/>
              </w:rPr>
            </w:pPr>
          </w:p>
        </w:tc>
      </w:tr>
      <w:tr w:rsidR="00A87F06" w:rsidRPr="004914A5" w:rsidTr="00A34037">
        <w:trPr>
          <w:cantSplit/>
        </w:trPr>
        <w:tc>
          <w:tcPr>
            <w:tcW w:w="960" w:type="dxa"/>
            <w:shd w:val="clear" w:color="auto" w:fill="auto"/>
            <w:noWrap/>
          </w:tcPr>
          <w:p w:rsidR="00A87F06" w:rsidRPr="00685FCB" w:rsidRDefault="00A87F06" w:rsidP="00D54C6C">
            <w:pPr>
              <w:jc w:val="right"/>
              <w:rPr>
                <w:rFonts w:cs="Arial"/>
              </w:rPr>
            </w:pPr>
            <w:r w:rsidRPr="00685FCB">
              <w:rPr>
                <w:rFonts w:cs="Arial"/>
              </w:rPr>
              <w:t>10.50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Default="00A87F06" w:rsidP="00D54C6C">
            <w:pPr>
              <w:jc w:val="left"/>
              <w:rPr>
                <w:rFonts w:cs="Arial"/>
              </w:rPr>
            </w:pPr>
            <w:r>
              <w:rPr>
                <w:rFonts w:cs="Arial"/>
              </w:rPr>
              <w:t>Perspective</w:t>
            </w:r>
            <w:r w:rsidRPr="00A405C7">
              <w:rPr>
                <w:rFonts w:cs="Arial"/>
              </w:rPr>
              <w:t xml:space="preserve"> of the International Seed Federation (ISF) </w:t>
            </w:r>
          </w:p>
          <w:p w:rsidR="00A87F06" w:rsidRPr="00CD52D5" w:rsidRDefault="00A87F06" w:rsidP="00D54C6C">
            <w:pPr>
              <w:jc w:val="left"/>
              <w:rPr>
                <w:rFonts w:cs="Arial"/>
              </w:rPr>
            </w:pPr>
            <w:r w:rsidRPr="005E7195">
              <w:rPr>
                <w:rFonts w:cs="Arial"/>
                <w:i/>
                <w:lang w:val="pt-BR"/>
              </w:rPr>
              <w:t>(</w:t>
            </w:r>
            <w:r w:rsidRPr="005E7195">
              <w:rPr>
                <w:rFonts w:cs="Arial"/>
                <w:i/>
                <w:iCs/>
              </w:rPr>
              <w:t>speaker to be confirmed)</w:t>
            </w:r>
          </w:p>
        </w:tc>
      </w:tr>
      <w:tr w:rsidR="00A87F06" w:rsidRPr="00356FB4" w:rsidTr="00A34037">
        <w:trPr>
          <w:cantSplit/>
        </w:trPr>
        <w:tc>
          <w:tcPr>
            <w:tcW w:w="960" w:type="dxa"/>
            <w:shd w:val="clear" w:color="auto" w:fill="auto"/>
            <w:noWrap/>
          </w:tcPr>
          <w:p w:rsidR="00A87F06" w:rsidRPr="00356FB4" w:rsidRDefault="00A87F06" w:rsidP="00D54C6C">
            <w:pPr>
              <w:jc w:val="right"/>
              <w:rPr>
                <w:rFonts w:cs="Arial"/>
                <w:i/>
                <w:iCs/>
                <w:highlight w:val="yellow"/>
              </w:rPr>
            </w:pPr>
          </w:p>
        </w:tc>
        <w:tc>
          <w:tcPr>
            <w:tcW w:w="566" w:type="dxa"/>
            <w:shd w:val="clear" w:color="auto" w:fill="auto"/>
            <w:noWrap/>
          </w:tcPr>
          <w:p w:rsidR="00A87F06" w:rsidRPr="00356FB4" w:rsidRDefault="00A87F06" w:rsidP="00D54C6C">
            <w:pPr>
              <w:jc w:val="right"/>
              <w:rPr>
                <w:rFonts w:cs="Arial"/>
                <w:i/>
                <w:iCs/>
                <w:highlight w:val="yellow"/>
              </w:rPr>
            </w:pPr>
          </w:p>
        </w:tc>
        <w:tc>
          <w:tcPr>
            <w:tcW w:w="8080" w:type="dxa"/>
            <w:shd w:val="clear" w:color="auto" w:fill="auto"/>
            <w:noWrap/>
          </w:tcPr>
          <w:p w:rsidR="00A87F06" w:rsidRPr="00356FB4" w:rsidRDefault="00A87F06" w:rsidP="00D54C6C">
            <w:pPr>
              <w:jc w:val="left"/>
              <w:rPr>
                <w:rFonts w:cs="Arial"/>
                <w:i/>
                <w:iCs/>
                <w:highlight w:val="yellow"/>
              </w:rPr>
            </w:pPr>
          </w:p>
        </w:tc>
      </w:tr>
      <w:tr w:rsidR="00A87F06" w:rsidRPr="00B325B3" w:rsidTr="00A34037">
        <w:trPr>
          <w:cantSplit/>
        </w:trPr>
        <w:tc>
          <w:tcPr>
            <w:tcW w:w="960" w:type="dxa"/>
            <w:shd w:val="clear" w:color="auto" w:fill="auto"/>
            <w:noWrap/>
          </w:tcPr>
          <w:p w:rsidR="00A87F06" w:rsidRPr="00685FCB" w:rsidRDefault="00A87F06" w:rsidP="00D54C6C">
            <w:pPr>
              <w:jc w:val="right"/>
              <w:rPr>
                <w:rFonts w:cs="Arial"/>
              </w:rPr>
            </w:pPr>
            <w:r w:rsidRPr="00685FCB">
              <w:rPr>
                <w:rFonts w:cs="Arial"/>
              </w:rPr>
              <w:t>11.10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Default="00A87F06" w:rsidP="00A34037">
            <w:pPr>
              <w:jc w:val="left"/>
              <w:rPr>
                <w:snapToGrid w:val="0"/>
              </w:rPr>
            </w:pPr>
            <w:r w:rsidRPr="00807E8C">
              <w:rPr>
                <w:rFonts w:cs="Arial"/>
                <w:bCs/>
                <w:i/>
              </w:rPr>
              <w:t>Coffee</w:t>
            </w:r>
          </w:p>
        </w:tc>
      </w:tr>
      <w:tr w:rsidR="00A34037" w:rsidRPr="00356FB4" w:rsidTr="00D54C6C">
        <w:trPr>
          <w:cantSplit/>
        </w:trPr>
        <w:tc>
          <w:tcPr>
            <w:tcW w:w="960" w:type="dxa"/>
            <w:shd w:val="clear" w:color="auto" w:fill="auto"/>
            <w:noWrap/>
          </w:tcPr>
          <w:p w:rsidR="00A34037" w:rsidRPr="00356FB4" w:rsidRDefault="00A34037" w:rsidP="00D54C6C">
            <w:pPr>
              <w:jc w:val="right"/>
              <w:rPr>
                <w:rFonts w:cs="Arial"/>
                <w:i/>
                <w:iCs/>
                <w:highlight w:val="yellow"/>
              </w:rPr>
            </w:pPr>
          </w:p>
        </w:tc>
        <w:tc>
          <w:tcPr>
            <w:tcW w:w="566" w:type="dxa"/>
            <w:shd w:val="clear" w:color="auto" w:fill="auto"/>
            <w:noWrap/>
          </w:tcPr>
          <w:p w:rsidR="00A34037" w:rsidRPr="00356FB4" w:rsidRDefault="00A34037" w:rsidP="00D54C6C">
            <w:pPr>
              <w:jc w:val="right"/>
              <w:rPr>
                <w:rFonts w:cs="Arial"/>
                <w:i/>
                <w:iCs/>
                <w:highlight w:val="yellow"/>
              </w:rPr>
            </w:pPr>
          </w:p>
        </w:tc>
        <w:tc>
          <w:tcPr>
            <w:tcW w:w="8080" w:type="dxa"/>
            <w:shd w:val="clear" w:color="auto" w:fill="auto"/>
            <w:noWrap/>
          </w:tcPr>
          <w:p w:rsidR="00A34037" w:rsidRPr="00356FB4" w:rsidRDefault="00A34037" w:rsidP="00D54C6C">
            <w:pPr>
              <w:jc w:val="left"/>
              <w:rPr>
                <w:rFonts w:cs="Arial"/>
                <w:i/>
                <w:iCs/>
                <w:highlight w:val="yellow"/>
              </w:rPr>
            </w:pPr>
          </w:p>
        </w:tc>
      </w:tr>
      <w:tr w:rsidR="00A87F06" w:rsidRPr="001914BF" w:rsidTr="00A34037">
        <w:trPr>
          <w:cantSplit/>
        </w:trPr>
        <w:tc>
          <w:tcPr>
            <w:tcW w:w="960" w:type="dxa"/>
            <w:shd w:val="clear" w:color="auto" w:fill="auto"/>
            <w:noWrap/>
          </w:tcPr>
          <w:p w:rsidR="00A87F06" w:rsidRPr="00A405C7" w:rsidRDefault="00A87F06" w:rsidP="00D54C6C">
            <w:pPr>
              <w:jc w:val="right"/>
              <w:rPr>
                <w:rFonts w:cs="Arial"/>
              </w:rPr>
            </w:pPr>
          </w:p>
        </w:tc>
        <w:tc>
          <w:tcPr>
            <w:tcW w:w="566" w:type="dxa"/>
            <w:shd w:val="clear" w:color="auto" w:fill="auto"/>
            <w:noWrap/>
          </w:tcPr>
          <w:p w:rsidR="00A87F06" w:rsidRPr="00A405C7" w:rsidRDefault="00A87F06" w:rsidP="00D54C6C">
            <w:pPr>
              <w:jc w:val="right"/>
              <w:rPr>
                <w:rFonts w:cs="Arial"/>
              </w:rPr>
            </w:pPr>
          </w:p>
        </w:tc>
        <w:tc>
          <w:tcPr>
            <w:tcW w:w="8080" w:type="dxa"/>
            <w:shd w:val="clear" w:color="auto" w:fill="auto"/>
            <w:noWrap/>
          </w:tcPr>
          <w:p w:rsidR="00A87F06" w:rsidRPr="00153518" w:rsidRDefault="00A87F06" w:rsidP="00D54C6C">
            <w:pPr>
              <w:jc w:val="left"/>
              <w:rPr>
                <w:rFonts w:cs="Arial"/>
                <w:highlight w:val="yellow"/>
                <w:u w:val="single"/>
              </w:rPr>
            </w:pPr>
            <w:r w:rsidRPr="00685FCB">
              <w:rPr>
                <w:rFonts w:cs="Arial"/>
                <w:u w:val="single"/>
              </w:rPr>
              <w:t>Session II:</w:t>
            </w:r>
            <w:r w:rsidRPr="00153518">
              <w:rPr>
                <w:rFonts w:cs="Arial"/>
                <w:u w:val="single"/>
              </w:rPr>
              <w:t xml:space="preserve">  </w:t>
            </w:r>
            <w:r>
              <w:rPr>
                <w:rFonts w:cs="Arial"/>
                <w:u w:val="single"/>
              </w:rPr>
              <w:t>Analysis of court decisions on</w:t>
            </w:r>
            <w:r w:rsidRPr="00153518">
              <w:rPr>
                <w:rFonts w:cs="Arial"/>
                <w:u w:val="single"/>
              </w:rPr>
              <w:t xml:space="preserve"> propagating material</w:t>
            </w:r>
            <w:r>
              <w:rPr>
                <w:rFonts w:cs="Arial"/>
                <w:u w:val="single"/>
              </w:rPr>
              <w:t xml:space="preserve"> and</w:t>
            </w:r>
            <w:r w:rsidRPr="00153518">
              <w:rPr>
                <w:rFonts w:cs="Arial"/>
                <w:u w:val="single"/>
              </w:rPr>
              <w:t xml:space="preserve"> harvested material</w:t>
            </w:r>
          </w:p>
          <w:p w:rsidR="00A87F06" w:rsidRDefault="00A87F06" w:rsidP="00D54C6C">
            <w:pPr>
              <w:jc w:val="left"/>
              <w:rPr>
                <w:rFonts w:cs="Arial"/>
              </w:rPr>
            </w:pPr>
          </w:p>
          <w:p w:rsidR="00A87F06" w:rsidRPr="00A405C7" w:rsidRDefault="00A87F06" w:rsidP="00D54C6C">
            <w:pPr>
              <w:jc w:val="left"/>
              <w:rPr>
                <w:rFonts w:cs="Arial"/>
              </w:rPr>
            </w:pPr>
            <w:r w:rsidRPr="008B3809">
              <w:rPr>
                <w:rFonts w:cs="Arial"/>
              </w:rPr>
              <w:t>Moderator</w:t>
            </w:r>
            <w:r w:rsidRPr="00676EA3">
              <w:rPr>
                <w:rFonts w:cs="Arial"/>
              </w:rPr>
              <w:t xml:space="preserve">:  </w:t>
            </w:r>
            <w:r w:rsidRPr="00356FB4">
              <w:rPr>
                <w:rFonts w:cs="Arial"/>
              </w:rPr>
              <w:t>Ms. Yolanda Huerta, Legal Counsel, UPOV</w:t>
            </w:r>
            <w:r w:rsidRPr="008B3809">
              <w:rPr>
                <w:rFonts w:cs="Arial"/>
              </w:rPr>
              <w:t xml:space="preserve"> </w:t>
            </w:r>
          </w:p>
        </w:tc>
      </w:tr>
      <w:tr w:rsidR="00A87F06" w:rsidRPr="00356FB4" w:rsidTr="00A34037">
        <w:trPr>
          <w:cantSplit/>
        </w:trPr>
        <w:tc>
          <w:tcPr>
            <w:tcW w:w="960" w:type="dxa"/>
            <w:shd w:val="clear" w:color="auto" w:fill="auto"/>
            <w:noWrap/>
          </w:tcPr>
          <w:p w:rsidR="00A87F06" w:rsidRPr="00356FB4" w:rsidRDefault="00A87F06" w:rsidP="00D54C6C">
            <w:pPr>
              <w:jc w:val="right"/>
              <w:rPr>
                <w:rFonts w:cs="Arial"/>
                <w:i/>
                <w:iCs/>
                <w:highlight w:val="yellow"/>
              </w:rPr>
            </w:pPr>
          </w:p>
        </w:tc>
        <w:tc>
          <w:tcPr>
            <w:tcW w:w="566" w:type="dxa"/>
            <w:shd w:val="clear" w:color="auto" w:fill="auto"/>
            <w:noWrap/>
          </w:tcPr>
          <w:p w:rsidR="00A87F06" w:rsidRPr="00356FB4" w:rsidRDefault="00A87F06" w:rsidP="00D54C6C">
            <w:pPr>
              <w:jc w:val="right"/>
              <w:rPr>
                <w:rFonts w:cs="Arial"/>
                <w:i/>
                <w:iCs/>
                <w:highlight w:val="yellow"/>
              </w:rPr>
            </w:pPr>
          </w:p>
        </w:tc>
        <w:tc>
          <w:tcPr>
            <w:tcW w:w="8080" w:type="dxa"/>
            <w:shd w:val="clear" w:color="auto" w:fill="auto"/>
            <w:noWrap/>
          </w:tcPr>
          <w:p w:rsidR="00A87F06" w:rsidRPr="00356FB4" w:rsidRDefault="00A87F06" w:rsidP="00D54C6C">
            <w:pPr>
              <w:jc w:val="left"/>
              <w:rPr>
                <w:rFonts w:cs="Arial"/>
                <w:i/>
                <w:iCs/>
                <w:highlight w:val="yellow"/>
              </w:rPr>
            </w:pPr>
          </w:p>
        </w:tc>
      </w:tr>
      <w:tr w:rsidR="00A87F06" w:rsidRPr="00B325B3" w:rsidTr="00A34037">
        <w:trPr>
          <w:cantSplit/>
        </w:trPr>
        <w:tc>
          <w:tcPr>
            <w:tcW w:w="960" w:type="dxa"/>
            <w:shd w:val="clear" w:color="auto" w:fill="auto"/>
            <w:noWrap/>
          </w:tcPr>
          <w:p w:rsidR="00A87F06" w:rsidRPr="00807E8C" w:rsidRDefault="00A87F06" w:rsidP="00D54C6C">
            <w:pPr>
              <w:jc w:val="right"/>
              <w:rPr>
                <w:rFonts w:cs="Arial"/>
              </w:rPr>
            </w:pPr>
            <w:r>
              <w:rPr>
                <w:rFonts w:cs="Arial"/>
              </w:rPr>
              <w:t>11.30</w:t>
            </w:r>
          </w:p>
        </w:tc>
        <w:tc>
          <w:tcPr>
            <w:tcW w:w="566" w:type="dxa"/>
            <w:shd w:val="clear" w:color="auto" w:fill="auto"/>
            <w:noWrap/>
          </w:tcPr>
          <w:p w:rsidR="00A87F06" w:rsidRPr="00807E8C" w:rsidRDefault="00A87F06" w:rsidP="00D54C6C">
            <w:pPr>
              <w:jc w:val="right"/>
              <w:rPr>
                <w:rFonts w:cs="Arial"/>
              </w:rPr>
            </w:pPr>
          </w:p>
        </w:tc>
        <w:tc>
          <w:tcPr>
            <w:tcW w:w="8080" w:type="dxa"/>
            <w:shd w:val="clear" w:color="auto" w:fill="auto"/>
            <w:noWrap/>
          </w:tcPr>
          <w:p w:rsidR="00A87F06" w:rsidRPr="005E7195" w:rsidRDefault="00A87F06" w:rsidP="00D54C6C">
            <w:pPr>
              <w:jc w:val="left"/>
              <w:rPr>
                <w:snapToGrid w:val="0"/>
              </w:rPr>
            </w:pPr>
            <w:r w:rsidRPr="005E7195">
              <w:rPr>
                <w:snapToGrid w:val="0"/>
              </w:rPr>
              <w:t xml:space="preserve">Mr. Axel Metzger  </w:t>
            </w:r>
          </w:p>
          <w:p w:rsidR="00A87F06" w:rsidRPr="006769D0" w:rsidRDefault="00A87F06" w:rsidP="00D54C6C">
            <w:pPr>
              <w:jc w:val="left"/>
              <w:rPr>
                <w:i/>
                <w:snapToGrid w:val="0"/>
              </w:rPr>
            </w:pPr>
            <w:r w:rsidRPr="005E7195">
              <w:rPr>
                <w:i/>
                <w:snapToGrid w:val="0"/>
              </w:rPr>
              <w:t>University of Humboldt, Germany</w:t>
            </w:r>
          </w:p>
        </w:tc>
      </w:tr>
      <w:tr w:rsidR="00A87F06" w:rsidRPr="00B325B3" w:rsidTr="00A34037">
        <w:trPr>
          <w:cantSplit/>
        </w:trPr>
        <w:tc>
          <w:tcPr>
            <w:tcW w:w="960" w:type="dxa"/>
            <w:shd w:val="clear" w:color="auto" w:fill="auto"/>
            <w:noWrap/>
          </w:tcPr>
          <w:p w:rsidR="00A87F06" w:rsidRPr="00807E8C" w:rsidRDefault="00A87F06" w:rsidP="00D54C6C">
            <w:pPr>
              <w:jc w:val="right"/>
              <w:rPr>
                <w:rFonts w:cs="Arial"/>
              </w:rPr>
            </w:pPr>
          </w:p>
        </w:tc>
        <w:tc>
          <w:tcPr>
            <w:tcW w:w="566" w:type="dxa"/>
            <w:shd w:val="clear" w:color="auto" w:fill="auto"/>
            <w:noWrap/>
          </w:tcPr>
          <w:p w:rsidR="00A87F06" w:rsidRPr="00807E8C" w:rsidRDefault="00A87F06" w:rsidP="00D54C6C">
            <w:pPr>
              <w:jc w:val="right"/>
              <w:rPr>
                <w:rFonts w:cs="Arial"/>
              </w:rPr>
            </w:pPr>
          </w:p>
        </w:tc>
        <w:tc>
          <w:tcPr>
            <w:tcW w:w="8080" w:type="dxa"/>
            <w:shd w:val="clear" w:color="auto" w:fill="auto"/>
            <w:noWrap/>
          </w:tcPr>
          <w:p w:rsidR="00A87F06" w:rsidRPr="00A405C7" w:rsidRDefault="00A87F06" w:rsidP="00D54C6C">
            <w:pPr>
              <w:jc w:val="left"/>
              <w:rPr>
                <w:rFonts w:cs="Arial"/>
              </w:rPr>
            </w:pPr>
          </w:p>
        </w:tc>
      </w:tr>
      <w:tr w:rsidR="00A87F06" w:rsidRPr="00B325B3" w:rsidTr="00A34037">
        <w:trPr>
          <w:cantSplit/>
        </w:trPr>
        <w:tc>
          <w:tcPr>
            <w:tcW w:w="960" w:type="dxa"/>
            <w:shd w:val="clear" w:color="auto" w:fill="auto"/>
            <w:noWrap/>
          </w:tcPr>
          <w:p w:rsidR="00A87F06" w:rsidRPr="00807E8C" w:rsidRDefault="00A87F06" w:rsidP="00D54C6C">
            <w:pPr>
              <w:jc w:val="right"/>
              <w:rPr>
                <w:rFonts w:cs="Arial"/>
              </w:rPr>
            </w:pPr>
            <w:r>
              <w:rPr>
                <w:rFonts w:cs="Arial"/>
              </w:rPr>
              <w:t>11.50</w:t>
            </w:r>
          </w:p>
        </w:tc>
        <w:tc>
          <w:tcPr>
            <w:tcW w:w="566" w:type="dxa"/>
            <w:shd w:val="clear" w:color="auto" w:fill="auto"/>
            <w:noWrap/>
          </w:tcPr>
          <w:p w:rsidR="00A87F06" w:rsidRPr="00807E8C" w:rsidRDefault="00A87F06" w:rsidP="00D54C6C">
            <w:pPr>
              <w:jc w:val="right"/>
              <w:rPr>
                <w:rFonts w:cs="Arial"/>
              </w:rPr>
            </w:pPr>
          </w:p>
        </w:tc>
        <w:tc>
          <w:tcPr>
            <w:tcW w:w="8080" w:type="dxa"/>
            <w:shd w:val="clear" w:color="auto" w:fill="auto"/>
            <w:noWrap/>
          </w:tcPr>
          <w:p w:rsidR="00A87F06" w:rsidRPr="000F3795" w:rsidRDefault="00A87F06" w:rsidP="00D54C6C">
            <w:pPr>
              <w:jc w:val="left"/>
              <w:rPr>
                <w:rFonts w:cs="Arial"/>
              </w:rPr>
            </w:pPr>
            <w:r w:rsidRPr="000F3795">
              <w:rPr>
                <w:rFonts w:cs="Arial"/>
              </w:rPr>
              <w:t>(</w:t>
            </w:r>
            <w:r>
              <w:rPr>
                <w:rFonts w:cs="Arial"/>
              </w:rPr>
              <w:t xml:space="preserve">speaker </w:t>
            </w:r>
            <w:r w:rsidRPr="000F3795">
              <w:rPr>
                <w:rFonts w:cs="Arial"/>
              </w:rPr>
              <w:t xml:space="preserve">to be </w:t>
            </w:r>
            <w:r>
              <w:rPr>
                <w:rFonts w:cs="Arial"/>
              </w:rPr>
              <w:t>confirmed)</w:t>
            </w:r>
          </w:p>
          <w:p w:rsidR="00A87F06" w:rsidRPr="000F3795" w:rsidRDefault="00A87F06" w:rsidP="00D54C6C">
            <w:pPr>
              <w:jc w:val="left"/>
              <w:rPr>
                <w:rFonts w:cs="Arial"/>
                <w:i/>
              </w:rPr>
            </w:pPr>
            <w:r>
              <w:rPr>
                <w:rFonts w:cs="Arial"/>
                <w:i/>
              </w:rPr>
              <w:t xml:space="preserve">Academic expert, </w:t>
            </w:r>
            <w:r w:rsidRPr="000F3795">
              <w:rPr>
                <w:rFonts w:cs="Arial"/>
                <w:i/>
              </w:rPr>
              <w:t>Argentina</w:t>
            </w:r>
          </w:p>
        </w:tc>
      </w:tr>
      <w:tr w:rsidR="00A87F06" w:rsidRPr="001914BF" w:rsidTr="00A34037">
        <w:trPr>
          <w:cantSplit/>
        </w:trPr>
        <w:tc>
          <w:tcPr>
            <w:tcW w:w="960" w:type="dxa"/>
            <w:shd w:val="clear" w:color="auto" w:fill="auto"/>
            <w:noWrap/>
          </w:tcPr>
          <w:p w:rsidR="00A87F06" w:rsidRPr="00A405C7" w:rsidRDefault="00A87F06" w:rsidP="00D54C6C">
            <w:pPr>
              <w:jc w:val="right"/>
              <w:rPr>
                <w:rFonts w:cs="Arial"/>
              </w:rPr>
            </w:pPr>
          </w:p>
        </w:tc>
        <w:tc>
          <w:tcPr>
            <w:tcW w:w="566" w:type="dxa"/>
            <w:shd w:val="clear" w:color="auto" w:fill="auto"/>
            <w:noWrap/>
          </w:tcPr>
          <w:p w:rsidR="00A87F06" w:rsidRPr="00A405C7" w:rsidRDefault="00A87F06" w:rsidP="00D54C6C">
            <w:pPr>
              <w:jc w:val="right"/>
              <w:rPr>
                <w:rFonts w:cs="Arial"/>
              </w:rPr>
            </w:pPr>
          </w:p>
        </w:tc>
        <w:tc>
          <w:tcPr>
            <w:tcW w:w="8080" w:type="dxa"/>
            <w:shd w:val="clear" w:color="auto" w:fill="auto"/>
            <w:noWrap/>
          </w:tcPr>
          <w:p w:rsidR="00A87F06" w:rsidRPr="00A405C7" w:rsidRDefault="00A87F06" w:rsidP="00D54C6C">
            <w:pPr>
              <w:jc w:val="left"/>
              <w:rPr>
                <w:rFonts w:cs="Arial"/>
                <w:i/>
                <w:lang w:val="pt-BR"/>
              </w:rPr>
            </w:pPr>
          </w:p>
        </w:tc>
      </w:tr>
      <w:tr w:rsidR="00A87F06" w:rsidRPr="000741DD" w:rsidTr="00A34037">
        <w:trPr>
          <w:cantSplit/>
        </w:trPr>
        <w:tc>
          <w:tcPr>
            <w:tcW w:w="960" w:type="dxa"/>
            <w:shd w:val="clear" w:color="auto" w:fill="auto"/>
            <w:noWrap/>
          </w:tcPr>
          <w:p w:rsidR="00A87F06" w:rsidRPr="006D1882" w:rsidRDefault="00A87F06" w:rsidP="00D54C6C">
            <w:pPr>
              <w:jc w:val="right"/>
              <w:rPr>
                <w:rFonts w:cs="Arial"/>
              </w:rPr>
            </w:pPr>
            <w:r>
              <w:rPr>
                <w:rFonts w:cs="Arial"/>
              </w:rPr>
              <w:t>12.10</w:t>
            </w:r>
          </w:p>
        </w:tc>
        <w:tc>
          <w:tcPr>
            <w:tcW w:w="566" w:type="dxa"/>
            <w:shd w:val="clear" w:color="auto" w:fill="auto"/>
            <w:noWrap/>
          </w:tcPr>
          <w:p w:rsidR="00A87F06" w:rsidRPr="00271AA4" w:rsidRDefault="00A87F06" w:rsidP="00D54C6C">
            <w:pPr>
              <w:jc w:val="right"/>
              <w:rPr>
                <w:rFonts w:cs="Arial"/>
                <w:sz w:val="16"/>
                <w:szCs w:val="16"/>
              </w:rPr>
            </w:pPr>
          </w:p>
        </w:tc>
        <w:tc>
          <w:tcPr>
            <w:tcW w:w="8080" w:type="dxa"/>
            <w:shd w:val="clear" w:color="auto" w:fill="auto"/>
            <w:noWrap/>
          </w:tcPr>
          <w:p w:rsidR="00A87F06" w:rsidRDefault="00A87F06" w:rsidP="00D54C6C">
            <w:pPr>
              <w:jc w:val="left"/>
              <w:rPr>
                <w:snapToGrid w:val="0"/>
              </w:rPr>
            </w:pPr>
            <w:r>
              <w:rPr>
                <w:snapToGrid w:val="0"/>
              </w:rPr>
              <w:t>Mr.</w:t>
            </w:r>
            <w:r w:rsidRPr="003D4564">
              <w:rPr>
                <w:snapToGrid w:val="0"/>
              </w:rPr>
              <w:t xml:space="preserve"> Herbert </w:t>
            </w:r>
            <w:proofErr w:type="spellStart"/>
            <w:r w:rsidRPr="003D4564">
              <w:rPr>
                <w:snapToGrid w:val="0"/>
              </w:rPr>
              <w:t>Zech</w:t>
            </w:r>
            <w:proofErr w:type="spellEnd"/>
          </w:p>
          <w:p w:rsidR="00A87F06" w:rsidRPr="004914A5" w:rsidRDefault="00A87F06" w:rsidP="00D54C6C">
            <w:pPr>
              <w:jc w:val="left"/>
              <w:rPr>
                <w:i/>
                <w:snapToGrid w:val="0"/>
              </w:rPr>
            </w:pPr>
            <w:r w:rsidRPr="006A1CB9">
              <w:rPr>
                <w:i/>
                <w:snapToGrid w:val="0"/>
              </w:rPr>
              <w:t>University of Basel, Switzerland</w:t>
            </w:r>
          </w:p>
        </w:tc>
      </w:tr>
      <w:tr w:rsidR="00A87F06" w:rsidRPr="00B325B3" w:rsidTr="00A34037">
        <w:trPr>
          <w:cantSplit/>
        </w:trPr>
        <w:tc>
          <w:tcPr>
            <w:tcW w:w="960" w:type="dxa"/>
            <w:shd w:val="clear" w:color="auto" w:fill="auto"/>
            <w:noWrap/>
          </w:tcPr>
          <w:p w:rsidR="00A87F06" w:rsidRPr="00807E8C" w:rsidRDefault="00A87F06" w:rsidP="00D54C6C">
            <w:pPr>
              <w:jc w:val="right"/>
              <w:rPr>
                <w:rFonts w:cs="Arial"/>
              </w:rPr>
            </w:pPr>
          </w:p>
        </w:tc>
        <w:tc>
          <w:tcPr>
            <w:tcW w:w="566" w:type="dxa"/>
            <w:shd w:val="clear" w:color="auto" w:fill="auto"/>
            <w:noWrap/>
          </w:tcPr>
          <w:p w:rsidR="00A87F06" w:rsidRPr="00807E8C" w:rsidRDefault="00A87F06" w:rsidP="00D54C6C">
            <w:pPr>
              <w:jc w:val="right"/>
              <w:rPr>
                <w:rFonts w:cs="Arial"/>
              </w:rPr>
            </w:pPr>
          </w:p>
        </w:tc>
        <w:tc>
          <w:tcPr>
            <w:tcW w:w="8080" w:type="dxa"/>
            <w:shd w:val="clear" w:color="auto" w:fill="auto"/>
            <w:noWrap/>
          </w:tcPr>
          <w:p w:rsidR="00A87F06" w:rsidRPr="00A405C7" w:rsidRDefault="00A87F06" w:rsidP="00D54C6C">
            <w:pPr>
              <w:jc w:val="left"/>
              <w:rPr>
                <w:rFonts w:cs="Arial"/>
              </w:rPr>
            </w:pPr>
          </w:p>
        </w:tc>
      </w:tr>
      <w:tr w:rsidR="00A87F06" w:rsidRPr="008D0981" w:rsidTr="00A34037">
        <w:trPr>
          <w:cantSplit/>
        </w:trPr>
        <w:tc>
          <w:tcPr>
            <w:tcW w:w="960" w:type="dxa"/>
            <w:shd w:val="clear" w:color="auto" w:fill="auto"/>
            <w:noWrap/>
          </w:tcPr>
          <w:p w:rsidR="00A87F06" w:rsidRPr="008D0981" w:rsidRDefault="00A87F06" w:rsidP="00D54C6C">
            <w:pPr>
              <w:jc w:val="right"/>
              <w:rPr>
                <w:rFonts w:cs="Arial"/>
              </w:rPr>
            </w:pPr>
            <w:r w:rsidRPr="008D0981">
              <w:rPr>
                <w:rFonts w:cs="Arial"/>
              </w:rPr>
              <w:t>12.30</w:t>
            </w:r>
          </w:p>
        </w:tc>
        <w:tc>
          <w:tcPr>
            <w:tcW w:w="566" w:type="dxa"/>
            <w:shd w:val="clear" w:color="auto" w:fill="auto"/>
            <w:noWrap/>
          </w:tcPr>
          <w:p w:rsidR="00A87F06" w:rsidRPr="008D0981" w:rsidRDefault="00A87F06" w:rsidP="00D54C6C">
            <w:pPr>
              <w:jc w:val="right"/>
              <w:rPr>
                <w:rFonts w:cs="Arial"/>
              </w:rPr>
            </w:pPr>
          </w:p>
        </w:tc>
        <w:tc>
          <w:tcPr>
            <w:tcW w:w="8080" w:type="dxa"/>
            <w:shd w:val="clear" w:color="auto" w:fill="auto"/>
            <w:noWrap/>
          </w:tcPr>
          <w:p w:rsidR="00A87F06" w:rsidRPr="008D0981" w:rsidRDefault="00A87F06" w:rsidP="00D54C6C">
            <w:pPr>
              <w:jc w:val="left"/>
              <w:rPr>
                <w:rFonts w:cs="Arial"/>
              </w:rPr>
            </w:pPr>
            <w:r w:rsidRPr="008D0981">
              <w:rPr>
                <w:rFonts w:cs="Arial"/>
              </w:rPr>
              <w:t>Lunch</w:t>
            </w:r>
          </w:p>
        </w:tc>
      </w:tr>
      <w:tr w:rsidR="00A87F06" w:rsidRPr="008D0981" w:rsidTr="00A34037">
        <w:trPr>
          <w:cantSplit/>
        </w:trPr>
        <w:tc>
          <w:tcPr>
            <w:tcW w:w="960" w:type="dxa"/>
            <w:shd w:val="clear" w:color="auto" w:fill="auto"/>
            <w:noWrap/>
          </w:tcPr>
          <w:p w:rsidR="00A87F06" w:rsidRPr="008D0981" w:rsidRDefault="00A87F06" w:rsidP="00D54C6C">
            <w:pPr>
              <w:jc w:val="right"/>
              <w:rPr>
                <w:rFonts w:cs="Arial"/>
              </w:rPr>
            </w:pPr>
          </w:p>
        </w:tc>
        <w:tc>
          <w:tcPr>
            <w:tcW w:w="566" w:type="dxa"/>
            <w:shd w:val="clear" w:color="auto" w:fill="auto"/>
            <w:noWrap/>
          </w:tcPr>
          <w:p w:rsidR="00A87F06" w:rsidRPr="008D0981" w:rsidRDefault="00A87F06" w:rsidP="00D54C6C">
            <w:pPr>
              <w:jc w:val="right"/>
              <w:rPr>
                <w:rFonts w:cs="Arial"/>
              </w:rPr>
            </w:pPr>
          </w:p>
        </w:tc>
        <w:tc>
          <w:tcPr>
            <w:tcW w:w="8080" w:type="dxa"/>
            <w:shd w:val="clear" w:color="auto" w:fill="auto"/>
            <w:noWrap/>
          </w:tcPr>
          <w:p w:rsidR="00A87F06" w:rsidRPr="008D0981" w:rsidRDefault="00A87F06" w:rsidP="00D54C6C">
            <w:pPr>
              <w:jc w:val="left"/>
              <w:rPr>
                <w:rFonts w:cs="Arial"/>
              </w:rPr>
            </w:pPr>
          </w:p>
        </w:tc>
      </w:tr>
      <w:tr w:rsidR="00A87F06" w:rsidRPr="001914BF" w:rsidTr="00A34037">
        <w:trPr>
          <w:cantSplit/>
        </w:trPr>
        <w:tc>
          <w:tcPr>
            <w:tcW w:w="960" w:type="dxa"/>
            <w:shd w:val="clear" w:color="auto" w:fill="auto"/>
            <w:noWrap/>
          </w:tcPr>
          <w:p w:rsidR="00A87F06" w:rsidRPr="00500997" w:rsidRDefault="00A87F06" w:rsidP="00D54C6C">
            <w:pPr>
              <w:jc w:val="right"/>
              <w:rPr>
                <w:rFonts w:cs="Arial"/>
              </w:rPr>
            </w:pPr>
          </w:p>
        </w:tc>
        <w:tc>
          <w:tcPr>
            <w:tcW w:w="566" w:type="dxa"/>
            <w:shd w:val="clear" w:color="auto" w:fill="auto"/>
            <w:noWrap/>
          </w:tcPr>
          <w:p w:rsidR="00A87F06" w:rsidRPr="00500997" w:rsidRDefault="00A87F06" w:rsidP="00D54C6C">
            <w:pPr>
              <w:jc w:val="right"/>
              <w:rPr>
                <w:rFonts w:cs="Arial"/>
              </w:rPr>
            </w:pPr>
          </w:p>
        </w:tc>
        <w:tc>
          <w:tcPr>
            <w:tcW w:w="8080" w:type="dxa"/>
            <w:shd w:val="clear" w:color="auto" w:fill="auto"/>
            <w:noWrap/>
          </w:tcPr>
          <w:p w:rsidR="00A87F06" w:rsidRDefault="00A87F06" w:rsidP="00D54C6C">
            <w:pPr>
              <w:jc w:val="left"/>
              <w:rPr>
                <w:rFonts w:cs="Arial"/>
                <w:u w:val="single"/>
              </w:rPr>
            </w:pPr>
            <w:r w:rsidRPr="00685FCB">
              <w:rPr>
                <w:rFonts w:cs="Arial"/>
                <w:u w:val="single"/>
              </w:rPr>
              <w:t>Session III:</w:t>
            </w:r>
            <w:r w:rsidRPr="00FA685B">
              <w:rPr>
                <w:rFonts w:cs="Arial"/>
                <w:u w:val="single"/>
              </w:rPr>
              <w:t xml:space="preserve">  </w:t>
            </w:r>
            <w:r>
              <w:rPr>
                <w:rFonts w:cs="Arial"/>
                <w:u w:val="single"/>
              </w:rPr>
              <w:t>Experiences of c</w:t>
            </w:r>
            <w:r w:rsidRPr="00FA685B">
              <w:rPr>
                <w:rFonts w:cs="Arial"/>
                <w:u w:val="single"/>
              </w:rPr>
              <w:t xml:space="preserve">ases </w:t>
            </w:r>
            <w:r>
              <w:rPr>
                <w:rFonts w:cs="Arial"/>
                <w:u w:val="single"/>
              </w:rPr>
              <w:t xml:space="preserve">concerning </w:t>
            </w:r>
            <w:r w:rsidRPr="00FA685B">
              <w:rPr>
                <w:rFonts w:cs="Arial"/>
                <w:u w:val="single"/>
              </w:rPr>
              <w:t xml:space="preserve">propagating material </w:t>
            </w:r>
            <w:r>
              <w:rPr>
                <w:rFonts w:cs="Arial"/>
                <w:u w:val="single"/>
              </w:rPr>
              <w:t>and harvested material</w:t>
            </w:r>
          </w:p>
          <w:p w:rsidR="00A87F06" w:rsidRDefault="00A87F06" w:rsidP="00D54C6C">
            <w:pPr>
              <w:jc w:val="left"/>
              <w:rPr>
                <w:rFonts w:cs="Arial"/>
                <w:bCs/>
                <w:highlight w:val="yellow"/>
              </w:rPr>
            </w:pPr>
          </w:p>
          <w:p w:rsidR="00A87F06" w:rsidRPr="00B325B3" w:rsidRDefault="00A87F06" w:rsidP="00A34037">
            <w:pPr>
              <w:jc w:val="left"/>
              <w:rPr>
                <w:rFonts w:cs="Arial"/>
                <w:bCs/>
                <w:highlight w:val="yellow"/>
              </w:rPr>
            </w:pPr>
            <w:r w:rsidRPr="00A405C7">
              <w:rPr>
                <w:rFonts w:cs="Arial"/>
              </w:rPr>
              <w:t xml:space="preserve">Moderator:  Mr. Martin </w:t>
            </w:r>
            <w:proofErr w:type="spellStart"/>
            <w:r w:rsidRPr="00A405C7">
              <w:rPr>
                <w:rFonts w:cs="Arial"/>
              </w:rPr>
              <w:t>Ekvad</w:t>
            </w:r>
            <w:proofErr w:type="spellEnd"/>
            <w:r w:rsidRPr="00A405C7">
              <w:rPr>
                <w:rFonts w:cs="Arial"/>
              </w:rPr>
              <w:t>, Chair of the Administrative and Legal Committee</w:t>
            </w:r>
          </w:p>
        </w:tc>
      </w:tr>
      <w:tr w:rsidR="00A34037" w:rsidRPr="00356FB4" w:rsidTr="00D54C6C">
        <w:trPr>
          <w:cantSplit/>
        </w:trPr>
        <w:tc>
          <w:tcPr>
            <w:tcW w:w="960" w:type="dxa"/>
            <w:shd w:val="clear" w:color="auto" w:fill="auto"/>
            <w:noWrap/>
          </w:tcPr>
          <w:p w:rsidR="00A34037" w:rsidRPr="00356FB4" w:rsidRDefault="00A34037" w:rsidP="00D54C6C">
            <w:pPr>
              <w:jc w:val="right"/>
              <w:rPr>
                <w:rFonts w:cs="Arial"/>
                <w:i/>
                <w:iCs/>
                <w:highlight w:val="yellow"/>
              </w:rPr>
            </w:pPr>
          </w:p>
        </w:tc>
        <w:tc>
          <w:tcPr>
            <w:tcW w:w="566" w:type="dxa"/>
            <w:shd w:val="clear" w:color="auto" w:fill="auto"/>
            <w:noWrap/>
          </w:tcPr>
          <w:p w:rsidR="00A34037" w:rsidRPr="00356FB4" w:rsidRDefault="00A34037" w:rsidP="00D54C6C">
            <w:pPr>
              <w:jc w:val="right"/>
              <w:rPr>
                <w:rFonts w:cs="Arial"/>
                <w:i/>
                <w:iCs/>
                <w:highlight w:val="yellow"/>
              </w:rPr>
            </w:pPr>
          </w:p>
        </w:tc>
        <w:tc>
          <w:tcPr>
            <w:tcW w:w="8080" w:type="dxa"/>
            <w:shd w:val="clear" w:color="auto" w:fill="auto"/>
            <w:noWrap/>
          </w:tcPr>
          <w:p w:rsidR="00A34037" w:rsidRPr="00356FB4" w:rsidRDefault="00A34037" w:rsidP="00D54C6C">
            <w:pPr>
              <w:jc w:val="left"/>
              <w:rPr>
                <w:rFonts w:cs="Arial"/>
                <w:i/>
                <w:iCs/>
                <w:highlight w:val="yellow"/>
              </w:rPr>
            </w:pPr>
          </w:p>
        </w:tc>
      </w:tr>
      <w:tr w:rsidR="00A87F06" w:rsidRPr="00BC5E64" w:rsidTr="00A34037">
        <w:trPr>
          <w:cantSplit/>
        </w:trPr>
        <w:tc>
          <w:tcPr>
            <w:tcW w:w="960" w:type="dxa"/>
            <w:shd w:val="clear" w:color="auto" w:fill="auto"/>
            <w:noWrap/>
          </w:tcPr>
          <w:p w:rsidR="00A87F06" w:rsidRPr="00104ADC" w:rsidRDefault="00A87F06" w:rsidP="00A34037">
            <w:pPr>
              <w:keepNext/>
              <w:jc w:val="right"/>
              <w:rPr>
                <w:rFonts w:cs="Arial"/>
              </w:rPr>
            </w:pPr>
            <w:r w:rsidRPr="006D1882">
              <w:rPr>
                <w:rFonts w:cs="Arial"/>
              </w:rPr>
              <w:t>1</w:t>
            </w:r>
            <w:r>
              <w:rPr>
                <w:rFonts w:cs="Arial"/>
              </w:rPr>
              <w:t>4</w:t>
            </w:r>
            <w:r w:rsidRPr="006D1882">
              <w:rPr>
                <w:rFonts w:cs="Arial"/>
              </w:rPr>
              <w:t>.</w:t>
            </w:r>
            <w:r>
              <w:rPr>
                <w:rFonts w:cs="Arial"/>
              </w:rPr>
              <w:t>3</w:t>
            </w:r>
            <w:r w:rsidRPr="006D1882">
              <w:rPr>
                <w:rFonts w:cs="Arial"/>
              </w:rPr>
              <w:t>0</w:t>
            </w:r>
          </w:p>
        </w:tc>
        <w:tc>
          <w:tcPr>
            <w:tcW w:w="566" w:type="dxa"/>
            <w:shd w:val="clear" w:color="auto" w:fill="auto"/>
            <w:noWrap/>
          </w:tcPr>
          <w:p w:rsidR="00A87F06" w:rsidRPr="00104ADC" w:rsidRDefault="00A87F06" w:rsidP="00A34037">
            <w:pPr>
              <w:keepNext/>
              <w:jc w:val="right"/>
              <w:rPr>
                <w:rFonts w:cs="Arial"/>
              </w:rPr>
            </w:pPr>
          </w:p>
        </w:tc>
        <w:tc>
          <w:tcPr>
            <w:tcW w:w="8080" w:type="dxa"/>
            <w:shd w:val="clear" w:color="auto" w:fill="auto"/>
            <w:noWrap/>
          </w:tcPr>
          <w:p w:rsidR="00A87F06" w:rsidRPr="00477D10" w:rsidRDefault="00A87F06" w:rsidP="00A34037">
            <w:pPr>
              <w:keepNext/>
              <w:jc w:val="left"/>
              <w:rPr>
                <w:snapToGrid w:val="0"/>
              </w:rPr>
            </w:pPr>
            <w:r w:rsidRPr="00477D10">
              <w:rPr>
                <w:snapToGrid w:val="0"/>
              </w:rPr>
              <w:t xml:space="preserve">Mr. Antonio </w:t>
            </w:r>
            <w:proofErr w:type="spellStart"/>
            <w:r w:rsidRPr="00477D10">
              <w:rPr>
                <w:snapToGrid w:val="0"/>
              </w:rPr>
              <w:t>Villarroel</w:t>
            </w:r>
            <w:proofErr w:type="spellEnd"/>
          </w:p>
          <w:p w:rsidR="00A87F06" w:rsidRPr="00BC5E64" w:rsidRDefault="00A87F06" w:rsidP="00A34037">
            <w:pPr>
              <w:keepNext/>
              <w:jc w:val="left"/>
              <w:rPr>
                <w:rFonts w:cs="Arial"/>
                <w:lang w:val="es-ES"/>
              </w:rPr>
            </w:pPr>
            <w:r>
              <w:rPr>
                <w:i/>
                <w:snapToGrid w:val="0"/>
                <w:lang w:val="es-ES"/>
              </w:rPr>
              <w:t xml:space="preserve">Asociación Nacional de Obtentores Vegetales (ANOVE), </w:t>
            </w:r>
            <w:proofErr w:type="spellStart"/>
            <w:r>
              <w:rPr>
                <w:i/>
                <w:snapToGrid w:val="0"/>
                <w:lang w:val="es-ES"/>
              </w:rPr>
              <w:t>Spain</w:t>
            </w:r>
            <w:proofErr w:type="spellEnd"/>
          </w:p>
        </w:tc>
      </w:tr>
      <w:tr w:rsidR="00A87F06" w:rsidRPr="002A6AF6" w:rsidTr="00A34037">
        <w:trPr>
          <w:cantSplit/>
        </w:trPr>
        <w:tc>
          <w:tcPr>
            <w:tcW w:w="960" w:type="dxa"/>
            <w:shd w:val="clear" w:color="auto" w:fill="auto"/>
            <w:noWrap/>
          </w:tcPr>
          <w:p w:rsidR="00A87F06" w:rsidRPr="00BC5E64" w:rsidRDefault="00A87F06" w:rsidP="00D54C6C">
            <w:pPr>
              <w:jc w:val="right"/>
              <w:rPr>
                <w:rFonts w:cs="Arial"/>
                <w:highlight w:val="yellow"/>
                <w:lang w:val="es-ES"/>
              </w:rPr>
            </w:pPr>
          </w:p>
        </w:tc>
        <w:tc>
          <w:tcPr>
            <w:tcW w:w="566" w:type="dxa"/>
            <w:shd w:val="clear" w:color="auto" w:fill="auto"/>
            <w:noWrap/>
          </w:tcPr>
          <w:p w:rsidR="00A87F06" w:rsidRPr="00BC5E64" w:rsidRDefault="00A87F06" w:rsidP="00D54C6C">
            <w:pPr>
              <w:jc w:val="right"/>
              <w:rPr>
                <w:rFonts w:cs="Arial"/>
                <w:highlight w:val="yellow"/>
                <w:lang w:val="es-ES"/>
              </w:rPr>
            </w:pPr>
          </w:p>
        </w:tc>
        <w:tc>
          <w:tcPr>
            <w:tcW w:w="8080" w:type="dxa"/>
            <w:shd w:val="clear" w:color="auto" w:fill="auto"/>
            <w:noWrap/>
          </w:tcPr>
          <w:p w:rsidR="00A87F06" w:rsidRPr="00BC5E64" w:rsidRDefault="00A87F06" w:rsidP="00D54C6C">
            <w:pPr>
              <w:jc w:val="left"/>
              <w:rPr>
                <w:i/>
                <w:snapToGrid w:val="0"/>
                <w:lang w:val="es-ES"/>
              </w:rPr>
            </w:pPr>
          </w:p>
        </w:tc>
      </w:tr>
      <w:tr w:rsidR="00A87F06" w:rsidRPr="00B325B3" w:rsidTr="00A34037">
        <w:trPr>
          <w:cantSplit/>
        </w:trPr>
        <w:tc>
          <w:tcPr>
            <w:tcW w:w="960" w:type="dxa"/>
            <w:shd w:val="clear" w:color="auto" w:fill="auto"/>
            <w:noWrap/>
          </w:tcPr>
          <w:p w:rsidR="00A87F06" w:rsidRDefault="00A87F06" w:rsidP="00D54C6C">
            <w:pPr>
              <w:jc w:val="right"/>
              <w:rPr>
                <w:rFonts w:cs="Arial"/>
              </w:rPr>
            </w:pPr>
            <w:r>
              <w:rPr>
                <w:rFonts w:cs="Arial"/>
              </w:rPr>
              <w:t>14.50</w:t>
            </w:r>
          </w:p>
          <w:p w:rsidR="00A87F06" w:rsidRPr="00B325B3" w:rsidRDefault="00A87F06" w:rsidP="00D54C6C">
            <w:pPr>
              <w:jc w:val="right"/>
              <w:rPr>
                <w:rFonts w:cs="Arial"/>
                <w:highlight w:val="yellow"/>
              </w:rPr>
            </w:pP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Default="00A87F06" w:rsidP="00D54C6C">
            <w:pPr>
              <w:jc w:val="left"/>
              <w:rPr>
                <w:snapToGrid w:val="0"/>
              </w:rPr>
            </w:pPr>
            <w:r w:rsidRPr="000741DD">
              <w:rPr>
                <w:snapToGrid w:val="0"/>
              </w:rPr>
              <w:t xml:space="preserve">Mr. </w:t>
            </w:r>
            <w:r>
              <w:rPr>
                <w:snapToGrid w:val="0"/>
              </w:rPr>
              <w:t>Nik Hulse</w:t>
            </w:r>
          </w:p>
          <w:p w:rsidR="00A87F06" w:rsidRPr="004914A5" w:rsidRDefault="00A87F06" w:rsidP="00D54C6C">
            <w:pPr>
              <w:jc w:val="left"/>
              <w:rPr>
                <w:i/>
                <w:snapToGrid w:val="0"/>
              </w:rPr>
            </w:pPr>
            <w:r w:rsidRPr="000741DD">
              <w:rPr>
                <w:i/>
                <w:snapToGrid w:val="0"/>
              </w:rPr>
              <w:t>A/g Chief of Plant Breeders' Rights, Plant Breeder's Rights Office, IP Australia</w:t>
            </w:r>
          </w:p>
        </w:tc>
      </w:tr>
      <w:tr w:rsidR="00A87F06" w:rsidRPr="000741DD" w:rsidTr="00A34037">
        <w:trPr>
          <w:cantSplit/>
        </w:trPr>
        <w:tc>
          <w:tcPr>
            <w:tcW w:w="960" w:type="dxa"/>
            <w:shd w:val="clear" w:color="auto" w:fill="auto"/>
            <w:noWrap/>
          </w:tcPr>
          <w:p w:rsidR="00A87F06" w:rsidRPr="000741DD" w:rsidRDefault="00A87F06" w:rsidP="00D54C6C">
            <w:pPr>
              <w:jc w:val="right"/>
              <w:rPr>
                <w:rFonts w:cs="Arial"/>
                <w:highlight w:val="yellow"/>
              </w:rPr>
            </w:pPr>
          </w:p>
        </w:tc>
        <w:tc>
          <w:tcPr>
            <w:tcW w:w="566" w:type="dxa"/>
            <w:shd w:val="clear" w:color="auto" w:fill="auto"/>
            <w:noWrap/>
          </w:tcPr>
          <w:p w:rsidR="00A87F06" w:rsidRPr="000741DD" w:rsidRDefault="00A87F06" w:rsidP="00D54C6C">
            <w:pPr>
              <w:jc w:val="right"/>
              <w:rPr>
                <w:rFonts w:cs="Arial"/>
                <w:highlight w:val="yellow"/>
              </w:rPr>
            </w:pPr>
          </w:p>
        </w:tc>
        <w:tc>
          <w:tcPr>
            <w:tcW w:w="8080" w:type="dxa"/>
            <w:shd w:val="clear" w:color="auto" w:fill="auto"/>
            <w:noWrap/>
          </w:tcPr>
          <w:p w:rsidR="00A87F06" w:rsidRPr="000741DD" w:rsidRDefault="00A87F06" w:rsidP="00D54C6C">
            <w:pPr>
              <w:jc w:val="left"/>
              <w:rPr>
                <w:i/>
                <w:snapToGrid w:val="0"/>
              </w:rPr>
            </w:pP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r>
              <w:rPr>
                <w:rFonts w:cs="Arial"/>
              </w:rPr>
              <w:t>15.10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11614E" w:rsidRDefault="00A87F06" w:rsidP="00D54C6C">
            <w:pPr>
              <w:jc w:val="left"/>
              <w:rPr>
                <w:rFonts w:cs="Arial"/>
                <w:iCs/>
              </w:rPr>
            </w:pPr>
            <w:r w:rsidRPr="0011614E">
              <w:rPr>
                <w:rFonts w:cs="Arial"/>
                <w:iCs/>
              </w:rPr>
              <w:t>(speaker to be confirmed)</w:t>
            </w:r>
          </w:p>
          <w:p w:rsidR="00A87F06" w:rsidRPr="00BC5E64" w:rsidRDefault="00A87F06" w:rsidP="00D54C6C">
            <w:pPr>
              <w:jc w:val="left"/>
              <w:rPr>
                <w:rFonts w:cs="Arial"/>
                <w:i/>
              </w:rPr>
            </w:pPr>
            <w:r w:rsidRPr="00104ADC">
              <w:rPr>
                <w:rFonts w:cs="Arial"/>
                <w:i/>
              </w:rPr>
              <w:t>Royal</w:t>
            </w:r>
            <w:r>
              <w:rPr>
                <w:rFonts w:cs="Arial"/>
                <w:i/>
              </w:rPr>
              <w:t>ty Administration International, Netherlands</w:t>
            </w: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104ADC" w:rsidRDefault="00A87F06" w:rsidP="00D54C6C">
            <w:pPr>
              <w:jc w:val="left"/>
              <w:rPr>
                <w:rFonts w:cs="Arial"/>
                <w:i/>
              </w:rPr>
            </w:pPr>
          </w:p>
        </w:tc>
      </w:tr>
      <w:tr w:rsidR="00A87F06" w:rsidRPr="001914BF" w:rsidTr="00A34037">
        <w:trPr>
          <w:cantSplit/>
        </w:trPr>
        <w:tc>
          <w:tcPr>
            <w:tcW w:w="960" w:type="dxa"/>
            <w:shd w:val="clear" w:color="auto" w:fill="auto"/>
            <w:noWrap/>
          </w:tcPr>
          <w:p w:rsidR="00A87F06" w:rsidRPr="004914A5" w:rsidRDefault="00A87F06" w:rsidP="00D54C6C">
            <w:pPr>
              <w:jc w:val="right"/>
              <w:rPr>
                <w:rFonts w:cs="Arial"/>
              </w:rPr>
            </w:pPr>
            <w:r>
              <w:rPr>
                <w:rFonts w:cs="Arial"/>
              </w:rPr>
              <w:t>15.30</w:t>
            </w:r>
          </w:p>
        </w:tc>
        <w:tc>
          <w:tcPr>
            <w:tcW w:w="566" w:type="dxa"/>
            <w:shd w:val="clear" w:color="auto" w:fill="auto"/>
            <w:noWrap/>
          </w:tcPr>
          <w:p w:rsidR="00A87F06" w:rsidRPr="001914BF" w:rsidRDefault="00A87F06" w:rsidP="00D54C6C">
            <w:pPr>
              <w:jc w:val="right"/>
              <w:rPr>
                <w:rFonts w:cs="Arial"/>
                <w:highlight w:val="yellow"/>
              </w:rPr>
            </w:pPr>
          </w:p>
        </w:tc>
        <w:tc>
          <w:tcPr>
            <w:tcW w:w="8080" w:type="dxa"/>
            <w:shd w:val="clear" w:color="auto" w:fill="auto"/>
            <w:noWrap/>
          </w:tcPr>
          <w:p w:rsidR="00A87F06" w:rsidRPr="0011614E" w:rsidRDefault="00A87F06" w:rsidP="00D54C6C">
            <w:pPr>
              <w:jc w:val="left"/>
              <w:rPr>
                <w:rFonts w:cs="Arial"/>
                <w:iCs/>
              </w:rPr>
            </w:pPr>
            <w:r>
              <w:rPr>
                <w:rFonts w:cs="Arial"/>
                <w:iCs/>
              </w:rPr>
              <w:t>(speaker</w:t>
            </w:r>
            <w:r w:rsidRPr="0011614E">
              <w:rPr>
                <w:rFonts w:cs="Arial"/>
                <w:iCs/>
              </w:rPr>
              <w:t xml:space="preserve"> to be confirmed)</w:t>
            </w:r>
          </w:p>
          <w:p w:rsidR="00A87F06" w:rsidRPr="0011614E" w:rsidRDefault="00A87F06" w:rsidP="00D54C6C">
            <w:pPr>
              <w:jc w:val="left"/>
              <w:rPr>
                <w:rFonts w:cs="Arial"/>
                <w:i/>
                <w:highlight w:val="yellow"/>
              </w:rPr>
            </w:pPr>
            <w:proofErr w:type="spellStart"/>
            <w:r w:rsidRPr="0011614E">
              <w:rPr>
                <w:rFonts w:cs="Arial"/>
                <w:i/>
              </w:rPr>
              <w:t>Instituto</w:t>
            </w:r>
            <w:proofErr w:type="spellEnd"/>
            <w:r w:rsidRPr="0011614E">
              <w:rPr>
                <w:rFonts w:cs="Arial"/>
                <w:i/>
              </w:rPr>
              <w:t xml:space="preserve"> Nacional de </w:t>
            </w:r>
            <w:proofErr w:type="spellStart"/>
            <w:r w:rsidRPr="0011614E">
              <w:rPr>
                <w:rFonts w:cs="Arial"/>
                <w:i/>
              </w:rPr>
              <w:t>Semillas</w:t>
            </w:r>
            <w:proofErr w:type="spellEnd"/>
            <w:r w:rsidRPr="0011614E">
              <w:rPr>
                <w:rFonts w:cs="Arial"/>
                <w:i/>
              </w:rPr>
              <w:t xml:space="preserve"> (INASE)</w:t>
            </w:r>
            <w:r>
              <w:rPr>
                <w:rFonts w:cs="Arial"/>
                <w:i/>
              </w:rPr>
              <w:t xml:space="preserve">, </w:t>
            </w:r>
            <w:r w:rsidRPr="0011614E">
              <w:rPr>
                <w:rFonts w:cs="Arial"/>
                <w:i/>
              </w:rPr>
              <w:t>Argentina</w:t>
            </w: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104ADC" w:rsidRDefault="00A87F06" w:rsidP="00D54C6C">
            <w:pPr>
              <w:jc w:val="left"/>
              <w:rPr>
                <w:rFonts w:cs="Arial"/>
                <w:i/>
              </w:rPr>
            </w:pP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r w:rsidRPr="000741DD">
              <w:rPr>
                <w:rFonts w:cs="Arial"/>
              </w:rPr>
              <w:t>15.50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11614E" w:rsidRDefault="00A87F06" w:rsidP="00D54C6C">
            <w:pPr>
              <w:jc w:val="left"/>
              <w:rPr>
                <w:snapToGrid w:val="0"/>
              </w:rPr>
            </w:pPr>
            <w:r w:rsidRPr="0011614E">
              <w:rPr>
                <w:snapToGrid w:val="0"/>
              </w:rPr>
              <w:t xml:space="preserve">Mr. Kasper van </w:t>
            </w:r>
            <w:proofErr w:type="spellStart"/>
            <w:r w:rsidRPr="0011614E">
              <w:rPr>
                <w:snapToGrid w:val="0"/>
              </w:rPr>
              <w:t>Kempen</w:t>
            </w:r>
            <w:proofErr w:type="spellEnd"/>
            <w:r>
              <w:rPr>
                <w:snapToGrid w:val="0"/>
              </w:rPr>
              <w:t xml:space="preserve"> </w:t>
            </w:r>
            <w:r>
              <w:rPr>
                <w:rFonts w:cs="Arial"/>
                <w:i/>
              </w:rPr>
              <w:t>(to be confirmed)</w:t>
            </w:r>
          </w:p>
          <w:p w:rsidR="00A87F06" w:rsidRPr="00BC5E64" w:rsidRDefault="00A87F06" w:rsidP="00D54C6C">
            <w:pPr>
              <w:jc w:val="left"/>
              <w:rPr>
                <w:rFonts w:cs="Arial"/>
                <w:i/>
              </w:rPr>
            </w:pPr>
            <w:r w:rsidRPr="006A1CB9">
              <w:rPr>
                <w:rFonts w:cs="Arial"/>
                <w:i/>
              </w:rPr>
              <w:t>Anti-Infringement Bureau for Intellectual Property Rights on Plant Material (AIB), Belgium</w:t>
            </w:r>
            <w:r>
              <w:rPr>
                <w:rFonts w:cs="Arial"/>
                <w:i/>
              </w:rPr>
              <w:t xml:space="preserve"> </w:t>
            </w:r>
          </w:p>
        </w:tc>
      </w:tr>
      <w:tr w:rsidR="00A87F06" w:rsidRPr="00B325B3" w:rsidTr="00A34037">
        <w:trPr>
          <w:cantSplit/>
        </w:trPr>
        <w:tc>
          <w:tcPr>
            <w:tcW w:w="960" w:type="dxa"/>
            <w:shd w:val="clear" w:color="auto" w:fill="auto"/>
            <w:noWrap/>
          </w:tcPr>
          <w:p w:rsidR="00A87F06" w:rsidRPr="00B325B3" w:rsidRDefault="00A87F06" w:rsidP="00D54C6C">
            <w:pPr>
              <w:jc w:val="right"/>
              <w:rPr>
                <w:rFonts w:cs="Arial"/>
                <w:highlight w:val="yellow"/>
              </w:rPr>
            </w:pP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104ADC" w:rsidRDefault="00A87F06" w:rsidP="00D54C6C">
            <w:pPr>
              <w:jc w:val="left"/>
              <w:rPr>
                <w:rFonts w:cs="Arial"/>
                <w:i/>
              </w:rPr>
            </w:pPr>
          </w:p>
        </w:tc>
      </w:tr>
      <w:tr w:rsidR="00A87F06" w:rsidRPr="005E7195" w:rsidTr="00A34037">
        <w:trPr>
          <w:cantSplit/>
        </w:trPr>
        <w:tc>
          <w:tcPr>
            <w:tcW w:w="960" w:type="dxa"/>
            <w:shd w:val="clear" w:color="auto" w:fill="auto"/>
            <w:noWrap/>
          </w:tcPr>
          <w:p w:rsidR="00A87F06" w:rsidRPr="00B325B3" w:rsidRDefault="00A87F06" w:rsidP="00D54C6C">
            <w:pPr>
              <w:jc w:val="right"/>
              <w:rPr>
                <w:rFonts w:cs="Arial"/>
                <w:highlight w:val="yellow"/>
              </w:rPr>
            </w:pPr>
            <w:r>
              <w:rPr>
                <w:rFonts w:cs="Arial"/>
              </w:rPr>
              <w:t>16</w:t>
            </w:r>
            <w:r w:rsidRPr="000741DD">
              <w:rPr>
                <w:rFonts w:cs="Arial"/>
              </w:rPr>
              <w:t>.</w:t>
            </w:r>
            <w:r>
              <w:rPr>
                <w:rFonts w:cs="Arial"/>
              </w:rPr>
              <w:t>1</w:t>
            </w:r>
            <w:r w:rsidRPr="000741DD">
              <w:rPr>
                <w:rFonts w:cs="Arial"/>
              </w:rPr>
              <w:t>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Pr="0011614E" w:rsidRDefault="00A87F06" w:rsidP="00D54C6C">
            <w:pPr>
              <w:jc w:val="left"/>
              <w:rPr>
                <w:snapToGrid w:val="0"/>
              </w:rPr>
            </w:pPr>
            <w:r w:rsidRPr="0011614E">
              <w:rPr>
                <w:snapToGrid w:val="0"/>
              </w:rPr>
              <w:t xml:space="preserve">Mr. </w:t>
            </w:r>
            <w:proofErr w:type="spellStart"/>
            <w:r w:rsidRPr="0011614E">
              <w:rPr>
                <w:snapToGrid w:val="0"/>
              </w:rPr>
              <w:t>Ger</w:t>
            </w:r>
            <w:r>
              <w:rPr>
                <w:snapToGrid w:val="0"/>
              </w:rPr>
              <w:t>t</w:t>
            </w:r>
            <w:proofErr w:type="spellEnd"/>
            <w:r w:rsidRPr="0011614E">
              <w:rPr>
                <w:snapToGrid w:val="0"/>
              </w:rPr>
              <w:t xml:space="preserve"> </w:t>
            </w:r>
            <w:proofErr w:type="spellStart"/>
            <w:r w:rsidRPr="0011614E">
              <w:rPr>
                <w:snapToGrid w:val="0"/>
              </w:rPr>
              <w:t>Würtenberger</w:t>
            </w:r>
            <w:proofErr w:type="spellEnd"/>
            <w:r w:rsidRPr="0011614E">
              <w:rPr>
                <w:snapToGrid w:val="0"/>
              </w:rPr>
              <w:t xml:space="preserve"> </w:t>
            </w:r>
            <w:r w:rsidRPr="005E7195">
              <w:rPr>
                <w:i/>
                <w:snapToGrid w:val="0"/>
              </w:rPr>
              <w:t>(to be confirmed)</w:t>
            </w:r>
          </w:p>
          <w:p w:rsidR="00A87F06" w:rsidRPr="005E7195" w:rsidRDefault="00A87F06" w:rsidP="00D54C6C">
            <w:pPr>
              <w:jc w:val="left"/>
              <w:rPr>
                <w:rFonts w:cs="Arial"/>
                <w:i/>
              </w:rPr>
            </w:pPr>
            <w:proofErr w:type="spellStart"/>
            <w:r w:rsidRPr="005E7195">
              <w:rPr>
                <w:i/>
                <w:snapToGrid w:val="0"/>
              </w:rPr>
              <w:t>Würtenberger</w:t>
            </w:r>
            <w:proofErr w:type="spellEnd"/>
            <w:r w:rsidRPr="005E7195">
              <w:rPr>
                <w:i/>
                <w:snapToGrid w:val="0"/>
              </w:rPr>
              <w:t xml:space="preserve"> </w:t>
            </w:r>
            <w:proofErr w:type="spellStart"/>
            <w:r w:rsidRPr="005E7195">
              <w:rPr>
                <w:i/>
                <w:snapToGrid w:val="0"/>
              </w:rPr>
              <w:t>Kunze</w:t>
            </w:r>
            <w:proofErr w:type="spellEnd"/>
            <w:r w:rsidRPr="005E7195">
              <w:rPr>
                <w:i/>
                <w:snapToGrid w:val="0"/>
              </w:rPr>
              <w:t xml:space="preserve">, Germany </w:t>
            </w:r>
          </w:p>
        </w:tc>
      </w:tr>
      <w:tr w:rsidR="00A87F06" w:rsidRPr="005E7195" w:rsidTr="00A34037">
        <w:trPr>
          <w:cantSplit/>
        </w:trPr>
        <w:tc>
          <w:tcPr>
            <w:tcW w:w="960" w:type="dxa"/>
            <w:shd w:val="clear" w:color="auto" w:fill="auto"/>
            <w:noWrap/>
          </w:tcPr>
          <w:p w:rsidR="00A87F06" w:rsidRPr="005E7195" w:rsidRDefault="00A87F06" w:rsidP="00D54C6C">
            <w:pPr>
              <w:jc w:val="right"/>
              <w:rPr>
                <w:rFonts w:cs="Arial"/>
                <w:highlight w:val="yellow"/>
              </w:rPr>
            </w:pPr>
          </w:p>
        </w:tc>
        <w:tc>
          <w:tcPr>
            <w:tcW w:w="566" w:type="dxa"/>
            <w:shd w:val="clear" w:color="auto" w:fill="auto"/>
            <w:noWrap/>
          </w:tcPr>
          <w:p w:rsidR="00A87F06" w:rsidRPr="005E7195" w:rsidRDefault="00A87F06" w:rsidP="00D54C6C">
            <w:pPr>
              <w:jc w:val="right"/>
              <w:rPr>
                <w:rFonts w:cs="Arial"/>
                <w:highlight w:val="yellow"/>
              </w:rPr>
            </w:pPr>
          </w:p>
        </w:tc>
        <w:tc>
          <w:tcPr>
            <w:tcW w:w="8080" w:type="dxa"/>
            <w:shd w:val="clear" w:color="auto" w:fill="auto"/>
            <w:noWrap/>
          </w:tcPr>
          <w:p w:rsidR="00A87F06" w:rsidRPr="005E7195" w:rsidRDefault="00A87F06" w:rsidP="00D54C6C">
            <w:pPr>
              <w:jc w:val="left"/>
              <w:rPr>
                <w:rFonts w:cs="Arial"/>
                <w:i/>
              </w:rPr>
            </w:pPr>
          </w:p>
        </w:tc>
      </w:tr>
      <w:tr w:rsidR="00A87F06" w:rsidRPr="001914BF" w:rsidTr="00A34037">
        <w:trPr>
          <w:cantSplit/>
        </w:trPr>
        <w:tc>
          <w:tcPr>
            <w:tcW w:w="960" w:type="dxa"/>
            <w:shd w:val="clear" w:color="auto" w:fill="auto"/>
            <w:noWrap/>
          </w:tcPr>
          <w:p w:rsidR="00A87F06" w:rsidRPr="00B325B3" w:rsidRDefault="00A87F06" w:rsidP="00D54C6C">
            <w:pPr>
              <w:jc w:val="right"/>
              <w:rPr>
                <w:rFonts w:cs="Arial"/>
                <w:highlight w:val="yellow"/>
              </w:rPr>
            </w:pPr>
            <w:r>
              <w:rPr>
                <w:rFonts w:cs="Arial"/>
              </w:rPr>
              <w:t>16</w:t>
            </w:r>
            <w:r w:rsidRPr="006D1882">
              <w:rPr>
                <w:rFonts w:cs="Arial"/>
              </w:rPr>
              <w:t>.</w:t>
            </w:r>
            <w:r>
              <w:rPr>
                <w:rFonts w:cs="Arial"/>
              </w:rPr>
              <w:t>30</w:t>
            </w:r>
          </w:p>
        </w:tc>
        <w:tc>
          <w:tcPr>
            <w:tcW w:w="566" w:type="dxa"/>
            <w:shd w:val="clear" w:color="auto" w:fill="auto"/>
            <w:noWrap/>
          </w:tcPr>
          <w:p w:rsidR="00A87F06" w:rsidRPr="00B325B3" w:rsidRDefault="00A87F06" w:rsidP="00D54C6C">
            <w:pPr>
              <w:jc w:val="right"/>
              <w:rPr>
                <w:rFonts w:cs="Arial"/>
                <w:highlight w:val="yellow"/>
              </w:rPr>
            </w:pPr>
          </w:p>
        </w:tc>
        <w:tc>
          <w:tcPr>
            <w:tcW w:w="8080" w:type="dxa"/>
            <w:shd w:val="clear" w:color="auto" w:fill="auto"/>
            <w:noWrap/>
          </w:tcPr>
          <w:p w:rsidR="00A87F06" w:rsidRDefault="00A87F06" w:rsidP="00D54C6C">
            <w:pPr>
              <w:jc w:val="left"/>
              <w:rPr>
                <w:rFonts w:cs="Arial"/>
              </w:rPr>
            </w:pPr>
            <w:r>
              <w:rPr>
                <w:rFonts w:cs="Arial"/>
              </w:rPr>
              <w:t>Coffee</w:t>
            </w:r>
          </w:p>
          <w:p w:rsidR="00A87F06" w:rsidRPr="008E2F21" w:rsidRDefault="00A87F06" w:rsidP="00D54C6C">
            <w:pPr>
              <w:jc w:val="left"/>
              <w:rPr>
                <w:rFonts w:cs="Arial"/>
              </w:rPr>
            </w:pPr>
          </w:p>
        </w:tc>
      </w:tr>
      <w:tr w:rsidR="00A87F06" w:rsidRPr="000B3445" w:rsidTr="00A34037">
        <w:trPr>
          <w:cantSplit/>
        </w:trPr>
        <w:tc>
          <w:tcPr>
            <w:tcW w:w="960" w:type="dxa"/>
            <w:shd w:val="clear" w:color="auto" w:fill="auto"/>
            <w:noWrap/>
          </w:tcPr>
          <w:p w:rsidR="00A87F06" w:rsidRPr="000B3445" w:rsidRDefault="00A87F06" w:rsidP="00D54C6C">
            <w:pPr>
              <w:jc w:val="right"/>
              <w:rPr>
                <w:rFonts w:cs="Arial"/>
                <w:highlight w:val="yellow"/>
              </w:rPr>
            </w:pPr>
          </w:p>
        </w:tc>
        <w:tc>
          <w:tcPr>
            <w:tcW w:w="566" w:type="dxa"/>
            <w:shd w:val="clear" w:color="auto" w:fill="auto"/>
            <w:noWrap/>
          </w:tcPr>
          <w:p w:rsidR="00A87F06" w:rsidRPr="000B3445" w:rsidRDefault="00A87F06" w:rsidP="00D54C6C">
            <w:pPr>
              <w:jc w:val="right"/>
              <w:rPr>
                <w:rFonts w:cs="Arial"/>
                <w:highlight w:val="yellow"/>
              </w:rPr>
            </w:pPr>
          </w:p>
        </w:tc>
        <w:tc>
          <w:tcPr>
            <w:tcW w:w="8080" w:type="dxa"/>
            <w:shd w:val="clear" w:color="auto" w:fill="auto"/>
            <w:noWrap/>
          </w:tcPr>
          <w:p w:rsidR="00A87F06" w:rsidRPr="000B3445" w:rsidRDefault="00A87F06" w:rsidP="00D54C6C">
            <w:pPr>
              <w:jc w:val="left"/>
              <w:rPr>
                <w:rFonts w:cs="Arial"/>
                <w:highlight w:val="yellow"/>
              </w:rPr>
            </w:pPr>
          </w:p>
        </w:tc>
      </w:tr>
      <w:tr w:rsidR="00A87F06" w:rsidRPr="000B3445" w:rsidTr="00A34037">
        <w:trPr>
          <w:cantSplit/>
        </w:trPr>
        <w:tc>
          <w:tcPr>
            <w:tcW w:w="960" w:type="dxa"/>
            <w:shd w:val="clear" w:color="auto" w:fill="auto"/>
            <w:noWrap/>
          </w:tcPr>
          <w:p w:rsidR="00A87F06" w:rsidRPr="000B3445" w:rsidRDefault="00A87F06" w:rsidP="00D54C6C">
            <w:pPr>
              <w:jc w:val="right"/>
              <w:rPr>
                <w:rFonts w:cs="Arial"/>
                <w:highlight w:val="yellow"/>
              </w:rPr>
            </w:pPr>
            <w:r w:rsidRPr="00B145F3">
              <w:rPr>
                <w:rFonts w:cs="Arial"/>
              </w:rPr>
              <w:t>1</w:t>
            </w:r>
            <w:r>
              <w:rPr>
                <w:rFonts w:cs="Arial"/>
              </w:rPr>
              <w:t>6.45</w:t>
            </w:r>
          </w:p>
        </w:tc>
        <w:tc>
          <w:tcPr>
            <w:tcW w:w="566" w:type="dxa"/>
            <w:shd w:val="clear" w:color="auto" w:fill="auto"/>
            <w:noWrap/>
          </w:tcPr>
          <w:p w:rsidR="00A87F06" w:rsidRPr="000B3445" w:rsidRDefault="00A87F06" w:rsidP="00D54C6C">
            <w:pPr>
              <w:jc w:val="right"/>
              <w:rPr>
                <w:rFonts w:cs="Arial"/>
                <w:highlight w:val="yellow"/>
              </w:rPr>
            </w:pPr>
          </w:p>
        </w:tc>
        <w:tc>
          <w:tcPr>
            <w:tcW w:w="8080" w:type="dxa"/>
            <w:shd w:val="clear" w:color="auto" w:fill="auto"/>
            <w:noWrap/>
          </w:tcPr>
          <w:p w:rsidR="00A87F06" w:rsidRPr="00A205D8" w:rsidRDefault="00A87F06" w:rsidP="00D54C6C">
            <w:pPr>
              <w:jc w:val="left"/>
              <w:rPr>
                <w:rFonts w:cs="Arial"/>
              </w:rPr>
            </w:pPr>
            <w:r>
              <w:rPr>
                <w:rFonts w:cs="Arial"/>
                <w:u w:val="single"/>
              </w:rPr>
              <w:t>Panel Discussion</w:t>
            </w:r>
          </w:p>
          <w:p w:rsidR="00A87F06" w:rsidRDefault="00A87F06" w:rsidP="00D54C6C">
            <w:pPr>
              <w:jc w:val="left"/>
              <w:rPr>
                <w:rFonts w:cs="Arial"/>
                <w:u w:val="single"/>
              </w:rPr>
            </w:pPr>
          </w:p>
          <w:p w:rsidR="00A87F06" w:rsidRPr="004914A5" w:rsidRDefault="00A87F06" w:rsidP="00D54C6C">
            <w:pPr>
              <w:jc w:val="left"/>
              <w:rPr>
                <w:rFonts w:cs="Arial"/>
              </w:rPr>
            </w:pPr>
            <w:r w:rsidRPr="00A405C7">
              <w:rPr>
                <w:rFonts w:cs="Arial"/>
              </w:rPr>
              <w:t xml:space="preserve">Moderator:  Mr. </w:t>
            </w:r>
            <w:proofErr w:type="spellStart"/>
            <w:r>
              <w:rPr>
                <w:rFonts w:cs="Arial"/>
              </w:rPr>
              <w:t>Raimundo</w:t>
            </w:r>
            <w:proofErr w:type="spellEnd"/>
            <w:r>
              <w:rPr>
                <w:rFonts w:cs="Arial"/>
              </w:rPr>
              <w:t xml:space="preserve"> </w:t>
            </w:r>
            <w:proofErr w:type="spellStart"/>
            <w:r>
              <w:rPr>
                <w:rFonts w:cs="Arial"/>
              </w:rPr>
              <w:t>Lavignolle</w:t>
            </w:r>
            <w:proofErr w:type="spellEnd"/>
            <w:r w:rsidRPr="00A405C7">
              <w:rPr>
                <w:rFonts w:cs="Arial"/>
              </w:rPr>
              <w:t xml:space="preserve">, </w:t>
            </w:r>
            <w:r>
              <w:rPr>
                <w:rFonts w:cs="Arial"/>
              </w:rPr>
              <w:t>Vice-President of the Council of UPOV</w:t>
            </w:r>
          </w:p>
        </w:tc>
      </w:tr>
      <w:tr w:rsidR="00A87F06" w:rsidRPr="000B3445" w:rsidTr="00A34037">
        <w:trPr>
          <w:cantSplit/>
        </w:trPr>
        <w:tc>
          <w:tcPr>
            <w:tcW w:w="960" w:type="dxa"/>
            <w:shd w:val="clear" w:color="auto" w:fill="auto"/>
            <w:noWrap/>
          </w:tcPr>
          <w:p w:rsidR="00A87F06" w:rsidRPr="00FA685B" w:rsidRDefault="00A87F06" w:rsidP="00D54C6C">
            <w:pPr>
              <w:jc w:val="right"/>
              <w:rPr>
                <w:rFonts w:cs="Arial"/>
                <w:sz w:val="16"/>
                <w:szCs w:val="16"/>
              </w:rPr>
            </w:pPr>
          </w:p>
        </w:tc>
        <w:tc>
          <w:tcPr>
            <w:tcW w:w="566" w:type="dxa"/>
            <w:shd w:val="clear" w:color="auto" w:fill="auto"/>
            <w:noWrap/>
          </w:tcPr>
          <w:p w:rsidR="00A87F06" w:rsidRPr="00FA685B" w:rsidRDefault="00A87F06" w:rsidP="00D54C6C">
            <w:pPr>
              <w:jc w:val="right"/>
              <w:rPr>
                <w:rFonts w:cs="Arial"/>
                <w:sz w:val="16"/>
                <w:szCs w:val="16"/>
              </w:rPr>
            </w:pPr>
          </w:p>
        </w:tc>
        <w:tc>
          <w:tcPr>
            <w:tcW w:w="8080" w:type="dxa"/>
            <w:shd w:val="clear" w:color="auto" w:fill="auto"/>
            <w:noWrap/>
          </w:tcPr>
          <w:p w:rsidR="00A87F06" w:rsidRPr="00FA685B" w:rsidRDefault="00A87F06" w:rsidP="00D54C6C">
            <w:pPr>
              <w:jc w:val="left"/>
              <w:rPr>
                <w:rFonts w:cs="Arial"/>
                <w:sz w:val="16"/>
                <w:szCs w:val="16"/>
              </w:rPr>
            </w:pPr>
          </w:p>
        </w:tc>
      </w:tr>
      <w:tr w:rsidR="00A87F06" w:rsidRPr="000B3445" w:rsidTr="00A34037">
        <w:trPr>
          <w:cantSplit/>
        </w:trPr>
        <w:tc>
          <w:tcPr>
            <w:tcW w:w="960" w:type="dxa"/>
            <w:shd w:val="clear" w:color="auto" w:fill="auto"/>
            <w:noWrap/>
          </w:tcPr>
          <w:p w:rsidR="00A87F06" w:rsidRPr="00FA685B" w:rsidRDefault="00A87F06" w:rsidP="00D54C6C">
            <w:pPr>
              <w:jc w:val="right"/>
              <w:rPr>
                <w:rFonts w:cs="Arial"/>
                <w:sz w:val="16"/>
                <w:szCs w:val="16"/>
              </w:rPr>
            </w:pPr>
          </w:p>
        </w:tc>
        <w:tc>
          <w:tcPr>
            <w:tcW w:w="566" w:type="dxa"/>
            <w:shd w:val="clear" w:color="auto" w:fill="auto"/>
            <w:noWrap/>
          </w:tcPr>
          <w:p w:rsidR="00A87F06" w:rsidRPr="00FA685B" w:rsidRDefault="00A87F06" w:rsidP="00D54C6C">
            <w:pPr>
              <w:jc w:val="right"/>
              <w:rPr>
                <w:rFonts w:cs="Arial"/>
                <w:sz w:val="16"/>
                <w:szCs w:val="16"/>
              </w:rPr>
            </w:pPr>
          </w:p>
        </w:tc>
        <w:tc>
          <w:tcPr>
            <w:tcW w:w="8080" w:type="dxa"/>
            <w:shd w:val="clear" w:color="auto" w:fill="auto"/>
            <w:noWrap/>
          </w:tcPr>
          <w:p w:rsidR="00A87F06" w:rsidRPr="00FA685B" w:rsidRDefault="00A87F06" w:rsidP="00D54C6C">
            <w:pPr>
              <w:jc w:val="left"/>
              <w:rPr>
                <w:rFonts w:cs="Arial"/>
                <w:sz w:val="16"/>
                <w:szCs w:val="16"/>
              </w:rPr>
            </w:pPr>
            <w:r>
              <w:rPr>
                <w:rFonts w:cs="Arial"/>
              </w:rPr>
              <w:t>Panel members:  (to be confirmed)</w:t>
            </w:r>
          </w:p>
        </w:tc>
      </w:tr>
      <w:tr w:rsidR="00A87F06" w:rsidRPr="000B3445" w:rsidTr="00A34037">
        <w:trPr>
          <w:cantSplit/>
        </w:trPr>
        <w:tc>
          <w:tcPr>
            <w:tcW w:w="960" w:type="dxa"/>
            <w:shd w:val="clear" w:color="auto" w:fill="auto"/>
            <w:noWrap/>
          </w:tcPr>
          <w:p w:rsidR="00A87F06" w:rsidRPr="00FA685B" w:rsidRDefault="00A87F06" w:rsidP="00D54C6C">
            <w:pPr>
              <w:jc w:val="right"/>
              <w:rPr>
                <w:rFonts w:cs="Arial"/>
                <w:sz w:val="16"/>
                <w:szCs w:val="16"/>
              </w:rPr>
            </w:pPr>
          </w:p>
        </w:tc>
        <w:tc>
          <w:tcPr>
            <w:tcW w:w="566" w:type="dxa"/>
            <w:shd w:val="clear" w:color="auto" w:fill="auto"/>
            <w:noWrap/>
          </w:tcPr>
          <w:p w:rsidR="00A87F06" w:rsidRPr="00FA685B" w:rsidRDefault="00A87F06" w:rsidP="00D54C6C">
            <w:pPr>
              <w:jc w:val="right"/>
              <w:rPr>
                <w:rFonts w:cs="Arial"/>
                <w:sz w:val="16"/>
                <w:szCs w:val="16"/>
              </w:rPr>
            </w:pPr>
          </w:p>
        </w:tc>
        <w:tc>
          <w:tcPr>
            <w:tcW w:w="8080" w:type="dxa"/>
            <w:shd w:val="clear" w:color="auto" w:fill="auto"/>
            <w:noWrap/>
          </w:tcPr>
          <w:p w:rsidR="00A87F06" w:rsidRPr="00FA685B" w:rsidRDefault="00A87F06" w:rsidP="00D54C6C">
            <w:pPr>
              <w:jc w:val="left"/>
              <w:rPr>
                <w:rFonts w:cs="Arial"/>
                <w:sz w:val="16"/>
                <w:szCs w:val="16"/>
              </w:rPr>
            </w:pPr>
          </w:p>
        </w:tc>
      </w:tr>
      <w:tr w:rsidR="00A87F06" w:rsidRPr="000B3445" w:rsidTr="00A34037">
        <w:trPr>
          <w:cantSplit/>
        </w:trPr>
        <w:tc>
          <w:tcPr>
            <w:tcW w:w="960" w:type="dxa"/>
            <w:shd w:val="clear" w:color="auto" w:fill="auto"/>
            <w:noWrap/>
          </w:tcPr>
          <w:p w:rsidR="00A87F06" w:rsidRPr="00FA685B" w:rsidRDefault="00A87F06" w:rsidP="00D54C6C">
            <w:pPr>
              <w:jc w:val="right"/>
              <w:rPr>
                <w:rFonts w:cs="Arial"/>
              </w:rPr>
            </w:pPr>
            <w:r>
              <w:rPr>
                <w:rFonts w:cs="Arial"/>
              </w:rPr>
              <w:t>17.25</w:t>
            </w:r>
          </w:p>
        </w:tc>
        <w:tc>
          <w:tcPr>
            <w:tcW w:w="566" w:type="dxa"/>
            <w:shd w:val="clear" w:color="auto" w:fill="auto"/>
            <w:noWrap/>
          </w:tcPr>
          <w:p w:rsidR="00A87F06" w:rsidRPr="00FA685B" w:rsidRDefault="00A87F06" w:rsidP="00D54C6C">
            <w:pPr>
              <w:jc w:val="right"/>
              <w:rPr>
                <w:rFonts w:cs="Arial"/>
              </w:rPr>
            </w:pPr>
          </w:p>
        </w:tc>
        <w:tc>
          <w:tcPr>
            <w:tcW w:w="8080" w:type="dxa"/>
            <w:shd w:val="clear" w:color="auto" w:fill="auto"/>
            <w:noWrap/>
          </w:tcPr>
          <w:p w:rsidR="00A87F06" w:rsidRPr="00FA685B" w:rsidRDefault="00A87F06" w:rsidP="00D54C6C">
            <w:pPr>
              <w:jc w:val="left"/>
              <w:rPr>
                <w:rFonts w:cs="Arial"/>
              </w:rPr>
            </w:pPr>
            <w:r w:rsidRPr="00FA685B">
              <w:rPr>
                <w:rFonts w:cs="Arial"/>
              </w:rPr>
              <w:t xml:space="preserve">Closing remarks by </w:t>
            </w:r>
            <w:r w:rsidRPr="00A405C7">
              <w:rPr>
                <w:rFonts w:cs="Arial"/>
              </w:rPr>
              <w:t xml:space="preserve">Mr. </w:t>
            </w:r>
            <w:proofErr w:type="spellStart"/>
            <w:r w:rsidRPr="00A405C7">
              <w:rPr>
                <w:rFonts w:cs="Arial"/>
              </w:rPr>
              <w:t>Ekvad</w:t>
            </w:r>
            <w:proofErr w:type="spellEnd"/>
          </w:p>
        </w:tc>
      </w:tr>
      <w:tr w:rsidR="00A87F06" w:rsidRPr="000B3445" w:rsidTr="00A34037">
        <w:trPr>
          <w:cantSplit/>
        </w:trPr>
        <w:tc>
          <w:tcPr>
            <w:tcW w:w="960" w:type="dxa"/>
            <w:shd w:val="clear" w:color="auto" w:fill="auto"/>
            <w:noWrap/>
          </w:tcPr>
          <w:p w:rsidR="00A87F06" w:rsidRPr="00FA685B" w:rsidRDefault="00A87F06" w:rsidP="00D54C6C">
            <w:pPr>
              <w:jc w:val="right"/>
              <w:rPr>
                <w:rFonts w:cs="Arial"/>
                <w:sz w:val="16"/>
                <w:szCs w:val="16"/>
              </w:rPr>
            </w:pPr>
          </w:p>
        </w:tc>
        <w:tc>
          <w:tcPr>
            <w:tcW w:w="566" w:type="dxa"/>
            <w:shd w:val="clear" w:color="auto" w:fill="auto"/>
            <w:noWrap/>
          </w:tcPr>
          <w:p w:rsidR="00A87F06" w:rsidRPr="00FA685B" w:rsidRDefault="00A87F06" w:rsidP="00D54C6C">
            <w:pPr>
              <w:jc w:val="right"/>
              <w:rPr>
                <w:rFonts w:cs="Arial"/>
                <w:sz w:val="16"/>
                <w:szCs w:val="16"/>
              </w:rPr>
            </w:pPr>
          </w:p>
        </w:tc>
        <w:tc>
          <w:tcPr>
            <w:tcW w:w="8080" w:type="dxa"/>
            <w:shd w:val="clear" w:color="auto" w:fill="auto"/>
            <w:noWrap/>
          </w:tcPr>
          <w:p w:rsidR="00A87F06" w:rsidRPr="00FA685B" w:rsidRDefault="00A87F06" w:rsidP="00D54C6C">
            <w:pPr>
              <w:jc w:val="left"/>
              <w:rPr>
                <w:rFonts w:cs="Arial"/>
                <w:sz w:val="16"/>
                <w:szCs w:val="16"/>
              </w:rPr>
            </w:pPr>
          </w:p>
        </w:tc>
      </w:tr>
      <w:tr w:rsidR="00A87F06" w:rsidRPr="004A03D3" w:rsidTr="00A34037">
        <w:trPr>
          <w:cantSplit/>
        </w:trPr>
        <w:tc>
          <w:tcPr>
            <w:tcW w:w="960" w:type="dxa"/>
            <w:shd w:val="clear" w:color="auto" w:fill="auto"/>
            <w:noWrap/>
          </w:tcPr>
          <w:p w:rsidR="00A87F06" w:rsidRPr="00FA685B" w:rsidRDefault="00A87F06" w:rsidP="00D54C6C">
            <w:pPr>
              <w:jc w:val="right"/>
              <w:rPr>
                <w:rFonts w:cs="Arial"/>
              </w:rPr>
            </w:pPr>
            <w:r>
              <w:rPr>
                <w:rFonts w:cs="Arial"/>
              </w:rPr>
              <w:t>17.3</w:t>
            </w:r>
            <w:r w:rsidRPr="00FA685B">
              <w:rPr>
                <w:rFonts w:cs="Arial"/>
              </w:rPr>
              <w:t>0</w:t>
            </w:r>
          </w:p>
        </w:tc>
        <w:tc>
          <w:tcPr>
            <w:tcW w:w="566" w:type="dxa"/>
            <w:shd w:val="clear" w:color="auto" w:fill="auto"/>
            <w:noWrap/>
          </w:tcPr>
          <w:p w:rsidR="00A87F06" w:rsidRPr="00FA685B" w:rsidRDefault="00A87F06" w:rsidP="00D54C6C">
            <w:pPr>
              <w:jc w:val="right"/>
              <w:rPr>
                <w:rFonts w:cs="Arial"/>
              </w:rPr>
            </w:pPr>
          </w:p>
        </w:tc>
        <w:tc>
          <w:tcPr>
            <w:tcW w:w="8080" w:type="dxa"/>
            <w:shd w:val="clear" w:color="auto" w:fill="auto"/>
            <w:noWrap/>
          </w:tcPr>
          <w:p w:rsidR="00A87F06" w:rsidRPr="00FA685B" w:rsidRDefault="00A87F06" w:rsidP="00D54C6C">
            <w:pPr>
              <w:jc w:val="left"/>
              <w:rPr>
                <w:rFonts w:cs="Arial"/>
              </w:rPr>
            </w:pPr>
            <w:r w:rsidRPr="00FA685B">
              <w:rPr>
                <w:rFonts w:cs="Arial"/>
              </w:rPr>
              <w:t>End of Seminar</w:t>
            </w:r>
          </w:p>
        </w:tc>
      </w:tr>
      <w:tr w:rsidR="00A87F06" w:rsidRPr="004A03D3" w:rsidTr="00A34037">
        <w:trPr>
          <w:cantSplit/>
        </w:trPr>
        <w:tc>
          <w:tcPr>
            <w:tcW w:w="960" w:type="dxa"/>
            <w:shd w:val="clear" w:color="auto" w:fill="auto"/>
            <w:noWrap/>
          </w:tcPr>
          <w:p w:rsidR="00A87F06" w:rsidRPr="001914BF" w:rsidRDefault="00A87F06" w:rsidP="00D54C6C">
            <w:pPr>
              <w:jc w:val="right"/>
              <w:rPr>
                <w:rFonts w:cs="Arial"/>
              </w:rPr>
            </w:pPr>
          </w:p>
        </w:tc>
        <w:tc>
          <w:tcPr>
            <w:tcW w:w="566" w:type="dxa"/>
            <w:shd w:val="clear" w:color="auto" w:fill="auto"/>
            <w:noWrap/>
          </w:tcPr>
          <w:p w:rsidR="00A87F06" w:rsidRPr="001914BF" w:rsidRDefault="00A87F06" w:rsidP="00D54C6C">
            <w:pPr>
              <w:jc w:val="right"/>
              <w:rPr>
                <w:rFonts w:cs="Arial"/>
              </w:rPr>
            </w:pPr>
          </w:p>
        </w:tc>
        <w:tc>
          <w:tcPr>
            <w:tcW w:w="8080" w:type="dxa"/>
            <w:shd w:val="clear" w:color="auto" w:fill="auto"/>
            <w:noWrap/>
          </w:tcPr>
          <w:p w:rsidR="00A87F06" w:rsidRPr="001914BF" w:rsidRDefault="00A87F06" w:rsidP="00D54C6C">
            <w:pPr>
              <w:jc w:val="left"/>
              <w:rPr>
                <w:rFonts w:cs="Arial"/>
              </w:rPr>
            </w:pPr>
          </w:p>
        </w:tc>
      </w:tr>
    </w:tbl>
    <w:p w:rsidR="0028445A" w:rsidRDefault="0028445A" w:rsidP="0028445A">
      <w:pPr>
        <w:jc w:val="center"/>
      </w:pPr>
    </w:p>
    <w:p w:rsidR="0028445A" w:rsidRDefault="0028445A" w:rsidP="0028445A"/>
    <w:p w:rsidR="006B17D2" w:rsidRPr="00C5280D" w:rsidRDefault="0061555F" w:rsidP="005F05B6">
      <w:pPr>
        <w:jc w:val="right"/>
      </w:pPr>
      <w:r w:rsidRPr="00C5280D">
        <w:t xml:space="preserve">[End of </w:t>
      </w:r>
      <w:r w:rsidR="005A34BB">
        <w:t xml:space="preserve">Annex and of </w:t>
      </w:r>
      <w:r w:rsidRPr="00C5280D">
        <w:t>document]</w:t>
      </w:r>
    </w:p>
    <w:sectPr w:rsidR="006B17D2" w:rsidRPr="00C5280D" w:rsidSect="005A34BB">
      <w:headerReference w:type="default" r:id="rId10"/>
      <w:foot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02" w:rsidRDefault="006E0E02" w:rsidP="006655D3">
      <w:r>
        <w:separator/>
      </w:r>
    </w:p>
    <w:p w:rsidR="006E0E02" w:rsidRDefault="006E0E02" w:rsidP="006655D3"/>
    <w:p w:rsidR="006E0E02" w:rsidRDefault="006E0E02" w:rsidP="006655D3"/>
  </w:endnote>
  <w:endnote w:type="continuationSeparator" w:id="0">
    <w:p w:rsidR="006E0E02" w:rsidRDefault="006E0E02" w:rsidP="006655D3">
      <w:r>
        <w:separator/>
      </w:r>
    </w:p>
    <w:p w:rsidR="006E0E02" w:rsidRPr="00560A6D" w:rsidRDefault="006E0E02">
      <w:pPr>
        <w:pStyle w:val="Footer"/>
        <w:spacing w:after="60"/>
        <w:rPr>
          <w:sz w:val="18"/>
          <w:lang w:val="fr-FR"/>
        </w:rPr>
      </w:pPr>
      <w:r w:rsidRPr="00560A6D">
        <w:rPr>
          <w:sz w:val="18"/>
          <w:lang w:val="fr-FR"/>
        </w:rPr>
        <w:t>[Suite de la note de la page précédente]</w:t>
      </w:r>
    </w:p>
    <w:p w:rsidR="006E0E02" w:rsidRPr="00560A6D" w:rsidRDefault="006E0E02" w:rsidP="006655D3">
      <w:pPr>
        <w:rPr>
          <w:lang w:val="fr-FR"/>
        </w:rPr>
      </w:pPr>
    </w:p>
    <w:p w:rsidR="006E0E02" w:rsidRPr="00560A6D" w:rsidRDefault="006E0E02" w:rsidP="006655D3">
      <w:pPr>
        <w:rPr>
          <w:lang w:val="fr-FR"/>
        </w:rPr>
      </w:pPr>
    </w:p>
  </w:endnote>
  <w:endnote w:type="continuationNotice" w:id="1">
    <w:p w:rsidR="006E0E02" w:rsidRPr="00560A6D" w:rsidRDefault="006E0E02" w:rsidP="006655D3">
      <w:pPr>
        <w:rPr>
          <w:lang w:val="fr-FR"/>
        </w:rPr>
      </w:pPr>
      <w:r w:rsidRPr="00560A6D">
        <w:rPr>
          <w:lang w:val="fr-FR"/>
        </w:rPr>
        <w:t>[Suite de la note page suivante]</w:t>
      </w:r>
    </w:p>
    <w:p w:rsidR="006E0E02" w:rsidRPr="00560A6D" w:rsidRDefault="006E0E02" w:rsidP="006655D3">
      <w:pPr>
        <w:rPr>
          <w:lang w:val="fr-FR"/>
        </w:rPr>
      </w:pPr>
    </w:p>
    <w:p w:rsidR="006E0E02" w:rsidRPr="00560A6D" w:rsidRDefault="006E0E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37" w:rsidRPr="00A34037" w:rsidRDefault="00A34037" w:rsidP="00A34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02" w:rsidRDefault="006E0E02" w:rsidP="00C95616">
      <w:pPr>
        <w:spacing w:before="120"/>
      </w:pPr>
      <w:r>
        <w:separator/>
      </w:r>
    </w:p>
  </w:footnote>
  <w:footnote w:type="continuationSeparator" w:id="0">
    <w:p w:rsidR="006E0E02" w:rsidRDefault="006E0E02" w:rsidP="006655D3">
      <w:r>
        <w:separator/>
      </w:r>
    </w:p>
  </w:footnote>
  <w:footnote w:type="continuationNotice" w:id="1">
    <w:p w:rsidR="006E0E02" w:rsidRPr="00A56FAA" w:rsidRDefault="006E0E02"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proofErr w:type="gramStart"/>
    <w:r w:rsidRPr="00A468CA">
      <w:t>C</w:t>
    </w:r>
    <w:r w:rsidR="00A468CA">
      <w:t>(</w:t>
    </w:r>
    <w:proofErr w:type="spellStart"/>
    <w:proofErr w:type="gramEnd"/>
    <w:r w:rsidR="00A468CA">
      <w:t>Extr</w:t>
    </w:r>
    <w:proofErr w:type="spellEnd"/>
    <w:r w:rsidR="00A468CA">
      <w:t>.)</w:t>
    </w:r>
    <w:r w:rsidR="00C77813">
      <w:t>/33</w:t>
    </w:r>
    <w:r w:rsidRPr="00A468CA">
      <w:t>/</w:t>
    </w:r>
    <w:r w:rsidR="00673F05">
      <w:t>3</w:t>
    </w:r>
  </w:p>
  <w:p w:rsidR="00A56FAA" w:rsidRPr="00A468CA" w:rsidRDefault="00A56FAA" w:rsidP="00A468CA">
    <w:pPr>
      <w:jc w:val="center"/>
    </w:pPr>
    <w:proofErr w:type="gramStart"/>
    <w:r w:rsidRPr="00A468CA">
      <w:t>page</w:t>
    </w:r>
    <w:proofErr w:type="gramEnd"/>
    <w:r w:rsidRPr="00A468CA">
      <w:t xml:space="preserve"> </w:t>
    </w:r>
    <w:r w:rsidRPr="00A468CA">
      <w:fldChar w:fldCharType="begin"/>
    </w:r>
    <w:r w:rsidRPr="00A468CA">
      <w:instrText xml:space="preserve"> PAGE </w:instrText>
    </w:r>
    <w:r w:rsidRPr="00A468CA">
      <w:fldChar w:fldCharType="separate"/>
    </w:r>
    <w:r w:rsidR="00EA3D5C">
      <w:rPr>
        <w:noProof/>
      </w:rPr>
      <w:t>7</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BB" w:rsidRPr="00A468CA" w:rsidRDefault="005A34BB" w:rsidP="00A468CA">
    <w:pPr>
      <w:jc w:val="center"/>
    </w:pPr>
    <w:proofErr w:type="gramStart"/>
    <w:r w:rsidRPr="00A468CA">
      <w:t>C</w:t>
    </w:r>
    <w:r>
      <w:t>(</w:t>
    </w:r>
    <w:proofErr w:type="spellStart"/>
    <w:proofErr w:type="gramEnd"/>
    <w:r>
      <w:t>Extr</w:t>
    </w:r>
    <w:proofErr w:type="spellEnd"/>
    <w:r>
      <w:t>.)/33</w:t>
    </w:r>
    <w:r w:rsidRPr="00A468CA">
      <w:t>/</w:t>
    </w:r>
    <w:r>
      <w:t>3</w:t>
    </w:r>
  </w:p>
  <w:p w:rsidR="005A34BB" w:rsidRPr="00A468CA" w:rsidRDefault="005A34BB" w:rsidP="00A468CA">
    <w:pPr>
      <w:jc w:val="center"/>
    </w:pPr>
    <w:r>
      <w:t xml:space="preserve">Annex, </w:t>
    </w:r>
    <w:r w:rsidRPr="00A468CA">
      <w:t xml:space="preserve">page </w:t>
    </w:r>
    <w:r w:rsidRPr="00A468CA">
      <w:fldChar w:fldCharType="begin"/>
    </w:r>
    <w:r w:rsidRPr="00A468CA">
      <w:instrText xml:space="preserve"> PAGE </w:instrText>
    </w:r>
    <w:r w:rsidRPr="00A468CA">
      <w:fldChar w:fldCharType="separate"/>
    </w:r>
    <w:r w:rsidR="00EA3D5C">
      <w:rPr>
        <w:noProof/>
      </w:rPr>
      <w:t>2</w:t>
    </w:r>
    <w:r w:rsidRPr="00A468CA">
      <w:fldChar w:fldCharType="end"/>
    </w:r>
  </w:p>
  <w:p w:rsidR="005A34BB" w:rsidRPr="00A468CA" w:rsidRDefault="005A34BB" w:rsidP="00A468C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1E8"/>
    <w:multiLevelType w:val="hybridMultilevel"/>
    <w:tmpl w:val="EAE84D4E"/>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A094C"/>
    <w:multiLevelType w:val="hybridMultilevel"/>
    <w:tmpl w:val="BA3E7BA4"/>
    <w:lvl w:ilvl="0" w:tplc="EE5848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3B09A0"/>
    <w:multiLevelType w:val="hybridMultilevel"/>
    <w:tmpl w:val="E8DCF0AA"/>
    <w:lvl w:ilvl="0" w:tplc="EE58484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A1E710D"/>
    <w:multiLevelType w:val="hybridMultilevel"/>
    <w:tmpl w:val="7F149270"/>
    <w:lvl w:ilvl="0" w:tplc="EE58484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3950037E"/>
    <w:multiLevelType w:val="hybridMultilevel"/>
    <w:tmpl w:val="500C5574"/>
    <w:lvl w:ilvl="0" w:tplc="85D4BCC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0162288"/>
    <w:multiLevelType w:val="hybridMultilevel"/>
    <w:tmpl w:val="EEAE28FE"/>
    <w:lvl w:ilvl="0" w:tplc="EE58484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5B0F2745"/>
    <w:multiLevelType w:val="hybridMultilevel"/>
    <w:tmpl w:val="A5B2274C"/>
    <w:lvl w:ilvl="0" w:tplc="BE3A365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DE5343F"/>
    <w:multiLevelType w:val="hybridMultilevel"/>
    <w:tmpl w:val="2B4C6034"/>
    <w:lvl w:ilvl="0" w:tplc="EE58484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7955175A"/>
    <w:multiLevelType w:val="hybridMultilevel"/>
    <w:tmpl w:val="9718F8D8"/>
    <w:lvl w:ilvl="0" w:tplc="85D4BCC6">
      <w:start w:val="1"/>
      <w:numFmt w:val="lowerLetter"/>
      <w:lvlText w:val="(%1)"/>
      <w:lvlJc w:val="left"/>
      <w:pPr>
        <w:ind w:left="720" w:hanging="360"/>
      </w:pPr>
      <w:rPr>
        <w:rFonts w:hint="default"/>
      </w:rPr>
    </w:lvl>
    <w:lvl w:ilvl="1" w:tplc="EE58484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8447E"/>
    <w:multiLevelType w:val="hybridMultilevel"/>
    <w:tmpl w:val="D4DA3576"/>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8"/>
  </w:num>
  <w:num w:numId="3">
    <w:abstractNumId w:val="0"/>
  </w:num>
  <w:num w:numId="4">
    <w:abstractNumId w:val="4"/>
  </w:num>
  <w:num w:numId="5">
    <w:abstractNumId w:val="1"/>
  </w:num>
  <w:num w:numId="6">
    <w:abstractNumId w:val="6"/>
  </w:num>
  <w:num w:numId="7">
    <w:abstractNumId w:val="5"/>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02"/>
    <w:rsid w:val="00010CF3"/>
    <w:rsid w:val="00011E27"/>
    <w:rsid w:val="000148BC"/>
    <w:rsid w:val="00024AB8"/>
    <w:rsid w:val="00030854"/>
    <w:rsid w:val="00036028"/>
    <w:rsid w:val="00044642"/>
    <w:rsid w:val="000446B9"/>
    <w:rsid w:val="00047E21"/>
    <w:rsid w:val="0007216B"/>
    <w:rsid w:val="00085505"/>
    <w:rsid w:val="000A68B4"/>
    <w:rsid w:val="000C7021"/>
    <w:rsid w:val="000D6BBC"/>
    <w:rsid w:val="000D7780"/>
    <w:rsid w:val="000F13FB"/>
    <w:rsid w:val="00105929"/>
    <w:rsid w:val="001131D5"/>
    <w:rsid w:val="00137F1D"/>
    <w:rsid w:val="00141DB8"/>
    <w:rsid w:val="001462BF"/>
    <w:rsid w:val="0017474A"/>
    <w:rsid w:val="001758C6"/>
    <w:rsid w:val="00182B99"/>
    <w:rsid w:val="001A0080"/>
    <w:rsid w:val="001A38E2"/>
    <w:rsid w:val="001E0CF9"/>
    <w:rsid w:val="0021332C"/>
    <w:rsid w:val="00213982"/>
    <w:rsid w:val="0024416D"/>
    <w:rsid w:val="002777B5"/>
    <w:rsid w:val="002800A0"/>
    <w:rsid w:val="002801B3"/>
    <w:rsid w:val="0028098F"/>
    <w:rsid w:val="00281060"/>
    <w:rsid w:val="0028445A"/>
    <w:rsid w:val="002940E8"/>
    <w:rsid w:val="002A5CB7"/>
    <w:rsid w:val="002A6E50"/>
    <w:rsid w:val="002C256A"/>
    <w:rsid w:val="0030098F"/>
    <w:rsid w:val="00305A7F"/>
    <w:rsid w:val="00315280"/>
    <w:rsid w:val="003152FE"/>
    <w:rsid w:val="00327436"/>
    <w:rsid w:val="0033507D"/>
    <w:rsid w:val="00343153"/>
    <w:rsid w:val="00344BD6"/>
    <w:rsid w:val="0035528D"/>
    <w:rsid w:val="00361821"/>
    <w:rsid w:val="003D227C"/>
    <w:rsid w:val="003D2B4D"/>
    <w:rsid w:val="00444A88"/>
    <w:rsid w:val="00474DA4"/>
    <w:rsid w:val="00476B4D"/>
    <w:rsid w:val="004805FA"/>
    <w:rsid w:val="004D047D"/>
    <w:rsid w:val="004F305A"/>
    <w:rsid w:val="00512164"/>
    <w:rsid w:val="00520297"/>
    <w:rsid w:val="005338F9"/>
    <w:rsid w:val="00541DC4"/>
    <w:rsid w:val="0054281C"/>
    <w:rsid w:val="0055268D"/>
    <w:rsid w:val="00560A6D"/>
    <w:rsid w:val="00576BE4"/>
    <w:rsid w:val="00580769"/>
    <w:rsid w:val="005A34BB"/>
    <w:rsid w:val="005A400A"/>
    <w:rsid w:val="005F05B6"/>
    <w:rsid w:val="00612379"/>
    <w:rsid w:val="0061555F"/>
    <w:rsid w:val="00641200"/>
    <w:rsid w:val="006655D3"/>
    <w:rsid w:val="00673F05"/>
    <w:rsid w:val="006776EE"/>
    <w:rsid w:val="00687EB4"/>
    <w:rsid w:val="006B17D2"/>
    <w:rsid w:val="006C224E"/>
    <w:rsid w:val="006D780A"/>
    <w:rsid w:val="006E0E02"/>
    <w:rsid w:val="00725B88"/>
    <w:rsid w:val="00732DEC"/>
    <w:rsid w:val="00735BD5"/>
    <w:rsid w:val="007556F6"/>
    <w:rsid w:val="00760EEF"/>
    <w:rsid w:val="00777EE5"/>
    <w:rsid w:val="00784836"/>
    <w:rsid w:val="0079023E"/>
    <w:rsid w:val="007A2854"/>
    <w:rsid w:val="007A355F"/>
    <w:rsid w:val="007D0B9D"/>
    <w:rsid w:val="007D19B0"/>
    <w:rsid w:val="007F498F"/>
    <w:rsid w:val="0080679D"/>
    <w:rsid w:val="008108B0"/>
    <w:rsid w:val="00811B20"/>
    <w:rsid w:val="0082296E"/>
    <w:rsid w:val="00824099"/>
    <w:rsid w:val="0086702F"/>
    <w:rsid w:val="00867AC1"/>
    <w:rsid w:val="008A3C6D"/>
    <w:rsid w:val="008A743F"/>
    <w:rsid w:val="008C0970"/>
    <w:rsid w:val="008D2CF7"/>
    <w:rsid w:val="00900C26"/>
    <w:rsid w:val="0090197F"/>
    <w:rsid w:val="00901A3F"/>
    <w:rsid w:val="00906DDC"/>
    <w:rsid w:val="00907F27"/>
    <w:rsid w:val="00934E09"/>
    <w:rsid w:val="00936253"/>
    <w:rsid w:val="00952DD4"/>
    <w:rsid w:val="009630E9"/>
    <w:rsid w:val="00970FED"/>
    <w:rsid w:val="00997029"/>
    <w:rsid w:val="009D690D"/>
    <w:rsid w:val="009E65B6"/>
    <w:rsid w:val="009F7D0F"/>
    <w:rsid w:val="00A30EB0"/>
    <w:rsid w:val="00A34037"/>
    <w:rsid w:val="00A42AC3"/>
    <w:rsid w:val="00A430CF"/>
    <w:rsid w:val="00A45897"/>
    <w:rsid w:val="00A468CA"/>
    <w:rsid w:val="00A54309"/>
    <w:rsid w:val="00A56FAA"/>
    <w:rsid w:val="00A87F06"/>
    <w:rsid w:val="00AB2B93"/>
    <w:rsid w:val="00AB7E5B"/>
    <w:rsid w:val="00AE0EF1"/>
    <w:rsid w:val="00AE2937"/>
    <w:rsid w:val="00B07301"/>
    <w:rsid w:val="00B224DE"/>
    <w:rsid w:val="00B46575"/>
    <w:rsid w:val="00B84BBD"/>
    <w:rsid w:val="00BA0AF8"/>
    <w:rsid w:val="00BA43FB"/>
    <w:rsid w:val="00BC127D"/>
    <w:rsid w:val="00BC1FE6"/>
    <w:rsid w:val="00BF560C"/>
    <w:rsid w:val="00C061B6"/>
    <w:rsid w:val="00C07B0F"/>
    <w:rsid w:val="00C2446C"/>
    <w:rsid w:val="00C36AE5"/>
    <w:rsid w:val="00C41F17"/>
    <w:rsid w:val="00C51D44"/>
    <w:rsid w:val="00C5280D"/>
    <w:rsid w:val="00C5791C"/>
    <w:rsid w:val="00C651CE"/>
    <w:rsid w:val="00C66290"/>
    <w:rsid w:val="00C72B7A"/>
    <w:rsid w:val="00C77813"/>
    <w:rsid w:val="00C95616"/>
    <w:rsid w:val="00C973F2"/>
    <w:rsid w:val="00CA304C"/>
    <w:rsid w:val="00CA774A"/>
    <w:rsid w:val="00CB44B1"/>
    <w:rsid w:val="00CC11B0"/>
    <w:rsid w:val="00CF7E36"/>
    <w:rsid w:val="00D13262"/>
    <w:rsid w:val="00D3708D"/>
    <w:rsid w:val="00D40426"/>
    <w:rsid w:val="00D57C96"/>
    <w:rsid w:val="00D70FD9"/>
    <w:rsid w:val="00D91203"/>
    <w:rsid w:val="00D95174"/>
    <w:rsid w:val="00DA6F36"/>
    <w:rsid w:val="00DB596E"/>
    <w:rsid w:val="00DC00EA"/>
    <w:rsid w:val="00E23C6B"/>
    <w:rsid w:val="00E32F7E"/>
    <w:rsid w:val="00E40BF9"/>
    <w:rsid w:val="00E72D49"/>
    <w:rsid w:val="00E7593C"/>
    <w:rsid w:val="00E7678A"/>
    <w:rsid w:val="00E935F1"/>
    <w:rsid w:val="00E94A81"/>
    <w:rsid w:val="00EA1FFB"/>
    <w:rsid w:val="00EA3D5C"/>
    <w:rsid w:val="00EB048E"/>
    <w:rsid w:val="00EE34DF"/>
    <w:rsid w:val="00EF2F89"/>
    <w:rsid w:val="00F1237A"/>
    <w:rsid w:val="00F22CBD"/>
    <w:rsid w:val="00F45372"/>
    <w:rsid w:val="00F505C7"/>
    <w:rsid w:val="00F560F7"/>
    <w:rsid w:val="00F56C99"/>
    <w:rsid w:val="00F6334D"/>
    <w:rsid w:val="00F80602"/>
    <w:rsid w:val="00FA49AB"/>
    <w:rsid w:val="00FC1C2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rsid w:val="002777B5"/>
    <w:rPr>
      <w:rFonts w:ascii="Arial" w:hAnsi="Arial"/>
    </w:rPr>
  </w:style>
  <w:style w:type="table" w:styleId="TableGrid">
    <w:name w:val="Table Grid"/>
    <w:basedOn w:val="TableNormal"/>
    <w:rsid w:val="00F5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41DC4"/>
    <w:pPr>
      <w:pBdr>
        <w:top w:val="nil"/>
        <w:left w:val="nil"/>
        <w:bottom w:val="nil"/>
        <w:right w:val="nil"/>
        <w:between w:val="nil"/>
        <w:bar w:val="nil"/>
      </w:pBdr>
      <w:jc w:val="both"/>
    </w:pPr>
    <w:rPr>
      <w:rFonts w:ascii="Arial" w:eastAsia="Arial Unicode MS" w:hAnsi="Arial" w:cs="Arial Unicode MS"/>
      <w:color w:val="000000"/>
      <w:u w:color="000000"/>
      <w:bdr w:val="nil"/>
    </w:rPr>
  </w:style>
  <w:style w:type="paragraph" w:styleId="ListParagraph">
    <w:name w:val="List Paragraph"/>
    <w:basedOn w:val="Normal"/>
    <w:uiPriority w:val="34"/>
    <w:qFormat/>
    <w:rsid w:val="00541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rsid w:val="002777B5"/>
    <w:rPr>
      <w:rFonts w:ascii="Arial" w:hAnsi="Arial"/>
    </w:rPr>
  </w:style>
  <w:style w:type="table" w:styleId="TableGrid">
    <w:name w:val="Table Grid"/>
    <w:basedOn w:val="TableNormal"/>
    <w:rsid w:val="00F5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41DC4"/>
    <w:pPr>
      <w:pBdr>
        <w:top w:val="nil"/>
        <w:left w:val="nil"/>
        <w:bottom w:val="nil"/>
        <w:right w:val="nil"/>
        <w:between w:val="nil"/>
        <w:bar w:val="nil"/>
      </w:pBdr>
      <w:jc w:val="both"/>
    </w:pPr>
    <w:rPr>
      <w:rFonts w:ascii="Arial" w:eastAsia="Arial Unicode MS" w:hAnsi="Arial" w:cs="Arial Unicode MS"/>
      <w:color w:val="000000"/>
      <w:u w:color="000000"/>
      <w:bdr w:val="nil"/>
    </w:rPr>
  </w:style>
  <w:style w:type="paragraph" w:styleId="ListParagraph">
    <w:name w:val="List Paragraph"/>
    <w:basedOn w:val="Normal"/>
    <w:uiPriority w:val="34"/>
    <w:qFormat/>
    <w:rsid w:val="0054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3\templates\c(extr)_3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c(extr)_33_EN.dotx</Template>
  <TotalTime>99</TotalTime>
  <Pages>9</Pages>
  <Words>3501</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C(Extr.)/33/3</vt:lpstr>
    </vt:vector>
  </TitlesOfParts>
  <Company>UPOV</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C(Extr.)/33/3</dc:title>
  <dc:creator>SANCHEZ-VIZCAINO GOMEZ Rosa Maria</dc:creator>
  <cp:lastModifiedBy>SANCHEZ-VIZCAINO GOMEZ Rosa Maria</cp:lastModifiedBy>
  <cp:revision>27</cp:revision>
  <cp:lastPrinted>2016-03-17T15:39:00Z</cp:lastPrinted>
  <dcterms:created xsi:type="dcterms:W3CDTF">2016-01-15T11:27:00Z</dcterms:created>
  <dcterms:modified xsi:type="dcterms:W3CDTF">2016-03-17T16:28:00Z</dcterms:modified>
</cp:coreProperties>
</file>