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80679D">
        <w:trPr>
          <w:trHeight w:val="1760"/>
        </w:trPr>
        <w:tc>
          <w:tcPr>
            <w:tcW w:w="3993" w:type="dxa"/>
          </w:tcPr>
          <w:p w:rsidR="000D7780" w:rsidRPr="00C5280D" w:rsidRDefault="000D7780" w:rsidP="006655D3"/>
        </w:tc>
        <w:tc>
          <w:tcPr>
            <w:tcW w:w="1549" w:type="dxa"/>
            <w:vAlign w:val="center"/>
          </w:tcPr>
          <w:p w:rsidR="000D7780" w:rsidRPr="00C5280D" w:rsidRDefault="001A0080" w:rsidP="006655D3">
            <w:pPr>
              <w:pStyle w:val="LogoUPOV"/>
            </w:pPr>
            <w:r>
              <w:rPr>
                <w:noProof/>
              </w:rPr>
              <w:drawing>
                <wp:inline distT="0" distB="0" distL="0" distR="0" wp14:anchorId="2F27725F" wp14:editId="175B8380">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3992" w:type="dxa"/>
            <w:vAlign w:val="center"/>
          </w:tcPr>
          <w:p w:rsidR="000D7780" w:rsidRPr="00C5280D" w:rsidRDefault="0024416D" w:rsidP="006655D3">
            <w:pPr>
              <w:pStyle w:val="Lettrine"/>
            </w:pPr>
            <w:r w:rsidRPr="00C5280D">
              <w:t>E</w:t>
            </w:r>
          </w:p>
          <w:p w:rsidR="000D7780" w:rsidRPr="00C5280D" w:rsidRDefault="00C7055C" w:rsidP="006655D3">
            <w:pPr>
              <w:pStyle w:val="Docoriginal"/>
            </w:pPr>
            <w:r>
              <w:t>C(Extr.)/32/5</w:t>
            </w:r>
          </w:p>
          <w:p w:rsidR="000D7780" w:rsidRPr="00B46575" w:rsidRDefault="0061555F" w:rsidP="006655D3">
            <w:pPr>
              <w:pStyle w:val="Docoriginal"/>
              <w:rPr>
                <w:b w:val="0"/>
                <w:spacing w:val="0"/>
              </w:rPr>
            </w:pPr>
            <w:r w:rsidRPr="00B46575">
              <w:rPr>
                <w:rStyle w:val="StyleDoclangBold"/>
                <w:b/>
                <w:bCs/>
                <w:spacing w:val="0"/>
              </w:rPr>
              <w:t>ORIGINAL</w:t>
            </w:r>
            <w:r w:rsidR="000D7780" w:rsidRPr="00B46575">
              <w:rPr>
                <w:rStyle w:val="StyleDoclangBold"/>
                <w:b/>
                <w:bCs/>
                <w:spacing w:val="0"/>
              </w:rPr>
              <w:t>:</w:t>
            </w:r>
            <w:r w:rsidRPr="00B46575">
              <w:rPr>
                <w:rStyle w:val="StyleDocoriginalNotBold1"/>
                <w:spacing w:val="0"/>
              </w:rPr>
              <w:t xml:space="preserve"> </w:t>
            </w:r>
            <w:r w:rsidR="00A30EB0">
              <w:rPr>
                <w:rStyle w:val="StyleDocoriginalNotBold1"/>
                <w:spacing w:val="0"/>
              </w:rPr>
              <w:t xml:space="preserve"> </w:t>
            </w:r>
            <w:bookmarkStart w:id="0" w:name="Original"/>
            <w:bookmarkEnd w:id="0"/>
            <w:r w:rsidR="0024416D" w:rsidRPr="00B46575">
              <w:rPr>
                <w:b w:val="0"/>
                <w:spacing w:val="0"/>
              </w:rPr>
              <w:t>English</w:t>
            </w:r>
          </w:p>
          <w:p w:rsidR="000D7780" w:rsidRPr="00C5280D" w:rsidRDefault="000D7780" w:rsidP="00E82245">
            <w:pPr>
              <w:pStyle w:val="Docoriginal"/>
            </w:pPr>
            <w:r w:rsidRPr="0033507D">
              <w:t>DATE:</w:t>
            </w:r>
            <w:r w:rsidR="0061555F" w:rsidRPr="0033507D">
              <w:t xml:space="preserve"> </w:t>
            </w:r>
            <w:r w:rsidRPr="00B46575">
              <w:rPr>
                <w:rStyle w:val="StyleDocoriginalNotBold1"/>
                <w:spacing w:val="0"/>
              </w:rPr>
              <w:t xml:space="preserve"> </w:t>
            </w:r>
            <w:bookmarkStart w:id="1" w:name="Date"/>
            <w:bookmarkEnd w:id="1"/>
            <w:r w:rsidR="00E82245">
              <w:rPr>
                <w:rStyle w:val="StyleDocoriginalNotBold1"/>
                <w:spacing w:val="0"/>
              </w:rPr>
              <w:t>March</w:t>
            </w:r>
            <w:r w:rsidR="00BC07C0">
              <w:rPr>
                <w:rStyle w:val="StyleDocoriginalNotBold1"/>
                <w:spacing w:val="0"/>
              </w:rPr>
              <w:t xml:space="preserve"> </w:t>
            </w:r>
            <w:r w:rsidR="00E82245">
              <w:rPr>
                <w:rStyle w:val="StyleDocoriginalNotBold1"/>
                <w:spacing w:val="0"/>
              </w:rPr>
              <w:t>27</w:t>
            </w:r>
            <w:r w:rsidR="0024416D" w:rsidRPr="00BC07C0">
              <w:rPr>
                <w:b w:val="0"/>
                <w:spacing w:val="0"/>
              </w:rPr>
              <w:t xml:space="preserve">, </w:t>
            </w:r>
            <w:r w:rsidR="001131D5" w:rsidRPr="00BC07C0">
              <w:rPr>
                <w:b w:val="0"/>
                <w:spacing w:val="0"/>
              </w:rPr>
              <w:t>201</w:t>
            </w:r>
            <w:r w:rsidR="00D70FD9" w:rsidRPr="00BC07C0">
              <w:rPr>
                <w:b w:val="0"/>
                <w:spacing w:val="0"/>
              </w:rPr>
              <w:t>5</w:t>
            </w:r>
          </w:p>
        </w:tc>
      </w:tr>
      <w:tr w:rsidR="000D7780" w:rsidRPr="00C5280D" w:rsidTr="00FA49AB">
        <w:tc>
          <w:tcPr>
            <w:tcW w:w="9534" w:type="dxa"/>
            <w:gridSpan w:val="3"/>
          </w:tcPr>
          <w:p w:rsidR="000D7780" w:rsidRPr="00C5280D" w:rsidRDefault="0024416D" w:rsidP="006655D3">
            <w:pPr>
              <w:pStyle w:val="upove"/>
              <w:rPr>
                <w:sz w:val="28"/>
              </w:rPr>
            </w:pPr>
            <w:r w:rsidRPr="00C5280D">
              <w:rPr>
                <w:snapToGrid w:val="0"/>
              </w:rPr>
              <w:t xml:space="preserve">INTERNATIONAL UNION FOR THE PROTECTION OF NEW VARIETIES OF PLANTS </w:t>
            </w:r>
          </w:p>
        </w:tc>
      </w:tr>
      <w:tr w:rsidR="000D7780" w:rsidRPr="00C5280D" w:rsidTr="00FA49AB">
        <w:tc>
          <w:tcPr>
            <w:tcW w:w="9534" w:type="dxa"/>
            <w:gridSpan w:val="3"/>
          </w:tcPr>
          <w:p w:rsidR="000D7780" w:rsidRPr="00C5280D" w:rsidRDefault="00867AC1" w:rsidP="006655D3">
            <w:pPr>
              <w:pStyle w:val="Country"/>
            </w:pPr>
            <w:r w:rsidRPr="00C5280D">
              <w:t>Gen</w:t>
            </w:r>
            <w:r w:rsidR="0061555F" w:rsidRPr="00C5280D">
              <w:t>e</w:t>
            </w:r>
            <w:r w:rsidRPr="00C5280D">
              <w:t>v</w:t>
            </w:r>
            <w:r w:rsidR="0061555F" w:rsidRPr="00C5280D">
              <w:t>a</w:t>
            </w:r>
          </w:p>
        </w:tc>
      </w:tr>
    </w:tbl>
    <w:p w:rsidR="000D7780" w:rsidRPr="00C5280D" w:rsidRDefault="00901A3F" w:rsidP="006655D3">
      <w:pPr>
        <w:pStyle w:val="Sessiontc"/>
      </w:pPr>
      <w:r>
        <w:t>COUNCIL</w:t>
      </w:r>
    </w:p>
    <w:p w:rsidR="00361821" w:rsidRPr="00C5280D" w:rsidRDefault="00A468CA" w:rsidP="006655D3">
      <w:pPr>
        <w:pStyle w:val="Sessiontcplacedate"/>
      </w:pPr>
      <w:r>
        <w:t>Thirty-</w:t>
      </w:r>
      <w:r w:rsidR="00D70FD9">
        <w:t xml:space="preserve">Second </w:t>
      </w:r>
      <w:r>
        <w:t>Extrao</w:t>
      </w:r>
      <w:r w:rsidR="00901A3F">
        <w:t xml:space="preserve">rdinary </w:t>
      </w:r>
      <w:r w:rsidR="00901A3F" w:rsidRPr="00C5280D">
        <w:t>Session</w:t>
      </w:r>
      <w:r w:rsidR="00361821" w:rsidRPr="00C5280D">
        <w:br/>
      </w:r>
      <w:r w:rsidR="00867AC1" w:rsidRPr="00C5280D">
        <w:t>Gen</w:t>
      </w:r>
      <w:r w:rsidR="0061555F" w:rsidRPr="00C5280D">
        <w:t>e</w:t>
      </w:r>
      <w:r w:rsidR="00867AC1" w:rsidRPr="00C5280D">
        <w:t>v</w:t>
      </w:r>
      <w:r w:rsidR="0061555F" w:rsidRPr="00C5280D">
        <w:t>a</w:t>
      </w:r>
      <w:r w:rsidR="00867AC1" w:rsidRPr="00C5280D">
        <w:t xml:space="preserve">, </w:t>
      </w:r>
      <w:r w:rsidR="00D70FD9">
        <w:t>March 27, 2015</w:t>
      </w:r>
    </w:p>
    <w:p w:rsidR="000D7780" w:rsidRPr="00BC07C0" w:rsidRDefault="00CA61C4" w:rsidP="006655D3">
      <w:pPr>
        <w:pStyle w:val="Titleofdoc0"/>
      </w:pPr>
      <w:bookmarkStart w:id="2" w:name="TitleOfDoc"/>
      <w:bookmarkEnd w:id="2"/>
      <w:r>
        <w:t>Report by the President on the work of the eighty-ninth session of the Consultative Committe</w:t>
      </w:r>
      <w:r w:rsidR="007317BE">
        <w:t>e; adoption of recommendations,</w:t>
      </w:r>
      <w:r w:rsidR="007317BE">
        <w:br/>
      </w:r>
      <w:r>
        <w:t>if any, prepared by that Committee</w:t>
      </w:r>
    </w:p>
    <w:p w:rsidR="000D7780" w:rsidRPr="00C5280D" w:rsidRDefault="00AE0EF1" w:rsidP="006655D3">
      <w:pPr>
        <w:pStyle w:val="preparedby1"/>
      </w:pPr>
      <w:bookmarkStart w:id="3" w:name="Prepared"/>
      <w:bookmarkEnd w:id="3"/>
      <w:r w:rsidRPr="00BC07C0">
        <w:t>Document</w:t>
      </w:r>
      <w:r w:rsidRPr="00C5280D">
        <w:t xml:space="preserve"> </w:t>
      </w:r>
      <w:r w:rsidR="0061555F" w:rsidRPr="00C5280D">
        <w:t>prepared by the Office of the Union</w:t>
      </w:r>
      <w:r w:rsidR="00560A6D">
        <w:br/>
      </w:r>
      <w:r w:rsidR="00560A6D">
        <w:br/>
      </w:r>
      <w:r w:rsidR="00560A6D">
        <w:rPr>
          <w:color w:val="A6A6A6" w:themeColor="background1" w:themeShade="A6"/>
        </w:rPr>
        <w:t>Disclaimer:  this document does not represent UPOV policies or guidance</w:t>
      </w:r>
    </w:p>
    <w:p w:rsidR="00236569" w:rsidRDefault="00236569" w:rsidP="00236569">
      <w:r w:rsidRPr="00181C60">
        <w:rPr>
          <w:snapToGrid w:val="0"/>
        </w:rPr>
        <w:fldChar w:fldCharType="begin"/>
      </w:r>
      <w:r w:rsidRPr="00181C60">
        <w:rPr>
          <w:snapToGrid w:val="0"/>
        </w:rPr>
        <w:instrText xml:space="preserve"> AUTONUM  </w:instrText>
      </w:r>
      <w:r w:rsidRPr="00181C60">
        <w:rPr>
          <w:snapToGrid w:val="0"/>
        </w:rPr>
        <w:fldChar w:fldCharType="end"/>
      </w:r>
      <w:r w:rsidRPr="00181C60">
        <w:rPr>
          <w:snapToGrid w:val="0"/>
        </w:rPr>
        <w:tab/>
      </w:r>
      <w:r>
        <w:t>The Consultative Committee held its eighty-ninth session in Geneva on March 27, 2015.</w:t>
      </w:r>
    </w:p>
    <w:p w:rsidR="00236569" w:rsidRDefault="00236569" w:rsidP="00236569"/>
    <w:p w:rsidR="00236569" w:rsidRDefault="00236569" w:rsidP="00236569">
      <w:r>
        <w:fldChar w:fldCharType="begin"/>
      </w:r>
      <w:r>
        <w:instrText xml:space="preserve"> AUTONUM  </w:instrText>
      </w:r>
      <w:r>
        <w:fldChar w:fldCharType="end"/>
      </w:r>
      <w:r>
        <w:tab/>
        <w:t>The recommendations made by the Consultative Committee on the following items, as set out in this report, will be considered by the Council under the relevant agenda items (see document C(Extr.)/32/1 Rev.):</w:t>
      </w:r>
    </w:p>
    <w:p w:rsidR="00236569" w:rsidRDefault="00236569" w:rsidP="00236569"/>
    <w:p w:rsidR="00236569" w:rsidRPr="004A63B0" w:rsidRDefault="00236569" w:rsidP="00236569">
      <w:pPr>
        <w:ind w:left="567" w:hanging="567"/>
        <w:jc w:val="left"/>
        <w:rPr>
          <w:snapToGrid w:val="0"/>
        </w:rPr>
      </w:pPr>
      <w:r>
        <w:rPr>
          <w:rFonts w:cs="Arial"/>
          <w:snapToGrid w:val="0"/>
        </w:rPr>
        <w:tab/>
        <w:t>(a)</w:t>
      </w:r>
      <w:r w:rsidRPr="004A63B0">
        <w:rPr>
          <w:rFonts w:cs="Arial"/>
          <w:snapToGrid w:val="0"/>
        </w:rPr>
        <w:tab/>
        <w:t xml:space="preserve">Extension of the </w:t>
      </w:r>
      <w:r w:rsidRPr="004A63B0">
        <w:rPr>
          <w:snapToGrid w:val="0"/>
        </w:rPr>
        <w:t xml:space="preserve">appointment of the Vice Secretary-General (document C(Extr.)/32/2) </w:t>
      </w:r>
    </w:p>
    <w:p w:rsidR="00236569" w:rsidRPr="004A63B0" w:rsidRDefault="00236569" w:rsidP="00236569">
      <w:pPr>
        <w:ind w:left="567" w:hanging="567"/>
        <w:jc w:val="left"/>
      </w:pPr>
    </w:p>
    <w:p w:rsidR="00236569" w:rsidRPr="004A63B0" w:rsidRDefault="00236569" w:rsidP="00236569">
      <w:pPr>
        <w:pStyle w:val="BodyText"/>
        <w:ind w:left="1134" w:hanging="567"/>
      </w:pPr>
      <w:r>
        <w:t>(b)</w:t>
      </w:r>
      <w:r w:rsidRPr="004A63B0">
        <w:tab/>
        <w:t xml:space="preserve">Examination of the conformity of </w:t>
      </w:r>
      <w:r w:rsidRPr="004A63B0">
        <w:rPr>
          <w:rFonts w:cs="Arial"/>
        </w:rPr>
        <w:t xml:space="preserve">the “Draft provisions of Book Four ‘Plant Varieties’ of Law No. 82 of 2002 Pertaining to the Protection of Intellectual Property Rights” of Egypt </w:t>
      </w:r>
      <w:r w:rsidRPr="004A63B0">
        <w:t>with the 1991 Act of the UPOV Convention (document C(Extr.)/32/3)</w:t>
      </w:r>
    </w:p>
    <w:p w:rsidR="00236569" w:rsidRPr="004A63B0" w:rsidRDefault="00236569" w:rsidP="00236569">
      <w:pPr>
        <w:ind w:left="1134" w:hanging="567"/>
      </w:pPr>
    </w:p>
    <w:p w:rsidR="00236569" w:rsidRPr="004A63B0" w:rsidRDefault="00236569" w:rsidP="00236569">
      <w:pPr>
        <w:ind w:left="1134" w:hanging="567"/>
        <w:rPr>
          <w:lang w:val="fr-FR"/>
        </w:rPr>
      </w:pPr>
      <w:r>
        <w:t>(</w:t>
      </w:r>
      <w:r w:rsidR="000444BA">
        <w:t>c</w:t>
      </w:r>
      <w:r>
        <w:t>)</w:t>
      </w:r>
      <w:r w:rsidRPr="004A63B0">
        <w:rPr>
          <w:lang w:val="fr-FR"/>
        </w:rPr>
        <w:tab/>
        <w:t>Adoption of documents (document C(Extr.)/32/4)</w:t>
      </w:r>
      <w:r w:rsidRPr="004A63B0">
        <w:t xml:space="preserve"> </w:t>
      </w:r>
    </w:p>
    <w:p w:rsidR="00236569" w:rsidRPr="004A63B0" w:rsidRDefault="00236569" w:rsidP="00236569">
      <w:pPr>
        <w:ind w:left="1134" w:hanging="567"/>
        <w:rPr>
          <w:lang w:val="fr-FR"/>
        </w:rPr>
      </w:pPr>
    </w:p>
    <w:p w:rsidR="00236569" w:rsidRPr="004A63B0" w:rsidRDefault="000444BA" w:rsidP="00236569">
      <w:pPr>
        <w:pStyle w:val="BodyText"/>
        <w:ind w:left="1134" w:hanging="567"/>
      </w:pPr>
      <w:r>
        <w:t>(d</w:t>
      </w:r>
      <w:r w:rsidR="00236569">
        <w:t>)</w:t>
      </w:r>
      <w:r w:rsidR="00236569" w:rsidRPr="004A63B0">
        <w:tab/>
        <w:t xml:space="preserve">Calendar of meetings in 2015 (document </w:t>
      </w:r>
      <w:r w:rsidR="00236569" w:rsidRPr="004A63B0">
        <w:rPr>
          <w:lang w:val="fr-FR"/>
        </w:rPr>
        <w:t>C(Extr.)/32/6</w:t>
      </w:r>
      <w:r w:rsidR="00236569" w:rsidRPr="004A63B0">
        <w:t xml:space="preserve">) </w:t>
      </w:r>
    </w:p>
    <w:p w:rsidR="00236569" w:rsidRPr="004A63B0" w:rsidRDefault="00236569" w:rsidP="00236569">
      <w:pPr>
        <w:pStyle w:val="BodyText"/>
        <w:ind w:left="1134" w:hanging="567"/>
      </w:pPr>
    </w:p>
    <w:p w:rsidR="00236569" w:rsidRPr="004A63B0" w:rsidRDefault="000444BA" w:rsidP="00236569">
      <w:pPr>
        <w:ind w:left="1134" w:hanging="567"/>
      </w:pPr>
      <w:r>
        <w:t>(e</w:t>
      </w:r>
      <w:r w:rsidR="00236569">
        <w:t>)</w:t>
      </w:r>
      <w:r w:rsidR="00236569" w:rsidRPr="004A63B0">
        <w:tab/>
        <w:t xml:space="preserve">Press Release (document </w:t>
      </w:r>
      <w:r w:rsidR="00236569" w:rsidRPr="004A63B0">
        <w:rPr>
          <w:lang w:val="fr-FR"/>
        </w:rPr>
        <w:t>C(Extr.)/32/7)</w:t>
      </w:r>
      <w:r w:rsidR="00236569" w:rsidRPr="004A63B0">
        <w:t xml:space="preserve"> </w:t>
      </w:r>
    </w:p>
    <w:p w:rsidR="00900C26" w:rsidRDefault="00900C26" w:rsidP="00B07301">
      <w:pPr>
        <w:pStyle w:val="TOC1"/>
        <w:rPr>
          <w:snapToGrid w:val="0"/>
        </w:rPr>
      </w:pPr>
    </w:p>
    <w:p w:rsidR="000444BA" w:rsidRPr="00DA70D4" w:rsidRDefault="000444BA" w:rsidP="000444BA">
      <w:pPr>
        <w:rPr>
          <w:snapToGrid w:val="0"/>
          <w:color w:val="000000" w:themeColor="text1"/>
        </w:rPr>
      </w:pPr>
      <w:r w:rsidRPr="00DA70D4">
        <w:fldChar w:fldCharType="begin"/>
      </w:r>
      <w:r w:rsidRPr="00DA70D4">
        <w:instrText xml:space="preserve"> AUTONUM  </w:instrText>
      </w:r>
      <w:r w:rsidRPr="00DA70D4">
        <w:fldChar w:fldCharType="end"/>
      </w:r>
      <w:r w:rsidRPr="00DA70D4">
        <w:tab/>
        <w:t xml:space="preserve">The Consultative Committee recommended to </w:t>
      </w:r>
      <w:r w:rsidRPr="00DA70D4">
        <w:rPr>
          <w:snapToGrid w:val="0"/>
          <w:color w:val="000000" w:themeColor="text1"/>
        </w:rPr>
        <w:t>the Council to revise the answer to the FAQ “Can I obtain protection for more than one country from a single application?”, as follows:</w:t>
      </w:r>
    </w:p>
    <w:p w:rsidR="000444BA" w:rsidRPr="00DA70D4" w:rsidRDefault="000444BA" w:rsidP="000444BA">
      <w:pPr>
        <w:rPr>
          <w:rFonts w:cs="Arial"/>
        </w:rPr>
      </w:pPr>
    </w:p>
    <w:p w:rsidR="000444BA" w:rsidRPr="001D0E79" w:rsidRDefault="000444BA" w:rsidP="000444BA">
      <w:pPr>
        <w:ind w:left="567" w:right="567"/>
        <w:rPr>
          <w:rFonts w:cs="Arial"/>
          <w:sz w:val="18"/>
        </w:rPr>
      </w:pPr>
      <w:r w:rsidRPr="00DA70D4">
        <w:rPr>
          <w:rFonts w:cs="Arial"/>
          <w:sz w:val="18"/>
        </w:rPr>
        <w:t xml:space="preserve">“In order to obtain protection the breeder needs to file an application with the authority of each UPOV member where protection is sought.  The European Union operates a </w:t>
      </w:r>
      <w:r w:rsidRPr="00DA70D4">
        <w:rPr>
          <w:rFonts w:cs="Arial"/>
          <w:strike/>
          <w:sz w:val="18"/>
        </w:rPr>
        <w:t>(supranational) community</w:t>
      </w:r>
      <w:r w:rsidRPr="00DA70D4">
        <w:rPr>
          <w:rFonts w:cs="Arial"/>
          <w:sz w:val="18"/>
        </w:rPr>
        <w:t xml:space="preserve"> plant </w:t>
      </w:r>
      <w:r w:rsidRPr="00DA70D4">
        <w:rPr>
          <w:rFonts w:cs="Arial"/>
          <w:strike/>
          <w:sz w:val="18"/>
        </w:rPr>
        <w:t>variety</w:t>
      </w:r>
      <w:r w:rsidRPr="00DA70D4">
        <w:rPr>
          <w:rFonts w:cs="Arial"/>
          <w:sz w:val="18"/>
        </w:rPr>
        <w:t xml:space="preserve"> </w:t>
      </w:r>
      <w:r w:rsidRPr="00DA70D4">
        <w:rPr>
          <w:rFonts w:cs="Arial"/>
          <w:sz w:val="18"/>
          <w:u w:val="single"/>
        </w:rPr>
        <w:t>breeders’</w:t>
      </w:r>
      <w:r w:rsidRPr="00DA70D4">
        <w:rPr>
          <w:rFonts w:cs="Arial"/>
          <w:sz w:val="18"/>
        </w:rPr>
        <w:t xml:space="preserve"> rights system which covers the territory of its 28 member States.  </w:t>
      </w:r>
      <w:r w:rsidRPr="00DA70D4">
        <w:rPr>
          <w:rFonts w:cs="Arial"/>
          <w:sz w:val="18"/>
          <w:u w:val="single"/>
        </w:rPr>
        <w:t>The African Intellectual Property Organization operates a plant breeders’ rights system which covers the territory of its 17 member States.</w:t>
      </w:r>
      <w:r w:rsidRPr="00DA70D4">
        <w:rPr>
          <w:rFonts w:cs="Arial"/>
          <w:sz w:val="18"/>
        </w:rPr>
        <w:t xml:space="preserve">  Contact details of the authorities responsible for the granting of breeders’ rights are provided at </w:t>
      </w:r>
      <w:hyperlink r:id="rId8" w:history="1">
        <w:r w:rsidRPr="00DA70D4">
          <w:rPr>
            <w:rStyle w:val="Hyperlink"/>
            <w:rFonts w:cs="Arial"/>
            <w:sz w:val="18"/>
          </w:rPr>
          <w:t>http://www.upov.int/members/en/pvp_offices.html</w:t>
        </w:r>
      </w:hyperlink>
      <w:r w:rsidRPr="00DA70D4">
        <w:rPr>
          <w:rFonts w:cs="Arial"/>
          <w:sz w:val="18"/>
        </w:rPr>
        <w:t>.”</w:t>
      </w:r>
    </w:p>
    <w:p w:rsidR="000444BA" w:rsidRPr="000C1C5C" w:rsidRDefault="000444BA" w:rsidP="000444BA">
      <w:pPr>
        <w:rPr>
          <w:snapToGrid w:val="0"/>
          <w:color w:val="000000" w:themeColor="text1"/>
        </w:rPr>
      </w:pPr>
    </w:p>
    <w:p w:rsidR="00B90FFC" w:rsidRDefault="00B90FFC" w:rsidP="00B90FFC">
      <w:r>
        <w:fldChar w:fldCharType="begin"/>
      </w:r>
      <w:r>
        <w:instrText xml:space="preserve"> AUTONUM  </w:instrText>
      </w:r>
      <w:r>
        <w:fldChar w:fldCharType="end"/>
      </w:r>
      <w:r>
        <w:tab/>
        <w:t>The work of the Consultative Committee at its eighty-ninth session is summarized in the following paragraphs.</w:t>
      </w:r>
    </w:p>
    <w:p w:rsidR="00B65CAF" w:rsidRDefault="00B65CAF" w:rsidP="00B90FFC"/>
    <w:p w:rsidR="00B90FFC" w:rsidRDefault="00B90FFC">
      <w:pPr>
        <w:jc w:val="left"/>
      </w:pPr>
      <w:r>
        <w:br w:type="page"/>
      </w:r>
    </w:p>
    <w:p w:rsidR="00B90FFC" w:rsidRPr="0093774C" w:rsidRDefault="00B90FFC" w:rsidP="00B90FFC">
      <w:pPr>
        <w:ind w:left="567" w:hanging="567"/>
        <w:jc w:val="left"/>
        <w:rPr>
          <w:snapToGrid w:val="0"/>
          <w:u w:val="single"/>
        </w:rPr>
      </w:pPr>
      <w:r w:rsidRPr="0093774C">
        <w:rPr>
          <w:rFonts w:cs="Arial"/>
          <w:snapToGrid w:val="0"/>
          <w:u w:val="single"/>
        </w:rPr>
        <w:lastRenderedPageBreak/>
        <w:t xml:space="preserve">Extension of the </w:t>
      </w:r>
      <w:r w:rsidRPr="0093774C">
        <w:rPr>
          <w:snapToGrid w:val="0"/>
          <w:u w:val="single"/>
        </w:rPr>
        <w:t>appointment of the Vic</w:t>
      </w:r>
      <w:r w:rsidR="0093774C" w:rsidRPr="0093774C">
        <w:rPr>
          <w:snapToGrid w:val="0"/>
          <w:u w:val="single"/>
        </w:rPr>
        <w:t>e Secretary-General</w:t>
      </w:r>
    </w:p>
    <w:p w:rsidR="0093774C" w:rsidRDefault="0093774C" w:rsidP="00C70254">
      <w:pPr>
        <w:rPr>
          <w:snapToGrid w:val="0"/>
        </w:rPr>
      </w:pPr>
    </w:p>
    <w:p w:rsidR="0093774C" w:rsidRPr="004E2AB4" w:rsidRDefault="0093774C" w:rsidP="00C70254">
      <w:pPr>
        <w:rPr>
          <w:snapToGrid w:val="0"/>
        </w:rPr>
      </w:pPr>
      <w:r>
        <w:rPr>
          <w:snapToGrid w:val="0"/>
        </w:rPr>
        <w:fldChar w:fldCharType="begin"/>
      </w:r>
      <w:r>
        <w:rPr>
          <w:snapToGrid w:val="0"/>
        </w:rPr>
        <w:instrText xml:space="preserve"> AUTONUM  </w:instrText>
      </w:r>
      <w:r>
        <w:rPr>
          <w:snapToGrid w:val="0"/>
        </w:rPr>
        <w:fldChar w:fldCharType="end"/>
      </w:r>
      <w:r>
        <w:rPr>
          <w:snapToGrid w:val="0"/>
        </w:rPr>
        <w:tab/>
      </w:r>
      <w:r w:rsidR="00960E3F" w:rsidRPr="00437656">
        <w:t>The Consultative Committee recommended to the Council to extend the appointment of the Vice </w:t>
      </w:r>
      <w:r w:rsidR="00960E3F">
        <w:t>Secretary-</w:t>
      </w:r>
      <w:r w:rsidR="00960E3F" w:rsidRPr="00437656">
        <w:t>General from December 1, 2015, until November 30, 2018.</w:t>
      </w:r>
    </w:p>
    <w:p w:rsidR="00B90FFC" w:rsidRDefault="00B90FFC" w:rsidP="00C70254"/>
    <w:p w:rsidR="0093774C" w:rsidRPr="004E2AB4" w:rsidRDefault="0093774C" w:rsidP="00C70254"/>
    <w:p w:rsidR="00B90FFC" w:rsidRPr="0093774C" w:rsidRDefault="00B90FFC" w:rsidP="0093774C">
      <w:pPr>
        <w:rPr>
          <w:u w:val="single"/>
        </w:rPr>
      </w:pPr>
      <w:r w:rsidRPr="0093774C">
        <w:rPr>
          <w:u w:val="single"/>
        </w:rPr>
        <w:t>Preliminary examination of the conformity of the “Draft provisions of Book Four ‘Plant Varieties’ of Law No. 82 of 2002 Pertaining to the Protection of Intellectual Property Rights” of Egypt with the 1991 Act of the UPOV Conv</w:t>
      </w:r>
      <w:r w:rsidR="0093774C" w:rsidRPr="0093774C">
        <w:rPr>
          <w:u w:val="single"/>
        </w:rPr>
        <w:t>ention</w:t>
      </w:r>
    </w:p>
    <w:p w:rsidR="00B90FFC" w:rsidRDefault="00B90FFC" w:rsidP="00C70254"/>
    <w:p w:rsidR="00960E3F" w:rsidRPr="00437656" w:rsidRDefault="00960E3F" w:rsidP="00960E3F">
      <w:r w:rsidRPr="00437656">
        <w:fldChar w:fldCharType="begin"/>
      </w:r>
      <w:r w:rsidRPr="00437656">
        <w:instrText xml:space="preserve"> AUTONUM  </w:instrText>
      </w:r>
      <w:r w:rsidRPr="00437656">
        <w:fldChar w:fldCharType="end"/>
      </w:r>
      <w:r w:rsidRPr="00437656">
        <w:tab/>
        <w:t>The Consultative Committee recommended to the Council to:</w:t>
      </w:r>
    </w:p>
    <w:p w:rsidR="00960E3F" w:rsidRPr="00437656" w:rsidRDefault="00960E3F" w:rsidP="00960E3F"/>
    <w:p w:rsidR="00960E3F" w:rsidRDefault="00960E3F" w:rsidP="00960E3F">
      <w:pPr>
        <w:keepNext/>
      </w:pPr>
      <w:r w:rsidRPr="008E2BCF">
        <w:tab/>
        <w:t>(a)</w:t>
      </w:r>
      <w:r w:rsidRPr="008E2BCF">
        <w:tab/>
        <w:t>note the analysis in document C(Extr.)/32/3;</w:t>
      </w:r>
    </w:p>
    <w:p w:rsidR="00960E3F" w:rsidRDefault="00960E3F" w:rsidP="00960E3F">
      <w:pPr>
        <w:keepNext/>
      </w:pPr>
    </w:p>
    <w:p w:rsidR="00960E3F" w:rsidRPr="00D968C7" w:rsidRDefault="00960E3F" w:rsidP="00960E3F">
      <w:r>
        <w:tab/>
      </w:r>
      <w:r w:rsidRPr="00D968C7">
        <w:t>(b)</w:t>
      </w:r>
      <w:r w:rsidRPr="00D968C7">
        <w:tab/>
        <w:t>note the information provided by the Delegation of Egypt that the English translation of the Draft Law required verification and that the following corrections would be made to the translation in accordance with the original text of the Draft Law:</w:t>
      </w:r>
    </w:p>
    <w:p w:rsidR="00960E3F" w:rsidRPr="00D968C7" w:rsidRDefault="00960E3F" w:rsidP="00960E3F"/>
    <w:p w:rsidR="00960E3F" w:rsidRPr="00D968C7" w:rsidRDefault="00960E3F" w:rsidP="00960E3F">
      <w:pPr>
        <w:ind w:firstLine="567"/>
      </w:pPr>
      <w:r w:rsidRPr="00D968C7">
        <w:tab/>
        <w:t>(i)</w:t>
      </w:r>
      <w:r w:rsidRPr="00D968C7">
        <w:tab/>
        <w:t>to add the words “of this Article” at the end of Article 192(7); and</w:t>
      </w:r>
    </w:p>
    <w:p w:rsidR="00960E3F" w:rsidRPr="00D968C7" w:rsidRDefault="00960E3F" w:rsidP="00960E3F"/>
    <w:p w:rsidR="00960E3F" w:rsidRPr="008E2BCF" w:rsidRDefault="00960E3F" w:rsidP="00960E3F">
      <w:pPr>
        <w:ind w:left="567" w:firstLine="570"/>
      </w:pPr>
      <w:r w:rsidRPr="00D968C7">
        <w:t>(ii)</w:t>
      </w:r>
      <w:r w:rsidRPr="00D968C7">
        <w:tab/>
        <w:t>to add the paragraph number “(4)” before the sentence “</w:t>
      </w:r>
      <w:r w:rsidRPr="00D968C7">
        <w:rPr>
          <w:snapToGrid w:val="0"/>
        </w:rPr>
        <w:t xml:space="preserve">The Minister of Agriculture shall issue a decision establishing the rules and procedures for examination and settlement of the appeal.” </w:t>
      </w:r>
      <w:r w:rsidRPr="00D968C7">
        <w:t>in Article 202;</w:t>
      </w:r>
    </w:p>
    <w:p w:rsidR="00960E3F" w:rsidRPr="008E2BCF" w:rsidRDefault="00960E3F" w:rsidP="00960E3F"/>
    <w:p w:rsidR="00960E3F" w:rsidRPr="008E2BCF" w:rsidRDefault="00960E3F" w:rsidP="00960E3F">
      <w:r>
        <w:tab/>
        <w:t>(c</w:t>
      </w:r>
      <w:r w:rsidRPr="008E2BCF">
        <w:t>)</w:t>
      </w:r>
      <w:r w:rsidRPr="008E2BCF">
        <w:tab/>
        <w:t>take a positive decision on the conformity of the “Draft provisions of Book Four ‘Plant Variety Protection’ of Law No. 82 of 2002 Pertaining to the Protection of Intellectual Property Rights” (“Draft Law”) of Egypt with the provisions of the 1991 Act of the International Convention for the Protection of New Varieties of Plants, which allows Egypt once the Draft Law is adopted with no changes and the Law is in force, to deposit its instrument of accession to the 1991 Act; and</w:t>
      </w:r>
    </w:p>
    <w:p w:rsidR="00960E3F" w:rsidRPr="008E2BCF" w:rsidRDefault="00960E3F" w:rsidP="00960E3F"/>
    <w:p w:rsidR="00960E3F" w:rsidRPr="0019668D" w:rsidRDefault="00960E3F" w:rsidP="00960E3F">
      <w:r>
        <w:tab/>
        <w:t>(d</w:t>
      </w:r>
      <w:r w:rsidRPr="008E2BCF">
        <w:t>)</w:t>
      </w:r>
      <w:r w:rsidRPr="008E2BCF">
        <w:tab/>
        <w:t>authorize the Secretary-General to inform the Government of Egypt of that decision.</w:t>
      </w:r>
    </w:p>
    <w:p w:rsidR="0093774C" w:rsidRDefault="0093774C" w:rsidP="00C70254"/>
    <w:p w:rsidR="0093774C" w:rsidRPr="004E2AB4" w:rsidRDefault="0093774C" w:rsidP="00C70254"/>
    <w:p w:rsidR="00B90FFC" w:rsidRPr="0093774C" w:rsidRDefault="00B90FFC" w:rsidP="0093774C">
      <w:pPr>
        <w:rPr>
          <w:u w:val="single"/>
        </w:rPr>
      </w:pPr>
      <w:r w:rsidRPr="0093774C">
        <w:rPr>
          <w:u w:val="single"/>
        </w:rPr>
        <w:t>Documents proposed for adoption by the</w:t>
      </w:r>
      <w:r w:rsidR="0093774C" w:rsidRPr="0093774C">
        <w:rPr>
          <w:u w:val="single"/>
        </w:rPr>
        <w:t xml:space="preserve"> Council</w:t>
      </w:r>
    </w:p>
    <w:p w:rsidR="00B90FFC" w:rsidRPr="0093774C" w:rsidRDefault="00B90FFC" w:rsidP="0093774C"/>
    <w:p w:rsidR="00B90FFC" w:rsidRPr="0093774C" w:rsidRDefault="00B90FFC" w:rsidP="0093774C">
      <w:pPr>
        <w:rPr>
          <w:i/>
        </w:rPr>
      </w:pPr>
      <w:r w:rsidRPr="0093774C">
        <w:rPr>
          <w:i/>
        </w:rPr>
        <w:t>UPOV/INF/4/4</w:t>
      </w:r>
      <w:r w:rsidR="0093774C" w:rsidRPr="0093774C">
        <w:rPr>
          <w:i/>
        </w:rPr>
        <w:t xml:space="preserve">:  </w:t>
      </w:r>
      <w:r w:rsidRPr="0093774C">
        <w:rPr>
          <w:i/>
        </w:rPr>
        <w:t>Financial Regulations and Rules of UPOV (Revision)</w:t>
      </w:r>
    </w:p>
    <w:p w:rsidR="00B90FFC" w:rsidRDefault="00B90FFC" w:rsidP="0093774C"/>
    <w:p w:rsidR="00960E3F" w:rsidRPr="00437656" w:rsidRDefault="00960E3F" w:rsidP="00960E3F">
      <w:r w:rsidRPr="00437656">
        <w:fldChar w:fldCharType="begin"/>
      </w:r>
      <w:r w:rsidRPr="00437656">
        <w:instrText xml:space="preserve"> AUTONUM  </w:instrText>
      </w:r>
      <w:r w:rsidRPr="00437656">
        <w:fldChar w:fldCharType="end"/>
      </w:r>
      <w:r w:rsidRPr="00437656">
        <w:tab/>
        <w:t>The Consultative Committee recommended to the Council to adopt the revision of document UPOV/INF/4 “Financial Regulations and Rules of UPOV” (document UPOV/INF/4/4), on the basis of the amendments to document UPOV/INF/4/3, as presented in the Annex to document C(Extr.)/32/4.</w:t>
      </w:r>
    </w:p>
    <w:p w:rsidR="0093774C" w:rsidRPr="0093774C" w:rsidRDefault="0093774C" w:rsidP="00C70254"/>
    <w:p w:rsidR="00B90FFC" w:rsidRPr="0093774C" w:rsidRDefault="00B90FFC" w:rsidP="0093774C">
      <w:pPr>
        <w:rPr>
          <w:i/>
        </w:rPr>
      </w:pPr>
      <w:r w:rsidRPr="0093774C">
        <w:rPr>
          <w:i/>
        </w:rPr>
        <w:t>UPOV/INF/15/3</w:t>
      </w:r>
      <w:r w:rsidR="0093774C" w:rsidRPr="0093774C">
        <w:rPr>
          <w:i/>
        </w:rPr>
        <w:t xml:space="preserve">:  </w:t>
      </w:r>
      <w:r w:rsidRPr="0093774C">
        <w:rPr>
          <w:i/>
        </w:rPr>
        <w:t>Guidance for members of UPOV on ongoing obligations and related notifications and on the provision of information to facilitate cooperation (Revision)</w:t>
      </w:r>
    </w:p>
    <w:p w:rsidR="0093774C" w:rsidRDefault="0093774C" w:rsidP="0093774C"/>
    <w:p w:rsidR="00960E3F" w:rsidRDefault="00960E3F" w:rsidP="00960E3F">
      <w:r w:rsidRPr="00437656">
        <w:fldChar w:fldCharType="begin"/>
      </w:r>
      <w:r w:rsidRPr="00437656">
        <w:instrText xml:space="preserve"> AUTONUM  </w:instrText>
      </w:r>
      <w:r w:rsidRPr="00437656">
        <w:fldChar w:fldCharType="end"/>
      </w:r>
      <w:r w:rsidRPr="00437656">
        <w:tab/>
        <w:t>The Consultative Committee recommended to the Council to adopt the revision of document UPOV/INF/15 “Guidance for Members of UPOV on Ongoing Obligations and Related Notifications and on the Provision of Information to Facilitate Cooperation” (document UPOV/INF/15/3), on the basis of document UPOV/INF/15/3 Draft 2</w:t>
      </w:r>
      <w:r>
        <w:t xml:space="preserve"> “</w:t>
      </w:r>
      <w:r w:rsidRPr="002E1461">
        <w:t>Guidance for members of UPOV</w:t>
      </w:r>
      <w:r w:rsidRPr="00D968C7">
        <w:t>”; subject to the following changes:</w:t>
      </w:r>
      <w:r>
        <w:t xml:space="preserve">  </w:t>
      </w:r>
    </w:p>
    <w:p w:rsidR="00960E3F" w:rsidRPr="00A95FF0" w:rsidRDefault="00960E3F" w:rsidP="00960E3F">
      <w:pPr>
        <w:rPr>
          <w:highlight w:val="lightGray"/>
        </w:rPr>
      </w:pPr>
    </w:p>
    <w:p w:rsidR="00960E3F" w:rsidRPr="00D968C7" w:rsidRDefault="00960E3F" w:rsidP="00960E3F">
      <w:pPr>
        <w:ind w:left="567" w:right="567"/>
        <w:rPr>
          <w:sz w:val="18"/>
        </w:rPr>
      </w:pPr>
      <w:r>
        <w:rPr>
          <w:sz w:val="18"/>
        </w:rPr>
        <w:t>“</w:t>
      </w:r>
      <w:r w:rsidRPr="00D968C7">
        <w:rPr>
          <w:sz w:val="18"/>
        </w:rPr>
        <w:t>52.</w:t>
      </w:r>
      <w:r w:rsidRPr="00D968C7">
        <w:rPr>
          <w:sz w:val="18"/>
        </w:rPr>
        <w:tab/>
      </w:r>
      <w:r w:rsidRPr="00D968C7">
        <w:rPr>
          <w:rFonts w:cs="Arial"/>
          <w:sz w:val="18"/>
        </w:rPr>
        <w:t xml:space="preserve">In relation to electronic </w:t>
      </w:r>
      <w:r w:rsidRPr="00D968C7">
        <w:rPr>
          <w:rFonts w:cs="Arial"/>
          <w:sz w:val="18"/>
          <w:highlight w:val="lightGray"/>
          <w:u w:val="single"/>
        </w:rPr>
        <w:t>and paper</w:t>
      </w:r>
      <w:r w:rsidRPr="00D968C7">
        <w:rPr>
          <w:rFonts w:cs="Arial"/>
          <w:sz w:val="18"/>
        </w:rPr>
        <w:t xml:space="preserve"> publication</w:t>
      </w:r>
      <w:r w:rsidR="00793584" w:rsidRPr="00793584">
        <w:rPr>
          <w:rFonts w:cs="Arial"/>
          <w:sz w:val="18"/>
          <w:highlight w:val="lightGray"/>
          <w:u w:val="single"/>
        </w:rPr>
        <w:t>s</w:t>
      </w:r>
      <w:r w:rsidRPr="00D968C7">
        <w:rPr>
          <w:rFonts w:cs="Arial"/>
          <w:sz w:val="18"/>
        </w:rPr>
        <w:t xml:space="preserve">, including searchable databases, the completeness and correctness of the information is of particular importance.  In particular, it is important to include </w:t>
      </w:r>
      <w:r w:rsidRPr="00D968C7">
        <w:rPr>
          <w:sz w:val="18"/>
        </w:rPr>
        <w:t>information concerning applications for and grants of breeders’ rights, and proposed and approved denominations.</w:t>
      </w:r>
      <w:r>
        <w:rPr>
          <w:sz w:val="18"/>
        </w:rPr>
        <w:t>”</w:t>
      </w:r>
    </w:p>
    <w:p w:rsidR="00960E3F" w:rsidRPr="00D968C7" w:rsidRDefault="00960E3F" w:rsidP="00960E3F">
      <w:pPr>
        <w:ind w:left="567" w:right="567"/>
        <w:rPr>
          <w:sz w:val="18"/>
        </w:rPr>
      </w:pPr>
    </w:p>
    <w:p w:rsidR="00960E3F" w:rsidRPr="00D968C7" w:rsidRDefault="00960E3F" w:rsidP="00960E3F">
      <w:pPr>
        <w:ind w:left="567" w:right="567"/>
        <w:rPr>
          <w:sz w:val="18"/>
        </w:rPr>
      </w:pPr>
      <w:r>
        <w:rPr>
          <w:sz w:val="18"/>
          <w:szCs w:val="22"/>
        </w:rPr>
        <w:t>“</w:t>
      </w:r>
      <w:r w:rsidRPr="00D968C7">
        <w:rPr>
          <w:sz w:val="18"/>
          <w:szCs w:val="22"/>
        </w:rPr>
        <w:t>62.</w:t>
      </w:r>
      <w:r w:rsidRPr="00D968C7">
        <w:rPr>
          <w:sz w:val="18"/>
          <w:szCs w:val="22"/>
        </w:rPr>
        <w:tab/>
        <w:t>The UPOV Convention provides for a right of priority of 12 months, based upon an earlier application for the protection of the same variety with another UPOV member, whereby</w:t>
      </w:r>
      <w:r w:rsidRPr="00D968C7">
        <w:rPr>
          <w:sz w:val="18"/>
          <w:szCs w:val="22"/>
          <w:highlight w:val="lightGray"/>
          <w:u w:val="single"/>
        </w:rPr>
        <w:t>, when priority is claimed,</w:t>
      </w:r>
      <w:r w:rsidRPr="00D968C7">
        <w:rPr>
          <w:sz w:val="18"/>
          <w:szCs w:val="22"/>
        </w:rPr>
        <w:t xml:space="preserve"> a subsequent application is treated as if it were filed on the filing date of the first application.  The right of priority has effects for the examination of the novelty and distinctness conditions and proposed denominations</w:t>
      </w:r>
      <w:r w:rsidRPr="00D968C7">
        <w:rPr>
          <w:sz w:val="18"/>
        </w:rPr>
        <w:t xml:space="preserve"> (see online distance learning course DL-205 “Plant Breeders’ Rights under the UPOV Convention”, Module 4: “Applying for a Plant Breeder’s Right”, and document UPOV/EXN/PRI “Explanatory notes on the right of priority under the UPOV Convention” available at: </w:t>
      </w:r>
      <w:hyperlink r:id="rId9" w:history="1">
        <w:r w:rsidRPr="00D968C7">
          <w:rPr>
            <w:color w:val="0000FF"/>
            <w:sz w:val="18"/>
            <w:u w:val="single"/>
          </w:rPr>
          <w:t>http://www.upov.int/explanatory_notes/en/</w:t>
        </w:r>
      </w:hyperlink>
      <w:r w:rsidRPr="00D968C7">
        <w:rPr>
          <w:sz w:val="18"/>
        </w:rPr>
        <w:t>).</w:t>
      </w:r>
      <w:r>
        <w:rPr>
          <w:sz w:val="18"/>
        </w:rPr>
        <w:t>”</w:t>
      </w:r>
    </w:p>
    <w:p w:rsidR="00B90FFC" w:rsidRDefault="00B90FFC" w:rsidP="00C70254"/>
    <w:p w:rsidR="00960E3F" w:rsidRPr="0093774C" w:rsidRDefault="00960E3F" w:rsidP="00C70254"/>
    <w:p w:rsidR="00B90FFC" w:rsidRPr="0093774C" w:rsidRDefault="00B90FFC" w:rsidP="0093774C">
      <w:pPr>
        <w:rPr>
          <w:i/>
        </w:rPr>
      </w:pPr>
      <w:r w:rsidRPr="0093774C">
        <w:rPr>
          <w:i/>
        </w:rPr>
        <w:lastRenderedPageBreak/>
        <w:t>UPOV/INF-EXN/7</w:t>
      </w:r>
      <w:r w:rsidR="0093774C" w:rsidRPr="0093774C">
        <w:rPr>
          <w:i/>
        </w:rPr>
        <w:t xml:space="preserve">:  </w:t>
      </w:r>
      <w:r w:rsidRPr="0093774C">
        <w:rPr>
          <w:i/>
        </w:rPr>
        <w:t>List of UPOV/INF-EXN Documents and Latest Issue Dates</w:t>
      </w:r>
    </w:p>
    <w:p w:rsidR="00B90FFC" w:rsidRDefault="00B90FFC" w:rsidP="0093774C"/>
    <w:p w:rsidR="00960E3F" w:rsidRPr="00437656" w:rsidRDefault="00960E3F" w:rsidP="00960E3F">
      <w:r w:rsidRPr="00437656">
        <w:fldChar w:fldCharType="begin"/>
      </w:r>
      <w:r w:rsidRPr="00437656">
        <w:instrText xml:space="preserve"> AUTONUM  </w:instrText>
      </w:r>
      <w:r w:rsidRPr="00437656">
        <w:fldChar w:fldCharType="end"/>
      </w:r>
      <w:r w:rsidRPr="00437656">
        <w:tab/>
        <w:t>The Consultative Committee recommended to the Council to adopt the revision of document UPOV/INF-EXN “List of INF-EXN Documents and Latest Issue Dates” (document UPOV/INF-EXN/7) on the basis of document UPOV/INF-EXN/7 Draft 1.</w:t>
      </w:r>
    </w:p>
    <w:p w:rsidR="0093774C" w:rsidRDefault="0093774C" w:rsidP="00C70254"/>
    <w:p w:rsidR="0093774C" w:rsidRPr="0093774C" w:rsidRDefault="0093774C" w:rsidP="00C70254"/>
    <w:p w:rsidR="00B90FFC" w:rsidRPr="005035A5" w:rsidRDefault="00B90FFC" w:rsidP="0093774C">
      <w:pPr>
        <w:rPr>
          <w:u w:val="single"/>
        </w:rPr>
      </w:pPr>
      <w:r w:rsidRPr="005035A5">
        <w:rPr>
          <w:u w:val="single"/>
        </w:rPr>
        <w:t>Internal Audit and Reports of the WIPO Independent Advisory Oversight Committee</w:t>
      </w:r>
    </w:p>
    <w:p w:rsidR="00B90FFC" w:rsidRPr="005035A5" w:rsidRDefault="00B90FFC" w:rsidP="0093774C"/>
    <w:p w:rsidR="005035A5" w:rsidRPr="00D6038F" w:rsidRDefault="005035A5" w:rsidP="005035A5">
      <w:pPr>
        <w:rPr>
          <w:rFonts w:cs="Arial"/>
        </w:rPr>
      </w:pPr>
      <w:r w:rsidRPr="005035A5">
        <w:fldChar w:fldCharType="begin"/>
      </w:r>
      <w:r w:rsidRPr="005035A5">
        <w:instrText xml:space="preserve"> AUTONUM  </w:instrText>
      </w:r>
      <w:r w:rsidRPr="005035A5">
        <w:fldChar w:fldCharType="end"/>
      </w:r>
      <w:r w:rsidRPr="005035A5">
        <w:tab/>
        <w:t>The Consultative Committee noted that, on the basis of the risk assessment of UPOV, there had been</w:t>
      </w:r>
      <w:r>
        <w:t xml:space="preserve"> </w:t>
      </w:r>
      <w:r w:rsidRPr="00FB778B">
        <w:t xml:space="preserve">no internal audit of UPOV in 2014 and </w:t>
      </w:r>
      <w:r>
        <w:t xml:space="preserve">that </w:t>
      </w:r>
      <w:r w:rsidRPr="00FB778B">
        <w:t xml:space="preserve">the annual work plan of </w:t>
      </w:r>
      <w:r>
        <w:t xml:space="preserve">the WIPO </w:t>
      </w:r>
      <w:r w:rsidRPr="00FB778B">
        <w:t>Internal Oversight Division (IOD)</w:t>
      </w:r>
      <w:r w:rsidRPr="00D6038F">
        <w:rPr>
          <w:rFonts w:cs="Arial"/>
        </w:rPr>
        <w:t xml:space="preserve"> for 2015 </w:t>
      </w:r>
      <w:r>
        <w:rPr>
          <w:rFonts w:cs="Arial"/>
        </w:rPr>
        <w:t xml:space="preserve">did </w:t>
      </w:r>
      <w:r w:rsidRPr="00D6038F">
        <w:rPr>
          <w:rFonts w:cs="Arial"/>
        </w:rPr>
        <w:t>not include an internal audit of UPOV.</w:t>
      </w:r>
    </w:p>
    <w:p w:rsidR="005035A5" w:rsidRPr="00D6038F" w:rsidRDefault="005035A5" w:rsidP="005035A5">
      <w:pPr>
        <w:rPr>
          <w:rFonts w:cs="Arial"/>
        </w:rPr>
      </w:pPr>
    </w:p>
    <w:p w:rsidR="005035A5" w:rsidRPr="00D6038F" w:rsidRDefault="005035A5" w:rsidP="005035A5">
      <w:pPr>
        <w:rPr>
          <w:rFonts w:cs="Arial"/>
        </w:rPr>
      </w:pPr>
      <w:r w:rsidRPr="00D6038F">
        <w:rPr>
          <w:rFonts w:cs="Arial"/>
        </w:rPr>
        <w:fldChar w:fldCharType="begin"/>
      </w:r>
      <w:r w:rsidRPr="00D6038F">
        <w:rPr>
          <w:rFonts w:cs="Arial"/>
        </w:rPr>
        <w:instrText xml:space="preserve"> AUTONUM  </w:instrText>
      </w:r>
      <w:r w:rsidRPr="00D6038F">
        <w:rPr>
          <w:rFonts w:cs="Arial"/>
        </w:rPr>
        <w:fldChar w:fldCharType="end"/>
      </w:r>
      <w:r w:rsidRPr="00D6038F">
        <w:rPr>
          <w:rFonts w:cs="Arial"/>
        </w:rPr>
        <w:tab/>
        <w:t>The Consultative Committee noted that the Secretary-General had not been made aware of the need for any investigations in UPOV in 2014.</w:t>
      </w:r>
    </w:p>
    <w:p w:rsidR="005035A5" w:rsidRPr="00D6038F" w:rsidRDefault="005035A5" w:rsidP="005035A5">
      <w:pPr>
        <w:rPr>
          <w:rFonts w:cs="Arial"/>
        </w:rPr>
      </w:pPr>
    </w:p>
    <w:p w:rsidR="005035A5" w:rsidRPr="00D6038F" w:rsidRDefault="005035A5" w:rsidP="005035A5">
      <w:pPr>
        <w:rPr>
          <w:rFonts w:cs="Arial"/>
        </w:rPr>
      </w:pPr>
      <w:r w:rsidRPr="00D6038F">
        <w:rPr>
          <w:rFonts w:cs="Arial"/>
        </w:rPr>
        <w:fldChar w:fldCharType="begin"/>
      </w:r>
      <w:r w:rsidRPr="00D6038F">
        <w:rPr>
          <w:rFonts w:cs="Arial"/>
        </w:rPr>
        <w:instrText xml:space="preserve"> AUTONUM  </w:instrText>
      </w:r>
      <w:r w:rsidRPr="00D6038F">
        <w:rPr>
          <w:rFonts w:cs="Arial"/>
        </w:rPr>
        <w:fldChar w:fldCharType="end"/>
      </w:r>
      <w:r w:rsidRPr="00D6038F">
        <w:rPr>
          <w:rFonts w:cs="Arial"/>
        </w:rPr>
        <w:tab/>
        <w:t>The Consultative Committee noted</w:t>
      </w:r>
      <w:r w:rsidRPr="00D6038F">
        <w:t xml:space="preserve"> </w:t>
      </w:r>
      <w:r w:rsidRPr="00D6038F">
        <w:rPr>
          <w:rFonts w:cs="Arial"/>
        </w:rPr>
        <w:t>the information contained in the IAOC quarterly reports for 2014 (documents WO/IAOC/32/2, WO/IAOC/33/2, WO/IAOC/34/2 and WO/IAOC/35/2), and in the IAOC Annual Report 2013-2014 (document WO/GA/46/1).</w:t>
      </w:r>
    </w:p>
    <w:p w:rsidR="005035A5" w:rsidRDefault="005035A5" w:rsidP="005035A5"/>
    <w:p w:rsidR="005035A5" w:rsidRDefault="005035A5" w:rsidP="005035A5">
      <w:r w:rsidRPr="00591C2F">
        <w:rPr>
          <w:rFonts w:cs="Arial"/>
        </w:rPr>
        <w:fldChar w:fldCharType="begin"/>
      </w:r>
      <w:r w:rsidRPr="00591C2F">
        <w:rPr>
          <w:rFonts w:cs="Arial"/>
        </w:rPr>
        <w:instrText xml:space="preserve"> AUTONUM  </w:instrText>
      </w:r>
      <w:r w:rsidRPr="00591C2F">
        <w:rPr>
          <w:rFonts w:cs="Arial"/>
        </w:rPr>
        <w:fldChar w:fldCharType="end"/>
      </w:r>
      <w:r w:rsidRPr="00591C2F">
        <w:rPr>
          <w:rFonts w:cs="Arial"/>
        </w:rPr>
        <w:tab/>
        <w:t xml:space="preserve">The Consultative Committee agreed to invite the </w:t>
      </w:r>
      <w:r w:rsidRPr="00591C2F">
        <w:t>WIPO Internal Oversight Division (</w:t>
      </w:r>
      <w:r w:rsidRPr="00591C2F">
        <w:rPr>
          <w:rFonts w:cs="Arial"/>
        </w:rPr>
        <w:t xml:space="preserve">IOD) to give a presentation on its work at the ninetieth session and to consider plans for an internal audit of </w:t>
      </w:r>
      <w:r w:rsidR="00C7055C">
        <w:rPr>
          <w:rFonts w:cs="Arial"/>
        </w:rPr>
        <w:t>UPOV in 2016</w:t>
      </w:r>
      <w:r w:rsidR="00C7055C">
        <w:rPr>
          <w:rFonts w:cs="Arial"/>
        </w:rPr>
        <w:noBreakHyphen/>
        <w:t>2017</w:t>
      </w:r>
      <w:r w:rsidRPr="00591C2F">
        <w:rPr>
          <w:rFonts w:cs="Arial"/>
        </w:rPr>
        <w:t>.</w:t>
      </w:r>
    </w:p>
    <w:p w:rsidR="0093774C" w:rsidRDefault="0093774C" w:rsidP="00C70254"/>
    <w:p w:rsidR="0093774C" w:rsidRPr="0093774C" w:rsidRDefault="0093774C" w:rsidP="00C70254"/>
    <w:p w:rsidR="00B90FFC" w:rsidRPr="0093774C" w:rsidRDefault="00B90FFC" w:rsidP="0093774C">
      <w:pPr>
        <w:rPr>
          <w:u w:val="single"/>
        </w:rPr>
      </w:pPr>
      <w:r w:rsidRPr="0093774C">
        <w:rPr>
          <w:u w:val="single"/>
        </w:rPr>
        <w:t>Financing of long-term employee benefits</w:t>
      </w:r>
    </w:p>
    <w:p w:rsidR="00B90FFC" w:rsidRDefault="00B90FFC" w:rsidP="0093774C"/>
    <w:p w:rsidR="00960E3F" w:rsidRPr="00D6038F" w:rsidRDefault="00960E3F" w:rsidP="00960E3F">
      <w:pPr>
        <w:rPr>
          <w:szCs w:val="24"/>
        </w:rPr>
      </w:pPr>
      <w:r w:rsidRPr="00D6038F">
        <w:fldChar w:fldCharType="begin"/>
      </w:r>
      <w:r w:rsidRPr="00D6038F">
        <w:instrText xml:space="preserve"> AUTONUM  </w:instrText>
      </w:r>
      <w:r w:rsidRPr="00D6038F">
        <w:fldChar w:fldCharType="end"/>
      </w:r>
      <w:r w:rsidRPr="00D6038F">
        <w:tab/>
        <w:t xml:space="preserve">The Consultative Committee noted the developments </w:t>
      </w:r>
      <w:r>
        <w:t>concerning the f</w:t>
      </w:r>
      <w:r w:rsidRPr="00960E3F">
        <w:t>inancing of long-term employee benefits</w:t>
      </w:r>
      <w:r>
        <w:t xml:space="preserve"> </w:t>
      </w:r>
      <w:r w:rsidRPr="00D6038F">
        <w:t>and that any new developments with regard to the working group of the UN CEB</w:t>
      </w:r>
      <w:r>
        <w:t xml:space="preserve"> Finance and Budget Network would</w:t>
      </w:r>
      <w:r w:rsidRPr="00D6038F">
        <w:t xml:space="preserve"> be reported to the Consultative Committee at its ninetieth session, to be held in October 2015.</w:t>
      </w:r>
    </w:p>
    <w:p w:rsidR="0093774C" w:rsidRDefault="0093774C" w:rsidP="00C70254"/>
    <w:p w:rsidR="0093774C" w:rsidRPr="0093774C" w:rsidRDefault="0093774C" w:rsidP="00C70254"/>
    <w:p w:rsidR="00B90FFC" w:rsidRPr="0093774C" w:rsidRDefault="00B90FFC" w:rsidP="0093774C">
      <w:pPr>
        <w:rPr>
          <w:u w:val="single"/>
        </w:rPr>
      </w:pPr>
      <w:r w:rsidRPr="005035A5">
        <w:rPr>
          <w:u w:val="single"/>
        </w:rPr>
        <w:t>Special project fund</w:t>
      </w:r>
    </w:p>
    <w:p w:rsidR="00B90FFC" w:rsidRDefault="00B90FFC" w:rsidP="0093774C"/>
    <w:p w:rsidR="005035A5" w:rsidRPr="00D6038F" w:rsidRDefault="005035A5" w:rsidP="005035A5">
      <w:pPr>
        <w:pStyle w:val="Inf4Normal"/>
        <w:spacing w:before="0"/>
      </w:pPr>
      <w:r w:rsidRPr="00D6038F">
        <w:fldChar w:fldCharType="begin"/>
      </w:r>
      <w:r w:rsidRPr="00D6038F">
        <w:instrText xml:space="preserve"> AUTONUM  </w:instrText>
      </w:r>
      <w:r w:rsidRPr="00D6038F">
        <w:fldChar w:fldCharType="end"/>
      </w:r>
      <w:r w:rsidRPr="00D6038F">
        <w:tab/>
        <w:t xml:space="preserve">The Consultative Committee </w:t>
      </w:r>
      <w:r>
        <w:t xml:space="preserve">expressed its approval of </w:t>
      </w:r>
      <w:r w:rsidRPr="00D6038F">
        <w:t>the review of the UPOV training and assistance strategy.</w:t>
      </w:r>
    </w:p>
    <w:p w:rsidR="005035A5" w:rsidRPr="00D6038F" w:rsidRDefault="005035A5" w:rsidP="005035A5">
      <w:pPr>
        <w:pStyle w:val="Inf4Normal"/>
        <w:spacing w:before="0"/>
      </w:pPr>
    </w:p>
    <w:p w:rsidR="005035A5" w:rsidRDefault="005035A5" w:rsidP="005035A5">
      <w:pPr>
        <w:pStyle w:val="Inf4Normal"/>
        <w:spacing w:before="0"/>
      </w:pPr>
      <w:r w:rsidRPr="00D6038F">
        <w:fldChar w:fldCharType="begin"/>
      </w:r>
      <w:r w:rsidRPr="00D6038F">
        <w:instrText xml:space="preserve"> AUTONUM  </w:instrText>
      </w:r>
      <w:r w:rsidRPr="00D6038F">
        <w:fldChar w:fldCharType="end"/>
      </w:r>
      <w:r w:rsidRPr="00D6038F">
        <w:tab/>
        <w:t>The Consultative Committee approved the planned use of the Special Project Fund for training purposes in the context of the UPOV training and assistance strategy.</w:t>
      </w:r>
    </w:p>
    <w:p w:rsidR="0093774C" w:rsidRDefault="0093774C" w:rsidP="00C70254"/>
    <w:p w:rsidR="0093774C" w:rsidRPr="0093774C" w:rsidRDefault="0093774C" w:rsidP="00C70254"/>
    <w:p w:rsidR="00B90FFC" w:rsidRPr="0093774C" w:rsidRDefault="00B90FFC" w:rsidP="0093774C">
      <w:pPr>
        <w:rPr>
          <w:u w:val="single"/>
        </w:rPr>
      </w:pPr>
      <w:r w:rsidRPr="00155DC8">
        <w:rPr>
          <w:u w:val="single"/>
        </w:rPr>
        <w:t>Preparation of the draft program and budget of the Union for the 2016-2017 biennium</w:t>
      </w:r>
    </w:p>
    <w:p w:rsidR="00B90FFC" w:rsidRDefault="00B90FFC" w:rsidP="0093774C"/>
    <w:p w:rsidR="00155DC8" w:rsidRPr="0057279F" w:rsidRDefault="00155DC8" w:rsidP="00155DC8">
      <w:pPr>
        <w:rPr>
          <w:snapToGrid w:val="0"/>
        </w:rPr>
      </w:pPr>
      <w:r w:rsidRPr="0057279F">
        <w:rPr>
          <w:snapToGrid w:val="0"/>
        </w:rPr>
        <w:fldChar w:fldCharType="begin"/>
      </w:r>
      <w:r w:rsidRPr="0057279F">
        <w:rPr>
          <w:snapToGrid w:val="0"/>
        </w:rPr>
        <w:instrText xml:space="preserve"> AUTONUM  </w:instrText>
      </w:r>
      <w:r w:rsidRPr="0057279F">
        <w:rPr>
          <w:snapToGrid w:val="0"/>
        </w:rPr>
        <w:fldChar w:fldCharType="end"/>
      </w:r>
      <w:r w:rsidRPr="0057279F">
        <w:rPr>
          <w:snapToGrid w:val="0"/>
        </w:rPr>
        <w:tab/>
        <w:t>The Consultative Committee noted the estimated income and expenditure for 2014, and the comments in relation to anticipated income and expenditure for the 2014-2015 Biennium, in relation to its consideration of the preparation of the Draft Program and Budget of the Union for the 2016</w:t>
      </w:r>
      <w:r w:rsidRPr="0057279F">
        <w:rPr>
          <w:snapToGrid w:val="0"/>
        </w:rPr>
        <w:noBreakHyphen/>
        <w:t>2017 Biennium.</w:t>
      </w:r>
    </w:p>
    <w:p w:rsidR="00155DC8" w:rsidRPr="0057279F" w:rsidRDefault="00155DC8" w:rsidP="00155DC8"/>
    <w:p w:rsidR="00155DC8" w:rsidRPr="00591C2F" w:rsidRDefault="00155DC8" w:rsidP="00155DC8">
      <w:pPr>
        <w:rPr>
          <w:snapToGrid w:val="0"/>
        </w:rPr>
      </w:pPr>
      <w:r>
        <w:rPr>
          <w:snapToGrid w:val="0"/>
        </w:rPr>
        <w:fldChar w:fldCharType="begin"/>
      </w:r>
      <w:r>
        <w:rPr>
          <w:snapToGrid w:val="0"/>
        </w:rPr>
        <w:instrText xml:space="preserve"> AUTONUM  </w:instrText>
      </w:r>
      <w:r>
        <w:rPr>
          <w:snapToGrid w:val="0"/>
        </w:rPr>
        <w:fldChar w:fldCharType="end"/>
      </w:r>
      <w:r>
        <w:rPr>
          <w:snapToGrid w:val="0"/>
        </w:rPr>
        <w:tab/>
      </w:r>
      <w:r w:rsidRPr="00F5074B">
        <w:rPr>
          <w:snapToGrid w:val="0"/>
        </w:rPr>
        <w:t>The Consultative Committee agreed the structure and contents f</w:t>
      </w:r>
      <w:r>
        <w:rPr>
          <w:snapToGrid w:val="0"/>
        </w:rPr>
        <w:t>or the preparation of the Draft </w:t>
      </w:r>
      <w:r w:rsidRPr="00F5074B">
        <w:rPr>
          <w:snapToGrid w:val="0"/>
        </w:rPr>
        <w:t>Program and Budget of the Union for the 201</w:t>
      </w:r>
      <w:r>
        <w:rPr>
          <w:snapToGrid w:val="0"/>
        </w:rPr>
        <w:t>6</w:t>
      </w:r>
      <w:r w:rsidRPr="00F5074B">
        <w:rPr>
          <w:snapToGrid w:val="0"/>
        </w:rPr>
        <w:t>-201</w:t>
      </w:r>
      <w:r>
        <w:rPr>
          <w:snapToGrid w:val="0"/>
        </w:rPr>
        <w:t>7</w:t>
      </w:r>
      <w:r w:rsidRPr="00F5074B">
        <w:rPr>
          <w:snapToGrid w:val="0"/>
        </w:rPr>
        <w:t xml:space="preserve"> Biennium</w:t>
      </w:r>
      <w:r w:rsidRPr="00591C2F">
        <w:rPr>
          <w:snapToGrid w:val="0"/>
        </w:rPr>
        <w:t>, subject to a review of the income from interest.</w:t>
      </w:r>
    </w:p>
    <w:p w:rsidR="0093774C" w:rsidRDefault="0093774C" w:rsidP="00C70254"/>
    <w:p w:rsidR="0093774C" w:rsidRPr="0093774C" w:rsidRDefault="0093774C" w:rsidP="00C70254"/>
    <w:p w:rsidR="00B90FFC" w:rsidRPr="0093774C" w:rsidRDefault="00B90FFC" w:rsidP="0093774C">
      <w:pPr>
        <w:rPr>
          <w:u w:val="single"/>
        </w:rPr>
      </w:pPr>
      <w:r w:rsidRPr="0093774C">
        <w:rPr>
          <w:u w:val="single"/>
        </w:rPr>
        <w:t>International system of cooperation</w:t>
      </w:r>
    </w:p>
    <w:p w:rsidR="00B90FFC" w:rsidRDefault="00B90FFC" w:rsidP="0093774C"/>
    <w:p w:rsidR="0093774C" w:rsidRPr="004E2AB4" w:rsidRDefault="0093774C" w:rsidP="00C70254">
      <w:pPr>
        <w:rPr>
          <w:snapToGrid w:val="0"/>
        </w:rPr>
      </w:pPr>
      <w:r w:rsidRPr="00155DC8">
        <w:rPr>
          <w:snapToGrid w:val="0"/>
        </w:rPr>
        <w:fldChar w:fldCharType="begin"/>
      </w:r>
      <w:r w:rsidRPr="00155DC8">
        <w:rPr>
          <w:snapToGrid w:val="0"/>
        </w:rPr>
        <w:instrText xml:space="preserve"> AUTONUM  </w:instrText>
      </w:r>
      <w:r w:rsidRPr="00155DC8">
        <w:rPr>
          <w:snapToGrid w:val="0"/>
        </w:rPr>
        <w:fldChar w:fldCharType="end"/>
      </w:r>
      <w:r w:rsidRPr="00155DC8">
        <w:rPr>
          <w:snapToGrid w:val="0"/>
        </w:rPr>
        <w:tab/>
      </w:r>
      <w:r w:rsidR="00507AD8" w:rsidRPr="00155DC8">
        <w:rPr>
          <w:snapToGrid w:val="0"/>
        </w:rPr>
        <w:t xml:space="preserve">The Consultative Committee concluded that more time was needed to discuss the issues raised by a possible international system of cooperation and agreed that the matter should be considered further at its ninetieth session.  In order to facilitate its considerations, the Consultative Committee agreed that the Office of the Union should produce a document with more information about the need for an international system, </w:t>
      </w:r>
      <w:bookmarkStart w:id="4" w:name="_GoBack"/>
      <w:bookmarkEnd w:id="4"/>
      <w:r w:rsidR="00507AD8" w:rsidRPr="00155DC8">
        <w:rPr>
          <w:snapToGrid w:val="0"/>
        </w:rPr>
        <w:t>providing a business analysis and cost estimate.</w:t>
      </w:r>
    </w:p>
    <w:p w:rsidR="0093774C" w:rsidRDefault="0093774C" w:rsidP="00C70254"/>
    <w:p w:rsidR="0093774C" w:rsidRPr="0093774C" w:rsidRDefault="0093774C" w:rsidP="00C70254"/>
    <w:p w:rsidR="00B90FFC" w:rsidRPr="0093774C" w:rsidRDefault="00B90FFC" w:rsidP="002B7057">
      <w:pPr>
        <w:keepNext/>
        <w:rPr>
          <w:u w:val="single"/>
        </w:rPr>
      </w:pPr>
      <w:r w:rsidRPr="00155DC8">
        <w:rPr>
          <w:u w:val="single"/>
        </w:rPr>
        <w:lastRenderedPageBreak/>
        <w:t>Access to UPOV documents and publication of information</w:t>
      </w:r>
    </w:p>
    <w:p w:rsidR="00B90FFC" w:rsidRDefault="00B90FFC" w:rsidP="002B7057">
      <w:pPr>
        <w:keepNext/>
      </w:pPr>
    </w:p>
    <w:p w:rsidR="00155DC8" w:rsidRPr="009A19D4" w:rsidRDefault="00155DC8" w:rsidP="00155DC8">
      <w:pPr>
        <w:rPr>
          <w:rFonts w:cs="Arial"/>
        </w:rPr>
      </w:pPr>
      <w:r w:rsidRPr="009A19D4">
        <w:rPr>
          <w:snapToGrid w:val="0"/>
        </w:rPr>
        <w:fldChar w:fldCharType="begin"/>
      </w:r>
      <w:r w:rsidRPr="009A19D4">
        <w:rPr>
          <w:snapToGrid w:val="0"/>
        </w:rPr>
        <w:instrText xml:space="preserve"> AUTONUM  </w:instrText>
      </w:r>
      <w:r w:rsidRPr="009A19D4">
        <w:rPr>
          <w:snapToGrid w:val="0"/>
        </w:rPr>
        <w:fldChar w:fldCharType="end"/>
      </w:r>
      <w:r w:rsidRPr="009A19D4">
        <w:rPr>
          <w:snapToGrid w:val="0"/>
        </w:rPr>
        <w:tab/>
      </w:r>
      <w:r w:rsidRPr="009A19D4">
        <w:rPr>
          <w:rFonts w:cs="Arial"/>
        </w:rPr>
        <w:t xml:space="preserve">The </w:t>
      </w:r>
      <w:r w:rsidRPr="009A19D4">
        <w:t xml:space="preserve">Consultative Committee noted the information on historic documents that </w:t>
      </w:r>
      <w:r>
        <w:t>had</w:t>
      </w:r>
      <w:r w:rsidRPr="009A19D4">
        <w:t xml:space="preserve"> been uploaded on the UPOV website. </w:t>
      </w:r>
    </w:p>
    <w:p w:rsidR="00155DC8" w:rsidRPr="009A19D4" w:rsidRDefault="00155DC8" w:rsidP="00155DC8">
      <w:pPr>
        <w:rPr>
          <w:snapToGrid w:val="0"/>
        </w:rPr>
      </w:pPr>
    </w:p>
    <w:p w:rsidR="00155DC8" w:rsidRDefault="00155DC8" w:rsidP="00155DC8">
      <w:r w:rsidRPr="009A19D4">
        <w:rPr>
          <w:rFonts w:cs="Arial"/>
        </w:rPr>
        <w:fldChar w:fldCharType="begin"/>
      </w:r>
      <w:r w:rsidRPr="009A19D4">
        <w:rPr>
          <w:rFonts w:cs="Arial"/>
        </w:rPr>
        <w:instrText xml:space="preserve"> AUTONUM  </w:instrText>
      </w:r>
      <w:r w:rsidRPr="009A19D4">
        <w:rPr>
          <w:rFonts w:cs="Arial"/>
        </w:rPr>
        <w:fldChar w:fldCharType="end"/>
      </w:r>
      <w:r w:rsidRPr="009A19D4">
        <w:rPr>
          <w:rFonts w:cs="Arial"/>
        </w:rPr>
        <w:tab/>
        <w:t xml:space="preserve">The Consultative Committee noted that </w:t>
      </w:r>
      <w:r w:rsidRPr="009A19D4">
        <w:t xml:space="preserve">information concerning consultants that </w:t>
      </w:r>
      <w:r>
        <w:t>had been</w:t>
      </w:r>
      <w:r w:rsidRPr="009A19D4">
        <w:t xml:space="preserve"> used by UPOV in 2014 </w:t>
      </w:r>
      <w:r>
        <w:t>would</w:t>
      </w:r>
      <w:r w:rsidRPr="009A19D4">
        <w:t xml:space="preserve"> be presented to the Consultative Committee at its nine</w:t>
      </w:r>
      <w:r w:rsidR="00732F3F">
        <w:t>tieth session, in October 2015.</w:t>
      </w:r>
    </w:p>
    <w:p w:rsidR="00155DC8" w:rsidRDefault="00155DC8" w:rsidP="00155DC8"/>
    <w:p w:rsidR="00155DC8" w:rsidRDefault="00155DC8" w:rsidP="00155DC8">
      <w:pPr>
        <w:rPr>
          <w:snapToGrid w:val="0"/>
        </w:rPr>
      </w:pPr>
      <w:r w:rsidRPr="00591C2F">
        <w:rPr>
          <w:rFonts w:cs="Arial"/>
        </w:rPr>
        <w:fldChar w:fldCharType="begin"/>
      </w:r>
      <w:r w:rsidRPr="00591C2F">
        <w:rPr>
          <w:rFonts w:cs="Arial"/>
        </w:rPr>
        <w:instrText xml:space="preserve"> AUTONUM  </w:instrText>
      </w:r>
      <w:r w:rsidRPr="00591C2F">
        <w:rPr>
          <w:rFonts w:cs="Arial"/>
        </w:rPr>
        <w:fldChar w:fldCharType="end"/>
      </w:r>
      <w:r w:rsidRPr="00591C2F">
        <w:rPr>
          <w:rFonts w:cs="Arial"/>
        </w:rPr>
        <w:tab/>
        <w:t xml:space="preserve">The Consultative Committee agreed to consider proposals in relation to a policy on documents, including </w:t>
      </w:r>
      <w:r>
        <w:rPr>
          <w:rFonts w:cs="Arial"/>
        </w:rPr>
        <w:t xml:space="preserve">communications </w:t>
      </w:r>
      <w:r w:rsidRPr="00591C2F">
        <w:rPr>
          <w:rFonts w:cs="Arial"/>
        </w:rPr>
        <w:t>provided by observers, at its ninetieth session</w:t>
      </w:r>
      <w:r w:rsidRPr="00591C2F">
        <w:t>.</w:t>
      </w:r>
    </w:p>
    <w:p w:rsidR="0093774C" w:rsidRDefault="0093774C" w:rsidP="00C70254"/>
    <w:p w:rsidR="0093774C" w:rsidRPr="0093774C" w:rsidRDefault="0093774C" w:rsidP="00C70254"/>
    <w:p w:rsidR="00B90FFC" w:rsidRPr="0093774C" w:rsidRDefault="0093774C" w:rsidP="0093774C">
      <w:pPr>
        <w:rPr>
          <w:u w:val="single"/>
        </w:rPr>
      </w:pPr>
      <w:r w:rsidRPr="0093774C">
        <w:rPr>
          <w:u w:val="single"/>
        </w:rPr>
        <w:t>Communication strategy</w:t>
      </w:r>
    </w:p>
    <w:p w:rsidR="00B90FFC" w:rsidRDefault="00B90FFC" w:rsidP="0093774C"/>
    <w:p w:rsidR="00732F3F" w:rsidRDefault="00732F3F" w:rsidP="00732F3F">
      <w:pPr>
        <w:keepNext/>
        <w:rPr>
          <w:snapToGrid w:val="0"/>
          <w:color w:val="000000" w:themeColor="text1"/>
        </w:rPr>
      </w:pPr>
      <w:r w:rsidRPr="00073ECC">
        <w:rPr>
          <w:snapToGrid w:val="0"/>
          <w:color w:val="000000" w:themeColor="text1"/>
        </w:rPr>
        <w:fldChar w:fldCharType="begin"/>
      </w:r>
      <w:r w:rsidRPr="00073ECC">
        <w:rPr>
          <w:snapToGrid w:val="0"/>
          <w:color w:val="000000" w:themeColor="text1"/>
        </w:rPr>
        <w:instrText xml:space="preserve"> AUTONUM  </w:instrText>
      </w:r>
      <w:r w:rsidRPr="00073ECC">
        <w:rPr>
          <w:snapToGrid w:val="0"/>
          <w:color w:val="000000" w:themeColor="text1"/>
        </w:rPr>
        <w:fldChar w:fldCharType="end"/>
      </w:r>
      <w:r w:rsidRPr="00073ECC">
        <w:rPr>
          <w:snapToGrid w:val="0"/>
          <w:color w:val="000000" w:themeColor="text1"/>
        </w:rPr>
        <w:tab/>
      </w:r>
      <w:r w:rsidRPr="00073ECC">
        <w:rPr>
          <w:color w:val="000000" w:themeColor="text1"/>
        </w:rPr>
        <w:t xml:space="preserve">The Consultative Committee </w:t>
      </w:r>
      <w:r w:rsidRPr="00073ECC">
        <w:rPr>
          <w:snapToGrid w:val="0"/>
          <w:color w:val="000000" w:themeColor="text1"/>
        </w:rPr>
        <w:t>noted th</w:t>
      </w:r>
      <w:r>
        <w:rPr>
          <w:snapToGrid w:val="0"/>
          <w:color w:val="000000" w:themeColor="text1"/>
        </w:rPr>
        <w:t>at:</w:t>
      </w:r>
    </w:p>
    <w:p w:rsidR="00732F3F" w:rsidRDefault="00732F3F" w:rsidP="00732F3F">
      <w:pPr>
        <w:keepNext/>
        <w:rPr>
          <w:snapToGrid w:val="0"/>
          <w:color w:val="000000" w:themeColor="text1"/>
        </w:rPr>
      </w:pPr>
    </w:p>
    <w:p w:rsidR="00732F3F" w:rsidRPr="000C1C5C" w:rsidRDefault="00732F3F" w:rsidP="00732F3F">
      <w:pPr>
        <w:ind w:firstLine="567"/>
      </w:pPr>
      <w:r w:rsidRPr="000C1C5C">
        <w:rPr>
          <w:snapToGrid w:val="0"/>
          <w:color w:val="000000" w:themeColor="text1"/>
        </w:rPr>
        <w:t>(i)</w:t>
      </w:r>
      <w:r w:rsidRPr="000C1C5C">
        <w:tab/>
        <w:t xml:space="preserve">stakeholder-focused features </w:t>
      </w:r>
      <w:r>
        <w:t>would</w:t>
      </w:r>
      <w:r w:rsidRPr="000C1C5C">
        <w:t xml:space="preserve"> be introduced on the UPOV website during 2015;</w:t>
      </w:r>
    </w:p>
    <w:p w:rsidR="00732F3F" w:rsidRPr="000C1C5C" w:rsidRDefault="00732F3F" w:rsidP="00732F3F">
      <w:pPr>
        <w:ind w:firstLine="567"/>
      </w:pPr>
    </w:p>
    <w:p w:rsidR="00732F3F" w:rsidRPr="001749F0" w:rsidRDefault="00732F3F" w:rsidP="00732F3F">
      <w:pPr>
        <w:ind w:firstLine="567"/>
      </w:pPr>
      <w:r w:rsidRPr="001749F0">
        <w:t>(ii)</w:t>
      </w:r>
      <w:r w:rsidRPr="001749F0">
        <w:tab/>
        <w:t>conclusions of the Technical Committee on the draft FAQ concerning information on the situation in UPOV with regard to the use of molecular techniques for a wider audience, including the public in general, would be reported to the Consultative Committee for consideration at its ninety-first session, to be held in March 2016;</w:t>
      </w:r>
    </w:p>
    <w:p w:rsidR="00732F3F" w:rsidRPr="001749F0" w:rsidRDefault="00732F3F" w:rsidP="00732F3F">
      <w:pPr>
        <w:ind w:firstLine="567"/>
      </w:pPr>
    </w:p>
    <w:p w:rsidR="00732F3F" w:rsidRPr="000C1C5C" w:rsidRDefault="00732F3F" w:rsidP="00732F3F">
      <w:pPr>
        <w:ind w:firstLine="567"/>
      </w:pPr>
      <w:r w:rsidRPr="001749F0">
        <w:t>(iii)</w:t>
      </w:r>
      <w:r w:rsidRPr="001749F0">
        <w:tab/>
        <w:t>the Office of the Union would seek to develop a brief, illustrative explanation of the benefits of</w:t>
      </w:r>
      <w:r w:rsidRPr="000C1C5C">
        <w:t xml:space="preserve"> the UPOV system aimed at an audience with no previous knowledge of plant breeding or plant variety protection and/or illustrative examples of the benefits of plant variety protection, in 2015 or 2016;</w:t>
      </w:r>
    </w:p>
    <w:p w:rsidR="00732F3F" w:rsidRPr="000C1C5C" w:rsidRDefault="00732F3F" w:rsidP="00732F3F">
      <w:pPr>
        <w:ind w:firstLine="567"/>
      </w:pPr>
    </w:p>
    <w:p w:rsidR="00732F3F" w:rsidRPr="000C1C5C" w:rsidRDefault="00732F3F" w:rsidP="00732F3F">
      <w:pPr>
        <w:ind w:firstLine="567"/>
      </w:pPr>
      <w:r w:rsidRPr="000C1C5C">
        <w:t>(iv)</w:t>
      </w:r>
      <w:r w:rsidRPr="000C1C5C">
        <w:tab/>
        <w:t xml:space="preserve">a report on the use of e-workshops </w:t>
      </w:r>
      <w:r>
        <w:t>would</w:t>
      </w:r>
      <w:r w:rsidRPr="000C1C5C">
        <w:t xml:space="preserve"> be made to the Consulta</w:t>
      </w:r>
      <w:r>
        <w:t>tive Committee at its ninetieth </w:t>
      </w:r>
      <w:r w:rsidRPr="000C1C5C">
        <w:t>session and to the Council at its forty-ninth ordinary session;</w:t>
      </w:r>
    </w:p>
    <w:p w:rsidR="00732F3F" w:rsidRPr="000C1C5C" w:rsidRDefault="00732F3F" w:rsidP="00732F3F">
      <w:pPr>
        <w:ind w:firstLine="567"/>
      </w:pPr>
    </w:p>
    <w:p w:rsidR="00732F3F" w:rsidRPr="000C1C5C" w:rsidRDefault="00732F3F" w:rsidP="00732F3F">
      <w:pPr>
        <w:ind w:firstLine="567"/>
      </w:pPr>
      <w:r w:rsidRPr="000C1C5C">
        <w:t>(v)</w:t>
      </w:r>
      <w:r w:rsidRPr="000C1C5C">
        <w:tab/>
        <w:t xml:space="preserve">the introduction of a UPOV channel on YouTube </w:t>
      </w:r>
      <w:r>
        <w:t xml:space="preserve">would </w:t>
      </w:r>
      <w:r w:rsidRPr="000C1C5C">
        <w:t>be arranged after the introduction of a new UPOV logo;</w:t>
      </w:r>
    </w:p>
    <w:p w:rsidR="00732F3F" w:rsidRPr="000C1C5C" w:rsidRDefault="00732F3F" w:rsidP="00732F3F">
      <w:pPr>
        <w:ind w:firstLine="567"/>
      </w:pPr>
    </w:p>
    <w:p w:rsidR="00732F3F" w:rsidRPr="000C1C5C" w:rsidRDefault="00732F3F" w:rsidP="00732F3F">
      <w:pPr>
        <w:ind w:firstLine="567"/>
      </w:pPr>
      <w:r w:rsidRPr="000C1C5C">
        <w:t>(vi)</w:t>
      </w:r>
      <w:r w:rsidRPr="000C1C5C">
        <w:tab/>
        <w:t xml:space="preserve">the results of the communication strategy </w:t>
      </w:r>
      <w:r>
        <w:t xml:space="preserve">would </w:t>
      </w:r>
      <w:r w:rsidRPr="000C1C5C">
        <w:t>be reported as a part of the annual report of the Secretary-General and performan</w:t>
      </w:r>
      <w:r>
        <w:t>ce report for the biennium.</w:t>
      </w:r>
    </w:p>
    <w:p w:rsidR="00732F3F" w:rsidRPr="007A05B3" w:rsidRDefault="00732F3F" w:rsidP="00732F3F">
      <w:pPr>
        <w:rPr>
          <w:snapToGrid w:val="0"/>
          <w:color w:val="000000" w:themeColor="text1"/>
        </w:rPr>
      </w:pPr>
    </w:p>
    <w:p w:rsidR="00732F3F" w:rsidRDefault="00732F3F" w:rsidP="00732F3F">
      <w:pPr>
        <w:rPr>
          <w:snapToGrid w:val="0"/>
          <w:color w:val="000000" w:themeColor="text1"/>
        </w:rPr>
      </w:pPr>
      <w:r w:rsidRPr="000C1C5C">
        <w:rPr>
          <w:snapToGrid w:val="0"/>
          <w:color w:val="000000" w:themeColor="text1"/>
        </w:rPr>
        <w:fldChar w:fldCharType="begin"/>
      </w:r>
      <w:r w:rsidRPr="000C1C5C">
        <w:rPr>
          <w:snapToGrid w:val="0"/>
          <w:color w:val="000000" w:themeColor="text1"/>
        </w:rPr>
        <w:instrText xml:space="preserve"> AUTONUM  </w:instrText>
      </w:r>
      <w:r w:rsidRPr="000C1C5C">
        <w:rPr>
          <w:snapToGrid w:val="0"/>
          <w:color w:val="000000" w:themeColor="text1"/>
        </w:rPr>
        <w:fldChar w:fldCharType="end"/>
      </w:r>
      <w:r w:rsidRPr="000C1C5C">
        <w:rPr>
          <w:snapToGrid w:val="0"/>
          <w:color w:val="000000" w:themeColor="text1"/>
        </w:rPr>
        <w:tab/>
        <w:t xml:space="preserve">The Consultative Committee </w:t>
      </w:r>
      <w:r>
        <w:rPr>
          <w:snapToGrid w:val="0"/>
          <w:color w:val="000000" w:themeColor="text1"/>
        </w:rPr>
        <w:t>recommended</w:t>
      </w:r>
      <w:r w:rsidRPr="000C1C5C">
        <w:rPr>
          <w:snapToGrid w:val="0"/>
          <w:color w:val="000000" w:themeColor="text1"/>
        </w:rPr>
        <w:t xml:space="preserve"> to the Council to revise the answer to the FAQ “Can I obtain protection for more than one country from a single application?”</w:t>
      </w:r>
      <w:r>
        <w:rPr>
          <w:snapToGrid w:val="0"/>
          <w:color w:val="000000" w:themeColor="text1"/>
        </w:rPr>
        <w:t>,</w:t>
      </w:r>
      <w:r w:rsidRPr="000C1C5C">
        <w:rPr>
          <w:snapToGrid w:val="0"/>
          <w:color w:val="000000" w:themeColor="text1"/>
        </w:rPr>
        <w:t xml:space="preserve"> as </w:t>
      </w:r>
      <w:r>
        <w:rPr>
          <w:snapToGrid w:val="0"/>
          <w:color w:val="000000" w:themeColor="text1"/>
        </w:rPr>
        <w:t>follows:</w:t>
      </w:r>
    </w:p>
    <w:p w:rsidR="00732F3F" w:rsidRDefault="00732F3F" w:rsidP="00732F3F">
      <w:pPr>
        <w:rPr>
          <w:rFonts w:cs="Arial"/>
        </w:rPr>
      </w:pPr>
    </w:p>
    <w:p w:rsidR="00732F3F" w:rsidRPr="001D0E79" w:rsidRDefault="00732F3F" w:rsidP="00732F3F">
      <w:pPr>
        <w:ind w:left="567" w:right="567"/>
        <w:rPr>
          <w:rFonts w:cs="Arial"/>
          <w:sz w:val="18"/>
        </w:rPr>
      </w:pPr>
      <w:r w:rsidRPr="001D0E79">
        <w:rPr>
          <w:rFonts w:cs="Arial"/>
          <w:sz w:val="18"/>
        </w:rPr>
        <w:t xml:space="preserve">“In order to obtain protection the breeder needs to file an application with the authority of each UPOV member where protection is sought. </w:t>
      </w:r>
      <w:r>
        <w:rPr>
          <w:rFonts w:cs="Arial"/>
          <w:sz w:val="18"/>
        </w:rPr>
        <w:t xml:space="preserve"> </w:t>
      </w:r>
      <w:r w:rsidRPr="001D0E79">
        <w:rPr>
          <w:rFonts w:cs="Arial"/>
          <w:sz w:val="18"/>
        </w:rPr>
        <w:t xml:space="preserve">The European Union operates a </w:t>
      </w:r>
      <w:r w:rsidRPr="001D0E79">
        <w:rPr>
          <w:rFonts w:cs="Arial"/>
          <w:strike/>
          <w:sz w:val="18"/>
        </w:rPr>
        <w:t>(supranational) community</w:t>
      </w:r>
      <w:r w:rsidRPr="001D0E79">
        <w:rPr>
          <w:rFonts w:cs="Arial"/>
          <w:sz w:val="18"/>
        </w:rPr>
        <w:t xml:space="preserve"> plant</w:t>
      </w:r>
      <w:r>
        <w:rPr>
          <w:rFonts w:cs="Arial"/>
          <w:sz w:val="18"/>
        </w:rPr>
        <w:t xml:space="preserve"> </w:t>
      </w:r>
      <w:r w:rsidRPr="00D601DF">
        <w:rPr>
          <w:rFonts w:cs="Arial"/>
          <w:strike/>
          <w:sz w:val="18"/>
        </w:rPr>
        <w:t>variety</w:t>
      </w:r>
      <w:r>
        <w:rPr>
          <w:rFonts w:cs="Arial"/>
          <w:sz w:val="18"/>
        </w:rPr>
        <w:t xml:space="preserve"> </w:t>
      </w:r>
      <w:r w:rsidRPr="00D601DF">
        <w:rPr>
          <w:rFonts w:cs="Arial"/>
          <w:sz w:val="18"/>
          <w:u w:val="single"/>
        </w:rPr>
        <w:t>breeders’</w:t>
      </w:r>
      <w:r w:rsidRPr="001D0E79">
        <w:rPr>
          <w:rFonts w:cs="Arial"/>
          <w:sz w:val="18"/>
        </w:rPr>
        <w:t xml:space="preserve"> rights system which covers the territory of its 28 member States.</w:t>
      </w:r>
      <w:r>
        <w:rPr>
          <w:rFonts w:cs="Arial"/>
          <w:sz w:val="18"/>
        </w:rPr>
        <w:t xml:space="preserve"> </w:t>
      </w:r>
      <w:r w:rsidRPr="001D0E79">
        <w:rPr>
          <w:rFonts w:cs="Arial"/>
          <w:sz w:val="18"/>
        </w:rPr>
        <w:t xml:space="preserve"> </w:t>
      </w:r>
      <w:r w:rsidRPr="001D0E79">
        <w:rPr>
          <w:rFonts w:cs="Arial"/>
          <w:sz w:val="18"/>
          <w:u w:val="single"/>
        </w:rPr>
        <w:t xml:space="preserve">The African Intellectual Property Organization operates a plant </w:t>
      </w:r>
      <w:r>
        <w:rPr>
          <w:rFonts w:cs="Arial"/>
          <w:sz w:val="18"/>
          <w:u w:val="single"/>
        </w:rPr>
        <w:t xml:space="preserve">breeders’ </w:t>
      </w:r>
      <w:r w:rsidRPr="001D0E79">
        <w:rPr>
          <w:rFonts w:cs="Arial"/>
          <w:sz w:val="18"/>
          <w:u w:val="single"/>
        </w:rPr>
        <w:t>rights system which covers the territory of its 17 member States.</w:t>
      </w:r>
      <w:r w:rsidRPr="001D0E79">
        <w:rPr>
          <w:rFonts w:cs="Arial"/>
          <w:sz w:val="18"/>
        </w:rPr>
        <w:t xml:space="preserve"> </w:t>
      </w:r>
      <w:r>
        <w:rPr>
          <w:rFonts w:cs="Arial"/>
          <w:sz w:val="18"/>
        </w:rPr>
        <w:t xml:space="preserve"> </w:t>
      </w:r>
      <w:r w:rsidRPr="001D0E79">
        <w:rPr>
          <w:rFonts w:cs="Arial"/>
          <w:sz w:val="18"/>
        </w:rPr>
        <w:t xml:space="preserve">Contact details of the authorities responsible for the granting of breeders’ rights are provided at </w:t>
      </w:r>
      <w:hyperlink r:id="rId10" w:history="1">
        <w:r w:rsidRPr="001D0E79">
          <w:rPr>
            <w:rStyle w:val="Hyperlink"/>
            <w:rFonts w:cs="Arial"/>
            <w:sz w:val="18"/>
          </w:rPr>
          <w:t>http://www.upov.int/members/en/pvp_offices.html</w:t>
        </w:r>
      </w:hyperlink>
      <w:r w:rsidRPr="001D0E79">
        <w:rPr>
          <w:rFonts w:cs="Arial"/>
          <w:sz w:val="18"/>
        </w:rPr>
        <w:t>.”</w:t>
      </w:r>
    </w:p>
    <w:p w:rsidR="00732F3F" w:rsidRPr="000C1C5C" w:rsidRDefault="00732F3F" w:rsidP="00732F3F">
      <w:pPr>
        <w:rPr>
          <w:snapToGrid w:val="0"/>
          <w:color w:val="000000" w:themeColor="text1"/>
        </w:rPr>
      </w:pPr>
    </w:p>
    <w:p w:rsidR="0093774C" w:rsidRPr="0093774C" w:rsidRDefault="0093774C" w:rsidP="00C70254"/>
    <w:p w:rsidR="00B90FFC" w:rsidRPr="0093774C" w:rsidRDefault="00B90FFC" w:rsidP="0093774C">
      <w:pPr>
        <w:rPr>
          <w:u w:val="single"/>
        </w:rPr>
      </w:pPr>
      <w:r w:rsidRPr="0093774C">
        <w:rPr>
          <w:u w:val="single"/>
        </w:rPr>
        <w:t>Interrelation with the International Treaty on Plant Genetic Resources for</w:t>
      </w:r>
      <w:r w:rsidR="0093774C" w:rsidRPr="0093774C">
        <w:rPr>
          <w:u w:val="single"/>
        </w:rPr>
        <w:t xml:space="preserve"> Food and Agriculture (ITPGRFA)</w:t>
      </w:r>
    </w:p>
    <w:p w:rsidR="00B90FFC" w:rsidRDefault="00B90FFC" w:rsidP="0093774C"/>
    <w:p w:rsidR="00A273E0" w:rsidRPr="000C1C5C" w:rsidRDefault="00A273E0" w:rsidP="00A273E0">
      <w:pPr>
        <w:rPr>
          <w:snapToGrid w:val="0"/>
        </w:rPr>
      </w:pPr>
      <w:r w:rsidRPr="000C1C5C">
        <w:fldChar w:fldCharType="begin"/>
      </w:r>
      <w:r w:rsidRPr="000C1C5C">
        <w:instrText xml:space="preserve"> AUTONUM  </w:instrText>
      </w:r>
      <w:r w:rsidRPr="000C1C5C">
        <w:fldChar w:fldCharType="end"/>
      </w:r>
      <w:r w:rsidRPr="000C1C5C">
        <w:tab/>
      </w:r>
      <w:r w:rsidRPr="000C1C5C">
        <w:rPr>
          <w:snapToGrid w:val="0"/>
        </w:rPr>
        <w:t>The Consultative Committee noted the developments concerning possible areas of interrelations among the international instruments of the ITPGRFA, WIPO and UPOV.</w:t>
      </w:r>
    </w:p>
    <w:p w:rsidR="0093774C" w:rsidRDefault="0093774C" w:rsidP="00C70254"/>
    <w:p w:rsidR="0093774C" w:rsidRPr="0093774C" w:rsidRDefault="0093774C" w:rsidP="00C70254"/>
    <w:p w:rsidR="00B90FFC" w:rsidRPr="0093774C" w:rsidRDefault="00B90FFC" w:rsidP="0093774C">
      <w:pPr>
        <w:rPr>
          <w:u w:val="single"/>
        </w:rPr>
      </w:pPr>
      <w:r w:rsidRPr="0093774C">
        <w:rPr>
          <w:u w:val="single"/>
        </w:rPr>
        <w:t>Developments of relevance to UPOV in other international fora</w:t>
      </w:r>
    </w:p>
    <w:p w:rsidR="00B90FFC" w:rsidRDefault="00B90FFC" w:rsidP="0093774C"/>
    <w:p w:rsidR="0093774C" w:rsidRDefault="00A273E0" w:rsidP="00C70254">
      <w:r w:rsidRPr="00D94656">
        <w:fldChar w:fldCharType="begin"/>
      </w:r>
      <w:r w:rsidRPr="00D94656">
        <w:instrText xml:space="preserve"> AUTONUM  </w:instrText>
      </w:r>
      <w:r w:rsidRPr="00D94656">
        <w:fldChar w:fldCharType="end"/>
      </w:r>
      <w:r w:rsidRPr="00D94656">
        <w:tab/>
        <w:t>The Consultative Committee noted the developments of relevance to UPOV in other international fora</w:t>
      </w:r>
      <w:r>
        <w:t>.</w:t>
      </w:r>
    </w:p>
    <w:p w:rsidR="0093774C" w:rsidRDefault="0093774C" w:rsidP="00C70254"/>
    <w:p w:rsidR="00A273E0" w:rsidRPr="0093774C" w:rsidRDefault="00A273E0" w:rsidP="00C70254"/>
    <w:p w:rsidR="00B90FFC" w:rsidRPr="0093774C" w:rsidRDefault="00B90FFC" w:rsidP="0093774C">
      <w:pPr>
        <w:rPr>
          <w:u w:val="single"/>
        </w:rPr>
      </w:pPr>
      <w:r w:rsidRPr="0093774C">
        <w:rPr>
          <w:u w:val="single"/>
        </w:rPr>
        <w:t>Preparation of the Calendar of Meetings</w:t>
      </w:r>
    </w:p>
    <w:p w:rsidR="00B90FFC" w:rsidRDefault="00B90FFC" w:rsidP="0093774C"/>
    <w:p w:rsidR="00A273E0" w:rsidRPr="000912D3" w:rsidRDefault="00A273E0" w:rsidP="00A273E0">
      <w:r w:rsidRPr="000912D3">
        <w:fldChar w:fldCharType="begin"/>
      </w:r>
      <w:r w:rsidRPr="000912D3">
        <w:instrText xml:space="preserve"> AUTONUM  </w:instrText>
      </w:r>
      <w:r w:rsidRPr="000912D3">
        <w:fldChar w:fldCharType="end"/>
      </w:r>
      <w:r w:rsidRPr="000912D3">
        <w:tab/>
        <w:t xml:space="preserve">The Consultative Committee noted the conclusions of the CAJ to hold its seventy-second session on October 26 and 27, 2015, and not </w:t>
      </w:r>
      <w:r>
        <w:t>to convene a session of the Administrative and Legal Committee Advisory Group (CAJ-AG)</w:t>
      </w:r>
      <w:r w:rsidRPr="000912D3">
        <w:t xml:space="preserve"> on October 30, 2015. </w:t>
      </w:r>
    </w:p>
    <w:p w:rsidR="00A273E0" w:rsidRPr="000912D3" w:rsidRDefault="00A273E0" w:rsidP="00A273E0"/>
    <w:p w:rsidR="00A273E0" w:rsidRPr="00B95DCD" w:rsidRDefault="00A273E0" w:rsidP="00A273E0">
      <w:pPr>
        <w:rPr>
          <w:b/>
          <w:bCs/>
          <w:snapToGrid w:val="0"/>
        </w:rPr>
      </w:pPr>
      <w:r w:rsidRPr="000912D3">
        <w:fldChar w:fldCharType="begin"/>
      </w:r>
      <w:r w:rsidRPr="000912D3">
        <w:instrText xml:space="preserve"> AUTONUM  </w:instrText>
      </w:r>
      <w:r w:rsidRPr="000912D3">
        <w:fldChar w:fldCharType="end"/>
      </w:r>
      <w:r>
        <w:tab/>
        <w:t xml:space="preserve">On the above basis, the </w:t>
      </w:r>
      <w:r w:rsidRPr="000912D3">
        <w:t xml:space="preserve">Consultative Committee </w:t>
      </w:r>
      <w:r>
        <w:t>recommended to the Council to revise the Calendar of Meetings in 2015, in order to remove the references to the CAJ-AG, and to</w:t>
      </w:r>
      <w:r w:rsidRPr="000912D3">
        <w:t xml:space="preserve"> include</w:t>
      </w:r>
      <w:r>
        <w:t xml:space="preserve"> the information that the forty</w:t>
      </w:r>
      <w:r>
        <w:noBreakHyphen/>
      </w:r>
      <w:r w:rsidRPr="000912D3">
        <w:t>fourth session of the Technical Working Party for Agricultural Crops (TWA) would be held in Obihiro, Japan, from July 6 to 10, 2015.</w:t>
      </w:r>
    </w:p>
    <w:p w:rsidR="00A273E0" w:rsidRPr="00A273E0" w:rsidRDefault="00A273E0" w:rsidP="00A273E0"/>
    <w:p w:rsidR="00A273E0" w:rsidRDefault="00A273E0" w:rsidP="00A273E0">
      <w:r w:rsidRPr="00A273E0">
        <w:fldChar w:fldCharType="begin"/>
      </w:r>
      <w:r w:rsidRPr="00A273E0">
        <w:instrText xml:space="preserve"> AUTONUM  </w:instrText>
      </w:r>
      <w:r w:rsidRPr="00A273E0">
        <w:fldChar w:fldCharType="end"/>
      </w:r>
      <w:r w:rsidRPr="00A273E0">
        <w:tab/>
        <w:t>The Consultative Committee agreed to consider matters on the schedule of the UPOV sessions under the item “Preparation of the calendar of meetings” at its ninetieth session.</w:t>
      </w:r>
    </w:p>
    <w:p w:rsidR="0093774C" w:rsidRDefault="0093774C" w:rsidP="00C70254"/>
    <w:p w:rsidR="0093774C" w:rsidRPr="0093774C" w:rsidRDefault="0093774C" w:rsidP="00C70254"/>
    <w:p w:rsidR="00B90FFC" w:rsidRPr="0093774C" w:rsidRDefault="00C70254" w:rsidP="0093774C">
      <w:pPr>
        <w:rPr>
          <w:u w:val="single"/>
        </w:rPr>
      </w:pPr>
      <w:r>
        <w:rPr>
          <w:u w:val="single"/>
        </w:rPr>
        <w:t>Draft press release</w:t>
      </w:r>
    </w:p>
    <w:p w:rsidR="00C651CE" w:rsidRPr="00C651CE" w:rsidRDefault="00C651CE" w:rsidP="00A468CA">
      <w:pPr>
        <w:jc w:val="left"/>
      </w:pPr>
    </w:p>
    <w:p w:rsidR="0093774C" w:rsidRPr="004E2AB4" w:rsidRDefault="0093774C" w:rsidP="00C70254">
      <w:pPr>
        <w:rPr>
          <w:snapToGrid w:val="0"/>
        </w:rPr>
      </w:pPr>
      <w:r>
        <w:rPr>
          <w:snapToGrid w:val="0"/>
        </w:rPr>
        <w:fldChar w:fldCharType="begin"/>
      </w:r>
      <w:r>
        <w:rPr>
          <w:snapToGrid w:val="0"/>
        </w:rPr>
        <w:instrText xml:space="preserve"> AUTONUM  </w:instrText>
      </w:r>
      <w:r>
        <w:rPr>
          <w:snapToGrid w:val="0"/>
        </w:rPr>
        <w:fldChar w:fldCharType="end"/>
      </w:r>
      <w:r>
        <w:rPr>
          <w:snapToGrid w:val="0"/>
        </w:rPr>
        <w:tab/>
      </w:r>
      <w:r w:rsidR="00C70254" w:rsidRPr="00115357">
        <w:rPr>
          <w:snapToGrid w:val="0"/>
        </w:rPr>
        <w:t>Subject to developments in the Council, the Consultative Committee recommended to the Council to approve the draft press release contained in document</w:t>
      </w:r>
      <w:r w:rsidR="00C70254">
        <w:rPr>
          <w:snapToGrid w:val="0"/>
        </w:rPr>
        <w:t xml:space="preserve"> </w:t>
      </w:r>
      <w:r w:rsidR="00C70254" w:rsidRPr="00C70254">
        <w:t>C(Extr.)/32/7</w:t>
      </w:r>
      <w:r w:rsidR="00B65CAF">
        <w:t>.</w:t>
      </w:r>
    </w:p>
    <w:p w:rsidR="000A68B4" w:rsidRDefault="000A68B4" w:rsidP="00C70254"/>
    <w:p w:rsidR="00B90FFC" w:rsidRDefault="00B90FFC" w:rsidP="00B90FFC">
      <w:pPr>
        <w:pStyle w:val="DecisionParagraphs"/>
        <w:tabs>
          <w:tab w:val="left" w:pos="5954"/>
        </w:tabs>
      </w:pPr>
      <w:r>
        <w:fldChar w:fldCharType="begin"/>
      </w:r>
      <w:r>
        <w:instrText xml:space="preserve"> AUTONUM  </w:instrText>
      </w:r>
      <w:r>
        <w:fldChar w:fldCharType="end"/>
      </w:r>
      <w:r>
        <w:tab/>
        <w:t>The Council is invited to:</w:t>
      </w:r>
    </w:p>
    <w:p w:rsidR="00B90FFC" w:rsidRDefault="00B90FFC" w:rsidP="00B90FFC">
      <w:pPr>
        <w:pStyle w:val="DecisionParagraphs"/>
        <w:tabs>
          <w:tab w:val="left" w:pos="5954"/>
        </w:tabs>
      </w:pPr>
    </w:p>
    <w:p w:rsidR="00B90FFC" w:rsidRDefault="00B90FFC" w:rsidP="00B90FFC">
      <w:pPr>
        <w:pStyle w:val="DecisionParagraphs"/>
        <w:tabs>
          <w:tab w:val="left" w:pos="5954"/>
        </w:tabs>
      </w:pPr>
      <w:r>
        <w:tab/>
      </w:r>
      <w:r w:rsidRPr="00EE6636">
        <w:t>(a)</w:t>
      </w:r>
      <w:r w:rsidRPr="00EE6636">
        <w:tab/>
        <w:t xml:space="preserve">consider the recommendation of the Consultative Committee contained in paragraph </w:t>
      </w:r>
      <w:r w:rsidR="00B502F4" w:rsidRPr="00EE6636">
        <w:t xml:space="preserve">3 </w:t>
      </w:r>
      <w:r w:rsidRPr="00EE6636">
        <w:t>above; and</w:t>
      </w:r>
    </w:p>
    <w:p w:rsidR="00B90FFC" w:rsidRDefault="00B90FFC" w:rsidP="00B90FFC">
      <w:pPr>
        <w:pStyle w:val="DecisionParagraphs"/>
        <w:tabs>
          <w:tab w:val="left" w:pos="5954"/>
        </w:tabs>
      </w:pPr>
    </w:p>
    <w:p w:rsidR="00B90FFC" w:rsidRPr="007C07F4" w:rsidRDefault="00B90FFC" w:rsidP="00B90FFC">
      <w:pPr>
        <w:pStyle w:val="DecisionParagraphs"/>
        <w:tabs>
          <w:tab w:val="left" w:pos="5954"/>
        </w:tabs>
      </w:pPr>
      <w:r>
        <w:tab/>
        <w:t>(b)</w:t>
      </w:r>
      <w:r>
        <w:tab/>
        <w:t>note the work of the Consultative Committee at its eighty-ninth session, as reported in this document.</w:t>
      </w:r>
    </w:p>
    <w:p w:rsidR="00BC07C0" w:rsidRDefault="00BC07C0">
      <w:pPr>
        <w:jc w:val="left"/>
      </w:pPr>
    </w:p>
    <w:p w:rsidR="00BC07C0" w:rsidRDefault="00BC07C0">
      <w:pPr>
        <w:jc w:val="left"/>
      </w:pPr>
    </w:p>
    <w:p w:rsidR="00CA61C4" w:rsidRPr="00B90FFC" w:rsidRDefault="00CA61C4" w:rsidP="00B90FFC"/>
    <w:p w:rsidR="006B17D2" w:rsidRPr="00C5280D" w:rsidRDefault="0061555F" w:rsidP="005F05B6">
      <w:pPr>
        <w:jc w:val="right"/>
      </w:pPr>
      <w:r w:rsidRPr="00C5280D">
        <w:t>[End of document]</w:t>
      </w:r>
    </w:p>
    <w:sectPr w:rsidR="006B17D2" w:rsidRPr="00C5280D" w:rsidSect="00906DDC">
      <w:headerReference w:type="default" r:id="rId11"/>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07C0" w:rsidRDefault="00BC07C0" w:rsidP="006655D3">
      <w:r>
        <w:separator/>
      </w:r>
    </w:p>
    <w:p w:rsidR="00BC07C0" w:rsidRDefault="00BC07C0" w:rsidP="006655D3"/>
    <w:p w:rsidR="00BC07C0" w:rsidRDefault="00BC07C0" w:rsidP="006655D3"/>
  </w:endnote>
  <w:endnote w:type="continuationSeparator" w:id="0">
    <w:p w:rsidR="00BC07C0" w:rsidRDefault="00BC07C0" w:rsidP="006655D3">
      <w:r>
        <w:separator/>
      </w:r>
    </w:p>
    <w:p w:rsidR="00BC07C0" w:rsidRPr="00560A6D" w:rsidRDefault="00BC07C0">
      <w:pPr>
        <w:pStyle w:val="Footer"/>
        <w:spacing w:after="60"/>
        <w:rPr>
          <w:sz w:val="18"/>
          <w:lang w:val="fr-FR"/>
        </w:rPr>
      </w:pPr>
      <w:r w:rsidRPr="00560A6D">
        <w:rPr>
          <w:sz w:val="18"/>
          <w:lang w:val="fr-FR"/>
        </w:rPr>
        <w:t>[Suite de la note de la page précédente]</w:t>
      </w:r>
    </w:p>
    <w:p w:rsidR="00BC07C0" w:rsidRPr="00560A6D" w:rsidRDefault="00BC07C0" w:rsidP="006655D3">
      <w:pPr>
        <w:rPr>
          <w:lang w:val="fr-FR"/>
        </w:rPr>
      </w:pPr>
    </w:p>
    <w:p w:rsidR="00BC07C0" w:rsidRPr="00560A6D" w:rsidRDefault="00BC07C0" w:rsidP="006655D3">
      <w:pPr>
        <w:rPr>
          <w:lang w:val="fr-FR"/>
        </w:rPr>
      </w:pPr>
    </w:p>
  </w:endnote>
  <w:endnote w:type="continuationNotice" w:id="1">
    <w:p w:rsidR="00BC07C0" w:rsidRPr="00560A6D" w:rsidRDefault="00BC07C0" w:rsidP="006655D3">
      <w:pPr>
        <w:rPr>
          <w:lang w:val="fr-FR"/>
        </w:rPr>
      </w:pPr>
      <w:r w:rsidRPr="00560A6D">
        <w:rPr>
          <w:lang w:val="fr-FR"/>
        </w:rPr>
        <w:t>[Suite de la note page suivante]</w:t>
      </w:r>
    </w:p>
    <w:p w:rsidR="00BC07C0" w:rsidRPr="00560A6D" w:rsidRDefault="00BC07C0" w:rsidP="006655D3">
      <w:pPr>
        <w:rPr>
          <w:lang w:val="fr-FR"/>
        </w:rPr>
      </w:pPr>
    </w:p>
    <w:p w:rsidR="00BC07C0" w:rsidRPr="00560A6D" w:rsidRDefault="00BC07C0"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07C0" w:rsidRDefault="00BC07C0" w:rsidP="00C95616">
      <w:pPr>
        <w:spacing w:before="120"/>
      </w:pPr>
      <w:r>
        <w:separator/>
      </w:r>
    </w:p>
  </w:footnote>
  <w:footnote w:type="continuationSeparator" w:id="0">
    <w:p w:rsidR="00BC07C0" w:rsidRDefault="00BC07C0" w:rsidP="006655D3">
      <w:r>
        <w:separator/>
      </w:r>
    </w:p>
  </w:footnote>
  <w:footnote w:type="continuationNotice" w:id="1">
    <w:p w:rsidR="00BC07C0" w:rsidRPr="00A56FAA" w:rsidRDefault="00BC07C0" w:rsidP="00A56FAA">
      <w:pPr>
        <w:pStyle w:val="Footer"/>
        <w:rPr>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FAA" w:rsidRPr="00A468CA" w:rsidRDefault="00C7055C" w:rsidP="00A468CA">
    <w:pPr>
      <w:jc w:val="center"/>
    </w:pPr>
    <w:r>
      <w:t>C(Extr.)/32/5</w:t>
    </w:r>
  </w:p>
  <w:p w:rsidR="00A56FAA" w:rsidRPr="00A468CA" w:rsidRDefault="00A56FAA" w:rsidP="00A468CA">
    <w:pPr>
      <w:jc w:val="center"/>
    </w:pPr>
    <w:r w:rsidRPr="00A468CA">
      <w:t xml:space="preserve">page </w:t>
    </w:r>
    <w:r w:rsidRPr="00A468CA">
      <w:fldChar w:fldCharType="begin"/>
    </w:r>
    <w:r w:rsidRPr="00A468CA">
      <w:instrText xml:space="preserve"> PAGE </w:instrText>
    </w:r>
    <w:r w:rsidRPr="00A468CA">
      <w:fldChar w:fldCharType="separate"/>
    </w:r>
    <w:r w:rsidR="006A72DC">
      <w:rPr>
        <w:noProof/>
      </w:rPr>
      <w:t>4</w:t>
    </w:r>
    <w:r w:rsidRPr="00A468CA">
      <w:fldChar w:fldCharType="end"/>
    </w:r>
  </w:p>
  <w:p w:rsidR="00A56FAA" w:rsidRPr="00A468CA" w:rsidRDefault="00A56FAA" w:rsidP="00A468CA">
    <w:pP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7C0"/>
    <w:rsid w:val="00010CF3"/>
    <w:rsid w:val="00011E27"/>
    <w:rsid w:val="000148BC"/>
    <w:rsid w:val="00024AB8"/>
    <w:rsid w:val="00030854"/>
    <w:rsid w:val="00036028"/>
    <w:rsid w:val="000444BA"/>
    <w:rsid w:val="00044642"/>
    <w:rsid w:val="000446B9"/>
    <w:rsid w:val="00047E21"/>
    <w:rsid w:val="00085505"/>
    <w:rsid w:val="000A68B4"/>
    <w:rsid w:val="000C7021"/>
    <w:rsid w:val="000D6BBC"/>
    <w:rsid w:val="000D7780"/>
    <w:rsid w:val="00105929"/>
    <w:rsid w:val="001131D5"/>
    <w:rsid w:val="001238E8"/>
    <w:rsid w:val="00141DB8"/>
    <w:rsid w:val="00155DC8"/>
    <w:rsid w:val="0017474A"/>
    <w:rsid w:val="001758C6"/>
    <w:rsid w:val="00182B99"/>
    <w:rsid w:val="001A0080"/>
    <w:rsid w:val="001E0CF9"/>
    <w:rsid w:val="001F1B86"/>
    <w:rsid w:val="0021332C"/>
    <w:rsid w:val="00213982"/>
    <w:rsid w:val="00226E41"/>
    <w:rsid w:val="00236569"/>
    <w:rsid w:val="0024416D"/>
    <w:rsid w:val="002800A0"/>
    <w:rsid w:val="002801B3"/>
    <w:rsid w:val="0028098F"/>
    <w:rsid w:val="00281060"/>
    <w:rsid w:val="002940E8"/>
    <w:rsid w:val="002A6E50"/>
    <w:rsid w:val="002B7057"/>
    <w:rsid w:val="002C256A"/>
    <w:rsid w:val="002D30CF"/>
    <w:rsid w:val="00305A7F"/>
    <w:rsid w:val="00315280"/>
    <w:rsid w:val="003152FE"/>
    <w:rsid w:val="00327436"/>
    <w:rsid w:val="0033507D"/>
    <w:rsid w:val="00340EF6"/>
    <w:rsid w:val="00344BD6"/>
    <w:rsid w:val="0035528D"/>
    <w:rsid w:val="00361821"/>
    <w:rsid w:val="00370892"/>
    <w:rsid w:val="003D227C"/>
    <w:rsid w:val="003D2B4D"/>
    <w:rsid w:val="00444A88"/>
    <w:rsid w:val="00462AFC"/>
    <w:rsid w:val="00474DA4"/>
    <w:rsid w:val="00476B4D"/>
    <w:rsid w:val="004805FA"/>
    <w:rsid w:val="004D047D"/>
    <w:rsid w:val="004D5E7C"/>
    <w:rsid w:val="004F305A"/>
    <w:rsid w:val="005035A5"/>
    <w:rsid w:val="00507AD8"/>
    <w:rsid w:val="00512164"/>
    <w:rsid w:val="00520297"/>
    <w:rsid w:val="005338F9"/>
    <w:rsid w:val="0054281C"/>
    <w:rsid w:val="0055268D"/>
    <w:rsid w:val="00560A6D"/>
    <w:rsid w:val="00576BE4"/>
    <w:rsid w:val="005A400A"/>
    <w:rsid w:val="005F05B6"/>
    <w:rsid w:val="00612379"/>
    <w:rsid w:val="0061555F"/>
    <w:rsid w:val="00641200"/>
    <w:rsid w:val="006655D3"/>
    <w:rsid w:val="00687EB4"/>
    <w:rsid w:val="006A4BD1"/>
    <w:rsid w:val="006A72DC"/>
    <w:rsid w:val="006B17D2"/>
    <w:rsid w:val="006C224E"/>
    <w:rsid w:val="006D2879"/>
    <w:rsid w:val="006D780A"/>
    <w:rsid w:val="007317BE"/>
    <w:rsid w:val="00732DEC"/>
    <w:rsid w:val="00732F3F"/>
    <w:rsid w:val="00735BD5"/>
    <w:rsid w:val="007556F6"/>
    <w:rsid w:val="00760EEF"/>
    <w:rsid w:val="00777EE5"/>
    <w:rsid w:val="00784836"/>
    <w:rsid w:val="0079023E"/>
    <w:rsid w:val="00793584"/>
    <w:rsid w:val="007A2854"/>
    <w:rsid w:val="007D0B9D"/>
    <w:rsid w:val="007D19B0"/>
    <w:rsid w:val="007F498F"/>
    <w:rsid w:val="0080679D"/>
    <w:rsid w:val="008108B0"/>
    <w:rsid w:val="00811B20"/>
    <w:rsid w:val="0082296E"/>
    <w:rsid w:val="00824099"/>
    <w:rsid w:val="00867AC1"/>
    <w:rsid w:val="008A3C6D"/>
    <w:rsid w:val="008A743F"/>
    <w:rsid w:val="008C0970"/>
    <w:rsid w:val="008C2305"/>
    <w:rsid w:val="008D2CF7"/>
    <w:rsid w:val="00900C26"/>
    <w:rsid w:val="0090197F"/>
    <w:rsid w:val="00901A3F"/>
    <w:rsid w:val="00906DDC"/>
    <w:rsid w:val="00934E09"/>
    <w:rsid w:val="00936253"/>
    <w:rsid w:val="0093774C"/>
    <w:rsid w:val="00952DD4"/>
    <w:rsid w:val="00960E3F"/>
    <w:rsid w:val="00970FED"/>
    <w:rsid w:val="0099547E"/>
    <w:rsid w:val="00997029"/>
    <w:rsid w:val="009D690D"/>
    <w:rsid w:val="009E65B6"/>
    <w:rsid w:val="009F7D0F"/>
    <w:rsid w:val="00A2255D"/>
    <w:rsid w:val="00A273E0"/>
    <w:rsid w:val="00A30EB0"/>
    <w:rsid w:val="00A42AC3"/>
    <w:rsid w:val="00A430CF"/>
    <w:rsid w:val="00A468CA"/>
    <w:rsid w:val="00A54309"/>
    <w:rsid w:val="00A56FAA"/>
    <w:rsid w:val="00AB2B93"/>
    <w:rsid w:val="00AB7E5B"/>
    <w:rsid w:val="00AD5198"/>
    <w:rsid w:val="00AE0EF1"/>
    <w:rsid w:val="00AE2937"/>
    <w:rsid w:val="00B07301"/>
    <w:rsid w:val="00B224DE"/>
    <w:rsid w:val="00B46575"/>
    <w:rsid w:val="00B502F4"/>
    <w:rsid w:val="00B65CAF"/>
    <w:rsid w:val="00B7060F"/>
    <w:rsid w:val="00B84BBD"/>
    <w:rsid w:val="00B90FFC"/>
    <w:rsid w:val="00BA43FB"/>
    <w:rsid w:val="00BC07C0"/>
    <w:rsid w:val="00BC127D"/>
    <w:rsid w:val="00BC1FE6"/>
    <w:rsid w:val="00C061B6"/>
    <w:rsid w:val="00C2446C"/>
    <w:rsid w:val="00C36AE5"/>
    <w:rsid w:val="00C41F17"/>
    <w:rsid w:val="00C51D44"/>
    <w:rsid w:val="00C5280D"/>
    <w:rsid w:val="00C5791C"/>
    <w:rsid w:val="00C651CE"/>
    <w:rsid w:val="00C66290"/>
    <w:rsid w:val="00C70254"/>
    <w:rsid w:val="00C7055C"/>
    <w:rsid w:val="00C72B7A"/>
    <w:rsid w:val="00C95616"/>
    <w:rsid w:val="00C973F2"/>
    <w:rsid w:val="00CA304C"/>
    <w:rsid w:val="00CA61C4"/>
    <w:rsid w:val="00CA774A"/>
    <w:rsid w:val="00CC11B0"/>
    <w:rsid w:val="00CF7E36"/>
    <w:rsid w:val="00D3708D"/>
    <w:rsid w:val="00D40426"/>
    <w:rsid w:val="00D57C96"/>
    <w:rsid w:val="00D70FD9"/>
    <w:rsid w:val="00D8137C"/>
    <w:rsid w:val="00D91203"/>
    <w:rsid w:val="00D95174"/>
    <w:rsid w:val="00DA6F36"/>
    <w:rsid w:val="00DA70D4"/>
    <w:rsid w:val="00DB596E"/>
    <w:rsid w:val="00DC00EA"/>
    <w:rsid w:val="00DD3359"/>
    <w:rsid w:val="00E23C6B"/>
    <w:rsid w:val="00E32F7E"/>
    <w:rsid w:val="00E72D49"/>
    <w:rsid w:val="00E7593C"/>
    <w:rsid w:val="00E7678A"/>
    <w:rsid w:val="00E82245"/>
    <w:rsid w:val="00E935F1"/>
    <w:rsid w:val="00E94A81"/>
    <w:rsid w:val="00EA1FFB"/>
    <w:rsid w:val="00EB048E"/>
    <w:rsid w:val="00EE34DF"/>
    <w:rsid w:val="00EE6636"/>
    <w:rsid w:val="00EF2F89"/>
    <w:rsid w:val="00F1237A"/>
    <w:rsid w:val="00F1546F"/>
    <w:rsid w:val="00F22CBD"/>
    <w:rsid w:val="00F45372"/>
    <w:rsid w:val="00F560F7"/>
    <w:rsid w:val="00F56C99"/>
    <w:rsid w:val="00F6334D"/>
    <w:rsid w:val="00F80602"/>
    <w:rsid w:val="00FA49AB"/>
    <w:rsid w:val="00FC15ED"/>
    <w:rsid w:val="00FE39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507D"/>
    <w:pPr>
      <w:jc w:val="both"/>
    </w:pPr>
    <w:rPr>
      <w:rFonts w:ascii="Arial" w:hAnsi="Arial"/>
    </w:rPr>
  </w:style>
  <w:style w:type="paragraph" w:styleId="Heading1">
    <w:name w:val="heading 1"/>
    <w:next w:val="Normal"/>
    <w:autoRedefine/>
    <w:qFormat/>
    <w:rsid w:val="0033507D"/>
    <w:pPr>
      <w:keepNext/>
      <w:jc w:val="both"/>
      <w:outlineLvl w:val="0"/>
    </w:pPr>
    <w:rPr>
      <w:rFonts w:ascii="Arial" w:hAnsi="Arial"/>
      <w:caps/>
    </w:rPr>
  </w:style>
  <w:style w:type="paragraph" w:styleId="Heading2">
    <w:name w:val="heading 2"/>
    <w:next w:val="Normal"/>
    <w:autoRedefine/>
    <w:qFormat/>
    <w:rsid w:val="0033507D"/>
    <w:pPr>
      <w:keepNext/>
      <w:jc w:val="both"/>
      <w:outlineLvl w:val="1"/>
    </w:pPr>
    <w:rPr>
      <w:rFonts w:ascii="Arial" w:hAnsi="Arial"/>
      <w:u w:val="single"/>
    </w:rPr>
  </w:style>
  <w:style w:type="paragraph" w:styleId="Heading3">
    <w:name w:val="heading 3"/>
    <w:next w:val="Normal"/>
    <w:autoRedefine/>
    <w:qFormat/>
    <w:rsid w:val="0033507D"/>
    <w:pPr>
      <w:keepNext/>
      <w:jc w:val="both"/>
      <w:outlineLvl w:val="2"/>
    </w:pPr>
    <w:rPr>
      <w:rFonts w:ascii="Arial" w:hAnsi="Arial"/>
      <w:i/>
    </w:rPr>
  </w:style>
  <w:style w:type="paragraph" w:styleId="Heading4">
    <w:name w:val="heading 4"/>
    <w:next w:val="Normal"/>
    <w:autoRedefine/>
    <w:qFormat/>
    <w:rsid w:val="0033507D"/>
    <w:pPr>
      <w:keepNext/>
      <w:ind w:left="567"/>
      <w:jc w:val="both"/>
      <w:outlineLvl w:val="3"/>
    </w:pPr>
    <w:rPr>
      <w:rFonts w:ascii="Arial" w:hAnsi="Arial"/>
      <w:i/>
      <w:lang w:val="fr-FR"/>
    </w:rPr>
  </w:style>
  <w:style w:type="paragraph" w:styleId="Heading5">
    <w:name w:val="heading 5"/>
    <w:next w:val="Normal"/>
    <w:autoRedefine/>
    <w:qFormat/>
    <w:rsid w:val="0033507D"/>
    <w:pPr>
      <w:keepNext/>
      <w:ind w:left="1134" w:hanging="567"/>
      <w:jc w:val="both"/>
      <w:outlineLvl w:val="4"/>
    </w:pPr>
    <w:rPr>
      <w:rFonts w:ascii="Arial" w:hAnsi="Arial"/>
      <w:sz w:val="18"/>
      <w:szCs w:val="18"/>
    </w:rPr>
  </w:style>
  <w:style w:type="paragraph" w:styleId="Heading9">
    <w:name w:val="heading 9"/>
    <w:basedOn w:val="Normal"/>
    <w:next w:val="Normal"/>
    <w:qFormat/>
    <w:rsid w:val="0033507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33507D"/>
    <w:pPr>
      <w:tabs>
        <w:tab w:val="center" w:pos="4536"/>
        <w:tab w:val="right" w:pos="9072"/>
      </w:tabs>
      <w:jc w:val="center"/>
    </w:pPr>
    <w:rPr>
      <w:rFonts w:ascii="Arial" w:hAnsi="Arial"/>
      <w:lang w:val="fr-FR"/>
    </w:rPr>
  </w:style>
  <w:style w:type="paragraph" w:styleId="Footer">
    <w:name w:val="footer"/>
    <w:aliases w:val="doc_path_name"/>
    <w:autoRedefine/>
    <w:rsid w:val="0033507D"/>
    <w:pPr>
      <w:jc w:val="both"/>
    </w:pPr>
    <w:rPr>
      <w:rFonts w:ascii="Arial" w:hAnsi="Arial"/>
      <w:sz w:val="14"/>
    </w:rPr>
  </w:style>
  <w:style w:type="character" w:styleId="PageNumber">
    <w:name w:val="page number"/>
    <w:basedOn w:val="DefaultParagraphFont"/>
    <w:rsid w:val="0033507D"/>
    <w:rPr>
      <w:rFonts w:ascii="Arial" w:hAnsi="Arial"/>
      <w:sz w:val="20"/>
    </w:rPr>
  </w:style>
  <w:style w:type="paragraph" w:styleId="Title">
    <w:name w:val="Title"/>
    <w:basedOn w:val="Normal"/>
    <w:qFormat/>
    <w:rsid w:val="0033507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33507D"/>
    <w:pPr>
      <w:spacing w:line="280" w:lineRule="exact"/>
      <w:ind w:left="1361"/>
    </w:pPr>
    <w:rPr>
      <w:b/>
      <w:bCs/>
      <w:spacing w:val="10"/>
    </w:rPr>
  </w:style>
  <w:style w:type="paragraph" w:customStyle="1" w:styleId="DecisionParagraphs">
    <w:name w:val="DecisionParagraphs"/>
    <w:basedOn w:val="Normal"/>
    <w:rsid w:val="0033507D"/>
    <w:pPr>
      <w:tabs>
        <w:tab w:val="left" w:pos="5387"/>
      </w:tabs>
      <w:ind w:left="4820"/>
    </w:pPr>
    <w:rPr>
      <w:i/>
    </w:rPr>
  </w:style>
  <w:style w:type="paragraph" w:styleId="FootnoteText">
    <w:name w:val="footnote text"/>
    <w:autoRedefine/>
    <w:rsid w:val="0033507D"/>
    <w:pPr>
      <w:spacing w:before="60"/>
      <w:ind w:left="567" w:hanging="567"/>
      <w:jc w:val="both"/>
    </w:pPr>
    <w:rPr>
      <w:rFonts w:ascii="Arial" w:hAnsi="Arial"/>
      <w:sz w:val="16"/>
    </w:rPr>
  </w:style>
  <w:style w:type="character" w:styleId="FootnoteReference">
    <w:name w:val="footnote reference"/>
    <w:basedOn w:val="DefaultParagraphFont"/>
    <w:semiHidden/>
    <w:rsid w:val="0033507D"/>
    <w:rPr>
      <w:vertAlign w:val="superscript"/>
    </w:rPr>
  </w:style>
  <w:style w:type="paragraph" w:styleId="Closing">
    <w:name w:val="Closing"/>
    <w:basedOn w:val="Normal"/>
    <w:rsid w:val="0033507D"/>
    <w:pPr>
      <w:ind w:left="4536"/>
      <w:jc w:val="center"/>
    </w:pPr>
  </w:style>
  <w:style w:type="paragraph" w:styleId="Index1">
    <w:name w:val="index 1"/>
    <w:basedOn w:val="Normal"/>
    <w:next w:val="Normal"/>
    <w:semiHidden/>
    <w:rsid w:val="0033507D"/>
    <w:pPr>
      <w:tabs>
        <w:tab w:val="right" w:leader="dot" w:pos="9071"/>
      </w:tabs>
      <w:ind w:left="284" w:hanging="284"/>
    </w:pPr>
    <w:rPr>
      <w:sz w:val="24"/>
    </w:rPr>
  </w:style>
  <w:style w:type="paragraph" w:styleId="Index2">
    <w:name w:val="index 2"/>
    <w:basedOn w:val="Normal"/>
    <w:next w:val="Normal"/>
    <w:semiHidden/>
    <w:rsid w:val="0033507D"/>
    <w:pPr>
      <w:tabs>
        <w:tab w:val="right" w:leader="dot" w:pos="9071"/>
      </w:tabs>
      <w:ind w:left="568" w:hanging="284"/>
    </w:pPr>
    <w:rPr>
      <w:sz w:val="24"/>
    </w:rPr>
  </w:style>
  <w:style w:type="paragraph" w:styleId="Index3">
    <w:name w:val="index 3"/>
    <w:basedOn w:val="Normal"/>
    <w:next w:val="Normal"/>
    <w:semiHidden/>
    <w:rsid w:val="0033507D"/>
    <w:pPr>
      <w:tabs>
        <w:tab w:val="right" w:leader="dot" w:pos="9071"/>
      </w:tabs>
      <w:ind w:left="851" w:hanging="284"/>
    </w:pPr>
    <w:rPr>
      <w:sz w:val="24"/>
    </w:rPr>
  </w:style>
  <w:style w:type="paragraph" w:styleId="MacroText">
    <w:name w:val="macro"/>
    <w:semiHidden/>
    <w:rsid w:val="003350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33507D"/>
    <w:pPr>
      <w:ind w:left="4536"/>
      <w:jc w:val="center"/>
    </w:pPr>
  </w:style>
  <w:style w:type="character" w:customStyle="1" w:styleId="Doclang">
    <w:name w:val="Doc_lang"/>
    <w:basedOn w:val="DefaultParagraphFont"/>
    <w:rsid w:val="0033507D"/>
    <w:rPr>
      <w:rFonts w:ascii="Arial" w:hAnsi="Arial"/>
      <w:sz w:val="20"/>
      <w:lang w:val="en-US"/>
    </w:rPr>
  </w:style>
  <w:style w:type="paragraph" w:customStyle="1" w:styleId="Session">
    <w:name w:val="Session"/>
    <w:basedOn w:val="Normal"/>
    <w:semiHidden/>
    <w:rsid w:val="0033507D"/>
    <w:pPr>
      <w:spacing w:before="60"/>
      <w:jc w:val="center"/>
    </w:pPr>
    <w:rPr>
      <w:b/>
    </w:rPr>
  </w:style>
  <w:style w:type="paragraph" w:customStyle="1" w:styleId="Organizer">
    <w:name w:val="Organizer"/>
    <w:basedOn w:val="Normal"/>
    <w:semiHidden/>
    <w:rsid w:val="0033507D"/>
    <w:pPr>
      <w:spacing w:after="600"/>
      <w:ind w:left="-993" w:right="-994"/>
      <w:jc w:val="center"/>
    </w:pPr>
    <w:rPr>
      <w:b/>
      <w:caps/>
      <w:kern w:val="26"/>
      <w:sz w:val="26"/>
    </w:rPr>
  </w:style>
  <w:style w:type="paragraph" w:styleId="BodyText">
    <w:name w:val="Body Text"/>
    <w:basedOn w:val="Normal"/>
    <w:link w:val="BodyTextChar"/>
    <w:rsid w:val="0033507D"/>
  </w:style>
  <w:style w:type="paragraph" w:customStyle="1" w:styleId="StyleDocoriginalNotBold">
    <w:name w:val="Style Doc_original + Not Bold"/>
    <w:basedOn w:val="Docoriginal"/>
    <w:link w:val="StyleDocoriginalNotBoldChar"/>
    <w:autoRedefine/>
    <w:rsid w:val="0033507D"/>
    <w:pPr>
      <w:ind w:left="1589"/>
      <w:jc w:val="left"/>
    </w:pPr>
  </w:style>
  <w:style w:type="paragraph" w:customStyle="1" w:styleId="upove">
    <w:name w:val="upov_e"/>
    <w:basedOn w:val="Normal"/>
    <w:rsid w:val="0033507D"/>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33507D"/>
  </w:style>
  <w:style w:type="paragraph" w:styleId="EndnoteText">
    <w:name w:val="endnote text"/>
    <w:basedOn w:val="Normal"/>
    <w:semiHidden/>
    <w:rsid w:val="0033507D"/>
  </w:style>
  <w:style w:type="character" w:styleId="EndnoteReference">
    <w:name w:val="endnote reference"/>
    <w:basedOn w:val="DefaultParagraphFont"/>
    <w:semiHidden/>
    <w:rsid w:val="0033507D"/>
    <w:rPr>
      <w:vertAlign w:val="superscript"/>
    </w:rPr>
  </w:style>
  <w:style w:type="paragraph" w:customStyle="1" w:styleId="SessionMeetingPlace">
    <w:name w:val="Session_MeetingPlace"/>
    <w:basedOn w:val="Normal"/>
    <w:semiHidden/>
    <w:rsid w:val="0033507D"/>
    <w:pPr>
      <w:spacing w:before="480"/>
      <w:jc w:val="center"/>
    </w:pPr>
    <w:rPr>
      <w:b/>
      <w:bCs/>
      <w:kern w:val="28"/>
      <w:sz w:val="24"/>
    </w:rPr>
  </w:style>
  <w:style w:type="paragraph" w:customStyle="1" w:styleId="Original">
    <w:name w:val="Original"/>
    <w:basedOn w:val="Normal"/>
    <w:semiHidden/>
    <w:rsid w:val="0033507D"/>
    <w:pPr>
      <w:spacing w:before="60"/>
      <w:ind w:left="1276"/>
    </w:pPr>
    <w:rPr>
      <w:b/>
      <w:sz w:val="22"/>
    </w:rPr>
  </w:style>
  <w:style w:type="paragraph" w:styleId="Date">
    <w:name w:val="Date"/>
    <w:basedOn w:val="Normal"/>
    <w:semiHidden/>
    <w:rsid w:val="0033507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33507D"/>
    <w:pPr>
      <w:spacing w:before="60" w:after="480"/>
      <w:jc w:val="center"/>
    </w:pPr>
  </w:style>
  <w:style w:type="paragraph" w:customStyle="1" w:styleId="Lettrine">
    <w:name w:val="Lettrine"/>
    <w:basedOn w:val="Normal"/>
    <w:rsid w:val="0033507D"/>
    <w:pPr>
      <w:spacing w:after="120" w:line="340" w:lineRule="atLeast"/>
      <w:jc w:val="right"/>
    </w:pPr>
    <w:rPr>
      <w:b/>
      <w:bCs/>
      <w:sz w:val="56"/>
    </w:rPr>
  </w:style>
  <w:style w:type="paragraph" w:customStyle="1" w:styleId="LogoUPOV">
    <w:name w:val="LogoUPOV"/>
    <w:basedOn w:val="Normal"/>
    <w:rsid w:val="0033507D"/>
    <w:pPr>
      <w:spacing w:before="720"/>
      <w:jc w:val="center"/>
    </w:pPr>
  </w:style>
  <w:style w:type="paragraph" w:customStyle="1" w:styleId="Sessiontc">
    <w:name w:val="Session_tc"/>
    <w:basedOn w:val="StyleSessionAllcaps"/>
    <w:rsid w:val="0033507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33507D"/>
    <w:pPr>
      <w:spacing w:before="480"/>
    </w:pPr>
    <w:rPr>
      <w:bCs/>
      <w:caps/>
      <w:kern w:val="28"/>
      <w:sz w:val="24"/>
    </w:rPr>
  </w:style>
  <w:style w:type="paragraph" w:customStyle="1" w:styleId="plcountry">
    <w:name w:val="plcountry"/>
    <w:basedOn w:val="Normal"/>
    <w:rsid w:val="0033507D"/>
    <w:pPr>
      <w:keepNext/>
      <w:keepLines/>
      <w:spacing w:before="180" w:after="120"/>
      <w:jc w:val="left"/>
    </w:pPr>
    <w:rPr>
      <w:caps/>
      <w:noProof/>
      <w:snapToGrid w:val="0"/>
      <w:u w:val="single"/>
    </w:rPr>
  </w:style>
  <w:style w:type="paragraph" w:customStyle="1" w:styleId="pldetails">
    <w:name w:val="pldetails"/>
    <w:basedOn w:val="Normal"/>
    <w:rsid w:val="0033507D"/>
    <w:pPr>
      <w:keepLines/>
      <w:spacing w:before="60" w:after="60"/>
      <w:jc w:val="left"/>
    </w:pPr>
    <w:rPr>
      <w:noProof/>
      <w:snapToGrid w:val="0"/>
    </w:rPr>
  </w:style>
  <w:style w:type="paragraph" w:customStyle="1" w:styleId="plheading">
    <w:name w:val="plheading"/>
    <w:basedOn w:val="Normal"/>
    <w:rsid w:val="0033507D"/>
    <w:pPr>
      <w:keepNext/>
      <w:spacing w:before="480" w:after="120"/>
      <w:jc w:val="center"/>
    </w:pPr>
    <w:rPr>
      <w:caps/>
      <w:snapToGrid w:val="0"/>
      <w:u w:val="single"/>
    </w:rPr>
  </w:style>
  <w:style w:type="paragraph" w:customStyle="1" w:styleId="Sessiontcplacedate">
    <w:name w:val="Session_tc_place_date"/>
    <w:basedOn w:val="SessionMeetingPlace"/>
    <w:rsid w:val="0033507D"/>
    <w:pPr>
      <w:spacing w:before="240"/>
    </w:pPr>
  </w:style>
  <w:style w:type="paragraph" w:customStyle="1" w:styleId="Titleofdoc0">
    <w:name w:val="Title_of_doc"/>
    <w:basedOn w:val="Normal"/>
    <w:rsid w:val="0033507D"/>
    <w:pPr>
      <w:spacing w:before="600"/>
      <w:jc w:val="center"/>
    </w:pPr>
    <w:rPr>
      <w:caps/>
    </w:rPr>
  </w:style>
  <w:style w:type="paragraph" w:customStyle="1" w:styleId="preparedby1">
    <w:name w:val="prepared_by"/>
    <w:basedOn w:val="Normal"/>
    <w:semiHidden/>
    <w:rsid w:val="0033507D"/>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33507D"/>
    <w:pPr>
      <w:spacing w:before="480"/>
      <w:ind w:left="567" w:hanging="567"/>
      <w:jc w:val="right"/>
    </w:pPr>
    <w:rPr>
      <w:rFonts w:ascii="Arial" w:hAnsi="Arial"/>
    </w:rPr>
  </w:style>
  <w:style w:type="character" w:customStyle="1" w:styleId="DocoriginalChar">
    <w:name w:val="Doc_original Char"/>
    <w:basedOn w:val="DefaultParagraphFont"/>
    <w:link w:val="Docoriginal"/>
    <w:rsid w:val="0033507D"/>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33507D"/>
    <w:rPr>
      <w:rFonts w:ascii="Arial" w:hAnsi="Arial"/>
      <w:b/>
      <w:bCs/>
      <w:spacing w:val="10"/>
      <w:lang w:val="en-US" w:eastAsia="en-US" w:bidi="ar-SA"/>
    </w:rPr>
  </w:style>
  <w:style w:type="paragraph" w:customStyle="1" w:styleId="StyleDocnumber">
    <w:name w:val="Style Doc_number"/>
    <w:basedOn w:val="Docoriginal"/>
    <w:rsid w:val="0033507D"/>
    <w:pPr>
      <w:ind w:left="1589"/>
    </w:pPr>
  </w:style>
  <w:style w:type="paragraph" w:customStyle="1" w:styleId="StyleDocoriginal">
    <w:name w:val="Style Doc_original"/>
    <w:basedOn w:val="Docoriginal"/>
    <w:link w:val="StyleDocoriginalChar"/>
    <w:rsid w:val="0033507D"/>
  </w:style>
  <w:style w:type="character" w:customStyle="1" w:styleId="StyleDocoriginalChar">
    <w:name w:val="Style Doc_original Char"/>
    <w:basedOn w:val="DocoriginalChar"/>
    <w:link w:val="StyleDocoriginal"/>
    <w:rsid w:val="0033507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33507D"/>
    <w:rPr>
      <w:rFonts w:ascii="Arial" w:hAnsi="Arial"/>
      <w:b/>
      <w:bCs/>
      <w:spacing w:val="10"/>
      <w:lang w:val="en-US" w:eastAsia="en-US" w:bidi="ar-SA"/>
    </w:rPr>
  </w:style>
  <w:style w:type="character" w:customStyle="1" w:styleId="StyleDoclangBold">
    <w:name w:val="Style Doc_lang + Bold"/>
    <w:basedOn w:val="Doclang"/>
    <w:rsid w:val="0033507D"/>
    <w:rPr>
      <w:rFonts w:ascii="Arial" w:hAnsi="Arial"/>
      <w:b/>
      <w:bCs/>
      <w:sz w:val="20"/>
      <w:lang w:val="en-US"/>
    </w:rPr>
  </w:style>
  <w:style w:type="paragraph" w:styleId="TOC2">
    <w:name w:val="toc 2"/>
    <w:next w:val="Normal"/>
    <w:autoRedefine/>
    <w:semiHidden/>
    <w:rsid w:val="0033507D"/>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33507D"/>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33507D"/>
    <w:rPr>
      <w:rFonts w:ascii="Arial" w:hAnsi="Arial"/>
      <w:color w:val="0000FF"/>
      <w:u w:val="single"/>
    </w:rPr>
  </w:style>
  <w:style w:type="paragraph" w:styleId="TOC4">
    <w:name w:val="toc 4"/>
    <w:next w:val="Normal"/>
    <w:autoRedefine/>
    <w:semiHidden/>
    <w:rsid w:val="0033507D"/>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33507D"/>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33507D"/>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560A6D"/>
    <w:rPr>
      <w:rFonts w:ascii="Tahoma" w:hAnsi="Tahoma" w:cs="Tahoma"/>
      <w:sz w:val="16"/>
      <w:szCs w:val="16"/>
    </w:rPr>
  </w:style>
  <w:style w:type="character" w:customStyle="1" w:styleId="BalloonTextChar">
    <w:name w:val="Balloon Text Char"/>
    <w:basedOn w:val="DefaultParagraphFont"/>
    <w:link w:val="BalloonText"/>
    <w:rsid w:val="00560A6D"/>
    <w:rPr>
      <w:rFonts w:ascii="Tahoma" w:hAnsi="Tahoma" w:cs="Tahoma"/>
      <w:sz w:val="16"/>
      <w:szCs w:val="16"/>
    </w:rPr>
  </w:style>
  <w:style w:type="character" w:customStyle="1" w:styleId="BodyTextChar">
    <w:name w:val="Body Text Char"/>
    <w:basedOn w:val="DefaultParagraphFont"/>
    <w:link w:val="BodyText"/>
    <w:rsid w:val="00236569"/>
    <w:rPr>
      <w:rFonts w:ascii="Arial" w:hAnsi="Arial"/>
    </w:rPr>
  </w:style>
  <w:style w:type="paragraph" w:customStyle="1" w:styleId="Inf4Normal">
    <w:name w:val="Inf_4_Normal"/>
    <w:basedOn w:val="Normal"/>
    <w:rsid w:val="005035A5"/>
    <w:pPr>
      <w:spacing w:before="108"/>
    </w:pPr>
    <w:rPr>
      <w:rFonts w:eastAsiaTheme="minorHAnsi"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507D"/>
    <w:pPr>
      <w:jc w:val="both"/>
    </w:pPr>
    <w:rPr>
      <w:rFonts w:ascii="Arial" w:hAnsi="Arial"/>
    </w:rPr>
  </w:style>
  <w:style w:type="paragraph" w:styleId="Heading1">
    <w:name w:val="heading 1"/>
    <w:next w:val="Normal"/>
    <w:autoRedefine/>
    <w:qFormat/>
    <w:rsid w:val="0033507D"/>
    <w:pPr>
      <w:keepNext/>
      <w:jc w:val="both"/>
      <w:outlineLvl w:val="0"/>
    </w:pPr>
    <w:rPr>
      <w:rFonts w:ascii="Arial" w:hAnsi="Arial"/>
      <w:caps/>
    </w:rPr>
  </w:style>
  <w:style w:type="paragraph" w:styleId="Heading2">
    <w:name w:val="heading 2"/>
    <w:next w:val="Normal"/>
    <w:autoRedefine/>
    <w:qFormat/>
    <w:rsid w:val="0033507D"/>
    <w:pPr>
      <w:keepNext/>
      <w:jc w:val="both"/>
      <w:outlineLvl w:val="1"/>
    </w:pPr>
    <w:rPr>
      <w:rFonts w:ascii="Arial" w:hAnsi="Arial"/>
      <w:u w:val="single"/>
    </w:rPr>
  </w:style>
  <w:style w:type="paragraph" w:styleId="Heading3">
    <w:name w:val="heading 3"/>
    <w:next w:val="Normal"/>
    <w:autoRedefine/>
    <w:qFormat/>
    <w:rsid w:val="0033507D"/>
    <w:pPr>
      <w:keepNext/>
      <w:jc w:val="both"/>
      <w:outlineLvl w:val="2"/>
    </w:pPr>
    <w:rPr>
      <w:rFonts w:ascii="Arial" w:hAnsi="Arial"/>
      <w:i/>
    </w:rPr>
  </w:style>
  <w:style w:type="paragraph" w:styleId="Heading4">
    <w:name w:val="heading 4"/>
    <w:next w:val="Normal"/>
    <w:autoRedefine/>
    <w:qFormat/>
    <w:rsid w:val="0033507D"/>
    <w:pPr>
      <w:keepNext/>
      <w:ind w:left="567"/>
      <w:jc w:val="both"/>
      <w:outlineLvl w:val="3"/>
    </w:pPr>
    <w:rPr>
      <w:rFonts w:ascii="Arial" w:hAnsi="Arial"/>
      <w:i/>
      <w:lang w:val="fr-FR"/>
    </w:rPr>
  </w:style>
  <w:style w:type="paragraph" w:styleId="Heading5">
    <w:name w:val="heading 5"/>
    <w:next w:val="Normal"/>
    <w:autoRedefine/>
    <w:qFormat/>
    <w:rsid w:val="0033507D"/>
    <w:pPr>
      <w:keepNext/>
      <w:ind w:left="1134" w:hanging="567"/>
      <w:jc w:val="both"/>
      <w:outlineLvl w:val="4"/>
    </w:pPr>
    <w:rPr>
      <w:rFonts w:ascii="Arial" w:hAnsi="Arial"/>
      <w:sz w:val="18"/>
      <w:szCs w:val="18"/>
    </w:rPr>
  </w:style>
  <w:style w:type="paragraph" w:styleId="Heading9">
    <w:name w:val="heading 9"/>
    <w:basedOn w:val="Normal"/>
    <w:next w:val="Normal"/>
    <w:qFormat/>
    <w:rsid w:val="0033507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33507D"/>
    <w:pPr>
      <w:tabs>
        <w:tab w:val="center" w:pos="4536"/>
        <w:tab w:val="right" w:pos="9072"/>
      </w:tabs>
      <w:jc w:val="center"/>
    </w:pPr>
    <w:rPr>
      <w:rFonts w:ascii="Arial" w:hAnsi="Arial"/>
      <w:lang w:val="fr-FR"/>
    </w:rPr>
  </w:style>
  <w:style w:type="paragraph" w:styleId="Footer">
    <w:name w:val="footer"/>
    <w:aliases w:val="doc_path_name"/>
    <w:autoRedefine/>
    <w:rsid w:val="0033507D"/>
    <w:pPr>
      <w:jc w:val="both"/>
    </w:pPr>
    <w:rPr>
      <w:rFonts w:ascii="Arial" w:hAnsi="Arial"/>
      <w:sz w:val="14"/>
    </w:rPr>
  </w:style>
  <w:style w:type="character" w:styleId="PageNumber">
    <w:name w:val="page number"/>
    <w:basedOn w:val="DefaultParagraphFont"/>
    <w:rsid w:val="0033507D"/>
    <w:rPr>
      <w:rFonts w:ascii="Arial" w:hAnsi="Arial"/>
      <w:sz w:val="20"/>
    </w:rPr>
  </w:style>
  <w:style w:type="paragraph" w:styleId="Title">
    <w:name w:val="Title"/>
    <w:basedOn w:val="Normal"/>
    <w:qFormat/>
    <w:rsid w:val="0033507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33507D"/>
    <w:pPr>
      <w:spacing w:line="280" w:lineRule="exact"/>
      <w:ind w:left="1361"/>
    </w:pPr>
    <w:rPr>
      <w:b/>
      <w:bCs/>
      <w:spacing w:val="10"/>
    </w:rPr>
  </w:style>
  <w:style w:type="paragraph" w:customStyle="1" w:styleId="DecisionParagraphs">
    <w:name w:val="DecisionParagraphs"/>
    <w:basedOn w:val="Normal"/>
    <w:rsid w:val="0033507D"/>
    <w:pPr>
      <w:tabs>
        <w:tab w:val="left" w:pos="5387"/>
      </w:tabs>
      <w:ind w:left="4820"/>
    </w:pPr>
    <w:rPr>
      <w:i/>
    </w:rPr>
  </w:style>
  <w:style w:type="paragraph" w:styleId="FootnoteText">
    <w:name w:val="footnote text"/>
    <w:autoRedefine/>
    <w:rsid w:val="0033507D"/>
    <w:pPr>
      <w:spacing w:before="60"/>
      <w:ind w:left="567" w:hanging="567"/>
      <w:jc w:val="both"/>
    </w:pPr>
    <w:rPr>
      <w:rFonts w:ascii="Arial" w:hAnsi="Arial"/>
      <w:sz w:val="16"/>
    </w:rPr>
  </w:style>
  <w:style w:type="character" w:styleId="FootnoteReference">
    <w:name w:val="footnote reference"/>
    <w:basedOn w:val="DefaultParagraphFont"/>
    <w:semiHidden/>
    <w:rsid w:val="0033507D"/>
    <w:rPr>
      <w:vertAlign w:val="superscript"/>
    </w:rPr>
  </w:style>
  <w:style w:type="paragraph" w:styleId="Closing">
    <w:name w:val="Closing"/>
    <w:basedOn w:val="Normal"/>
    <w:rsid w:val="0033507D"/>
    <w:pPr>
      <w:ind w:left="4536"/>
      <w:jc w:val="center"/>
    </w:pPr>
  </w:style>
  <w:style w:type="paragraph" w:styleId="Index1">
    <w:name w:val="index 1"/>
    <w:basedOn w:val="Normal"/>
    <w:next w:val="Normal"/>
    <w:semiHidden/>
    <w:rsid w:val="0033507D"/>
    <w:pPr>
      <w:tabs>
        <w:tab w:val="right" w:leader="dot" w:pos="9071"/>
      </w:tabs>
      <w:ind w:left="284" w:hanging="284"/>
    </w:pPr>
    <w:rPr>
      <w:sz w:val="24"/>
    </w:rPr>
  </w:style>
  <w:style w:type="paragraph" w:styleId="Index2">
    <w:name w:val="index 2"/>
    <w:basedOn w:val="Normal"/>
    <w:next w:val="Normal"/>
    <w:semiHidden/>
    <w:rsid w:val="0033507D"/>
    <w:pPr>
      <w:tabs>
        <w:tab w:val="right" w:leader="dot" w:pos="9071"/>
      </w:tabs>
      <w:ind w:left="568" w:hanging="284"/>
    </w:pPr>
    <w:rPr>
      <w:sz w:val="24"/>
    </w:rPr>
  </w:style>
  <w:style w:type="paragraph" w:styleId="Index3">
    <w:name w:val="index 3"/>
    <w:basedOn w:val="Normal"/>
    <w:next w:val="Normal"/>
    <w:semiHidden/>
    <w:rsid w:val="0033507D"/>
    <w:pPr>
      <w:tabs>
        <w:tab w:val="right" w:leader="dot" w:pos="9071"/>
      </w:tabs>
      <w:ind w:left="851" w:hanging="284"/>
    </w:pPr>
    <w:rPr>
      <w:sz w:val="24"/>
    </w:rPr>
  </w:style>
  <w:style w:type="paragraph" w:styleId="MacroText">
    <w:name w:val="macro"/>
    <w:semiHidden/>
    <w:rsid w:val="003350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33507D"/>
    <w:pPr>
      <w:ind w:left="4536"/>
      <w:jc w:val="center"/>
    </w:pPr>
  </w:style>
  <w:style w:type="character" w:customStyle="1" w:styleId="Doclang">
    <w:name w:val="Doc_lang"/>
    <w:basedOn w:val="DefaultParagraphFont"/>
    <w:rsid w:val="0033507D"/>
    <w:rPr>
      <w:rFonts w:ascii="Arial" w:hAnsi="Arial"/>
      <w:sz w:val="20"/>
      <w:lang w:val="en-US"/>
    </w:rPr>
  </w:style>
  <w:style w:type="paragraph" w:customStyle="1" w:styleId="Session">
    <w:name w:val="Session"/>
    <w:basedOn w:val="Normal"/>
    <w:semiHidden/>
    <w:rsid w:val="0033507D"/>
    <w:pPr>
      <w:spacing w:before="60"/>
      <w:jc w:val="center"/>
    </w:pPr>
    <w:rPr>
      <w:b/>
    </w:rPr>
  </w:style>
  <w:style w:type="paragraph" w:customStyle="1" w:styleId="Organizer">
    <w:name w:val="Organizer"/>
    <w:basedOn w:val="Normal"/>
    <w:semiHidden/>
    <w:rsid w:val="0033507D"/>
    <w:pPr>
      <w:spacing w:after="600"/>
      <w:ind w:left="-993" w:right="-994"/>
      <w:jc w:val="center"/>
    </w:pPr>
    <w:rPr>
      <w:b/>
      <w:caps/>
      <w:kern w:val="26"/>
      <w:sz w:val="26"/>
    </w:rPr>
  </w:style>
  <w:style w:type="paragraph" w:styleId="BodyText">
    <w:name w:val="Body Text"/>
    <w:basedOn w:val="Normal"/>
    <w:link w:val="BodyTextChar"/>
    <w:rsid w:val="0033507D"/>
  </w:style>
  <w:style w:type="paragraph" w:customStyle="1" w:styleId="StyleDocoriginalNotBold">
    <w:name w:val="Style Doc_original + Not Bold"/>
    <w:basedOn w:val="Docoriginal"/>
    <w:link w:val="StyleDocoriginalNotBoldChar"/>
    <w:autoRedefine/>
    <w:rsid w:val="0033507D"/>
    <w:pPr>
      <w:ind w:left="1589"/>
      <w:jc w:val="left"/>
    </w:pPr>
  </w:style>
  <w:style w:type="paragraph" w:customStyle="1" w:styleId="upove">
    <w:name w:val="upov_e"/>
    <w:basedOn w:val="Normal"/>
    <w:rsid w:val="0033507D"/>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33507D"/>
  </w:style>
  <w:style w:type="paragraph" w:styleId="EndnoteText">
    <w:name w:val="endnote text"/>
    <w:basedOn w:val="Normal"/>
    <w:semiHidden/>
    <w:rsid w:val="0033507D"/>
  </w:style>
  <w:style w:type="character" w:styleId="EndnoteReference">
    <w:name w:val="endnote reference"/>
    <w:basedOn w:val="DefaultParagraphFont"/>
    <w:semiHidden/>
    <w:rsid w:val="0033507D"/>
    <w:rPr>
      <w:vertAlign w:val="superscript"/>
    </w:rPr>
  </w:style>
  <w:style w:type="paragraph" w:customStyle="1" w:styleId="SessionMeetingPlace">
    <w:name w:val="Session_MeetingPlace"/>
    <w:basedOn w:val="Normal"/>
    <w:semiHidden/>
    <w:rsid w:val="0033507D"/>
    <w:pPr>
      <w:spacing w:before="480"/>
      <w:jc w:val="center"/>
    </w:pPr>
    <w:rPr>
      <w:b/>
      <w:bCs/>
      <w:kern w:val="28"/>
      <w:sz w:val="24"/>
    </w:rPr>
  </w:style>
  <w:style w:type="paragraph" w:customStyle="1" w:styleId="Original">
    <w:name w:val="Original"/>
    <w:basedOn w:val="Normal"/>
    <w:semiHidden/>
    <w:rsid w:val="0033507D"/>
    <w:pPr>
      <w:spacing w:before="60"/>
      <w:ind w:left="1276"/>
    </w:pPr>
    <w:rPr>
      <w:b/>
      <w:sz w:val="22"/>
    </w:rPr>
  </w:style>
  <w:style w:type="paragraph" w:styleId="Date">
    <w:name w:val="Date"/>
    <w:basedOn w:val="Normal"/>
    <w:semiHidden/>
    <w:rsid w:val="0033507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33507D"/>
    <w:pPr>
      <w:spacing w:before="60" w:after="480"/>
      <w:jc w:val="center"/>
    </w:pPr>
  </w:style>
  <w:style w:type="paragraph" w:customStyle="1" w:styleId="Lettrine">
    <w:name w:val="Lettrine"/>
    <w:basedOn w:val="Normal"/>
    <w:rsid w:val="0033507D"/>
    <w:pPr>
      <w:spacing w:after="120" w:line="340" w:lineRule="atLeast"/>
      <w:jc w:val="right"/>
    </w:pPr>
    <w:rPr>
      <w:b/>
      <w:bCs/>
      <w:sz w:val="56"/>
    </w:rPr>
  </w:style>
  <w:style w:type="paragraph" w:customStyle="1" w:styleId="LogoUPOV">
    <w:name w:val="LogoUPOV"/>
    <w:basedOn w:val="Normal"/>
    <w:rsid w:val="0033507D"/>
    <w:pPr>
      <w:spacing w:before="720"/>
      <w:jc w:val="center"/>
    </w:pPr>
  </w:style>
  <w:style w:type="paragraph" w:customStyle="1" w:styleId="Sessiontc">
    <w:name w:val="Session_tc"/>
    <w:basedOn w:val="StyleSessionAllcaps"/>
    <w:rsid w:val="0033507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33507D"/>
    <w:pPr>
      <w:spacing w:before="480"/>
    </w:pPr>
    <w:rPr>
      <w:bCs/>
      <w:caps/>
      <w:kern w:val="28"/>
      <w:sz w:val="24"/>
    </w:rPr>
  </w:style>
  <w:style w:type="paragraph" w:customStyle="1" w:styleId="plcountry">
    <w:name w:val="plcountry"/>
    <w:basedOn w:val="Normal"/>
    <w:rsid w:val="0033507D"/>
    <w:pPr>
      <w:keepNext/>
      <w:keepLines/>
      <w:spacing w:before="180" w:after="120"/>
      <w:jc w:val="left"/>
    </w:pPr>
    <w:rPr>
      <w:caps/>
      <w:noProof/>
      <w:snapToGrid w:val="0"/>
      <w:u w:val="single"/>
    </w:rPr>
  </w:style>
  <w:style w:type="paragraph" w:customStyle="1" w:styleId="pldetails">
    <w:name w:val="pldetails"/>
    <w:basedOn w:val="Normal"/>
    <w:rsid w:val="0033507D"/>
    <w:pPr>
      <w:keepLines/>
      <w:spacing w:before="60" w:after="60"/>
      <w:jc w:val="left"/>
    </w:pPr>
    <w:rPr>
      <w:noProof/>
      <w:snapToGrid w:val="0"/>
    </w:rPr>
  </w:style>
  <w:style w:type="paragraph" w:customStyle="1" w:styleId="plheading">
    <w:name w:val="plheading"/>
    <w:basedOn w:val="Normal"/>
    <w:rsid w:val="0033507D"/>
    <w:pPr>
      <w:keepNext/>
      <w:spacing w:before="480" w:after="120"/>
      <w:jc w:val="center"/>
    </w:pPr>
    <w:rPr>
      <w:caps/>
      <w:snapToGrid w:val="0"/>
      <w:u w:val="single"/>
    </w:rPr>
  </w:style>
  <w:style w:type="paragraph" w:customStyle="1" w:styleId="Sessiontcplacedate">
    <w:name w:val="Session_tc_place_date"/>
    <w:basedOn w:val="SessionMeetingPlace"/>
    <w:rsid w:val="0033507D"/>
    <w:pPr>
      <w:spacing w:before="240"/>
    </w:pPr>
  </w:style>
  <w:style w:type="paragraph" w:customStyle="1" w:styleId="Titleofdoc0">
    <w:name w:val="Title_of_doc"/>
    <w:basedOn w:val="Normal"/>
    <w:rsid w:val="0033507D"/>
    <w:pPr>
      <w:spacing w:before="600"/>
      <w:jc w:val="center"/>
    </w:pPr>
    <w:rPr>
      <w:caps/>
    </w:rPr>
  </w:style>
  <w:style w:type="paragraph" w:customStyle="1" w:styleId="preparedby1">
    <w:name w:val="prepared_by"/>
    <w:basedOn w:val="Normal"/>
    <w:semiHidden/>
    <w:rsid w:val="0033507D"/>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33507D"/>
    <w:pPr>
      <w:spacing w:before="480"/>
      <w:ind w:left="567" w:hanging="567"/>
      <w:jc w:val="right"/>
    </w:pPr>
    <w:rPr>
      <w:rFonts w:ascii="Arial" w:hAnsi="Arial"/>
    </w:rPr>
  </w:style>
  <w:style w:type="character" w:customStyle="1" w:styleId="DocoriginalChar">
    <w:name w:val="Doc_original Char"/>
    <w:basedOn w:val="DefaultParagraphFont"/>
    <w:link w:val="Docoriginal"/>
    <w:rsid w:val="0033507D"/>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33507D"/>
    <w:rPr>
      <w:rFonts w:ascii="Arial" w:hAnsi="Arial"/>
      <w:b/>
      <w:bCs/>
      <w:spacing w:val="10"/>
      <w:lang w:val="en-US" w:eastAsia="en-US" w:bidi="ar-SA"/>
    </w:rPr>
  </w:style>
  <w:style w:type="paragraph" w:customStyle="1" w:styleId="StyleDocnumber">
    <w:name w:val="Style Doc_number"/>
    <w:basedOn w:val="Docoriginal"/>
    <w:rsid w:val="0033507D"/>
    <w:pPr>
      <w:ind w:left="1589"/>
    </w:pPr>
  </w:style>
  <w:style w:type="paragraph" w:customStyle="1" w:styleId="StyleDocoriginal">
    <w:name w:val="Style Doc_original"/>
    <w:basedOn w:val="Docoriginal"/>
    <w:link w:val="StyleDocoriginalChar"/>
    <w:rsid w:val="0033507D"/>
  </w:style>
  <w:style w:type="character" w:customStyle="1" w:styleId="StyleDocoriginalChar">
    <w:name w:val="Style Doc_original Char"/>
    <w:basedOn w:val="DocoriginalChar"/>
    <w:link w:val="StyleDocoriginal"/>
    <w:rsid w:val="0033507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33507D"/>
    <w:rPr>
      <w:rFonts w:ascii="Arial" w:hAnsi="Arial"/>
      <w:b/>
      <w:bCs/>
      <w:spacing w:val="10"/>
      <w:lang w:val="en-US" w:eastAsia="en-US" w:bidi="ar-SA"/>
    </w:rPr>
  </w:style>
  <w:style w:type="character" w:customStyle="1" w:styleId="StyleDoclangBold">
    <w:name w:val="Style Doc_lang + Bold"/>
    <w:basedOn w:val="Doclang"/>
    <w:rsid w:val="0033507D"/>
    <w:rPr>
      <w:rFonts w:ascii="Arial" w:hAnsi="Arial"/>
      <w:b/>
      <w:bCs/>
      <w:sz w:val="20"/>
      <w:lang w:val="en-US"/>
    </w:rPr>
  </w:style>
  <w:style w:type="paragraph" w:styleId="TOC2">
    <w:name w:val="toc 2"/>
    <w:next w:val="Normal"/>
    <w:autoRedefine/>
    <w:semiHidden/>
    <w:rsid w:val="0033507D"/>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33507D"/>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33507D"/>
    <w:rPr>
      <w:rFonts w:ascii="Arial" w:hAnsi="Arial"/>
      <w:color w:val="0000FF"/>
      <w:u w:val="single"/>
    </w:rPr>
  </w:style>
  <w:style w:type="paragraph" w:styleId="TOC4">
    <w:name w:val="toc 4"/>
    <w:next w:val="Normal"/>
    <w:autoRedefine/>
    <w:semiHidden/>
    <w:rsid w:val="0033507D"/>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33507D"/>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33507D"/>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560A6D"/>
    <w:rPr>
      <w:rFonts w:ascii="Tahoma" w:hAnsi="Tahoma" w:cs="Tahoma"/>
      <w:sz w:val="16"/>
      <w:szCs w:val="16"/>
    </w:rPr>
  </w:style>
  <w:style w:type="character" w:customStyle="1" w:styleId="BalloonTextChar">
    <w:name w:val="Balloon Text Char"/>
    <w:basedOn w:val="DefaultParagraphFont"/>
    <w:link w:val="BalloonText"/>
    <w:rsid w:val="00560A6D"/>
    <w:rPr>
      <w:rFonts w:ascii="Tahoma" w:hAnsi="Tahoma" w:cs="Tahoma"/>
      <w:sz w:val="16"/>
      <w:szCs w:val="16"/>
    </w:rPr>
  </w:style>
  <w:style w:type="character" w:customStyle="1" w:styleId="BodyTextChar">
    <w:name w:val="Body Text Char"/>
    <w:basedOn w:val="DefaultParagraphFont"/>
    <w:link w:val="BodyText"/>
    <w:rsid w:val="00236569"/>
    <w:rPr>
      <w:rFonts w:ascii="Arial" w:hAnsi="Arial"/>
    </w:rPr>
  </w:style>
  <w:style w:type="paragraph" w:customStyle="1" w:styleId="Inf4Normal">
    <w:name w:val="Inf_4_Normal"/>
    <w:basedOn w:val="Normal"/>
    <w:rsid w:val="005035A5"/>
    <w:pPr>
      <w:spacing w:before="108"/>
    </w:pPr>
    <w:rPr>
      <w:rFonts w:eastAsiaTheme="minorHAns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upov.int/members/en/pvp_offices.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upov.int/members/en/pvp_offices.html" TargetMode="External"/><Relationship Id="rId4" Type="http://schemas.openxmlformats.org/officeDocument/2006/relationships/webSettings" Target="webSettings.xml"/><Relationship Id="rId9" Type="http://schemas.openxmlformats.org/officeDocument/2006/relationships/hyperlink" Target="http://www.upov.int/explanatory_note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L:\DAT1\OrgUPOV\Shared\Document\C(EXTR)\CExt32\templates\c(extr)_32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c(extr)_32_EN.dotx</Template>
  <TotalTime>0</TotalTime>
  <Pages>5</Pages>
  <Words>1978</Words>
  <Characters>11651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C(Extr.)/31 EN</vt:lpstr>
    </vt:vector>
  </TitlesOfParts>
  <Company>UPOV</Company>
  <LinksUpToDate>false</LinksUpToDate>
  <CharactersWithSpaces>13602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C(Extr.)/31 EN</dc:title>
  <dc:creator>PASIEKA Allie</dc:creator>
  <cp:lastModifiedBy>BESSE Ariane</cp:lastModifiedBy>
  <cp:revision>2</cp:revision>
  <cp:lastPrinted>2015-03-27T13:24:00Z</cp:lastPrinted>
  <dcterms:created xsi:type="dcterms:W3CDTF">2015-03-27T17:28:00Z</dcterms:created>
  <dcterms:modified xsi:type="dcterms:W3CDTF">2015-03-27T17:28:00Z</dcterms:modified>
</cp:coreProperties>
</file>