
<file path=[Content_Types].xml><?xml version="1.0" encoding="utf-8"?>
<Types xmlns="http://schemas.openxmlformats.org/package/2006/content-types">
  <Default Extension="emf" ContentType="image/x-emf"/>
  <Default Extension="png" ContentType="image/png"/>
  <Default Extension="ppt" ContentType="application/vnd.ms-powerpoint"/>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784E02" w:rsidRPr="00784E02" w14:paraId="40B09423" w14:textId="77777777" w:rsidTr="0096342F">
        <w:tc>
          <w:tcPr>
            <w:tcW w:w="6522" w:type="dxa"/>
          </w:tcPr>
          <w:p w14:paraId="5BF0B863" w14:textId="54275539" w:rsidR="00784E02" w:rsidRPr="00784E02" w:rsidRDefault="00236DE2" w:rsidP="0096342F">
            <w:r>
              <w:rPr>
                <w:noProof/>
              </w:rPr>
              <w:drawing>
                <wp:inline distT="0" distB="0" distL="0" distR="0" wp14:anchorId="03FD5596" wp14:editId="28C901DB">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3CDE8C13" w14:textId="77777777" w:rsidR="00784E02" w:rsidRPr="00784E02" w:rsidRDefault="00784E02" w:rsidP="0096342F">
            <w:pPr>
              <w:pStyle w:val="Lettrine"/>
            </w:pPr>
            <w:r w:rsidRPr="00784E02">
              <w:t>E</w:t>
            </w:r>
          </w:p>
        </w:tc>
      </w:tr>
      <w:tr w:rsidR="00784E02" w:rsidRPr="00784E02" w14:paraId="053503EA" w14:textId="77777777" w:rsidTr="0096342F">
        <w:trPr>
          <w:trHeight w:val="219"/>
        </w:trPr>
        <w:tc>
          <w:tcPr>
            <w:tcW w:w="6522" w:type="dxa"/>
          </w:tcPr>
          <w:p w14:paraId="512FD762" w14:textId="77777777" w:rsidR="00784E02" w:rsidRPr="00784E02" w:rsidRDefault="00784E02" w:rsidP="0096342F">
            <w:pPr>
              <w:pStyle w:val="upove"/>
            </w:pPr>
            <w:r w:rsidRPr="00784E02">
              <w:t>International Union for the Protection of New Varieties of Plants</w:t>
            </w:r>
          </w:p>
        </w:tc>
        <w:tc>
          <w:tcPr>
            <w:tcW w:w="3117" w:type="dxa"/>
          </w:tcPr>
          <w:p w14:paraId="3366AE2F" w14:textId="77777777" w:rsidR="00784E02" w:rsidRPr="00784E02" w:rsidRDefault="00784E02" w:rsidP="0096342F"/>
        </w:tc>
      </w:tr>
    </w:tbl>
    <w:p w14:paraId="5DE3DC62" w14:textId="77777777" w:rsidR="00784E02" w:rsidRPr="00784E02" w:rsidRDefault="00784E02" w:rsidP="00784E02"/>
    <w:p w14:paraId="098A742C" w14:textId="77777777" w:rsidR="00784E02" w:rsidRPr="00784E02" w:rsidRDefault="00784E02" w:rsidP="00784E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784E02" w:rsidRPr="00784E02" w14:paraId="15CD3936" w14:textId="77777777" w:rsidTr="0096342F">
        <w:tc>
          <w:tcPr>
            <w:tcW w:w="6512" w:type="dxa"/>
          </w:tcPr>
          <w:p w14:paraId="1F9763EC" w14:textId="77777777" w:rsidR="00784E02" w:rsidRPr="00784E02" w:rsidRDefault="00784E02" w:rsidP="0096342F">
            <w:pPr>
              <w:pStyle w:val="Sessiontcplacedate"/>
              <w:spacing w:before="0"/>
              <w:contextualSpacing w:val="0"/>
            </w:pPr>
          </w:p>
        </w:tc>
        <w:tc>
          <w:tcPr>
            <w:tcW w:w="3127" w:type="dxa"/>
          </w:tcPr>
          <w:p w14:paraId="0DE12775" w14:textId="33A791CB" w:rsidR="00784E02" w:rsidRPr="00CD5B0C" w:rsidRDefault="00236DE2" w:rsidP="0096342F">
            <w:pPr>
              <w:pStyle w:val="Doccode"/>
            </w:pPr>
            <w:r w:rsidRPr="00CD5B0C">
              <w:t>TGP/15/4 Draft 1</w:t>
            </w:r>
          </w:p>
          <w:p w14:paraId="11B37B5D" w14:textId="77777777" w:rsidR="00784E02" w:rsidRPr="00CD5B0C" w:rsidRDefault="00784E02" w:rsidP="0096342F">
            <w:pPr>
              <w:pStyle w:val="Docoriginal"/>
              <w:rPr>
                <w:lang w:val="en-US"/>
              </w:rPr>
            </w:pPr>
            <w:r w:rsidRPr="00CD5B0C">
              <w:rPr>
                <w:lang w:val="en-US"/>
              </w:rPr>
              <w:t>Original:</w:t>
            </w:r>
            <w:r w:rsidRPr="00CD5B0C">
              <w:rPr>
                <w:b w:val="0"/>
                <w:spacing w:val="0"/>
                <w:lang w:val="en-US"/>
              </w:rPr>
              <w:t xml:space="preserve">  English</w:t>
            </w:r>
          </w:p>
          <w:p w14:paraId="2D9059AE" w14:textId="6B6191B3" w:rsidR="00784E02" w:rsidRPr="00784E02" w:rsidRDefault="00784E02" w:rsidP="00EF5E61">
            <w:pPr>
              <w:pStyle w:val="Docoriginal"/>
              <w:rPr>
                <w:lang w:val="en-US"/>
              </w:rPr>
            </w:pPr>
            <w:r w:rsidRPr="00CD5B0C">
              <w:rPr>
                <w:lang w:val="en-US"/>
              </w:rPr>
              <w:t>Date:</w:t>
            </w:r>
            <w:r w:rsidRPr="00CD5B0C">
              <w:rPr>
                <w:b w:val="0"/>
                <w:spacing w:val="0"/>
                <w:lang w:val="en-US"/>
              </w:rPr>
              <w:t xml:space="preserve">  </w:t>
            </w:r>
            <w:r w:rsidR="00CD5B0C" w:rsidRPr="00CD5B0C">
              <w:rPr>
                <w:b w:val="0"/>
                <w:spacing w:val="0"/>
                <w:lang w:val="en-US"/>
              </w:rPr>
              <w:t>September 17</w:t>
            </w:r>
            <w:r w:rsidR="00236DE2" w:rsidRPr="00CD5B0C">
              <w:rPr>
                <w:b w:val="0"/>
                <w:spacing w:val="0"/>
                <w:lang w:val="en-US"/>
              </w:rPr>
              <w:t>, 2026</w:t>
            </w:r>
          </w:p>
        </w:tc>
      </w:tr>
    </w:tbl>
    <w:p w14:paraId="04DA7E81" w14:textId="77777777" w:rsidR="00236DE2" w:rsidRPr="00BC20B1" w:rsidRDefault="00236DE2" w:rsidP="00236DE2">
      <w:pPr>
        <w:rPr>
          <w:rFonts w:cs="Arial"/>
        </w:rPr>
      </w:pPr>
    </w:p>
    <w:p w14:paraId="4D33DC6D" w14:textId="77777777" w:rsidR="00236DE2" w:rsidRPr="00BC20B1" w:rsidRDefault="00236DE2" w:rsidP="00236DE2">
      <w:pPr>
        <w:rPr>
          <w:rFonts w:cs="Arial"/>
        </w:rPr>
      </w:pPr>
    </w:p>
    <w:p w14:paraId="599C18F6" w14:textId="77777777" w:rsidR="00236DE2" w:rsidRPr="00BC20B1" w:rsidRDefault="00236DE2" w:rsidP="00236DE2">
      <w:pPr>
        <w:rPr>
          <w:rFonts w:cs="Arial"/>
        </w:rPr>
      </w:pPr>
    </w:p>
    <w:p w14:paraId="54768DA0" w14:textId="77777777" w:rsidR="00236DE2" w:rsidRPr="00BC20B1" w:rsidRDefault="00236DE2" w:rsidP="00236DE2">
      <w:pPr>
        <w:rPr>
          <w:rFonts w:cs="Arial"/>
        </w:rPr>
      </w:pPr>
    </w:p>
    <w:p w14:paraId="6324216B" w14:textId="77777777" w:rsidR="00236DE2" w:rsidRPr="00BC20B1" w:rsidRDefault="00236DE2" w:rsidP="00236DE2">
      <w:pPr>
        <w:rPr>
          <w:rFonts w:cs="Arial"/>
        </w:rPr>
      </w:pPr>
    </w:p>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4A0" w:firstRow="1" w:lastRow="0" w:firstColumn="1" w:lastColumn="0" w:noHBand="0" w:noVBand="1"/>
      </w:tblPr>
      <w:tblGrid>
        <w:gridCol w:w="9629"/>
      </w:tblGrid>
      <w:tr w:rsidR="00236DE2" w:rsidRPr="00BC20B1" w14:paraId="37F8FBEE" w14:textId="77777777" w:rsidTr="00CE3D52">
        <w:tc>
          <w:tcPr>
            <w:tcW w:w="96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22EE18" w14:textId="77777777" w:rsidR="00236DE2" w:rsidRPr="00BC20B1" w:rsidRDefault="00236DE2" w:rsidP="00CE3D52">
            <w:pPr>
              <w:jc w:val="center"/>
              <w:rPr>
                <w:rFonts w:cs="Arial"/>
                <w:b/>
              </w:rPr>
            </w:pPr>
            <w:r w:rsidRPr="00BC20B1">
              <w:rPr>
                <w:rFonts w:cs="Arial"/>
                <w:b/>
              </w:rPr>
              <w:t>DRAFT</w:t>
            </w:r>
          </w:p>
          <w:p w14:paraId="631501F5" w14:textId="77777777" w:rsidR="00236DE2" w:rsidRPr="00BC20B1" w:rsidRDefault="00236DE2" w:rsidP="00CE3D52">
            <w:pPr>
              <w:jc w:val="center"/>
              <w:rPr>
                <w:rFonts w:cs="Arial"/>
              </w:rPr>
            </w:pPr>
            <w:r w:rsidRPr="00BC20B1">
              <w:rPr>
                <w:rFonts w:cs="Arial"/>
                <w:b/>
              </w:rPr>
              <w:t>(REVISION)</w:t>
            </w:r>
          </w:p>
        </w:tc>
      </w:tr>
    </w:tbl>
    <w:p w14:paraId="65E5B0D3" w14:textId="77777777" w:rsidR="00236DE2" w:rsidRPr="00BC20B1" w:rsidRDefault="00236DE2" w:rsidP="00236DE2">
      <w:pPr>
        <w:rPr>
          <w:rFonts w:cs="Arial"/>
        </w:rPr>
      </w:pPr>
    </w:p>
    <w:p w14:paraId="37BD86EA" w14:textId="77777777" w:rsidR="00236DE2" w:rsidRPr="00BC20B1" w:rsidRDefault="00236DE2" w:rsidP="00236DE2">
      <w:pPr>
        <w:rPr>
          <w:rFonts w:cs="Arial"/>
        </w:rPr>
      </w:pPr>
    </w:p>
    <w:p w14:paraId="7CED86F0" w14:textId="77777777" w:rsidR="00236DE2" w:rsidRPr="00BC20B1" w:rsidRDefault="00236DE2" w:rsidP="00236DE2">
      <w:pPr>
        <w:rPr>
          <w:rFonts w:cs="Arial"/>
        </w:rPr>
      </w:pPr>
    </w:p>
    <w:p w14:paraId="09DD39F9" w14:textId="77777777" w:rsidR="000B03A2" w:rsidRDefault="000B03A2" w:rsidP="000B03A2">
      <w:pPr>
        <w:pStyle w:val="TitleofDoc"/>
      </w:pPr>
      <w:r w:rsidRPr="00D70948">
        <w:t xml:space="preserve">Associated Document to the </w:t>
      </w:r>
    </w:p>
    <w:p w14:paraId="0705C992" w14:textId="77777777" w:rsidR="000B03A2" w:rsidRPr="00D70948" w:rsidRDefault="000B03A2" w:rsidP="000B03A2">
      <w:pPr>
        <w:pStyle w:val="TitleofDoc"/>
      </w:pPr>
      <w:r w:rsidRPr="00D70948">
        <w:t xml:space="preserve">General Introduction to the Examination of Distinctness, Uniformity and Stability </w:t>
      </w:r>
      <w:r w:rsidRPr="00D70948">
        <w:br/>
        <w:t>and the Development of Harmonized Descriptions of New Varieties of Plants (document TG/1/3)</w:t>
      </w:r>
    </w:p>
    <w:p w14:paraId="04129DCA" w14:textId="77777777" w:rsidR="000B03A2" w:rsidRPr="005F385A" w:rsidRDefault="000B03A2" w:rsidP="000B03A2">
      <w:pPr>
        <w:pStyle w:val="Titleofdoc0"/>
      </w:pPr>
      <w:r>
        <w:t>DOCUMENT TGP/15</w:t>
      </w:r>
      <w:r>
        <w:br/>
      </w:r>
      <w:r>
        <w:br/>
      </w:r>
      <w:r w:rsidRPr="005F385A">
        <w:t xml:space="preserve">GUIDANCE ON THE USE OF BIOCHEMICAL AND MOLECULAR MARKERS </w:t>
      </w:r>
      <w:r w:rsidRPr="005F385A">
        <w:br/>
        <w:t>IN THE EXAMINATION OF DISTINCTNESS, UNIFORMITY AND STABILITY (DUS)</w:t>
      </w:r>
    </w:p>
    <w:p w14:paraId="34D04768" w14:textId="77777777" w:rsidR="00236DE2" w:rsidRDefault="00236DE2" w:rsidP="008A2C6F">
      <w:pPr>
        <w:jc w:val="left"/>
        <w:rPr>
          <w:iCs/>
        </w:rPr>
      </w:pPr>
      <w:bookmarkStart w:id="0" w:name="Prepared"/>
      <w:bookmarkEnd w:id="0"/>
    </w:p>
    <w:p w14:paraId="35502172" w14:textId="77777777" w:rsidR="00236DE2" w:rsidRPr="00BC20B1" w:rsidRDefault="00236DE2" w:rsidP="00236DE2">
      <w:pPr>
        <w:pStyle w:val="preparedby1"/>
        <w:rPr>
          <w:rFonts w:cs="Arial"/>
        </w:rPr>
      </w:pPr>
      <w:bookmarkStart w:id="1" w:name="_Hlk205394612"/>
      <w:bookmarkStart w:id="2" w:name="_Hlk205474368"/>
      <w:r w:rsidRPr="00BC20B1">
        <w:rPr>
          <w:rFonts w:cs="Arial"/>
        </w:rPr>
        <w:t>Document prepared by the Office of the Union</w:t>
      </w:r>
    </w:p>
    <w:p w14:paraId="5E1FE2E3" w14:textId="77777777" w:rsidR="00236DE2" w:rsidRPr="00BC20B1" w:rsidRDefault="00236DE2" w:rsidP="00236DE2">
      <w:pPr>
        <w:pStyle w:val="preparedby1"/>
        <w:rPr>
          <w:rFonts w:cs="Arial"/>
        </w:rPr>
      </w:pPr>
      <w:r w:rsidRPr="00BC20B1">
        <w:rPr>
          <w:rFonts w:cs="Arial"/>
        </w:rPr>
        <w:t xml:space="preserve">to be considered by </w:t>
      </w:r>
    </w:p>
    <w:p w14:paraId="084FFB74" w14:textId="32FDF5E7" w:rsidR="00236DE2" w:rsidRDefault="00236DE2" w:rsidP="00236DE2">
      <w:pPr>
        <w:pStyle w:val="preparedby1"/>
      </w:pPr>
      <w:r>
        <w:t>the Technical Committee, the Administrative and Legal Committee, and the Council in 2026</w:t>
      </w:r>
    </w:p>
    <w:p w14:paraId="7F6E5493" w14:textId="77777777" w:rsidR="00236DE2" w:rsidRPr="00BC20B1" w:rsidRDefault="00236DE2" w:rsidP="00236DE2">
      <w:pPr>
        <w:pStyle w:val="preparedby1"/>
        <w:rPr>
          <w:rFonts w:cs="Arial"/>
        </w:rPr>
      </w:pPr>
      <w:bookmarkStart w:id="3" w:name="_Hlk205394809"/>
      <w:bookmarkEnd w:id="1"/>
    </w:p>
    <w:p w14:paraId="54892DB7" w14:textId="77777777" w:rsidR="00236DE2" w:rsidRPr="00BC20B1" w:rsidRDefault="00236DE2" w:rsidP="00236DE2">
      <w:pPr>
        <w:pStyle w:val="Disclaimer"/>
        <w:rPr>
          <w:rFonts w:cs="Arial"/>
        </w:rPr>
      </w:pPr>
      <w:r w:rsidRPr="00BC20B1">
        <w:rPr>
          <w:rFonts w:cs="Arial"/>
        </w:rPr>
        <w:t>Disclaimer:  this document does not represent UPOV policies or guidance</w:t>
      </w:r>
    </w:p>
    <w:p w14:paraId="2DAB9DBF" w14:textId="77777777" w:rsidR="00236DE2" w:rsidRPr="00BC20B1" w:rsidRDefault="00236DE2" w:rsidP="00236DE2">
      <w:pPr>
        <w:rPr>
          <w:rFonts w:cs="Arial"/>
        </w:rPr>
      </w:pPr>
    </w:p>
    <w:p w14:paraId="2BCF812E" w14:textId="77777777" w:rsidR="00236DE2" w:rsidRPr="00BC20B1" w:rsidRDefault="00236DE2" w:rsidP="00236DE2">
      <w:pPr>
        <w:rPr>
          <w:rFonts w:cs="Arial"/>
        </w:rPr>
      </w:pPr>
    </w:p>
    <w:tbl>
      <w:tblPr>
        <w:tblStyle w:val="TableGrid"/>
        <w:tblW w:w="0" w:type="auto"/>
        <w:jc w:val="center"/>
        <w:shd w:val="clear" w:color="auto" w:fill="E6E6E6"/>
        <w:tblLayout w:type="fixed"/>
        <w:tblCellMar>
          <w:top w:w="142" w:type="dxa"/>
          <w:left w:w="142" w:type="dxa"/>
          <w:bottom w:w="142" w:type="dxa"/>
          <w:right w:w="170" w:type="dxa"/>
        </w:tblCellMar>
        <w:tblLook w:val="01E0" w:firstRow="1" w:lastRow="1" w:firstColumn="1" w:lastColumn="1" w:noHBand="0" w:noVBand="0"/>
      </w:tblPr>
      <w:tblGrid>
        <w:gridCol w:w="7508"/>
      </w:tblGrid>
      <w:tr w:rsidR="00236DE2" w:rsidRPr="00BC20B1" w14:paraId="59972EE2" w14:textId="77777777" w:rsidTr="007603D1">
        <w:trPr>
          <w:cantSplit/>
          <w:jc w:val="center"/>
        </w:trPr>
        <w:tc>
          <w:tcPr>
            <w:tcW w:w="75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9B7E8D" w14:textId="77777777" w:rsidR="00236DE2" w:rsidRPr="00D017AD" w:rsidRDefault="00236DE2" w:rsidP="00CE3D52">
            <w:pPr>
              <w:jc w:val="center"/>
              <w:rPr>
                <w:rFonts w:cs="Arial"/>
                <w:u w:val="single"/>
              </w:rPr>
            </w:pPr>
            <w:r w:rsidRPr="00D017AD">
              <w:rPr>
                <w:rFonts w:cs="Arial"/>
                <w:u w:val="single"/>
              </w:rPr>
              <w:t>Note for Draft version</w:t>
            </w:r>
          </w:p>
          <w:p w14:paraId="3252D3F2" w14:textId="77777777" w:rsidR="00236DE2" w:rsidRPr="00D017AD" w:rsidRDefault="00236DE2" w:rsidP="00CE3D52">
            <w:pPr>
              <w:rPr>
                <w:rFonts w:cs="Arial"/>
                <w:u w:val="single"/>
              </w:rPr>
            </w:pPr>
          </w:p>
          <w:p w14:paraId="2027BE35" w14:textId="44D76FC7" w:rsidR="00236DE2" w:rsidRPr="00D017AD" w:rsidRDefault="00B33333" w:rsidP="00CE3D52">
            <w:pPr>
              <w:rPr>
                <w:rFonts w:cs="Arial"/>
              </w:rPr>
            </w:pPr>
            <w:r w:rsidRPr="004F74E9">
              <w:rPr>
                <w:rFonts w:cs="Arial"/>
                <w:highlight w:val="lightGray"/>
                <w:u w:val="single"/>
              </w:rPr>
              <w:t>Underlin</w:t>
            </w:r>
            <w:r w:rsidR="007603D1" w:rsidRPr="004F74E9">
              <w:rPr>
                <w:rFonts w:cs="Arial"/>
                <w:highlight w:val="lightGray"/>
                <w:u w:val="single"/>
              </w:rPr>
              <w:t>ing</w:t>
            </w:r>
            <w:r w:rsidRPr="00D017AD">
              <w:rPr>
                <w:rFonts w:cs="Arial"/>
              </w:rPr>
              <w:t xml:space="preserve"> (highlighted</w:t>
            </w:r>
            <w:r w:rsidR="006208E8" w:rsidRPr="00D017AD">
              <w:rPr>
                <w:rFonts w:cs="Arial"/>
              </w:rPr>
              <w:t xml:space="preserve"> in grey</w:t>
            </w:r>
            <w:r w:rsidRPr="00D017AD">
              <w:rPr>
                <w:rFonts w:cs="Arial"/>
              </w:rPr>
              <w:t xml:space="preserve">) </w:t>
            </w:r>
            <w:r w:rsidRPr="00D017AD">
              <w:rPr>
                <w:rFonts w:cs="Arial"/>
                <w:bCs/>
              </w:rPr>
              <w:t xml:space="preserve">indicates insertion and </w:t>
            </w:r>
            <w:r w:rsidRPr="004F74E9">
              <w:rPr>
                <w:rFonts w:cs="Arial"/>
                <w:strike/>
                <w:highlight w:val="lightGray"/>
              </w:rPr>
              <w:t>strikethrough</w:t>
            </w:r>
            <w:r w:rsidRPr="00D017AD">
              <w:rPr>
                <w:rFonts w:cs="Arial"/>
                <w:bCs/>
              </w:rPr>
              <w:t xml:space="preserve"> (highlighted</w:t>
            </w:r>
            <w:r w:rsidR="006208E8" w:rsidRPr="00D017AD">
              <w:rPr>
                <w:rFonts w:cs="Arial"/>
                <w:bCs/>
              </w:rPr>
              <w:t xml:space="preserve"> in grey</w:t>
            </w:r>
            <w:r w:rsidRPr="00D017AD">
              <w:rPr>
                <w:rFonts w:cs="Arial"/>
                <w:bCs/>
              </w:rPr>
              <w:t>) indicates deletion of text to the previous version</w:t>
            </w:r>
            <w:r w:rsidR="00236DE2" w:rsidRPr="00D017AD">
              <w:rPr>
                <w:rFonts w:cs="Arial"/>
                <w:bCs/>
              </w:rPr>
              <w:t xml:space="preserve"> (</w:t>
            </w:r>
            <w:hyperlink r:id="rId14" w:history="1">
              <w:r w:rsidR="00236DE2" w:rsidRPr="00D017AD">
                <w:rPr>
                  <w:rStyle w:val="Hyperlink"/>
                  <w:rFonts w:cs="Arial"/>
                </w:rPr>
                <w:t>document TGP/15/3</w:t>
              </w:r>
            </w:hyperlink>
            <w:r w:rsidR="00236DE2" w:rsidRPr="00D017AD">
              <w:rPr>
                <w:rFonts w:cs="Arial"/>
              </w:rPr>
              <w:t>)</w:t>
            </w:r>
            <w:r w:rsidR="009C29CF">
              <w:rPr>
                <w:rFonts w:cs="Arial"/>
              </w:rPr>
              <w:t>.</w:t>
            </w:r>
          </w:p>
          <w:p w14:paraId="5AE214F3" w14:textId="77777777" w:rsidR="006208E8" w:rsidRPr="00D017AD" w:rsidRDefault="006208E8" w:rsidP="00CE3D52">
            <w:pPr>
              <w:rPr>
                <w:rFonts w:cs="Arial"/>
              </w:rPr>
            </w:pPr>
          </w:p>
          <w:p w14:paraId="060D2398" w14:textId="6F5DF863" w:rsidR="006208E8" w:rsidRPr="00D017AD" w:rsidRDefault="006208E8" w:rsidP="00CE3D52">
            <w:pPr>
              <w:rPr>
                <w:rFonts w:cs="Arial"/>
                <w:bCs/>
              </w:rPr>
            </w:pPr>
            <w:r w:rsidRPr="00D017AD">
              <w:rPr>
                <w:rFonts w:cs="Arial"/>
                <w:color w:val="4F81BD" w:themeColor="accent1"/>
              </w:rPr>
              <w:t xml:space="preserve">Text in </w:t>
            </w:r>
            <w:r w:rsidR="00111C13" w:rsidRPr="00D017AD">
              <w:rPr>
                <w:rFonts w:cs="Arial"/>
                <w:color w:val="4F81BD" w:themeColor="accent1"/>
              </w:rPr>
              <w:t>blue</w:t>
            </w:r>
            <w:r w:rsidRPr="00D017AD">
              <w:rPr>
                <w:rFonts w:cs="Arial"/>
                <w:color w:val="4F81BD" w:themeColor="accent1"/>
              </w:rPr>
              <w:t xml:space="preserve"> </w:t>
            </w:r>
            <w:r w:rsidRPr="00D017AD">
              <w:rPr>
                <w:rFonts w:cs="Arial"/>
              </w:rPr>
              <w:t xml:space="preserve">indicates </w:t>
            </w:r>
            <w:r w:rsidR="00092A8A" w:rsidRPr="00D017AD">
              <w:rPr>
                <w:rFonts w:cs="Arial"/>
              </w:rPr>
              <w:t xml:space="preserve">the new </w:t>
            </w:r>
            <w:r w:rsidR="00111C13" w:rsidRPr="00D017AD">
              <w:rPr>
                <w:rFonts w:cs="Arial"/>
              </w:rPr>
              <w:t>position</w:t>
            </w:r>
            <w:r w:rsidR="00092A8A" w:rsidRPr="00D017AD">
              <w:rPr>
                <w:rFonts w:cs="Arial"/>
              </w:rPr>
              <w:t xml:space="preserve"> of </w:t>
            </w:r>
            <w:r w:rsidRPr="00D017AD">
              <w:rPr>
                <w:rFonts w:cs="Arial"/>
              </w:rPr>
              <w:t xml:space="preserve">existing text. </w:t>
            </w:r>
            <w:r w:rsidR="00092A8A" w:rsidRPr="00D608A0">
              <w:rPr>
                <w:rFonts w:cs="Arial"/>
                <w:bCs/>
                <w:strike/>
                <w:color w:val="4F81BD" w:themeColor="accent1"/>
              </w:rPr>
              <w:t>Strikethrough</w:t>
            </w:r>
            <w:r w:rsidR="00092A8A" w:rsidRPr="00D608A0">
              <w:rPr>
                <w:rFonts w:cs="Arial"/>
                <w:bCs/>
                <w:color w:val="4F81BD" w:themeColor="accent1"/>
              </w:rPr>
              <w:t xml:space="preserve"> </w:t>
            </w:r>
            <w:r w:rsidRPr="00D608A0">
              <w:rPr>
                <w:rFonts w:cs="Arial"/>
                <w:bCs/>
                <w:color w:val="4F81BD" w:themeColor="accent1"/>
              </w:rPr>
              <w:t>in blue</w:t>
            </w:r>
            <w:r w:rsidR="00D608A0" w:rsidRPr="00D608A0">
              <w:rPr>
                <w:rFonts w:cs="Arial"/>
                <w:bCs/>
                <w:color w:val="4F81BD" w:themeColor="accent1"/>
              </w:rPr>
              <w:t xml:space="preserve"> </w:t>
            </w:r>
            <w:r w:rsidRPr="00D017AD">
              <w:rPr>
                <w:rFonts w:cs="Arial"/>
                <w:bCs/>
              </w:rPr>
              <w:t xml:space="preserve">indicates the </w:t>
            </w:r>
            <w:r w:rsidR="00092A8A" w:rsidRPr="00D017AD">
              <w:rPr>
                <w:rFonts w:cs="Arial"/>
                <w:bCs/>
              </w:rPr>
              <w:t xml:space="preserve">former </w:t>
            </w:r>
            <w:r w:rsidR="00111C13" w:rsidRPr="00D017AD">
              <w:rPr>
                <w:rFonts w:cs="Arial"/>
                <w:bCs/>
              </w:rPr>
              <w:t>position</w:t>
            </w:r>
            <w:r w:rsidR="00092A8A" w:rsidRPr="00D017AD">
              <w:rPr>
                <w:rFonts w:cs="Arial"/>
                <w:bCs/>
              </w:rPr>
              <w:t xml:space="preserve"> of existing </w:t>
            </w:r>
            <w:r w:rsidRPr="00D017AD">
              <w:rPr>
                <w:rFonts w:cs="Arial"/>
                <w:bCs/>
              </w:rPr>
              <w:t>text</w:t>
            </w:r>
            <w:r w:rsidR="00111C13" w:rsidRPr="00D017AD">
              <w:rPr>
                <w:rFonts w:cs="Arial"/>
                <w:bCs/>
              </w:rPr>
              <w:t>.</w:t>
            </w:r>
          </w:p>
          <w:p w14:paraId="4BBE664B" w14:textId="77777777" w:rsidR="00B41A7D" w:rsidRPr="00D017AD" w:rsidRDefault="00B41A7D" w:rsidP="00CE3D52">
            <w:pPr>
              <w:rPr>
                <w:rFonts w:cs="Arial"/>
                <w:bCs/>
              </w:rPr>
            </w:pPr>
          </w:p>
          <w:p w14:paraId="63E250B3" w14:textId="5A9B2F41" w:rsidR="00B41A7D" w:rsidRPr="00175876" w:rsidRDefault="00D017AD" w:rsidP="00CE3D52">
            <w:pPr>
              <w:rPr>
                <w:rFonts w:cs="Arial"/>
                <w:bCs/>
              </w:rPr>
            </w:pPr>
            <w:r w:rsidRPr="00175876">
              <w:rPr>
                <w:rFonts w:cs="Arial"/>
                <w:bCs/>
                <w:highlight w:val="yellow"/>
              </w:rPr>
              <w:t xml:space="preserve">The </w:t>
            </w:r>
            <w:r w:rsidR="005B1550" w:rsidRPr="00175876">
              <w:rPr>
                <w:rFonts w:cs="Arial"/>
                <w:bCs/>
                <w:highlight w:val="yellow"/>
              </w:rPr>
              <w:t>new “</w:t>
            </w:r>
            <w:r w:rsidRPr="00175876">
              <w:rPr>
                <w:rFonts w:cs="Arial"/>
                <w:bCs/>
                <w:highlight w:val="yellow"/>
              </w:rPr>
              <w:t>Guidelines for the validation of a new characteristic-specific molecular marker protocol as an alternative method for observation</w:t>
            </w:r>
            <w:r w:rsidR="005B1550" w:rsidRPr="00175876">
              <w:rPr>
                <w:rFonts w:cs="Arial"/>
                <w:bCs/>
                <w:highlight w:val="yellow"/>
              </w:rPr>
              <w:t xml:space="preserve">” is </w:t>
            </w:r>
            <w:r w:rsidR="00EC7C65" w:rsidRPr="00175876">
              <w:rPr>
                <w:rFonts w:cs="Arial"/>
                <w:bCs/>
                <w:highlight w:val="yellow"/>
              </w:rPr>
              <w:t>presented as “Section</w:t>
            </w:r>
            <w:r w:rsidR="00C8017C" w:rsidRPr="00175876">
              <w:rPr>
                <w:rFonts w:cs="Arial"/>
                <w:bCs/>
                <w:highlight w:val="yellow"/>
              </w:rPr>
              <w:t> </w:t>
            </w:r>
            <w:r w:rsidR="00EC7C65" w:rsidRPr="00175876">
              <w:rPr>
                <w:rFonts w:cs="Arial"/>
                <w:bCs/>
                <w:highlight w:val="yellow"/>
              </w:rPr>
              <w:t>3” to this document.</w:t>
            </w:r>
          </w:p>
          <w:p w14:paraId="2E99B3E5" w14:textId="6574CA40" w:rsidR="00EC7C65" w:rsidRPr="00BC20B1" w:rsidRDefault="00EC7C65" w:rsidP="00CE3D52">
            <w:pPr>
              <w:rPr>
                <w:rFonts w:cs="Arial"/>
                <w:bCs/>
              </w:rPr>
            </w:pPr>
          </w:p>
        </w:tc>
      </w:tr>
    </w:tbl>
    <w:p w14:paraId="17EE7403" w14:textId="77777777" w:rsidR="00236DE2" w:rsidRPr="00BC20B1" w:rsidRDefault="00236DE2" w:rsidP="00236DE2">
      <w:pPr>
        <w:rPr>
          <w:rFonts w:cs="Arial"/>
        </w:rPr>
      </w:pPr>
    </w:p>
    <w:bookmarkEnd w:id="2"/>
    <w:bookmarkEnd w:id="3"/>
    <w:p w14:paraId="664336BC" w14:textId="77777777" w:rsidR="0031569D" w:rsidRPr="0031569D" w:rsidRDefault="0031569D" w:rsidP="0031569D"/>
    <w:p w14:paraId="3B97B392" w14:textId="77777777" w:rsidR="008922C9" w:rsidRPr="00784E02" w:rsidRDefault="008922C9" w:rsidP="00E306B7">
      <w:pPr>
        <w:pStyle w:val="Disclaimer"/>
        <w:spacing w:after="1200"/>
      </w:pPr>
      <w:r w:rsidRPr="00784E02">
        <w:br w:type="page"/>
      </w:r>
    </w:p>
    <w:p w14:paraId="0CA0520F" w14:textId="55C3C694" w:rsidR="00E306B7" w:rsidRPr="00781481" w:rsidRDefault="00E306B7" w:rsidP="00781481">
      <w:pPr>
        <w:jc w:val="center"/>
        <w:rPr>
          <w:rFonts w:cs="Arial"/>
          <w:u w:val="single"/>
        </w:rPr>
      </w:pPr>
      <w:r w:rsidRPr="00781481">
        <w:rPr>
          <w:u w:val="single"/>
        </w:rPr>
        <w:lastRenderedPageBreak/>
        <w:t>TABLE OF CONTENTS</w:t>
      </w:r>
    </w:p>
    <w:p w14:paraId="58E80E55" w14:textId="1E3D1939" w:rsidR="00267B7B" w:rsidRDefault="00E306B7">
      <w:pPr>
        <w:pStyle w:val="TOC1"/>
        <w:rPr>
          <w:rFonts w:asciiTheme="minorHAnsi" w:eastAsiaTheme="minorEastAsia" w:hAnsiTheme="minorHAnsi" w:cstheme="minorBidi"/>
          <w:caps w:val="0"/>
          <w:kern w:val="2"/>
          <w:sz w:val="24"/>
          <w:szCs w:val="24"/>
          <w:lang w:val="en-GB" w:eastAsia="zh-CN"/>
          <w14:ligatures w14:val="standardContextual"/>
        </w:rPr>
      </w:pPr>
      <w:r w:rsidRPr="00A25E6C">
        <w:rPr>
          <w:b/>
          <w:sz w:val="18"/>
        </w:rPr>
        <w:fldChar w:fldCharType="begin"/>
      </w:r>
      <w:r w:rsidRPr="00A25E6C">
        <w:instrText xml:space="preserve"> TOC \o "1-3" </w:instrText>
      </w:r>
      <w:r w:rsidRPr="00A25E6C">
        <w:rPr>
          <w:b/>
          <w:sz w:val="18"/>
        </w:rPr>
        <w:fldChar w:fldCharType="separate"/>
      </w:r>
      <w:r w:rsidR="00267B7B">
        <w:t>1.</w:t>
      </w:r>
      <w:r w:rsidR="00267B7B">
        <w:rPr>
          <w:rFonts w:asciiTheme="minorHAnsi" w:eastAsiaTheme="minorEastAsia" w:hAnsiTheme="minorHAnsi" w:cstheme="minorBidi"/>
          <w:caps w:val="0"/>
          <w:kern w:val="2"/>
          <w:sz w:val="24"/>
          <w:szCs w:val="24"/>
          <w:lang w:val="en-GB" w:eastAsia="zh-CN"/>
          <w14:ligatures w14:val="standardContextual"/>
        </w:rPr>
        <w:tab/>
      </w:r>
      <w:r w:rsidR="00267B7B">
        <w:t>INTRODUCTION</w:t>
      </w:r>
      <w:r w:rsidR="00267B7B">
        <w:tab/>
      </w:r>
      <w:r w:rsidR="00267B7B">
        <w:fldChar w:fldCharType="begin"/>
      </w:r>
      <w:r w:rsidR="00267B7B">
        <w:instrText xml:space="preserve"> PAGEREF _Toc240538629 \h </w:instrText>
      </w:r>
      <w:r w:rsidR="00267B7B">
        <w:fldChar w:fldCharType="separate"/>
      </w:r>
      <w:r w:rsidR="00267B7B">
        <w:t>3</w:t>
      </w:r>
      <w:r w:rsidR="00267B7B">
        <w:fldChar w:fldCharType="end"/>
      </w:r>
    </w:p>
    <w:p w14:paraId="597AC944" w14:textId="1AAC1565" w:rsidR="00267B7B" w:rsidRDefault="00267B7B">
      <w:pPr>
        <w:pStyle w:val="TOC1"/>
        <w:rPr>
          <w:rFonts w:asciiTheme="minorHAnsi" w:eastAsiaTheme="minorEastAsia" w:hAnsiTheme="minorHAnsi" w:cstheme="minorBidi"/>
          <w:caps w:val="0"/>
          <w:kern w:val="2"/>
          <w:sz w:val="24"/>
          <w:szCs w:val="24"/>
          <w:lang w:val="en-GB" w:eastAsia="zh-CN"/>
          <w14:ligatures w14:val="standardContextual"/>
        </w:rPr>
      </w:pPr>
      <w:r w:rsidRPr="004740BD">
        <w:t>2.</w:t>
      </w:r>
      <w:r>
        <w:rPr>
          <w:rFonts w:asciiTheme="minorHAnsi" w:eastAsiaTheme="minorEastAsia" w:hAnsiTheme="minorHAnsi" w:cstheme="minorBidi"/>
          <w:caps w:val="0"/>
          <w:kern w:val="2"/>
          <w:sz w:val="24"/>
          <w:szCs w:val="24"/>
          <w:lang w:val="en-GB" w:eastAsia="zh-CN"/>
          <w14:ligatures w14:val="standardContextual"/>
        </w:rPr>
        <w:tab/>
      </w:r>
      <w:r>
        <w:t>APPLICATION MODELS</w:t>
      </w:r>
      <w:r>
        <w:tab/>
      </w:r>
      <w:r>
        <w:fldChar w:fldCharType="begin"/>
      </w:r>
      <w:r>
        <w:instrText xml:space="preserve"> PAGEREF _Toc240538630 \h </w:instrText>
      </w:r>
      <w:r>
        <w:fldChar w:fldCharType="separate"/>
      </w:r>
      <w:r>
        <w:t>3</w:t>
      </w:r>
      <w:r>
        <w:fldChar w:fldCharType="end"/>
      </w:r>
    </w:p>
    <w:p w14:paraId="56880F3E" w14:textId="3DF05A07" w:rsidR="00267B7B" w:rsidRDefault="00267B7B">
      <w:pPr>
        <w:pStyle w:val="TOC2"/>
        <w:rPr>
          <w:rFonts w:asciiTheme="minorHAnsi" w:eastAsiaTheme="minorEastAsia" w:hAnsiTheme="minorHAnsi" w:cstheme="minorBidi"/>
          <w:kern w:val="2"/>
          <w:sz w:val="24"/>
          <w:lang w:eastAsia="zh-CN"/>
          <w14:ligatures w14:val="standardContextual"/>
        </w:rPr>
      </w:pPr>
      <w:r>
        <w:t>2.1</w:t>
      </w:r>
      <w:r>
        <w:rPr>
          <w:rFonts w:asciiTheme="minorHAnsi" w:eastAsiaTheme="minorEastAsia" w:hAnsiTheme="minorHAnsi" w:cstheme="minorBidi"/>
          <w:kern w:val="2"/>
          <w:sz w:val="24"/>
          <w:lang w:eastAsia="zh-CN"/>
          <w14:ligatures w14:val="standardContextual"/>
        </w:rPr>
        <w:tab/>
      </w:r>
      <w:r>
        <w:t xml:space="preserve">Characteristic-Specific Molecular Markers </w:t>
      </w:r>
      <w:r w:rsidRPr="004740BD">
        <w:rPr>
          <w:strike/>
          <w:highlight w:val="lightGray"/>
        </w:rPr>
        <w:t>(see Annex I)</w:t>
      </w:r>
      <w:r>
        <w:tab/>
      </w:r>
      <w:r>
        <w:fldChar w:fldCharType="begin"/>
      </w:r>
      <w:r>
        <w:instrText xml:space="preserve"> PAGEREF _Toc240538631 \h </w:instrText>
      </w:r>
      <w:r>
        <w:fldChar w:fldCharType="separate"/>
      </w:r>
      <w:r>
        <w:t>3</w:t>
      </w:r>
      <w:r>
        <w:fldChar w:fldCharType="end"/>
      </w:r>
    </w:p>
    <w:p w14:paraId="3CBD99B0" w14:textId="36417E22" w:rsidR="00267B7B" w:rsidRDefault="00267B7B">
      <w:pPr>
        <w:pStyle w:val="TOC3"/>
        <w:rPr>
          <w:rFonts w:asciiTheme="minorHAnsi" w:eastAsiaTheme="minorEastAsia" w:hAnsiTheme="minorHAnsi" w:cstheme="minorBidi"/>
          <w:i w:val="0"/>
          <w:kern w:val="2"/>
          <w:sz w:val="24"/>
          <w:szCs w:val="24"/>
          <w:lang w:val="en-GB" w:eastAsia="zh-CN"/>
          <w14:ligatures w14:val="standardContextual"/>
        </w:rPr>
      </w:pPr>
      <w:r w:rsidRPr="004740BD">
        <w:rPr>
          <w:color w:val="4F81BD" w:themeColor="accent1"/>
        </w:rPr>
        <w:t>Example 1:  Gene Specific Marker for Herbicide Tolerance</w:t>
      </w:r>
      <w:r>
        <w:tab/>
      </w:r>
      <w:r>
        <w:fldChar w:fldCharType="begin"/>
      </w:r>
      <w:r>
        <w:instrText xml:space="preserve"> PAGEREF _Toc240538632 \h </w:instrText>
      </w:r>
      <w:r>
        <w:fldChar w:fldCharType="separate"/>
      </w:r>
      <w:r>
        <w:t>4</w:t>
      </w:r>
      <w:r>
        <w:fldChar w:fldCharType="end"/>
      </w:r>
    </w:p>
    <w:p w14:paraId="50BDB872" w14:textId="0DAF7BBB" w:rsidR="00267B7B" w:rsidRDefault="00267B7B">
      <w:pPr>
        <w:pStyle w:val="TOC3"/>
        <w:rPr>
          <w:rFonts w:asciiTheme="minorHAnsi" w:eastAsiaTheme="minorEastAsia" w:hAnsiTheme="minorHAnsi" w:cstheme="minorBidi"/>
          <w:i w:val="0"/>
          <w:kern w:val="2"/>
          <w:sz w:val="24"/>
          <w:szCs w:val="24"/>
          <w:lang w:val="en-GB" w:eastAsia="zh-CN"/>
          <w14:ligatures w14:val="standardContextual"/>
        </w:rPr>
      </w:pPr>
      <w:r w:rsidRPr="004740BD">
        <w:rPr>
          <w:color w:val="4F81BD" w:themeColor="accent1"/>
        </w:rPr>
        <w:t>Example 2:  Gene Specific Marker with Incomplete Information on State of Expression for Disease Resistance in Tomato</w:t>
      </w:r>
      <w:r>
        <w:tab/>
      </w:r>
      <w:r>
        <w:fldChar w:fldCharType="begin"/>
      </w:r>
      <w:r>
        <w:instrText xml:space="preserve"> PAGEREF _Toc240538633 \h </w:instrText>
      </w:r>
      <w:r>
        <w:fldChar w:fldCharType="separate"/>
      </w:r>
      <w:r>
        <w:t>5</w:t>
      </w:r>
      <w:r>
        <w:fldChar w:fldCharType="end"/>
      </w:r>
    </w:p>
    <w:p w14:paraId="1959E082" w14:textId="14C68366" w:rsidR="00267B7B" w:rsidRDefault="00267B7B">
      <w:pPr>
        <w:pStyle w:val="TOC2"/>
        <w:rPr>
          <w:rFonts w:asciiTheme="minorHAnsi" w:eastAsiaTheme="minorEastAsia" w:hAnsiTheme="minorHAnsi" w:cstheme="minorBidi"/>
          <w:kern w:val="2"/>
          <w:sz w:val="24"/>
          <w:lang w:eastAsia="zh-CN"/>
          <w14:ligatures w14:val="standardContextual"/>
        </w:rPr>
      </w:pPr>
      <w:r>
        <w:t>2.2</w:t>
      </w:r>
      <w:r>
        <w:rPr>
          <w:rFonts w:asciiTheme="minorHAnsi" w:eastAsiaTheme="minorEastAsia" w:hAnsiTheme="minorHAnsi" w:cstheme="minorBidi"/>
          <w:kern w:val="2"/>
          <w:sz w:val="24"/>
          <w:lang w:eastAsia="zh-CN"/>
          <w14:ligatures w14:val="standardContextual"/>
        </w:rPr>
        <w:tab/>
      </w:r>
      <w:r>
        <w:t xml:space="preserve">Combining Phenotypic and Molecular Distances in the Management of Variety Collections </w:t>
      </w:r>
      <w:r w:rsidRPr="004740BD">
        <w:rPr>
          <w:strike/>
          <w:highlight w:val="lightGray"/>
        </w:rPr>
        <w:t>(see Annex</w:t>
      </w:r>
      <w:r w:rsidRPr="004740BD">
        <w:rPr>
          <w:bCs/>
          <w:strike/>
          <w:highlight w:val="lightGray"/>
        </w:rPr>
        <w:t> II</w:t>
      </w:r>
      <w:r w:rsidRPr="004740BD">
        <w:rPr>
          <w:strike/>
          <w:highlight w:val="lightGray"/>
        </w:rPr>
        <w:t>)</w:t>
      </w:r>
      <w:r>
        <w:tab/>
      </w:r>
      <w:r>
        <w:fldChar w:fldCharType="begin"/>
      </w:r>
      <w:r>
        <w:instrText xml:space="preserve"> PAGEREF _Toc240538634 \h </w:instrText>
      </w:r>
      <w:r>
        <w:fldChar w:fldCharType="separate"/>
      </w:r>
      <w:r>
        <w:t>5</w:t>
      </w:r>
      <w:r>
        <w:fldChar w:fldCharType="end"/>
      </w:r>
    </w:p>
    <w:p w14:paraId="28068EB4" w14:textId="38D1685C" w:rsidR="00267B7B" w:rsidRDefault="00267B7B">
      <w:pPr>
        <w:pStyle w:val="TOC3"/>
        <w:rPr>
          <w:rFonts w:asciiTheme="minorHAnsi" w:eastAsiaTheme="minorEastAsia" w:hAnsiTheme="minorHAnsi" w:cstheme="minorBidi"/>
          <w:i w:val="0"/>
          <w:kern w:val="2"/>
          <w:sz w:val="24"/>
          <w:szCs w:val="24"/>
          <w:lang w:val="en-GB" w:eastAsia="zh-CN"/>
          <w14:ligatures w14:val="standardContextual"/>
        </w:rPr>
      </w:pPr>
      <w:r>
        <w:t>Example 1:  Parent lines in Maize</w:t>
      </w:r>
      <w:r w:rsidRPr="004740BD">
        <w:rPr>
          <w:strike/>
        </w:rPr>
        <w:t xml:space="preserve"> </w:t>
      </w:r>
      <w:r w:rsidRPr="004740BD">
        <w:rPr>
          <w:strike/>
          <w:highlight w:val="lightGray"/>
        </w:rPr>
        <w:t>(see Annex II, example 1)</w:t>
      </w:r>
      <w:r>
        <w:tab/>
      </w:r>
      <w:r>
        <w:fldChar w:fldCharType="begin"/>
      </w:r>
      <w:r>
        <w:instrText xml:space="preserve"> PAGEREF _Toc240538635 \h </w:instrText>
      </w:r>
      <w:r>
        <w:fldChar w:fldCharType="separate"/>
      </w:r>
      <w:r>
        <w:t>5</w:t>
      </w:r>
      <w:r>
        <w:fldChar w:fldCharType="end"/>
      </w:r>
    </w:p>
    <w:p w14:paraId="1E9D6111" w14:textId="37B84909" w:rsidR="00267B7B" w:rsidRDefault="00267B7B">
      <w:pPr>
        <w:pStyle w:val="TOC3"/>
        <w:rPr>
          <w:rFonts w:asciiTheme="minorHAnsi" w:eastAsiaTheme="minorEastAsia" w:hAnsiTheme="minorHAnsi" w:cstheme="minorBidi"/>
          <w:i w:val="0"/>
          <w:kern w:val="2"/>
          <w:sz w:val="24"/>
          <w:szCs w:val="24"/>
          <w:lang w:val="en-GB" w:eastAsia="zh-CN"/>
          <w14:ligatures w14:val="standardContextual"/>
        </w:rPr>
      </w:pPr>
      <w:r>
        <w:t>Example 2:  Genetic Selection of Similar Varieties for the First Growing Cycle</w:t>
      </w:r>
      <w:r w:rsidRPr="004740BD">
        <w:rPr>
          <w:strike/>
        </w:rPr>
        <w:t xml:space="preserve"> </w:t>
      </w:r>
      <w:r w:rsidRPr="004740BD">
        <w:rPr>
          <w:strike/>
          <w:highlight w:val="lightGray"/>
        </w:rPr>
        <w:t>(see Annex II, example 2)</w:t>
      </w:r>
      <w:r>
        <w:tab/>
      </w:r>
      <w:r>
        <w:fldChar w:fldCharType="begin"/>
      </w:r>
      <w:r>
        <w:instrText xml:space="preserve"> PAGEREF _Toc240538636 \h </w:instrText>
      </w:r>
      <w:r>
        <w:fldChar w:fldCharType="separate"/>
      </w:r>
      <w:r>
        <w:t>9</w:t>
      </w:r>
      <w:r>
        <w:fldChar w:fldCharType="end"/>
      </w:r>
    </w:p>
    <w:p w14:paraId="16A17C34" w14:textId="4FB53818" w:rsidR="00267B7B" w:rsidRDefault="00267B7B">
      <w:pPr>
        <w:pStyle w:val="TOC1"/>
        <w:rPr>
          <w:rFonts w:asciiTheme="minorHAnsi" w:eastAsiaTheme="minorEastAsia" w:hAnsiTheme="minorHAnsi" w:cstheme="minorBidi"/>
          <w:caps w:val="0"/>
          <w:kern w:val="2"/>
          <w:sz w:val="24"/>
          <w:szCs w:val="24"/>
          <w:lang w:val="en-GB" w:eastAsia="zh-CN"/>
          <w14:ligatures w14:val="standardContextual"/>
        </w:rPr>
      </w:pPr>
      <w:r w:rsidRPr="004740BD">
        <w:rPr>
          <w:highlight w:val="yellow"/>
        </w:rPr>
        <w:t>3.</w:t>
      </w:r>
      <w:r>
        <w:rPr>
          <w:rFonts w:asciiTheme="minorHAnsi" w:eastAsiaTheme="minorEastAsia" w:hAnsiTheme="minorHAnsi" w:cstheme="minorBidi"/>
          <w:caps w:val="0"/>
          <w:kern w:val="2"/>
          <w:sz w:val="24"/>
          <w:szCs w:val="24"/>
          <w:lang w:val="en-GB" w:eastAsia="zh-CN"/>
          <w14:ligatures w14:val="standardContextual"/>
        </w:rPr>
        <w:tab/>
      </w:r>
      <w:r w:rsidRPr="004740BD">
        <w:rPr>
          <w:highlight w:val="yellow"/>
        </w:rPr>
        <w:t>GUIDELINES FOR THE VALIDATION OF A NEW CHARACTERISTIC-SPECIFIC MOLECULAR MARKER PROTOCOL AS AN ALTERNATIVE METHOD FOR OBSERVATION</w:t>
      </w:r>
      <w:r>
        <w:tab/>
      </w:r>
      <w:r>
        <w:fldChar w:fldCharType="begin"/>
      </w:r>
      <w:r>
        <w:instrText xml:space="preserve"> PAGEREF _Toc240538637 \h </w:instrText>
      </w:r>
      <w:r>
        <w:fldChar w:fldCharType="separate"/>
      </w:r>
      <w:r>
        <w:t>11</w:t>
      </w:r>
      <w:r>
        <w:fldChar w:fldCharType="end"/>
      </w:r>
    </w:p>
    <w:p w14:paraId="4C26A51E" w14:textId="07EDCA08" w:rsidR="00267B7B" w:rsidRDefault="00267B7B">
      <w:pPr>
        <w:pStyle w:val="TOC2"/>
        <w:rPr>
          <w:rFonts w:asciiTheme="minorHAnsi" w:eastAsiaTheme="minorEastAsia" w:hAnsiTheme="minorHAnsi" w:cstheme="minorBidi"/>
          <w:kern w:val="2"/>
          <w:sz w:val="24"/>
          <w:lang w:eastAsia="zh-CN"/>
          <w14:ligatures w14:val="standardContextual"/>
        </w:rPr>
      </w:pPr>
      <w:r>
        <w:t>3.1</w:t>
      </w:r>
      <w:r>
        <w:rPr>
          <w:rFonts w:asciiTheme="minorHAnsi" w:eastAsiaTheme="minorEastAsia" w:hAnsiTheme="minorHAnsi" w:cstheme="minorBidi"/>
          <w:kern w:val="2"/>
          <w:sz w:val="24"/>
          <w:lang w:eastAsia="zh-CN"/>
          <w14:ligatures w14:val="standardContextual"/>
        </w:rPr>
        <w:tab/>
      </w:r>
      <w:r>
        <w:t>Objectives of these guidelines</w:t>
      </w:r>
      <w:r>
        <w:tab/>
      </w:r>
      <w:r>
        <w:fldChar w:fldCharType="begin"/>
      </w:r>
      <w:r>
        <w:instrText xml:space="preserve"> PAGEREF _Toc240538638 \h </w:instrText>
      </w:r>
      <w:r>
        <w:fldChar w:fldCharType="separate"/>
      </w:r>
      <w:r>
        <w:t>11</w:t>
      </w:r>
      <w:r>
        <w:fldChar w:fldCharType="end"/>
      </w:r>
    </w:p>
    <w:p w14:paraId="01993BA8" w14:textId="7CF96B15" w:rsidR="00267B7B" w:rsidRDefault="00267B7B">
      <w:pPr>
        <w:pStyle w:val="TOC2"/>
        <w:rPr>
          <w:rFonts w:asciiTheme="minorHAnsi" w:eastAsiaTheme="minorEastAsia" w:hAnsiTheme="minorHAnsi" w:cstheme="minorBidi"/>
          <w:kern w:val="2"/>
          <w:sz w:val="24"/>
          <w:lang w:eastAsia="zh-CN"/>
          <w14:ligatures w14:val="standardContextual"/>
        </w:rPr>
      </w:pPr>
      <w:r>
        <w:t>3.2</w:t>
      </w:r>
      <w:r>
        <w:rPr>
          <w:rFonts w:asciiTheme="minorHAnsi" w:eastAsiaTheme="minorEastAsia" w:hAnsiTheme="minorHAnsi" w:cstheme="minorBidi"/>
          <w:kern w:val="2"/>
          <w:sz w:val="24"/>
          <w:lang w:eastAsia="zh-CN"/>
          <w14:ligatures w14:val="standardContextual"/>
        </w:rPr>
        <w:tab/>
      </w:r>
      <w:r>
        <w:t>Scope of these guidelines</w:t>
      </w:r>
      <w:r>
        <w:tab/>
      </w:r>
      <w:r>
        <w:fldChar w:fldCharType="begin"/>
      </w:r>
      <w:r>
        <w:instrText xml:space="preserve"> PAGEREF _Toc240538639 \h </w:instrText>
      </w:r>
      <w:r>
        <w:fldChar w:fldCharType="separate"/>
      </w:r>
      <w:r>
        <w:t>11</w:t>
      </w:r>
      <w:r>
        <w:fldChar w:fldCharType="end"/>
      </w:r>
    </w:p>
    <w:p w14:paraId="6E9241A5" w14:textId="6B70D2C0" w:rsidR="00267B7B" w:rsidRDefault="00267B7B">
      <w:pPr>
        <w:pStyle w:val="TOC2"/>
        <w:rPr>
          <w:rFonts w:asciiTheme="minorHAnsi" w:eastAsiaTheme="minorEastAsia" w:hAnsiTheme="minorHAnsi" w:cstheme="minorBidi"/>
          <w:kern w:val="2"/>
          <w:sz w:val="24"/>
          <w:lang w:eastAsia="zh-CN"/>
          <w14:ligatures w14:val="standardContextual"/>
        </w:rPr>
      </w:pPr>
      <w:r>
        <w:t>3.3</w:t>
      </w:r>
      <w:r>
        <w:rPr>
          <w:rFonts w:asciiTheme="minorHAnsi" w:eastAsiaTheme="minorEastAsia" w:hAnsiTheme="minorHAnsi" w:cstheme="minorBidi"/>
          <w:kern w:val="2"/>
          <w:sz w:val="24"/>
          <w:lang w:eastAsia="zh-CN"/>
          <w14:ligatures w14:val="standardContextual"/>
        </w:rPr>
        <w:tab/>
      </w:r>
      <w:r>
        <w:t>Performance criteria for a new molecular marker based protocol</w:t>
      </w:r>
      <w:r>
        <w:tab/>
      </w:r>
      <w:r>
        <w:fldChar w:fldCharType="begin"/>
      </w:r>
      <w:r>
        <w:instrText xml:space="preserve"> PAGEREF _Toc240538640 \h </w:instrText>
      </w:r>
      <w:r>
        <w:fldChar w:fldCharType="separate"/>
      </w:r>
      <w:r>
        <w:t>11</w:t>
      </w:r>
      <w:r>
        <w:fldChar w:fldCharType="end"/>
      </w:r>
    </w:p>
    <w:p w14:paraId="7BED37D2" w14:textId="7C0DB114" w:rsidR="00267B7B" w:rsidRDefault="00267B7B">
      <w:pPr>
        <w:pStyle w:val="TOC3"/>
        <w:rPr>
          <w:rFonts w:asciiTheme="minorHAnsi" w:eastAsiaTheme="minorEastAsia" w:hAnsiTheme="minorHAnsi" w:cstheme="minorBidi"/>
          <w:i w:val="0"/>
          <w:kern w:val="2"/>
          <w:sz w:val="24"/>
          <w:szCs w:val="24"/>
          <w:lang w:val="en-GB" w:eastAsia="zh-CN"/>
          <w14:ligatures w14:val="standardContextual"/>
        </w:rPr>
      </w:pPr>
      <w:r>
        <w:t>Specificity</w:t>
      </w:r>
      <w:r>
        <w:tab/>
      </w:r>
      <w:r>
        <w:fldChar w:fldCharType="begin"/>
      </w:r>
      <w:r>
        <w:instrText xml:space="preserve"> PAGEREF _Toc240538641 \h </w:instrText>
      </w:r>
      <w:r>
        <w:fldChar w:fldCharType="separate"/>
      </w:r>
      <w:r>
        <w:t>11</w:t>
      </w:r>
      <w:r>
        <w:fldChar w:fldCharType="end"/>
      </w:r>
    </w:p>
    <w:p w14:paraId="568379C9" w14:textId="607A91D2" w:rsidR="00267B7B" w:rsidRDefault="00267B7B">
      <w:pPr>
        <w:pStyle w:val="TOC3"/>
        <w:rPr>
          <w:rFonts w:asciiTheme="minorHAnsi" w:eastAsiaTheme="minorEastAsia" w:hAnsiTheme="minorHAnsi" w:cstheme="minorBidi"/>
          <w:i w:val="0"/>
          <w:kern w:val="2"/>
          <w:sz w:val="24"/>
          <w:szCs w:val="24"/>
          <w:lang w:val="en-GB" w:eastAsia="zh-CN"/>
          <w14:ligatures w14:val="standardContextual"/>
        </w:rPr>
      </w:pPr>
      <w:r>
        <w:t>Sensitivity and limit of detection</w:t>
      </w:r>
      <w:r>
        <w:tab/>
      </w:r>
      <w:r>
        <w:fldChar w:fldCharType="begin"/>
      </w:r>
      <w:r>
        <w:instrText xml:space="preserve"> PAGEREF _Toc240538642 \h </w:instrText>
      </w:r>
      <w:r>
        <w:fldChar w:fldCharType="separate"/>
      </w:r>
      <w:r>
        <w:t>11</w:t>
      </w:r>
      <w:r>
        <w:fldChar w:fldCharType="end"/>
      </w:r>
    </w:p>
    <w:p w14:paraId="0CE3EFA9" w14:textId="7C8BF08B" w:rsidR="00267B7B" w:rsidRDefault="00267B7B">
      <w:pPr>
        <w:pStyle w:val="TOC3"/>
        <w:rPr>
          <w:rFonts w:asciiTheme="minorHAnsi" w:eastAsiaTheme="minorEastAsia" w:hAnsiTheme="minorHAnsi" w:cstheme="minorBidi"/>
          <w:i w:val="0"/>
          <w:kern w:val="2"/>
          <w:sz w:val="24"/>
          <w:szCs w:val="24"/>
          <w:lang w:val="en-GB" w:eastAsia="zh-CN"/>
          <w14:ligatures w14:val="standardContextual"/>
        </w:rPr>
      </w:pPr>
      <w:r>
        <w:t>Repeatability</w:t>
      </w:r>
      <w:r>
        <w:tab/>
      </w:r>
      <w:r>
        <w:fldChar w:fldCharType="begin"/>
      </w:r>
      <w:r>
        <w:instrText xml:space="preserve"> PAGEREF _Toc240538643 \h </w:instrText>
      </w:r>
      <w:r>
        <w:fldChar w:fldCharType="separate"/>
      </w:r>
      <w:r>
        <w:t>12</w:t>
      </w:r>
      <w:r>
        <w:fldChar w:fldCharType="end"/>
      </w:r>
    </w:p>
    <w:p w14:paraId="1F6DDF7E" w14:textId="23C891EB" w:rsidR="00267B7B" w:rsidRDefault="00267B7B">
      <w:pPr>
        <w:pStyle w:val="TOC3"/>
        <w:rPr>
          <w:rFonts w:asciiTheme="minorHAnsi" w:eastAsiaTheme="minorEastAsia" w:hAnsiTheme="minorHAnsi" w:cstheme="minorBidi"/>
          <w:i w:val="0"/>
          <w:kern w:val="2"/>
          <w:sz w:val="24"/>
          <w:szCs w:val="24"/>
          <w:lang w:val="en-GB" w:eastAsia="zh-CN"/>
          <w14:ligatures w14:val="standardContextual"/>
        </w:rPr>
      </w:pPr>
      <w:r>
        <w:t>Reproducibility</w:t>
      </w:r>
      <w:r>
        <w:tab/>
      </w:r>
      <w:r>
        <w:fldChar w:fldCharType="begin"/>
      </w:r>
      <w:r>
        <w:instrText xml:space="preserve"> PAGEREF _Toc240538644 \h </w:instrText>
      </w:r>
      <w:r>
        <w:fldChar w:fldCharType="separate"/>
      </w:r>
      <w:r>
        <w:t>12</w:t>
      </w:r>
      <w:r>
        <w:fldChar w:fldCharType="end"/>
      </w:r>
    </w:p>
    <w:p w14:paraId="5523A7FC" w14:textId="7839138E" w:rsidR="00267B7B" w:rsidRDefault="00267B7B">
      <w:pPr>
        <w:pStyle w:val="TOC3"/>
        <w:rPr>
          <w:rFonts w:asciiTheme="minorHAnsi" w:eastAsiaTheme="minorEastAsia" w:hAnsiTheme="minorHAnsi" w:cstheme="minorBidi"/>
          <w:i w:val="0"/>
          <w:kern w:val="2"/>
          <w:sz w:val="24"/>
          <w:szCs w:val="24"/>
          <w:lang w:val="en-GB" w:eastAsia="zh-CN"/>
          <w14:ligatures w14:val="standardContextual"/>
        </w:rPr>
      </w:pPr>
      <w:r>
        <w:t>Robustness</w:t>
      </w:r>
      <w:r>
        <w:tab/>
      </w:r>
      <w:r>
        <w:fldChar w:fldCharType="begin"/>
      </w:r>
      <w:r>
        <w:instrText xml:space="preserve"> PAGEREF _Toc240538645 \h </w:instrText>
      </w:r>
      <w:r>
        <w:fldChar w:fldCharType="separate"/>
      </w:r>
      <w:r>
        <w:t>13</w:t>
      </w:r>
      <w:r>
        <w:fldChar w:fldCharType="end"/>
      </w:r>
    </w:p>
    <w:p w14:paraId="53F045C3" w14:textId="3F50CBF7" w:rsidR="00267B7B" w:rsidRDefault="00267B7B">
      <w:pPr>
        <w:pStyle w:val="TOC2"/>
        <w:rPr>
          <w:rFonts w:asciiTheme="minorHAnsi" w:eastAsiaTheme="minorEastAsia" w:hAnsiTheme="minorHAnsi" w:cstheme="minorBidi"/>
          <w:kern w:val="2"/>
          <w:sz w:val="24"/>
          <w:lang w:eastAsia="zh-CN"/>
          <w14:ligatures w14:val="standardContextual"/>
        </w:rPr>
      </w:pPr>
      <w:r>
        <w:t>3.4</w:t>
      </w:r>
      <w:r>
        <w:rPr>
          <w:rFonts w:asciiTheme="minorHAnsi" w:eastAsiaTheme="minorEastAsia" w:hAnsiTheme="minorHAnsi" w:cstheme="minorBidi"/>
          <w:kern w:val="2"/>
          <w:sz w:val="24"/>
          <w:lang w:eastAsia="zh-CN"/>
          <w14:ligatures w14:val="standardContextual"/>
        </w:rPr>
        <w:tab/>
      </w:r>
      <w:r>
        <w:t>Validation report</w:t>
      </w:r>
      <w:r>
        <w:tab/>
      </w:r>
      <w:r>
        <w:fldChar w:fldCharType="begin"/>
      </w:r>
      <w:r>
        <w:instrText xml:space="preserve"> PAGEREF _Toc240538646 \h </w:instrText>
      </w:r>
      <w:r>
        <w:fldChar w:fldCharType="separate"/>
      </w:r>
      <w:r>
        <w:t>13</w:t>
      </w:r>
      <w:r>
        <w:fldChar w:fldCharType="end"/>
      </w:r>
    </w:p>
    <w:p w14:paraId="43B1342A" w14:textId="326B1516" w:rsidR="00267B7B" w:rsidRDefault="00267B7B">
      <w:pPr>
        <w:pStyle w:val="TOC3"/>
        <w:rPr>
          <w:rFonts w:asciiTheme="minorHAnsi" w:eastAsiaTheme="minorEastAsia" w:hAnsiTheme="minorHAnsi" w:cstheme="minorBidi"/>
          <w:i w:val="0"/>
          <w:kern w:val="2"/>
          <w:sz w:val="24"/>
          <w:szCs w:val="24"/>
          <w:lang w:val="en-GB" w:eastAsia="zh-CN"/>
          <w14:ligatures w14:val="standardContextual"/>
        </w:rPr>
      </w:pPr>
      <w:r>
        <w:t>Content of the validation report</w:t>
      </w:r>
      <w:r>
        <w:tab/>
      </w:r>
      <w:r>
        <w:fldChar w:fldCharType="begin"/>
      </w:r>
      <w:r>
        <w:instrText xml:space="preserve"> PAGEREF _Toc240538647 \h </w:instrText>
      </w:r>
      <w:r>
        <w:fldChar w:fldCharType="separate"/>
      </w:r>
      <w:r>
        <w:t>13</w:t>
      </w:r>
      <w:r>
        <w:fldChar w:fldCharType="end"/>
      </w:r>
    </w:p>
    <w:p w14:paraId="002AFF6F" w14:textId="22A72760" w:rsidR="00267B7B" w:rsidRDefault="00267B7B">
      <w:pPr>
        <w:pStyle w:val="TOC3"/>
        <w:rPr>
          <w:rFonts w:asciiTheme="minorHAnsi" w:eastAsiaTheme="minorEastAsia" w:hAnsiTheme="minorHAnsi" w:cstheme="minorBidi"/>
          <w:i w:val="0"/>
          <w:kern w:val="2"/>
          <w:sz w:val="24"/>
          <w:szCs w:val="24"/>
          <w:lang w:val="en-GB" w:eastAsia="zh-CN"/>
          <w14:ligatures w14:val="standardContextual"/>
        </w:rPr>
      </w:pPr>
      <w:r>
        <w:t>Publicity</w:t>
      </w:r>
      <w:r>
        <w:tab/>
      </w:r>
      <w:r>
        <w:fldChar w:fldCharType="begin"/>
      </w:r>
      <w:r>
        <w:instrText xml:space="preserve"> PAGEREF _Toc240538648 \h </w:instrText>
      </w:r>
      <w:r>
        <w:fldChar w:fldCharType="separate"/>
      </w:r>
      <w:r>
        <w:t>13</w:t>
      </w:r>
      <w:r>
        <w:fldChar w:fldCharType="end"/>
      </w:r>
    </w:p>
    <w:p w14:paraId="0C960671" w14:textId="3231E95B" w:rsidR="00267B7B" w:rsidRDefault="00267B7B">
      <w:pPr>
        <w:pStyle w:val="TOC2"/>
        <w:rPr>
          <w:rFonts w:asciiTheme="minorHAnsi" w:eastAsiaTheme="minorEastAsia" w:hAnsiTheme="minorHAnsi" w:cstheme="minorBidi"/>
          <w:kern w:val="2"/>
          <w:sz w:val="24"/>
          <w:lang w:eastAsia="zh-CN"/>
          <w14:ligatures w14:val="standardContextual"/>
        </w:rPr>
      </w:pPr>
      <w:r>
        <w:t>3.5</w:t>
      </w:r>
      <w:r>
        <w:rPr>
          <w:rFonts w:asciiTheme="minorHAnsi" w:eastAsiaTheme="minorEastAsia" w:hAnsiTheme="minorHAnsi" w:cstheme="minorBidi"/>
          <w:kern w:val="2"/>
          <w:sz w:val="24"/>
          <w:lang w:eastAsia="zh-CN"/>
          <w14:ligatures w14:val="standardContextual"/>
        </w:rPr>
        <w:tab/>
      </w:r>
      <w:r>
        <w:t>Standard Protocol for characteristic-specific molecular marker</w:t>
      </w:r>
      <w:r>
        <w:tab/>
      </w:r>
      <w:r>
        <w:fldChar w:fldCharType="begin"/>
      </w:r>
      <w:r>
        <w:instrText xml:space="preserve"> PAGEREF _Toc240538649 \h </w:instrText>
      </w:r>
      <w:r>
        <w:fldChar w:fldCharType="separate"/>
      </w:r>
      <w:r>
        <w:t>14</w:t>
      </w:r>
      <w:r>
        <w:fldChar w:fldCharType="end"/>
      </w:r>
    </w:p>
    <w:p w14:paraId="7281CA9B" w14:textId="79E7432F" w:rsidR="00267B7B" w:rsidRDefault="00267B7B">
      <w:pPr>
        <w:pStyle w:val="TOC2"/>
        <w:rPr>
          <w:rFonts w:asciiTheme="minorHAnsi" w:eastAsiaTheme="minorEastAsia" w:hAnsiTheme="minorHAnsi" w:cstheme="minorBidi"/>
          <w:kern w:val="2"/>
          <w:sz w:val="24"/>
          <w:lang w:eastAsia="zh-CN"/>
          <w14:ligatures w14:val="standardContextual"/>
        </w:rPr>
      </w:pPr>
      <w:r>
        <w:t>3.6</w:t>
      </w:r>
      <w:r>
        <w:rPr>
          <w:rFonts w:asciiTheme="minorHAnsi" w:eastAsiaTheme="minorEastAsia" w:hAnsiTheme="minorHAnsi" w:cstheme="minorBidi"/>
          <w:kern w:val="2"/>
          <w:sz w:val="24"/>
          <w:lang w:eastAsia="zh-CN"/>
          <w14:ligatures w14:val="standardContextual"/>
        </w:rPr>
        <w:tab/>
      </w:r>
      <w:r>
        <w:t>Follow-up survey after approval</w:t>
      </w:r>
      <w:r>
        <w:tab/>
      </w:r>
      <w:r>
        <w:fldChar w:fldCharType="begin"/>
      </w:r>
      <w:r>
        <w:instrText xml:space="preserve"> PAGEREF _Toc240538650 \h </w:instrText>
      </w:r>
      <w:r>
        <w:fldChar w:fldCharType="separate"/>
      </w:r>
      <w:r>
        <w:t>16</w:t>
      </w:r>
      <w:r>
        <w:fldChar w:fldCharType="end"/>
      </w:r>
    </w:p>
    <w:p w14:paraId="7846954E" w14:textId="5A513805" w:rsidR="00267B7B" w:rsidRDefault="00267B7B">
      <w:pPr>
        <w:pStyle w:val="TOC2"/>
        <w:rPr>
          <w:rFonts w:asciiTheme="minorHAnsi" w:eastAsiaTheme="minorEastAsia" w:hAnsiTheme="minorHAnsi" w:cstheme="minorBidi"/>
          <w:kern w:val="2"/>
          <w:sz w:val="24"/>
          <w:lang w:eastAsia="zh-CN"/>
          <w14:ligatures w14:val="standardContextual"/>
        </w:rPr>
      </w:pPr>
      <w:r>
        <w:t>3.7</w:t>
      </w:r>
      <w:r>
        <w:rPr>
          <w:rFonts w:asciiTheme="minorHAnsi" w:eastAsiaTheme="minorEastAsia" w:hAnsiTheme="minorHAnsi" w:cstheme="minorBidi"/>
          <w:kern w:val="2"/>
          <w:sz w:val="24"/>
          <w:lang w:eastAsia="zh-CN"/>
          <w14:ligatures w14:val="standardContextual"/>
        </w:rPr>
        <w:tab/>
      </w:r>
      <w:r>
        <w:t>Literature</w:t>
      </w:r>
      <w:r>
        <w:tab/>
      </w:r>
      <w:r>
        <w:fldChar w:fldCharType="begin"/>
      </w:r>
      <w:r>
        <w:instrText xml:space="preserve"> PAGEREF _Toc240538651 \h </w:instrText>
      </w:r>
      <w:r>
        <w:fldChar w:fldCharType="separate"/>
      </w:r>
      <w:r>
        <w:t>16</w:t>
      </w:r>
      <w:r>
        <w:fldChar w:fldCharType="end"/>
      </w:r>
    </w:p>
    <w:p w14:paraId="31F36E4B" w14:textId="46DACFBD" w:rsidR="00E14C06" w:rsidRDefault="00E306B7" w:rsidP="00E306B7">
      <w:pPr>
        <w:tabs>
          <w:tab w:val="left" w:pos="1980"/>
        </w:tabs>
        <w:rPr>
          <w:rFonts w:cs="Arial"/>
          <w:snapToGrid w:val="0"/>
        </w:rPr>
      </w:pPr>
      <w:r w:rsidRPr="00A25E6C">
        <w:rPr>
          <w:rFonts w:cs="Arial"/>
          <w:snapToGrid w:val="0"/>
        </w:rPr>
        <w:fldChar w:fldCharType="end"/>
      </w:r>
    </w:p>
    <w:p w14:paraId="3ED94CDD" w14:textId="77777777" w:rsidR="00AD79FF" w:rsidRDefault="00AD79FF" w:rsidP="00E306B7">
      <w:pPr>
        <w:tabs>
          <w:tab w:val="left" w:pos="1980"/>
        </w:tabs>
        <w:rPr>
          <w:rFonts w:cs="Arial"/>
          <w:snapToGrid w:val="0"/>
        </w:rPr>
      </w:pPr>
    </w:p>
    <w:p w14:paraId="572D8D53" w14:textId="77777777" w:rsidR="00AD79FF" w:rsidRPr="00AD79FF" w:rsidRDefault="00AD79FF" w:rsidP="00AD79FF">
      <w:pPr>
        <w:tabs>
          <w:tab w:val="left" w:pos="1134"/>
          <w:tab w:val="left" w:pos="1985"/>
        </w:tabs>
        <w:spacing w:after="120"/>
        <w:ind w:left="1134" w:hanging="1134"/>
        <w:rPr>
          <w:rFonts w:cs="Arial"/>
          <w:strike/>
          <w:snapToGrid w:val="0"/>
        </w:rPr>
      </w:pPr>
      <w:r w:rsidRPr="00AD79FF">
        <w:rPr>
          <w:rFonts w:cs="Arial"/>
          <w:strike/>
          <w:snapToGrid w:val="0"/>
          <w:highlight w:val="lightGray"/>
        </w:rPr>
        <w:t>ANNEX I</w:t>
      </w:r>
      <w:r w:rsidRPr="00AD79FF">
        <w:rPr>
          <w:rFonts w:cs="Arial"/>
          <w:strike/>
          <w:snapToGrid w:val="0"/>
          <w:highlight w:val="lightGray"/>
        </w:rPr>
        <w:tab/>
        <w:t>MODEL:</w:t>
      </w:r>
      <w:r w:rsidRPr="00AD79FF">
        <w:rPr>
          <w:rFonts w:cs="Arial"/>
          <w:strike/>
          <w:snapToGrid w:val="0"/>
          <w:highlight w:val="lightGray"/>
        </w:rPr>
        <w:tab/>
        <w:t>CHARACTERISTIC-SPECIFIC MOLECULAR MARKERS</w:t>
      </w:r>
    </w:p>
    <w:p w14:paraId="099383E5" w14:textId="77777777" w:rsidR="00AD79FF" w:rsidRPr="00AD79FF" w:rsidRDefault="00AD79FF" w:rsidP="00AD79FF">
      <w:pPr>
        <w:spacing w:after="120"/>
        <w:ind w:left="2410" w:hanging="1276"/>
        <w:jc w:val="left"/>
        <w:rPr>
          <w:rFonts w:cs="Arial"/>
          <w:strike/>
          <w:snapToGrid w:val="0"/>
          <w:color w:val="4F81BD" w:themeColor="accent1"/>
          <w:sz w:val="18"/>
          <w:szCs w:val="18"/>
        </w:rPr>
      </w:pPr>
      <w:r w:rsidRPr="00AD79FF">
        <w:rPr>
          <w:rFonts w:cs="Arial"/>
          <w:strike/>
          <w:snapToGrid w:val="0"/>
          <w:color w:val="4F81BD" w:themeColor="accent1"/>
          <w:sz w:val="18"/>
          <w:szCs w:val="18"/>
        </w:rPr>
        <w:t>EXAMPLE 1:</w:t>
      </w:r>
      <w:r w:rsidRPr="00AD79FF">
        <w:rPr>
          <w:rFonts w:cs="Arial"/>
          <w:strike/>
          <w:snapToGrid w:val="0"/>
          <w:color w:val="4F81BD" w:themeColor="accent1"/>
          <w:sz w:val="18"/>
          <w:szCs w:val="18"/>
        </w:rPr>
        <w:tab/>
        <w:t>GENE SPECIFIC MARKER FOR HERBICIDE TOLERANCE</w:t>
      </w:r>
    </w:p>
    <w:p w14:paraId="7B379A64" w14:textId="77777777" w:rsidR="00AD79FF" w:rsidRPr="00AD79FF" w:rsidRDefault="00AD79FF" w:rsidP="00AD79FF">
      <w:pPr>
        <w:spacing w:after="120"/>
        <w:ind w:left="2410" w:hanging="1276"/>
        <w:jc w:val="left"/>
        <w:rPr>
          <w:rFonts w:cs="Arial"/>
          <w:strike/>
          <w:snapToGrid w:val="0"/>
          <w:color w:val="4F81BD" w:themeColor="accent1"/>
          <w:sz w:val="18"/>
          <w:szCs w:val="18"/>
        </w:rPr>
      </w:pPr>
      <w:r w:rsidRPr="00AD79FF">
        <w:rPr>
          <w:rFonts w:cs="Arial"/>
          <w:strike/>
          <w:snapToGrid w:val="0"/>
          <w:color w:val="4F81BD" w:themeColor="accent1"/>
          <w:sz w:val="18"/>
          <w:szCs w:val="18"/>
        </w:rPr>
        <w:t>EXAMPLE 2:</w:t>
      </w:r>
      <w:r w:rsidRPr="00AD79FF">
        <w:rPr>
          <w:rFonts w:cs="Arial"/>
          <w:strike/>
          <w:snapToGrid w:val="0"/>
          <w:color w:val="4F81BD" w:themeColor="accent1"/>
          <w:sz w:val="18"/>
          <w:szCs w:val="18"/>
        </w:rPr>
        <w:tab/>
        <w:t>GENE SPECIFIC MARKER WITH INCOMPLETE INFORMATION ON STATE OF EXPRESSION FOR DISEASE RESISTANCE IN TOMATO</w:t>
      </w:r>
    </w:p>
    <w:p w14:paraId="1F2AE2FE" w14:textId="77777777" w:rsidR="00AD79FF" w:rsidRPr="00A25E6C" w:rsidRDefault="00AD79FF" w:rsidP="00AD79FF">
      <w:pPr>
        <w:tabs>
          <w:tab w:val="left" w:pos="1980"/>
        </w:tabs>
        <w:jc w:val="left"/>
        <w:rPr>
          <w:rFonts w:cs="Arial"/>
          <w:snapToGrid w:val="0"/>
        </w:rPr>
      </w:pPr>
    </w:p>
    <w:p w14:paraId="4B52FD12" w14:textId="77777777" w:rsidR="00AD79FF" w:rsidRPr="00AD79FF" w:rsidRDefault="00AD79FF" w:rsidP="00AD79FF">
      <w:pPr>
        <w:tabs>
          <w:tab w:val="left" w:pos="1134"/>
          <w:tab w:val="left" w:pos="1985"/>
        </w:tabs>
        <w:spacing w:after="120"/>
        <w:ind w:left="1985" w:hanging="1985"/>
        <w:rPr>
          <w:rFonts w:cs="Arial"/>
          <w:strike/>
          <w:snapToGrid w:val="0"/>
        </w:rPr>
      </w:pPr>
      <w:r w:rsidRPr="00AD79FF">
        <w:rPr>
          <w:rFonts w:cs="Arial"/>
          <w:strike/>
          <w:snapToGrid w:val="0"/>
          <w:highlight w:val="lightGray"/>
        </w:rPr>
        <w:t>ANNEX II</w:t>
      </w:r>
      <w:r w:rsidRPr="00AD79FF">
        <w:rPr>
          <w:rFonts w:cs="Arial"/>
          <w:strike/>
          <w:snapToGrid w:val="0"/>
          <w:highlight w:val="lightGray"/>
        </w:rPr>
        <w:tab/>
        <w:t>MODEL:</w:t>
      </w:r>
      <w:r w:rsidRPr="00AD79FF">
        <w:rPr>
          <w:rFonts w:cs="Arial"/>
          <w:strike/>
          <w:snapToGrid w:val="0"/>
          <w:highlight w:val="lightGray"/>
        </w:rPr>
        <w:tab/>
        <w:t>COMBINING PHENOTYPIC AND MOLECULAR DISTANCES IN THE MANAGEMENT OF VARIETY COLLECTIONS</w:t>
      </w:r>
    </w:p>
    <w:p w14:paraId="49C36A5D" w14:textId="77777777" w:rsidR="00AD79FF" w:rsidRPr="00AD79FF" w:rsidRDefault="00AD79FF" w:rsidP="00AD79FF">
      <w:pPr>
        <w:spacing w:after="120"/>
        <w:ind w:left="2410" w:hanging="1276"/>
        <w:jc w:val="left"/>
        <w:rPr>
          <w:rFonts w:cs="Arial"/>
          <w:strike/>
          <w:snapToGrid w:val="0"/>
          <w:color w:val="4F81BD" w:themeColor="accent1"/>
          <w:sz w:val="18"/>
          <w:szCs w:val="18"/>
        </w:rPr>
      </w:pPr>
      <w:r w:rsidRPr="00AD79FF">
        <w:rPr>
          <w:rFonts w:cs="Arial"/>
          <w:strike/>
          <w:snapToGrid w:val="0"/>
          <w:color w:val="4F81BD" w:themeColor="accent1"/>
          <w:sz w:val="18"/>
          <w:szCs w:val="18"/>
        </w:rPr>
        <w:t>EXAMPLE 1:</w:t>
      </w:r>
      <w:r w:rsidRPr="00AD79FF">
        <w:rPr>
          <w:rFonts w:cs="Arial"/>
          <w:strike/>
          <w:snapToGrid w:val="0"/>
          <w:color w:val="4F81BD" w:themeColor="accent1"/>
          <w:sz w:val="18"/>
          <w:szCs w:val="18"/>
        </w:rPr>
        <w:tab/>
        <w:t>PARENT LINES IN MAIZE</w:t>
      </w:r>
    </w:p>
    <w:p w14:paraId="68D44EEB" w14:textId="77777777" w:rsidR="00AD79FF" w:rsidRPr="00AD79FF" w:rsidRDefault="00AD79FF" w:rsidP="00AD79FF">
      <w:pPr>
        <w:spacing w:after="120"/>
        <w:ind w:left="2410" w:hanging="1276"/>
        <w:jc w:val="left"/>
        <w:rPr>
          <w:rFonts w:cs="Arial"/>
          <w:strike/>
          <w:snapToGrid w:val="0"/>
          <w:color w:val="4F81BD" w:themeColor="accent1"/>
          <w:sz w:val="18"/>
          <w:szCs w:val="18"/>
        </w:rPr>
      </w:pPr>
      <w:r w:rsidRPr="00AD79FF">
        <w:rPr>
          <w:rFonts w:cs="Arial"/>
          <w:strike/>
          <w:snapToGrid w:val="0"/>
          <w:color w:val="4F81BD" w:themeColor="accent1"/>
          <w:sz w:val="18"/>
          <w:szCs w:val="18"/>
        </w:rPr>
        <w:t>EXAMPLE 2:</w:t>
      </w:r>
      <w:r w:rsidRPr="00AD79FF">
        <w:rPr>
          <w:rFonts w:cs="Arial"/>
          <w:strike/>
          <w:snapToGrid w:val="0"/>
          <w:color w:val="4F81BD" w:themeColor="accent1"/>
          <w:sz w:val="18"/>
          <w:szCs w:val="18"/>
        </w:rPr>
        <w:tab/>
        <w:t>GENETIC SELECTION OF SIMILAR VARIETIES FOR THE FIRST GROWING CYCLE: FRENCH BEAN</w:t>
      </w:r>
    </w:p>
    <w:p w14:paraId="53CA3A0C" w14:textId="77777777" w:rsidR="00E14C06" w:rsidRPr="00A25E6C" w:rsidRDefault="00E14C06" w:rsidP="00E306B7">
      <w:pPr>
        <w:tabs>
          <w:tab w:val="left" w:pos="1980"/>
        </w:tabs>
        <w:rPr>
          <w:rFonts w:cs="Arial"/>
          <w:snapToGrid w:val="0"/>
        </w:rPr>
      </w:pPr>
    </w:p>
    <w:p w14:paraId="24B43B68" w14:textId="77777777" w:rsidR="00E306B7" w:rsidRDefault="00E306B7" w:rsidP="00EB0415">
      <w:pPr>
        <w:tabs>
          <w:tab w:val="left" w:pos="1980"/>
        </w:tabs>
        <w:jc w:val="left"/>
        <w:rPr>
          <w:rFonts w:cs="Arial"/>
          <w:snapToGrid w:val="0"/>
        </w:rPr>
      </w:pPr>
    </w:p>
    <w:p w14:paraId="3157BCFB" w14:textId="77777777" w:rsidR="001C1A11" w:rsidRDefault="001C1A11" w:rsidP="00695D2D">
      <w:pPr>
        <w:tabs>
          <w:tab w:val="left" w:pos="1980"/>
        </w:tabs>
        <w:jc w:val="left"/>
        <w:rPr>
          <w:rFonts w:cs="Arial"/>
          <w:snapToGrid w:val="0"/>
          <w:sz w:val="18"/>
          <w:szCs w:val="18"/>
        </w:rPr>
      </w:pPr>
    </w:p>
    <w:p w14:paraId="0DF9A581" w14:textId="77777777" w:rsidR="001C1A11" w:rsidRDefault="001C1A11" w:rsidP="00695D2D">
      <w:pPr>
        <w:tabs>
          <w:tab w:val="left" w:pos="1980"/>
        </w:tabs>
        <w:jc w:val="left"/>
        <w:rPr>
          <w:rFonts w:cs="Arial"/>
          <w:snapToGrid w:val="0"/>
          <w:sz w:val="18"/>
          <w:szCs w:val="18"/>
        </w:rPr>
      </w:pPr>
    </w:p>
    <w:p w14:paraId="3D4F01CE" w14:textId="77777777" w:rsidR="00E306B7" w:rsidRPr="00CD142F" w:rsidRDefault="00E306B7" w:rsidP="00C177F3">
      <w:pPr>
        <w:pStyle w:val="Heading1"/>
      </w:pPr>
      <w:r>
        <w:rPr>
          <w:snapToGrid w:val="0"/>
        </w:rPr>
        <w:br w:type="page"/>
      </w:r>
      <w:bookmarkStart w:id="4" w:name="_Toc240538629"/>
      <w:r w:rsidRPr="00CD142F">
        <w:lastRenderedPageBreak/>
        <w:t>1.</w:t>
      </w:r>
      <w:r w:rsidRPr="00CD142F">
        <w:tab/>
        <w:t>INTRODUCTION</w:t>
      </w:r>
      <w:bookmarkEnd w:id="4"/>
    </w:p>
    <w:p w14:paraId="1B0521AB" w14:textId="77777777" w:rsidR="00E306B7" w:rsidRPr="001B40EE" w:rsidRDefault="00E306B7" w:rsidP="0084342F">
      <w:pPr>
        <w:rPr>
          <w:rFonts w:cs="Arial"/>
        </w:rPr>
      </w:pPr>
      <w:r w:rsidRPr="00630112">
        <w:rPr>
          <w:rFonts w:cs="Arial"/>
        </w:rPr>
        <w:t>1.1</w:t>
      </w:r>
      <w:r w:rsidRPr="00630112">
        <w:rPr>
          <w:rFonts w:cs="Arial"/>
        </w:rPr>
        <w:tab/>
      </w:r>
      <w:r w:rsidRPr="001B40EE">
        <w:rPr>
          <w:rFonts w:cs="Arial"/>
        </w:rPr>
        <w:t xml:space="preserve">Document </w:t>
      </w:r>
      <w:r w:rsidRPr="001B40EE">
        <w:rPr>
          <w:rFonts w:cs="Arial"/>
          <w:bCs/>
        </w:rPr>
        <w:t>UPOV/INF/18 “Possible Use of Molecular Markers in the Examination of Distinctness, Uniformity and Stability (DUS)”</w:t>
      </w:r>
      <w:r w:rsidRPr="001B40EE">
        <w:rPr>
          <w:rFonts w:cs="Arial"/>
        </w:rPr>
        <w:t xml:space="preserve"> considers possible application </w:t>
      </w:r>
      <w:r w:rsidR="0038194A" w:rsidRPr="001B40EE">
        <w:rPr>
          <w:rFonts w:cs="Arial"/>
        </w:rPr>
        <w:t xml:space="preserve">models </w:t>
      </w:r>
      <w:r w:rsidRPr="001B40EE">
        <w:rPr>
          <w:rFonts w:cs="Arial"/>
        </w:rPr>
        <w:t xml:space="preserve">for the use of </w:t>
      </w:r>
      <w:r w:rsidRPr="001B40EE">
        <w:rPr>
          <w:rFonts w:cs="Arial"/>
          <w:snapToGrid w:val="0"/>
        </w:rPr>
        <w:t xml:space="preserve">biochemical and molecular markers in the examination of DUS that were </w:t>
      </w:r>
      <w:r w:rsidRPr="001B40EE">
        <w:rPr>
          <w:rFonts w:cs="Arial"/>
        </w:rPr>
        <w:t xml:space="preserve">proposed to the </w:t>
      </w:r>
      <w:r w:rsidRPr="001B40EE">
        <w:rPr>
          <w:rFonts w:cs="Arial"/>
          <w:i/>
        </w:rPr>
        <w:t>Ad hoc</w:t>
      </w:r>
      <w:r w:rsidRPr="001B40EE">
        <w:rPr>
          <w:rFonts w:cs="Arial"/>
        </w:rPr>
        <w:t xml:space="preserve"> Subgroup of Technical and Legal Experts of Biochemical and Molecular Techniques (BMT Review Group) by the Technical Committee</w:t>
      </w:r>
      <w:r w:rsidR="00175960" w:rsidRPr="001B40EE">
        <w:rPr>
          <w:rFonts w:cs="Arial"/>
        </w:rPr>
        <w:t xml:space="preserve"> </w:t>
      </w:r>
      <w:r w:rsidR="00175960" w:rsidRPr="007C5A0C">
        <w:rPr>
          <w:rFonts w:cs="Arial"/>
        </w:rPr>
        <w:t>(TC)</w:t>
      </w:r>
      <w:r w:rsidRPr="007C5A0C">
        <w:rPr>
          <w:rFonts w:cs="Arial"/>
        </w:rPr>
        <w:t>,</w:t>
      </w:r>
      <w:r w:rsidRPr="001B40EE">
        <w:rPr>
          <w:rFonts w:cs="Arial"/>
        </w:rPr>
        <w:t xml:space="preserve"> on the basis of the work of the Working Group on Biochemical and Molecular Techniques, and DNA</w:t>
      </w:r>
      <w:r w:rsidRPr="001B40EE">
        <w:rPr>
          <w:rFonts w:cs="Arial"/>
        </w:rPr>
        <w:noBreakHyphen/>
        <w:t xml:space="preserve">Profiling in Particular (BMT) and </w:t>
      </w:r>
      <w:r w:rsidRPr="001B40EE">
        <w:rPr>
          <w:rFonts w:cs="Arial"/>
          <w:i/>
        </w:rPr>
        <w:t>Ad Hoc</w:t>
      </w:r>
      <w:r w:rsidRPr="001B40EE">
        <w:rPr>
          <w:rFonts w:cs="Arial"/>
        </w:rPr>
        <w:t xml:space="preserve"> Crop Subgroups on Molecular Techniques (Crop Subgroups) (see </w:t>
      </w:r>
      <w:hyperlink r:id="rId15" w:history="1">
        <w:r w:rsidRPr="001B40EE">
          <w:rPr>
            <w:rStyle w:val="Hyperlink"/>
          </w:rPr>
          <w:t>http://www.upov.int/about/en/organigram.html</w:t>
        </w:r>
      </w:hyperlink>
      <w:r w:rsidRPr="001B40EE">
        <w:rPr>
          <w:rFonts w:cs="Arial"/>
        </w:rPr>
        <w:t xml:space="preserve">).  The assessment of the BMT Review Group and the views of the Technical Committee, the Administrative and Legal Committee (CAJ) on those </w:t>
      </w:r>
      <w:r w:rsidR="0038194A" w:rsidRPr="001B40EE">
        <w:rPr>
          <w:rFonts w:cs="Arial"/>
        </w:rPr>
        <w:t xml:space="preserve">models </w:t>
      </w:r>
      <w:r w:rsidRPr="001B40EE">
        <w:rPr>
          <w:rFonts w:cs="Arial"/>
        </w:rPr>
        <w:t>are presented in document UPOV/INF/18.</w:t>
      </w:r>
    </w:p>
    <w:p w14:paraId="2EE94AD4" w14:textId="77777777" w:rsidR="00E306B7" w:rsidRPr="001B40EE" w:rsidRDefault="00E306B7" w:rsidP="00E306B7">
      <w:pPr>
        <w:rPr>
          <w:rFonts w:cs="Arial"/>
        </w:rPr>
      </w:pPr>
    </w:p>
    <w:p w14:paraId="46E87936" w14:textId="77777777" w:rsidR="00E306B7" w:rsidRDefault="00E306B7" w:rsidP="00E306B7">
      <w:pPr>
        <w:rPr>
          <w:rFonts w:cs="Arial"/>
        </w:rPr>
      </w:pPr>
      <w:r w:rsidRPr="001B40EE">
        <w:rPr>
          <w:rFonts w:cs="Arial"/>
        </w:rPr>
        <w:t>1.2</w:t>
      </w:r>
      <w:r w:rsidRPr="001B40EE">
        <w:rPr>
          <w:rFonts w:cs="Arial"/>
        </w:rPr>
        <w:tab/>
        <w:t xml:space="preserve">The purpose of this document is to provide guidance on </w:t>
      </w:r>
      <w:r w:rsidRPr="001B40EE">
        <w:rPr>
          <w:rFonts w:cs="Arial"/>
          <w:snapToGrid w:val="0"/>
        </w:rPr>
        <w:t>the use of biochemical and molecular markers in the examination of Distinctness, Uniformity and Stability (DUS)</w:t>
      </w:r>
      <w:r w:rsidRPr="001B40EE">
        <w:rPr>
          <w:rFonts w:cs="Arial"/>
        </w:rPr>
        <w:t xml:space="preserve"> on the basis of the </w:t>
      </w:r>
      <w:r w:rsidR="0038194A" w:rsidRPr="001B40EE">
        <w:rPr>
          <w:rFonts w:cs="Arial"/>
        </w:rPr>
        <w:t xml:space="preserve">models </w:t>
      </w:r>
      <w:r w:rsidR="005D0ECE" w:rsidRPr="001B40EE">
        <w:rPr>
          <w:rFonts w:cs="Arial"/>
        </w:rPr>
        <w:t>t</w:t>
      </w:r>
      <w:r w:rsidRPr="001B40EE">
        <w:rPr>
          <w:rFonts w:cs="Arial"/>
        </w:rPr>
        <w:t xml:space="preserve">hat have received a positive </w:t>
      </w:r>
      <w:proofErr w:type="gramStart"/>
      <w:r w:rsidRPr="001B40EE">
        <w:rPr>
          <w:rFonts w:cs="Arial"/>
        </w:rPr>
        <w:t>assessment</w:t>
      </w:r>
      <w:proofErr w:type="gramEnd"/>
      <w:r w:rsidRPr="001B40EE">
        <w:rPr>
          <w:rFonts w:cs="Arial"/>
        </w:rPr>
        <w:t xml:space="preserve"> and for which accepted </w:t>
      </w:r>
      <w:r w:rsidR="0038194A" w:rsidRPr="001B40EE">
        <w:rPr>
          <w:rFonts w:cs="Arial"/>
        </w:rPr>
        <w:t xml:space="preserve">examples </w:t>
      </w:r>
      <w:r w:rsidRPr="001B40EE">
        <w:rPr>
          <w:rFonts w:cs="Arial"/>
        </w:rPr>
        <w:t>have been provided.</w:t>
      </w:r>
      <w:r w:rsidRPr="00630112">
        <w:rPr>
          <w:rFonts w:cs="Arial"/>
        </w:rPr>
        <w:t xml:space="preserve">  </w:t>
      </w:r>
    </w:p>
    <w:p w14:paraId="5F7EF06C" w14:textId="77777777" w:rsidR="00175960" w:rsidRDefault="00175960" w:rsidP="00E306B7">
      <w:pPr>
        <w:rPr>
          <w:rFonts w:cs="Arial"/>
        </w:rPr>
      </w:pPr>
    </w:p>
    <w:p w14:paraId="23DA36FA" w14:textId="77777777" w:rsidR="00E306B7" w:rsidRPr="00F07A89" w:rsidRDefault="00E306B7" w:rsidP="00E306B7">
      <w:pPr>
        <w:rPr>
          <w:rFonts w:cs="Arial"/>
        </w:rPr>
      </w:pPr>
      <w:r w:rsidRPr="00F07A89">
        <w:rPr>
          <w:rFonts w:cs="Arial"/>
        </w:rPr>
        <w:t>1.</w:t>
      </w:r>
      <w:r w:rsidR="00F07A89" w:rsidRPr="00F07A89">
        <w:rPr>
          <w:rFonts w:cs="Arial"/>
        </w:rPr>
        <w:t>3</w:t>
      </w:r>
      <w:r w:rsidRPr="00F07A89">
        <w:rPr>
          <w:rFonts w:cs="Arial"/>
        </w:rPr>
        <w:tab/>
        <w:t>The only binding obligations on members of the Union are those contained in the text of the UPOV Convention itself, and this document must not be interpreted in a way that is inconsistent with the relevant Act for the member of the Union concerned.</w:t>
      </w:r>
    </w:p>
    <w:p w14:paraId="057BE333" w14:textId="77777777" w:rsidR="00E306B7" w:rsidRPr="00F07A89" w:rsidRDefault="00E306B7" w:rsidP="00E306B7">
      <w:pPr>
        <w:rPr>
          <w:rFonts w:cs="Arial"/>
        </w:rPr>
      </w:pPr>
    </w:p>
    <w:p w14:paraId="7CC7CEDA" w14:textId="77777777" w:rsidR="00E306B7" w:rsidRPr="00630112" w:rsidRDefault="00175960" w:rsidP="00E306B7">
      <w:pPr>
        <w:rPr>
          <w:rFonts w:cs="Arial"/>
          <w:color w:val="000000"/>
        </w:rPr>
      </w:pPr>
      <w:r w:rsidRPr="00F07A89">
        <w:rPr>
          <w:rFonts w:cs="Arial"/>
          <w:color w:val="000000"/>
        </w:rPr>
        <w:t>1.</w:t>
      </w:r>
      <w:r w:rsidR="00F07A89" w:rsidRPr="00F07A89">
        <w:rPr>
          <w:rFonts w:cs="Arial"/>
          <w:color w:val="000000"/>
        </w:rPr>
        <w:t>4</w:t>
      </w:r>
      <w:r w:rsidR="00E306B7" w:rsidRPr="00F07A89">
        <w:rPr>
          <w:rFonts w:cs="Arial"/>
          <w:color w:val="000000"/>
        </w:rPr>
        <w:tab/>
        <w:t>The following abbreviations are used in this document:</w:t>
      </w:r>
    </w:p>
    <w:p w14:paraId="18576B4C" w14:textId="77777777" w:rsidR="00E306B7" w:rsidRPr="00CD142F" w:rsidRDefault="00E306B7" w:rsidP="00E306B7">
      <w:pPr>
        <w:keepNext/>
        <w:rPr>
          <w:rFonts w:cs="Arial"/>
          <w:color w:val="000000"/>
        </w:rPr>
      </w:pPr>
    </w:p>
    <w:p w14:paraId="6CBBFDE0" w14:textId="77777777" w:rsidR="00E306B7" w:rsidRPr="00CD142F" w:rsidRDefault="00E306B7" w:rsidP="00E306B7">
      <w:pPr>
        <w:keepNext/>
        <w:ind w:left="2835" w:hanging="2126"/>
        <w:rPr>
          <w:rFonts w:cs="Arial"/>
          <w:color w:val="000000"/>
        </w:rPr>
      </w:pPr>
      <w:r w:rsidRPr="00CD142F">
        <w:rPr>
          <w:rFonts w:cs="Arial"/>
          <w:color w:val="000000"/>
        </w:rPr>
        <w:t>CAJ:</w:t>
      </w:r>
      <w:r w:rsidRPr="00CD142F">
        <w:rPr>
          <w:rFonts w:cs="Arial"/>
          <w:color w:val="000000"/>
        </w:rPr>
        <w:tab/>
        <w:t xml:space="preserve">Administrative and Legal Committee </w:t>
      </w:r>
    </w:p>
    <w:p w14:paraId="03076E38" w14:textId="77777777" w:rsidR="00E306B7" w:rsidRPr="00CD142F" w:rsidRDefault="00E306B7" w:rsidP="00E306B7">
      <w:pPr>
        <w:keepNext/>
        <w:ind w:left="2835" w:hanging="2126"/>
        <w:rPr>
          <w:rFonts w:cs="Arial"/>
          <w:color w:val="000000"/>
        </w:rPr>
      </w:pPr>
      <w:r w:rsidRPr="00CD142F">
        <w:rPr>
          <w:rFonts w:cs="Arial"/>
          <w:color w:val="000000"/>
        </w:rPr>
        <w:t>TC:</w:t>
      </w:r>
      <w:r w:rsidRPr="00CD142F">
        <w:rPr>
          <w:rFonts w:cs="Arial"/>
          <w:color w:val="000000"/>
        </w:rPr>
        <w:tab/>
        <w:t>Technical Committee</w:t>
      </w:r>
    </w:p>
    <w:p w14:paraId="4F1C06ED" w14:textId="77777777" w:rsidR="00E306B7" w:rsidRPr="00CD142F" w:rsidRDefault="00E306B7" w:rsidP="00E306B7">
      <w:pPr>
        <w:keepNext/>
        <w:ind w:left="2835" w:hanging="2126"/>
        <w:rPr>
          <w:rFonts w:cs="Arial"/>
          <w:color w:val="000000"/>
        </w:rPr>
      </w:pPr>
      <w:r w:rsidRPr="00CD142F">
        <w:rPr>
          <w:rFonts w:cs="Arial"/>
          <w:color w:val="000000"/>
        </w:rPr>
        <w:t>TWP(s):</w:t>
      </w:r>
      <w:r w:rsidRPr="00CD142F">
        <w:rPr>
          <w:rFonts w:cs="Arial"/>
          <w:color w:val="000000"/>
        </w:rPr>
        <w:tab/>
        <w:t>Technical Working Party(</w:t>
      </w:r>
      <w:proofErr w:type="spellStart"/>
      <w:r w:rsidRPr="00CD142F">
        <w:rPr>
          <w:rFonts w:cs="Arial"/>
          <w:color w:val="000000"/>
        </w:rPr>
        <w:t>ies</w:t>
      </w:r>
      <w:proofErr w:type="spellEnd"/>
      <w:r w:rsidRPr="00CD142F">
        <w:rPr>
          <w:rFonts w:cs="Arial"/>
          <w:color w:val="000000"/>
        </w:rPr>
        <w:t>)</w:t>
      </w:r>
    </w:p>
    <w:p w14:paraId="01428EDE" w14:textId="77777777" w:rsidR="00E306B7" w:rsidRPr="00CD142F" w:rsidRDefault="00E306B7" w:rsidP="00E306B7">
      <w:pPr>
        <w:pStyle w:val="BodyTextIndent3"/>
        <w:ind w:left="2835" w:hanging="2126"/>
        <w:rPr>
          <w:rFonts w:cs="Arial"/>
          <w:szCs w:val="20"/>
        </w:rPr>
      </w:pPr>
      <w:r w:rsidRPr="00CD142F">
        <w:rPr>
          <w:rFonts w:cs="Arial"/>
          <w:szCs w:val="20"/>
        </w:rPr>
        <w:t>BMT:</w:t>
      </w:r>
      <w:r w:rsidRPr="00CD142F">
        <w:rPr>
          <w:rFonts w:cs="Arial"/>
          <w:szCs w:val="20"/>
        </w:rPr>
        <w:tab/>
        <w:t xml:space="preserve">Working Group on Biochemical and Molecular Techniques, and DNA-Profiling in Particular </w:t>
      </w:r>
    </w:p>
    <w:p w14:paraId="716F79D1" w14:textId="77777777" w:rsidR="00E306B7" w:rsidRPr="00CD142F" w:rsidRDefault="00E306B7" w:rsidP="00E306B7">
      <w:pPr>
        <w:keepNext/>
        <w:ind w:left="2835" w:hanging="2126"/>
        <w:rPr>
          <w:rFonts w:cs="Arial"/>
          <w:lang w:eastAsia="ja-JP"/>
        </w:rPr>
      </w:pPr>
      <w:r w:rsidRPr="00CD142F">
        <w:rPr>
          <w:rFonts w:cs="Arial"/>
        </w:rPr>
        <w:t>B</w:t>
      </w:r>
      <w:r w:rsidRPr="00CD142F">
        <w:rPr>
          <w:rFonts w:cs="Arial"/>
          <w:lang w:eastAsia="ja-JP"/>
        </w:rPr>
        <w:t>MT Review Group:</w:t>
      </w:r>
      <w:r w:rsidRPr="00CD142F">
        <w:rPr>
          <w:rFonts w:cs="Arial"/>
          <w:lang w:eastAsia="ja-JP"/>
        </w:rPr>
        <w:tab/>
      </w:r>
      <w:r w:rsidRPr="00CD142F">
        <w:rPr>
          <w:rFonts w:cs="Arial"/>
          <w:i/>
        </w:rPr>
        <w:t>Ad Hoc</w:t>
      </w:r>
      <w:r w:rsidRPr="00CD142F">
        <w:rPr>
          <w:rFonts w:cs="Arial"/>
        </w:rPr>
        <w:t xml:space="preserve"> Subgroup of Technical and Legal Experts on Biochemical and Molecular Techniques</w:t>
      </w:r>
    </w:p>
    <w:p w14:paraId="5CA13658" w14:textId="77777777" w:rsidR="00E306B7" w:rsidRPr="00CD142F" w:rsidRDefault="00E306B7" w:rsidP="00E306B7">
      <w:pPr>
        <w:ind w:left="2835" w:hanging="2126"/>
        <w:rPr>
          <w:rFonts w:cs="Arial"/>
          <w:color w:val="000000"/>
        </w:rPr>
      </w:pPr>
      <w:r w:rsidRPr="00CD142F">
        <w:rPr>
          <w:rFonts w:cs="Arial"/>
          <w:color w:val="000000"/>
        </w:rPr>
        <w:t>Crop Subgroup:</w:t>
      </w:r>
      <w:r w:rsidRPr="00CD142F">
        <w:rPr>
          <w:rFonts w:cs="Arial"/>
          <w:color w:val="000000"/>
        </w:rPr>
        <w:tab/>
      </w:r>
      <w:r w:rsidRPr="00CD142F">
        <w:rPr>
          <w:rFonts w:cs="Arial"/>
          <w:i/>
          <w:color w:val="000000"/>
        </w:rPr>
        <w:t>Ad Hoc</w:t>
      </w:r>
      <w:r w:rsidRPr="00CD142F">
        <w:rPr>
          <w:rFonts w:cs="Arial"/>
          <w:color w:val="000000"/>
        </w:rPr>
        <w:t xml:space="preserve"> Crop Subgroup on Molecular Techniques</w:t>
      </w:r>
    </w:p>
    <w:p w14:paraId="2FAEB73F" w14:textId="77777777" w:rsidR="006B6BE3" w:rsidRDefault="006B6BE3" w:rsidP="00E306B7">
      <w:pPr>
        <w:ind w:left="2835" w:hanging="2126"/>
        <w:rPr>
          <w:rFonts w:cs="Arial"/>
          <w:color w:val="000000"/>
        </w:rPr>
      </w:pPr>
    </w:p>
    <w:p w14:paraId="5CB8A73A" w14:textId="77777777" w:rsidR="00E306B7" w:rsidRPr="00CD142F" w:rsidRDefault="00E306B7" w:rsidP="00E306B7">
      <w:pPr>
        <w:ind w:left="2835" w:hanging="2126"/>
        <w:rPr>
          <w:rFonts w:cs="Arial"/>
          <w:color w:val="000000"/>
        </w:rPr>
      </w:pPr>
    </w:p>
    <w:p w14:paraId="32F456E1" w14:textId="77777777" w:rsidR="00E306B7" w:rsidRPr="00FE1AEB" w:rsidRDefault="00E306B7" w:rsidP="00C177F3">
      <w:pPr>
        <w:pStyle w:val="Heading1"/>
      </w:pPr>
      <w:bookmarkStart w:id="5" w:name="_Toc311473359"/>
      <w:bookmarkStart w:id="6" w:name="_Toc240538630"/>
      <w:r w:rsidRPr="00511B51">
        <w:rPr>
          <w:rStyle w:val="TitleofDocChar"/>
        </w:rPr>
        <w:t>2.</w:t>
      </w:r>
      <w:r w:rsidRPr="00511B51">
        <w:rPr>
          <w:rStyle w:val="TitleofDocChar"/>
        </w:rPr>
        <w:tab/>
      </w:r>
      <w:r w:rsidRPr="00511B51">
        <w:t>APPLICATION MODELS</w:t>
      </w:r>
      <w:bookmarkEnd w:id="5"/>
      <w:bookmarkEnd w:id="6"/>
    </w:p>
    <w:p w14:paraId="62B5C469" w14:textId="66DAE12F" w:rsidR="00E306B7" w:rsidRPr="00FE1AEB" w:rsidRDefault="00E306B7" w:rsidP="00E306B7">
      <w:pPr>
        <w:pStyle w:val="Heading2"/>
      </w:pPr>
      <w:bookmarkStart w:id="7" w:name="_Toc311473361"/>
      <w:bookmarkStart w:id="8" w:name="_Toc240538631"/>
      <w:r w:rsidRPr="00FE1AEB">
        <w:t>2.1</w:t>
      </w:r>
      <w:r w:rsidRPr="00FE1AEB">
        <w:tab/>
      </w:r>
      <w:r w:rsidRPr="007776CE">
        <w:t>Characteristic-Specific Molecular Markers</w:t>
      </w:r>
      <w:bookmarkEnd w:id="7"/>
      <w:r w:rsidR="00B84B82">
        <w:t xml:space="preserve"> </w:t>
      </w:r>
      <w:r w:rsidR="00B84B82" w:rsidRPr="00B84B82">
        <w:rPr>
          <w:strike/>
          <w:highlight w:val="lightGray"/>
        </w:rPr>
        <w:t>(see Annex I)</w:t>
      </w:r>
      <w:bookmarkEnd w:id="8"/>
    </w:p>
    <w:p w14:paraId="723CE5B4" w14:textId="77777777" w:rsidR="00E306B7" w:rsidRPr="00FE1AEB" w:rsidRDefault="00E306B7" w:rsidP="00E306B7">
      <w:pPr>
        <w:keepNext/>
        <w:rPr>
          <w:rFonts w:cs="Arial"/>
        </w:rPr>
      </w:pPr>
      <w:r w:rsidRPr="00FE1AEB">
        <w:rPr>
          <w:rFonts w:cs="Arial"/>
        </w:rPr>
        <w:t>2.1.1</w:t>
      </w:r>
      <w:r w:rsidRPr="00FE1AEB">
        <w:rPr>
          <w:rFonts w:cs="Arial"/>
        </w:rPr>
        <w:tab/>
        <w:t>Molecular markers can be used as a method of examining DUS characteristics that satisfy the criteria for characteristics set out in the General Introduction, Chapter 4, section 4.2, on the following basis:</w:t>
      </w:r>
    </w:p>
    <w:p w14:paraId="25452A5F" w14:textId="77777777" w:rsidR="00E306B7" w:rsidRPr="00FE1AEB" w:rsidRDefault="00E306B7" w:rsidP="00E306B7">
      <w:pPr>
        <w:keepNext/>
        <w:rPr>
          <w:rFonts w:cs="Arial"/>
        </w:rPr>
      </w:pPr>
    </w:p>
    <w:p w14:paraId="69773B47" w14:textId="77777777" w:rsidR="00E306B7" w:rsidRPr="00FE1AEB" w:rsidRDefault="00E306B7" w:rsidP="00E306B7">
      <w:pPr>
        <w:pStyle w:val="BodyTextIndent"/>
        <w:ind w:left="0" w:firstLine="567"/>
      </w:pPr>
      <w:r w:rsidRPr="00FE1AEB">
        <w:t>(a)</w:t>
      </w:r>
      <w:r w:rsidRPr="00FE1AEB">
        <w:tab/>
        <w:t>the test for the marker is conducted on the same number of individual plants, with the same criteria for distinctness, uniformity and stability as for the examination of the characteristic by a bioassay;</w:t>
      </w:r>
    </w:p>
    <w:p w14:paraId="1E29F88C" w14:textId="77777777" w:rsidR="00E306B7" w:rsidRPr="00FE1AEB" w:rsidRDefault="00E306B7" w:rsidP="00E306B7">
      <w:pPr>
        <w:pStyle w:val="BodyTextIndent"/>
        <w:ind w:left="0" w:firstLine="567"/>
      </w:pPr>
    </w:p>
    <w:p w14:paraId="4B30DFF6" w14:textId="77777777" w:rsidR="00E306B7" w:rsidRPr="00FE1AEB" w:rsidRDefault="00E306B7" w:rsidP="00E306B7">
      <w:pPr>
        <w:ind w:firstLine="567"/>
        <w:rPr>
          <w:rFonts w:cs="Arial"/>
          <w:snapToGrid w:val="0"/>
        </w:rPr>
      </w:pPr>
      <w:r w:rsidRPr="00FE1AEB">
        <w:t>(b)</w:t>
      </w:r>
      <w:r w:rsidRPr="00FE1AEB">
        <w:tab/>
        <w:t xml:space="preserve">there is verification of </w:t>
      </w:r>
      <w:r w:rsidRPr="00FE1AEB">
        <w:rPr>
          <w:rFonts w:cs="Arial"/>
        </w:rPr>
        <w:t xml:space="preserve">the reliability of the link between the marker and the </w:t>
      </w:r>
      <w:r w:rsidRPr="00FE1AEB">
        <w:rPr>
          <w:rFonts w:cs="Arial"/>
          <w:snapToGrid w:val="0"/>
        </w:rPr>
        <w:t>characteristic;</w:t>
      </w:r>
    </w:p>
    <w:p w14:paraId="2D0CB6B0" w14:textId="77777777" w:rsidR="00E306B7" w:rsidRPr="00FE1AEB" w:rsidRDefault="00E306B7" w:rsidP="00E306B7">
      <w:pPr>
        <w:ind w:firstLine="567"/>
        <w:rPr>
          <w:rFonts w:cs="Arial"/>
          <w:snapToGrid w:val="0"/>
        </w:rPr>
      </w:pPr>
    </w:p>
    <w:p w14:paraId="5BC93B01" w14:textId="77777777" w:rsidR="00E306B7" w:rsidRPr="00FE1AEB" w:rsidRDefault="00E306B7" w:rsidP="00E306B7">
      <w:pPr>
        <w:ind w:firstLine="567"/>
        <w:rPr>
          <w:rFonts w:cs="Arial"/>
          <w:snapToGrid w:val="0"/>
        </w:rPr>
      </w:pPr>
      <w:r w:rsidRPr="00FE1AEB">
        <w:rPr>
          <w:rFonts w:cs="Arial"/>
        </w:rPr>
        <w:t>(c)</w:t>
      </w:r>
      <w:r w:rsidRPr="00FE1AEB">
        <w:rPr>
          <w:rFonts w:cs="Arial"/>
        </w:rPr>
        <w:tab/>
        <w:t xml:space="preserve">different markers for the same </w:t>
      </w:r>
      <w:r w:rsidRPr="00FE1AEB">
        <w:rPr>
          <w:rFonts w:cs="Arial"/>
          <w:snapToGrid w:val="0"/>
        </w:rPr>
        <w:t>characteristic</w:t>
      </w:r>
      <w:r w:rsidRPr="00FE1AEB">
        <w:rPr>
          <w:rFonts w:cs="Arial"/>
        </w:rPr>
        <w:t xml:space="preserve"> are different methods for examining the same characteristic;</w:t>
      </w:r>
    </w:p>
    <w:p w14:paraId="51E970A0" w14:textId="77777777" w:rsidR="00E306B7" w:rsidRPr="00FE1AEB" w:rsidRDefault="00E306B7" w:rsidP="00E306B7">
      <w:pPr>
        <w:ind w:firstLine="567"/>
        <w:rPr>
          <w:rFonts w:cs="Arial"/>
          <w:snapToGrid w:val="0"/>
        </w:rPr>
      </w:pPr>
    </w:p>
    <w:p w14:paraId="03928D1C" w14:textId="77777777" w:rsidR="00E306B7" w:rsidRPr="00FE1AEB" w:rsidRDefault="00E306B7" w:rsidP="00E306B7">
      <w:pPr>
        <w:ind w:firstLine="567"/>
        <w:rPr>
          <w:rFonts w:cs="Arial"/>
        </w:rPr>
      </w:pPr>
      <w:r w:rsidRPr="00FE1AEB">
        <w:rPr>
          <w:rFonts w:cs="Arial"/>
        </w:rPr>
        <w:t>(d)</w:t>
      </w:r>
      <w:r w:rsidRPr="00FE1AEB">
        <w:rPr>
          <w:rFonts w:cs="Arial"/>
        </w:rPr>
        <w:tab/>
        <w:t xml:space="preserve">markers linked to different genes conferring expression of the same </w:t>
      </w:r>
      <w:r w:rsidRPr="00FE1AEB">
        <w:rPr>
          <w:rFonts w:cs="Arial"/>
          <w:snapToGrid w:val="0"/>
        </w:rPr>
        <w:t>characteristic</w:t>
      </w:r>
      <w:r w:rsidRPr="00FE1AEB">
        <w:rPr>
          <w:rFonts w:cs="Arial"/>
        </w:rPr>
        <w:t xml:space="preserve"> are different methods for examining the same characteristic; and</w:t>
      </w:r>
    </w:p>
    <w:p w14:paraId="283C1CA0" w14:textId="77777777" w:rsidR="00E306B7" w:rsidRPr="00FE1AEB" w:rsidRDefault="00E306B7" w:rsidP="00E306B7">
      <w:pPr>
        <w:ind w:firstLine="567"/>
        <w:rPr>
          <w:rFonts w:cs="Arial"/>
        </w:rPr>
      </w:pPr>
    </w:p>
    <w:p w14:paraId="2522FB78" w14:textId="77777777" w:rsidR="00AB47F6" w:rsidRPr="001B40EE" w:rsidRDefault="00E306B7" w:rsidP="00E306B7">
      <w:pPr>
        <w:ind w:firstLine="567"/>
        <w:rPr>
          <w:rFonts w:cs="Arial"/>
        </w:rPr>
      </w:pPr>
      <w:r w:rsidRPr="00876655">
        <w:rPr>
          <w:rFonts w:cs="Arial"/>
        </w:rPr>
        <w:t>(e)</w:t>
      </w:r>
      <w:r w:rsidRPr="00876655">
        <w:rPr>
          <w:rFonts w:cs="Arial"/>
        </w:rPr>
        <w:tab/>
        <w:t xml:space="preserve">markers linked to different regulatory elements for the same gene conferring expression of the same </w:t>
      </w:r>
      <w:r w:rsidRPr="00876655">
        <w:rPr>
          <w:rFonts w:cs="Arial"/>
          <w:snapToGrid w:val="0"/>
        </w:rPr>
        <w:t>characteristic</w:t>
      </w:r>
      <w:r w:rsidRPr="00876655">
        <w:rPr>
          <w:rFonts w:cs="Arial"/>
        </w:rPr>
        <w:t xml:space="preserve"> are different methods for examining the same characteristic</w:t>
      </w:r>
      <w:r w:rsidR="00FC3411">
        <w:rPr>
          <w:rFonts w:cs="Arial"/>
        </w:rPr>
        <w:t>.</w:t>
      </w:r>
    </w:p>
    <w:p w14:paraId="4A160029" w14:textId="77777777" w:rsidR="00AB47F6" w:rsidRPr="001B40EE" w:rsidRDefault="00AB47F6" w:rsidP="00E306B7">
      <w:pPr>
        <w:ind w:firstLine="567"/>
        <w:rPr>
          <w:rFonts w:cs="Arial"/>
          <w:u w:val="single"/>
        </w:rPr>
      </w:pPr>
    </w:p>
    <w:p w14:paraId="49110F5E" w14:textId="2DC562F6" w:rsidR="00876655" w:rsidRDefault="00AB47F6" w:rsidP="001B40EE">
      <w:r w:rsidRPr="001B40EE">
        <w:rPr>
          <w:rFonts w:cs="Arial"/>
        </w:rPr>
        <w:t>2.1.2</w:t>
      </w:r>
      <w:r w:rsidRPr="001B40EE">
        <w:rPr>
          <w:rFonts w:cs="Arial"/>
        </w:rPr>
        <w:tab/>
      </w:r>
      <w:r w:rsidR="00E306B7" w:rsidRPr="00043EF1">
        <w:rPr>
          <w:rFonts w:cs="Arial"/>
          <w:strike/>
          <w:highlight w:val="lightGray"/>
        </w:rPr>
        <w:t>Annex I to this document</w:t>
      </w:r>
      <w:r w:rsidR="00043EF1">
        <w:rPr>
          <w:rFonts w:cs="Arial"/>
          <w:strike/>
        </w:rPr>
        <w:t xml:space="preserve"> </w:t>
      </w:r>
      <w:r w:rsidR="004F416D" w:rsidRPr="00043EF1">
        <w:rPr>
          <w:rFonts w:cs="Arial"/>
          <w:highlight w:val="lightGray"/>
          <w:u w:val="single"/>
        </w:rPr>
        <w:t>Paragraphs 2.1.5 to 2.1.1</w:t>
      </w:r>
      <w:r w:rsidR="00043EF1">
        <w:rPr>
          <w:rFonts w:cs="Arial"/>
          <w:highlight w:val="lightGray"/>
          <w:u w:val="single"/>
        </w:rPr>
        <w:t xml:space="preserve">8 </w:t>
      </w:r>
      <w:r w:rsidR="00E306B7" w:rsidRPr="004F416D">
        <w:rPr>
          <w:rFonts w:cs="Arial"/>
        </w:rPr>
        <w:t>provide</w:t>
      </w:r>
      <w:r w:rsidR="00E306B7" w:rsidRPr="00043EF1">
        <w:rPr>
          <w:rFonts w:cs="Arial"/>
          <w:strike/>
          <w:highlight w:val="lightGray"/>
        </w:rPr>
        <w:t>s</w:t>
      </w:r>
      <w:r w:rsidR="00E306B7" w:rsidRPr="004F416D">
        <w:rPr>
          <w:rFonts w:cs="Arial"/>
        </w:rPr>
        <w:t xml:space="preserve"> example</w:t>
      </w:r>
      <w:r w:rsidR="004C4766" w:rsidRPr="004F416D">
        <w:rPr>
          <w:rFonts w:cs="Arial"/>
        </w:rPr>
        <w:t>s</w:t>
      </w:r>
      <w:r w:rsidR="00E306B7" w:rsidRPr="004F416D">
        <w:rPr>
          <w:rFonts w:cs="Arial"/>
        </w:rPr>
        <w:t xml:space="preserve"> of the use of </w:t>
      </w:r>
      <w:r w:rsidR="00E306B7" w:rsidRPr="004F416D">
        <w:t>characteristic-specific molecular markers.</w:t>
      </w:r>
    </w:p>
    <w:p w14:paraId="2E876742" w14:textId="77777777" w:rsidR="00876655" w:rsidRDefault="00876655" w:rsidP="00E306B7">
      <w:pPr>
        <w:ind w:firstLine="567"/>
      </w:pPr>
    </w:p>
    <w:p w14:paraId="1B912E37" w14:textId="1CE517EB" w:rsidR="00117F5F" w:rsidRPr="00A07606" w:rsidRDefault="00117F5F" w:rsidP="00117F5F">
      <w:pPr>
        <w:rPr>
          <w:rFonts w:cs="Arial"/>
        </w:rPr>
      </w:pPr>
      <w:r w:rsidRPr="00A07606">
        <w:rPr>
          <w:rFonts w:cs="Arial"/>
        </w:rPr>
        <w:t>2.1.</w:t>
      </w:r>
      <w:r w:rsidR="00AB47F6" w:rsidRPr="00FC3411">
        <w:rPr>
          <w:rFonts w:cs="Arial"/>
        </w:rPr>
        <w:t>3</w:t>
      </w:r>
      <w:r w:rsidRPr="00A07606">
        <w:rPr>
          <w:rFonts w:cs="Arial"/>
        </w:rPr>
        <w:tab/>
      </w:r>
      <w:r w:rsidR="00A25E6C" w:rsidRPr="00A07606">
        <w:rPr>
          <w:rFonts w:cs="Arial"/>
        </w:rPr>
        <w:t xml:space="preserve">It is a matter for the relevant authority to consider if the assumptions are met when </w:t>
      </w:r>
      <w:r w:rsidR="00A25E6C" w:rsidRPr="00B60930">
        <w:rPr>
          <w:rFonts w:cs="Arial"/>
        </w:rPr>
        <w:t xml:space="preserve">applying the </w:t>
      </w:r>
      <w:r w:rsidR="0038194A" w:rsidRPr="00B60930">
        <w:rPr>
          <w:rFonts w:cs="Arial"/>
        </w:rPr>
        <w:t xml:space="preserve">model </w:t>
      </w:r>
      <w:r w:rsidRPr="00B60930">
        <w:rPr>
          <w:rFonts w:cs="Arial"/>
        </w:rPr>
        <w:t>and example</w:t>
      </w:r>
      <w:r w:rsidR="0026205B" w:rsidRPr="00982475">
        <w:rPr>
          <w:rFonts w:cs="Arial"/>
        </w:rPr>
        <w:t>s</w:t>
      </w:r>
      <w:r w:rsidRPr="00043EF1">
        <w:rPr>
          <w:rFonts w:cs="Arial"/>
        </w:rPr>
        <w:t xml:space="preserve">, </w:t>
      </w:r>
      <w:r w:rsidR="00C1657F" w:rsidRPr="00043EF1">
        <w:rPr>
          <w:rFonts w:cs="Arial"/>
        </w:rPr>
        <w:t xml:space="preserve">as presented in </w:t>
      </w:r>
      <w:r w:rsidR="00C1657F" w:rsidRPr="00043EF1">
        <w:rPr>
          <w:rFonts w:cs="Arial"/>
          <w:strike/>
          <w:highlight w:val="lightGray"/>
        </w:rPr>
        <w:t xml:space="preserve">Annex </w:t>
      </w:r>
      <w:r w:rsidR="00132E0B" w:rsidRPr="00043EF1">
        <w:rPr>
          <w:rFonts w:cs="Arial"/>
          <w:strike/>
          <w:highlight w:val="lightGray"/>
        </w:rPr>
        <w:t>I</w:t>
      </w:r>
      <w:r w:rsidR="00C1657F" w:rsidRPr="00043EF1">
        <w:rPr>
          <w:rFonts w:cs="Arial"/>
          <w:strike/>
          <w:highlight w:val="lightGray"/>
        </w:rPr>
        <w:t xml:space="preserve"> of this document</w:t>
      </w:r>
      <w:r w:rsidR="00043EF1" w:rsidRPr="00043EF1">
        <w:rPr>
          <w:rFonts w:cs="Arial"/>
          <w:highlight w:val="lightGray"/>
          <w:u w:val="single"/>
        </w:rPr>
        <w:t xml:space="preserve"> </w:t>
      </w:r>
      <w:r w:rsidR="00043EF1">
        <w:rPr>
          <w:rFonts w:cs="Arial"/>
          <w:highlight w:val="lightGray"/>
          <w:u w:val="single"/>
        </w:rPr>
        <w:t>p</w:t>
      </w:r>
      <w:r w:rsidR="00043EF1" w:rsidRPr="00043EF1">
        <w:rPr>
          <w:rFonts w:cs="Arial"/>
          <w:highlight w:val="lightGray"/>
          <w:u w:val="single"/>
        </w:rPr>
        <w:t>aragraphs 2.1.5 to 2.1.1</w:t>
      </w:r>
      <w:r w:rsidR="00043EF1">
        <w:rPr>
          <w:rFonts w:cs="Arial"/>
          <w:highlight w:val="lightGray"/>
          <w:u w:val="single"/>
        </w:rPr>
        <w:t>8</w:t>
      </w:r>
      <w:r w:rsidR="00A25E6C" w:rsidRPr="00043EF1">
        <w:rPr>
          <w:rFonts w:cs="Arial"/>
        </w:rPr>
        <w:t>.</w:t>
      </w:r>
    </w:p>
    <w:p w14:paraId="2BA6A24A" w14:textId="77777777" w:rsidR="00117F5F" w:rsidRPr="00A07606" w:rsidRDefault="00117F5F" w:rsidP="00117F5F">
      <w:pPr>
        <w:rPr>
          <w:rFonts w:cs="Arial"/>
        </w:rPr>
      </w:pPr>
    </w:p>
    <w:p w14:paraId="32ACAE1A" w14:textId="2F7974B3" w:rsidR="00117F5F" w:rsidRPr="00630112" w:rsidRDefault="00117F5F" w:rsidP="00117F5F">
      <w:pPr>
        <w:rPr>
          <w:rFonts w:cs="Arial"/>
        </w:rPr>
      </w:pPr>
      <w:r w:rsidRPr="00A07606">
        <w:rPr>
          <w:rFonts w:cs="Arial"/>
        </w:rPr>
        <w:t>2.1.</w:t>
      </w:r>
      <w:r w:rsidR="00B60930" w:rsidRPr="00FC3411">
        <w:rPr>
          <w:rFonts w:cs="Arial"/>
        </w:rPr>
        <w:t>4</w:t>
      </w:r>
      <w:r w:rsidRPr="00A07606">
        <w:rPr>
          <w:rFonts w:cs="Arial"/>
        </w:rPr>
        <w:tab/>
      </w:r>
      <w:r w:rsidR="00A25E6C" w:rsidRPr="00A07606">
        <w:t xml:space="preserve">In order to include a method based on </w:t>
      </w:r>
      <w:r w:rsidR="00A25E6C" w:rsidRPr="00B60930">
        <w:t xml:space="preserve">the </w:t>
      </w:r>
      <w:r w:rsidR="0038194A" w:rsidRPr="00B60930">
        <w:t xml:space="preserve">model </w:t>
      </w:r>
      <w:r w:rsidR="00A25E6C" w:rsidRPr="00043EF1">
        <w:rPr>
          <w:strike/>
          <w:highlight w:val="lightGray"/>
        </w:rPr>
        <w:t>in Annex I of this document</w:t>
      </w:r>
      <w:r w:rsidR="00A25E6C" w:rsidRPr="00043EF1">
        <w:rPr>
          <w:strike/>
        </w:rPr>
        <w:t xml:space="preserve"> </w:t>
      </w:r>
      <w:r w:rsidR="00A25E6C" w:rsidRPr="00A07606">
        <w:t xml:space="preserve">in Test Guidelines the relevant </w:t>
      </w:r>
      <w:r w:rsidRPr="00A07606">
        <w:t xml:space="preserve">Technical Working Party and the TC </w:t>
      </w:r>
      <w:r w:rsidR="00A25E6C" w:rsidRPr="00A07606">
        <w:t xml:space="preserve">would need to agree that the requirement for </w:t>
      </w:r>
      <w:r w:rsidRPr="00A07606">
        <w:t>reliability of the link</w:t>
      </w:r>
      <w:r w:rsidRPr="003F29C8">
        <w:t xml:space="preserve"> between the gene and the expression of the characteristic was satisfied</w:t>
      </w:r>
      <w:r w:rsidRPr="003F29C8">
        <w:rPr>
          <w:rFonts w:cs="Arial"/>
        </w:rPr>
        <w:t>.</w:t>
      </w:r>
    </w:p>
    <w:p w14:paraId="259FDE49" w14:textId="77777777" w:rsidR="00117F5F" w:rsidRDefault="00117F5F" w:rsidP="00E306B7">
      <w:pPr>
        <w:ind w:firstLine="567"/>
        <w:rPr>
          <w:rFonts w:cs="Arial"/>
        </w:rPr>
      </w:pPr>
    </w:p>
    <w:p w14:paraId="65F32001" w14:textId="62ABF19F" w:rsidR="00A035AF" w:rsidRDefault="00A035AF" w:rsidP="00A035AF">
      <w:pPr>
        <w:pStyle w:val="Heading3"/>
        <w:rPr>
          <w:color w:val="4F81BD" w:themeColor="accent1"/>
        </w:rPr>
      </w:pPr>
      <w:bookmarkStart w:id="9" w:name="_Toc240538632"/>
      <w:r w:rsidRPr="00F55EC9">
        <w:rPr>
          <w:color w:val="4F81BD" w:themeColor="accent1"/>
        </w:rPr>
        <w:t>Example 1:  Gene Specific Marker for Herbicide Tolerance</w:t>
      </w:r>
      <w:bookmarkEnd w:id="9"/>
      <w:r w:rsidRPr="00F55EC9">
        <w:rPr>
          <w:color w:val="4F81BD" w:themeColor="accent1"/>
        </w:rPr>
        <w:t xml:space="preserve"> </w:t>
      </w:r>
    </w:p>
    <w:p w14:paraId="41C8C446" w14:textId="77777777" w:rsidR="00587F36" w:rsidRPr="00B97959" w:rsidRDefault="00587F36" w:rsidP="00587F36">
      <w:pPr>
        <w:rPr>
          <w:rFonts w:cs="Arial"/>
          <w:color w:val="4F81BD" w:themeColor="accent1"/>
        </w:rPr>
      </w:pPr>
      <w:r w:rsidRPr="00B97959">
        <w:rPr>
          <w:rFonts w:cs="Arial"/>
          <w:color w:val="4F81BD" w:themeColor="accent1"/>
        </w:rPr>
        <w:t>Prepared by experts from France</w:t>
      </w:r>
    </w:p>
    <w:p w14:paraId="5BDF053B" w14:textId="77777777" w:rsidR="0080753E" w:rsidRPr="0080753E" w:rsidRDefault="0080753E" w:rsidP="0080753E"/>
    <w:p w14:paraId="06ED4FF5" w14:textId="115BD7F3" w:rsidR="00A035AF" w:rsidRPr="006208E8" w:rsidRDefault="00A035AF" w:rsidP="00A035AF">
      <w:pPr>
        <w:rPr>
          <w:rFonts w:cs="Arial"/>
          <w:color w:val="4F81BD" w:themeColor="accent1"/>
        </w:rPr>
      </w:pPr>
      <w:r w:rsidRPr="006208E8">
        <w:rPr>
          <w:rFonts w:cs="Arial"/>
          <w:color w:val="4F81BD" w:themeColor="accent1"/>
          <w:highlight w:val="lightGray"/>
          <w:u w:val="single"/>
        </w:rPr>
        <w:t>2.1.5</w:t>
      </w:r>
      <w:r w:rsidRPr="006208E8">
        <w:rPr>
          <w:rFonts w:cs="Arial"/>
          <w:color w:val="4F81BD" w:themeColor="accent1"/>
        </w:rPr>
        <w:tab/>
        <w:t xml:space="preserve">A variety is genetically modified by the insertion of a gene for tolerance to herbicide “Formula X.”  Varieties containing this gene are not harmed when sprayed with Formula X; however, varieties without this gene are always killed if sprayed with this particular herbicide. Tolerance of Formula X, examined in field trials by spraying of plots, is an accepted DUS characteristic, and it can be used to establish distinctness between varieties.  </w:t>
      </w:r>
    </w:p>
    <w:p w14:paraId="592112D7" w14:textId="77777777" w:rsidR="00A035AF" w:rsidRPr="006208E8" w:rsidRDefault="00A035AF" w:rsidP="00A035AF">
      <w:pPr>
        <w:rPr>
          <w:rFonts w:cs="Arial"/>
          <w:color w:val="4F81BD" w:themeColor="accent1"/>
        </w:rPr>
      </w:pPr>
    </w:p>
    <w:p w14:paraId="64DC9BB8" w14:textId="0AE9B0BB" w:rsidR="00A035AF" w:rsidRPr="006208E8" w:rsidRDefault="00A035AF" w:rsidP="00A035AF">
      <w:pPr>
        <w:rPr>
          <w:rFonts w:cs="Arial"/>
          <w:color w:val="4F81BD" w:themeColor="accent1"/>
        </w:rPr>
      </w:pPr>
      <w:r w:rsidRPr="006208E8">
        <w:rPr>
          <w:rFonts w:cs="Arial"/>
          <w:color w:val="4F81BD" w:themeColor="accent1"/>
          <w:highlight w:val="lightGray"/>
          <w:u w:val="single"/>
        </w:rPr>
        <w:t>2.1.6</w:t>
      </w:r>
      <w:r w:rsidRPr="006208E8">
        <w:rPr>
          <w:rFonts w:cs="Arial"/>
          <w:color w:val="4F81BD" w:themeColor="accent1"/>
        </w:rPr>
        <w:tab/>
        <w:t xml:space="preserve">It is proposed that, rather than spraying varieties in the field (this is difficult to organize in the standard DUS trial), the characteristic “tolerance of Formula X” is examined by conducting a test for the presence of a molecular marker </w:t>
      </w:r>
      <w:r w:rsidRPr="006208E8">
        <w:rPr>
          <w:rFonts w:cs="Arial"/>
          <w:i/>
          <w:color w:val="4F81BD" w:themeColor="accent1"/>
        </w:rPr>
        <w:t>linked</w:t>
      </w:r>
      <w:r w:rsidRPr="006208E8">
        <w:rPr>
          <w:rFonts w:cs="Arial"/>
          <w:color w:val="4F81BD" w:themeColor="accent1"/>
        </w:rPr>
        <w:t xml:space="preserve"> to the gene.  This marker is located on a part of the gene “construct.”  The gene “construct” comprises all the elements which are inserted into the plant during the genetic modification and, in addition to the gene itself, contains additional elements for regulating the gene when in the plant.  The marker may be located within the gene, partly on the gene or outside the gene itself.</w:t>
      </w:r>
    </w:p>
    <w:p w14:paraId="2EE76A36" w14:textId="77777777" w:rsidR="00A035AF" w:rsidRPr="006208E8" w:rsidRDefault="00A035AF" w:rsidP="00A035AF">
      <w:pPr>
        <w:rPr>
          <w:rFonts w:cs="Arial"/>
          <w:color w:val="4F81BD" w:themeColor="accent1"/>
        </w:rPr>
      </w:pPr>
    </w:p>
    <w:p w14:paraId="7EE266DD" w14:textId="77777777" w:rsidR="00A035AF" w:rsidRPr="006208E8" w:rsidRDefault="00A035AF" w:rsidP="00A035AF">
      <w:pPr>
        <w:rPr>
          <w:rFonts w:cs="Arial"/>
          <w:color w:val="4F81BD" w:themeColor="accent1"/>
          <w:u w:val="single"/>
        </w:rPr>
      </w:pPr>
      <w:r w:rsidRPr="006208E8">
        <w:rPr>
          <w:rFonts w:cs="Arial"/>
          <w:color w:val="4F81BD" w:themeColor="accent1"/>
          <w:u w:val="single"/>
        </w:rPr>
        <w:t>Assumptions to be made in the example</w:t>
      </w:r>
    </w:p>
    <w:p w14:paraId="4E9136E7" w14:textId="77777777" w:rsidR="00A035AF" w:rsidRPr="006208E8" w:rsidRDefault="00A035AF" w:rsidP="00A035AF">
      <w:pPr>
        <w:rPr>
          <w:rFonts w:cs="Arial"/>
          <w:color w:val="4F81BD" w:themeColor="accent1"/>
          <w:u w:val="single"/>
        </w:rPr>
      </w:pPr>
    </w:p>
    <w:p w14:paraId="33F41742" w14:textId="0E30B9D8" w:rsidR="00A035AF" w:rsidRPr="006208E8" w:rsidRDefault="00A035AF" w:rsidP="00A035AF">
      <w:pPr>
        <w:rPr>
          <w:color w:val="4F81BD" w:themeColor="accent1"/>
        </w:rPr>
      </w:pPr>
      <w:r w:rsidRPr="006208E8">
        <w:rPr>
          <w:rFonts w:cs="Arial"/>
          <w:color w:val="4F81BD" w:themeColor="accent1"/>
          <w:highlight w:val="lightGray"/>
          <w:u w:val="single"/>
        </w:rPr>
        <w:t>2.1.7</w:t>
      </w:r>
      <w:r w:rsidRPr="006208E8">
        <w:rPr>
          <w:color w:val="4F81BD" w:themeColor="accent1"/>
        </w:rPr>
        <w:tab/>
        <w:t>The following assumptions are made:</w:t>
      </w:r>
    </w:p>
    <w:p w14:paraId="362D0290" w14:textId="77777777" w:rsidR="00A035AF" w:rsidRPr="006208E8" w:rsidRDefault="00A035AF" w:rsidP="00A035AF">
      <w:pPr>
        <w:rPr>
          <w:color w:val="4F81BD" w:themeColor="accent1"/>
        </w:rPr>
      </w:pPr>
    </w:p>
    <w:p w14:paraId="77C82201" w14:textId="77777777" w:rsidR="00A035AF" w:rsidRPr="006208E8" w:rsidRDefault="00A035AF" w:rsidP="004F416D">
      <w:pPr>
        <w:ind w:left="567"/>
        <w:rPr>
          <w:color w:val="4F81BD" w:themeColor="accent1"/>
        </w:rPr>
      </w:pPr>
      <w:r w:rsidRPr="006208E8">
        <w:rPr>
          <w:color w:val="4F81BD" w:themeColor="accent1"/>
        </w:rPr>
        <w:t>(a)</w:t>
      </w:r>
      <w:r w:rsidRPr="006208E8">
        <w:rPr>
          <w:color w:val="4F81BD" w:themeColor="accent1"/>
        </w:rPr>
        <w:tab/>
        <w:t>The DUS Examination</w:t>
      </w:r>
    </w:p>
    <w:p w14:paraId="53CD7C72" w14:textId="77777777" w:rsidR="00A035AF" w:rsidRPr="006208E8" w:rsidRDefault="00A035AF" w:rsidP="004F416D">
      <w:pPr>
        <w:ind w:left="567"/>
        <w:rPr>
          <w:color w:val="4F81BD" w:themeColor="accent1"/>
        </w:rPr>
      </w:pPr>
    </w:p>
    <w:p w14:paraId="0D2BF377" w14:textId="754B4EF0" w:rsidR="00A035AF" w:rsidRPr="006208E8" w:rsidRDefault="00A035AF" w:rsidP="004F416D">
      <w:pPr>
        <w:pStyle w:val="BodyTextIndent"/>
        <w:ind w:left="0" w:firstLine="0"/>
        <w:rPr>
          <w:rFonts w:cs="Arial"/>
          <w:color w:val="4F81BD" w:themeColor="accent1"/>
          <w:szCs w:val="20"/>
        </w:rPr>
      </w:pPr>
      <w:r w:rsidRPr="006208E8">
        <w:rPr>
          <w:rFonts w:cs="Arial"/>
          <w:color w:val="4F81BD" w:themeColor="accent1"/>
          <w:szCs w:val="20"/>
          <w:highlight w:val="lightGray"/>
          <w:u w:val="single"/>
        </w:rPr>
        <w:t>2.1.8</w:t>
      </w:r>
      <w:r w:rsidRPr="006208E8">
        <w:rPr>
          <w:rFonts w:cs="Arial"/>
          <w:color w:val="4F81BD" w:themeColor="accent1"/>
          <w:szCs w:val="20"/>
        </w:rPr>
        <w:tab/>
        <w:t>It is assumed that the test for the marker would be conducted to the same extent as for the field test, i.e. the same number of individual plants, over the same number of years and with the same criteria for distinctness, uniformity and stability.</w:t>
      </w:r>
    </w:p>
    <w:p w14:paraId="6A27CBBC" w14:textId="77777777" w:rsidR="00A035AF" w:rsidRPr="006208E8" w:rsidRDefault="00A035AF" w:rsidP="004F416D">
      <w:pPr>
        <w:pStyle w:val="BodyTextIndent"/>
        <w:ind w:left="0" w:firstLine="567"/>
        <w:rPr>
          <w:rFonts w:cs="Arial"/>
          <w:color w:val="4F81BD" w:themeColor="accent1"/>
          <w:szCs w:val="20"/>
          <w:u w:val="single"/>
        </w:rPr>
      </w:pPr>
    </w:p>
    <w:p w14:paraId="13BFCB48" w14:textId="77777777" w:rsidR="00A035AF" w:rsidRPr="006208E8" w:rsidRDefault="00A035AF" w:rsidP="004F416D">
      <w:pPr>
        <w:ind w:left="567"/>
        <w:rPr>
          <w:color w:val="4F81BD" w:themeColor="accent1"/>
        </w:rPr>
      </w:pPr>
      <w:r w:rsidRPr="006208E8">
        <w:rPr>
          <w:color w:val="4F81BD" w:themeColor="accent1"/>
        </w:rPr>
        <w:t>(b)</w:t>
      </w:r>
      <w:r w:rsidRPr="006208E8">
        <w:rPr>
          <w:color w:val="4F81BD" w:themeColor="accent1"/>
        </w:rPr>
        <w:tab/>
        <w:t>Reliability of the Linkage</w:t>
      </w:r>
    </w:p>
    <w:p w14:paraId="3FE656C8" w14:textId="77777777" w:rsidR="00A035AF" w:rsidRPr="006208E8" w:rsidRDefault="00A035AF" w:rsidP="004F416D">
      <w:pPr>
        <w:ind w:left="567"/>
        <w:rPr>
          <w:color w:val="4F81BD" w:themeColor="accent1"/>
        </w:rPr>
      </w:pPr>
    </w:p>
    <w:p w14:paraId="029C1765" w14:textId="212B8AAC" w:rsidR="00A035AF" w:rsidRPr="006208E8" w:rsidRDefault="00A035AF" w:rsidP="004F416D">
      <w:pPr>
        <w:rPr>
          <w:rFonts w:cs="Arial"/>
          <w:color w:val="4F81BD" w:themeColor="accent1"/>
        </w:rPr>
      </w:pPr>
      <w:r w:rsidRPr="006208E8">
        <w:rPr>
          <w:rFonts w:cs="Arial"/>
          <w:color w:val="4F81BD" w:themeColor="accent1"/>
          <w:highlight w:val="lightGray"/>
          <w:u w:val="single"/>
        </w:rPr>
        <w:t>2.1.9</w:t>
      </w:r>
      <w:r w:rsidRPr="006208E8">
        <w:rPr>
          <w:rFonts w:cs="Arial"/>
          <w:color w:val="4F81BD" w:themeColor="accent1"/>
        </w:rPr>
        <w:tab/>
        <w:t>It is assumed that the link between the marker and the gene would be checked to ensure that the marker is a reliable predictor of tolerance to Formula X.  This check would be necessary to ensure, for example, that the marker does not become separated from the gene and that the presence of the gene is still resulting in tolerance to Formula X.</w:t>
      </w:r>
    </w:p>
    <w:p w14:paraId="393A1DE9" w14:textId="77777777" w:rsidR="00A035AF" w:rsidRPr="006208E8" w:rsidRDefault="00A035AF" w:rsidP="004F416D">
      <w:pPr>
        <w:ind w:firstLine="567"/>
        <w:rPr>
          <w:rFonts w:cs="Arial"/>
          <w:color w:val="4F81BD" w:themeColor="accent1"/>
        </w:rPr>
      </w:pPr>
    </w:p>
    <w:p w14:paraId="059A5189" w14:textId="77777777" w:rsidR="00A035AF" w:rsidRPr="006208E8" w:rsidRDefault="00A035AF" w:rsidP="004F416D">
      <w:pPr>
        <w:ind w:left="567"/>
        <w:rPr>
          <w:color w:val="4F81BD" w:themeColor="accent1"/>
        </w:rPr>
      </w:pPr>
      <w:r w:rsidRPr="006208E8">
        <w:rPr>
          <w:color w:val="4F81BD" w:themeColor="accent1"/>
        </w:rPr>
        <w:t>(c)</w:t>
      </w:r>
      <w:r w:rsidRPr="006208E8">
        <w:rPr>
          <w:color w:val="4F81BD" w:themeColor="accent1"/>
        </w:rPr>
        <w:tab/>
        <w:t>Development of Different Molecular Markers for the Same Gene</w:t>
      </w:r>
    </w:p>
    <w:p w14:paraId="0C36AFBE" w14:textId="77777777" w:rsidR="00A035AF" w:rsidRPr="006208E8" w:rsidRDefault="00A035AF" w:rsidP="004F416D">
      <w:pPr>
        <w:ind w:left="567"/>
        <w:rPr>
          <w:color w:val="4F81BD" w:themeColor="accent1"/>
        </w:rPr>
      </w:pPr>
    </w:p>
    <w:p w14:paraId="2900BDA1" w14:textId="196DE507" w:rsidR="00A035AF" w:rsidRPr="006208E8" w:rsidRDefault="00A035AF" w:rsidP="004F416D">
      <w:pPr>
        <w:tabs>
          <w:tab w:val="left" w:pos="709"/>
        </w:tabs>
        <w:rPr>
          <w:rFonts w:cs="Arial"/>
          <w:b/>
          <w:color w:val="4F81BD" w:themeColor="accent1"/>
        </w:rPr>
      </w:pPr>
      <w:r w:rsidRPr="006208E8">
        <w:rPr>
          <w:rFonts w:cs="Arial"/>
          <w:color w:val="4F81BD" w:themeColor="accent1"/>
          <w:highlight w:val="lightGray"/>
          <w:u w:val="single"/>
        </w:rPr>
        <w:t>2.1.10</w:t>
      </w:r>
      <w:r w:rsidRPr="006208E8">
        <w:rPr>
          <w:rFonts w:cs="Arial"/>
          <w:color w:val="4F81BD" w:themeColor="accent1"/>
        </w:rPr>
        <w:tab/>
        <w:t xml:space="preserve">It would be possible to develop different gene constructs containing Formula X tolerance and to identify separate molecular markers for these individual gene constructs, all of which would be linked to exactly the same gene for Formula X tolerance.  If all the different markers for the same gene were accepted as different methods for examining the </w:t>
      </w:r>
      <w:r w:rsidRPr="006208E8">
        <w:rPr>
          <w:rFonts w:cs="Arial"/>
          <w:i/>
          <w:color w:val="4F81BD" w:themeColor="accent1"/>
        </w:rPr>
        <w:t>same existing phenotypic characteristic</w:t>
      </w:r>
      <w:r w:rsidRPr="006208E8">
        <w:rPr>
          <w:rFonts w:cs="Arial"/>
          <w:color w:val="4F81BD" w:themeColor="accent1"/>
        </w:rPr>
        <w:t>, the consideration of the approach would be the same.  For the use of “Molecular […] [markers] as a predictor of traditional</w:t>
      </w:r>
      <w:r w:rsidRPr="006208E8">
        <w:rPr>
          <w:rFonts w:cs="Arial"/>
          <w:i/>
          <w:color w:val="4F81BD" w:themeColor="accent1"/>
        </w:rPr>
        <w:t xml:space="preserve"> </w:t>
      </w:r>
      <w:r w:rsidRPr="006208E8">
        <w:rPr>
          <w:rFonts w:cs="Arial"/>
          <w:color w:val="4F81BD" w:themeColor="accent1"/>
        </w:rPr>
        <w:t>characteristics,” it is necessary to work on the basis that the markers correspond to a traditional, i.e. existing, approved characteristic.  Therefore, it is assumed that different markers for the same gene would be treated as different methods for examining the same characteristic, i.e. tolerance to Formula X.</w:t>
      </w:r>
    </w:p>
    <w:p w14:paraId="1C778668" w14:textId="77777777" w:rsidR="00A035AF" w:rsidRPr="006208E8" w:rsidRDefault="00A035AF" w:rsidP="004F416D">
      <w:pPr>
        <w:rPr>
          <w:color w:val="4F81BD" w:themeColor="accent1"/>
        </w:rPr>
      </w:pPr>
    </w:p>
    <w:p w14:paraId="306C111C" w14:textId="77777777" w:rsidR="00A035AF" w:rsidRPr="006208E8" w:rsidRDefault="00A035AF" w:rsidP="004F416D">
      <w:pPr>
        <w:keepNext/>
        <w:ind w:left="567"/>
        <w:rPr>
          <w:color w:val="4F81BD" w:themeColor="accent1"/>
        </w:rPr>
      </w:pPr>
      <w:r w:rsidRPr="006208E8">
        <w:rPr>
          <w:color w:val="4F81BD" w:themeColor="accent1"/>
        </w:rPr>
        <w:t>(d)</w:t>
      </w:r>
      <w:r w:rsidRPr="006208E8">
        <w:rPr>
          <w:color w:val="4F81BD" w:themeColor="accent1"/>
        </w:rPr>
        <w:tab/>
        <w:t>Different Genes Producing Tolerance to the Same Herbicide</w:t>
      </w:r>
    </w:p>
    <w:p w14:paraId="3CD92408" w14:textId="77777777" w:rsidR="00A035AF" w:rsidRPr="006208E8" w:rsidRDefault="00A035AF" w:rsidP="004F416D">
      <w:pPr>
        <w:keepNext/>
        <w:ind w:left="567"/>
        <w:rPr>
          <w:color w:val="4F81BD" w:themeColor="accent1"/>
        </w:rPr>
      </w:pPr>
    </w:p>
    <w:p w14:paraId="71481DF8" w14:textId="39478E1C" w:rsidR="00A035AF" w:rsidRPr="006208E8" w:rsidRDefault="00A035AF" w:rsidP="004F416D">
      <w:pPr>
        <w:tabs>
          <w:tab w:val="left" w:pos="709"/>
        </w:tabs>
        <w:rPr>
          <w:rFonts w:cs="Arial"/>
          <w:color w:val="4F81BD" w:themeColor="accent1"/>
        </w:rPr>
      </w:pPr>
      <w:r w:rsidRPr="006208E8">
        <w:rPr>
          <w:rFonts w:cs="Arial"/>
          <w:color w:val="4F81BD" w:themeColor="accent1"/>
          <w:highlight w:val="lightGray"/>
          <w:u w:val="single"/>
        </w:rPr>
        <w:t>2.1.11</w:t>
      </w:r>
      <w:r w:rsidRPr="006208E8">
        <w:rPr>
          <w:rFonts w:cs="Arial"/>
          <w:color w:val="4F81BD" w:themeColor="accent1"/>
        </w:rPr>
        <w:tab/>
        <w:t xml:space="preserve">It might be possible to develop different genes which confer tolerance to Formula X.  In the simplest case, this could be considered in the same way as different markers for the same gene, i.e. the different genes, with their respective markers, would be considered as different methods for examining the same characteristic, i.e. tolerance to Formula X.  However, the different genes are likely to have a different chemical mechanism to produce the tolerance to Formula X.  Thus, the chemicals produced from the different genes will be different </w:t>
      </w:r>
      <w:proofErr w:type="gramStart"/>
      <w:r w:rsidRPr="006208E8">
        <w:rPr>
          <w:rFonts w:cs="Arial"/>
          <w:color w:val="4F81BD" w:themeColor="accent1"/>
        </w:rPr>
        <w:t>and,</w:t>
      </w:r>
      <w:proofErr w:type="gramEnd"/>
      <w:r w:rsidRPr="006208E8">
        <w:rPr>
          <w:rFonts w:cs="Arial"/>
          <w:color w:val="4F81BD" w:themeColor="accent1"/>
        </w:rPr>
        <w:t xml:space="preserve"> these different chemicals might be a basis for establishing distinctness in some circumstances.  Nevertheless, under this model, it would first be necessary to approve the chemical components as UPOV characteristics, before accepting molecular markers linked to these potential characteristics.  This in turn would be a separate example.  Therefore, it is assumed that different genes would be treated as different methods for examining the same characteristic, i.e. tolerance to Formula X.</w:t>
      </w:r>
    </w:p>
    <w:p w14:paraId="76B2B5D7" w14:textId="77777777" w:rsidR="00A035AF" w:rsidRPr="006208E8" w:rsidRDefault="00A035AF" w:rsidP="004F416D">
      <w:pPr>
        <w:rPr>
          <w:color w:val="4F81BD" w:themeColor="accent1"/>
        </w:rPr>
      </w:pPr>
    </w:p>
    <w:p w14:paraId="40F6F7F6" w14:textId="77777777" w:rsidR="00A035AF" w:rsidRPr="006208E8" w:rsidRDefault="00A035AF" w:rsidP="004F416D">
      <w:pPr>
        <w:keepNext/>
        <w:ind w:left="1134" w:hanging="567"/>
        <w:rPr>
          <w:color w:val="4F81BD" w:themeColor="accent1"/>
        </w:rPr>
      </w:pPr>
      <w:r w:rsidRPr="006208E8">
        <w:rPr>
          <w:color w:val="4F81BD" w:themeColor="accent1"/>
        </w:rPr>
        <w:lastRenderedPageBreak/>
        <w:t>(e)</w:t>
      </w:r>
      <w:r w:rsidRPr="006208E8">
        <w:rPr>
          <w:color w:val="4F81BD" w:themeColor="accent1"/>
        </w:rPr>
        <w:tab/>
        <w:t>Different Gene Constructs Producing the Same Herbicide Tolerance but With Different Control of the Expression</w:t>
      </w:r>
    </w:p>
    <w:p w14:paraId="5D935FC6" w14:textId="77777777" w:rsidR="00A035AF" w:rsidRPr="006208E8" w:rsidRDefault="00A035AF" w:rsidP="004F416D">
      <w:pPr>
        <w:keepNext/>
        <w:ind w:left="1134" w:hanging="567"/>
        <w:rPr>
          <w:color w:val="4F81BD" w:themeColor="accent1"/>
        </w:rPr>
      </w:pPr>
    </w:p>
    <w:p w14:paraId="79CE0CBD" w14:textId="58C33D2A" w:rsidR="00A035AF" w:rsidRPr="006208E8" w:rsidRDefault="00A035AF" w:rsidP="004F416D">
      <w:pPr>
        <w:tabs>
          <w:tab w:val="left" w:pos="709"/>
        </w:tabs>
        <w:rPr>
          <w:color w:val="4F81BD" w:themeColor="accent1"/>
        </w:rPr>
      </w:pPr>
      <w:r w:rsidRPr="006208E8">
        <w:rPr>
          <w:color w:val="4F81BD" w:themeColor="accent1"/>
          <w:highlight w:val="lightGray"/>
          <w:u w:val="single"/>
        </w:rPr>
        <w:t>2.1.12</w:t>
      </w:r>
      <w:r w:rsidRPr="006208E8">
        <w:rPr>
          <w:color w:val="4F81BD" w:themeColor="accent1"/>
        </w:rPr>
        <w:tab/>
        <w:t xml:space="preserve">It is also </w:t>
      </w:r>
      <w:r w:rsidRPr="006208E8">
        <w:rPr>
          <w:rFonts w:cs="Arial"/>
          <w:color w:val="4F81BD" w:themeColor="accent1"/>
        </w:rPr>
        <w:t>possible</w:t>
      </w:r>
      <w:r w:rsidRPr="006208E8">
        <w:rPr>
          <w:color w:val="4F81BD" w:themeColor="accent1"/>
        </w:rPr>
        <w:t xml:space="preserve"> that different gene constructs could be developed which contain the same gene for tolerance to Formula X, but which had different regulatory control.  For example, the regulatory elements may result in the Formula X tolerance only being switched on at certain stages of development.  For simplicity, in considering this example, it is assumed that the different markers linked to different regulatory elements for the same gene would all be treated as different methods for examining the same characteristic of tolerance to Formula X.  However, it is also assumed that further consideration would be given to this matter at a later stage.</w:t>
      </w:r>
    </w:p>
    <w:p w14:paraId="22D25AE4" w14:textId="77777777" w:rsidR="00A035AF" w:rsidRDefault="00A035AF" w:rsidP="00043485">
      <w:pPr>
        <w:rPr>
          <w:color w:val="4F81BD" w:themeColor="accent1"/>
        </w:rPr>
      </w:pPr>
    </w:p>
    <w:p w14:paraId="7CFB9347" w14:textId="77777777" w:rsidR="00613998" w:rsidRPr="006208E8" w:rsidRDefault="00613998" w:rsidP="00043485">
      <w:pPr>
        <w:rPr>
          <w:color w:val="4F81BD" w:themeColor="accent1"/>
        </w:rPr>
      </w:pPr>
    </w:p>
    <w:p w14:paraId="75661C92" w14:textId="3B2AF741" w:rsidR="00043485" w:rsidRDefault="00043485" w:rsidP="00043485">
      <w:pPr>
        <w:pStyle w:val="Heading3"/>
        <w:rPr>
          <w:color w:val="4F81BD" w:themeColor="accent1"/>
        </w:rPr>
      </w:pPr>
      <w:bookmarkStart w:id="10" w:name="_Toc240538633"/>
      <w:r w:rsidRPr="00F55EC9">
        <w:rPr>
          <w:color w:val="4F81BD" w:themeColor="accent1"/>
        </w:rPr>
        <w:t>Example 2:  Gene Specific Marker with Incomplete Information on State of Expression for Disease Resistance in Tomato</w:t>
      </w:r>
      <w:bookmarkEnd w:id="10"/>
      <w:r w:rsidRPr="00F55EC9">
        <w:rPr>
          <w:color w:val="4F81BD" w:themeColor="accent1"/>
        </w:rPr>
        <w:t xml:space="preserve"> </w:t>
      </w:r>
    </w:p>
    <w:p w14:paraId="4474CB0F" w14:textId="45B64816" w:rsidR="00587F36" w:rsidRDefault="00587F36" w:rsidP="00587F36">
      <w:r w:rsidRPr="00F55EC9">
        <w:rPr>
          <w:color w:val="4F81BD" w:themeColor="accent1"/>
        </w:rPr>
        <w:t>Prepared by experts from the Kingdom of the Netherlands</w:t>
      </w:r>
    </w:p>
    <w:p w14:paraId="1E3DC524" w14:textId="77777777" w:rsidR="00587F36" w:rsidRPr="00587F36" w:rsidRDefault="00587F36" w:rsidP="00587F36"/>
    <w:p w14:paraId="42456057" w14:textId="3D071201" w:rsidR="001C30BB" w:rsidRPr="006208E8" w:rsidRDefault="001C30BB" w:rsidP="00F30DDF">
      <w:pPr>
        <w:tabs>
          <w:tab w:val="left" w:pos="709"/>
        </w:tabs>
        <w:rPr>
          <w:rFonts w:eastAsia="Calibri" w:cs="Arial"/>
          <w:color w:val="4F81BD" w:themeColor="accent1"/>
          <w:szCs w:val="18"/>
          <w:lang w:val="en-GB"/>
        </w:rPr>
      </w:pPr>
      <w:r w:rsidRPr="006208E8">
        <w:rPr>
          <w:rFonts w:eastAsia="Calibri" w:cs="Arial"/>
          <w:color w:val="4F81BD" w:themeColor="accent1"/>
          <w:highlight w:val="lightGray"/>
          <w:u w:val="single"/>
          <w:lang w:val="en-GB"/>
        </w:rPr>
        <w:t>2.1.13</w:t>
      </w:r>
      <w:r w:rsidRPr="006208E8">
        <w:rPr>
          <w:rFonts w:eastAsia="Calibri" w:cs="Arial"/>
          <w:color w:val="4F81BD" w:themeColor="accent1"/>
          <w:lang w:val="en-GB"/>
        </w:rPr>
        <w:tab/>
      </w:r>
      <w:r w:rsidRPr="006208E8">
        <w:rPr>
          <w:rFonts w:cs="Arial"/>
          <w:color w:val="4F81BD" w:themeColor="accent1"/>
        </w:rPr>
        <w:t>Resistance</w:t>
      </w:r>
      <w:r w:rsidRPr="006208E8">
        <w:rPr>
          <w:rFonts w:eastAsia="Calibri" w:cs="Arial"/>
          <w:color w:val="4F81BD" w:themeColor="accent1"/>
          <w:lang w:val="en-GB"/>
        </w:rPr>
        <w:t xml:space="preserve"> to Tomato mosaic virus (</w:t>
      </w:r>
      <w:proofErr w:type="spellStart"/>
      <w:r w:rsidRPr="006208E8">
        <w:rPr>
          <w:rFonts w:eastAsia="Calibri" w:cs="Arial"/>
          <w:color w:val="4F81BD" w:themeColor="accent1"/>
          <w:lang w:val="en-GB"/>
        </w:rPr>
        <w:t>ToMV</w:t>
      </w:r>
      <w:proofErr w:type="spellEnd"/>
      <w:r w:rsidRPr="006208E8">
        <w:rPr>
          <w:rFonts w:eastAsia="Calibri" w:cs="Arial"/>
          <w:color w:val="4F81BD" w:themeColor="accent1"/>
          <w:lang w:val="en-GB"/>
        </w:rPr>
        <w:t xml:space="preserve">) Strain 0 in Tomato is conferred by </w:t>
      </w:r>
      <w:r w:rsidRPr="006208E8">
        <w:rPr>
          <w:rFonts w:eastAsia="Calibri" w:cs="Arial"/>
          <w:color w:val="4F81BD" w:themeColor="accent1"/>
          <w:szCs w:val="18"/>
          <w:lang w:val="en-GB"/>
        </w:rPr>
        <w:t xml:space="preserve">the presence of allele </w:t>
      </w:r>
      <w:r w:rsidRPr="006208E8">
        <w:rPr>
          <w:rFonts w:eastAsia="Calibri" w:cs="Arial"/>
          <w:i/>
          <w:color w:val="4F81BD" w:themeColor="accent1"/>
          <w:szCs w:val="18"/>
          <w:lang w:val="en-GB"/>
        </w:rPr>
        <w:t xml:space="preserve">Tm1 </w:t>
      </w:r>
      <w:r w:rsidRPr="006208E8">
        <w:rPr>
          <w:rFonts w:eastAsia="Calibri" w:cs="Arial"/>
          <w:color w:val="4F81BD" w:themeColor="accent1"/>
          <w:szCs w:val="18"/>
          <w:lang w:val="en-GB"/>
        </w:rPr>
        <w:t>from gene Tm1</w:t>
      </w:r>
      <w:r w:rsidRPr="006208E8">
        <w:rPr>
          <w:rFonts w:eastAsia="Calibri" w:cs="Arial"/>
          <w:i/>
          <w:color w:val="4F81BD" w:themeColor="accent1"/>
          <w:szCs w:val="18"/>
          <w:lang w:val="en-GB"/>
        </w:rPr>
        <w:t xml:space="preserve"> </w:t>
      </w:r>
      <w:r w:rsidRPr="006208E8">
        <w:rPr>
          <w:rFonts w:eastAsia="Calibri" w:cs="Arial"/>
          <w:color w:val="4F81BD" w:themeColor="accent1"/>
          <w:szCs w:val="18"/>
          <w:lang w:val="en-GB"/>
        </w:rPr>
        <w:t xml:space="preserve">or alleles </w:t>
      </w:r>
      <w:r w:rsidRPr="006208E8">
        <w:rPr>
          <w:rFonts w:eastAsia="Calibri" w:cs="Arial"/>
          <w:i/>
          <w:color w:val="4F81BD" w:themeColor="accent1"/>
          <w:szCs w:val="18"/>
          <w:lang w:val="en-GB"/>
        </w:rPr>
        <w:t xml:space="preserve">Tm2 </w:t>
      </w:r>
      <w:r w:rsidRPr="006208E8">
        <w:rPr>
          <w:rFonts w:eastAsia="Calibri" w:cs="Arial"/>
          <w:color w:val="4F81BD" w:themeColor="accent1"/>
          <w:szCs w:val="18"/>
          <w:lang w:val="en-GB"/>
        </w:rPr>
        <w:t xml:space="preserve">or </w:t>
      </w:r>
      <w:r w:rsidRPr="006208E8">
        <w:rPr>
          <w:rFonts w:eastAsia="Calibri" w:cs="Arial"/>
          <w:i/>
          <w:color w:val="4F81BD" w:themeColor="accent1"/>
          <w:szCs w:val="18"/>
          <w:lang w:val="en-GB"/>
        </w:rPr>
        <w:t>Tm2</w:t>
      </w:r>
      <w:r w:rsidRPr="006208E8">
        <w:rPr>
          <w:rFonts w:eastAsia="Calibri" w:cs="Arial"/>
          <w:i/>
          <w:color w:val="4F81BD" w:themeColor="accent1"/>
          <w:szCs w:val="18"/>
          <w:vertAlign w:val="superscript"/>
          <w:lang w:val="en-GB"/>
        </w:rPr>
        <w:t xml:space="preserve">2  </w:t>
      </w:r>
      <w:r w:rsidRPr="006208E8">
        <w:rPr>
          <w:rFonts w:eastAsia="Calibri" w:cs="Arial"/>
          <w:color w:val="4F81BD" w:themeColor="accent1"/>
          <w:szCs w:val="18"/>
          <w:lang w:val="en-GB"/>
        </w:rPr>
        <w:t>from gene Tm2.</w:t>
      </w:r>
    </w:p>
    <w:p w14:paraId="7A8DCBFC" w14:textId="77777777" w:rsidR="001C30BB" w:rsidRPr="006208E8" w:rsidRDefault="001C30BB" w:rsidP="001C30BB">
      <w:pPr>
        <w:autoSpaceDE w:val="0"/>
        <w:autoSpaceDN w:val="0"/>
        <w:adjustRightInd w:val="0"/>
        <w:rPr>
          <w:rFonts w:eastAsia="Calibri" w:cs="Arial"/>
          <w:color w:val="4F81BD" w:themeColor="accent1"/>
          <w:szCs w:val="18"/>
          <w:lang w:val="en-GB"/>
        </w:rPr>
      </w:pPr>
    </w:p>
    <w:p w14:paraId="2CD76F58" w14:textId="534A937F" w:rsidR="001C30BB" w:rsidRPr="006208E8" w:rsidRDefault="001C30BB" w:rsidP="00F30DDF">
      <w:pPr>
        <w:tabs>
          <w:tab w:val="left" w:pos="709"/>
        </w:tabs>
        <w:rPr>
          <w:rFonts w:eastAsia="Calibri" w:cs="Arial"/>
          <w:color w:val="4F81BD" w:themeColor="accent1"/>
          <w:lang w:val="en-GB"/>
        </w:rPr>
      </w:pPr>
      <w:r w:rsidRPr="006208E8">
        <w:rPr>
          <w:rFonts w:eastAsia="Calibri" w:cs="Arial"/>
          <w:color w:val="4F81BD" w:themeColor="accent1"/>
          <w:highlight w:val="lightGray"/>
          <w:u w:val="single"/>
          <w:lang w:val="en-GB"/>
        </w:rPr>
        <w:t>2.1.14</w:t>
      </w:r>
      <w:r w:rsidRPr="006208E8">
        <w:rPr>
          <w:rFonts w:eastAsia="Calibri" w:cs="Arial"/>
          <w:color w:val="4F81BD" w:themeColor="accent1"/>
          <w:lang w:val="en-GB"/>
        </w:rPr>
        <w:tab/>
        <w:t xml:space="preserve">A single marker identifies the presence of resistance alleles </w:t>
      </w:r>
      <w:r w:rsidRPr="006208E8">
        <w:rPr>
          <w:rFonts w:eastAsia="Calibri" w:cs="Arial"/>
          <w:i/>
          <w:color w:val="4F81BD" w:themeColor="accent1"/>
          <w:lang w:val="en-GB"/>
        </w:rPr>
        <w:t>Tm2</w:t>
      </w:r>
      <w:r w:rsidRPr="006208E8">
        <w:rPr>
          <w:rFonts w:eastAsia="Calibri" w:cs="Arial"/>
          <w:color w:val="4F81BD" w:themeColor="accent1"/>
          <w:lang w:val="en-GB"/>
        </w:rPr>
        <w:t xml:space="preserve"> and </w:t>
      </w:r>
      <w:r w:rsidRPr="006208E8">
        <w:rPr>
          <w:rFonts w:eastAsia="Calibri" w:cs="Arial"/>
          <w:i/>
          <w:color w:val="4F81BD" w:themeColor="accent1"/>
          <w:lang w:val="en-GB"/>
        </w:rPr>
        <w:t>Tm2</w:t>
      </w:r>
      <w:r w:rsidRPr="006208E8">
        <w:rPr>
          <w:rFonts w:eastAsia="Calibri" w:cs="Arial"/>
          <w:i/>
          <w:color w:val="4F81BD" w:themeColor="accent1"/>
          <w:vertAlign w:val="superscript"/>
          <w:lang w:val="en-GB"/>
        </w:rPr>
        <w:t>2</w:t>
      </w:r>
      <w:r w:rsidRPr="006208E8">
        <w:rPr>
          <w:rFonts w:eastAsia="Calibri" w:cs="Arial"/>
          <w:color w:val="4F81BD" w:themeColor="accent1"/>
          <w:lang w:val="en-GB"/>
        </w:rPr>
        <w:t xml:space="preserve"> and the susceptible allele </w:t>
      </w:r>
      <w:r w:rsidRPr="006208E8">
        <w:rPr>
          <w:rFonts w:eastAsia="Calibri" w:cs="Arial"/>
          <w:i/>
          <w:color w:val="4F81BD" w:themeColor="accent1"/>
          <w:lang w:val="en-GB"/>
        </w:rPr>
        <w:t>tm2</w:t>
      </w:r>
      <w:r w:rsidRPr="006208E8">
        <w:rPr>
          <w:rFonts w:eastAsia="Calibri" w:cs="Arial"/>
          <w:color w:val="4F81BD" w:themeColor="accent1"/>
          <w:lang w:val="en-GB"/>
        </w:rPr>
        <w:t xml:space="preserve">.  Marker </w:t>
      </w:r>
      <w:r w:rsidRPr="006208E8">
        <w:rPr>
          <w:rFonts w:eastAsia="Calibri" w:cs="Arial"/>
          <w:i/>
          <w:color w:val="4F81BD" w:themeColor="accent1"/>
          <w:lang w:val="en-GB"/>
        </w:rPr>
        <w:t>Tm2/2</w:t>
      </w:r>
      <w:r w:rsidRPr="006208E8">
        <w:rPr>
          <w:rFonts w:eastAsia="Calibri" w:cs="Arial"/>
          <w:i/>
          <w:color w:val="4F81BD" w:themeColor="accent1"/>
          <w:vertAlign w:val="superscript"/>
          <w:lang w:val="en-GB"/>
        </w:rPr>
        <w:t>2</w:t>
      </w:r>
      <w:r w:rsidRPr="006208E8">
        <w:rPr>
          <w:rFonts w:eastAsia="Calibri" w:cs="Arial"/>
          <w:color w:val="4F81BD" w:themeColor="accent1"/>
          <w:lang w:val="en-GB"/>
        </w:rPr>
        <w:t xml:space="preserve"> is positioned in the protein coding sequence.</w:t>
      </w:r>
    </w:p>
    <w:p w14:paraId="5FD752EA" w14:textId="77777777" w:rsidR="001C30BB" w:rsidRPr="006208E8" w:rsidRDefault="001C30BB" w:rsidP="001C30BB">
      <w:pPr>
        <w:autoSpaceDE w:val="0"/>
        <w:autoSpaceDN w:val="0"/>
        <w:adjustRightInd w:val="0"/>
        <w:rPr>
          <w:rFonts w:eastAsia="Calibri" w:cs="Arial"/>
          <w:color w:val="4F81BD" w:themeColor="accent1"/>
          <w:lang w:val="en-GB"/>
        </w:rPr>
      </w:pPr>
    </w:p>
    <w:p w14:paraId="6294D3F1" w14:textId="6F094587" w:rsidR="001C30BB" w:rsidRPr="006208E8" w:rsidRDefault="001C30BB" w:rsidP="00F30DDF">
      <w:pPr>
        <w:tabs>
          <w:tab w:val="left" w:pos="709"/>
        </w:tabs>
        <w:rPr>
          <w:rFonts w:eastAsia="Calibri" w:cs="Arial"/>
          <w:color w:val="4F81BD" w:themeColor="accent1"/>
          <w:lang w:val="en-GB"/>
        </w:rPr>
      </w:pPr>
      <w:r w:rsidRPr="006208E8">
        <w:rPr>
          <w:rFonts w:eastAsia="Calibri" w:cs="Arial"/>
          <w:color w:val="4F81BD" w:themeColor="accent1"/>
          <w:highlight w:val="lightGray"/>
          <w:u w:val="single"/>
          <w:lang w:val="en-GB"/>
        </w:rPr>
        <w:t>2.1.15</w:t>
      </w:r>
      <w:r w:rsidRPr="006208E8">
        <w:rPr>
          <w:rFonts w:eastAsia="Calibri" w:cs="Arial"/>
          <w:color w:val="4F81BD" w:themeColor="accent1"/>
          <w:lang w:val="en-GB"/>
        </w:rPr>
        <w:tab/>
        <w:t xml:space="preserve">A variety will be resistant to </w:t>
      </w:r>
      <w:proofErr w:type="spellStart"/>
      <w:r w:rsidRPr="006208E8">
        <w:rPr>
          <w:rFonts w:eastAsia="Calibri" w:cs="Arial"/>
          <w:color w:val="4F81BD" w:themeColor="accent1"/>
          <w:lang w:val="en-GB"/>
        </w:rPr>
        <w:t>ToMV</w:t>
      </w:r>
      <w:proofErr w:type="spellEnd"/>
      <w:r w:rsidRPr="006208E8">
        <w:rPr>
          <w:rFonts w:eastAsia="Calibri" w:cs="Arial"/>
          <w:color w:val="4F81BD" w:themeColor="accent1"/>
          <w:lang w:val="en-GB"/>
        </w:rPr>
        <w:t xml:space="preserve"> Strain 0 if resistance allele </w:t>
      </w:r>
      <w:r w:rsidRPr="006208E8">
        <w:rPr>
          <w:rFonts w:eastAsia="Calibri" w:cs="Arial"/>
          <w:i/>
          <w:color w:val="4F81BD" w:themeColor="accent1"/>
          <w:lang w:val="en-GB"/>
        </w:rPr>
        <w:t xml:space="preserve">Tm2 </w:t>
      </w:r>
      <w:r w:rsidRPr="006208E8">
        <w:rPr>
          <w:rFonts w:eastAsia="Calibri" w:cs="Arial"/>
          <w:color w:val="4F81BD" w:themeColor="accent1"/>
          <w:lang w:val="en-GB"/>
        </w:rPr>
        <w:t xml:space="preserve">or resistance allele </w:t>
      </w:r>
      <w:r w:rsidRPr="006208E8">
        <w:rPr>
          <w:rFonts w:eastAsia="Calibri" w:cs="Arial"/>
          <w:i/>
          <w:color w:val="4F81BD" w:themeColor="accent1"/>
          <w:lang w:val="en-GB"/>
        </w:rPr>
        <w:t>Tm2</w:t>
      </w:r>
      <w:r w:rsidRPr="006208E8">
        <w:rPr>
          <w:rFonts w:eastAsia="Calibri" w:cs="Arial"/>
          <w:i/>
          <w:color w:val="4F81BD" w:themeColor="accent1"/>
          <w:vertAlign w:val="superscript"/>
          <w:lang w:val="en-GB"/>
        </w:rPr>
        <w:t>2</w:t>
      </w:r>
      <w:r w:rsidRPr="006208E8">
        <w:rPr>
          <w:rFonts w:eastAsia="Calibri" w:cs="Arial"/>
          <w:color w:val="4F81BD" w:themeColor="accent1"/>
          <w:lang w:val="en-GB"/>
        </w:rPr>
        <w:t xml:space="preserve"> is present.  </w:t>
      </w:r>
    </w:p>
    <w:p w14:paraId="0293A4D6" w14:textId="77777777" w:rsidR="001C30BB" w:rsidRPr="006208E8" w:rsidRDefault="001C30BB" w:rsidP="001C30BB">
      <w:pPr>
        <w:autoSpaceDE w:val="0"/>
        <w:autoSpaceDN w:val="0"/>
        <w:adjustRightInd w:val="0"/>
        <w:rPr>
          <w:rFonts w:eastAsia="Calibri" w:cs="Arial"/>
          <w:color w:val="4F81BD" w:themeColor="accent1"/>
          <w:lang w:val="en-GB"/>
        </w:rPr>
      </w:pPr>
    </w:p>
    <w:p w14:paraId="752768E0" w14:textId="51BD3671" w:rsidR="001C30BB" w:rsidRPr="006208E8" w:rsidRDefault="001C30BB" w:rsidP="00F30DDF">
      <w:pPr>
        <w:tabs>
          <w:tab w:val="left" w:pos="709"/>
        </w:tabs>
        <w:rPr>
          <w:rFonts w:eastAsia="Calibri" w:cs="Arial"/>
          <w:color w:val="4F81BD" w:themeColor="accent1"/>
          <w:lang w:val="en-GB"/>
        </w:rPr>
      </w:pPr>
      <w:r w:rsidRPr="006208E8">
        <w:rPr>
          <w:rFonts w:eastAsia="Calibri" w:cs="Arial"/>
          <w:color w:val="4F81BD" w:themeColor="accent1"/>
          <w:highlight w:val="lightGray"/>
          <w:u w:val="single"/>
          <w:lang w:val="en-GB"/>
        </w:rPr>
        <w:t>2.1.16</w:t>
      </w:r>
      <w:r w:rsidRPr="006208E8">
        <w:rPr>
          <w:rFonts w:eastAsia="Calibri" w:cs="Arial"/>
          <w:color w:val="4F81BD" w:themeColor="accent1"/>
          <w:lang w:val="en-GB"/>
        </w:rPr>
        <w:tab/>
        <w:t xml:space="preserve">A variety with homozygous allele </w:t>
      </w:r>
      <w:r w:rsidRPr="006208E8">
        <w:rPr>
          <w:rFonts w:eastAsia="Calibri" w:cs="Arial"/>
          <w:i/>
          <w:color w:val="4F81BD" w:themeColor="accent1"/>
          <w:lang w:val="en-GB"/>
        </w:rPr>
        <w:t>tm2</w:t>
      </w:r>
      <w:r w:rsidRPr="006208E8">
        <w:rPr>
          <w:rFonts w:eastAsia="Calibri" w:cs="Arial"/>
          <w:color w:val="4F81BD" w:themeColor="accent1"/>
          <w:lang w:val="en-GB"/>
        </w:rPr>
        <w:t xml:space="preserve"> will be susceptible to </w:t>
      </w:r>
      <w:proofErr w:type="spellStart"/>
      <w:r w:rsidRPr="006208E8">
        <w:rPr>
          <w:rFonts w:eastAsia="Calibri" w:cs="Arial"/>
          <w:color w:val="4F81BD" w:themeColor="accent1"/>
          <w:lang w:val="en-GB"/>
        </w:rPr>
        <w:t>ToMV</w:t>
      </w:r>
      <w:proofErr w:type="spellEnd"/>
      <w:r w:rsidRPr="006208E8">
        <w:rPr>
          <w:rFonts w:eastAsia="Calibri" w:cs="Arial"/>
          <w:color w:val="4F81BD" w:themeColor="accent1"/>
          <w:lang w:val="en-GB"/>
        </w:rPr>
        <w:t xml:space="preserve"> Strain 0 unless resistance is coded by resistance allele </w:t>
      </w:r>
      <w:r w:rsidRPr="006208E8">
        <w:rPr>
          <w:rFonts w:eastAsia="Calibri" w:cs="Arial"/>
          <w:i/>
          <w:color w:val="4F81BD" w:themeColor="accent1"/>
          <w:lang w:val="en-GB"/>
        </w:rPr>
        <w:t>Tm1</w:t>
      </w:r>
      <w:r w:rsidRPr="006208E8">
        <w:rPr>
          <w:rFonts w:eastAsia="Calibri" w:cs="Arial"/>
          <w:color w:val="4F81BD" w:themeColor="accent1"/>
          <w:lang w:val="en-GB"/>
        </w:rPr>
        <w:t xml:space="preserve">.  In this case, resistance to </w:t>
      </w:r>
      <w:proofErr w:type="spellStart"/>
      <w:r w:rsidRPr="006208E8">
        <w:rPr>
          <w:rFonts w:eastAsia="Calibri" w:cs="Arial"/>
          <w:color w:val="4F81BD" w:themeColor="accent1"/>
          <w:lang w:val="en-GB"/>
        </w:rPr>
        <w:t>ToMV</w:t>
      </w:r>
      <w:proofErr w:type="spellEnd"/>
      <w:r w:rsidRPr="006208E8">
        <w:rPr>
          <w:rFonts w:eastAsia="Calibri" w:cs="Arial"/>
          <w:color w:val="4F81BD" w:themeColor="accent1"/>
          <w:lang w:val="en-GB"/>
        </w:rPr>
        <w:t xml:space="preserve"> Strain 0 cannot be assessed by a DNA marker test because there is no reliable marker for gene Tm1.  </w:t>
      </w:r>
    </w:p>
    <w:p w14:paraId="03EF4FFE" w14:textId="77777777" w:rsidR="001C30BB" w:rsidRPr="006208E8" w:rsidRDefault="001C30BB" w:rsidP="001C30BB">
      <w:pPr>
        <w:autoSpaceDE w:val="0"/>
        <w:autoSpaceDN w:val="0"/>
        <w:adjustRightInd w:val="0"/>
        <w:rPr>
          <w:rFonts w:eastAsia="Calibri" w:cs="Arial"/>
          <w:color w:val="4F81BD" w:themeColor="accent1"/>
        </w:rPr>
      </w:pPr>
    </w:p>
    <w:p w14:paraId="0EDC7BFF" w14:textId="77777777" w:rsidR="001C30BB" w:rsidRPr="006208E8" w:rsidRDefault="001C30BB" w:rsidP="001C30BB">
      <w:pPr>
        <w:keepNext/>
        <w:autoSpaceDE w:val="0"/>
        <w:autoSpaceDN w:val="0"/>
        <w:adjustRightInd w:val="0"/>
        <w:jc w:val="center"/>
        <w:rPr>
          <w:rFonts w:eastAsia="Calibri" w:cs="Arial"/>
          <w:color w:val="4F81BD" w:themeColor="accent1"/>
          <w:lang w:val="en-GB"/>
        </w:rPr>
      </w:pPr>
      <w:r w:rsidRPr="006208E8">
        <w:rPr>
          <w:rFonts w:eastAsia="Calibri" w:cs="Arial"/>
          <w:color w:val="4F81BD" w:themeColor="accent1"/>
          <w:lang w:val="en-GB"/>
        </w:rPr>
        <w:t>Table 1:  Schematic overview of resistance to Tomato mosaic virus and resistance alleles:</w:t>
      </w:r>
    </w:p>
    <w:p w14:paraId="3B8DAC5F" w14:textId="77777777" w:rsidR="001C30BB" w:rsidRPr="006208E8" w:rsidRDefault="001C30BB" w:rsidP="001C30BB">
      <w:pPr>
        <w:keepNext/>
        <w:autoSpaceDE w:val="0"/>
        <w:autoSpaceDN w:val="0"/>
        <w:adjustRightInd w:val="0"/>
        <w:rPr>
          <w:rFonts w:eastAsia="Calibri" w:cs="Arial"/>
          <w:color w:val="4F81BD" w:themeColor="accent1"/>
          <w:szCs w:val="19"/>
          <w:lang w:val="en-GB"/>
        </w:rPr>
      </w:pPr>
    </w:p>
    <w:tbl>
      <w:tblPr>
        <w:tblStyle w:val="TableGrid"/>
        <w:tblW w:w="8505" w:type="dxa"/>
        <w:tblInd w:w="562" w:type="dxa"/>
        <w:tblLayout w:type="fixed"/>
        <w:tblLook w:val="04A0" w:firstRow="1" w:lastRow="0" w:firstColumn="1" w:lastColumn="0" w:noHBand="0" w:noVBand="1"/>
      </w:tblPr>
      <w:tblGrid>
        <w:gridCol w:w="1701"/>
        <w:gridCol w:w="1985"/>
        <w:gridCol w:w="2977"/>
        <w:gridCol w:w="1842"/>
      </w:tblGrid>
      <w:tr w:rsidR="006208E8" w:rsidRPr="006208E8" w14:paraId="04DF6172" w14:textId="77777777" w:rsidTr="00076AAA">
        <w:tc>
          <w:tcPr>
            <w:tcW w:w="1701" w:type="dxa"/>
            <w:vAlign w:val="center"/>
          </w:tcPr>
          <w:p w14:paraId="451A7DF8" w14:textId="77777777" w:rsidR="001C30BB" w:rsidRPr="006208E8" w:rsidRDefault="001C30BB" w:rsidP="00076AAA">
            <w:pPr>
              <w:keepNext/>
              <w:autoSpaceDE w:val="0"/>
              <w:autoSpaceDN w:val="0"/>
              <w:adjustRightInd w:val="0"/>
              <w:jc w:val="left"/>
              <w:rPr>
                <w:rFonts w:cs="Arial"/>
                <w:color w:val="4F81BD" w:themeColor="accent1"/>
                <w:szCs w:val="19"/>
              </w:rPr>
            </w:pPr>
            <w:r w:rsidRPr="006208E8">
              <w:rPr>
                <w:rFonts w:cs="Arial"/>
                <w:color w:val="4F81BD" w:themeColor="accent1"/>
                <w:szCs w:val="19"/>
              </w:rPr>
              <w:t>Genetic background</w:t>
            </w:r>
          </w:p>
        </w:tc>
        <w:tc>
          <w:tcPr>
            <w:tcW w:w="1985" w:type="dxa"/>
            <w:vAlign w:val="center"/>
          </w:tcPr>
          <w:p w14:paraId="245F7B8C" w14:textId="77777777" w:rsidR="001C30BB" w:rsidRPr="006208E8" w:rsidRDefault="001C30BB" w:rsidP="00076AAA">
            <w:pPr>
              <w:keepNext/>
              <w:autoSpaceDE w:val="0"/>
              <w:autoSpaceDN w:val="0"/>
              <w:adjustRightInd w:val="0"/>
              <w:jc w:val="left"/>
              <w:rPr>
                <w:rFonts w:cs="Arial"/>
                <w:i/>
                <w:color w:val="4F81BD" w:themeColor="accent1"/>
                <w:szCs w:val="19"/>
              </w:rPr>
            </w:pPr>
            <w:r w:rsidRPr="006208E8">
              <w:rPr>
                <w:rFonts w:cs="Arial"/>
                <w:i/>
                <w:color w:val="4F81BD" w:themeColor="accent1"/>
                <w:szCs w:val="19"/>
              </w:rPr>
              <w:t xml:space="preserve">tm2/tm2 </w:t>
            </w:r>
          </w:p>
          <w:p w14:paraId="7E136546" w14:textId="77777777" w:rsidR="001C30BB" w:rsidRPr="006208E8" w:rsidRDefault="001C30BB" w:rsidP="00076AAA">
            <w:pPr>
              <w:keepNext/>
              <w:autoSpaceDE w:val="0"/>
              <w:autoSpaceDN w:val="0"/>
              <w:adjustRightInd w:val="0"/>
              <w:jc w:val="left"/>
              <w:rPr>
                <w:rFonts w:cs="Arial"/>
                <w:color w:val="4F81BD" w:themeColor="accent1"/>
                <w:szCs w:val="19"/>
              </w:rPr>
            </w:pPr>
          </w:p>
          <w:p w14:paraId="49213035" w14:textId="77777777" w:rsidR="001C30BB" w:rsidRPr="006208E8" w:rsidRDefault="001C30BB" w:rsidP="00076AAA">
            <w:pPr>
              <w:keepNext/>
              <w:autoSpaceDE w:val="0"/>
              <w:autoSpaceDN w:val="0"/>
              <w:adjustRightInd w:val="0"/>
              <w:jc w:val="left"/>
              <w:rPr>
                <w:rFonts w:cs="Arial"/>
                <w:color w:val="4F81BD" w:themeColor="accent1"/>
                <w:szCs w:val="19"/>
              </w:rPr>
            </w:pPr>
            <w:r w:rsidRPr="006208E8">
              <w:rPr>
                <w:rFonts w:cs="Arial"/>
                <w:color w:val="4F81BD" w:themeColor="accent1"/>
                <w:szCs w:val="19"/>
              </w:rPr>
              <w:t xml:space="preserve">and </w:t>
            </w:r>
          </w:p>
          <w:p w14:paraId="19432BCF" w14:textId="77777777" w:rsidR="001C30BB" w:rsidRPr="006208E8" w:rsidRDefault="001C30BB" w:rsidP="00076AAA">
            <w:pPr>
              <w:keepNext/>
              <w:autoSpaceDE w:val="0"/>
              <w:autoSpaceDN w:val="0"/>
              <w:adjustRightInd w:val="0"/>
              <w:jc w:val="left"/>
              <w:rPr>
                <w:rFonts w:cs="Arial"/>
                <w:color w:val="4F81BD" w:themeColor="accent1"/>
                <w:szCs w:val="19"/>
              </w:rPr>
            </w:pPr>
          </w:p>
          <w:p w14:paraId="40F473C6" w14:textId="77777777" w:rsidR="001C30BB" w:rsidRPr="006208E8" w:rsidRDefault="001C30BB" w:rsidP="00076AAA">
            <w:pPr>
              <w:keepNext/>
              <w:autoSpaceDE w:val="0"/>
              <w:autoSpaceDN w:val="0"/>
              <w:adjustRightInd w:val="0"/>
              <w:jc w:val="left"/>
              <w:rPr>
                <w:rFonts w:cs="Arial"/>
                <w:i/>
                <w:color w:val="4F81BD" w:themeColor="accent1"/>
                <w:szCs w:val="19"/>
              </w:rPr>
            </w:pPr>
            <w:r w:rsidRPr="006208E8">
              <w:rPr>
                <w:rFonts w:cs="Arial"/>
                <w:i/>
                <w:color w:val="4F81BD" w:themeColor="accent1"/>
                <w:szCs w:val="19"/>
              </w:rPr>
              <w:t>tm1/tm1</w:t>
            </w:r>
          </w:p>
          <w:p w14:paraId="7D0A4905" w14:textId="77777777" w:rsidR="001C30BB" w:rsidRPr="006208E8" w:rsidRDefault="001C30BB" w:rsidP="00076AAA">
            <w:pPr>
              <w:keepNext/>
              <w:autoSpaceDE w:val="0"/>
              <w:autoSpaceDN w:val="0"/>
              <w:adjustRightInd w:val="0"/>
              <w:jc w:val="left"/>
              <w:rPr>
                <w:rFonts w:cs="Arial"/>
                <w:color w:val="4F81BD" w:themeColor="accent1"/>
                <w:szCs w:val="19"/>
              </w:rPr>
            </w:pPr>
          </w:p>
        </w:tc>
        <w:tc>
          <w:tcPr>
            <w:tcW w:w="2977" w:type="dxa"/>
            <w:vAlign w:val="center"/>
          </w:tcPr>
          <w:p w14:paraId="0EA039B5" w14:textId="77777777" w:rsidR="001C30BB" w:rsidRPr="006208E8" w:rsidRDefault="001C30BB" w:rsidP="00076AAA">
            <w:pPr>
              <w:keepNext/>
              <w:autoSpaceDE w:val="0"/>
              <w:autoSpaceDN w:val="0"/>
              <w:adjustRightInd w:val="0"/>
              <w:jc w:val="left"/>
              <w:rPr>
                <w:rFonts w:cs="Arial"/>
                <w:color w:val="4F81BD" w:themeColor="accent1"/>
                <w:szCs w:val="19"/>
              </w:rPr>
            </w:pPr>
            <w:r w:rsidRPr="006208E8">
              <w:rPr>
                <w:rFonts w:cs="Arial"/>
                <w:i/>
                <w:color w:val="4F81BD" w:themeColor="accent1"/>
                <w:szCs w:val="19"/>
              </w:rPr>
              <w:t>Tm2/Tm2 or Tm2</w:t>
            </w:r>
            <w:r w:rsidRPr="006208E8">
              <w:rPr>
                <w:rFonts w:cs="Arial"/>
                <w:i/>
                <w:color w:val="4F81BD" w:themeColor="accent1"/>
                <w:szCs w:val="19"/>
                <w:vertAlign w:val="superscript"/>
              </w:rPr>
              <w:t>2</w:t>
            </w:r>
            <w:r w:rsidRPr="006208E8">
              <w:rPr>
                <w:rFonts w:cs="Arial"/>
                <w:i/>
                <w:color w:val="4F81BD" w:themeColor="accent1"/>
                <w:szCs w:val="19"/>
              </w:rPr>
              <w:t>/Tm2</w:t>
            </w:r>
            <w:r w:rsidRPr="006208E8">
              <w:rPr>
                <w:rFonts w:cs="Arial"/>
                <w:i/>
                <w:color w:val="4F81BD" w:themeColor="accent1"/>
                <w:szCs w:val="19"/>
                <w:vertAlign w:val="superscript"/>
              </w:rPr>
              <w:t>2</w:t>
            </w:r>
            <w:r w:rsidRPr="006208E8">
              <w:rPr>
                <w:rFonts w:cs="Arial"/>
                <w:color w:val="4F81BD" w:themeColor="accent1"/>
                <w:szCs w:val="19"/>
              </w:rPr>
              <w:t xml:space="preserve"> or </w:t>
            </w:r>
            <w:r w:rsidRPr="006208E8">
              <w:rPr>
                <w:rFonts w:cs="Arial"/>
                <w:i/>
                <w:color w:val="4F81BD" w:themeColor="accent1"/>
                <w:szCs w:val="19"/>
              </w:rPr>
              <w:t>Tm2</w:t>
            </w:r>
            <w:r w:rsidRPr="006208E8">
              <w:rPr>
                <w:rFonts w:cs="Arial"/>
                <w:i/>
                <w:color w:val="4F81BD" w:themeColor="accent1"/>
                <w:szCs w:val="19"/>
                <w:vertAlign w:val="superscript"/>
              </w:rPr>
              <w:t>2</w:t>
            </w:r>
            <w:r w:rsidRPr="006208E8">
              <w:rPr>
                <w:rFonts w:cs="Arial"/>
                <w:i/>
                <w:color w:val="4F81BD" w:themeColor="accent1"/>
                <w:szCs w:val="19"/>
              </w:rPr>
              <w:t>/Tm2</w:t>
            </w:r>
            <w:r w:rsidRPr="006208E8">
              <w:rPr>
                <w:rFonts w:cs="Arial"/>
                <w:color w:val="4F81BD" w:themeColor="accent1"/>
                <w:szCs w:val="19"/>
              </w:rPr>
              <w:t xml:space="preserve"> or </w:t>
            </w:r>
          </w:p>
          <w:p w14:paraId="33D29604" w14:textId="77777777" w:rsidR="001C30BB" w:rsidRPr="006208E8" w:rsidRDefault="001C30BB" w:rsidP="00076AAA">
            <w:pPr>
              <w:keepNext/>
              <w:autoSpaceDE w:val="0"/>
              <w:autoSpaceDN w:val="0"/>
              <w:adjustRightInd w:val="0"/>
              <w:jc w:val="left"/>
              <w:rPr>
                <w:rFonts w:cs="Arial"/>
                <w:i/>
                <w:color w:val="4F81BD" w:themeColor="accent1"/>
                <w:szCs w:val="19"/>
              </w:rPr>
            </w:pPr>
            <w:r w:rsidRPr="006208E8">
              <w:rPr>
                <w:rFonts w:cs="Arial"/>
                <w:i/>
                <w:color w:val="4F81BD" w:themeColor="accent1"/>
                <w:szCs w:val="19"/>
              </w:rPr>
              <w:t>Tm2/tm2 or Tm2</w:t>
            </w:r>
            <w:r w:rsidRPr="006208E8">
              <w:rPr>
                <w:rFonts w:cs="Arial"/>
                <w:i/>
                <w:color w:val="4F81BD" w:themeColor="accent1"/>
                <w:szCs w:val="19"/>
                <w:vertAlign w:val="superscript"/>
              </w:rPr>
              <w:t>2</w:t>
            </w:r>
            <w:r w:rsidRPr="006208E8">
              <w:rPr>
                <w:rFonts w:cs="Arial"/>
                <w:i/>
                <w:color w:val="4F81BD" w:themeColor="accent1"/>
                <w:szCs w:val="19"/>
              </w:rPr>
              <w:t>/tm2</w:t>
            </w:r>
          </w:p>
          <w:p w14:paraId="30D1F950" w14:textId="77777777" w:rsidR="001C30BB" w:rsidRPr="006208E8" w:rsidRDefault="001C30BB" w:rsidP="00076AAA">
            <w:pPr>
              <w:keepNext/>
              <w:autoSpaceDE w:val="0"/>
              <w:autoSpaceDN w:val="0"/>
              <w:adjustRightInd w:val="0"/>
              <w:jc w:val="left"/>
              <w:rPr>
                <w:rFonts w:cs="Arial"/>
                <w:color w:val="4F81BD" w:themeColor="accent1"/>
                <w:szCs w:val="19"/>
              </w:rPr>
            </w:pPr>
          </w:p>
          <w:p w14:paraId="02562E16" w14:textId="77777777" w:rsidR="001C30BB" w:rsidRPr="006208E8" w:rsidRDefault="001C30BB" w:rsidP="00076AAA">
            <w:pPr>
              <w:keepNext/>
              <w:autoSpaceDE w:val="0"/>
              <w:autoSpaceDN w:val="0"/>
              <w:adjustRightInd w:val="0"/>
              <w:jc w:val="left"/>
              <w:rPr>
                <w:rFonts w:cs="Arial"/>
                <w:color w:val="4F81BD" w:themeColor="accent1"/>
                <w:szCs w:val="19"/>
              </w:rPr>
            </w:pPr>
            <w:r w:rsidRPr="006208E8">
              <w:rPr>
                <w:rFonts w:cs="Arial"/>
                <w:color w:val="4F81BD" w:themeColor="accent1"/>
                <w:szCs w:val="19"/>
              </w:rPr>
              <w:t xml:space="preserve">and </w:t>
            </w:r>
          </w:p>
          <w:p w14:paraId="3F32A210" w14:textId="77777777" w:rsidR="001C30BB" w:rsidRPr="006208E8" w:rsidRDefault="001C30BB" w:rsidP="00076AAA">
            <w:pPr>
              <w:keepNext/>
              <w:autoSpaceDE w:val="0"/>
              <w:autoSpaceDN w:val="0"/>
              <w:adjustRightInd w:val="0"/>
              <w:jc w:val="left"/>
              <w:rPr>
                <w:rFonts w:cs="Arial"/>
                <w:color w:val="4F81BD" w:themeColor="accent1"/>
                <w:szCs w:val="19"/>
              </w:rPr>
            </w:pPr>
          </w:p>
          <w:p w14:paraId="14800FC4" w14:textId="77777777" w:rsidR="001C30BB" w:rsidRPr="006208E8" w:rsidRDefault="001C30BB" w:rsidP="00076AAA">
            <w:pPr>
              <w:keepNext/>
              <w:autoSpaceDE w:val="0"/>
              <w:autoSpaceDN w:val="0"/>
              <w:adjustRightInd w:val="0"/>
              <w:spacing w:before="60"/>
              <w:jc w:val="left"/>
              <w:rPr>
                <w:rFonts w:cs="Arial"/>
                <w:color w:val="4F81BD" w:themeColor="accent1"/>
                <w:szCs w:val="19"/>
              </w:rPr>
            </w:pPr>
            <w:r w:rsidRPr="006208E8">
              <w:rPr>
                <w:rFonts w:cs="Arial"/>
                <w:i/>
                <w:color w:val="4F81BD" w:themeColor="accent1"/>
                <w:szCs w:val="19"/>
              </w:rPr>
              <w:t>Tm1/Tm1</w:t>
            </w:r>
            <w:r w:rsidRPr="006208E8">
              <w:rPr>
                <w:rFonts w:cs="Arial"/>
                <w:color w:val="4F81BD" w:themeColor="accent1"/>
                <w:szCs w:val="19"/>
              </w:rPr>
              <w:t xml:space="preserve"> or </w:t>
            </w:r>
            <w:r w:rsidRPr="006208E8">
              <w:rPr>
                <w:rFonts w:cs="Arial"/>
                <w:i/>
                <w:color w:val="4F81BD" w:themeColor="accent1"/>
                <w:szCs w:val="19"/>
              </w:rPr>
              <w:t>Tm1/tm1</w:t>
            </w:r>
            <w:r w:rsidRPr="006208E8">
              <w:rPr>
                <w:rFonts w:cs="Arial"/>
                <w:color w:val="4F81BD" w:themeColor="accent1"/>
                <w:szCs w:val="19"/>
              </w:rPr>
              <w:t xml:space="preserve"> or </w:t>
            </w:r>
            <w:r w:rsidRPr="006208E8">
              <w:rPr>
                <w:rFonts w:cs="Arial"/>
                <w:i/>
                <w:color w:val="4F81BD" w:themeColor="accent1"/>
                <w:szCs w:val="19"/>
              </w:rPr>
              <w:t>tm1/tm1</w:t>
            </w:r>
          </w:p>
        </w:tc>
        <w:tc>
          <w:tcPr>
            <w:tcW w:w="1842" w:type="dxa"/>
            <w:vAlign w:val="center"/>
          </w:tcPr>
          <w:p w14:paraId="0FE9956B" w14:textId="77777777" w:rsidR="001C30BB" w:rsidRPr="006208E8" w:rsidRDefault="001C30BB" w:rsidP="00076AAA">
            <w:pPr>
              <w:keepNext/>
              <w:autoSpaceDE w:val="0"/>
              <w:autoSpaceDN w:val="0"/>
              <w:adjustRightInd w:val="0"/>
              <w:jc w:val="left"/>
              <w:rPr>
                <w:rFonts w:cs="Arial"/>
                <w:i/>
                <w:color w:val="4F81BD" w:themeColor="accent1"/>
                <w:szCs w:val="19"/>
              </w:rPr>
            </w:pPr>
            <w:r w:rsidRPr="006208E8">
              <w:rPr>
                <w:rFonts w:cs="Arial"/>
                <w:i/>
                <w:color w:val="4F81BD" w:themeColor="accent1"/>
                <w:szCs w:val="19"/>
              </w:rPr>
              <w:t xml:space="preserve">tm2/tm2 </w:t>
            </w:r>
          </w:p>
          <w:p w14:paraId="0F15DABA" w14:textId="77777777" w:rsidR="001C30BB" w:rsidRPr="006208E8" w:rsidRDefault="001C30BB" w:rsidP="00076AAA">
            <w:pPr>
              <w:keepNext/>
              <w:autoSpaceDE w:val="0"/>
              <w:autoSpaceDN w:val="0"/>
              <w:adjustRightInd w:val="0"/>
              <w:jc w:val="left"/>
              <w:rPr>
                <w:rFonts w:cs="Arial"/>
                <w:color w:val="4F81BD" w:themeColor="accent1"/>
                <w:szCs w:val="19"/>
              </w:rPr>
            </w:pPr>
          </w:p>
          <w:p w14:paraId="5474D588" w14:textId="77777777" w:rsidR="001C30BB" w:rsidRPr="006208E8" w:rsidRDefault="001C30BB" w:rsidP="00076AAA">
            <w:pPr>
              <w:keepNext/>
              <w:autoSpaceDE w:val="0"/>
              <w:autoSpaceDN w:val="0"/>
              <w:adjustRightInd w:val="0"/>
              <w:jc w:val="left"/>
              <w:rPr>
                <w:rFonts w:cs="Arial"/>
                <w:color w:val="4F81BD" w:themeColor="accent1"/>
                <w:szCs w:val="19"/>
              </w:rPr>
            </w:pPr>
            <w:r w:rsidRPr="006208E8">
              <w:rPr>
                <w:rFonts w:cs="Arial"/>
                <w:color w:val="4F81BD" w:themeColor="accent1"/>
                <w:szCs w:val="19"/>
              </w:rPr>
              <w:t>and</w:t>
            </w:r>
          </w:p>
          <w:p w14:paraId="21309295" w14:textId="77777777" w:rsidR="001C30BB" w:rsidRPr="006208E8" w:rsidRDefault="001C30BB" w:rsidP="00076AAA">
            <w:pPr>
              <w:keepNext/>
              <w:autoSpaceDE w:val="0"/>
              <w:autoSpaceDN w:val="0"/>
              <w:adjustRightInd w:val="0"/>
              <w:jc w:val="left"/>
              <w:rPr>
                <w:rFonts w:cs="Arial"/>
                <w:color w:val="4F81BD" w:themeColor="accent1"/>
                <w:szCs w:val="19"/>
              </w:rPr>
            </w:pPr>
          </w:p>
          <w:p w14:paraId="5F741F3D" w14:textId="77777777" w:rsidR="001C30BB" w:rsidRPr="006208E8" w:rsidRDefault="001C30BB" w:rsidP="00076AAA">
            <w:pPr>
              <w:keepNext/>
              <w:autoSpaceDE w:val="0"/>
              <w:autoSpaceDN w:val="0"/>
              <w:adjustRightInd w:val="0"/>
              <w:jc w:val="left"/>
              <w:rPr>
                <w:rFonts w:cs="Arial"/>
                <w:i/>
                <w:color w:val="4F81BD" w:themeColor="accent1"/>
                <w:szCs w:val="19"/>
              </w:rPr>
            </w:pPr>
            <w:r w:rsidRPr="006208E8">
              <w:rPr>
                <w:rFonts w:cs="Arial"/>
                <w:i/>
                <w:color w:val="4F81BD" w:themeColor="accent1"/>
                <w:szCs w:val="19"/>
              </w:rPr>
              <w:t>Tm1/Tm1</w:t>
            </w:r>
            <w:r w:rsidRPr="006208E8">
              <w:rPr>
                <w:rFonts w:cs="Arial"/>
                <w:color w:val="4F81BD" w:themeColor="accent1"/>
                <w:szCs w:val="19"/>
              </w:rPr>
              <w:t xml:space="preserve"> or </w:t>
            </w:r>
            <w:r w:rsidRPr="006208E8">
              <w:rPr>
                <w:rFonts w:cs="Arial"/>
                <w:i/>
                <w:color w:val="4F81BD" w:themeColor="accent1"/>
                <w:szCs w:val="19"/>
              </w:rPr>
              <w:t xml:space="preserve">Tm1/tm1 </w:t>
            </w:r>
          </w:p>
        </w:tc>
      </w:tr>
      <w:tr w:rsidR="006208E8" w:rsidRPr="006208E8" w14:paraId="76BE5ADD" w14:textId="77777777" w:rsidTr="00076AAA">
        <w:trPr>
          <w:trHeight w:val="606"/>
        </w:trPr>
        <w:tc>
          <w:tcPr>
            <w:tcW w:w="1701" w:type="dxa"/>
            <w:vAlign w:val="center"/>
          </w:tcPr>
          <w:p w14:paraId="08AA16AD" w14:textId="77777777" w:rsidR="001C30BB" w:rsidRPr="006208E8" w:rsidRDefault="001C30BB" w:rsidP="00076AAA">
            <w:pPr>
              <w:autoSpaceDE w:val="0"/>
              <w:autoSpaceDN w:val="0"/>
              <w:adjustRightInd w:val="0"/>
              <w:jc w:val="left"/>
              <w:rPr>
                <w:rFonts w:cs="Arial"/>
                <w:color w:val="4F81BD" w:themeColor="accent1"/>
                <w:szCs w:val="19"/>
              </w:rPr>
            </w:pPr>
            <w:r w:rsidRPr="006208E8">
              <w:rPr>
                <w:rFonts w:cs="Arial"/>
                <w:color w:val="4F81BD" w:themeColor="accent1"/>
                <w:szCs w:val="19"/>
              </w:rPr>
              <w:t xml:space="preserve">Marker </w:t>
            </w:r>
            <w:r w:rsidRPr="006208E8">
              <w:rPr>
                <w:rFonts w:cs="Arial"/>
                <w:i/>
                <w:color w:val="4F81BD" w:themeColor="accent1"/>
                <w:szCs w:val="19"/>
              </w:rPr>
              <w:t>Tm2/2</w:t>
            </w:r>
            <w:r w:rsidRPr="006208E8">
              <w:rPr>
                <w:rFonts w:cs="Arial"/>
                <w:i/>
                <w:color w:val="4F81BD" w:themeColor="accent1"/>
                <w:szCs w:val="19"/>
                <w:vertAlign w:val="superscript"/>
              </w:rPr>
              <w:t>2</w:t>
            </w:r>
          </w:p>
        </w:tc>
        <w:tc>
          <w:tcPr>
            <w:tcW w:w="1985" w:type="dxa"/>
            <w:vAlign w:val="center"/>
          </w:tcPr>
          <w:p w14:paraId="0034B089" w14:textId="77777777" w:rsidR="001C30BB" w:rsidRPr="006208E8" w:rsidRDefault="001C30BB" w:rsidP="00076AAA">
            <w:pPr>
              <w:autoSpaceDE w:val="0"/>
              <w:autoSpaceDN w:val="0"/>
              <w:adjustRightInd w:val="0"/>
              <w:jc w:val="left"/>
              <w:rPr>
                <w:rFonts w:cs="Arial"/>
                <w:color w:val="4F81BD" w:themeColor="accent1"/>
                <w:szCs w:val="19"/>
              </w:rPr>
            </w:pPr>
            <w:r w:rsidRPr="006208E8">
              <w:rPr>
                <w:rFonts w:cs="Arial"/>
                <w:color w:val="4F81BD" w:themeColor="accent1"/>
                <w:szCs w:val="19"/>
              </w:rPr>
              <w:t>susceptible allele</w:t>
            </w:r>
          </w:p>
        </w:tc>
        <w:tc>
          <w:tcPr>
            <w:tcW w:w="2977" w:type="dxa"/>
            <w:vAlign w:val="center"/>
          </w:tcPr>
          <w:p w14:paraId="00652867" w14:textId="77777777" w:rsidR="001C30BB" w:rsidRPr="006208E8" w:rsidRDefault="001C30BB" w:rsidP="00076AAA">
            <w:pPr>
              <w:autoSpaceDE w:val="0"/>
              <w:autoSpaceDN w:val="0"/>
              <w:adjustRightInd w:val="0"/>
              <w:jc w:val="left"/>
              <w:rPr>
                <w:rFonts w:cs="Arial"/>
                <w:color w:val="4F81BD" w:themeColor="accent1"/>
                <w:szCs w:val="19"/>
              </w:rPr>
            </w:pPr>
            <w:r w:rsidRPr="006208E8">
              <w:rPr>
                <w:rFonts w:cs="Arial"/>
                <w:color w:val="4F81BD" w:themeColor="accent1"/>
                <w:szCs w:val="19"/>
              </w:rPr>
              <w:t>resistant allele</w:t>
            </w:r>
          </w:p>
        </w:tc>
        <w:tc>
          <w:tcPr>
            <w:tcW w:w="1842" w:type="dxa"/>
            <w:vAlign w:val="center"/>
          </w:tcPr>
          <w:p w14:paraId="43CBA679" w14:textId="77777777" w:rsidR="001C30BB" w:rsidRPr="006208E8" w:rsidRDefault="001C30BB" w:rsidP="00076AAA">
            <w:pPr>
              <w:autoSpaceDE w:val="0"/>
              <w:autoSpaceDN w:val="0"/>
              <w:adjustRightInd w:val="0"/>
              <w:jc w:val="left"/>
              <w:rPr>
                <w:rFonts w:cs="Arial"/>
                <w:color w:val="4F81BD" w:themeColor="accent1"/>
                <w:szCs w:val="19"/>
              </w:rPr>
            </w:pPr>
            <w:r w:rsidRPr="006208E8">
              <w:rPr>
                <w:rFonts w:cs="Arial"/>
                <w:color w:val="4F81BD" w:themeColor="accent1"/>
                <w:szCs w:val="19"/>
              </w:rPr>
              <w:t>susceptible allele</w:t>
            </w:r>
          </w:p>
        </w:tc>
      </w:tr>
      <w:tr w:rsidR="006208E8" w:rsidRPr="006208E8" w14:paraId="34DB182D" w14:textId="77777777" w:rsidTr="00076AAA">
        <w:trPr>
          <w:trHeight w:val="558"/>
        </w:trPr>
        <w:tc>
          <w:tcPr>
            <w:tcW w:w="1701" w:type="dxa"/>
            <w:vAlign w:val="center"/>
          </w:tcPr>
          <w:p w14:paraId="7FB0D295" w14:textId="77777777" w:rsidR="001C30BB" w:rsidRPr="006208E8" w:rsidRDefault="001C30BB" w:rsidP="00076AAA">
            <w:pPr>
              <w:autoSpaceDE w:val="0"/>
              <w:autoSpaceDN w:val="0"/>
              <w:adjustRightInd w:val="0"/>
              <w:spacing w:before="120" w:after="120"/>
              <w:jc w:val="left"/>
              <w:rPr>
                <w:rFonts w:cs="Arial"/>
                <w:color w:val="4F81BD" w:themeColor="accent1"/>
                <w:szCs w:val="19"/>
              </w:rPr>
            </w:pPr>
            <w:r w:rsidRPr="006208E8">
              <w:rPr>
                <w:rFonts w:cs="Arial"/>
                <w:color w:val="4F81BD" w:themeColor="accent1"/>
                <w:szCs w:val="19"/>
              </w:rPr>
              <w:t xml:space="preserve">Resistance to </w:t>
            </w:r>
            <w:proofErr w:type="spellStart"/>
            <w:r w:rsidRPr="006208E8">
              <w:rPr>
                <w:rFonts w:cs="Arial"/>
                <w:color w:val="4F81BD" w:themeColor="accent1"/>
                <w:szCs w:val="19"/>
              </w:rPr>
              <w:t>ToMV</w:t>
            </w:r>
            <w:proofErr w:type="spellEnd"/>
            <w:r w:rsidRPr="006208E8">
              <w:rPr>
                <w:rFonts w:cs="Arial"/>
                <w:color w:val="4F81BD" w:themeColor="accent1"/>
                <w:szCs w:val="19"/>
              </w:rPr>
              <w:t xml:space="preserve"> - Strain 0</w:t>
            </w:r>
          </w:p>
        </w:tc>
        <w:tc>
          <w:tcPr>
            <w:tcW w:w="1985" w:type="dxa"/>
            <w:vAlign w:val="center"/>
          </w:tcPr>
          <w:p w14:paraId="3D8B9989" w14:textId="77777777" w:rsidR="001C30BB" w:rsidRPr="006208E8" w:rsidRDefault="001C30BB" w:rsidP="00076AAA">
            <w:pPr>
              <w:autoSpaceDE w:val="0"/>
              <w:autoSpaceDN w:val="0"/>
              <w:adjustRightInd w:val="0"/>
              <w:jc w:val="left"/>
              <w:rPr>
                <w:rFonts w:cs="Arial"/>
                <w:color w:val="4F81BD" w:themeColor="accent1"/>
                <w:szCs w:val="19"/>
              </w:rPr>
            </w:pPr>
            <w:r w:rsidRPr="006208E8">
              <w:rPr>
                <w:rFonts w:cs="Arial"/>
                <w:color w:val="4F81BD" w:themeColor="accent1"/>
                <w:szCs w:val="19"/>
              </w:rPr>
              <w:t>absent</w:t>
            </w:r>
          </w:p>
        </w:tc>
        <w:tc>
          <w:tcPr>
            <w:tcW w:w="2977" w:type="dxa"/>
            <w:vAlign w:val="center"/>
          </w:tcPr>
          <w:p w14:paraId="2F8DFCE7" w14:textId="77777777" w:rsidR="001C30BB" w:rsidRPr="006208E8" w:rsidRDefault="001C30BB" w:rsidP="00076AAA">
            <w:pPr>
              <w:autoSpaceDE w:val="0"/>
              <w:autoSpaceDN w:val="0"/>
              <w:adjustRightInd w:val="0"/>
              <w:jc w:val="left"/>
              <w:rPr>
                <w:rFonts w:cs="Arial"/>
                <w:color w:val="4F81BD" w:themeColor="accent1"/>
                <w:szCs w:val="19"/>
              </w:rPr>
            </w:pPr>
            <w:r w:rsidRPr="006208E8">
              <w:rPr>
                <w:rFonts w:cs="Arial"/>
                <w:color w:val="4F81BD" w:themeColor="accent1"/>
                <w:szCs w:val="19"/>
              </w:rPr>
              <w:t>present</w:t>
            </w:r>
          </w:p>
        </w:tc>
        <w:tc>
          <w:tcPr>
            <w:tcW w:w="1842" w:type="dxa"/>
            <w:vAlign w:val="center"/>
          </w:tcPr>
          <w:p w14:paraId="752C057A" w14:textId="77777777" w:rsidR="001C30BB" w:rsidRPr="006208E8" w:rsidRDefault="001C30BB" w:rsidP="00076AAA">
            <w:pPr>
              <w:autoSpaceDE w:val="0"/>
              <w:autoSpaceDN w:val="0"/>
              <w:adjustRightInd w:val="0"/>
              <w:jc w:val="left"/>
              <w:rPr>
                <w:rFonts w:cs="Arial"/>
                <w:color w:val="4F81BD" w:themeColor="accent1"/>
                <w:szCs w:val="19"/>
              </w:rPr>
            </w:pPr>
            <w:r w:rsidRPr="006208E8">
              <w:rPr>
                <w:rFonts w:cs="Arial"/>
                <w:color w:val="4F81BD" w:themeColor="accent1"/>
                <w:szCs w:val="19"/>
              </w:rPr>
              <w:t>present</w:t>
            </w:r>
          </w:p>
        </w:tc>
      </w:tr>
    </w:tbl>
    <w:p w14:paraId="543B3DC1" w14:textId="77777777" w:rsidR="001C30BB" w:rsidRPr="006208E8" w:rsidRDefault="001C30BB" w:rsidP="001C30BB">
      <w:pPr>
        <w:autoSpaceDE w:val="0"/>
        <w:autoSpaceDN w:val="0"/>
        <w:adjustRightInd w:val="0"/>
        <w:rPr>
          <w:rFonts w:eastAsia="Calibri" w:cs="Arial"/>
          <w:color w:val="4F81BD" w:themeColor="accent1"/>
          <w:lang w:val="en-GB"/>
        </w:rPr>
      </w:pPr>
    </w:p>
    <w:p w14:paraId="7FBCF2EC" w14:textId="62DE6431" w:rsidR="001C30BB" w:rsidRPr="006208E8" w:rsidRDefault="001C30BB" w:rsidP="00F30DDF">
      <w:pPr>
        <w:tabs>
          <w:tab w:val="left" w:pos="709"/>
        </w:tabs>
        <w:rPr>
          <w:rFonts w:eastAsia="Calibri" w:cs="Arial"/>
          <w:color w:val="4F81BD" w:themeColor="accent1"/>
          <w:lang w:val="en-GB"/>
        </w:rPr>
      </w:pPr>
      <w:r w:rsidRPr="006208E8">
        <w:rPr>
          <w:rFonts w:eastAsia="Calibri" w:cs="Arial"/>
          <w:color w:val="4F81BD" w:themeColor="accent1"/>
          <w:highlight w:val="lightGray"/>
          <w:u w:val="single"/>
          <w:lang w:val="en-GB"/>
        </w:rPr>
        <w:t>2.1.17</w:t>
      </w:r>
      <w:r w:rsidRPr="006208E8">
        <w:rPr>
          <w:rFonts w:eastAsia="Calibri" w:cs="Arial"/>
          <w:color w:val="4F81BD" w:themeColor="accent1"/>
          <w:lang w:val="en-GB"/>
        </w:rPr>
        <w:tab/>
        <w:t xml:space="preserve">If a variety is claimed to be resistant to </w:t>
      </w:r>
      <w:proofErr w:type="spellStart"/>
      <w:r w:rsidRPr="006208E8">
        <w:rPr>
          <w:rFonts w:eastAsia="Calibri" w:cs="Arial"/>
          <w:color w:val="4F81BD" w:themeColor="accent1"/>
          <w:lang w:val="en-GB"/>
        </w:rPr>
        <w:t>ToMV</w:t>
      </w:r>
      <w:proofErr w:type="spellEnd"/>
      <w:r w:rsidRPr="006208E8">
        <w:rPr>
          <w:rFonts w:eastAsia="Calibri" w:cs="Arial"/>
          <w:color w:val="4F81BD" w:themeColor="accent1"/>
          <w:lang w:val="en-GB"/>
        </w:rPr>
        <w:t xml:space="preserve"> Strain 0, the DNA marker test may be performed.  In cases where the resistance is based on the presence of the allele </w:t>
      </w:r>
      <w:r w:rsidRPr="006208E8">
        <w:rPr>
          <w:rFonts w:eastAsia="Calibri" w:cs="Arial"/>
          <w:i/>
          <w:color w:val="4F81BD" w:themeColor="accent1"/>
          <w:lang w:val="en-GB"/>
        </w:rPr>
        <w:t xml:space="preserve">Tm2 </w:t>
      </w:r>
      <w:r w:rsidRPr="006208E8">
        <w:rPr>
          <w:rFonts w:eastAsia="Calibri" w:cs="Arial"/>
          <w:color w:val="4F81BD" w:themeColor="accent1"/>
          <w:lang w:val="en-GB"/>
        </w:rPr>
        <w:t xml:space="preserve">or </w:t>
      </w:r>
      <w:r w:rsidRPr="006208E8">
        <w:rPr>
          <w:rFonts w:eastAsia="Calibri" w:cs="Arial"/>
          <w:i/>
          <w:color w:val="4F81BD" w:themeColor="accent1"/>
          <w:lang w:val="en-GB"/>
        </w:rPr>
        <w:t>Tm2</w:t>
      </w:r>
      <w:r w:rsidRPr="006208E8">
        <w:rPr>
          <w:rFonts w:eastAsia="Calibri" w:cs="Arial"/>
          <w:i/>
          <w:color w:val="4F81BD" w:themeColor="accent1"/>
          <w:vertAlign w:val="superscript"/>
          <w:lang w:val="en-GB"/>
        </w:rPr>
        <w:t>2</w:t>
      </w:r>
      <w:r w:rsidRPr="006208E8">
        <w:rPr>
          <w:rFonts w:eastAsia="Calibri" w:cs="Arial"/>
          <w:i/>
          <w:color w:val="4F81BD" w:themeColor="accent1"/>
          <w:lang w:val="en-GB"/>
        </w:rPr>
        <w:t xml:space="preserve">, </w:t>
      </w:r>
      <w:r w:rsidRPr="006208E8">
        <w:rPr>
          <w:rFonts w:eastAsia="Calibri" w:cs="Arial"/>
          <w:color w:val="4F81BD" w:themeColor="accent1"/>
          <w:lang w:val="en-GB"/>
        </w:rPr>
        <w:t>the</w:t>
      </w:r>
      <w:r w:rsidRPr="006208E8">
        <w:rPr>
          <w:rFonts w:eastAsia="Calibri" w:cs="Arial"/>
          <w:i/>
          <w:color w:val="4F81BD" w:themeColor="accent1"/>
          <w:lang w:val="en-GB"/>
        </w:rPr>
        <w:t xml:space="preserve"> </w:t>
      </w:r>
      <w:r w:rsidRPr="006208E8">
        <w:rPr>
          <w:rFonts w:eastAsia="Calibri" w:cs="Arial"/>
          <w:color w:val="4F81BD" w:themeColor="accent1"/>
          <w:lang w:val="en-GB"/>
        </w:rPr>
        <w:t>DNA marker test could replace the traditional bioassay.</w:t>
      </w:r>
    </w:p>
    <w:p w14:paraId="0EC03176" w14:textId="77777777" w:rsidR="001C30BB" w:rsidRPr="006208E8" w:rsidRDefault="001C30BB" w:rsidP="001C30BB">
      <w:pPr>
        <w:autoSpaceDE w:val="0"/>
        <w:autoSpaceDN w:val="0"/>
        <w:adjustRightInd w:val="0"/>
        <w:rPr>
          <w:rFonts w:eastAsia="Calibri" w:cs="Arial"/>
          <w:color w:val="4F81BD" w:themeColor="accent1"/>
          <w:lang w:val="en-GB"/>
        </w:rPr>
      </w:pPr>
    </w:p>
    <w:p w14:paraId="7E363ABB" w14:textId="08B68F29" w:rsidR="001C30BB" w:rsidRPr="006208E8" w:rsidRDefault="001C30BB" w:rsidP="00F30DDF">
      <w:pPr>
        <w:tabs>
          <w:tab w:val="left" w:pos="709"/>
        </w:tabs>
        <w:rPr>
          <w:rFonts w:eastAsia="Calibri" w:cs="Arial"/>
          <w:color w:val="4F81BD" w:themeColor="accent1"/>
          <w:lang w:val="en-GB"/>
        </w:rPr>
      </w:pPr>
      <w:r w:rsidRPr="006208E8">
        <w:rPr>
          <w:rFonts w:eastAsia="Calibri" w:cs="Arial"/>
          <w:color w:val="4F81BD" w:themeColor="accent1"/>
          <w:highlight w:val="lightGray"/>
          <w:u w:val="single"/>
          <w:lang w:val="en-GB"/>
        </w:rPr>
        <w:t>2.1.18</w:t>
      </w:r>
      <w:r w:rsidRPr="006208E8">
        <w:rPr>
          <w:rFonts w:eastAsia="Calibri" w:cs="Arial"/>
          <w:color w:val="4F81BD" w:themeColor="accent1"/>
          <w:lang w:val="en-GB"/>
        </w:rPr>
        <w:tab/>
        <w:t>If the DNA marker test does not confirm the resistance claim or if the variety is claimed to be susceptible, a bioassay must be performed.</w:t>
      </w:r>
    </w:p>
    <w:p w14:paraId="017800FD" w14:textId="77777777" w:rsidR="001C30BB" w:rsidRDefault="001C30BB" w:rsidP="001C30BB"/>
    <w:p w14:paraId="353A7C18" w14:textId="77777777" w:rsidR="00043485" w:rsidRPr="00043485" w:rsidRDefault="00043485" w:rsidP="00043485"/>
    <w:p w14:paraId="011F4AE6" w14:textId="2235633E" w:rsidR="00E306B7" w:rsidRPr="00FE1AEB" w:rsidRDefault="00E306B7" w:rsidP="00E306B7">
      <w:pPr>
        <w:pStyle w:val="Heading2"/>
        <w:ind w:left="567" w:hanging="567"/>
      </w:pPr>
      <w:bookmarkStart w:id="11" w:name="_Toc311473362"/>
      <w:bookmarkStart w:id="12" w:name="_Toc240538634"/>
      <w:r w:rsidRPr="00FE1AEB">
        <w:t>2.2</w:t>
      </w:r>
      <w:r w:rsidRPr="00FE1AEB">
        <w:tab/>
      </w:r>
      <w:r w:rsidRPr="007776CE">
        <w:t xml:space="preserve">Combining Phenotypic and Molecular Distances in the Management of Variety Collections </w:t>
      </w:r>
      <w:bookmarkEnd w:id="11"/>
      <w:r w:rsidR="002F3FCF" w:rsidRPr="002F3FCF">
        <w:rPr>
          <w:strike/>
          <w:highlight w:val="lightGray"/>
        </w:rPr>
        <w:t>(see Annex</w:t>
      </w:r>
      <w:r w:rsidR="002F3FCF" w:rsidRPr="002F3FCF">
        <w:rPr>
          <w:bCs/>
          <w:strike/>
          <w:highlight w:val="lightGray"/>
          <w:lang w:val="en-GB"/>
        </w:rPr>
        <w:t> II</w:t>
      </w:r>
      <w:r w:rsidR="002F3FCF" w:rsidRPr="002F3FCF">
        <w:rPr>
          <w:strike/>
          <w:highlight w:val="lightGray"/>
        </w:rPr>
        <w:t>)</w:t>
      </w:r>
      <w:bookmarkEnd w:id="12"/>
    </w:p>
    <w:p w14:paraId="28890BC2" w14:textId="7099CE26" w:rsidR="0015599C" w:rsidRDefault="0015599C" w:rsidP="00B60930">
      <w:pPr>
        <w:pStyle w:val="Heading3"/>
      </w:pPr>
      <w:bookmarkStart w:id="13" w:name="_Toc240538635"/>
      <w:r w:rsidRPr="00FC3411">
        <w:t xml:space="preserve">Example 1: </w:t>
      </w:r>
      <w:r w:rsidR="00B60930" w:rsidRPr="00FC3411">
        <w:t xml:space="preserve"> </w:t>
      </w:r>
      <w:r w:rsidRPr="00FC3411">
        <w:t>Parent lines in Maize</w:t>
      </w:r>
      <w:r w:rsidR="00B60930" w:rsidRPr="002522ED">
        <w:rPr>
          <w:strike/>
        </w:rPr>
        <w:t xml:space="preserve"> </w:t>
      </w:r>
      <w:r w:rsidR="002522ED" w:rsidRPr="002522ED">
        <w:rPr>
          <w:strike/>
          <w:highlight w:val="lightGray"/>
        </w:rPr>
        <w:t>(see Annex II, example 1)</w:t>
      </w:r>
      <w:bookmarkEnd w:id="13"/>
    </w:p>
    <w:p w14:paraId="2C94DFC8" w14:textId="77777777" w:rsidR="00E306B7" w:rsidRPr="00FE1AEB" w:rsidRDefault="00E306B7" w:rsidP="000671EE">
      <w:r w:rsidRPr="00FE1AEB">
        <w:t>2.2.1</w:t>
      </w:r>
      <w:r w:rsidRPr="00FE1AEB">
        <w:tab/>
        <w:t xml:space="preserve">A key feature of the process of eliminating varieties of common knowledge prior to the DUS growing trial is that the threshold is set with a suitable margin of safety.  This threshold is termed the “Distinctness plus” </w:t>
      </w:r>
      <w:r w:rsidRPr="00FE1AEB">
        <w:lastRenderedPageBreak/>
        <w:t>threshold, which means that the distances between a candidate variety and “Distinct plus” varieties are robust enough to take a decision without direct comparison in the growing trial.</w:t>
      </w:r>
    </w:p>
    <w:p w14:paraId="6659B383" w14:textId="77777777" w:rsidR="00E306B7" w:rsidRPr="00FE1AEB" w:rsidRDefault="00E306B7" w:rsidP="000671EE"/>
    <w:p w14:paraId="1A48A576" w14:textId="77777777" w:rsidR="00E306B7" w:rsidRPr="00FE1AEB" w:rsidRDefault="00E306B7" w:rsidP="000671EE">
      <w:r w:rsidRPr="00FE1AEB">
        <w:t>2.2.2</w:t>
      </w:r>
      <w:r w:rsidRPr="00FE1AEB">
        <w:tab/>
        <w:t>A combination of phenotypic differences and molecular distances can be used to identify within the variety collection, those varieties which need to be compared with candidate varieties in order to improve the selection of “Distinct plus” varieties, on the following basis:</w:t>
      </w:r>
    </w:p>
    <w:p w14:paraId="70005B35" w14:textId="77777777" w:rsidR="00E306B7" w:rsidRPr="00FE1AEB" w:rsidRDefault="00E306B7" w:rsidP="000671EE"/>
    <w:p w14:paraId="58B7FB0F" w14:textId="77777777" w:rsidR="00E306B7" w:rsidRPr="00FE1AEB" w:rsidRDefault="00E306B7" w:rsidP="000671EE">
      <w:pPr>
        <w:ind w:firstLine="567"/>
      </w:pPr>
      <w:r w:rsidRPr="00FE1AEB">
        <w:t>(a)</w:t>
      </w:r>
      <w:r w:rsidRPr="00FE1AEB">
        <w:tab/>
        <w:t>there is reliable information that the molecular distances are sufficiently related to phenotypic differences, such that</w:t>
      </w:r>
    </w:p>
    <w:p w14:paraId="25276390" w14:textId="77777777" w:rsidR="00E306B7" w:rsidRPr="00FE1AEB" w:rsidRDefault="00E306B7" w:rsidP="000671EE">
      <w:pPr>
        <w:ind w:firstLine="567"/>
      </w:pPr>
    </w:p>
    <w:p w14:paraId="7323617A" w14:textId="77777777" w:rsidR="00E306B7" w:rsidRPr="00FE1AEB" w:rsidRDefault="00E306B7" w:rsidP="000671EE">
      <w:pPr>
        <w:ind w:firstLine="567"/>
      </w:pPr>
      <w:r w:rsidRPr="00FE1AEB">
        <w:t>(b)</w:t>
      </w:r>
      <w:r w:rsidRPr="00FE1AEB">
        <w:tab/>
        <w:t>the method selects varieties in the variety collection which are similar to the candidate varieties; and</w:t>
      </w:r>
    </w:p>
    <w:p w14:paraId="2F5F812E" w14:textId="77777777" w:rsidR="00E306B7" w:rsidRPr="00FE1AEB" w:rsidRDefault="00E306B7" w:rsidP="000671EE">
      <w:pPr>
        <w:ind w:firstLine="567"/>
      </w:pPr>
    </w:p>
    <w:p w14:paraId="7DEB7EED" w14:textId="77777777" w:rsidR="00E306B7" w:rsidRPr="00FE1AEB" w:rsidRDefault="00E306B7" w:rsidP="000671EE">
      <w:pPr>
        <w:numPr>
          <w:ilvl w:val="0"/>
          <w:numId w:val="23"/>
        </w:numPr>
        <w:tabs>
          <w:tab w:val="clear" w:pos="1080"/>
        </w:tabs>
        <w:ind w:left="0" w:firstLine="567"/>
      </w:pPr>
      <w:proofErr w:type="gramStart"/>
      <w:r w:rsidRPr="00FE1AEB">
        <w:t>the</w:t>
      </w:r>
      <w:proofErr w:type="gramEnd"/>
      <w:r w:rsidRPr="00FE1AEB">
        <w:t xml:space="preserve"> method does not create an increased risk of not selecting a variety in the variety collection which needs to be compared to the candidate varieties in the field.</w:t>
      </w:r>
    </w:p>
    <w:p w14:paraId="4E71334C" w14:textId="77777777" w:rsidR="00E306B7" w:rsidRPr="00FE1AEB" w:rsidRDefault="00E306B7" w:rsidP="000671EE"/>
    <w:p w14:paraId="67C9C558" w14:textId="2B662655" w:rsidR="00E306B7" w:rsidRPr="00FE1AEB" w:rsidRDefault="00E306B7" w:rsidP="000671EE">
      <w:r w:rsidRPr="00FE1AEB">
        <w:t>2.2.3</w:t>
      </w:r>
      <w:r w:rsidRPr="00FE1AEB">
        <w:tab/>
      </w:r>
      <w:r w:rsidR="002522ED" w:rsidRPr="002522ED">
        <w:rPr>
          <w:strike/>
          <w:highlight w:val="lightGray"/>
        </w:rPr>
        <w:t>Annex II to this document “Combining Phenotypic and Molecular Distances in the Management of Variety Collections”</w:t>
      </w:r>
      <w:r w:rsidR="002522ED" w:rsidRPr="002522ED">
        <w:rPr>
          <w:strike/>
        </w:rPr>
        <w:t xml:space="preserve"> </w:t>
      </w:r>
      <w:r w:rsidR="00570002" w:rsidRPr="00570002">
        <w:rPr>
          <w:highlight w:val="lightGray"/>
          <w:u w:val="single"/>
        </w:rPr>
        <w:t>P</w:t>
      </w:r>
      <w:r w:rsidR="002522ED" w:rsidRPr="00570002">
        <w:rPr>
          <w:highlight w:val="lightGray"/>
          <w:u w:val="single"/>
        </w:rPr>
        <w:t>aragraphs</w:t>
      </w:r>
      <w:r w:rsidR="00570002" w:rsidRPr="00570002">
        <w:rPr>
          <w:highlight w:val="lightGray"/>
          <w:u w:val="single"/>
        </w:rPr>
        <w:t xml:space="preserve"> 2.2.4 to 2.2.16 </w:t>
      </w:r>
      <w:r w:rsidR="002522ED" w:rsidRPr="00FE1AEB">
        <w:t>provide</w:t>
      </w:r>
      <w:r w:rsidR="002522ED" w:rsidRPr="002522ED">
        <w:rPr>
          <w:strike/>
          <w:highlight w:val="lightGray"/>
        </w:rPr>
        <w:t>s</w:t>
      </w:r>
      <w:r w:rsidR="002522ED" w:rsidRPr="00FE1AEB">
        <w:t xml:space="preserve"> an </w:t>
      </w:r>
      <w:r w:rsidR="002522ED" w:rsidRPr="00B60930">
        <w:t>example</w:t>
      </w:r>
      <w:r w:rsidR="002522ED" w:rsidRPr="002522ED">
        <w:rPr>
          <w:highlight w:val="lightGray"/>
          <w:u w:val="single"/>
        </w:rPr>
        <w:t xml:space="preserve">, </w:t>
      </w:r>
      <w:r w:rsidR="002522ED" w:rsidRPr="007E07F8">
        <w:rPr>
          <w:color w:val="4F81BD" w:themeColor="accent1"/>
          <w:highlight w:val="lightGray"/>
          <w:u w:val="single"/>
        </w:rPr>
        <w:t>prepared by experts from France</w:t>
      </w:r>
      <w:r w:rsidR="002522ED" w:rsidRPr="002522ED">
        <w:rPr>
          <w:highlight w:val="lightGray"/>
          <w:u w:val="single"/>
        </w:rPr>
        <w:t>,</w:t>
      </w:r>
      <w:r w:rsidR="002522ED" w:rsidRPr="00B60930">
        <w:t xml:space="preserve"> of the use</w:t>
      </w:r>
      <w:r w:rsidR="002522ED" w:rsidRPr="00FE1AEB">
        <w:t xml:space="preserve"> of combining phenotypic differences and molecular distances in the management of variety collections.</w:t>
      </w:r>
    </w:p>
    <w:p w14:paraId="42A4BFE6" w14:textId="77777777" w:rsidR="00552861" w:rsidRDefault="00552861" w:rsidP="000671EE"/>
    <w:p w14:paraId="6356071A" w14:textId="73B432ED" w:rsidR="008F4739" w:rsidRPr="000671EE" w:rsidRDefault="008F4739" w:rsidP="000671EE">
      <w:pPr>
        <w:rPr>
          <w:rFonts w:cs="Arial"/>
          <w:snapToGrid w:val="0"/>
          <w:color w:val="4F81BD" w:themeColor="accent1"/>
        </w:rPr>
      </w:pPr>
      <w:r w:rsidRPr="000671EE">
        <w:rPr>
          <w:rFonts w:cs="Arial"/>
          <w:snapToGrid w:val="0"/>
          <w:color w:val="4F81BD" w:themeColor="accent1"/>
          <w:u w:val="single"/>
        </w:rPr>
        <w:t>Description</w:t>
      </w:r>
    </w:p>
    <w:p w14:paraId="765B6CC0" w14:textId="77777777" w:rsidR="008F4739" w:rsidRPr="000671EE" w:rsidRDefault="008F4739" w:rsidP="000671EE">
      <w:pPr>
        <w:rPr>
          <w:rFonts w:cs="Arial"/>
          <w:snapToGrid w:val="0"/>
          <w:color w:val="4F81BD" w:themeColor="accent1"/>
        </w:rPr>
      </w:pPr>
    </w:p>
    <w:p w14:paraId="2C67FFB5" w14:textId="6312B411" w:rsidR="008F4739" w:rsidRPr="000671EE" w:rsidRDefault="008F4739" w:rsidP="000671EE">
      <w:pPr>
        <w:rPr>
          <w:rFonts w:cs="Arial"/>
          <w:color w:val="4F81BD" w:themeColor="accent1"/>
        </w:rPr>
      </w:pPr>
      <w:r w:rsidRPr="000671EE">
        <w:rPr>
          <w:rFonts w:cs="Arial"/>
          <w:color w:val="4F81BD" w:themeColor="accent1"/>
          <w:highlight w:val="lightGray"/>
          <w:u w:val="single"/>
        </w:rPr>
        <w:t>2.2.4</w:t>
      </w:r>
      <w:r w:rsidRPr="000671EE">
        <w:rPr>
          <w:rFonts w:cs="Arial"/>
          <w:color w:val="4F81BD" w:themeColor="accent1"/>
        </w:rPr>
        <w:tab/>
        <w:t xml:space="preserve">A key feature of the process of eliminating varieties of common knowledge prior to the DUS growing trial is that the threshold for deciding which varieties can be safely excluded (i.e. are distinct on the basis of descriptions), can be set with a suitable margin of safety, because those varieties which are </w:t>
      </w:r>
      <w:proofErr w:type="gramStart"/>
      <w:r w:rsidRPr="000671EE">
        <w:rPr>
          <w:rFonts w:cs="Arial"/>
          <w:color w:val="4F81BD" w:themeColor="accent1"/>
        </w:rPr>
        <w:t>eliminated,</w:t>
      </w:r>
      <w:proofErr w:type="gramEnd"/>
      <w:r w:rsidRPr="000671EE">
        <w:rPr>
          <w:rFonts w:cs="Arial"/>
          <w:color w:val="4F81BD" w:themeColor="accent1"/>
        </w:rPr>
        <w:t xml:space="preserve"> will not be included in the growing trial.  This threshold, with a safety margin, is termed the “Distinctness plus” threshold which means that the distances between a candidate variety and “distinct plus” varieties are robust enough to take a decision without direct comparison in the growing trial.</w:t>
      </w:r>
    </w:p>
    <w:p w14:paraId="2CC98345" w14:textId="77777777" w:rsidR="008F4739" w:rsidRPr="000671EE" w:rsidRDefault="008F4739" w:rsidP="000671EE">
      <w:pPr>
        <w:rPr>
          <w:rFonts w:cs="Arial"/>
          <w:color w:val="4F81BD" w:themeColor="accent1"/>
        </w:rPr>
      </w:pPr>
    </w:p>
    <w:p w14:paraId="49BDB09A" w14:textId="5F92E7AF" w:rsidR="008F4739" w:rsidRPr="000671EE" w:rsidRDefault="008F4739" w:rsidP="000671EE">
      <w:pPr>
        <w:rPr>
          <w:rFonts w:cs="Arial"/>
          <w:snapToGrid w:val="0"/>
          <w:color w:val="4F81BD" w:themeColor="accent1"/>
        </w:rPr>
      </w:pPr>
      <w:r w:rsidRPr="000671EE">
        <w:rPr>
          <w:rFonts w:cs="Arial"/>
          <w:snapToGrid w:val="0"/>
          <w:color w:val="4F81BD" w:themeColor="accent1"/>
          <w:highlight w:val="lightGray"/>
          <w:u w:val="single"/>
        </w:rPr>
        <w:t>2.2.5</w:t>
      </w:r>
      <w:r w:rsidRPr="000671EE">
        <w:rPr>
          <w:rFonts w:cs="Arial"/>
          <w:snapToGrid w:val="0"/>
          <w:color w:val="4F81BD" w:themeColor="accent1"/>
        </w:rPr>
        <w:tab/>
        <w:t xml:space="preserve">The objective of this </w:t>
      </w:r>
      <w:r w:rsidRPr="000671EE">
        <w:rPr>
          <w:rFonts w:cs="Arial"/>
          <w:color w:val="4F81BD" w:themeColor="accent1"/>
        </w:rPr>
        <w:t xml:space="preserve">example </w:t>
      </w:r>
      <w:r w:rsidRPr="000671EE">
        <w:rPr>
          <w:rFonts w:cs="Arial"/>
          <w:snapToGrid w:val="0"/>
          <w:color w:val="4F81BD" w:themeColor="accent1"/>
        </w:rPr>
        <w:t xml:space="preserve">is to develop an efficient tool, based on a combination of phenotypic and molecular distances, to identify within the variety collection, those varieties which need to be compared with candidate varieties (see Figure 1) in order to improve the selection of “distinct plus” varieties and so to limit the workload without decreasing the quality of the test.  The challenge is to develop a </w:t>
      </w:r>
      <w:proofErr w:type="gramStart"/>
      <w:r w:rsidRPr="000671EE">
        <w:rPr>
          <w:rFonts w:cs="Arial"/>
          <w:snapToGrid w:val="0"/>
          <w:color w:val="4F81BD" w:themeColor="accent1"/>
        </w:rPr>
        <w:t>secure</w:t>
      </w:r>
      <w:proofErr w:type="gramEnd"/>
      <w:r w:rsidRPr="000671EE">
        <w:rPr>
          <w:rFonts w:cs="Arial"/>
          <w:snapToGrid w:val="0"/>
          <w:color w:val="4F81BD" w:themeColor="accent1"/>
        </w:rPr>
        <w:t xml:space="preserve"> system that:</w:t>
      </w:r>
    </w:p>
    <w:p w14:paraId="0D2CE92D" w14:textId="77777777" w:rsidR="008F4739" w:rsidRPr="000671EE" w:rsidRDefault="008F4739" w:rsidP="000671EE">
      <w:pPr>
        <w:rPr>
          <w:rFonts w:cs="Arial"/>
          <w:snapToGrid w:val="0"/>
          <w:color w:val="4F81BD" w:themeColor="accent1"/>
        </w:rPr>
      </w:pPr>
    </w:p>
    <w:p w14:paraId="0EFA260A" w14:textId="77777777" w:rsidR="008F4739" w:rsidRPr="000671EE" w:rsidRDefault="008F4739" w:rsidP="000671EE">
      <w:pPr>
        <w:ind w:firstLine="567"/>
        <w:rPr>
          <w:rFonts w:cs="Arial"/>
          <w:snapToGrid w:val="0"/>
          <w:color w:val="4F81BD" w:themeColor="accent1"/>
        </w:rPr>
      </w:pPr>
      <w:r w:rsidRPr="000671EE">
        <w:rPr>
          <w:rFonts w:cs="Arial"/>
          <w:snapToGrid w:val="0"/>
          <w:color w:val="4F81BD" w:themeColor="accent1"/>
        </w:rPr>
        <w:t>(a)</w:t>
      </w:r>
      <w:r w:rsidRPr="000671EE">
        <w:rPr>
          <w:rFonts w:cs="Arial"/>
          <w:snapToGrid w:val="0"/>
          <w:color w:val="4F81BD" w:themeColor="accent1"/>
        </w:rPr>
        <w:tab/>
        <w:t>only selects varieties which are similar to the candidate varieties;  and</w:t>
      </w:r>
    </w:p>
    <w:p w14:paraId="2D91F413" w14:textId="77777777" w:rsidR="008F4739" w:rsidRPr="000671EE" w:rsidRDefault="008F4739" w:rsidP="000671EE">
      <w:pPr>
        <w:ind w:firstLine="720"/>
        <w:rPr>
          <w:rFonts w:cs="Arial"/>
          <w:snapToGrid w:val="0"/>
          <w:color w:val="4F81BD" w:themeColor="accent1"/>
        </w:rPr>
      </w:pPr>
    </w:p>
    <w:p w14:paraId="534D3758" w14:textId="77777777" w:rsidR="008F4739" w:rsidRPr="000671EE" w:rsidRDefault="008F4739" w:rsidP="000671EE">
      <w:pPr>
        <w:ind w:left="1134" w:hanging="567"/>
        <w:rPr>
          <w:rFonts w:cs="Arial"/>
          <w:snapToGrid w:val="0"/>
          <w:color w:val="4F81BD" w:themeColor="accent1"/>
        </w:rPr>
      </w:pPr>
      <w:r w:rsidRPr="000671EE">
        <w:rPr>
          <w:rFonts w:cs="Arial"/>
          <w:snapToGrid w:val="0"/>
          <w:color w:val="4F81BD" w:themeColor="accent1"/>
        </w:rPr>
        <w:t>(b)</w:t>
      </w:r>
      <w:r w:rsidRPr="000671EE">
        <w:rPr>
          <w:rFonts w:cs="Arial"/>
          <w:snapToGrid w:val="0"/>
          <w:color w:val="4F81BD" w:themeColor="accent1"/>
        </w:rPr>
        <w:tab/>
        <w:t>limits the risk of not selecting a variety in the variety collection which needs to be compared in the field, especially when there is a large or expensive variety collection.</w:t>
      </w:r>
    </w:p>
    <w:p w14:paraId="54511EE2" w14:textId="77777777" w:rsidR="008F4739" w:rsidRPr="000671EE" w:rsidRDefault="008F4739" w:rsidP="000671EE">
      <w:pPr>
        <w:ind w:left="1440" w:hanging="720"/>
        <w:rPr>
          <w:rFonts w:cs="Arial"/>
          <w:snapToGrid w:val="0"/>
          <w:color w:val="4F81BD" w:themeColor="accent1"/>
        </w:rPr>
      </w:pPr>
    </w:p>
    <w:p w14:paraId="471A9DDE" w14:textId="77777777" w:rsidR="008F4739" w:rsidRPr="000671EE" w:rsidRDefault="008F4739" w:rsidP="000671EE">
      <w:pPr>
        <w:spacing w:after="120"/>
        <w:jc w:val="center"/>
        <w:rPr>
          <w:rFonts w:cs="Arial"/>
          <w:i/>
          <w:iCs/>
          <w:snapToGrid w:val="0"/>
          <w:color w:val="4F81BD" w:themeColor="accent1"/>
        </w:rPr>
      </w:pPr>
      <w:r w:rsidRPr="000671EE">
        <w:rPr>
          <w:rFonts w:cs="Arial"/>
          <w:i/>
          <w:iCs/>
          <w:snapToGrid w:val="0"/>
          <w:color w:val="4F81BD" w:themeColor="accent1"/>
        </w:rPr>
        <w:t>Figure 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286"/>
      </w:tblGrid>
      <w:tr w:rsidR="000671EE" w:rsidRPr="000671EE" w14:paraId="6DDE1234" w14:textId="77777777" w:rsidTr="00076AAA">
        <w:trPr>
          <w:jc w:val="center"/>
        </w:trPr>
        <w:tc>
          <w:tcPr>
            <w:tcW w:w="9286" w:type="dxa"/>
          </w:tcPr>
          <w:p w14:paraId="6327185A" w14:textId="77777777" w:rsidR="008F4739" w:rsidRPr="000671EE" w:rsidRDefault="008F4739" w:rsidP="000671EE">
            <w:pPr>
              <w:jc w:val="center"/>
              <w:rPr>
                <w:rFonts w:cs="Arial"/>
                <w:snapToGrid w:val="0"/>
                <w:color w:val="4F81BD" w:themeColor="accent1"/>
              </w:rPr>
            </w:pPr>
            <w:r w:rsidRPr="000671EE">
              <w:rPr>
                <w:rFonts w:cs="Arial"/>
                <w:noProof/>
                <w:color w:val="4F81BD" w:themeColor="accent1"/>
              </w:rPr>
              <w:drawing>
                <wp:inline distT="0" distB="0" distL="0" distR="0" wp14:anchorId="21CBCB64" wp14:editId="2246770C">
                  <wp:extent cx="4301490" cy="2926080"/>
                  <wp:effectExtent l="19050" t="19050" r="22860" b="26670"/>
                  <wp:docPr id="790606991" name="Picture 790606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t="8388"/>
                          <a:stretch>
                            <a:fillRect/>
                          </a:stretch>
                        </pic:blipFill>
                        <pic:spPr bwMode="auto">
                          <a:xfrm>
                            <a:off x="0" y="0"/>
                            <a:ext cx="4301490" cy="2926080"/>
                          </a:xfrm>
                          <a:prstGeom prst="rect">
                            <a:avLst/>
                          </a:prstGeom>
                          <a:noFill/>
                          <a:ln w="6350" cmpd="sng">
                            <a:solidFill>
                              <a:srgbClr val="000000"/>
                            </a:solidFill>
                            <a:miter lim="800000"/>
                            <a:headEnd/>
                            <a:tailEnd/>
                          </a:ln>
                          <a:effectLst/>
                        </pic:spPr>
                      </pic:pic>
                    </a:graphicData>
                  </a:graphic>
                </wp:inline>
              </w:drawing>
            </w:r>
          </w:p>
        </w:tc>
      </w:tr>
    </w:tbl>
    <w:p w14:paraId="7B6D491A" w14:textId="77777777" w:rsidR="008F4739" w:rsidRPr="000671EE" w:rsidRDefault="008F4739" w:rsidP="000671EE">
      <w:pPr>
        <w:rPr>
          <w:rFonts w:cs="Arial"/>
          <w:snapToGrid w:val="0"/>
          <w:color w:val="4F81BD" w:themeColor="accent1"/>
        </w:rPr>
      </w:pPr>
    </w:p>
    <w:p w14:paraId="2A9A6029" w14:textId="21CF19EA" w:rsidR="008F4739" w:rsidRPr="000671EE" w:rsidRDefault="008F4739" w:rsidP="000671EE">
      <w:pPr>
        <w:rPr>
          <w:rFonts w:cs="Arial"/>
          <w:snapToGrid w:val="0"/>
          <w:color w:val="4F81BD" w:themeColor="accent1"/>
        </w:rPr>
      </w:pPr>
      <w:r w:rsidRPr="000671EE">
        <w:rPr>
          <w:rFonts w:cs="Arial"/>
          <w:snapToGrid w:val="0"/>
          <w:color w:val="4F81BD" w:themeColor="accent1"/>
        </w:rPr>
        <w:br w:type="page"/>
      </w:r>
      <w:r w:rsidRPr="000671EE">
        <w:rPr>
          <w:rFonts w:cs="Arial"/>
          <w:snapToGrid w:val="0"/>
          <w:color w:val="4F81BD" w:themeColor="accent1"/>
          <w:highlight w:val="lightGray"/>
          <w:u w:val="single"/>
        </w:rPr>
        <w:lastRenderedPageBreak/>
        <w:t>2.2</w:t>
      </w:r>
      <w:r w:rsidR="00DC1697" w:rsidRPr="000671EE">
        <w:rPr>
          <w:rFonts w:cs="Arial"/>
          <w:snapToGrid w:val="0"/>
          <w:color w:val="4F81BD" w:themeColor="accent1"/>
          <w:highlight w:val="lightGray"/>
          <w:u w:val="single"/>
        </w:rPr>
        <w:t>.</w:t>
      </w:r>
      <w:r w:rsidRPr="000671EE">
        <w:rPr>
          <w:rFonts w:cs="Arial"/>
          <w:snapToGrid w:val="0"/>
          <w:color w:val="4F81BD" w:themeColor="accent1"/>
          <w:highlight w:val="lightGray"/>
          <w:u w:val="single"/>
        </w:rPr>
        <w:t>6</w:t>
      </w:r>
      <w:r w:rsidRPr="000671EE">
        <w:rPr>
          <w:rFonts w:cs="Arial"/>
          <w:snapToGrid w:val="0"/>
          <w:color w:val="4F81BD" w:themeColor="accent1"/>
        </w:rPr>
        <w:tab/>
        <w:t>The new system has been elaborated on the following background:</w:t>
      </w:r>
    </w:p>
    <w:p w14:paraId="7F67C627" w14:textId="77777777" w:rsidR="008F4739" w:rsidRPr="000671EE" w:rsidRDefault="008F4739" w:rsidP="000671EE">
      <w:pPr>
        <w:rPr>
          <w:rFonts w:cs="Arial"/>
          <w:snapToGrid w:val="0"/>
          <w:color w:val="4F81BD" w:themeColor="accent1"/>
        </w:rPr>
      </w:pPr>
    </w:p>
    <w:p w14:paraId="4B29CE63" w14:textId="77777777" w:rsidR="008F4739" w:rsidRPr="000671EE" w:rsidRDefault="008F4739" w:rsidP="000671EE">
      <w:pPr>
        <w:ind w:firstLine="567"/>
        <w:rPr>
          <w:rFonts w:cs="Arial"/>
          <w:snapToGrid w:val="0"/>
          <w:color w:val="4F81BD" w:themeColor="accent1"/>
        </w:rPr>
      </w:pPr>
      <w:r w:rsidRPr="000671EE">
        <w:rPr>
          <w:rFonts w:cs="Arial"/>
          <w:snapToGrid w:val="0"/>
          <w:color w:val="4F81BD" w:themeColor="accent1"/>
        </w:rPr>
        <w:t>(a)</w:t>
      </w:r>
      <w:r w:rsidRPr="000671EE">
        <w:rPr>
          <w:rFonts w:cs="Arial"/>
          <w:snapToGrid w:val="0"/>
          <w:color w:val="4F81BD" w:themeColor="accent1"/>
        </w:rPr>
        <w:tab/>
        <w:t>Studies done on molecular distances in maize for DUS testing and essential derivation, which showed the link with the parentage between varieties (see documents BMT/3/6 “The Estimation of Molecular Genetic Distances in Maize or DUS and ED Protocols:  Optimization of the Information and new Approaches of Kinship” and document BMT/3/6 Add.)</w:t>
      </w:r>
    </w:p>
    <w:p w14:paraId="1DDF8E7F" w14:textId="77777777" w:rsidR="008F4739" w:rsidRPr="000671EE" w:rsidRDefault="008F4739" w:rsidP="000671EE">
      <w:pPr>
        <w:ind w:firstLine="567"/>
        <w:rPr>
          <w:rFonts w:cs="Arial"/>
          <w:snapToGrid w:val="0"/>
          <w:color w:val="4F81BD" w:themeColor="accent1"/>
        </w:rPr>
      </w:pPr>
    </w:p>
    <w:p w14:paraId="246A7282" w14:textId="77777777" w:rsidR="008F4739" w:rsidRPr="000671EE" w:rsidRDefault="008F4739" w:rsidP="000671EE">
      <w:pPr>
        <w:ind w:firstLine="567"/>
        <w:rPr>
          <w:rFonts w:cs="Arial"/>
          <w:snapToGrid w:val="0"/>
          <w:color w:val="4F81BD" w:themeColor="accent1"/>
        </w:rPr>
      </w:pPr>
      <w:r w:rsidRPr="000671EE">
        <w:rPr>
          <w:rFonts w:cs="Arial"/>
          <w:snapToGrid w:val="0"/>
          <w:color w:val="4F81BD" w:themeColor="accent1"/>
        </w:rPr>
        <w:t>(b)</w:t>
      </w:r>
      <w:r w:rsidRPr="000671EE">
        <w:rPr>
          <w:rFonts w:cs="Arial"/>
          <w:snapToGrid w:val="0"/>
          <w:color w:val="4F81BD" w:themeColor="accent1"/>
        </w:rPr>
        <w:tab/>
        <w:t>An experiment done by GEVES on a set of maize parental lines, which showed that there is a link between the evaluation of distinctness by experts (global assessment) and a molecular distance computed on Simple Sequence Repeat (SSR) molecular data (see Figure 2).</w:t>
      </w:r>
    </w:p>
    <w:p w14:paraId="22B7ACEF" w14:textId="77777777" w:rsidR="008F4739" w:rsidRPr="000671EE" w:rsidRDefault="008F4739" w:rsidP="000671EE">
      <w:pPr>
        <w:rPr>
          <w:rFonts w:cs="Arial"/>
          <w:snapToGrid w:val="0"/>
          <w:color w:val="4F81BD" w:themeColor="accent1"/>
        </w:rPr>
      </w:pPr>
    </w:p>
    <w:p w14:paraId="644804AE" w14:textId="2121EAB8" w:rsidR="008F4739" w:rsidRPr="000671EE" w:rsidRDefault="008F4739" w:rsidP="000671EE">
      <w:pPr>
        <w:rPr>
          <w:rFonts w:cs="Arial"/>
          <w:snapToGrid w:val="0"/>
          <w:color w:val="4F81BD" w:themeColor="accent1"/>
          <w:u w:val="single"/>
        </w:rPr>
      </w:pPr>
      <w:r w:rsidRPr="000671EE">
        <w:rPr>
          <w:rFonts w:cs="Arial"/>
          <w:snapToGrid w:val="0"/>
          <w:color w:val="4F81BD" w:themeColor="accent1"/>
          <w:u w:val="single"/>
        </w:rPr>
        <w:t>Components of the system</w:t>
      </w:r>
    </w:p>
    <w:p w14:paraId="39E86DF0" w14:textId="77777777" w:rsidR="008F4739" w:rsidRPr="000671EE" w:rsidRDefault="008F4739" w:rsidP="000671EE">
      <w:pPr>
        <w:rPr>
          <w:rFonts w:cs="Arial"/>
          <w:snapToGrid w:val="0"/>
          <w:color w:val="4F81BD" w:themeColor="accent1"/>
        </w:rPr>
      </w:pPr>
    </w:p>
    <w:p w14:paraId="24CE6B27" w14:textId="2D365DFA" w:rsidR="008F4739" w:rsidRPr="000671EE" w:rsidRDefault="008F4739" w:rsidP="000671EE">
      <w:pPr>
        <w:rPr>
          <w:rFonts w:cs="Arial"/>
          <w:snapToGrid w:val="0"/>
          <w:color w:val="4F81BD" w:themeColor="accent1"/>
        </w:rPr>
      </w:pPr>
      <w:r w:rsidRPr="000671EE">
        <w:rPr>
          <w:rFonts w:cs="Arial"/>
          <w:i/>
          <w:iCs/>
          <w:snapToGrid w:val="0"/>
          <w:color w:val="4F81BD" w:themeColor="accent1"/>
        </w:rPr>
        <w:t xml:space="preserve">GAIA distance </w:t>
      </w:r>
    </w:p>
    <w:p w14:paraId="1DF17E47" w14:textId="77777777" w:rsidR="008F4739" w:rsidRPr="000671EE" w:rsidRDefault="008F4739" w:rsidP="000671EE">
      <w:pPr>
        <w:rPr>
          <w:rFonts w:cs="Arial"/>
          <w:snapToGrid w:val="0"/>
          <w:color w:val="4F81BD" w:themeColor="accent1"/>
        </w:rPr>
      </w:pPr>
    </w:p>
    <w:p w14:paraId="54862BBB" w14:textId="3189F312" w:rsidR="008F4739" w:rsidRPr="000671EE" w:rsidRDefault="00DC1697" w:rsidP="000671EE">
      <w:pPr>
        <w:rPr>
          <w:rFonts w:cs="Arial"/>
          <w:snapToGrid w:val="0"/>
          <w:color w:val="4F81BD" w:themeColor="accent1"/>
        </w:rPr>
      </w:pPr>
      <w:r w:rsidRPr="005F2A50">
        <w:rPr>
          <w:rFonts w:cs="Arial"/>
          <w:snapToGrid w:val="0"/>
          <w:color w:val="4F81BD" w:themeColor="accent1"/>
          <w:highlight w:val="lightGray"/>
          <w:u w:val="single"/>
        </w:rPr>
        <w:t>2.2.7</w:t>
      </w:r>
      <w:r w:rsidRPr="000671EE">
        <w:rPr>
          <w:rFonts w:cs="Arial"/>
          <w:snapToGrid w:val="0"/>
          <w:color w:val="4F81BD" w:themeColor="accent1"/>
        </w:rPr>
        <w:tab/>
      </w:r>
      <w:r w:rsidR="008F4739" w:rsidRPr="000671EE">
        <w:rPr>
          <w:rFonts w:cs="Arial"/>
          <w:snapToGrid w:val="0"/>
          <w:color w:val="4F81BD" w:themeColor="accent1"/>
        </w:rPr>
        <w:t>The GAIA distance component is computed with the GAIA software developed by GEVES. The GAIA distance is a combination of differences observed on phenotypic characteristics, where each difference contributes to the distance according to the reliability of the characteristics, especially regarding its variability and its susceptibility to environment.  The larger the size of the difference and the greater the reliability of the characteristic, the more the difference contributes to the GAIA distance. Only differences that are equal or larger than the minimum distance required for each individual characteristic are included.</w:t>
      </w:r>
    </w:p>
    <w:p w14:paraId="3A4878C7" w14:textId="77777777" w:rsidR="008F4739" w:rsidRPr="000671EE" w:rsidRDefault="008F4739" w:rsidP="000671EE">
      <w:pPr>
        <w:rPr>
          <w:rFonts w:cs="Arial"/>
          <w:snapToGrid w:val="0"/>
          <w:color w:val="4F81BD" w:themeColor="accent1"/>
        </w:rPr>
      </w:pPr>
    </w:p>
    <w:p w14:paraId="094E4DF4" w14:textId="19BFFE17" w:rsidR="008F4739" w:rsidRPr="000671EE" w:rsidRDefault="008F4739" w:rsidP="000671EE">
      <w:pPr>
        <w:rPr>
          <w:rFonts w:cs="Arial"/>
          <w:snapToGrid w:val="0"/>
          <w:color w:val="4F81BD" w:themeColor="accent1"/>
        </w:rPr>
      </w:pPr>
      <w:r w:rsidRPr="000671EE">
        <w:rPr>
          <w:rFonts w:cs="Arial"/>
          <w:i/>
          <w:iCs/>
          <w:snapToGrid w:val="0"/>
          <w:color w:val="4F81BD" w:themeColor="accent1"/>
        </w:rPr>
        <w:t xml:space="preserve">Molecular distance </w:t>
      </w:r>
    </w:p>
    <w:p w14:paraId="1C112D16" w14:textId="77777777" w:rsidR="008F4739" w:rsidRPr="000671EE" w:rsidRDefault="008F4739" w:rsidP="000671EE">
      <w:pPr>
        <w:rPr>
          <w:rFonts w:cs="Arial"/>
          <w:snapToGrid w:val="0"/>
          <w:color w:val="4F81BD" w:themeColor="accent1"/>
        </w:rPr>
      </w:pPr>
    </w:p>
    <w:p w14:paraId="59FB553F" w14:textId="484FC064" w:rsidR="008F4739" w:rsidRPr="000671EE" w:rsidRDefault="00DC1697" w:rsidP="000671EE">
      <w:pPr>
        <w:rPr>
          <w:rFonts w:cs="Arial"/>
          <w:snapToGrid w:val="0"/>
          <w:color w:val="4F81BD" w:themeColor="accent1"/>
        </w:rPr>
      </w:pPr>
      <w:r w:rsidRPr="005F2A50">
        <w:rPr>
          <w:rFonts w:cs="Arial"/>
          <w:snapToGrid w:val="0"/>
          <w:color w:val="4F81BD" w:themeColor="accent1"/>
          <w:highlight w:val="lightGray"/>
          <w:u w:val="single"/>
        </w:rPr>
        <w:t>2.2.8</w:t>
      </w:r>
      <w:r w:rsidRPr="000671EE">
        <w:rPr>
          <w:rFonts w:cs="Arial"/>
          <w:snapToGrid w:val="0"/>
          <w:color w:val="4F81BD" w:themeColor="accent1"/>
        </w:rPr>
        <w:tab/>
      </w:r>
      <w:r w:rsidR="008F4739" w:rsidRPr="000671EE">
        <w:rPr>
          <w:rFonts w:cs="Arial"/>
          <w:snapToGrid w:val="0"/>
          <w:color w:val="4F81BD" w:themeColor="accent1"/>
        </w:rPr>
        <w:t xml:space="preserve">The molecular distance component is computed on the differences observed on a set of markers. Different types of molecular markers and distances can be used. In the case of the study done in France on maize, 60 SSR markers and Roger’s distance have been used. It is important that sufficient markers, with a good distribution on the chromosomes, are used.  The type of markers, the effect of the number of markers and the distribution of the markers need to be considered according to the species concerned. </w:t>
      </w:r>
    </w:p>
    <w:p w14:paraId="1A022AD4" w14:textId="77777777" w:rsidR="008F4739" w:rsidRPr="000671EE" w:rsidRDefault="008F4739" w:rsidP="000671EE">
      <w:pPr>
        <w:rPr>
          <w:rFonts w:cs="Arial"/>
          <w:snapToGrid w:val="0"/>
          <w:color w:val="4F81BD" w:themeColor="accent1"/>
        </w:rPr>
      </w:pPr>
    </w:p>
    <w:p w14:paraId="6031D1CB" w14:textId="758369A8" w:rsidR="008F4739" w:rsidRPr="000671EE" w:rsidRDefault="00DC1697" w:rsidP="000671EE">
      <w:pPr>
        <w:rPr>
          <w:rFonts w:cs="Arial"/>
          <w:snapToGrid w:val="0"/>
          <w:color w:val="4F81BD" w:themeColor="accent1"/>
        </w:rPr>
      </w:pPr>
      <w:r w:rsidRPr="005F2A50">
        <w:rPr>
          <w:rFonts w:cs="Arial"/>
          <w:snapToGrid w:val="0"/>
          <w:color w:val="4F81BD" w:themeColor="accent1"/>
          <w:highlight w:val="lightGray"/>
          <w:u w:val="single"/>
        </w:rPr>
        <w:t>2.2.9</w:t>
      </w:r>
      <w:r w:rsidR="008F4739" w:rsidRPr="000671EE">
        <w:rPr>
          <w:rFonts w:cs="Arial"/>
          <w:snapToGrid w:val="0"/>
          <w:color w:val="4F81BD" w:themeColor="accent1"/>
        </w:rPr>
        <w:tab/>
        <w:t>Before combining these two components, an evaluation of the link between molecular distance and a global assessment of distinctness by a panel of experts needs to be done on a set of pairs of varieties.  In the case of maize, that evaluation was made on the following basis:</w:t>
      </w:r>
    </w:p>
    <w:p w14:paraId="724A3D39" w14:textId="77777777" w:rsidR="008F4739" w:rsidRPr="000671EE" w:rsidRDefault="008F4739" w:rsidP="000671EE">
      <w:pPr>
        <w:rPr>
          <w:rFonts w:cs="Arial"/>
          <w:snapToGrid w:val="0"/>
          <w:color w:val="4F81BD" w:themeColor="accent1"/>
        </w:rPr>
      </w:pPr>
    </w:p>
    <w:p w14:paraId="251BA3CD" w14:textId="77777777" w:rsidR="008F4739" w:rsidRPr="000671EE" w:rsidRDefault="008F4739" w:rsidP="000671EE">
      <w:pPr>
        <w:ind w:firstLine="567"/>
        <w:rPr>
          <w:rFonts w:cs="Arial"/>
          <w:snapToGrid w:val="0"/>
          <w:color w:val="4F81BD" w:themeColor="accent1"/>
        </w:rPr>
      </w:pPr>
      <w:r w:rsidRPr="000671EE">
        <w:rPr>
          <w:rFonts w:cs="Arial"/>
          <w:snapToGrid w:val="0"/>
          <w:color w:val="4F81BD" w:themeColor="accent1"/>
        </w:rPr>
        <w:t>Material: 504 pairs of varieties tested in parallel with molecular markers</w:t>
      </w:r>
    </w:p>
    <w:p w14:paraId="3067BF1F" w14:textId="77777777" w:rsidR="008F4739" w:rsidRPr="000671EE" w:rsidRDefault="008F4739" w:rsidP="000671EE">
      <w:pPr>
        <w:ind w:firstLine="720"/>
        <w:rPr>
          <w:rFonts w:cs="Arial"/>
          <w:snapToGrid w:val="0"/>
          <w:color w:val="4F81BD" w:themeColor="accent1"/>
        </w:rPr>
      </w:pPr>
    </w:p>
    <w:p w14:paraId="171BE553" w14:textId="77777777" w:rsidR="008F4739" w:rsidRPr="000671EE" w:rsidRDefault="008F4739" w:rsidP="000671EE">
      <w:pPr>
        <w:ind w:left="1440" w:hanging="873"/>
        <w:jc w:val="left"/>
        <w:rPr>
          <w:rFonts w:cs="Arial"/>
          <w:snapToGrid w:val="0"/>
          <w:color w:val="4F81BD" w:themeColor="accent1"/>
        </w:rPr>
      </w:pPr>
      <w:r w:rsidRPr="000671EE">
        <w:rPr>
          <w:rFonts w:cs="Arial"/>
          <w:snapToGrid w:val="0"/>
          <w:color w:val="4F81BD" w:themeColor="accent1"/>
        </w:rPr>
        <w:t xml:space="preserve">Field design: pairs of varieties grown side by side </w:t>
      </w:r>
      <w:r w:rsidRPr="000671EE">
        <w:rPr>
          <w:rFonts w:cs="Arial"/>
          <w:snapToGrid w:val="0"/>
          <w:color w:val="4F81BD" w:themeColor="accent1"/>
        </w:rPr>
        <w:br/>
        <w:t>(1 plot = 2 rows of 15 plants)</w:t>
      </w:r>
    </w:p>
    <w:p w14:paraId="24396B8F" w14:textId="77777777" w:rsidR="008F4739" w:rsidRPr="000671EE" w:rsidRDefault="008F4739" w:rsidP="000671EE">
      <w:pPr>
        <w:ind w:left="1440" w:hanging="720"/>
        <w:jc w:val="left"/>
        <w:rPr>
          <w:rFonts w:cs="Arial"/>
          <w:snapToGrid w:val="0"/>
          <w:color w:val="4F81BD" w:themeColor="accent1"/>
        </w:rPr>
      </w:pPr>
    </w:p>
    <w:p w14:paraId="49E00E96" w14:textId="77777777" w:rsidR="008F4739" w:rsidRPr="000671EE" w:rsidRDefault="008F4739" w:rsidP="000671EE">
      <w:pPr>
        <w:ind w:firstLine="567"/>
        <w:rPr>
          <w:rFonts w:cs="Arial"/>
          <w:snapToGrid w:val="0"/>
          <w:color w:val="4F81BD" w:themeColor="accent1"/>
        </w:rPr>
      </w:pPr>
      <w:r w:rsidRPr="000671EE">
        <w:rPr>
          <w:rFonts w:cs="Arial"/>
          <w:snapToGrid w:val="0"/>
          <w:color w:val="4F81BD" w:themeColor="accent1"/>
        </w:rPr>
        <w:t>Visual assessment by maize crop experts:</w:t>
      </w:r>
    </w:p>
    <w:p w14:paraId="339C6ED4" w14:textId="77777777" w:rsidR="008F4739" w:rsidRPr="000671EE" w:rsidRDefault="008F4739" w:rsidP="000671EE">
      <w:pPr>
        <w:ind w:firstLine="720"/>
        <w:rPr>
          <w:rFonts w:cs="Arial"/>
          <w:snapToGrid w:val="0"/>
          <w:color w:val="4F81BD" w:themeColor="accent1"/>
        </w:rPr>
      </w:pPr>
    </w:p>
    <w:p w14:paraId="135488CB" w14:textId="77777777" w:rsidR="008F4739" w:rsidRPr="000671EE" w:rsidRDefault="008F4739" w:rsidP="000671EE">
      <w:pPr>
        <w:ind w:firstLine="567"/>
        <w:rPr>
          <w:rFonts w:cs="Arial"/>
          <w:snapToGrid w:val="0"/>
          <w:color w:val="4F81BD" w:themeColor="accent1"/>
        </w:rPr>
      </w:pPr>
      <w:r w:rsidRPr="000671EE">
        <w:rPr>
          <w:rFonts w:cs="Arial"/>
          <w:snapToGrid w:val="0"/>
          <w:color w:val="4F81BD" w:themeColor="accent1"/>
        </w:rPr>
        <w:t>Scale of similarity:</w:t>
      </w:r>
    </w:p>
    <w:p w14:paraId="2D109C0E" w14:textId="77777777" w:rsidR="008F4739" w:rsidRPr="000671EE" w:rsidRDefault="008F4739" w:rsidP="000671EE">
      <w:pPr>
        <w:ind w:firstLine="709"/>
        <w:rPr>
          <w:rFonts w:cs="Arial"/>
          <w:snapToGrid w:val="0"/>
          <w:color w:val="4F81BD" w:themeColor="accent1"/>
        </w:rPr>
      </w:pPr>
    </w:p>
    <w:p w14:paraId="713F836C" w14:textId="77777777" w:rsidR="008F4739" w:rsidRPr="000671EE" w:rsidRDefault="008F4739" w:rsidP="000671EE">
      <w:pPr>
        <w:ind w:left="567" w:right="-1"/>
        <w:rPr>
          <w:rFonts w:cs="Arial"/>
          <w:snapToGrid w:val="0"/>
          <w:color w:val="4F81BD" w:themeColor="accent1"/>
        </w:rPr>
      </w:pPr>
      <w:r w:rsidRPr="000671EE">
        <w:rPr>
          <w:rFonts w:cs="Arial"/>
          <w:snapToGrid w:val="0"/>
          <w:color w:val="4F81BD" w:themeColor="accent1"/>
        </w:rPr>
        <w:t xml:space="preserve">1. </w:t>
      </w:r>
      <w:r w:rsidRPr="000671EE">
        <w:rPr>
          <w:rFonts w:cs="Arial"/>
          <w:snapToGrid w:val="0"/>
          <w:color w:val="4F81BD" w:themeColor="accent1"/>
        </w:rPr>
        <w:tab/>
        <w:t>the two varieties are similar or very close</w:t>
      </w:r>
    </w:p>
    <w:p w14:paraId="2CA1CB3C" w14:textId="77777777" w:rsidR="008F4739" w:rsidRPr="000671EE" w:rsidRDefault="008F4739" w:rsidP="000671EE">
      <w:pPr>
        <w:ind w:left="567" w:right="-1"/>
        <w:rPr>
          <w:rFonts w:cs="Arial"/>
          <w:snapToGrid w:val="0"/>
          <w:color w:val="4F81BD" w:themeColor="accent1"/>
        </w:rPr>
      </w:pPr>
      <w:r w:rsidRPr="000671EE">
        <w:rPr>
          <w:rFonts w:cs="Arial"/>
          <w:snapToGrid w:val="0"/>
          <w:color w:val="4F81BD" w:themeColor="accent1"/>
        </w:rPr>
        <w:t xml:space="preserve">3. </w:t>
      </w:r>
      <w:r w:rsidRPr="000671EE">
        <w:rPr>
          <w:rFonts w:cs="Arial"/>
          <w:snapToGrid w:val="0"/>
          <w:color w:val="4F81BD" w:themeColor="accent1"/>
        </w:rPr>
        <w:tab/>
        <w:t>the two varieties are distinct but close</w:t>
      </w:r>
    </w:p>
    <w:p w14:paraId="55FE8028" w14:textId="77777777" w:rsidR="008F4739" w:rsidRPr="000671EE" w:rsidRDefault="008F4739" w:rsidP="000671EE">
      <w:pPr>
        <w:ind w:left="567" w:right="-1"/>
        <w:rPr>
          <w:rFonts w:cs="Arial"/>
          <w:snapToGrid w:val="0"/>
          <w:color w:val="4F81BD" w:themeColor="accent1"/>
        </w:rPr>
      </w:pPr>
      <w:r w:rsidRPr="000671EE">
        <w:rPr>
          <w:rFonts w:cs="Arial"/>
          <w:snapToGrid w:val="0"/>
          <w:color w:val="4F81BD" w:themeColor="accent1"/>
        </w:rPr>
        <w:t xml:space="preserve">5. </w:t>
      </w:r>
      <w:r w:rsidRPr="000671EE">
        <w:rPr>
          <w:rFonts w:cs="Arial"/>
          <w:snapToGrid w:val="0"/>
          <w:color w:val="4F81BD" w:themeColor="accent1"/>
        </w:rPr>
        <w:tab/>
        <w:t>the comparison was useful, but the varieties are clearly distinct</w:t>
      </w:r>
    </w:p>
    <w:p w14:paraId="1F8763B0" w14:textId="77777777" w:rsidR="008F4739" w:rsidRPr="000671EE" w:rsidRDefault="008F4739" w:rsidP="000671EE">
      <w:pPr>
        <w:ind w:left="567" w:right="-1"/>
        <w:rPr>
          <w:rFonts w:cs="Arial"/>
          <w:snapToGrid w:val="0"/>
          <w:color w:val="4F81BD" w:themeColor="accent1"/>
        </w:rPr>
      </w:pPr>
      <w:r w:rsidRPr="000671EE">
        <w:rPr>
          <w:rFonts w:cs="Arial"/>
          <w:snapToGrid w:val="0"/>
          <w:color w:val="4F81BD" w:themeColor="accent1"/>
        </w:rPr>
        <w:t xml:space="preserve">7. </w:t>
      </w:r>
      <w:r w:rsidRPr="000671EE">
        <w:rPr>
          <w:rFonts w:cs="Arial"/>
          <w:snapToGrid w:val="0"/>
          <w:color w:val="4F81BD" w:themeColor="accent1"/>
        </w:rPr>
        <w:tab/>
        <w:t>the comparison should have been avoided because the varieties are very different</w:t>
      </w:r>
    </w:p>
    <w:p w14:paraId="280812A8" w14:textId="77777777" w:rsidR="008F4739" w:rsidRPr="000671EE" w:rsidRDefault="008F4739" w:rsidP="000671EE">
      <w:pPr>
        <w:keepNext/>
        <w:ind w:left="567" w:right="-1"/>
        <w:rPr>
          <w:rFonts w:cs="Arial"/>
          <w:snapToGrid w:val="0"/>
          <w:color w:val="4F81BD" w:themeColor="accent1"/>
        </w:rPr>
      </w:pPr>
      <w:r w:rsidRPr="000671EE">
        <w:rPr>
          <w:rFonts w:cs="Arial"/>
          <w:snapToGrid w:val="0"/>
          <w:color w:val="4F81BD" w:themeColor="accent1"/>
        </w:rPr>
        <w:t xml:space="preserve">9. </w:t>
      </w:r>
      <w:r w:rsidRPr="000671EE">
        <w:rPr>
          <w:rFonts w:cs="Arial"/>
          <w:snapToGrid w:val="0"/>
          <w:color w:val="4F81BD" w:themeColor="accent1"/>
        </w:rPr>
        <w:tab/>
        <w:t>the comparison should have been avoided because the varieties are  totally different</w:t>
      </w:r>
    </w:p>
    <w:p w14:paraId="58C087F4" w14:textId="77777777" w:rsidR="008F4739" w:rsidRPr="000671EE" w:rsidRDefault="008F4739" w:rsidP="00F3665E">
      <w:pPr>
        <w:keepNext/>
        <w:ind w:left="1134" w:right="-1"/>
        <w:rPr>
          <w:rFonts w:cs="Arial"/>
          <w:snapToGrid w:val="0"/>
          <w:color w:val="4F81BD" w:themeColor="accent1"/>
        </w:rPr>
      </w:pPr>
      <w:r w:rsidRPr="000671EE">
        <w:rPr>
          <w:rFonts w:cs="Arial"/>
          <w:snapToGrid w:val="0"/>
          <w:color w:val="4F81BD" w:themeColor="accent1"/>
        </w:rPr>
        <w:t>(“even” notes are not used in the scale)</w:t>
      </w:r>
    </w:p>
    <w:p w14:paraId="6D2C7C12" w14:textId="77777777" w:rsidR="008F4739" w:rsidRPr="000671EE" w:rsidRDefault="008F4739" w:rsidP="000671EE">
      <w:pPr>
        <w:ind w:right="-1"/>
        <w:rPr>
          <w:rFonts w:cs="Arial"/>
          <w:snapToGrid w:val="0"/>
          <w:color w:val="4F81BD" w:themeColor="accent1"/>
        </w:rPr>
      </w:pPr>
    </w:p>
    <w:p w14:paraId="5EA0B5F9" w14:textId="4020ACF1" w:rsidR="008F4739" w:rsidRPr="000671EE" w:rsidRDefault="00DC1697" w:rsidP="000671EE">
      <w:pPr>
        <w:tabs>
          <w:tab w:val="left" w:pos="709"/>
        </w:tabs>
        <w:rPr>
          <w:rFonts w:cs="Arial"/>
          <w:snapToGrid w:val="0"/>
          <w:color w:val="4F81BD" w:themeColor="accent1"/>
        </w:rPr>
      </w:pPr>
      <w:r w:rsidRPr="005F2A50">
        <w:rPr>
          <w:rFonts w:cs="Arial"/>
          <w:snapToGrid w:val="0"/>
          <w:color w:val="4F81BD" w:themeColor="accent1"/>
          <w:highlight w:val="lightGray"/>
          <w:u w:val="single"/>
        </w:rPr>
        <w:t>2.2.10</w:t>
      </w:r>
      <w:r w:rsidRPr="000671EE">
        <w:rPr>
          <w:rFonts w:cs="Arial"/>
          <w:snapToGrid w:val="0"/>
          <w:color w:val="4F81BD" w:themeColor="accent1"/>
        </w:rPr>
        <w:tab/>
      </w:r>
      <w:r w:rsidR="008F4739" w:rsidRPr="000671EE">
        <w:rPr>
          <w:rFonts w:cs="Arial"/>
          <w:snapToGrid w:val="0"/>
          <w:color w:val="4F81BD" w:themeColor="accent1"/>
        </w:rPr>
        <w:t>In the case of maize, this evaluation showed that no parental lines with a molecular distance greater than 0.15 were considered as similar or very close by a DUS expert evaluation (see Figure 2).</w:t>
      </w:r>
    </w:p>
    <w:p w14:paraId="5671FFFA" w14:textId="77777777" w:rsidR="008F4739" w:rsidRPr="000671EE" w:rsidRDefault="008F4739" w:rsidP="000671EE">
      <w:pPr>
        <w:rPr>
          <w:rFonts w:cs="Arial"/>
          <w:snapToGrid w:val="0"/>
          <w:color w:val="4F81BD" w:themeColor="accent1"/>
        </w:rPr>
      </w:pPr>
    </w:p>
    <w:p w14:paraId="6E75F096" w14:textId="77777777" w:rsidR="008F4739" w:rsidRPr="000671EE" w:rsidRDefault="008F4739" w:rsidP="000671EE">
      <w:pPr>
        <w:keepNext/>
        <w:spacing w:after="120"/>
        <w:jc w:val="center"/>
        <w:rPr>
          <w:rFonts w:cs="Arial"/>
          <w:i/>
          <w:iCs/>
          <w:snapToGrid w:val="0"/>
          <w:color w:val="4F81BD" w:themeColor="accent1"/>
        </w:rPr>
      </w:pPr>
      <w:r w:rsidRPr="000671EE">
        <w:rPr>
          <w:rFonts w:cs="Arial"/>
          <w:i/>
          <w:iCs/>
          <w:snapToGrid w:val="0"/>
          <w:color w:val="4F81BD" w:themeColor="accent1"/>
        </w:rPr>
        <w:lastRenderedPageBreak/>
        <w:t>Figure 2</w:t>
      </w:r>
    </w:p>
    <w:p w14:paraId="1424AC20" w14:textId="77777777" w:rsidR="008F4739" w:rsidRPr="000671EE" w:rsidRDefault="008F4739" w:rsidP="005F2A50">
      <w:pPr>
        <w:snapToGrid w:val="0"/>
        <w:jc w:val="center"/>
        <w:rPr>
          <w:rFonts w:cs="Arial"/>
          <w:color w:val="4F81BD" w:themeColor="accent1"/>
        </w:rPr>
      </w:pPr>
      <w:r w:rsidRPr="000671EE">
        <w:rPr>
          <w:rFonts w:cs="Arial"/>
          <w:color w:val="4F81BD" w:themeColor="accent1"/>
        </w:rPr>
        <w:object w:dxaOrig="7324" w:dyaOrig="5501" w14:anchorId="55ED14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1pt;height:302.4pt" o:ole="" o:bordertopcolor="this" o:borderleftcolor="this" o:borderbottomcolor="this" o:borderrightcolor="this">
            <v:imagedata r:id="rId17" o:title=""/>
            <w10:bordertop type="single" width="4"/>
            <w10:borderleft type="single" width="4"/>
            <w10:borderbottom type="single" width="4"/>
            <w10:borderright type="single" width="4"/>
          </v:shape>
          <o:OLEObject Type="Embed" ProgID="PowerPoint.Show.8" ShapeID="_x0000_i1025" DrawAspect="Content" ObjectID="_1851151660" r:id="rId18"/>
        </w:object>
      </w:r>
    </w:p>
    <w:p w14:paraId="43CD266F" w14:textId="77777777" w:rsidR="008F4739" w:rsidRPr="000671EE" w:rsidRDefault="008F4739" w:rsidP="000671EE">
      <w:pPr>
        <w:ind w:left="567"/>
        <w:rPr>
          <w:rFonts w:cs="Arial"/>
          <w:i/>
          <w:iCs/>
          <w:snapToGrid w:val="0"/>
          <w:color w:val="4F81BD" w:themeColor="accent1"/>
        </w:rPr>
      </w:pPr>
    </w:p>
    <w:p w14:paraId="30483D80" w14:textId="4D793FCD" w:rsidR="008F4739" w:rsidRPr="000671EE" w:rsidRDefault="00DC1697" w:rsidP="000671EE">
      <w:pPr>
        <w:tabs>
          <w:tab w:val="left" w:pos="709"/>
        </w:tabs>
        <w:rPr>
          <w:rFonts w:cs="Arial"/>
          <w:snapToGrid w:val="0"/>
          <w:color w:val="4F81BD" w:themeColor="accent1"/>
        </w:rPr>
      </w:pPr>
      <w:r w:rsidRPr="005F2A50">
        <w:rPr>
          <w:rFonts w:cs="Arial"/>
          <w:snapToGrid w:val="0"/>
          <w:color w:val="4F81BD" w:themeColor="accent1"/>
          <w:highlight w:val="lightGray"/>
          <w:u w:val="single"/>
        </w:rPr>
        <w:t>2.2.11</w:t>
      </w:r>
      <w:r w:rsidR="008F4739" w:rsidRPr="000671EE">
        <w:rPr>
          <w:rFonts w:cs="Arial"/>
          <w:snapToGrid w:val="0"/>
          <w:color w:val="4F81BD" w:themeColor="accent1"/>
        </w:rPr>
        <w:tab/>
        <w:t>On the basis of that result, the combination of morphological and molecular distances offers the possibility to establish a decision scheme as follows (see Figure 3):</w:t>
      </w:r>
    </w:p>
    <w:p w14:paraId="5E6C34C9" w14:textId="77777777" w:rsidR="008F4739" w:rsidRPr="000671EE" w:rsidRDefault="008F4739" w:rsidP="000671EE">
      <w:pPr>
        <w:rPr>
          <w:rFonts w:cs="Arial"/>
          <w:snapToGrid w:val="0"/>
          <w:color w:val="4F81BD" w:themeColor="accent1"/>
        </w:rPr>
      </w:pPr>
    </w:p>
    <w:p w14:paraId="7831E253" w14:textId="77777777" w:rsidR="008F4739" w:rsidRPr="000671EE" w:rsidRDefault="008F4739" w:rsidP="005F2A50">
      <w:pPr>
        <w:keepNext/>
        <w:spacing w:after="120"/>
        <w:ind w:left="709"/>
        <w:jc w:val="center"/>
        <w:rPr>
          <w:rFonts w:cs="Arial"/>
          <w:i/>
          <w:iCs/>
          <w:snapToGrid w:val="0"/>
          <w:color w:val="4F81BD" w:themeColor="accent1"/>
        </w:rPr>
      </w:pPr>
      <w:r w:rsidRPr="000671EE">
        <w:rPr>
          <w:rFonts w:cs="Arial"/>
          <w:i/>
          <w:iCs/>
          <w:snapToGrid w:val="0"/>
          <w:color w:val="4F81BD" w:themeColor="accent1"/>
        </w:rPr>
        <w:t>Figure 3</w:t>
      </w:r>
    </w:p>
    <w:p w14:paraId="0B4193B5" w14:textId="77777777" w:rsidR="008F4739" w:rsidRPr="000671EE" w:rsidRDefault="008F4739" w:rsidP="000671EE">
      <w:pPr>
        <w:jc w:val="center"/>
        <w:rPr>
          <w:rFonts w:cs="Arial"/>
          <w:snapToGrid w:val="0"/>
          <w:color w:val="4F81BD" w:themeColor="accent1"/>
        </w:rPr>
      </w:pPr>
      <w:r w:rsidRPr="000671EE">
        <w:rPr>
          <w:rFonts w:cs="Arial"/>
          <w:snapToGrid w:val="0"/>
          <w:color w:val="4F81BD" w:themeColor="accent1"/>
          <w:lang w:val="fr-FR"/>
        </w:rPr>
        <w:object w:dxaOrig="7215" w:dyaOrig="5407" w14:anchorId="0336AB4B">
          <v:shape id="_x0000_i1026" type="#_x0000_t75" style="width:379.4pt;height:283pt" o:ole="" o:bordertopcolor="this" o:borderleftcolor="this" o:borderbottomcolor="this" o:borderrightcolor="this">
            <v:imagedata r:id="rId19" o:title=""/>
            <w10:bordertop type="single" width="4"/>
            <w10:borderleft type="single" width="4"/>
            <w10:borderbottom type="single" width="4"/>
            <w10:borderright type="single" width="4"/>
          </v:shape>
          <o:OLEObject Type="Embed" ProgID="PowerPoint.Slide.12" ShapeID="_x0000_i1026" DrawAspect="Content" ObjectID="_1851151661" r:id="rId20"/>
        </w:object>
      </w:r>
    </w:p>
    <w:p w14:paraId="6DCC2A91" w14:textId="77777777" w:rsidR="008F4739" w:rsidRPr="000671EE" w:rsidRDefault="008F4739" w:rsidP="000671EE">
      <w:pPr>
        <w:rPr>
          <w:rFonts w:cs="Arial"/>
          <w:snapToGrid w:val="0"/>
          <w:color w:val="4F81BD" w:themeColor="accent1"/>
        </w:rPr>
      </w:pPr>
    </w:p>
    <w:p w14:paraId="4C89F622" w14:textId="3F91795C" w:rsidR="008F4739" w:rsidRPr="000671EE" w:rsidRDefault="00DC1697" w:rsidP="000671EE">
      <w:pPr>
        <w:tabs>
          <w:tab w:val="left" w:pos="709"/>
        </w:tabs>
        <w:rPr>
          <w:rFonts w:cs="Arial"/>
          <w:snapToGrid w:val="0"/>
          <w:color w:val="4F81BD" w:themeColor="accent1"/>
        </w:rPr>
      </w:pPr>
      <w:r w:rsidRPr="005F2A50">
        <w:rPr>
          <w:rFonts w:cs="Arial"/>
          <w:snapToGrid w:val="0"/>
          <w:color w:val="4F81BD" w:themeColor="accent1"/>
          <w:highlight w:val="lightGray"/>
          <w:u w:val="single"/>
        </w:rPr>
        <w:t>2.2.12</w:t>
      </w:r>
      <w:r w:rsidR="008F4739" w:rsidRPr="000671EE">
        <w:rPr>
          <w:rFonts w:cs="Arial"/>
          <w:snapToGrid w:val="0"/>
          <w:color w:val="4F81BD" w:themeColor="accent1"/>
        </w:rPr>
        <w:tab/>
        <w:t>All pairs of varieties with a GAIA distance equal to, or larger than, 6 and all varieties with a GAIA distance between 2 and 6, plus a molecular distance equal to, or larger than, 0.2 are declared “Distinct plus”.</w:t>
      </w:r>
    </w:p>
    <w:p w14:paraId="63B4611F" w14:textId="77777777" w:rsidR="008F4739" w:rsidRPr="000671EE" w:rsidRDefault="008F4739" w:rsidP="000671EE">
      <w:pPr>
        <w:rPr>
          <w:rFonts w:cs="Arial"/>
          <w:snapToGrid w:val="0"/>
          <w:color w:val="4F81BD" w:themeColor="accent1"/>
        </w:rPr>
      </w:pPr>
    </w:p>
    <w:p w14:paraId="19FEDC3F" w14:textId="4AE988C0" w:rsidR="008F4739" w:rsidRPr="000671EE" w:rsidRDefault="00DC1697" w:rsidP="000671EE">
      <w:pPr>
        <w:tabs>
          <w:tab w:val="left" w:pos="709"/>
        </w:tabs>
        <w:rPr>
          <w:rFonts w:cs="Arial"/>
          <w:snapToGrid w:val="0"/>
          <w:color w:val="4F81BD" w:themeColor="accent1"/>
        </w:rPr>
      </w:pPr>
      <w:r w:rsidRPr="005F2A50">
        <w:rPr>
          <w:rFonts w:cs="Arial"/>
          <w:snapToGrid w:val="0"/>
          <w:color w:val="4F81BD" w:themeColor="accent1"/>
          <w:highlight w:val="lightGray"/>
          <w:u w:val="single"/>
        </w:rPr>
        <w:lastRenderedPageBreak/>
        <w:t>2.2.13</w:t>
      </w:r>
      <w:r w:rsidR="008F4739" w:rsidRPr="000671EE">
        <w:rPr>
          <w:rFonts w:cs="Arial"/>
          <w:snapToGrid w:val="0"/>
          <w:color w:val="4F81BD" w:themeColor="accent1"/>
        </w:rPr>
        <w:tab/>
        <w:t>This scheme shows that less parental lines need to be observed in the field compared to the situation where only a GAIA distance of 6 is used on its own.</w:t>
      </w:r>
    </w:p>
    <w:p w14:paraId="61542BA2" w14:textId="77777777" w:rsidR="008F4739" w:rsidRPr="000671EE" w:rsidRDefault="008F4739" w:rsidP="000671EE">
      <w:pPr>
        <w:rPr>
          <w:rFonts w:cs="Arial"/>
          <w:snapToGrid w:val="0"/>
          <w:color w:val="4F81BD" w:themeColor="accent1"/>
        </w:rPr>
      </w:pPr>
    </w:p>
    <w:p w14:paraId="751AE261" w14:textId="7C300EC7" w:rsidR="008F4739" w:rsidRPr="000671EE" w:rsidRDefault="00DC1697" w:rsidP="000671EE">
      <w:pPr>
        <w:tabs>
          <w:tab w:val="left" w:pos="709"/>
        </w:tabs>
        <w:rPr>
          <w:rFonts w:cs="Arial"/>
          <w:snapToGrid w:val="0"/>
          <w:color w:val="4F81BD" w:themeColor="accent1"/>
        </w:rPr>
      </w:pPr>
      <w:r w:rsidRPr="005F2A50">
        <w:rPr>
          <w:rFonts w:cs="Arial"/>
          <w:snapToGrid w:val="0"/>
          <w:color w:val="4F81BD" w:themeColor="accent1"/>
          <w:highlight w:val="lightGray"/>
          <w:u w:val="single"/>
        </w:rPr>
        <w:t>2.2.14</w:t>
      </w:r>
      <w:r w:rsidR="008F4739" w:rsidRPr="000671EE">
        <w:rPr>
          <w:rFonts w:cs="Arial"/>
          <w:snapToGrid w:val="0"/>
          <w:color w:val="4F81BD" w:themeColor="accent1"/>
        </w:rPr>
        <w:tab/>
        <w:t>The robustness of this system has been studied with different GAIA and molecular distances.</w:t>
      </w:r>
    </w:p>
    <w:p w14:paraId="72C33F4C" w14:textId="77777777" w:rsidR="008F4739" w:rsidRPr="000671EE" w:rsidRDefault="008F4739" w:rsidP="000671EE">
      <w:pPr>
        <w:rPr>
          <w:rFonts w:cs="Arial"/>
          <w:snapToGrid w:val="0"/>
          <w:color w:val="4F81BD" w:themeColor="accent1"/>
        </w:rPr>
      </w:pPr>
    </w:p>
    <w:p w14:paraId="47602FCF" w14:textId="5AB3F11C" w:rsidR="008F4739" w:rsidRPr="000671EE" w:rsidRDefault="008F4739" w:rsidP="000671EE">
      <w:pPr>
        <w:rPr>
          <w:rFonts w:cs="Arial"/>
          <w:snapToGrid w:val="0"/>
          <w:color w:val="4F81BD" w:themeColor="accent1"/>
        </w:rPr>
      </w:pPr>
      <w:r w:rsidRPr="000671EE">
        <w:rPr>
          <w:rFonts w:cs="Arial"/>
          <w:snapToGrid w:val="0"/>
          <w:color w:val="4F81BD" w:themeColor="accent1"/>
          <w:u w:val="single"/>
        </w:rPr>
        <w:t>Advantages and constraints</w:t>
      </w:r>
    </w:p>
    <w:p w14:paraId="5016F2F0" w14:textId="77777777" w:rsidR="008F4739" w:rsidRPr="000671EE" w:rsidRDefault="008F4739" w:rsidP="000671EE">
      <w:pPr>
        <w:rPr>
          <w:rFonts w:cs="Arial"/>
          <w:snapToGrid w:val="0"/>
          <w:color w:val="4F81BD" w:themeColor="accent1"/>
        </w:rPr>
      </w:pPr>
    </w:p>
    <w:p w14:paraId="1B72B9C1" w14:textId="14E5E868" w:rsidR="008F4739" w:rsidRPr="000671EE" w:rsidRDefault="00DC1697" w:rsidP="000671EE">
      <w:pPr>
        <w:ind w:left="709" w:hanging="709"/>
        <w:rPr>
          <w:rFonts w:cs="Arial"/>
          <w:i/>
          <w:iCs/>
          <w:snapToGrid w:val="0"/>
          <w:color w:val="4F81BD" w:themeColor="accent1"/>
        </w:rPr>
      </w:pPr>
      <w:r w:rsidRPr="005F2A50">
        <w:rPr>
          <w:rFonts w:cs="Arial"/>
          <w:i/>
          <w:iCs/>
          <w:snapToGrid w:val="0"/>
          <w:color w:val="4F81BD" w:themeColor="accent1"/>
          <w:highlight w:val="lightGray"/>
          <w:u w:val="single"/>
        </w:rPr>
        <w:t>2.2.15</w:t>
      </w:r>
      <w:r w:rsidR="00566585" w:rsidRPr="000671EE">
        <w:rPr>
          <w:rFonts w:cs="Arial"/>
          <w:i/>
          <w:iCs/>
          <w:snapToGrid w:val="0"/>
          <w:color w:val="4F81BD" w:themeColor="accent1"/>
        </w:rPr>
        <w:tab/>
      </w:r>
      <w:r w:rsidR="008F4739" w:rsidRPr="000671EE">
        <w:rPr>
          <w:rFonts w:cs="Arial"/>
          <w:i/>
          <w:iCs/>
          <w:snapToGrid w:val="0"/>
          <w:color w:val="4F81BD" w:themeColor="accent1"/>
        </w:rPr>
        <w:t>Advantages</w:t>
      </w:r>
    </w:p>
    <w:p w14:paraId="1B4CEF6A" w14:textId="77777777" w:rsidR="008F4739" w:rsidRPr="000671EE" w:rsidRDefault="008F4739" w:rsidP="000671EE">
      <w:pPr>
        <w:rPr>
          <w:rFonts w:cs="Arial"/>
          <w:snapToGrid w:val="0"/>
          <w:color w:val="4F81BD" w:themeColor="accent1"/>
        </w:rPr>
      </w:pPr>
    </w:p>
    <w:p w14:paraId="7189883A" w14:textId="77777777" w:rsidR="008F4739" w:rsidRPr="000671EE" w:rsidRDefault="008F4739" w:rsidP="000671EE">
      <w:pPr>
        <w:spacing w:after="240"/>
        <w:ind w:firstLine="567"/>
        <w:rPr>
          <w:rFonts w:cs="Arial"/>
          <w:snapToGrid w:val="0"/>
          <w:color w:val="4F81BD" w:themeColor="accent1"/>
        </w:rPr>
      </w:pPr>
      <w:r w:rsidRPr="000671EE">
        <w:rPr>
          <w:rFonts w:cs="Arial"/>
          <w:snapToGrid w:val="0"/>
          <w:color w:val="4F81BD" w:themeColor="accent1"/>
        </w:rPr>
        <w:t>(a)</w:t>
      </w:r>
      <w:r w:rsidRPr="000671EE">
        <w:rPr>
          <w:rFonts w:cs="Arial"/>
          <w:snapToGrid w:val="0"/>
          <w:color w:val="4F81BD" w:themeColor="accent1"/>
        </w:rPr>
        <w:tab/>
        <w:t>Improvement of the management of variety collections with less varieties needing to be compared in the field;</w:t>
      </w:r>
    </w:p>
    <w:p w14:paraId="443C074A" w14:textId="77777777" w:rsidR="008F4739" w:rsidRPr="000671EE" w:rsidRDefault="008F4739" w:rsidP="000671EE">
      <w:pPr>
        <w:spacing w:after="240"/>
        <w:ind w:firstLine="567"/>
        <w:rPr>
          <w:rFonts w:cs="Arial"/>
          <w:snapToGrid w:val="0"/>
          <w:color w:val="4F81BD" w:themeColor="accent1"/>
        </w:rPr>
      </w:pPr>
      <w:r w:rsidRPr="000671EE">
        <w:rPr>
          <w:rFonts w:cs="Arial"/>
          <w:snapToGrid w:val="0"/>
          <w:color w:val="4F81BD" w:themeColor="accent1"/>
        </w:rPr>
        <w:t>(b)</w:t>
      </w:r>
      <w:r w:rsidRPr="000671EE">
        <w:rPr>
          <w:rFonts w:cs="Arial"/>
          <w:snapToGrid w:val="0"/>
          <w:color w:val="4F81BD" w:themeColor="accent1"/>
        </w:rPr>
        <w:tab/>
        <w:t>Use of morphological and molecular distances with thresholds defined by DUS experts. GAIA was also calibrated against DUS experts’ evaluations when developed by GEVES;</w:t>
      </w:r>
    </w:p>
    <w:p w14:paraId="4DF08337" w14:textId="77777777" w:rsidR="008F4739" w:rsidRPr="000671EE" w:rsidRDefault="008F4739" w:rsidP="000671EE">
      <w:pPr>
        <w:spacing w:after="240"/>
        <w:ind w:firstLine="567"/>
        <w:rPr>
          <w:rFonts w:cs="Arial"/>
          <w:snapToGrid w:val="0"/>
          <w:color w:val="4F81BD" w:themeColor="accent1"/>
        </w:rPr>
      </w:pPr>
      <w:r w:rsidRPr="000671EE">
        <w:rPr>
          <w:rFonts w:cs="Arial"/>
          <w:snapToGrid w:val="0"/>
          <w:color w:val="4F81BD" w:themeColor="accent1"/>
        </w:rPr>
        <w:t xml:space="preserve">(c) </w:t>
      </w:r>
      <w:r w:rsidRPr="000671EE">
        <w:rPr>
          <w:rFonts w:cs="Arial"/>
          <w:snapToGrid w:val="0"/>
          <w:color w:val="4F81BD" w:themeColor="accent1"/>
        </w:rPr>
        <w:tab/>
        <w:t xml:space="preserve">Use of molecular data that </w:t>
      </w:r>
      <w:proofErr w:type="gramStart"/>
      <w:r w:rsidRPr="000671EE">
        <w:rPr>
          <w:rFonts w:cs="Arial"/>
          <w:snapToGrid w:val="0"/>
          <w:color w:val="4F81BD" w:themeColor="accent1"/>
        </w:rPr>
        <w:t>are</w:t>
      </w:r>
      <w:proofErr w:type="gramEnd"/>
      <w:r w:rsidRPr="000671EE">
        <w:rPr>
          <w:rFonts w:cs="Arial"/>
          <w:snapToGrid w:val="0"/>
          <w:color w:val="4F81BD" w:themeColor="accent1"/>
        </w:rPr>
        <w:t xml:space="preserve"> not susceptible to the environment; the set of markers and the laboratory protocol are well defined;</w:t>
      </w:r>
    </w:p>
    <w:p w14:paraId="1EE6ACF3" w14:textId="77777777" w:rsidR="008F4739" w:rsidRPr="000671EE" w:rsidRDefault="008F4739" w:rsidP="000671EE">
      <w:pPr>
        <w:spacing w:after="240"/>
        <w:ind w:firstLine="567"/>
        <w:rPr>
          <w:rFonts w:cs="Arial"/>
          <w:snapToGrid w:val="0"/>
          <w:color w:val="4F81BD" w:themeColor="accent1"/>
        </w:rPr>
      </w:pPr>
      <w:r w:rsidRPr="000671EE">
        <w:rPr>
          <w:rFonts w:cs="Arial"/>
          <w:snapToGrid w:val="0"/>
          <w:color w:val="4F81BD" w:themeColor="accent1"/>
        </w:rPr>
        <w:t>(d)</w:t>
      </w:r>
      <w:r w:rsidRPr="000671EE">
        <w:rPr>
          <w:rFonts w:cs="Arial"/>
          <w:snapToGrid w:val="0"/>
          <w:color w:val="4F81BD" w:themeColor="accent1"/>
        </w:rPr>
        <w:tab/>
        <w:t>Use of only phenotypic characteristics with a good robustness and possibility to use descriptions coming from different origins under close cooperation (The maize database that has been developed in cooperation between France, Germany, Spain and the Community Plant Variety Office of the European Union (CPVO) is a good example to illustrate the value of this approach with a variety collection shared between different offices);</w:t>
      </w:r>
    </w:p>
    <w:p w14:paraId="1285A332" w14:textId="77777777" w:rsidR="008F4739" w:rsidRPr="000671EE" w:rsidRDefault="008F4739" w:rsidP="000671EE">
      <w:pPr>
        <w:spacing w:after="240"/>
        <w:ind w:firstLine="567"/>
        <w:rPr>
          <w:rFonts w:cs="Arial"/>
          <w:snapToGrid w:val="0"/>
          <w:color w:val="4F81BD" w:themeColor="accent1"/>
        </w:rPr>
      </w:pPr>
      <w:r w:rsidRPr="000671EE">
        <w:rPr>
          <w:rFonts w:cs="Arial"/>
          <w:snapToGrid w:val="0"/>
          <w:color w:val="4F81BD" w:themeColor="accent1"/>
        </w:rPr>
        <w:t>(e)</w:t>
      </w:r>
      <w:r w:rsidRPr="000671EE">
        <w:rPr>
          <w:rFonts w:cs="Arial"/>
          <w:snapToGrid w:val="0"/>
          <w:color w:val="4F81BD" w:themeColor="accent1"/>
        </w:rPr>
        <w:tab/>
        <w:t>Electrophoresis characteristics can also be replaced; and</w:t>
      </w:r>
    </w:p>
    <w:p w14:paraId="2BD2827E" w14:textId="77777777" w:rsidR="008F4739" w:rsidRPr="000671EE" w:rsidRDefault="008F4739" w:rsidP="000671EE">
      <w:pPr>
        <w:ind w:firstLine="567"/>
        <w:rPr>
          <w:rFonts w:cs="Arial"/>
          <w:snapToGrid w:val="0"/>
          <w:color w:val="4F81BD" w:themeColor="accent1"/>
        </w:rPr>
      </w:pPr>
      <w:r w:rsidRPr="000671EE">
        <w:rPr>
          <w:rFonts w:cs="Arial"/>
          <w:snapToGrid w:val="0"/>
          <w:color w:val="4F81BD" w:themeColor="accent1"/>
        </w:rPr>
        <w:t>(f)</w:t>
      </w:r>
      <w:r w:rsidRPr="000671EE">
        <w:rPr>
          <w:rFonts w:cs="Arial"/>
          <w:snapToGrid w:val="0"/>
          <w:color w:val="4F81BD" w:themeColor="accent1"/>
        </w:rPr>
        <w:tab/>
        <w:t>There is no influence of lack of uniformity in molecular profiles provided enough markers are used and the number of variants is low.  In the case of maize parental lines, the level of molecular uniformity is high but could be a problem in some other crops.</w:t>
      </w:r>
    </w:p>
    <w:p w14:paraId="45E4E0A2" w14:textId="77777777" w:rsidR="008F4739" w:rsidRPr="000671EE" w:rsidRDefault="008F4739" w:rsidP="000671EE">
      <w:pPr>
        <w:rPr>
          <w:color w:val="4F81BD" w:themeColor="accent1"/>
        </w:rPr>
      </w:pPr>
    </w:p>
    <w:p w14:paraId="788A7DEA" w14:textId="15D5D92F" w:rsidR="008F4739" w:rsidRPr="000671EE" w:rsidRDefault="00DC1697" w:rsidP="000671EE">
      <w:pPr>
        <w:ind w:left="709" w:hanging="709"/>
        <w:rPr>
          <w:rFonts w:cs="Arial"/>
          <w:i/>
          <w:iCs/>
          <w:snapToGrid w:val="0"/>
          <w:color w:val="4F81BD" w:themeColor="accent1"/>
        </w:rPr>
      </w:pPr>
      <w:r w:rsidRPr="005F2A50">
        <w:rPr>
          <w:rFonts w:cs="Arial"/>
          <w:i/>
          <w:iCs/>
          <w:snapToGrid w:val="0"/>
          <w:color w:val="4F81BD" w:themeColor="accent1"/>
          <w:highlight w:val="lightGray"/>
          <w:u w:val="single"/>
        </w:rPr>
        <w:t>2.2.16</w:t>
      </w:r>
      <w:r w:rsidR="008F4739" w:rsidRPr="000671EE">
        <w:rPr>
          <w:rFonts w:cs="Arial"/>
          <w:i/>
          <w:iCs/>
          <w:snapToGrid w:val="0"/>
          <w:color w:val="4F81BD" w:themeColor="accent1"/>
        </w:rPr>
        <w:tab/>
        <w:t>Constraints</w:t>
      </w:r>
    </w:p>
    <w:p w14:paraId="740D7CC1" w14:textId="77777777" w:rsidR="008F4739" w:rsidRPr="000671EE" w:rsidRDefault="008F4739" w:rsidP="000671EE">
      <w:pPr>
        <w:rPr>
          <w:rFonts w:cs="Arial"/>
          <w:snapToGrid w:val="0"/>
          <w:color w:val="4F81BD" w:themeColor="accent1"/>
        </w:rPr>
      </w:pPr>
    </w:p>
    <w:p w14:paraId="4477F6F8" w14:textId="77777777" w:rsidR="008F4739" w:rsidRPr="000671EE" w:rsidRDefault="008F4739" w:rsidP="000671EE">
      <w:pPr>
        <w:spacing w:after="240"/>
        <w:ind w:firstLine="567"/>
        <w:rPr>
          <w:rFonts w:cs="Arial"/>
          <w:snapToGrid w:val="0"/>
          <w:color w:val="4F81BD" w:themeColor="accent1"/>
        </w:rPr>
      </w:pPr>
      <w:r w:rsidRPr="000671EE">
        <w:rPr>
          <w:rFonts w:cs="Arial"/>
          <w:snapToGrid w:val="0"/>
          <w:color w:val="4F81BD" w:themeColor="accent1"/>
        </w:rPr>
        <w:t>(a)</w:t>
      </w:r>
      <w:r w:rsidRPr="000671EE">
        <w:rPr>
          <w:rFonts w:cs="Arial"/>
          <w:snapToGrid w:val="0"/>
          <w:color w:val="4F81BD" w:themeColor="accent1"/>
        </w:rPr>
        <w:tab/>
        <w:t>Not efficient, or less efficient, for species with synthetic varieties or populations;</w:t>
      </w:r>
    </w:p>
    <w:p w14:paraId="494A4F80" w14:textId="77777777" w:rsidR="008F4739" w:rsidRPr="000671EE" w:rsidRDefault="008F4739" w:rsidP="000671EE">
      <w:pPr>
        <w:spacing w:after="240"/>
        <w:ind w:firstLine="567"/>
        <w:rPr>
          <w:rFonts w:cs="Arial"/>
          <w:snapToGrid w:val="0"/>
          <w:color w:val="4F81BD" w:themeColor="accent1"/>
        </w:rPr>
      </w:pPr>
      <w:r w:rsidRPr="000671EE">
        <w:rPr>
          <w:rFonts w:cs="Arial"/>
          <w:snapToGrid w:val="0"/>
          <w:color w:val="4F81BD" w:themeColor="accent1"/>
        </w:rPr>
        <w:t>(b)</w:t>
      </w:r>
      <w:r w:rsidRPr="000671EE">
        <w:rPr>
          <w:rFonts w:cs="Arial"/>
          <w:snapToGrid w:val="0"/>
          <w:color w:val="4F81BD" w:themeColor="accent1"/>
        </w:rPr>
        <w:tab/>
        <w:t>Necessity to have enough good DNA markers and enough phenotypic characteristics with low susceptibility to environment; and</w:t>
      </w:r>
    </w:p>
    <w:p w14:paraId="42D8BF4F" w14:textId="77777777" w:rsidR="008F4739" w:rsidRPr="000671EE" w:rsidRDefault="008F4739" w:rsidP="000671EE">
      <w:pPr>
        <w:ind w:firstLine="567"/>
        <w:rPr>
          <w:rFonts w:cs="Arial"/>
          <w:snapToGrid w:val="0"/>
          <w:color w:val="4F81BD" w:themeColor="accent1"/>
        </w:rPr>
      </w:pPr>
      <w:r w:rsidRPr="000671EE">
        <w:rPr>
          <w:rFonts w:cs="Arial"/>
          <w:snapToGrid w:val="0"/>
          <w:color w:val="4F81BD" w:themeColor="accent1"/>
        </w:rPr>
        <w:t>(c)</w:t>
      </w:r>
      <w:r w:rsidRPr="000671EE">
        <w:rPr>
          <w:rFonts w:cs="Arial"/>
          <w:snapToGrid w:val="0"/>
          <w:color w:val="4F81BD" w:themeColor="accent1"/>
        </w:rPr>
        <w:tab/>
        <w:t>Preliminary work with calibration in comparison with DUS expert evaluation of distinctness.</w:t>
      </w:r>
    </w:p>
    <w:p w14:paraId="4562A8DB" w14:textId="77777777" w:rsidR="000A4427" w:rsidRDefault="000A4427" w:rsidP="000A4427"/>
    <w:p w14:paraId="40948412" w14:textId="77777777" w:rsidR="00CF4869" w:rsidRPr="000A4427" w:rsidRDefault="00CF4869" w:rsidP="000A4427"/>
    <w:p w14:paraId="74F4AC47" w14:textId="0F5C00C3" w:rsidR="000A4427" w:rsidRPr="00B60930" w:rsidRDefault="0015599C" w:rsidP="00B60930">
      <w:pPr>
        <w:pStyle w:val="Heading3"/>
      </w:pPr>
      <w:bookmarkStart w:id="14" w:name="_Toc240538636"/>
      <w:r w:rsidRPr="00FC3411">
        <w:t xml:space="preserve">Example 2: </w:t>
      </w:r>
      <w:r w:rsidR="00F05C67">
        <w:t xml:space="preserve"> </w:t>
      </w:r>
      <w:r w:rsidR="000A4427" w:rsidRPr="00FC3411">
        <w:t>Genetic Selection of Similar Varieties for the First Growing Cycle</w:t>
      </w:r>
      <w:r w:rsidR="000A4427" w:rsidRPr="007C6C7D">
        <w:rPr>
          <w:strike/>
        </w:rPr>
        <w:t xml:space="preserve"> </w:t>
      </w:r>
      <w:r w:rsidR="007C6C7D" w:rsidRPr="007C6C7D">
        <w:rPr>
          <w:strike/>
          <w:highlight w:val="lightGray"/>
        </w:rPr>
        <w:t>(see Annex II, example 2)</w:t>
      </w:r>
      <w:bookmarkEnd w:id="14"/>
    </w:p>
    <w:p w14:paraId="69820E03" w14:textId="0850F5F8" w:rsidR="000A4427" w:rsidRPr="00FC3411" w:rsidRDefault="00C517C6" w:rsidP="00566585">
      <w:pPr>
        <w:tabs>
          <w:tab w:val="left" w:pos="709"/>
        </w:tabs>
      </w:pPr>
      <w:r w:rsidRPr="00FC3411">
        <w:t>2.2.</w:t>
      </w:r>
      <w:r w:rsidR="00C344D7" w:rsidRPr="00570002">
        <w:rPr>
          <w:highlight w:val="lightGray"/>
          <w:u w:val="single"/>
        </w:rPr>
        <w:t>17</w:t>
      </w:r>
      <w:r w:rsidR="000A4427" w:rsidRPr="00FC3411">
        <w:tab/>
        <w:t>This approach involves a step to check for genetic similarity before the first growing cycle.</w:t>
      </w:r>
    </w:p>
    <w:p w14:paraId="3D606A6C" w14:textId="77777777" w:rsidR="000A4427" w:rsidRPr="00FC3411" w:rsidRDefault="000A4427" w:rsidP="000A4427"/>
    <w:p w14:paraId="36DF8933" w14:textId="3A2DE8F5" w:rsidR="000A4427" w:rsidRPr="00FC3411" w:rsidRDefault="00C517C6" w:rsidP="00566585">
      <w:pPr>
        <w:tabs>
          <w:tab w:val="left" w:pos="709"/>
        </w:tabs>
      </w:pPr>
      <w:r w:rsidRPr="00FC3411">
        <w:t>2.2.</w:t>
      </w:r>
      <w:r w:rsidR="00C344D7" w:rsidRPr="00570002">
        <w:rPr>
          <w:highlight w:val="lightGray"/>
          <w:u w:val="single"/>
        </w:rPr>
        <w:t>18</w:t>
      </w:r>
      <w:r w:rsidR="000A4427" w:rsidRPr="00FC3411">
        <w:tab/>
        <w:t>In cases where the minimum duration of tests is normally two growing cycles, a selection of similar varieties in the variety collection for comparison with candidate varieties in the first growing cycle is made according to genetic similarity. As a next step, the information provided by the applicant in the Technical Questionnaire (TQ) is used to see if some of the genetically similar varieties do not have to be compared in a growing trial because of differences in DUS characteristics.</w:t>
      </w:r>
    </w:p>
    <w:p w14:paraId="389F4CCF" w14:textId="77777777" w:rsidR="000A4427" w:rsidRPr="00FC3411" w:rsidRDefault="000A4427" w:rsidP="000A4427"/>
    <w:p w14:paraId="52526E86" w14:textId="0E4EC897" w:rsidR="000A4427" w:rsidRPr="00FC3411" w:rsidRDefault="00C517C6" w:rsidP="00566585">
      <w:pPr>
        <w:tabs>
          <w:tab w:val="left" w:pos="709"/>
        </w:tabs>
      </w:pPr>
      <w:r w:rsidRPr="00FC3411">
        <w:t>2.2.</w:t>
      </w:r>
      <w:r w:rsidR="00C344D7" w:rsidRPr="00570002">
        <w:rPr>
          <w:highlight w:val="lightGray"/>
          <w:u w:val="single"/>
        </w:rPr>
        <w:t>19</w:t>
      </w:r>
      <w:r w:rsidR="000A4427" w:rsidRPr="00FC3411">
        <w:tab/>
        <w:t xml:space="preserve">On the basis of the variety description of DUS characteristics produced in the first growing cycle, a further search is made of varieties in the variety collection to identify any similar varieties that were not compared in the first growing </w:t>
      </w:r>
      <w:proofErr w:type="gramStart"/>
      <w:r w:rsidR="000A4427" w:rsidRPr="00FC3411">
        <w:t>cycle</w:t>
      </w:r>
      <w:proofErr w:type="gramEnd"/>
      <w:r w:rsidR="000A4427" w:rsidRPr="00FC3411">
        <w:t xml:space="preserve"> and which should be compared with the candidate variety in the second growing cycle. </w:t>
      </w:r>
    </w:p>
    <w:p w14:paraId="3F66F5E7" w14:textId="77777777" w:rsidR="000A4427" w:rsidRPr="00FC3411" w:rsidRDefault="000A4427" w:rsidP="000A4427"/>
    <w:p w14:paraId="241A6EE6" w14:textId="57FF0F9E" w:rsidR="00570002" w:rsidRDefault="00C517C6" w:rsidP="00566585">
      <w:pPr>
        <w:tabs>
          <w:tab w:val="left" w:pos="709"/>
        </w:tabs>
      </w:pPr>
      <w:r w:rsidRPr="00FC3411">
        <w:t>2.2.</w:t>
      </w:r>
      <w:r w:rsidR="00C344D7" w:rsidRPr="00570002">
        <w:rPr>
          <w:highlight w:val="lightGray"/>
          <w:u w:val="single"/>
        </w:rPr>
        <w:t>20</w:t>
      </w:r>
      <w:r w:rsidR="000A4427" w:rsidRPr="00FC3411">
        <w:tab/>
      </w:r>
      <w:r w:rsidR="00570002" w:rsidRPr="00570002">
        <w:rPr>
          <w:strike/>
          <w:highlight w:val="lightGray"/>
        </w:rPr>
        <w:t>Example 2 in Annex II to this document “Genetic Selection of Similar Varieties for the First Growing Cycle”</w:t>
      </w:r>
      <w:r w:rsidR="00570002" w:rsidRPr="00570002">
        <w:rPr>
          <w:strike/>
        </w:rPr>
        <w:t xml:space="preserve"> </w:t>
      </w:r>
      <w:r w:rsidR="00741D8B" w:rsidRPr="00570002">
        <w:rPr>
          <w:highlight w:val="lightGray"/>
          <w:u w:val="single"/>
        </w:rPr>
        <w:t>Paragraphs 2.2.</w:t>
      </w:r>
      <w:r w:rsidR="00741D8B">
        <w:rPr>
          <w:highlight w:val="lightGray"/>
          <w:u w:val="single"/>
        </w:rPr>
        <w:t>21</w:t>
      </w:r>
      <w:r w:rsidR="00741D8B" w:rsidRPr="00570002">
        <w:rPr>
          <w:highlight w:val="lightGray"/>
          <w:u w:val="single"/>
        </w:rPr>
        <w:t xml:space="preserve"> to 2.2.</w:t>
      </w:r>
      <w:r w:rsidR="00741D8B">
        <w:rPr>
          <w:highlight w:val="lightGray"/>
          <w:u w:val="single"/>
        </w:rPr>
        <w:t>3</w:t>
      </w:r>
      <w:r w:rsidR="00741D8B" w:rsidRPr="00570002">
        <w:rPr>
          <w:highlight w:val="lightGray"/>
          <w:u w:val="single"/>
        </w:rPr>
        <w:t xml:space="preserve">1 </w:t>
      </w:r>
      <w:r w:rsidR="00570002" w:rsidRPr="00FC3411">
        <w:t>provide</w:t>
      </w:r>
      <w:r w:rsidR="00570002" w:rsidRPr="00570002">
        <w:rPr>
          <w:strike/>
          <w:highlight w:val="lightGray"/>
        </w:rPr>
        <w:t>s</w:t>
      </w:r>
      <w:r w:rsidR="00570002" w:rsidRPr="00FC3411">
        <w:t xml:space="preserve"> an example</w:t>
      </w:r>
      <w:r w:rsidR="007E07F8" w:rsidRPr="007E07F8">
        <w:rPr>
          <w:highlight w:val="lightGray"/>
          <w:u w:val="single"/>
        </w:rPr>
        <w:t xml:space="preserve">, </w:t>
      </w:r>
      <w:r w:rsidR="007E07F8" w:rsidRPr="007E07F8">
        <w:rPr>
          <w:color w:val="4F81BD" w:themeColor="accent1"/>
          <w:highlight w:val="lightGray"/>
          <w:u w:val="single"/>
        </w:rPr>
        <w:t>prepared by experts from the Kingdom of the Netherlands</w:t>
      </w:r>
      <w:r w:rsidR="007E07F8" w:rsidRPr="007E07F8">
        <w:rPr>
          <w:highlight w:val="lightGray"/>
          <w:u w:val="single"/>
        </w:rPr>
        <w:t>,</w:t>
      </w:r>
      <w:r w:rsidR="00570002" w:rsidRPr="00FC3411">
        <w:t xml:space="preserve"> of the genetic selection of similar varieties for the first growing cycle</w:t>
      </w:r>
      <w:r w:rsidR="00570002" w:rsidRPr="00570002">
        <w:t xml:space="preserve"> </w:t>
      </w:r>
      <w:r w:rsidR="00570002" w:rsidRPr="00570002">
        <w:rPr>
          <w:highlight w:val="lightGray"/>
          <w:u w:val="single"/>
        </w:rPr>
        <w:t xml:space="preserve">in the case of </w:t>
      </w:r>
      <w:r w:rsidR="00570002" w:rsidRPr="00860D83">
        <w:rPr>
          <w:color w:val="4F81BD" w:themeColor="accent1"/>
          <w:highlight w:val="lightGray"/>
          <w:u w:val="single"/>
        </w:rPr>
        <w:t>French Bean</w:t>
      </w:r>
      <w:r w:rsidR="00570002" w:rsidRPr="00FC3411">
        <w:t>.</w:t>
      </w:r>
    </w:p>
    <w:p w14:paraId="1C5F20F0" w14:textId="77777777" w:rsidR="00E306B7" w:rsidRDefault="00E306B7" w:rsidP="000A4427"/>
    <w:p w14:paraId="1DA2E738" w14:textId="4B846AB9" w:rsidR="00C344D7" w:rsidRPr="000671EE" w:rsidRDefault="00C344D7" w:rsidP="00566585">
      <w:pPr>
        <w:keepNext/>
        <w:rPr>
          <w:color w:val="4F81BD" w:themeColor="accent1"/>
        </w:rPr>
      </w:pPr>
      <w:r w:rsidRPr="000671EE">
        <w:rPr>
          <w:color w:val="4F81BD" w:themeColor="accent1"/>
          <w:u w:val="single"/>
        </w:rPr>
        <w:t>Introduction</w:t>
      </w:r>
    </w:p>
    <w:p w14:paraId="0D8CFFAD" w14:textId="77777777" w:rsidR="00C344D7" w:rsidRPr="000671EE" w:rsidRDefault="00C344D7" w:rsidP="00566585">
      <w:pPr>
        <w:keepNext/>
        <w:rPr>
          <w:color w:val="4F81BD" w:themeColor="accent1"/>
        </w:rPr>
      </w:pPr>
    </w:p>
    <w:p w14:paraId="75394964" w14:textId="0A63D069" w:rsidR="00C344D7" w:rsidRPr="000671EE" w:rsidRDefault="00C344D7" w:rsidP="00566585">
      <w:pPr>
        <w:tabs>
          <w:tab w:val="left" w:pos="709"/>
        </w:tabs>
        <w:rPr>
          <w:color w:val="4F81BD" w:themeColor="accent1"/>
        </w:rPr>
      </w:pPr>
      <w:r w:rsidRPr="00550F26">
        <w:rPr>
          <w:color w:val="4F81BD" w:themeColor="accent1"/>
          <w:highlight w:val="lightGray"/>
          <w:u w:val="single"/>
        </w:rPr>
        <w:t>2.2.21</w:t>
      </w:r>
      <w:r w:rsidRPr="000671EE">
        <w:rPr>
          <w:color w:val="4F81BD" w:themeColor="accent1"/>
        </w:rPr>
        <w:tab/>
        <w:t xml:space="preserve">This approach involves a step to check for genetic similarity before the first growing cycle.  </w:t>
      </w:r>
    </w:p>
    <w:p w14:paraId="31C16E5A" w14:textId="77777777" w:rsidR="00C344D7" w:rsidRPr="000671EE" w:rsidRDefault="00C344D7" w:rsidP="00C344D7">
      <w:pPr>
        <w:rPr>
          <w:color w:val="4F81BD" w:themeColor="accent1"/>
        </w:rPr>
      </w:pPr>
    </w:p>
    <w:p w14:paraId="64B33142" w14:textId="1FB7F77A" w:rsidR="00C344D7" w:rsidRPr="000671EE" w:rsidRDefault="00C344D7" w:rsidP="00566585">
      <w:pPr>
        <w:tabs>
          <w:tab w:val="left" w:pos="709"/>
        </w:tabs>
        <w:rPr>
          <w:color w:val="4F81BD" w:themeColor="accent1"/>
        </w:rPr>
      </w:pPr>
      <w:r w:rsidRPr="00550F26">
        <w:rPr>
          <w:color w:val="4F81BD" w:themeColor="accent1"/>
          <w:highlight w:val="lightGray"/>
          <w:u w:val="single"/>
        </w:rPr>
        <w:t>2.2.22</w:t>
      </w:r>
      <w:r w:rsidRPr="000671EE">
        <w:rPr>
          <w:color w:val="4F81BD" w:themeColor="accent1"/>
        </w:rPr>
        <w:tab/>
        <w:t xml:space="preserve">In cases where the minimum duration of tests is normally two growing cycles, a selection of similar varieties in the variety collection for comparison with candidate varieties in the first growing cycle is made according to genetic similarity. As a next step, the information provided by the applicant in the Technical Questionnaire (TQ) is used to see if some of the genetically similar varieties do not have to be compared in a growing trial because of differences in DUS characteristics.  </w:t>
      </w:r>
    </w:p>
    <w:p w14:paraId="4975A484" w14:textId="77777777" w:rsidR="00C344D7" w:rsidRPr="000671EE" w:rsidRDefault="00C344D7" w:rsidP="00C344D7">
      <w:pPr>
        <w:rPr>
          <w:color w:val="4F81BD" w:themeColor="accent1"/>
        </w:rPr>
      </w:pPr>
    </w:p>
    <w:p w14:paraId="4135393D" w14:textId="6F9DC1F5" w:rsidR="00C344D7" w:rsidRPr="000671EE" w:rsidRDefault="00C344D7" w:rsidP="00566585">
      <w:pPr>
        <w:tabs>
          <w:tab w:val="left" w:pos="709"/>
        </w:tabs>
        <w:rPr>
          <w:color w:val="4F81BD" w:themeColor="accent1"/>
        </w:rPr>
      </w:pPr>
      <w:r w:rsidRPr="00550F26">
        <w:rPr>
          <w:color w:val="4F81BD" w:themeColor="accent1"/>
          <w:highlight w:val="lightGray"/>
          <w:u w:val="single"/>
        </w:rPr>
        <w:t>2.2.23</w:t>
      </w:r>
      <w:r w:rsidRPr="000671EE">
        <w:rPr>
          <w:color w:val="4F81BD" w:themeColor="accent1"/>
        </w:rPr>
        <w:tab/>
        <w:t xml:space="preserve">On the basis of the variety description of DUS characteristics produced in the first growing cycle, a further search is made of varieties in the variety collection to identify any similar varieties that were not compared in the first growing </w:t>
      </w:r>
      <w:proofErr w:type="gramStart"/>
      <w:r w:rsidRPr="000671EE">
        <w:rPr>
          <w:color w:val="4F81BD" w:themeColor="accent1"/>
        </w:rPr>
        <w:t>cycle</w:t>
      </w:r>
      <w:proofErr w:type="gramEnd"/>
      <w:r w:rsidRPr="000671EE">
        <w:rPr>
          <w:color w:val="4F81BD" w:themeColor="accent1"/>
        </w:rPr>
        <w:t xml:space="preserve"> and which should be compared with the candidate variety in the second growing cycle. </w:t>
      </w:r>
    </w:p>
    <w:p w14:paraId="31E1B878" w14:textId="77777777" w:rsidR="00C344D7" w:rsidRPr="000671EE" w:rsidRDefault="00C344D7" w:rsidP="00C344D7">
      <w:pPr>
        <w:rPr>
          <w:color w:val="4F81BD" w:themeColor="accent1"/>
        </w:rPr>
      </w:pPr>
    </w:p>
    <w:p w14:paraId="204549E5" w14:textId="1226CE84" w:rsidR="00C344D7" w:rsidRPr="000671EE" w:rsidRDefault="00C344D7" w:rsidP="00C344D7">
      <w:pPr>
        <w:rPr>
          <w:color w:val="4F81BD" w:themeColor="accent1"/>
        </w:rPr>
      </w:pPr>
      <w:r w:rsidRPr="000671EE">
        <w:rPr>
          <w:color w:val="4F81BD" w:themeColor="accent1"/>
          <w:u w:val="single"/>
        </w:rPr>
        <w:t>Procedure</w:t>
      </w:r>
    </w:p>
    <w:p w14:paraId="1D309968" w14:textId="77777777" w:rsidR="00C344D7" w:rsidRPr="000671EE" w:rsidRDefault="00C344D7" w:rsidP="00C344D7">
      <w:pPr>
        <w:rPr>
          <w:color w:val="4F81BD" w:themeColor="accent1"/>
        </w:rPr>
      </w:pPr>
    </w:p>
    <w:p w14:paraId="6C79DBA2" w14:textId="77777777" w:rsidR="00C344D7" w:rsidRPr="000671EE" w:rsidRDefault="00C344D7" w:rsidP="00BB41C2">
      <w:pPr>
        <w:rPr>
          <w:i/>
          <w:color w:val="4F81BD" w:themeColor="accent1"/>
        </w:rPr>
      </w:pPr>
      <w:r w:rsidRPr="000671EE">
        <w:rPr>
          <w:i/>
          <w:color w:val="4F81BD" w:themeColor="accent1"/>
        </w:rPr>
        <w:t>Determine genetic similarity</w:t>
      </w:r>
    </w:p>
    <w:p w14:paraId="19EBC02D" w14:textId="77777777" w:rsidR="00C344D7" w:rsidRPr="000671EE" w:rsidRDefault="00C344D7" w:rsidP="00C344D7">
      <w:pPr>
        <w:rPr>
          <w:color w:val="4F81BD" w:themeColor="accent1"/>
        </w:rPr>
      </w:pPr>
    </w:p>
    <w:p w14:paraId="04384E9A" w14:textId="75CD50D4" w:rsidR="00C344D7" w:rsidRPr="000671EE" w:rsidRDefault="00C344D7" w:rsidP="00566585">
      <w:pPr>
        <w:tabs>
          <w:tab w:val="left" w:pos="709"/>
        </w:tabs>
        <w:rPr>
          <w:color w:val="4F81BD" w:themeColor="accent1"/>
        </w:rPr>
      </w:pPr>
      <w:r w:rsidRPr="00550F26">
        <w:rPr>
          <w:color w:val="4F81BD" w:themeColor="accent1"/>
          <w:highlight w:val="lightGray"/>
          <w:u w:val="single"/>
        </w:rPr>
        <w:t>2.2.24</w:t>
      </w:r>
      <w:r w:rsidRPr="000671EE">
        <w:rPr>
          <w:color w:val="4F81BD" w:themeColor="accent1"/>
        </w:rPr>
        <w:tab/>
        <w:t>The DNA-profile of the candidate variety is produced as soon as plant material is received.</w:t>
      </w:r>
    </w:p>
    <w:p w14:paraId="7F2C0BA9" w14:textId="77777777" w:rsidR="00C344D7" w:rsidRPr="000671EE" w:rsidRDefault="00C344D7" w:rsidP="00C344D7">
      <w:pPr>
        <w:rPr>
          <w:color w:val="4F81BD" w:themeColor="accent1"/>
        </w:rPr>
      </w:pPr>
    </w:p>
    <w:p w14:paraId="57C8488E" w14:textId="60A2BBAA" w:rsidR="00C344D7" w:rsidRPr="000671EE" w:rsidRDefault="00C344D7" w:rsidP="00566585">
      <w:pPr>
        <w:tabs>
          <w:tab w:val="left" w:pos="709"/>
        </w:tabs>
        <w:rPr>
          <w:color w:val="4F81BD" w:themeColor="accent1"/>
        </w:rPr>
      </w:pPr>
      <w:r w:rsidRPr="00550F26">
        <w:rPr>
          <w:color w:val="4F81BD" w:themeColor="accent1"/>
          <w:highlight w:val="lightGray"/>
          <w:u w:val="single"/>
        </w:rPr>
        <w:t>2.2.25</w:t>
      </w:r>
      <w:r w:rsidRPr="000671EE">
        <w:rPr>
          <w:color w:val="4F81BD" w:themeColor="accent1"/>
        </w:rPr>
        <w:tab/>
        <w:t xml:space="preserve">The DNA-profile is compared with the profiles of all varieties in the variety collection and genetically similar varieties are identified. </w:t>
      </w:r>
    </w:p>
    <w:p w14:paraId="39945AA9" w14:textId="77777777" w:rsidR="00C344D7" w:rsidRPr="000671EE" w:rsidRDefault="00C344D7" w:rsidP="00C344D7">
      <w:pPr>
        <w:rPr>
          <w:color w:val="4F81BD" w:themeColor="accent1"/>
        </w:rPr>
      </w:pPr>
    </w:p>
    <w:p w14:paraId="0B66CE87" w14:textId="77777777" w:rsidR="00C344D7" w:rsidRPr="000671EE" w:rsidRDefault="00C344D7" w:rsidP="00BB41C2">
      <w:pPr>
        <w:rPr>
          <w:i/>
          <w:color w:val="4F81BD" w:themeColor="accent1"/>
        </w:rPr>
      </w:pPr>
      <w:r w:rsidRPr="000671EE">
        <w:rPr>
          <w:i/>
          <w:color w:val="4F81BD" w:themeColor="accent1"/>
        </w:rPr>
        <w:t>Technical Questionnaire information</w:t>
      </w:r>
    </w:p>
    <w:p w14:paraId="020DCF50" w14:textId="77777777" w:rsidR="00C344D7" w:rsidRPr="000671EE" w:rsidRDefault="00C344D7" w:rsidP="00C344D7">
      <w:pPr>
        <w:rPr>
          <w:color w:val="4F81BD" w:themeColor="accent1"/>
        </w:rPr>
      </w:pPr>
    </w:p>
    <w:p w14:paraId="66D6E15D" w14:textId="5E066344" w:rsidR="00C344D7" w:rsidRPr="000671EE" w:rsidRDefault="00C344D7" w:rsidP="00566585">
      <w:pPr>
        <w:tabs>
          <w:tab w:val="left" w:pos="709"/>
        </w:tabs>
        <w:rPr>
          <w:color w:val="4F81BD" w:themeColor="accent1"/>
        </w:rPr>
      </w:pPr>
      <w:r w:rsidRPr="00550F26">
        <w:rPr>
          <w:color w:val="4F81BD" w:themeColor="accent1"/>
          <w:highlight w:val="lightGray"/>
          <w:u w:val="single"/>
        </w:rPr>
        <w:t>2.2.26</w:t>
      </w:r>
      <w:r w:rsidRPr="000671EE">
        <w:rPr>
          <w:color w:val="4F81BD" w:themeColor="accent1"/>
        </w:rPr>
        <w:tab/>
        <w:t xml:space="preserve">The information provided by the applicant in the Technical Questionnaire (TQ) is then used to see if there are clear differences in DUS characteristics from some of the genetically similar varieties so that they do not need to be compared with candidate varieties in a growing trial.   </w:t>
      </w:r>
    </w:p>
    <w:p w14:paraId="5C909A8E" w14:textId="77777777" w:rsidR="00C344D7" w:rsidRPr="000671EE" w:rsidRDefault="00C344D7" w:rsidP="00C344D7">
      <w:pPr>
        <w:rPr>
          <w:color w:val="4F81BD" w:themeColor="accent1"/>
        </w:rPr>
      </w:pPr>
    </w:p>
    <w:p w14:paraId="32862E66" w14:textId="77777777" w:rsidR="00C344D7" w:rsidRPr="000671EE" w:rsidRDefault="00C344D7" w:rsidP="00BB41C2">
      <w:pPr>
        <w:rPr>
          <w:i/>
          <w:color w:val="4F81BD" w:themeColor="accent1"/>
        </w:rPr>
      </w:pPr>
      <w:r w:rsidRPr="000671EE">
        <w:rPr>
          <w:i/>
          <w:color w:val="4F81BD" w:themeColor="accent1"/>
        </w:rPr>
        <w:t>Field trial</w:t>
      </w:r>
    </w:p>
    <w:p w14:paraId="60AEDFB6" w14:textId="77777777" w:rsidR="00C344D7" w:rsidRPr="000671EE" w:rsidRDefault="00C344D7" w:rsidP="00C344D7">
      <w:pPr>
        <w:rPr>
          <w:color w:val="4F81BD" w:themeColor="accent1"/>
        </w:rPr>
      </w:pPr>
    </w:p>
    <w:p w14:paraId="2FC92F19" w14:textId="77777777" w:rsidR="00C344D7" w:rsidRPr="000671EE" w:rsidRDefault="00C344D7" w:rsidP="00C344D7">
      <w:pPr>
        <w:ind w:left="567"/>
        <w:rPr>
          <w:color w:val="4F81BD" w:themeColor="accent1"/>
          <w:u w:val="single"/>
        </w:rPr>
      </w:pPr>
      <w:r w:rsidRPr="000671EE">
        <w:rPr>
          <w:color w:val="4F81BD" w:themeColor="accent1"/>
          <w:u w:val="single"/>
        </w:rPr>
        <w:t>First growing cycle:</w:t>
      </w:r>
    </w:p>
    <w:p w14:paraId="54208DB9" w14:textId="77777777" w:rsidR="00C344D7" w:rsidRPr="000671EE" w:rsidRDefault="00C344D7" w:rsidP="00C344D7">
      <w:pPr>
        <w:rPr>
          <w:color w:val="4F81BD" w:themeColor="accent1"/>
        </w:rPr>
      </w:pPr>
    </w:p>
    <w:p w14:paraId="7FE9E285" w14:textId="361B00DE" w:rsidR="00C344D7" w:rsidRPr="000671EE" w:rsidRDefault="00C344D7" w:rsidP="00566585">
      <w:pPr>
        <w:tabs>
          <w:tab w:val="left" w:pos="709"/>
        </w:tabs>
        <w:rPr>
          <w:color w:val="4F81BD" w:themeColor="accent1"/>
        </w:rPr>
      </w:pPr>
      <w:r w:rsidRPr="00550F26">
        <w:rPr>
          <w:color w:val="4F81BD" w:themeColor="accent1"/>
          <w:highlight w:val="lightGray"/>
          <w:u w:val="single"/>
        </w:rPr>
        <w:t>2.2.27</w:t>
      </w:r>
      <w:r w:rsidRPr="000671EE">
        <w:rPr>
          <w:color w:val="4F81BD" w:themeColor="accent1"/>
        </w:rPr>
        <w:tab/>
        <w:t xml:space="preserve">The candidate and the genetically similar varieties selected by the procedure above are grown in the same field trial. A complete description of the DUS characteristics of the candidate variety is produced and is compared to the descriptions of all varieties in the variety collection using a database containing descriptions produced at the same location in previous years. </w:t>
      </w:r>
    </w:p>
    <w:p w14:paraId="4AA4133C" w14:textId="77777777" w:rsidR="00C344D7" w:rsidRPr="000671EE" w:rsidRDefault="00C344D7" w:rsidP="00C344D7">
      <w:pPr>
        <w:rPr>
          <w:color w:val="4F81BD" w:themeColor="accent1"/>
        </w:rPr>
      </w:pPr>
    </w:p>
    <w:p w14:paraId="1382B5A6" w14:textId="77777777" w:rsidR="00C344D7" w:rsidRPr="000671EE" w:rsidRDefault="00C344D7" w:rsidP="00566585">
      <w:pPr>
        <w:ind w:left="851"/>
        <w:rPr>
          <w:i/>
          <w:color w:val="4F81BD" w:themeColor="accent1"/>
        </w:rPr>
      </w:pPr>
      <w:r w:rsidRPr="000671EE">
        <w:rPr>
          <w:i/>
          <w:color w:val="4F81BD" w:themeColor="accent1"/>
        </w:rPr>
        <w:t xml:space="preserve">Possible outcomes: </w:t>
      </w:r>
    </w:p>
    <w:p w14:paraId="187F5469" w14:textId="77777777" w:rsidR="00C344D7" w:rsidRPr="000671EE" w:rsidRDefault="00C344D7" w:rsidP="00C344D7">
      <w:pPr>
        <w:rPr>
          <w:color w:val="4F81BD" w:themeColor="accent1"/>
        </w:rPr>
      </w:pPr>
    </w:p>
    <w:p w14:paraId="67D5EEF9" w14:textId="44FD2455" w:rsidR="00C344D7" w:rsidRPr="000671EE" w:rsidRDefault="00C344D7" w:rsidP="00566585">
      <w:pPr>
        <w:tabs>
          <w:tab w:val="left" w:pos="709"/>
        </w:tabs>
        <w:rPr>
          <w:color w:val="4F81BD" w:themeColor="accent1"/>
        </w:rPr>
      </w:pPr>
      <w:r w:rsidRPr="00550F26">
        <w:rPr>
          <w:color w:val="4F81BD" w:themeColor="accent1"/>
          <w:highlight w:val="lightGray"/>
          <w:u w:val="single"/>
        </w:rPr>
        <w:t>2.2.28</w:t>
      </w:r>
      <w:r w:rsidRPr="000671EE">
        <w:rPr>
          <w:color w:val="4F81BD" w:themeColor="accent1"/>
        </w:rPr>
        <w:tab/>
        <w:t xml:space="preserve">If the candidate variety is not distinct from the genetically similar varieties on the basis of DUS characteristics, the test will be continued for another growing cycle. </w:t>
      </w:r>
    </w:p>
    <w:p w14:paraId="7B40927D" w14:textId="77777777" w:rsidR="00C344D7" w:rsidRPr="000671EE" w:rsidRDefault="00C344D7" w:rsidP="00C344D7">
      <w:pPr>
        <w:rPr>
          <w:color w:val="4F81BD" w:themeColor="accent1"/>
        </w:rPr>
      </w:pPr>
    </w:p>
    <w:p w14:paraId="7740C922" w14:textId="3E67A8FF" w:rsidR="00C344D7" w:rsidRPr="000671EE" w:rsidRDefault="00C344D7" w:rsidP="00566585">
      <w:pPr>
        <w:tabs>
          <w:tab w:val="left" w:pos="709"/>
        </w:tabs>
        <w:rPr>
          <w:color w:val="4F81BD" w:themeColor="accent1"/>
        </w:rPr>
      </w:pPr>
      <w:r w:rsidRPr="00550F26">
        <w:rPr>
          <w:color w:val="4F81BD" w:themeColor="accent1"/>
          <w:highlight w:val="lightGray"/>
          <w:u w:val="single"/>
        </w:rPr>
        <w:t>2.2.29</w:t>
      </w:r>
      <w:r w:rsidRPr="000671EE">
        <w:rPr>
          <w:color w:val="4F81BD" w:themeColor="accent1"/>
        </w:rPr>
        <w:tab/>
        <w:t xml:space="preserve">In any case, the description of the candidate variety produced in the first growing cycle is compared to the descriptions of the varieties in the variety collection using a database containing descriptions produced at the same location: </w:t>
      </w:r>
    </w:p>
    <w:p w14:paraId="0B7103C8" w14:textId="77777777" w:rsidR="00C344D7" w:rsidRPr="000671EE" w:rsidRDefault="00C344D7" w:rsidP="00C344D7">
      <w:pPr>
        <w:rPr>
          <w:color w:val="4F81BD" w:themeColor="accent1"/>
        </w:rPr>
      </w:pPr>
    </w:p>
    <w:p w14:paraId="09AACED3" w14:textId="77777777" w:rsidR="00C344D7" w:rsidRPr="000671EE" w:rsidRDefault="00C344D7" w:rsidP="00C344D7">
      <w:pPr>
        <w:rPr>
          <w:color w:val="4F81BD" w:themeColor="accent1"/>
        </w:rPr>
      </w:pPr>
      <w:r w:rsidRPr="000671EE">
        <w:rPr>
          <w:color w:val="4F81BD" w:themeColor="accent1"/>
        </w:rPr>
        <w:tab/>
      </w:r>
      <w:proofErr w:type="gramStart"/>
      <w:r w:rsidRPr="000671EE">
        <w:rPr>
          <w:color w:val="4F81BD" w:themeColor="accent1"/>
        </w:rPr>
        <w:t>(a)</w:t>
      </w:r>
      <w:r w:rsidRPr="000671EE">
        <w:rPr>
          <w:color w:val="4F81BD" w:themeColor="accent1"/>
        </w:rPr>
        <w:tab/>
        <w:t>If</w:t>
      </w:r>
      <w:proofErr w:type="gramEnd"/>
      <w:r w:rsidRPr="000671EE">
        <w:rPr>
          <w:color w:val="4F81BD" w:themeColor="accent1"/>
        </w:rPr>
        <w:t xml:space="preserve"> the candidate variety is found to be distinct from all varieties grown in the first growing cycle and to all other varieties in the variety collection at the end of the first growing cycle and it fulfills the uniformity and stability requirements the DUS test may be concluded after the first growing cycle.</w:t>
      </w:r>
    </w:p>
    <w:p w14:paraId="78CD2CD8" w14:textId="77777777" w:rsidR="00C344D7" w:rsidRPr="000671EE" w:rsidRDefault="00C344D7" w:rsidP="00C344D7">
      <w:pPr>
        <w:rPr>
          <w:color w:val="4F81BD" w:themeColor="accent1"/>
        </w:rPr>
      </w:pPr>
    </w:p>
    <w:p w14:paraId="723E6383" w14:textId="77777777" w:rsidR="00C344D7" w:rsidRPr="000671EE" w:rsidRDefault="00C344D7" w:rsidP="00C344D7">
      <w:pPr>
        <w:rPr>
          <w:color w:val="4F81BD" w:themeColor="accent1"/>
        </w:rPr>
      </w:pPr>
      <w:r w:rsidRPr="000671EE">
        <w:rPr>
          <w:color w:val="4F81BD" w:themeColor="accent1"/>
        </w:rPr>
        <w:tab/>
        <w:t>(b)</w:t>
      </w:r>
      <w:r w:rsidRPr="000671EE">
        <w:rPr>
          <w:color w:val="4F81BD" w:themeColor="accent1"/>
        </w:rPr>
        <w:tab/>
        <w:t xml:space="preserve">In all other cases a second growing cycle is performed. </w:t>
      </w:r>
    </w:p>
    <w:p w14:paraId="5E7C7AF8" w14:textId="77777777" w:rsidR="00C344D7" w:rsidRPr="000671EE" w:rsidRDefault="00C344D7" w:rsidP="00C344D7">
      <w:pPr>
        <w:rPr>
          <w:color w:val="4F81BD" w:themeColor="accent1"/>
        </w:rPr>
      </w:pPr>
    </w:p>
    <w:p w14:paraId="688668F6" w14:textId="77777777" w:rsidR="00C344D7" w:rsidRPr="000671EE" w:rsidRDefault="00C344D7" w:rsidP="00C344D7">
      <w:pPr>
        <w:ind w:left="567"/>
        <w:rPr>
          <w:color w:val="4F81BD" w:themeColor="accent1"/>
          <w:u w:val="single"/>
        </w:rPr>
      </w:pPr>
      <w:r w:rsidRPr="000671EE">
        <w:rPr>
          <w:color w:val="4F81BD" w:themeColor="accent1"/>
          <w:u w:val="single"/>
        </w:rPr>
        <w:t>Second growing cycle</w:t>
      </w:r>
    </w:p>
    <w:p w14:paraId="0775A2A7" w14:textId="77777777" w:rsidR="00C344D7" w:rsidRPr="000671EE" w:rsidRDefault="00C344D7" w:rsidP="00C344D7">
      <w:pPr>
        <w:rPr>
          <w:color w:val="4F81BD" w:themeColor="accent1"/>
        </w:rPr>
      </w:pPr>
    </w:p>
    <w:p w14:paraId="46ED88C1" w14:textId="29CB097E" w:rsidR="00C344D7" w:rsidRPr="000671EE" w:rsidRDefault="00C344D7" w:rsidP="00566585">
      <w:pPr>
        <w:tabs>
          <w:tab w:val="left" w:pos="709"/>
        </w:tabs>
        <w:rPr>
          <w:color w:val="4F81BD" w:themeColor="accent1"/>
        </w:rPr>
      </w:pPr>
      <w:r w:rsidRPr="00550F26">
        <w:rPr>
          <w:color w:val="4F81BD" w:themeColor="accent1"/>
          <w:highlight w:val="lightGray"/>
          <w:u w:val="single"/>
        </w:rPr>
        <w:t>2.2.30</w:t>
      </w:r>
      <w:r w:rsidRPr="000671EE">
        <w:rPr>
          <w:color w:val="4F81BD" w:themeColor="accent1"/>
        </w:rPr>
        <w:tab/>
        <w:t xml:space="preserve">In the second growing cycle, the candidate variety is grown with all varieties in the variety collection from which it was not found to be distinct at the end of the first growing cycle. </w:t>
      </w:r>
    </w:p>
    <w:p w14:paraId="21A434C6" w14:textId="77777777" w:rsidR="00C344D7" w:rsidRPr="000671EE" w:rsidRDefault="00C344D7" w:rsidP="00C344D7">
      <w:pPr>
        <w:rPr>
          <w:color w:val="4F81BD" w:themeColor="accent1"/>
        </w:rPr>
      </w:pPr>
    </w:p>
    <w:p w14:paraId="33894F8B" w14:textId="6D37EBDB" w:rsidR="00C344D7" w:rsidRPr="000671EE" w:rsidRDefault="00C344D7" w:rsidP="00566585">
      <w:pPr>
        <w:tabs>
          <w:tab w:val="left" w:pos="709"/>
        </w:tabs>
        <w:rPr>
          <w:rFonts w:eastAsia="Calibri"/>
          <w:color w:val="4F81BD" w:themeColor="accent1"/>
        </w:rPr>
      </w:pPr>
      <w:r w:rsidRPr="00550F26">
        <w:rPr>
          <w:color w:val="4F81BD" w:themeColor="accent1"/>
          <w:highlight w:val="lightGray"/>
          <w:u w:val="single"/>
        </w:rPr>
        <w:t>2.2.31</w:t>
      </w:r>
      <w:r w:rsidRPr="000671EE">
        <w:rPr>
          <w:color w:val="4F81BD" w:themeColor="accent1"/>
        </w:rPr>
        <w:tab/>
        <w:t>At the end of the second growing cycle, an assessment of DUS is made.  If it is not possible to reach a decision on DUS at the end of the second growing cycle, a further growing cycle may be conducted.</w:t>
      </w:r>
    </w:p>
    <w:p w14:paraId="35BD6981" w14:textId="77777777" w:rsidR="00C344D7" w:rsidRPr="00A20215" w:rsidRDefault="00C344D7" w:rsidP="00C344D7">
      <w:pPr>
        <w:rPr>
          <w:rFonts w:eastAsia="Calibri"/>
        </w:rPr>
      </w:pPr>
    </w:p>
    <w:p w14:paraId="5AE9B55C" w14:textId="77777777" w:rsidR="00C344D7" w:rsidRPr="000A4427" w:rsidRDefault="00C344D7" w:rsidP="000A4427"/>
    <w:p w14:paraId="087F4951" w14:textId="77777777" w:rsidR="00E306B7" w:rsidRPr="000A4427" w:rsidRDefault="00E306B7" w:rsidP="000A4427"/>
    <w:p w14:paraId="5117F9CA" w14:textId="2C54A719" w:rsidR="00E14C06" w:rsidRPr="000F04AF" w:rsidRDefault="00E14C06" w:rsidP="00C177F3">
      <w:pPr>
        <w:pStyle w:val="Heading1"/>
      </w:pPr>
      <w:bookmarkStart w:id="15" w:name="_Toc240538637"/>
      <w:r w:rsidRPr="00175876">
        <w:rPr>
          <w:rStyle w:val="TitleofDocChar"/>
          <w:highlight w:val="yellow"/>
        </w:rPr>
        <w:lastRenderedPageBreak/>
        <w:t>3.</w:t>
      </w:r>
      <w:r w:rsidRPr="00175876">
        <w:rPr>
          <w:rStyle w:val="TitleofDocChar"/>
          <w:highlight w:val="yellow"/>
        </w:rPr>
        <w:tab/>
      </w:r>
      <w:r w:rsidRPr="00175876">
        <w:rPr>
          <w:highlight w:val="yellow"/>
        </w:rPr>
        <w:t>GUIDELINES FOR THE VALIDATION OF A NEW CHARACTERISTIC-SPECIFIC MOLECULAR MARKER PROTOCOL AS AN ALTERNATIVE METHOD FOR OBSERVATION</w:t>
      </w:r>
      <w:bookmarkEnd w:id="15"/>
    </w:p>
    <w:p w14:paraId="0E4155E4" w14:textId="77777777" w:rsidR="00224498" w:rsidRPr="000F04AF" w:rsidRDefault="00224498" w:rsidP="00224498">
      <w:pPr>
        <w:pStyle w:val="Heading2"/>
      </w:pPr>
      <w:bookmarkStart w:id="16" w:name="_Toc189576552"/>
      <w:bookmarkStart w:id="17" w:name="_Toc210139331"/>
      <w:bookmarkStart w:id="18" w:name="_Toc240537034"/>
      <w:bookmarkStart w:id="19" w:name="_Toc240538638"/>
      <w:r w:rsidRPr="000F04AF">
        <w:t>3.1</w:t>
      </w:r>
      <w:r w:rsidRPr="000F04AF">
        <w:tab/>
        <w:t>Objectives of these guidelines</w:t>
      </w:r>
      <w:bookmarkEnd w:id="16"/>
      <w:bookmarkEnd w:id="17"/>
      <w:bookmarkEnd w:id="18"/>
      <w:bookmarkEnd w:id="19"/>
    </w:p>
    <w:p w14:paraId="7B88BE8D" w14:textId="77777777" w:rsidR="00224498" w:rsidRPr="000F04AF" w:rsidRDefault="00224498" w:rsidP="00224498">
      <w:pPr>
        <w:rPr>
          <w:lang w:eastAsia="fr-FR"/>
        </w:rPr>
      </w:pPr>
      <w:r w:rsidRPr="000F04AF">
        <w:rPr>
          <w:lang w:eastAsia="ja-JP"/>
        </w:rPr>
        <w:t>3.1.1</w:t>
      </w:r>
      <w:r w:rsidRPr="000F04AF">
        <w:rPr>
          <w:lang w:eastAsia="fr-FR"/>
        </w:rPr>
        <w:tab/>
        <w:t xml:space="preserve">The purpose of these guidelines is to </w:t>
      </w:r>
      <w:r>
        <w:rPr>
          <w:lang w:eastAsia="fr-FR"/>
        </w:rPr>
        <w:t>provide</w:t>
      </w:r>
      <w:r w:rsidRPr="000F04AF">
        <w:rPr>
          <w:lang w:eastAsia="fr-FR"/>
        </w:rPr>
        <w:t xml:space="preserve"> practical guidance for the harmonized validation of a new</w:t>
      </w:r>
      <w:r>
        <w:rPr>
          <w:lang w:eastAsia="fr-FR"/>
        </w:rPr>
        <w:t xml:space="preserve"> </w:t>
      </w:r>
      <w:r w:rsidRPr="000F04AF">
        <w:rPr>
          <w:lang w:eastAsia="fr-FR"/>
        </w:rPr>
        <w:t xml:space="preserve">method based on </w:t>
      </w:r>
      <w:r>
        <w:rPr>
          <w:lang w:eastAsia="fr-FR"/>
        </w:rPr>
        <w:t>application model “</w:t>
      </w:r>
      <w:r w:rsidRPr="000F04AF">
        <w:rPr>
          <w:lang w:eastAsia="fr-FR"/>
        </w:rPr>
        <w:t>characteristic-specific molecular marker</w:t>
      </w:r>
      <w:r>
        <w:rPr>
          <w:lang w:eastAsia="fr-FR"/>
        </w:rPr>
        <w:t>”</w:t>
      </w:r>
      <w:r w:rsidRPr="000F04AF">
        <w:rPr>
          <w:lang w:eastAsia="fr-FR"/>
        </w:rPr>
        <w:t xml:space="preserve"> before its use as an alternative test</w:t>
      </w:r>
      <w:r>
        <w:rPr>
          <w:lang w:eastAsia="fr-FR"/>
        </w:rPr>
        <w:t xml:space="preserve"> (see section 2.1 of this document)</w:t>
      </w:r>
      <w:r w:rsidRPr="000F04AF">
        <w:rPr>
          <w:lang w:eastAsia="fr-FR"/>
        </w:rPr>
        <w:t xml:space="preserve">.  Performance criteria required for the validation are described and guidance on their assessment is given. </w:t>
      </w:r>
      <w:r>
        <w:rPr>
          <w:lang w:eastAsia="fr-FR"/>
        </w:rPr>
        <w:t xml:space="preserve"> </w:t>
      </w:r>
      <w:r w:rsidRPr="000F04AF">
        <w:rPr>
          <w:lang w:eastAsia="fr-FR"/>
        </w:rPr>
        <w:t>These guidelines also describe a standard protocol and a follow-up survey.</w:t>
      </w:r>
    </w:p>
    <w:p w14:paraId="4803264D" w14:textId="77777777" w:rsidR="00224498" w:rsidRPr="000F04AF" w:rsidRDefault="00224498" w:rsidP="00224498">
      <w:pPr>
        <w:rPr>
          <w:lang w:eastAsia="fr-FR"/>
        </w:rPr>
      </w:pPr>
    </w:p>
    <w:p w14:paraId="3BE13436" w14:textId="77777777" w:rsidR="00224498" w:rsidRPr="000F04AF" w:rsidRDefault="00224498" w:rsidP="00224498">
      <w:pPr>
        <w:rPr>
          <w:lang w:eastAsia="fr-FR"/>
        </w:rPr>
      </w:pPr>
      <w:r w:rsidRPr="000F04AF">
        <w:rPr>
          <w:lang w:eastAsia="ja-JP"/>
        </w:rPr>
        <w:t>3.1.2</w:t>
      </w:r>
      <w:r w:rsidRPr="000F04AF">
        <w:rPr>
          <w:lang w:eastAsia="fr-FR"/>
        </w:rPr>
        <w:tab/>
        <w:t>If a different technique is used, the laboratory should validate its method in comparison to the reference method (to show that the alternative technique gives the same results).</w:t>
      </w:r>
    </w:p>
    <w:p w14:paraId="499CC618" w14:textId="77777777" w:rsidR="00224498" w:rsidRPr="000F04AF" w:rsidRDefault="00224498" w:rsidP="00224498">
      <w:pPr>
        <w:rPr>
          <w:lang w:eastAsia="fr-FR"/>
        </w:rPr>
      </w:pPr>
    </w:p>
    <w:p w14:paraId="1E6875B1" w14:textId="77777777" w:rsidR="00224498" w:rsidRPr="000F04AF" w:rsidRDefault="00224498" w:rsidP="00224498">
      <w:pPr>
        <w:rPr>
          <w:lang w:eastAsia="fr-FR"/>
        </w:rPr>
      </w:pPr>
    </w:p>
    <w:p w14:paraId="2877BB27" w14:textId="77777777" w:rsidR="00224498" w:rsidRPr="000F04AF" w:rsidRDefault="00224498" w:rsidP="00224498">
      <w:pPr>
        <w:pStyle w:val="Heading2"/>
      </w:pPr>
      <w:bookmarkStart w:id="20" w:name="_Toc189576553"/>
      <w:bookmarkStart w:id="21" w:name="_Toc210139332"/>
      <w:bookmarkStart w:id="22" w:name="_Toc240537035"/>
      <w:bookmarkStart w:id="23" w:name="_Toc240538639"/>
      <w:r w:rsidRPr="000F04AF">
        <w:t>3.2</w:t>
      </w:r>
      <w:r w:rsidRPr="000F04AF">
        <w:tab/>
        <w:t>Scope of these guidelines</w:t>
      </w:r>
      <w:bookmarkEnd w:id="20"/>
      <w:bookmarkEnd w:id="21"/>
      <w:bookmarkEnd w:id="22"/>
      <w:bookmarkEnd w:id="23"/>
    </w:p>
    <w:p w14:paraId="14539552" w14:textId="77777777" w:rsidR="00224498" w:rsidRPr="000F04AF" w:rsidRDefault="00224498" w:rsidP="00224498">
      <w:pPr>
        <w:ind w:left="567"/>
        <w:rPr>
          <w:lang w:eastAsia="fr-FR"/>
        </w:rPr>
      </w:pPr>
      <w:r>
        <w:rPr>
          <w:lang w:eastAsia="fr-FR"/>
        </w:rPr>
        <w:t xml:space="preserve">- </w:t>
      </w:r>
      <w:r w:rsidRPr="000F04AF">
        <w:rPr>
          <w:lang w:eastAsia="fr-FR"/>
        </w:rPr>
        <w:t>All crops</w:t>
      </w:r>
    </w:p>
    <w:p w14:paraId="65942F92" w14:textId="77777777" w:rsidR="00224498" w:rsidRPr="000F04AF" w:rsidRDefault="00224498" w:rsidP="00224498">
      <w:pPr>
        <w:ind w:left="567"/>
        <w:rPr>
          <w:lang w:eastAsia="fr-FR"/>
        </w:rPr>
      </w:pPr>
      <w:r>
        <w:rPr>
          <w:lang w:eastAsia="fr-FR"/>
        </w:rPr>
        <w:t xml:space="preserve">- </w:t>
      </w:r>
      <w:r w:rsidRPr="000F04AF">
        <w:rPr>
          <w:lang w:eastAsia="fr-FR"/>
        </w:rPr>
        <w:t>Characteristic-Specific Molecular Markers</w:t>
      </w:r>
    </w:p>
    <w:p w14:paraId="00F1EA81" w14:textId="77777777" w:rsidR="00224498" w:rsidRPr="000F04AF" w:rsidRDefault="00224498" w:rsidP="00224498">
      <w:pPr>
        <w:ind w:left="567"/>
        <w:rPr>
          <w:lang w:eastAsia="fr-FR"/>
        </w:rPr>
      </w:pPr>
      <w:r>
        <w:rPr>
          <w:lang w:eastAsia="fr-FR"/>
        </w:rPr>
        <w:t xml:space="preserve">- </w:t>
      </w:r>
      <w:r w:rsidRPr="000F04AF">
        <w:rPr>
          <w:lang w:eastAsia="fr-FR"/>
        </w:rPr>
        <w:t>For the examination of Distinctness, Uniformity, and Stability (DUS).</w:t>
      </w:r>
    </w:p>
    <w:p w14:paraId="5BBE1102" w14:textId="77777777" w:rsidR="00224498" w:rsidRPr="000F04AF" w:rsidRDefault="00224498" w:rsidP="00224498">
      <w:pPr>
        <w:rPr>
          <w:lang w:eastAsia="fr-FR"/>
        </w:rPr>
      </w:pPr>
    </w:p>
    <w:p w14:paraId="259F51C5" w14:textId="77777777" w:rsidR="00224498" w:rsidRPr="000F04AF" w:rsidRDefault="00224498" w:rsidP="00224498">
      <w:pPr>
        <w:rPr>
          <w:lang w:eastAsia="fr-FR"/>
        </w:rPr>
      </w:pPr>
    </w:p>
    <w:p w14:paraId="6C10C1EA" w14:textId="77777777" w:rsidR="00224498" w:rsidRPr="000F04AF" w:rsidRDefault="00224498" w:rsidP="00224498">
      <w:pPr>
        <w:pStyle w:val="Heading2"/>
      </w:pPr>
      <w:bookmarkStart w:id="24" w:name="_Toc189576554"/>
      <w:bookmarkStart w:id="25" w:name="_Toc210139333"/>
      <w:bookmarkStart w:id="26" w:name="_Toc240537036"/>
      <w:bookmarkStart w:id="27" w:name="_Toc240538640"/>
      <w:r w:rsidRPr="000F04AF">
        <w:t>3.3</w:t>
      </w:r>
      <w:r w:rsidRPr="000F04AF">
        <w:tab/>
        <w:t xml:space="preserve">Performance criteria for a new molecular </w:t>
      </w:r>
      <w:proofErr w:type="gramStart"/>
      <w:r w:rsidRPr="000F04AF">
        <w:t>marker based</w:t>
      </w:r>
      <w:proofErr w:type="gramEnd"/>
      <w:r w:rsidRPr="000F04AF">
        <w:t xml:space="preserve"> protocol</w:t>
      </w:r>
      <w:bookmarkEnd w:id="24"/>
      <w:bookmarkEnd w:id="25"/>
      <w:bookmarkEnd w:id="26"/>
      <w:bookmarkEnd w:id="27"/>
    </w:p>
    <w:p w14:paraId="59EC158F" w14:textId="77777777" w:rsidR="00224498" w:rsidRPr="000F04AF" w:rsidRDefault="00224498" w:rsidP="00224498">
      <w:pPr>
        <w:pStyle w:val="Heading3"/>
      </w:pPr>
      <w:bookmarkStart w:id="28" w:name="_Toc189576555"/>
      <w:bookmarkStart w:id="29" w:name="_Toc210139334"/>
      <w:bookmarkStart w:id="30" w:name="_Toc240537037"/>
      <w:bookmarkStart w:id="31" w:name="_Toc240538641"/>
      <w:r w:rsidRPr="000F04AF">
        <w:t>Specificity</w:t>
      </w:r>
      <w:bookmarkEnd w:id="28"/>
      <w:bookmarkEnd w:id="29"/>
      <w:bookmarkEnd w:id="30"/>
      <w:bookmarkEnd w:id="31"/>
    </w:p>
    <w:p w14:paraId="5103E9FD" w14:textId="77777777" w:rsidR="00224498" w:rsidRPr="000F04AF" w:rsidRDefault="00224498" w:rsidP="00224498">
      <w:pPr>
        <w:pStyle w:val="Heading4"/>
      </w:pPr>
      <w:bookmarkStart w:id="32" w:name="_Toc189576556"/>
      <w:bookmarkStart w:id="33" w:name="_Toc210139335"/>
      <w:r w:rsidRPr="000F04AF">
        <w:t>Definition</w:t>
      </w:r>
      <w:bookmarkEnd w:id="32"/>
      <w:bookmarkEnd w:id="33"/>
    </w:p>
    <w:p w14:paraId="1E345CFD" w14:textId="77777777" w:rsidR="00224498" w:rsidRPr="000F04AF" w:rsidRDefault="00224498" w:rsidP="00224498">
      <w:pPr>
        <w:rPr>
          <w:lang w:eastAsia="fr-FR"/>
        </w:rPr>
      </w:pPr>
      <w:r w:rsidRPr="000F04AF">
        <w:rPr>
          <w:lang w:eastAsia="ja-JP"/>
        </w:rPr>
        <w:t>3.3.1</w:t>
      </w:r>
      <w:r w:rsidRPr="000F04AF">
        <w:rPr>
          <w:lang w:eastAsia="fr-FR"/>
        </w:rPr>
        <w:tab/>
      </w:r>
      <w:r>
        <w:rPr>
          <w:lang w:eastAsia="fr-FR"/>
        </w:rPr>
        <w:t>Specificity is defined as the c</w:t>
      </w:r>
      <w:r w:rsidRPr="000F04AF">
        <w:rPr>
          <w:lang w:eastAsia="fr-FR"/>
        </w:rPr>
        <w:t xml:space="preserve">orrelation between the genotype and the phenotype, </w:t>
      </w:r>
      <w:r w:rsidRPr="000F04AF">
        <w:rPr>
          <w:i/>
          <w:iCs/>
          <w:lang w:eastAsia="fr-FR"/>
        </w:rPr>
        <w:t xml:space="preserve">i.e. </w:t>
      </w:r>
      <w:r>
        <w:rPr>
          <w:lang w:eastAsia="fr-FR"/>
        </w:rPr>
        <w:t xml:space="preserve">the </w:t>
      </w:r>
      <w:r w:rsidRPr="000F04AF">
        <w:rPr>
          <w:lang w:eastAsia="fr-FR"/>
        </w:rPr>
        <w:t>reliability of the link between the marker and the characteristic.</w:t>
      </w:r>
    </w:p>
    <w:p w14:paraId="59E013BA" w14:textId="77777777" w:rsidR="00224498" w:rsidRPr="000F04AF" w:rsidRDefault="00224498" w:rsidP="00224498">
      <w:pPr>
        <w:rPr>
          <w:lang w:eastAsia="fr-FR"/>
        </w:rPr>
      </w:pPr>
    </w:p>
    <w:p w14:paraId="04619ACB" w14:textId="77777777" w:rsidR="00224498" w:rsidRPr="000F04AF" w:rsidRDefault="00224498" w:rsidP="00224498">
      <w:pPr>
        <w:pStyle w:val="Heading4"/>
      </w:pPr>
      <w:bookmarkStart w:id="34" w:name="_Toc189576557"/>
      <w:bookmarkStart w:id="35" w:name="_Toc210139336"/>
      <w:r w:rsidRPr="000F04AF">
        <w:t>Requirement</w:t>
      </w:r>
      <w:bookmarkEnd w:id="34"/>
      <w:bookmarkEnd w:id="35"/>
    </w:p>
    <w:p w14:paraId="2F7C1784" w14:textId="77777777" w:rsidR="00224498" w:rsidRPr="000F04AF" w:rsidRDefault="00224498" w:rsidP="00224498">
      <w:pPr>
        <w:rPr>
          <w:lang w:eastAsia="fr-FR"/>
        </w:rPr>
      </w:pPr>
      <w:r w:rsidRPr="000F04AF">
        <w:rPr>
          <w:lang w:eastAsia="ja-JP"/>
        </w:rPr>
        <w:t>3.3.4</w:t>
      </w:r>
      <w:r w:rsidRPr="000F04AF">
        <w:rPr>
          <w:lang w:eastAsia="fr-FR"/>
        </w:rPr>
        <w:tab/>
      </w:r>
      <w:r>
        <w:rPr>
          <w:lang w:eastAsia="fr-FR"/>
        </w:rPr>
        <w:t>The</w:t>
      </w:r>
      <w:r w:rsidRPr="000F04AF">
        <w:rPr>
          <w:lang w:eastAsia="fr-FR"/>
        </w:rPr>
        <w:t xml:space="preserve"> correlation between the genotype and the phenotype</w:t>
      </w:r>
      <w:r>
        <w:rPr>
          <w:lang w:eastAsia="fr-FR"/>
        </w:rPr>
        <w:t xml:space="preserve"> should be 100%</w:t>
      </w:r>
      <w:r w:rsidRPr="000F04AF">
        <w:rPr>
          <w:lang w:eastAsia="fr-FR"/>
        </w:rPr>
        <w:t>.</w:t>
      </w:r>
      <w:r>
        <w:rPr>
          <w:lang w:eastAsia="fr-FR"/>
        </w:rPr>
        <w:t xml:space="preserve"> </w:t>
      </w:r>
      <w:r w:rsidRPr="000F04AF">
        <w:rPr>
          <w:lang w:eastAsia="fr-FR"/>
        </w:rPr>
        <w:t xml:space="preserve"> If the correlation is less than</w:t>
      </w:r>
      <w:r>
        <w:rPr>
          <w:lang w:eastAsia="fr-FR"/>
        </w:rPr>
        <w:t> </w:t>
      </w:r>
      <w:r w:rsidRPr="000F04AF">
        <w:rPr>
          <w:lang w:eastAsia="fr-FR"/>
        </w:rPr>
        <w:t>100% a follow-up test(s) should be performed to ensure the reliability of the results. A decision rule can be used in that case. Less than 100% correlation can be caused by other genetics.</w:t>
      </w:r>
    </w:p>
    <w:p w14:paraId="469EFE84" w14:textId="77777777" w:rsidR="00224498" w:rsidRPr="000F04AF" w:rsidRDefault="00224498" w:rsidP="00224498">
      <w:pPr>
        <w:rPr>
          <w:lang w:eastAsia="ja-JP"/>
        </w:rPr>
      </w:pPr>
    </w:p>
    <w:p w14:paraId="5C96E671" w14:textId="77777777" w:rsidR="00224498" w:rsidRPr="000F04AF" w:rsidRDefault="00224498" w:rsidP="00224498">
      <w:pPr>
        <w:pStyle w:val="Heading4"/>
      </w:pPr>
      <w:bookmarkStart w:id="36" w:name="_Toc210139337"/>
      <w:r w:rsidRPr="000F04AF">
        <w:t>How to evaluate it?</w:t>
      </w:r>
      <w:bookmarkEnd w:id="36"/>
    </w:p>
    <w:p w14:paraId="24136ABF" w14:textId="77777777" w:rsidR="00224498" w:rsidRPr="000F04AF" w:rsidRDefault="00224498" w:rsidP="00224498">
      <w:pPr>
        <w:rPr>
          <w:lang w:eastAsia="fr-FR"/>
        </w:rPr>
      </w:pPr>
      <w:r w:rsidRPr="000F04AF">
        <w:rPr>
          <w:lang w:eastAsia="ja-JP"/>
        </w:rPr>
        <w:t>3.3.5</w:t>
      </w:r>
      <w:r w:rsidRPr="000F04AF">
        <w:rPr>
          <w:lang w:eastAsia="fr-FR"/>
        </w:rPr>
        <w:tab/>
        <w:t xml:space="preserve">Number of varieties: To start the marker selection process an appropriate number of varieties (development set) is needed to reflect at the most the diversity observed within the group/crop/species/type for which the markers are intended to be discriminative. </w:t>
      </w:r>
    </w:p>
    <w:p w14:paraId="17F2F83B" w14:textId="77777777" w:rsidR="00224498" w:rsidRPr="000F04AF" w:rsidRDefault="00224498" w:rsidP="00224498">
      <w:pPr>
        <w:rPr>
          <w:lang w:eastAsia="fr-FR"/>
        </w:rPr>
      </w:pPr>
    </w:p>
    <w:p w14:paraId="5F29B6EA" w14:textId="77777777" w:rsidR="00224498" w:rsidRPr="000F04AF" w:rsidRDefault="00224498" w:rsidP="00224498">
      <w:pPr>
        <w:keepLines/>
        <w:rPr>
          <w:lang w:eastAsia="fr-FR"/>
        </w:rPr>
      </w:pPr>
      <w:r w:rsidRPr="000F04AF">
        <w:rPr>
          <w:lang w:eastAsia="ja-JP"/>
        </w:rPr>
        <w:t>3.3.6</w:t>
      </w:r>
      <w:r w:rsidRPr="000F04AF">
        <w:rPr>
          <w:lang w:eastAsia="fr-FR"/>
        </w:rPr>
        <w:tab/>
        <w:t>Varieties should represent the different states of expression (if known varieties with heterozygous and homozygous state), coming from different plant breeders, with different genetic background of the characteristic and different types. Well phenotypically characterized varieties for the trait of interest should be used when available.</w:t>
      </w:r>
    </w:p>
    <w:p w14:paraId="5E5B13C9" w14:textId="77777777" w:rsidR="00224498" w:rsidRPr="000F04AF" w:rsidRDefault="00224498" w:rsidP="00224498">
      <w:pPr>
        <w:rPr>
          <w:lang w:eastAsia="fr-FR"/>
        </w:rPr>
      </w:pPr>
    </w:p>
    <w:p w14:paraId="6712EB9F" w14:textId="77777777" w:rsidR="00224498" w:rsidRPr="000F04AF" w:rsidRDefault="00224498" w:rsidP="00224498">
      <w:pPr>
        <w:rPr>
          <w:lang w:eastAsia="fr-FR"/>
        </w:rPr>
      </w:pPr>
      <w:r w:rsidRPr="000F04AF">
        <w:rPr>
          <w:lang w:eastAsia="ja-JP"/>
        </w:rPr>
        <w:t>3.3.7</w:t>
      </w:r>
      <w:r w:rsidRPr="000F04AF">
        <w:rPr>
          <w:lang w:eastAsia="fr-FR"/>
        </w:rPr>
        <w:tab/>
        <w:t xml:space="preserve">Number of plants per variety: At least one plant per variety </w:t>
      </w:r>
      <w:r>
        <w:rPr>
          <w:lang w:eastAsia="fr-FR"/>
        </w:rPr>
        <w:t xml:space="preserve">should be evaluated </w:t>
      </w:r>
      <w:r w:rsidRPr="000F04AF">
        <w:rPr>
          <w:lang w:eastAsia="fr-FR"/>
        </w:rPr>
        <w:t xml:space="preserve">if </w:t>
      </w:r>
      <w:r>
        <w:rPr>
          <w:lang w:eastAsia="fr-FR"/>
        </w:rPr>
        <w:t xml:space="preserve">the </w:t>
      </w:r>
      <w:r w:rsidRPr="000F04AF">
        <w:rPr>
          <w:lang w:eastAsia="fr-FR"/>
        </w:rPr>
        <w:t>available varieties are phenotypically well characterized. If not, the number of plants should be the same as for the morphological observation described in the UPOV Test Guidelines.</w:t>
      </w:r>
    </w:p>
    <w:p w14:paraId="5BE6184A" w14:textId="77777777" w:rsidR="00224498" w:rsidRPr="000F04AF" w:rsidRDefault="00224498" w:rsidP="00224498">
      <w:pPr>
        <w:rPr>
          <w:lang w:eastAsia="fr-FR"/>
        </w:rPr>
      </w:pPr>
    </w:p>
    <w:p w14:paraId="253EAD72" w14:textId="77777777" w:rsidR="00224498" w:rsidRPr="000F04AF" w:rsidRDefault="00224498" w:rsidP="00224498">
      <w:pPr>
        <w:rPr>
          <w:lang w:eastAsia="fr-FR"/>
        </w:rPr>
      </w:pPr>
      <w:r w:rsidRPr="000F04AF">
        <w:rPr>
          <w:lang w:eastAsia="ja-JP"/>
        </w:rPr>
        <w:t>3.3.8</w:t>
      </w:r>
      <w:r w:rsidRPr="000F04AF">
        <w:rPr>
          <w:lang w:eastAsia="fr-FR"/>
        </w:rPr>
        <w:tab/>
        <w:t>The specificity can be assessed within one laboratory.</w:t>
      </w:r>
    </w:p>
    <w:p w14:paraId="7090AABB" w14:textId="77777777" w:rsidR="00224498" w:rsidRPr="000F04AF" w:rsidRDefault="00224498" w:rsidP="00224498">
      <w:pPr>
        <w:rPr>
          <w:lang w:eastAsia="fr-FR"/>
        </w:rPr>
      </w:pPr>
    </w:p>
    <w:p w14:paraId="78F2AA3D" w14:textId="77777777" w:rsidR="00224498" w:rsidRPr="000F04AF" w:rsidRDefault="00224498" w:rsidP="00224498">
      <w:pPr>
        <w:pStyle w:val="Heading3"/>
      </w:pPr>
      <w:bookmarkStart w:id="37" w:name="_Toc189576558"/>
      <w:bookmarkStart w:id="38" w:name="_Toc210139338"/>
      <w:bookmarkStart w:id="39" w:name="_Toc240537038"/>
      <w:bookmarkStart w:id="40" w:name="_Toc240538642"/>
      <w:r w:rsidRPr="000F04AF">
        <w:t>Sensitivity and limit of detection</w:t>
      </w:r>
      <w:bookmarkEnd w:id="37"/>
      <w:bookmarkEnd w:id="38"/>
      <w:bookmarkEnd w:id="39"/>
      <w:bookmarkEnd w:id="40"/>
    </w:p>
    <w:p w14:paraId="1079CBFE" w14:textId="77777777" w:rsidR="00224498" w:rsidRPr="000F04AF" w:rsidRDefault="00224498" w:rsidP="00224498">
      <w:pPr>
        <w:pStyle w:val="Heading4"/>
      </w:pPr>
      <w:bookmarkStart w:id="41" w:name="_Toc189576559"/>
      <w:bookmarkStart w:id="42" w:name="_Toc210139339"/>
      <w:r w:rsidRPr="000F04AF">
        <w:t>Definition</w:t>
      </w:r>
      <w:bookmarkEnd w:id="41"/>
      <w:bookmarkEnd w:id="42"/>
    </w:p>
    <w:p w14:paraId="2B937D0E" w14:textId="77777777" w:rsidR="00224498" w:rsidRPr="000F04AF" w:rsidRDefault="00224498" w:rsidP="00224498">
      <w:pPr>
        <w:rPr>
          <w:lang w:eastAsia="fr-FR"/>
        </w:rPr>
      </w:pPr>
      <w:r w:rsidRPr="000F04AF">
        <w:rPr>
          <w:lang w:eastAsia="ja-JP"/>
        </w:rPr>
        <w:t>3.3.9</w:t>
      </w:r>
      <w:r w:rsidRPr="000F04AF">
        <w:rPr>
          <w:lang w:eastAsia="fr-FR"/>
        </w:rPr>
        <w:tab/>
        <w:t>The limit of detection is defined as the minimal quantity of the target that can be reliably detected.</w:t>
      </w:r>
    </w:p>
    <w:p w14:paraId="54315B40" w14:textId="77777777" w:rsidR="00224498" w:rsidRPr="000F04AF" w:rsidRDefault="00224498" w:rsidP="00224498">
      <w:pPr>
        <w:rPr>
          <w:lang w:eastAsia="fr-FR"/>
        </w:rPr>
      </w:pPr>
    </w:p>
    <w:p w14:paraId="048685F0" w14:textId="77777777" w:rsidR="00224498" w:rsidRPr="000F04AF" w:rsidRDefault="00224498" w:rsidP="00224498">
      <w:pPr>
        <w:tabs>
          <w:tab w:val="left" w:pos="709"/>
        </w:tabs>
        <w:rPr>
          <w:lang w:eastAsia="fr-FR"/>
        </w:rPr>
      </w:pPr>
      <w:r w:rsidRPr="000F04AF">
        <w:rPr>
          <w:lang w:eastAsia="ja-JP"/>
        </w:rPr>
        <w:lastRenderedPageBreak/>
        <w:t>3.3.10</w:t>
      </w:r>
      <w:r>
        <w:rPr>
          <w:lang w:eastAsia="fr-FR"/>
        </w:rPr>
        <w:tab/>
      </w:r>
      <w:r w:rsidRPr="000F04AF">
        <w:rPr>
          <w:lang w:eastAsia="fr-FR"/>
        </w:rPr>
        <w:t>In case of analyses performed on bulk samples (</w:t>
      </w:r>
      <w:r w:rsidRPr="000F04AF">
        <w:rPr>
          <w:i/>
          <w:iCs/>
          <w:lang w:eastAsia="fr-FR"/>
        </w:rPr>
        <w:t>e.g.</w:t>
      </w:r>
      <w:r w:rsidRPr="000F04AF">
        <w:rPr>
          <w:lang w:eastAsia="fr-FR"/>
        </w:rPr>
        <w:t xml:space="preserve"> pool of different plants of the same variety) the sensitivity is critical and should be assessed. For the use on individual plants, the quantity of the target is not critical and this performance criterium is optional.</w:t>
      </w:r>
    </w:p>
    <w:p w14:paraId="37CCF9F1" w14:textId="77777777" w:rsidR="00224498" w:rsidRPr="000F04AF" w:rsidRDefault="00224498" w:rsidP="00224498">
      <w:pPr>
        <w:rPr>
          <w:lang w:eastAsia="fr-FR"/>
        </w:rPr>
      </w:pPr>
    </w:p>
    <w:p w14:paraId="4D9D5D67" w14:textId="77777777" w:rsidR="00224498" w:rsidRPr="000F04AF" w:rsidRDefault="00224498" w:rsidP="00224498">
      <w:pPr>
        <w:pStyle w:val="Heading4"/>
      </w:pPr>
      <w:bookmarkStart w:id="43" w:name="_Toc189576560"/>
      <w:bookmarkStart w:id="44" w:name="_Toc210139340"/>
      <w:r w:rsidRPr="000F04AF">
        <w:t>Requirement</w:t>
      </w:r>
      <w:bookmarkEnd w:id="43"/>
      <w:bookmarkEnd w:id="44"/>
    </w:p>
    <w:p w14:paraId="291523DE" w14:textId="77777777" w:rsidR="00224498" w:rsidRPr="000F04AF" w:rsidRDefault="00224498" w:rsidP="00224498">
      <w:pPr>
        <w:tabs>
          <w:tab w:val="left" w:pos="709"/>
        </w:tabs>
        <w:rPr>
          <w:lang w:eastAsia="fr-FR"/>
        </w:rPr>
      </w:pPr>
      <w:r w:rsidRPr="000F04AF">
        <w:rPr>
          <w:lang w:eastAsia="ja-JP"/>
        </w:rPr>
        <w:t>3.3.11</w:t>
      </w:r>
      <w:r>
        <w:rPr>
          <w:lang w:eastAsia="ja-JP"/>
        </w:rPr>
        <w:tab/>
      </w:r>
      <w:r w:rsidRPr="000F04AF">
        <w:rPr>
          <w:lang w:eastAsia="fr-FR"/>
        </w:rPr>
        <w:t xml:space="preserve">In the case of the pool, the requirement would be to detect at least one </w:t>
      </w:r>
      <w:proofErr w:type="gramStart"/>
      <w:r w:rsidRPr="000F04AF">
        <w:rPr>
          <w:lang w:eastAsia="fr-FR"/>
        </w:rPr>
        <w:t>off-type</w:t>
      </w:r>
      <w:proofErr w:type="gramEnd"/>
      <w:r w:rsidRPr="000F04AF">
        <w:rPr>
          <w:lang w:eastAsia="fr-FR"/>
        </w:rPr>
        <w:t xml:space="preserve"> in the pool.</w:t>
      </w:r>
    </w:p>
    <w:p w14:paraId="2B0DC142" w14:textId="77777777" w:rsidR="00224498" w:rsidRPr="000F04AF" w:rsidRDefault="00224498" w:rsidP="00224498">
      <w:pPr>
        <w:rPr>
          <w:lang w:eastAsia="fr-FR"/>
        </w:rPr>
      </w:pPr>
    </w:p>
    <w:p w14:paraId="49BBD100" w14:textId="77777777" w:rsidR="00224498" w:rsidRPr="000F04AF" w:rsidRDefault="00224498" w:rsidP="00224498">
      <w:pPr>
        <w:pStyle w:val="Heading4"/>
      </w:pPr>
      <w:bookmarkStart w:id="45" w:name="_Toc189576561"/>
      <w:bookmarkStart w:id="46" w:name="_Toc210139341"/>
      <w:r w:rsidRPr="000F04AF">
        <w:t>How to evaluate it?</w:t>
      </w:r>
      <w:bookmarkEnd w:id="45"/>
      <w:bookmarkEnd w:id="46"/>
    </w:p>
    <w:p w14:paraId="454DC68A" w14:textId="77777777" w:rsidR="00224498" w:rsidRPr="000F04AF" w:rsidRDefault="00224498" w:rsidP="00224498">
      <w:pPr>
        <w:tabs>
          <w:tab w:val="left" w:pos="709"/>
        </w:tabs>
        <w:rPr>
          <w:lang w:eastAsia="fr-FR"/>
        </w:rPr>
      </w:pPr>
      <w:r w:rsidRPr="000F04AF">
        <w:rPr>
          <w:lang w:eastAsia="ja-JP"/>
        </w:rPr>
        <w:t>3.3.12</w:t>
      </w:r>
      <w:r>
        <w:rPr>
          <w:lang w:eastAsia="ja-JP"/>
        </w:rPr>
        <w:tab/>
        <w:t>S</w:t>
      </w:r>
      <w:r w:rsidRPr="000F04AF">
        <w:rPr>
          <w:lang w:eastAsia="fr-FR"/>
        </w:rPr>
        <w:t xml:space="preserve">ensitivity of the detection </w:t>
      </w:r>
      <w:r>
        <w:rPr>
          <w:lang w:eastAsia="fr-FR"/>
        </w:rPr>
        <w:t>should be checked with</w:t>
      </w:r>
      <w:r w:rsidRPr="000F04AF">
        <w:rPr>
          <w:lang w:eastAsia="fr-FR"/>
        </w:rPr>
        <w:t xml:space="preserve"> artificial samples </w:t>
      </w:r>
      <w:r>
        <w:rPr>
          <w:lang w:eastAsia="fr-FR"/>
        </w:rPr>
        <w:t>generated</w:t>
      </w:r>
      <w:r w:rsidRPr="000F04AF">
        <w:rPr>
          <w:lang w:eastAsia="fr-FR"/>
        </w:rPr>
        <w:t xml:space="preserve"> by mixing one </w:t>
      </w:r>
      <w:proofErr w:type="gramStart"/>
      <w:r w:rsidRPr="000F04AF">
        <w:rPr>
          <w:lang w:eastAsia="fr-FR"/>
        </w:rPr>
        <w:t>off-type</w:t>
      </w:r>
      <w:proofErr w:type="gramEnd"/>
      <w:r w:rsidRPr="000F04AF">
        <w:rPr>
          <w:lang w:eastAsia="fr-FR"/>
        </w:rPr>
        <w:t xml:space="preserve"> to a pool.</w:t>
      </w:r>
    </w:p>
    <w:p w14:paraId="53C6784B" w14:textId="77777777" w:rsidR="00224498" w:rsidRPr="000F04AF" w:rsidRDefault="00224498" w:rsidP="00224498">
      <w:pPr>
        <w:rPr>
          <w:lang w:eastAsia="fr-FR"/>
        </w:rPr>
      </w:pPr>
    </w:p>
    <w:p w14:paraId="0001BF20" w14:textId="77777777" w:rsidR="00224498" w:rsidRPr="000F04AF" w:rsidRDefault="00224498" w:rsidP="00224498">
      <w:pPr>
        <w:pStyle w:val="Heading3"/>
      </w:pPr>
      <w:bookmarkStart w:id="47" w:name="_Toc189576562"/>
      <w:bookmarkStart w:id="48" w:name="_Toc210139342"/>
      <w:bookmarkStart w:id="49" w:name="_Toc240537039"/>
      <w:bookmarkStart w:id="50" w:name="_Toc240538643"/>
      <w:r w:rsidRPr="000F04AF">
        <w:t>Repeatability</w:t>
      </w:r>
      <w:bookmarkEnd w:id="47"/>
      <w:bookmarkEnd w:id="48"/>
      <w:bookmarkEnd w:id="49"/>
      <w:bookmarkEnd w:id="50"/>
    </w:p>
    <w:p w14:paraId="5E0DD4FD" w14:textId="77777777" w:rsidR="00224498" w:rsidRPr="000F04AF" w:rsidRDefault="00224498" w:rsidP="00224498">
      <w:pPr>
        <w:pStyle w:val="Heading4"/>
      </w:pPr>
      <w:bookmarkStart w:id="51" w:name="_Toc189576563"/>
      <w:bookmarkStart w:id="52" w:name="_Toc210139343"/>
      <w:r w:rsidRPr="000F04AF">
        <w:t xml:space="preserve">Definition (based on ISO 16 577:2016; reference to </w:t>
      </w:r>
      <w:r>
        <w:t xml:space="preserve">document </w:t>
      </w:r>
      <w:r w:rsidRPr="000F04AF">
        <w:t>UPOV/INF/17)</w:t>
      </w:r>
      <w:bookmarkEnd w:id="51"/>
      <w:bookmarkEnd w:id="52"/>
    </w:p>
    <w:p w14:paraId="53B0C7C0" w14:textId="77777777" w:rsidR="00224498" w:rsidRPr="000F04AF" w:rsidRDefault="00224498" w:rsidP="00224498">
      <w:pPr>
        <w:tabs>
          <w:tab w:val="left" w:pos="709"/>
        </w:tabs>
        <w:rPr>
          <w:lang w:eastAsia="fr-FR"/>
        </w:rPr>
      </w:pPr>
      <w:r w:rsidRPr="000F04AF">
        <w:rPr>
          <w:lang w:eastAsia="ja-JP"/>
        </w:rPr>
        <w:t>3.3.13</w:t>
      </w:r>
      <w:r>
        <w:rPr>
          <w:lang w:eastAsia="ja-JP"/>
        </w:rPr>
        <w:tab/>
      </w:r>
      <w:r w:rsidRPr="000F04AF">
        <w:rPr>
          <w:lang w:eastAsia="fr-FR"/>
        </w:rPr>
        <w:t>“Repeatability</w:t>
      </w:r>
      <w:r w:rsidRPr="000F04AF" w:rsidDel="00102729">
        <w:rPr>
          <w:lang w:eastAsia="fr-FR"/>
        </w:rPr>
        <w:t xml:space="preserve"> </w:t>
      </w:r>
      <w:r>
        <w:rPr>
          <w:lang w:eastAsia="fr-FR"/>
        </w:rPr>
        <w:t xml:space="preserve">means that </w:t>
      </w:r>
      <w:r w:rsidRPr="000F04AF">
        <w:rPr>
          <w:lang w:eastAsia="fr-FR"/>
        </w:rPr>
        <w:t>identical test results are obtained with the same method, on identical test items, in the same laboratory, by the same operator, using the same equipment within short intervals of time.”</w:t>
      </w:r>
    </w:p>
    <w:p w14:paraId="3FEBF049" w14:textId="77777777" w:rsidR="00224498" w:rsidRPr="000F04AF" w:rsidRDefault="00224498" w:rsidP="00224498">
      <w:pPr>
        <w:rPr>
          <w:lang w:eastAsia="fr-FR"/>
        </w:rPr>
      </w:pPr>
    </w:p>
    <w:p w14:paraId="596DEAB3" w14:textId="77777777" w:rsidR="00224498" w:rsidRPr="000F04AF" w:rsidRDefault="00224498" w:rsidP="00224498">
      <w:pPr>
        <w:tabs>
          <w:tab w:val="left" w:pos="709"/>
        </w:tabs>
        <w:rPr>
          <w:lang w:eastAsia="fr-FR"/>
        </w:rPr>
      </w:pPr>
      <w:r w:rsidRPr="000F04AF">
        <w:rPr>
          <w:lang w:eastAsia="ja-JP"/>
        </w:rPr>
        <w:t>3.3.14</w:t>
      </w:r>
      <w:r>
        <w:rPr>
          <w:lang w:eastAsia="ja-JP"/>
        </w:rPr>
        <w:tab/>
      </w:r>
      <w:r w:rsidRPr="000F04AF">
        <w:rPr>
          <w:lang w:eastAsia="fr-FR"/>
        </w:rPr>
        <w:t xml:space="preserve">For qualitative methods, accordance is equivalent to the repeatability of quantitative methods (Langton </w:t>
      </w:r>
      <w:r w:rsidRPr="000F04AF">
        <w:rPr>
          <w:i/>
          <w:iCs/>
          <w:lang w:eastAsia="fr-FR"/>
        </w:rPr>
        <w:t>et al</w:t>
      </w:r>
      <w:r w:rsidRPr="000F04AF">
        <w:rPr>
          <w:lang w:eastAsia="fr-FR"/>
        </w:rPr>
        <w:t>., 2002).</w:t>
      </w:r>
    </w:p>
    <w:p w14:paraId="68D1A81F" w14:textId="77777777" w:rsidR="00224498" w:rsidRPr="007667FB" w:rsidRDefault="00224498" w:rsidP="00224498">
      <w:pPr>
        <w:rPr>
          <w:lang w:eastAsia="fr-FR"/>
        </w:rPr>
      </w:pPr>
    </w:p>
    <w:p w14:paraId="4E2B97F6" w14:textId="77777777" w:rsidR="00224498" w:rsidRPr="000F04AF" w:rsidRDefault="00224498" w:rsidP="00224498">
      <w:pPr>
        <w:pStyle w:val="Heading4"/>
      </w:pPr>
      <w:bookmarkStart w:id="53" w:name="_Toc189576564"/>
      <w:bookmarkStart w:id="54" w:name="_Toc210139344"/>
      <w:r w:rsidRPr="000F04AF">
        <w:t>Requirement</w:t>
      </w:r>
      <w:bookmarkEnd w:id="53"/>
      <w:bookmarkEnd w:id="54"/>
    </w:p>
    <w:p w14:paraId="79718504" w14:textId="77777777" w:rsidR="00224498" w:rsidRPr="000F04AF" w:rsidRDefault="00224498" w:rsidP="00224498">
      <w:pPr>
        <w:tabs>
          <w:tab w:val="left" w:pos="709"/>
        </w:tabs>
        <w:rPr>
          <w:lang w:eastAsia="fr-FR"/>
        </w:rPr>
      </w:pPr>
      <w:r w:rsidRPr="000F04AF">
        <w:rPr>
          <w:lang w:eastAsia="ja-JP"/>
        </w:rPr>
        <w:t>3.3.15</w:t>
      </w:r>
      <w:r>
        <w:rPr>
          <w:lang w:eastAsia="ja-JP"/>
        </w:rPr>
        <w:tab/>
      </w:r>
      <w:r w:rsidRPr="000F04AF">
        <w:rPr>
          <w:lang w:eastAsia="fr-FR"/>
        </w:rPr>
        <w:t>Ideally</w:t>
      </w:r>
      <w:r>
        <w:rPr>
          <w:lang w:eastAsia="fr-FR"/>
        </w:rPr>
        <w:t>,</w:t>
      </w:r>
      <w:r w:rsidRPr="000F04AF">
        <w:rPr>
          <w:lang w:eastAsia="fr-FR"/>
        </w:rPr>
        <w:t xml:space="preserve"> 100%</w:t>
      </w:r>
      <w:r>
        <w:rPr>
          <w:lang w:eastAsia="fr-FR"/>
        </w:rPr>
        <w:t xml:space="preserve"> repeatability should be reached but</w:t>
      </w:r>
      <w:r w:rsidRPr="000F04AF">
        <w:rPr>
          <w:lang w:eastAsia="fr-FR"/>
        </w:rPr>
        <w:t xml:space="preserve"> a performance ≥90% is generally accepted. If the repeatability of the reference method is published the repeatability of the alternative method should be at least equivalent. </w:t>
      </w:r>
    </w:p>
    <w:p w14:paraId="1308E3B1" w14:textId="77777777" w:rsidR="00224498" w:rsidRPr="000F04AF" w:rsidRDefault="00224498" w:rsidP="00224498">
      <w:pPr>
        <w:rPr>
          <w:lang w:eastAsia="fr-FR"/>
        </w:rPr>
      </w:pPr>
    </w:p>
    <w:p w14:paraId="5713ACE1" w14:textId="77777777" w:rsidR="00224498" w:rsidRPr="000F04AF" w:rsidRDefault="00224498" w:rsidP="00224498">
      <w:pPr>
        <w:pStyle w:val="Heading4"/>
      </w:pPr>
      <w:bookmarkStart w:id="55" w:name="_Toc189576565"/>
      <w:bookmarkStart w:id="56" w:name="_Toc210139345"/>
      <w:r w:rsidRPr="000F04AF">
        <w:t>How to evaluate it?</w:t>
      </w:r>
      <w:bookmarkEnd w:id="55"/>
      <w:bookmarkEnd w:id="56"/>
    </w:p>
    <w:p w14:paraId="28DC1AB1" w14:textId="77777777" w:rsidR="00224498" w:rsidRPr="000F04AF" w:rsidRDefault="00224498" w:rsidP="00224498">
      <w:pPr>
        <w:tabs>
          <w:tab w:val="left" w:pos="709"/>
        </w:tabs>
        <w:rPr>
          <w:lang w:eastAsia="fr-FR"/>
        </w:rPr>
      </w:pPr>
      <w:r w:rsidRPr="000F04AF">
        <w:rPr>
          <w:lang w:eastAsia="ja-JP"/>
        </w:rPr>
        <w:t>3.3.16</w:t>
      </w:r>
      <w:r>
        <w:rPr>
          <w:lang w:eastAsia="ja-JP"/>
        </w:rPr>
        <w:tab/>
      </w:r>
      <w:r w:rsidRPr="000F04AF">
        <w:rPr>
          <w:lang w:eastAsia="fr-FR"/>
        </w:rPr>
        <w:t>The repeatability can be evaluated within one laboratory.</w:t>
      </w:r>
    </w:p>
    <w:p w14:paraId="1EF8C1CF" w14:textId="77777777" w:rsidR="00224498" w:rsidRPr="000F04AF" w:rsidRDefault="00224498" w:rsidP="00224498">
      <w:pPr>
        <w:rPr>
          <w:lang w:eastAsia="fr-FR"/>
        </w:rPr>
      </w:pPr>
    </w:p>
    <w:p w14:paraId="482FDCF1" w14:textId="77777777" w:rsidR="00224498" w:rsidRPr="000F04AF" w:rsidRDefault="00224498" w:rsidP="00224498">
      <w:pPr>
        <w:tabs>
          <w:tab w:val="left" w:pos="709"/>
        </w:tabs>
        <w:rPr>
          <w:lang w:eastAsia="fr-FR"/>
        </w:rPr>
      </w:pPr>
      <w:r w:rsidRPr="000F04AF">
        <w:rPr>
          <w:lang w:eastAsia="ja-JP"/>
        </w:rPr>
        <w:t>3.3.17</w:t>
      </w:r>
      <w:r>
        <w:rPr>
          <w:lang w:eastAsia="ja-JP"/>
        </w:rPr>
        <w:tab/>
      </w:r>
      <w:r w:rsidRPr="000F04AF">
        <w:rPr>
          <w:lang w:eastAsia="fr-FR"/>
        </w:rPr>
        <w:t xml:space="preserve">At least three technical replicates drawn from </w:t>
      </w:r>
      <w:proofErr w:type="gramStart"/>
      <w:r w:rsidRPr="000F04AF">
        <w:rPr>
          <w:lang w:eastAsia="fr-FR"/>
        </w:rPr>
        <w:t>a same</w:t>
      </w:r>
      <w:proofErr w:type="gramEnd"/>
      <w:r w:rsidRPr="000F04AF">
        <w:rPr>
          <w:lang w:eastAsia="fr-FR"/>
        </w:rPr>
        <w:t xml:space="preserve"> plant (three independent DNA extractions)</w:t>
      </w:r>
      <w:r>
        <w:rPr>
          <w:lang w:eastAsia="fr-FR"/>
        </w:rPr>
        <w:t xml:space="preserve"> should be analyzed</w:t>
      </w:r>
      <w:r w:rsidRPr="000F04AF">
        <w:rPr>
          <w:lang w:eastAsia="fr-FR"/>
        </w:rPr>
        <w:t xml:space="preserve">. </w:t>
      </w:r>
      <w:r>
        <w:rPr>
          <w:lang w:eastAsia="fr-FR"/>
        </w:rPr>
        <w:t>A</w:t>
      </w:r>
      <w:r w:rsidRPr="000F04AF">
        <w:rPr>
          <w:lang w:eastAsia="fr-FR"/>
        </w:rPr>
        <w:t>t least all expected types of genotype</w:t>
      </w:r>
      <w:r>
        <w:rPr>
          <w:lang w:eastAsia="fr-FR"/>
        </w:rPr>
        <w:t xml:space="preserve"> should be included</w:t>
      </w:r>
      <w:r w:rsidRPr="000F04AF">
        <w:rPr>
          <w:lang w:eastAsia="fr-FR"/>
        </w:rPr>
        <w:t>.</w:t>
      </w:r>
    </w:p>
    <w:p w14:paraId="6F3BF2F9" w14:textId="77777777" w:rsidR="00224498" w:rsidRPr="000F04AF" w:rsidRDefault="00224498" w:rsidP="00224498">
      <w:pPr>
        <w:rPr>
          <w:lang w:eastAsia="fr-FR"/>
        </w:rPr>
      </w:pPr>
    </w:p>
    <w:p w14:paraId="69E52A19" w14:textId="77777777" w:rsidR="00224498" w:rsidRPr="000F04AF" w:rsidRDefault="00224498" w:rsidP="00224498">
      <w:pPr>
        <w:pStyle w:val="Heading3"/>
      </w:pPr>
      <w:bookmarkStart w:id="57" w:name="_Toc189576566"/>
      <w:bookmarkStart w:id="58" w:name="_Toc210139346"/>
      <w:bookmarkStart w:id="59" w:name="_Toc240537040"/>
      <w:bookmarkStart w:id="60" w:name="_Toc240538644"/>
      <w:r w:rsidRPr="000F04AF">
        <w:t>Reproducibility</w:t>
      </w:r>
      <w:bookmarkEnd w:id="57"/>
      <w:bookmarkEnd w:id="58"/>
      <w:bookmarkEnd w:id="59"/>
      <w:bookmarkEnd w:id="60"/>
    </w:p>
    <w:p w14:paraId="178CF3CD" w14:textId="77777777" w:rsidR="00224498" w:rsidRPr="000F04AF" w:rsidRDefault="00224498" w:rsidP="00224498">
      <w:pPr>
        <w:pStyle w:val="Heading4"/>
      </w:pPr>
      <w:bookmarkStart w:id="61" w:name="_Toc189576567"/>
      <w:bookmarkStart w:id="62" w:name="_Toc210139347"/>
      <w:r w:rsidRPr="000F04AF">
        <w:t>Definition (based on ISO 16 577:2016; reference to UPOV/INF/17)</w:t>
      </w:r>
      <w:bookmarkEnd w:id="61"/>
      <w:bookmarkEnd w:id="62"/>
    </w:p>
    <w:p w14:paraId="1571B679" w14:textId="77777777" w:rsidR="00224498" w:rsidRPr="000F04AF" w:rsidRDefault="00224498" w:rsidP="00224498">
      <w:pPr>
        <w:tabs>
          <w:tab w:val="left" w:pos="709"/>
        </w:tabs>
        <w:rPr>
          <w:lang w:eastAsia="fr-FR"/>
        </w:rPr>
      </w:pPr>
      <w:r w:rsidRPr="000F04AF">
        <w:rPr>
          <w:lang w:eastAsia="ja-JP"/>
        </w:rPr>
        <w:t>3.3.18</w:t>
      </w:r>
      <w:r>
        <w:rPr>
          <w:lang w:eastAsia="ja-JP"/>
        </w:rPr>
        <w:tab/>
      </w:r>
      <w:r w:rsidRPr="000F04AF">
        <w:rPr>
          <w:lang w:eastAsia="fr-FR"/>
        </w:rPr>
        <w:t xml:space="preserve">“Reproducibility </w:t>
      </w:r>
      <w:r>
        <w:rPr>
          <w:lang w:eastAsia="fr-FR"/>
        </w:rPr>
        <w:t xml:space="preserve">means that identical </w:t>
      </w:r>
      <w:r w:rsidRPr="000F04AF">
        <w:rPr>
          <w:lang w:eastAsia="fr-FR"/>
        </w:rPr>
        <w:t>test results are obtained with the same method, on identical test items, within the same laboratory or between different laboratories, with different operators, using different equipment” at different times.</w:t>
      </w:r>
    </w:p>
    <w:p w14:paraId="4671FFDF" w14:textId="77777777" w:rsidR="00224498" w:rsidRPr="000F04AF" w:rsidRDefault="00224498" w:rsidP="00224498">
      <w:pPr>
        <w:rPr>
          <w:lang w:eastAsia="fr-FR"/>
        </w:rPr>
      </w:pPr>
    </w:p>
    <w:p w14:paraId="1E71E588" w14:textId="77777777" w:rsidR="00224498" w:rsidRPr="000F04AF" w:rsidRDefault="00224498" w:rsidP="00224498">
      <w:pPr>
        <w:tabs>
          <w:tab w:val="left" w:pos="709"/>
        </w:tabs>
        <w:rPr>
          <w:lang w:eastAsia="fr-FR"/>
        </w:rPr>
      </w:pPr>
      <w:r w:rsidRPr="000F04AF">
        <w:rPr>
          <w:lang w:eastAsia="ja-JP"/>
        </w:rPr>
        <w:t>3.3.19</w:t>
      </w:r>
      <w:r>
        <w:rPr>
          <w:lang w:eastAsia="ja-JP"/>
        </w:rPr>
        <w:tab/>
      </w:r>
      <w:r w:rsidRPr="000F04AF">
        <w:rPr>
          <w:lang w:eastAsia="fr-FR"/>
        </w:rPr>
        <w:t xml:space="preserve">For qualitative methods, concordance is equivalent to the reproducibility of quantitative methods (Langton </w:t>
      </w:r>
      <w:r w:rsidRPr="000F04AF">
        <w:rPr>
          <w:i/>
          <w:iCs/>
          <w:lang w:eastAsia="fr-FR"/>
        </w:rPr>
        <w:t>et al</w:t>
      </w:r>
      <w:r w:rsidRPr="000F04AF">
        <w:rPr>
          <w:lang w:eastAsia="fr-FR"/>
        </w:rPr>
        <w:t>., 2002).</w:t>
      </w:r>
    </w:p>
    <w:p w14:paraId="127F4BE1" w14:textId="77777777" w:rsidR="00224498" w:rsidRPr="007667FB" w:rsidRDefault="00224498" w:rsidP="00224498">
      <w:pPr>
        <w:rPr>
          <w:lang w:eastAsia="fr-FR"/>
        </w:rPr>
      </w:pPr>
    </w:p>
    <w:p w14:paraId="388EB66E" w14:textId="77777777" w:rsidR="00224498" w:rsidRPr="000F04AF" w:rsidRDefault="00224498" w:rsidP="00224498">
      <w:pPr>
        <w:pStyle w:val="Heading4"/>
      </w:pPr>
      <w:bookmarkStart w:id="63" w:name="_Toc189576568"/>
      <w:bookmarkStart w:id="64" w:name="_Toc210139348"/>
      <w:r w:rsidRPr="000F04AF">
        <w:t>Requirement</w:t>
      </w:r>
      <w:bookmarkEnd w:id="63"/>
      <w:bookmarkEnd w:id="64"/>
    </w:p>
    <w:p w14:paraId="55F95C92" w14:textId="77777777" w:rsidR="00224498" w:rsidRPr="000F04AF" w:rsidRDefault="00224498" w:rsidP="00224498">
      <w:pPr>
        <w:tabs>
          <w:tab w:val="left" w:pos="709"/>
        </w:tabs>
        <w:rPr>
          <w:lang w:eastAsia="fr-FR"/>
        </w:rPr>
      </w:pPr>
      <w:r w:rsidRPr="000F04AF">
        <w:rPr>
          <w:lang w:eastAsia="ja-JP"/>
        </w:rPr>
        <w:t>3.3.20</w:t>
      </w:r>
      <w:r>
        <w:rPr>
          <w:lang w:eastAsia="ja-JP"/>
        </w:rPr>
        <w:tab/>
      </w:r>
      <w:r w:rsidRPr="000F04AF">
        <w:rPr>
          <w:lang w:eastAsia="fr-FR"/>
        </w:rPr>
        <w:t>Ideally</w:t>
      </w:r>
      <w:r>
        <w:rPr>
          <w:lang w:eastAsia="fr-FR"/>
        </w:rPr>
        <w:t>,</w:t>
      </w:r>
      <w:r w:rsidRPr="000F04AF">
        <w:rPr>
          <w:lang w:eastAsia="fr-FR"/>
        </w:rPr>
        <w:t xml:space="preserve"> 100%</w:t>
      </w:r>
      <w:r>
        <w:rPr>
          <w:lang w:eastAsia="fr-FR"/>
        </w:rPr>
        <w:t xml:space="preserve"> reproducibility should be reached but</w:t>
      </w:r>
      <w:r w:rsidRPr="000F04AF">
        <w:rPr>
          <w:lang w:eastAsia="fr-FR"/>
        </w:rPr>
        <w:t xml:space="preserve"> a performance ≥90% is generally accepted. If the reproducibility of the reference method is published the reproducibility of the alternative method should be at least equivalent. </w:t>
      </w:r>
    </w:p>
    <w:p w14:paraId="5A61393C" w14:textId="77777777" w:rsidR="00224498" w:rsidRPr="000F04AF" w:rsidRDefault="00224498" w:rsidP="00224498">
      <w:pPr>
        <w:rPr>
          <w:lang w:eastAsia="fr-FR"/>
        </w:rPr>
      </w:pPr>
    </w:p>
    <w:p w14:paraId="5EDD97B9" w14:textId="77777777" w:rsidR="00224498" w:rsidRPr="000F04AF" w:rsidRDefault="00224498" w:rsidP="00224498">
      <w:pPr>
        <w:pStyle w:val="Heading4"/>
      </w:pPr>
      <w:bookmarkStart w:id="65" w:name="_Toc189576569"/>
      <w:bookmarkStart w:id="66" w:name="_Toc210139349"/>
      <w:r w:rsidRPr="000F04AF">
        <w:t>How to evaluate it?</w:t>
      </w:r>
      <w:bookmarkEnd w:id="65"/>
      <w:bookmarkEnd w:id="66"/>
    </w:p>
    <w:p w14:paraId="761287BE" w14:textId="77777777" w:rsidR="00224498" w:rsidRPr="000F04AF" w:rsidRDefault="00224498" w:rsidP="00224498">
      <w:pPr>
        <w:tabs>
          <w:tab w:val="left" w:pos="709"/>
        </w:tabs>
        <w:rPr>
          <w:lang w:eastAsia="fr-FR"/>
        </w:rPr>
      </w:pPr>
      <w:r w:rsidRPr="000F04AF">
        <w:rPr>
          <w:lang w:eastAsia="ja-JP"/>
        </w:rPr>
        <w:t>3.3.21</w:t>
      </w:r>
      <w:r>
        <w:rPr>
          <w:lang w:eastAsia="ja-JP"/>
        </w:rPr>
        <w:tab/>
      </w:r>
      <w:r w:rsidRPr="000F04AF">
        <w:rPr>
          <w:lang w:eastAsia="fr-FR"/>
        </w:rPr>
        <w:t>Reproducibility should be assessed between different laboratories by an interlaboratory validation study (Ring-test) with coded samples of known genotypes. All expected types of genotype should be included.</w:t>
      </w:r>
    </w:p>
    <w:p w14:paraId="3FEE87AC" w14:textId="77777777" w:rsidR="00224498" w:rsidRPr="000F04AF" w:rsidRDefault="00224498" w:rsidP="00224498">
      <w:pPr>
        <w:rPr>
          <w:lang w:eastAsia="fr-FR"/>
        </w:rPr>
      </w:pPr>
    </w:p>
    <w:p w14:paraId="3CD7B0DE" w14:textId="77777777" w:rsidR="00224498" w:rsidRPr="000F04AF" w:rsidRDefault="00224498" w:rsidP="00224498">
      <w:pPr>
        <w:tabs>
          <w:tab w:val="left" w:pos="709"/>
        </w:tabs>
        <w:rPr>
          <w:lang w:eastAsia="fr-FR"/>
        </w:rPr>
      </w:pPr>
      <w:r w:rsidRPr="000F04AF">
        <w:rPr>
          <w:lang w:eastAsia="ja-JP"/>
        </w:rPr>
        <w:t>3.3.22</w:t>
      </w:r>
      <w:r>
        <w:rPr>
          <w:lang w:eastAsia="ja-JP"/>
        </w:rPr>
        <w:tab/>
      </w:r>
      <w:r w:rsidRPr="000F04AF">
        <w:rPr>
          <w:lang w:eastAsia="fr-FR"/>
        </w:rPr>
        <w:t xml:space="preserve">The </w:t>
      </w:r>
      <w:proofErr w:type="gramStart"/>
      <w:r w:rsidRPr="000F04AF">
        <w:rPr>
          <w:lang w:eastAsia="fr-FR"/>
        </w:rPr>
        <w:t>ring-test</w:t>
      </w:r>
      <w:proofErr w:type="gramEnd"/>
      <w:r w:rsidRPr="000F04AF">
        <w:rPr>
          <w:lang w:eastAsia="fr-FR"/>
        </w:rPr>
        <w:t xml:space="preserve"> should involve at least, three different laboratories including at least two different examination offices. If possible, experienced laboratories familiar with the species and the technique should be involved. If not, a training can be organized ahead of the ring-test with un-coded samples. Laboratories can </w:t>
      </w:r>
      <w:r w:rsidRPr="000F04AF">
        <w:rPr>
          <w:lang w:eastAsia="fr-FR"/>
        </w:rPr>
        <w:lastRenderedPageBreak/>
        <w:t>participate in a ring</w:t>
      </w:r>
      <w:r w:rsidRPr="000F04AF">
        <w:rPr>
          <w:lang w:eastAsia="fr-FR"/>
        </w:rPr>
        <w:noBreakHyphen/>
        <w:t>test on voluntary basis. In case there are no volunteers, then an intra-laboratory reproducibility assessment will be possible with different operators.</w:t>
      </w:r>
    </w:p>
    <w:p w14:paraId="39A91741" w14:textId="77777777" w:rsidR="00224498" w:rsidRPr="000F04AF" w:rsidRDefault="00224498" w:rsidP="00224498">
      <w:pPr>
        <w:rPr>
          <w:lang w:eastAsia="nl-NL"/>
        </w:rPr>
      </w:pPr>
    </w:p>
    <w:p w14:paraId="26EDF3F4" w14:textId="77777777" w:rsidR="00224498" w:rsidRPr="000F04AF" w:rsidRDefault="00224498" w:rsidP="00224498">
      <w:pPr>
        <w:tabs>
          <w:tab w:val="left" w:pos="709"/>
        </w:tabs>
        <w:rPr>
          <w:lang w:eastAsia="fr-FR"/>
        </w:rPr>
      </w:pPr>
      <w:r w:rsidRPr="000F04AF">
        <w:rPr>
          <w:lang w:eastAsia="ja-JP"/>
        </w:rPr>
        <w:t>3.3.23</w:t>
      </w:r>
      <w:r>
        <w:rPr>
          <w:lang w:eastAsia="ja-JP"/>
        </w:rPr>
        <w:tab/>
      </w:r>
      <w:r w:rsidRPr="000F04AF">
        <w:rPr>
          <w:lang w:eastAsia="fr-FR"/>
        </w:rPr>
        <w:t>All laboratories should follow the protocol to be validated. In the protocol standard and optional parts can be defined by the validation team. Laboratories can participate in a ring</w:t>
      </w:r>
      <w:r w:rsidRPr="000F04AF">
        <w:rPr>
          <w:rFonts w:ascii="Cambria Math" w:hAnsi="Cambria Math" w:cs="Cambria Math"/>
          <w:lang w:eastAsia="fr-FR"/>
        </w:rPr>
        <w:t>‑</w:t>
      </w:r>
      <w:r w:rsidRPr="000F04AF">
        <w:rPr>
          <w:lang w:eastAsia="fr-FR"/>
        </w:rPr>
        <w:t>test on voluntary basis. In case there are no volunteers, the reproducibility can be determined within one laboratory.</w:t>
      </w:r>
    </w:p>
    <w:p w14:paraId="11B49B3B" w14:textId="77777777" w:rsidR="00224498" w:rsidRPr="000F04AF" w:rsidRDefault="00224498" w:rsidP="00224498">
      <w:pPr>
        <w:rPr>
          <w:lang w:eastAsia="fr-FR"/>
        </w:rPr>
      </w:pPr>
    </w:p>
    <w:p w14:paraId="58B3D3C4" w14:textId="77777777" w:rsidR="00224498" w:rsidRPr="000F04AF" w:rsidRDefault="00224498" w:rsidP="00224498">
      <w:pPr>
        <w:tabs>
          <w:tab w:val="left" w:pos="709"/>
        </w:tabs>
        <w:rPr>
          <w:lang w:eastAsia="fr-FR"/>
        </w:rPr>
      </w:pPr>
      <w:r w:rsidRPr="000F04AF">
        <w:rPr>
          <w:lang w:eastAsia="ja-JP"/>
        </w:rPr>
        <w:t>3.3.24</w:t>
      </w:r>
      <w:r>
        <w:rPr>
          <w:lang w:eastAsia="ja-JP"/>
        </w:rPr>
        <w:tab/>
      </w:r>
      <w:r w:rsidRPr="000F04AF">
        <w:rPr>
          <w:lang w:eastAsia="fr-FR"/>
        </w:rPr>
        <w:t xml:space="preserve">Number of varieties: </w:t>
      </w:r>
      <w:r>
        <w:rPr>
          <w:lang w:eastAsia="fr-FR"/>
        </w:rPr>
        <w:t>A</w:t>
      </w:r>
      <w:r w:rsidRPr="000F04AF">
        <w:rPr>
          <w:lang w:eastAsia="fr-FR"/>
        </w:rPr>
        <w:t>t least all expected types of genotype</w:t>
      </w:r>
      <w:r>
        <w:rPr>
          <w:lang w:eastAsia="fr-FR"/>
        </w:rPr>
        <w:t xml:space="preserve"> should be included</w:t>
      </w:r>
      <w:r w:rsidRPr="000F04AF">
        <w:rPr>
          <w:lang w:eastAsia="fr-FR"/>
        </w:rPr>
        <w:t>.</w:t>
      </w:r>
    </w:p>
    <w:p w14:paraId="05CFDBED" w14:textId="77777777" w:rsidR="00224498" w:rsidRPr="000F04AF" w:rsidRDefault="00224498" w:rsidP="00224498">
      <w:pPr>
        <w:keepNext/>
        <w:rPr>
          <w:rFonts w:cs="Arial"/>
          <w:lang w:eastAsia="fr-FR"/>
        </w:rPr>
      </w:pPr>
    </w:p>
    <w:p w14:paraId="1234BEC9" w14:textId="77777777" w:rsidR="00224498" w:rsidRPr="000F04AF" w:rsidRDefault="00224498" w:rsidP="00224498">
      <w:pPr>
        <w:tabs>
          <w:tab w:val="left" w:pos="709"/>
        </w:tabs>
        <w:rPr>
          <w:rFonts w:cs="Arial"/>
          <w:lang w:eastAsia="fr-FR"/>
        </w:rPr>
      </w:pPr>
      <w:r w:rsidRPr="000F04AF">
        <w:rPr>
          <w:lang w:eastAsia="ja-JP"/>
        </w:rPr>
        <w:t>3.3.25</w:t>
      </w:r>
      <w:r>
        <w:rPr>
          <w:lang w:eastAsia="ja-JP"/>
        </w:rPr>
        <w:tab/>
      </w:r>
      <w:r w:rsidRPr="00AF7FD8">
        <w:rPr>
          <w:lang w:eastAsia="fr-FR"/>
        </w:rPr>
        <w:t>Guidelines</w:t>
      </w:r>
      <w:r w:rsidRPr="000F04AF">
        <w:rPr>
          <w:rFonts w:cs="Arial"/>
          <w:lang w:eastAsia="fr-FR"/>
        </w:rPr>
        <w:t>/Norms on interlaboratory studies can be followed</w:t>
      </w:r>
      <w:r>
        <w:rPr>
          <w:rFonts w:cs="Arial"/>
          <w:lang w:eastAsia="fr-FR"/>
        </w:rPr>
        <w:t>, e.g.</w:t>
      </w:r>
      <w:r w:rsidRPr="000F04AF">
        <w:rPr>
          <w:rFonts w:cs="Arial"/>
          <w:lang w:eastAsia="fr-FR"/>
        </w:rPr>
        <w:t xml:space="preserve"> ISO 13495 </w:t>
      </w:r>
      <w:r w:rsidRPr="000F04AF">
        <w:rPr>
          <w:rFonts w:cs="Arial"/>
          <w:i/>
          <w:iCs/>
          <w:lang w:eastAsia="fr-FR"/>
        </w:rPr>
        <w:t>Foodstuffs - Principles of selection and criteria of validation for varietal identification methods u sing specific nucleic acid</w:t>
      </w:r>
      <w:r w:rsidRPr="000F04AF">
        <w:rPr>
          <w:rFonts w:cs="Arial"/>
          <w:lang w:eastAsia="fr-FR"/>
        </w:rPr>
        <w:t xml:space="preserve">, ISO 17043 </w:t>
      </w:r>
      <w:r w:rsidRPr="000F04AF">
        <w:rPr>
          <w:rFonts w:cs="Arial"/>
          <w:i/>
          <w:iCs/>
          <w:lang w:eastAsia="fr-FR"/>
        </w:rPr>
        <w:t>Conformity assessment - General requirements for proficiency testing</w:t>
      </w:r>
      <w:r w:rsidRPr="000F04AF">
        <w:rPr>
          <w:rFonts w:cs="Arial"/>
          <w:lang w:eastAsia="fr-FR"/>
        </w:rPr>
        <w:t xml:space="preserve">, EPPO pm7-122-2 </w:t>
      </w:r>
      <w:r w:rsidRPr="000F04AF">
        <w:rPr>
          <w:rFonts w:cs="Arial"/>
          <w:i/>
          <w:iCs/>
          <w:lang w:eastAsia="fr-FR"/>
        </w:rPr>
        <w:t>Guidelines for the organization of interlaboratory comparisons by plant pest diagnostic laboratories</w:t>
      </w:r>
      <w:r w:rsidRPr="000F04AF">
        <w:rPr>
          <w:rFonts w:cs="Arial"/>
          <w:lang w:eastAsia="fr-FR"/>
        </w:rPr>
        <w:t>, ISTA TCOM-P-10-</w:t>
      </w:r>
      <w:r w:rsidRPr="000F04AF">
        <w:rPr>
          <w:rFonts w:cs="Arial"/>
          <w:i/>
          <w:iCs/>
          <w:lang w:eastAsia="fr-FR"/>
        </w:rPr>
        <w:t>Validation of seed health methods and organization and analysis of interlaboratory comparative tests (CT)</w:t>
      </w:r>
      <w:r>
        <w:rPr>
          <w:rFonts w:cs="Arial"/>
          <w:lang w:eastAsia="fr-FR"/>
        </w:rPr>
        <w:t xml:space="preserve">. </w:t>
      </w:r>
      <w:r w:rsidRPr="000F04AF">
        <w:rPr>
          <w:rFonts w:cs="Arial"/>
          <w:lang w:eastAsia="fr-FR"/>
        </w:rPr>
        <w:t xml:space="preserve"> The validation team </w:t>
      </w:r>
      <w:r>
        <w:rPr>
          <w:rFonts w:cs="Arial"/>
          <w:lang w:eastAsia="fr-FR"/>
        </w:rPr>
        <w:t xml:space="preserve">should </w:t>
      </w:r>
      <w:r w:rsidRPr="000F04AF">
        <w:rPr>
          <w:rFonts w:cs="Arial"/>
          <w:lang w:eastAsia="fr-FR"/>
        </w:rPr>
        <w:t>cite the guidelines followed in its report.</w:t>
      </w:r>
    </w:p>
    <w:p w14:paraId="0C87D487" w14:textId="77777777" w:rsidR="00224498" w:rsidRPr="000F04AF" w:rsidRDefault="00224498" w:rsidP="00224498">
      <w:pPr>
        <w:rPr>
          <w:lang w:eastAsia="fr-FR"/>
        </w:rPr>
      </w:pPr>
    </w:p>
    <w:p w14:paraId="51F0F8A9" w14:textId="77777777" w:rsidR="00224498" w:rsidRPr="000F04AF" w:rsidRDefault="00224498" w:rsidP="00224498">
      <w:pPr>
        <w:pStyle w:val="Heading3"/>
      </w:pPr>
      <w:bookmarkStart w:id="67" w:name="_Toc189576570"/>
      <w:bookmarkStart w:id="68" w:name="_Toc210139350"/>
      <w:bookmarkStart w:id="69" w:name="_Toc240537041"/>
      <w:bookmarkStart w:id="70" w:name="_Toc240538645"/>
      <w:r w:rsidRPr="000F04AF">
        <w:t>Robustness</w:t>
      </w:r>
      <w:bookmarkEnd w:id="67"/>
      <w:bookmarkEnd w:id="68"/>
      <w:bookmarkEnd w:id="69"/>
      <w:bookmarkEnd w:id="70"/>
    </w:p>
    <w:p w14:paraId="24805F63" w14:textId="77777777" w:rsidR="00224498" w:rsidRPr="000F04AF" w:rsidRDefault="00224498" w:rsidP="00224498">
      <w:pPr>
        <w:pStyle w:val="Heading4"/>
      </w:pPr>
      <w:bookmarkStart w:id="71" w:name="_Toc189576571"/>
      <w:bookmarkStart w:id="72" w:name="_Toc210139351"/>
      <w:r w:rsidRPr="000F04AF">
        <w:t>Definition</w:t>
      </w:r>
      <w:bookmarkEnd w:id="71"/>
      <w:r w:rsidRPr="000F04AF">
        <w:t xml:space="preserve"> (based on ISO 16 577:2016; reference to UPOV/INF/17)</w:t>
      </w:r>
      <w:bookmarkEnd w:id="72"/>
    </w:p>
    <w:p w14:paraId="6BD81355" w14:textId="77777777" w:rsidR="00224498" w:rsidRPr="000F04AF" w:rsidRDefault="00224498" w:rsidP="00224498">
      <w:pPr>
        <w:tabs>
          <w:tab w:val="left" w:pos="709"/>
        </w:tabs>
        <w:rPr>
          <w:lang w:eastAsia="fr-FR"/>
        </w:rPr>
      </w:pPr>
      <w:r w:rsidRPr="000F04AF">
        <w:rPr>
          <w:lang w:eastAsia="ja-JP"/>
        </w:rPr>
        <w:t>3.3.26</w:t>
      </w:r>
      <w:r>
        <w:rPr>
          <w:lang w:eastAsia="ja-JP"/>
        </w:rPr>
        <w:tab/>
      </w:r>
      <w:r w:rsidRPr="000F04AF">
        <w:rPr>
          <w:lang w:eastAsia="fr-FR"/>
        </w:rPr>
        <w:t>“Robustness</w:t>
      </w:r>
      <w:r>
        <w:rPr>
          <w:lang w:eastAsia="fr-FR"/>
        </w:rPr>
        <w:t xml:space="preserve"> is</w:t>
      </w:r>
      <w:r w:rsidRPr="000F04AF" w:rsidDel="0038405F">
        <w:rPr>
          <w:lang w:eastAsia="fr-FR"/>
        </w:rPr>
        <w:t xml:space="preserve"> </w:t>
      </w:r>
      <w:r w:rsidRPr="000F04AF">
        <w:rPr>
          <w:lang w:eastAsia="fr-FR"/>
        </w:rPr>
        <w:t xml:space="preserve">a measure of </w:t>
      </w:r>
      <w:r>
        <w:rPr>
          <w:lang w:eastAsia="fr-FR"/>
        </w:rPr>
        <w:t xml:space="preserve">the </w:t>
      </w:r>
      <w:r w:rsidRPr="000F04AF">
        <w:rPr>
          <w:lang w:eastAsia="fr-FR"/>
        </w:rPr>
        <w:t>capacity to remain unaffected by small, but deliberate deviations from the experimental conditions described in the procedure parameters and provides an indication of its reliability during normal usage</w:t>
      </w:r>
      <w:r w:rsidRPr="000F04AF">
        <w:rPr>
          <w:i/>
          <w:iCs/>
          <w:lang w:eastAsia="fr-FR"/>
        </w:rPr>
        <w:t>”</w:t>
      </w:r>
      <w:r w:rsidRPr="000F04AF" w:rsidDel="00D90DCE">
        <w:rPr>
          <w:lang w:eastAsia="fr-FR"/>
        </w:rPr>
        <w:t xml:space="preserve"> </w:t>
      </w:r>
      <w:r w:rsidRPr="000F04AF">
        <w:rPr>
          <w:lang w:eastAsia="fr-FR"/>
        </w:rPr>
        <w:t>(</w:t>
      </w:r>
      <w:r w:rsidRPr="000F04AF">
        <w:rPr>
          <w:i/>
          <w:iCs/>
          <w:lang w:eastAsia="fr-FR"/>
        </w:rPr>
        <w:t>e.g.</w:t>
      </w:r>
      <w:r w:rsidRPr="000F04AF">
        <w:rPr>
          <w:lang w:eastAsia="fr-FR"/>
        </w:rPr>
        <w:t xml:space="preserve"> change of DNA extraction method or change of real time machine).</w:t>
      </w:r>
    </w:p>
    <w:p w14:paraId="5B6A90D3" w14:textId="77777777" w:rsidR="00224498" w:rsidRPr="000F04AF" w:rsidRDefault="00224498" w:rsidP="00224498">
      <w:pPr>
        <w:rPr>
          <w:lang w:eastAsia="fr-FR"/>
        </w:rPr>
      </w:pPr>
    </w:p>
    <w:p w14:paraId="2242CCB1" w14:textId="77777777" w:rsidR="00224498" w:rsidRPr="000F04AF" w:rsidRDefault="00224498" w:rsidP="00224498">
      <w:pPr>
        <w:pStyle w:val="Heading4"/>
      </w:pPr>
      <w:bookmarkStart w:id="73" w:name="_Toc189576572"/>
      <w:bookmarkStart w:id="74" w:name="_Toc210139352"/>
      <w:r w:rsidRPr="000F04AF">
        <w:t>Requirement</w:t>
      </w:r>
      <w:bookmarkEnd w:id="73"/>
      <w:bookmarkEnd w:id="74"/>
    </w:p>
    <w:p w14:paraId="77B35433" w14:textId="77777777" w:rsidR="00224498" w:rsidRPr="000F04AF" w:rsidRDefault="00224498" w:rsidP="00224498">
      <w:pPr>
        <w:tabs>
          <w:tab w:val="left" w:pos="709"/>
        </w:tabs>
        <w:rPr>
          <w:lang w:eastAsia="fr-FR"/>
        </w:rPr>
      </w:pPr>
      <w:r w:rsidRPr="000F04AF">
        <w:rPr>
          <w:lang w:eastAsia="ja-JP"/>
        </w:rPr>
        <w:t>3.3.27</w:t>
      </w:r>
      <w:r>
        <w:rPr>
          <w:lang w:eastAsia="ja-JP"/>
        </w:rPr>
        <w:tab/>
      </w:r>
      <w:r w:rsidRPr="000F04AF">
        <w:rPr>
          <w:lang w:eastAsia="fr-FR"/>
        </w:rPr>
        <w:t>Ideally</w:t>
      </w:r>
      <w:r>
        <w:rPr>
          <w:lang w:eastAsia="fr-FR"/>
        </w:rPr>
        <w:t>,  robustness should be</w:t>
      </w:r>
      <w:r w:rsidRPr="000F04AF">
        <w:rPr>
          <w:lang w:eastAsia="fr-FR"/>
        </w:rPr>
        <w:t xml:space="preserve"> 100%</w:t>
      </w:r>
      <w:r>
        <w:rPr>
          <w:lang w:eastAsia="fr-FR"/>
        </w:rPr>
        <w:t>.</w:t>
      </w:r>
      <w:r w:rsidRPr="000F04AF">
        <w:rPr>
          <w:lang w:eastAsia="fr-FR"/>
        </w:rPr>
        <w:t xml:space="preserve"> </w:t>
      </w:r>
      <w:r>
        <w:rPr>
          <w:lang w:eastAsia="fr-FR"/>
        </w:rPr>
        <w:t xml:space="preserve"> L</w:t>
      </w:r>
      <w:r w:rsidRPr="000F04AF">
        <w:rPr>
          <w:lang w:eastAsia="fr-FR"/>
        </w:rPr>
        <w:t>ess tha</w:t>
      </w:r>
      <w:r>
        <w:rPr>
          <w:lang w:eastAsia="fr-FR"/>
        </w:rPr>
        <w:t>n</w:t>
      </w:r>
      <w:r w:rsidRPr="000F04AF">
        <w:rPr>
          <w:lang w:eastAsia="fr-FR"/>
        </w:rPr>
        <w:t xml:space="preserve"> </w:t>
      </w:r>
      <w:r>
        <w:rPr>
          <w:lang w:eastAsia="fr-FR"/>
        </w:rPr>
        <w:t xml:space="preserve">100% </w:t>
      </w:r>
      <w:r w:rsidRPr="000F04AF">
        <w:rPr>
          <w:lang w:eastAsia="fr-FR"/>
        </w:rPr>
        <w:t xml:space="preserve">means that the method is not robust to a change of one </w:t>
      </w:r>
      <w:proofErr w:type="gramStart"/>
      <w:r w:rsidRPr="000F04AF">
        <w:rPr>
          <w:lang w:eastAsia="fr-FR"/>
        </w:rPr>
        <w:t>parameter</w:t>
      </w:r>
      <w:proofErr w:type="gramEnd"/>
      <w:r w:rsidRPr="000F04AF">
        <w:rPr>
          <w:lang w:eastAsia="fr-FR"/>
        </w:rPr>
        <w:t xml:space="preserve"> and this should be indicated in the protocol as a mandatory step (</w:t>
      </w:r>
      <w:r w:rsidRPr="000F04AF">
        <w:rPr>
          <w:i/>
          <w:iCs/>
          <w:lang w:eastAsia="fr-FR"/>
        </w:rPr>
        <w:t>e.g.</w:t>
      </w:r>
      <w:r w:rsidRPr="000F04AF">
        <w:rPr>
          <w:lang w:eastAsia="fr-FR"/>
        </w:rPr>
        <w:t xml:space="preserve"> a change of a </w:t>
      </w:r>
      <w:proofErr w:type="spellStart"/>
      <w:r w:rsidRPr="000F04AF">
        <w:rPr>
          <w:lang w:eastAsia="fr-FR"/>
        </w:rPr>
        <w:t>mastermix</w:t>
      </w:r>
      <w:proofErr w:type="spellEnd"/>
      <w:r w:rsidRPr="000F04AF">
        <w:rPr>
          <w:lang w:eastAsia="fr-FR"/>
        </w:rPr>
        <w:t xml:space="preserve"> that would be critical).</w:t>
      </w:r>
    </w:p>
    <w:p w14:paraId="35B227AE" w14:textId="77777777" w:rsidR="00224498" w:rsidRPr="000F04AF" w:rsidRDefault="00224498" w:rsidP="00224498">
      <w:pPr>
        <w:rPr>
          <w:lang w:eastAsia="fr-FR"/>
        </w:rPr>
      </w:pPr>
    </w:p>
    <w:p w14:paraId="0EA9217F" w14:textId="77777777" w:rsidR="00224498" w:rsidRPr="000F04AF" w:rsidRDefault="00224498" w:rsidP="00224498">
      <w:pPr>
        <w:pStyle w:val="Heading4"/>
      </w:pPr>
      <w:bookmarkStart w:id="75" w:name="_Toc189576573"/>
      <w:bookmarkStart w:id="76" w:name="_Toc210139353"/>
      <w:r w:rsidRPr="000F04AF">
        <w:t>How to evaluate it?</w:t>
      </w:r>
      <w:bookmarkEnd w:id="75"/>
      <w:bookmarkEnd w:id="76"/>
    </w:p>
    <w:p w14:paraId="0976AC1A" w14:textId="77777777" w:rsidR="00224498" w:rsidRPr="000F04AF" w:rsidRDefault="00224498" w:rsidP="00224498">
      <w:pPr>
        <w:tabs>
          <w:tab w:val="left" w:pos="709"/>
        </w:tabs>
        <w:rPr>
          <w:lang w:eastAsia="fr-FR"/>
        </w:rPr>
      </w:pPr>
      <w:r w:rsidRPr="000F04AF">
        <w:rPr>
          <w:lang w:eastAsia="ja-JP"/>
        </w:rPr>
        <w:t>3.3.28</w:t>
      </w:r>
      <w:r>
        <w:rPr>
          <w:lang w:eastAsia="ja-JP"/>
        </w:rPr>
        <w:tab/>
        <w:t xml:space="preserve">Specific assessment of robustness </w:t>
      </w:r>
      <w:r w:rsidRPr="000F04AF">
        <w:rPr>
          <w:lang w:eastAsia="fr-FR"/>
        </w:rPr>
        <w:t>is optional</w:t>
      </w:r>
      <w:r>
        <w:rPr>
          <w:lang w:eastAsia="fr-FR"/>
        </w:rPr>
        <w:t>.</w:t>
      </w:r>
      <w:r w:rsidRPr="000F04AF">
        <w:rPr>
          <w:lang w:eastAsia="fr-FR"/>
        </w:rPr>
        <w:t xml:space="preserve"> </w:t>
      </w:r>
      <w:r>
        <w:rPr>
          <w:lang w:eastAsia="fr-FR"/>
        </w:rPr>
        <w:t xml:space="preserve"> R</w:t>
      </w:r>
      <w:r w:rsidRPr="000F04AF">
        <w:rPr>
          <w:lang w:eastAsia="fr-FR"/>
        </w:rPr>
        <w:t>obustness is evaluated partially during the ring test (reproducibility), (different laboratories, equipment, machinery, etc.).</w:t>
      </w:r>
    </w:p>
    <w:p w14:paraId="28B5264E" w14:textId="77777777" w:rsidR="00224498" w:rsidRPr="000F04AF" w:rsidRDefault="00224498" w:rsidP="00224498">
      <w:pPr>
        <w:rPr>
          <w:lang w:eastAsia="fr-FR"/>
        </w:rPr>
      </w:pPr>
    </w:p>
    <w:p w14:paraId="488B5567" w14:textId="77777777" w:rsidR="00224498" w:rsidRPr="000F04AF" w:rsidRDefault="00224498" w:rsidP="00224498">
      <w:pPr>
        <w:rPr>
          <w:lang w:eastAsia="fr-FR"/>
        </w:rPr>
      </w:pPr>
    </w:p>
    <w:p w14:paraId="24582CCE" w14:textId="77777777" w:rsidR="00224498" w:rsidRPr="000F04AF" w:rsidRDefault="00224498" w:rsidP="00224498">
      <w:pPr>
        <w:pStyle w:val="Heading2"/>
      </w:pPr>
      <w:bookmarkStart w:id="77" w:name="_Toc189576574"/>
      <w:bookmarkStart w:id="78" w:name="_Toc210139354"/>
      <w:bookmarkStart w:id="79" w:name="_Toc240537042"/>
      <w:bookmarkStart w:id="80" w:name="_Toc240538646"/>
      <w:r w:rsidRPr="000F04AF">
        <w:t>3.4</w:t>
      </w:r>
      <w:r w:rsidRPr="000F04AF">
        <w:tab/>
        <w:t>Validation report</w:t>
      </w:r>
      <w:bookmarkEnd w:id="77"/>
      <w:bookmarkEnd w:id="78"/>
      <w:bookmarkEnd w:id="79"/>
      <w:bookmarkEnd w:id="80"/>
    </w:p>
    <w:p w14:paraId="65BBB340" w14:textId="77777777" w:rsidR="00224498" w:rsidRPr="000F04AF" w:rsidRDefault="00224498" w:rsidP="00224498">
      <w:pPr>
        <w:rPr>
          <w:rFonts w:eastAsia="Arial"/>
        </w:rPr>
      </w:pPr>
      <w:r w:rsidRPr="000F04AF">
        <w:rPr>
          <w:szCs w:val="24"/>
          <w:lang w:eastAsia="ja-JP"/>
        </w:rPr>
        <w:t>3.4.1</w:t>
      </w:r>
      <w:r w:rsidRPr="000F04AF">
        <w:rPr>
          <w:szCs w:val="24"/>
          <w:lang w:eastAsia="fr-FR"/>
        </w:rPr>
        <w:tab/>
        <w:t xml:space="preserve">The validation report </w:t>
      </w:r>
      <w:r w:rsidRPr="000F04AF">
        <w:rPr>
          <w:rFonts w:eastAsia="Arial"/>
        </w:rPr>
        <w:t>and results should be peer-reviewed by two (preferably 3 if the reproducibility was done within one laboratory) of the responsible bodies. Reviewing is on voluntary basis but preferably perfor</w:t>
      </w:r>
      <w:r w:rsidRPr="000F04AF">
        <w:rPr>
          <w:lang w:eastAsia="ja-JP"/>
        </w:rPr>
        <w:t>med</w:t>
      </w:r>
      <w:r w:rsidRPr="000F04AF">
        <w:rPr>
          <w:rFonts w:eastAsia="Arial"/>
        </w:rPr>
        <w:t xml:space="preserve"> by a laboratory familiar with the species and the method.</w:t>
      </w:r>
    </w:p>
    <w:p w14:paraId="6CD884F9" w14:textId="77777777" w:rsidR="00224498" w:rsidRPr="000F04AF" w:rsidRDefault="00224498" w:rsidP="00224498">
      <w:pPr>
        <w:rPr>
          <w:rFonts w:eastAsia="Arial"/>
        </w:rPr>
      </w:pPr>
    </w:p>
    <w:p w14:paraId="497245C8" w14:textId="77777777" w:rsidR="00224498" w:rsidRPr="000F04AF" w:rsidRDefault="00224498" w:rsidP="00224498">
      <w:pPr>
        <w:rPr>
          <w:rFonts w:eastAsia="Arial"/>
        </w:rPr>
      </w:pPr>
      <w:r w:rsidRPr="000F04AF">
        <w:rPr>
          <w:szCs w:val="24"/>
          <w:lang w:eastAsia="ja-JP"/>
        </w:rPr>
        <w:t>3.4.2</w:t>
      </w:r>
      <w:r w:rsidRPr="000F04AF">
        <w:rPr>
          <w:rFonts w:eastAsia="Arial"/>
        </w:rPr>
        <w:tab/>
        <w:t>During the reviewing process, the reviewers can require extra validation data in concertation with the validation team.</w:t>
      </w:r>
    </w:p>
    <w:p w14:paraId="3FEBF747" w14:textId="77777777" w:rsidR="00224498" w:rsidRPr="007667FB" w:rsidRDefault="00224498" w:rsidP="00224498">
      <w:pPr>
        <w:rPr>
          <w:szCs w:val="24"/>
          <w:lang w:eastAsia="fr-FR"/>
        </w:rPr>
      </w:pPr>
    </w:p>
    <w:p w14:paraId="5A7A2EAA" w14:textId="77777777" w:rsidR="00224498" w:rsidRPr="000F04AF" w:rsidRDefault="00224498" w:rsidP="00224498">
      <w:pPr>
        <w:pStyle w:val="Heading3"/>
      </w:pPr>
      <w:bookmarkStart w:id="81" w:name="_Toc210139355"/>
      <w:bookmarkStart w:id="82" w:name="_Toc240537043"/>
      <w:bookmarkStart w:id="83" w:name="_Toc240538647"/>
      <w:r w:rsidRPr="000F04AF">
        <w:t>Content of the validation report</w:t>
      </w:r>
      <w:bookmarkEnd w:id="81"/>
      <w:bookmarkEnd w:id="82"/>
      <w:bookmarkEnd w:id="83"/>
    </w:p>
    <w:p w14:paraId="1C5D21BA" w14:textId="77777777" w:rsidR="00224498" w:rsidRPr="000F04AF" w:rsidRDefault="00224498" w:rsidP="00224498">
      <w:pPr>
        <w:keepNext/>
        <w:numPr>
          <w:ilvl w:val="0"/>
          <w:numId w:val="24"/>
        </w:numPr>
        <w:spacing w:after="200" w:line="276" w:lineRule="auto"/>
        <w:contextualSpacing/>
        <w:rPr>
          <w:rFonts w:eastAsia="Calibri" w:cs="Arial"/>
        </w:rPr>
      </w:pPr>
      <w:r w:rsidRPr="000F04AF">
        <w:rPr>
          <w:rFonts w:eastAsia="Calibri" w:cs="Arial"/>
        </w:rPr>
        <w:t>Raw data generated during the different steps of the validation process</w:t>
      </w:r>
    </w:p>
    <w:p w14:paraId="3BE39A9D" w14:textId="77777777" w:rsidR="00224498" w:rsidRPr="000F04AF" w:rsidRDefault="00224498" w:rsidP="00224498">
      <w:pPr>
        <w:keepNext/>
        <w:numPr>
          <w:ilvl w:val="0"/>
          <w:numId w:val="24"/>
        </w:numPr>
        <w:spacing w:after="200" w:line="276" w:lineRule="auto"/>
        <w:contextualSpacing/>
        <w:rPr>
          <w:rFonts w:eastAsia="Calibri" w:cs="Arial"/>
        </w:rPr>
      </w:pPr>
      <w:r w:rsidRPr="000F04AF">
        <w:rPr>
          <w:rFonts w:eastAsia="Calibri" w:cs="Arial"/>
        </w:rPr>
        <w:t>Detail protocol with standard and optional steps defined</w:t>
      </w:r>
    </w:p>
    <w:p w14:paraId="25AF3BCC" w14:textId="77777777" w:rsidR="00224498" w:rsidRPr="000F04AF" w:rsidRDefault="00224498" w:rsidP="00224498">
      <w:pPr>
        <w:keepNext/>
        <w:numPr>
          <w:ilvl w:val="0"/>
          <w:numId w:val="24"/>
        </w:numPr>
        <w:spacing w:after="200" w:line="276" w:lineRule="auto"/>
        <w:contextualSpacing/>
        <w:rPr>
          <w:rFonts w:eastAsia="Calibri" w:cs="Arial"/>
        </w:rPr>
      </w:pPr>
      <w:r w:rsidRPr="000F04AF">
        <w:rPr>
          <w:rFonts w:eastAsia="Calibri" w:cs="Arial"/>
        </w:rPr>
        <w:t>Performance criteria assessment</w:t>
      </w:r>
    </w:p>
    <w:p w14:paraId="4E95D4E1" w14:textId="77777777" w:rsidR="00224498" w:rsidRPr="000F04AF" w:rsidRDefault="00224498" w:rsidP="00224498">
      <w:pPr>
        <w:numPr>
          <w:ilvl w:val="0"/>
          <w:numId w:val="24"/>
        </w:numPr>
        <w:spacing w:after="200" w:line="276" w:lineRule="auto"/>
        <w:contextualSpacing/>
        <w:rPr>
          <w:rFonts w:eastAsia="Calibri" w:cs="Arial"/>
        </w:rPr>
      </w:pPr>
      <w:r w:rsidRPr="000F04AF">
        <w:rPr>
          <w:rFonts w:eastAsia="Calibri" w:cs="Arial"/>
        </w:rPr>
        <w:t>Conclusion</w:t>
      </w:r>
    </w:p>
    <w:p w14:paraId="6514986C" w14:textId="77777777" w:rsidR="00224498" w:rsidRPr="000F04AF" w:rsidRDefault="00224498" w:rsidP="00224498">
      <w:pPr>
        <w:rPr>
          <w:rFonts w:eastAsia="Calibri"/>
        </w:rPr>
      </w:pPr>
    </w:p>
    <w:p w14:paraId="62285B85" w14:textId="77777777" w:rsidR="00224498" w:rsidRPr="000F04AF" w:rsidRDefault="00224498" w:rsidP="00224498">
      <w:pPr>
        <w:pStyle w:val="Heading3"/>
      </w:pPr>
      <w:bookmarkStart w:id="84" w:name="_Toc210139356"/>
      <w:bookmarkStart w:id="85" w:name="_Toc240537044"/>
      <w:bookmarkStart w:id="86" w:name="_Toc240538648"/>
      <w:r w:rsidRPr="000F04AF">
        <w:t>Publicity</w:t>
      </w:r>
      <w:bookmarkEnd w:id="84"/>
      <w:bookmarkEnd w:id="85"/>
      <w:bookmarkEnd w:id="86"/>
    </w:p>
    <w:p w14:paraId="414BF9EC" w14:textId="77777777" w:rsidR="00224498" w:rsidRPr="000F04AF" w:rsidRDefault="00224498" w:rsidP="00224498">
      <w:pPr>
        <w:rPr>
          <w:lang w:eastAsia="fr-FR"/>
        </w:rPr>
      </w:pPr>
      <w:r w:rsidRPr="000F04AF">
        <w:rPr>
          <w:szCs w:val="24"/>
          <w:lang w:eastAsia="ja-JP"/>
        </w:rPr>
        <w:t>3.4.3</w:t>
      </w:r>
      <w:r w:rsidRPr="000F04AF">
        <w:rPr>
          <w:lang w:eastAsia="fr-FR"/>
        </w:rPr>
        <w:tab/>
        <w:t xml:space="preserve">The validation report should be available upon request. In the new protocol the validation process should be mentioned with the contact examination office. </w:t>
      </w:r>
    </w:p>
    <w:p w14:paraId="1ABFAF33" w14:textId="77777777" w:rsidR="00224498" w:rsidRPr="000F04AF" w:rsidRDefault="00224498" w:rsidP="00224498">
      <w:pPr>
        <w:rPr>
          <w:lang w:eastAsia="fr-FR"/>
        </w:rPr>
      </w:pPr>
    </w:p>
    <w:p w14:paraId="46B0F08C" w14:textId="77777777" w:rsidR="00224498" w:rsidRPr="000F04AF" w:rsidRDefault="00224498" w:rsidP="00224498">
      <w:pPr>
        <w:rPr>
          <w:lang w:eastAsia="fr-FR"/>
        </w:rPr>
      </w:pPr>
    </w:p>
    <w:p w14:paraId="0D090D78" w14:textId="77777777" w:rsidR="00224498" w:rsidRPr="000F04AF" w:rsidRDefault="00224498" w:rsidP="00224498">
      <w:pPr>
        <w:pStyle w:val="Heading2"/>
      </w:pPr>
      <w:bookmarkStart w:id="87" w:name="_Toc210139357"/>
      <w:bookmarkStart w:id="88" w:name="_Toc240537045"/>
      <w:bookmarkStart w:id="89" w:name="_Toc189576575"/>
      <w:bookmarkStart w:id="90" w:name="_Toc240538649"/>
      <w:r w:rsidRPr="000F04AF">
        <w:lastRenderedPageBreak/>
        <w:t>3.5</w:t>
      </w:r>
      <w:r w:rsidRPr="000F04AF">
        <w:tab/>
        <w:t>Standard Protocol for characteristic-specific molecular marker</w:t>
      </w:r>
      <w:bookmarkEnd w:id="87"/>
      <w:bookmarkEnd w:id="88"/>
      <w:bookmarkEnd w:id="90"/>
      <w:r w:rsidRPr="000F04AF">
        <w:t xml:space="preserve"> </w:t>
      </w:r>
      <w:bookmarkEnd w:id="89"/>
    </w:p>
    <w:p w14:paraId="2F566992" w14:textId="77777777" w:rsidR="00224498" w:rsidRPr="000F04AF" w:rsidRDefault="00224498" w:rsidP="00224498">
      <w:pPr>
        <w:rPr>
          <w:lang w:eastAsia="fr-FR"/>
        </w:rPr>
      </w:pPr>
      <w:r w:rsidRPr="000F04AF">
        <w:rPr>
          <w:szCs w:val="24"/>
          <w:lang w:eastAsia="ja-JP"/>
        </w:rPr>
        <w:t>3.5.1</w:t>
      </w:r>
      <w:r w:rsidRPr="000F04AF">
        <w:rPr>
          <w:lang w:eastAsia="fr-FR"/>
        </w:rPr>
        <w:tab/>
        <w:t xml:space="preserve">Standard elements are indicated in the column “essential information”, the other elements may be used depending on the characteristic </w:t>
      </w:r>
      <w:r>
        <w:rPr>
          <w:lang w:eastAsia="fr-FR"/>
        </w:rPr>
        <w:t xml:space="preserve">related to the </w:t>
      </w:r>
      <w:r w:rsidRPr="000F04AF">
        <w:rPr>
          <w:lang w:eastAsia="fr-FR"/>
        </w:rPr>
        <w:t xml:space="preserve">test protocol. If a laboratory wants to modify a standard </w:t>
      </w:r>
      <w:proofErr w:type="gramStart"/>
      <w:r w:rsidRPr="000F04AF">
        <w:rPr>
          <w:lang w:eastAsia="fr-FR"/>
        </w:rPr>
        <w:t>chapter</w:t>
      </w:r>
      <w:proofErr w:type="gramEnd"/>
      <w:r w:rsidRPr="000F04AF">
        <w:rPr>
          <w:lang w:eastAsia="fr-FR"/>
        </w:rPr>
        <w:t xml:space="preserve"> it should validate its method in comparison to the reference method.</w:t>
      </w:r>
    </w:p>
    <w:p w14:paraId="211CC9A0" w14:textId="77777777" w:rsidR="00224498" w:rsidRPr="000F04AF" w:rsidRDefault="00224498" w:rsidP="00224498">
      <w:pPr>
        <w:rPr>
          <w:lang w:eastAsia="fr-FR"/>
        </w:rPr>
      </w:pPr>
    </w:p>
    <w:p w14:paraId="686FD2D1" w14:textId="77777777" w:rsidR="00224498" w:rsidRPr="000F04AF" w:rsidRDefault="00224498" w:rsidP="00224498">
      <w:pPr>
        <w:keepNext/>
        <w:rPr>
          <w:u w:val="single"/>
          <w:lang w:eastAsia="fr-FR"/>
        </w:rPr>
      </w:pPr>
      <w:r w:rsidRPr="000F04AF">
        <w:rPr>
          <w:rFonts w:eastAsia="Calibri" w:cs="Arial"/>
          <w:u w:val="single"/>
        </w:rPr>
        <w:t>Table 1</w:t>
      </w:r>
      <w:r w:rsidRPr="000F04AF">
        <w:rPr>
          <w:u w:val="single"/>
          <w:lang w:eastAsia="fr-FR"/>
        </w:rPr>
        <w:t xml:space="preserve">: </w:t>
      </w:r>
      <w:bookmarkStart w:id="91" w:name="_Hlk219710831"/>
      <w:bookmarkStart w:id="92" w:name="_Hlk219712976"/>
      <w:r w:rsidRPr="000F04AF">
        <w:rPr>
          <w:u w:val="single"/>
          <w:lang w:eastAsia="fr-FR"/>
        </w:rPr>
        <w:t xml:space="preserve">Standard protocol for characteristic-specific molecular marker </w:t>
      </w:r>
      <w:bookmarkEnd w:id="91"/>
      <w:r w:rsidRPr="000F04AF">
        <w:rPr>
          <w:u w:val="single"/>
          <w:lang w:eastAsia="fr-FR"/>
        </w:rPr>
        <w:t xml:space="preserve">as alternative method for observation </w:t>
      </w:r>
      <w:bookmarkEnd w:id="92"/>
    </w:p>
    <w:p w14:paraId="24F79802" w14:textId="77777777" w:rsidR="00224498" w:rsidRPr="000F04AF" w:rsidRDefault="00224498" w:rsidP="00224498">
      <w:pPr>
        <w:keepNext/>
        <w:rPr>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28" w:type="dxa"/>
          <w:bottom w:w="113" w:type="dxa"/>
          <w:right w:w="28" w:type="dxa"/>
        </w:tblCellMar>
        <w:tblLook w:val="04A0" w:firstRow="1" w:lastRow="0" w:firstColumn="1" w:lastColumn="0" w:noHBand="0" w:noVBand="1"/>
      </w:tblPr>
      <w:tblGrid>
        <w:gridCol w:w="699"/>
        <w:gridCol w:w="1849"/>
        <w:gridCol w:w="1134"/>
        <w:gridCol w:w="5947"/>
      </w:tblGrid>
      <w:tr w:rsidR="00224498" w:rsidRPr="000F04AF" w14:paraId="5EB55BB3" w14:textId="77777777" w:rsidTr="00803922">
        <w:trPr>
          <w:cantSplit/>
          <w:tblHeader/>
        </w:trPr>
        <w:tc>
          <w:tcPr>
            <w:tcW w:w="363" w:type="pct"/>
            <w:shd w:val="clear" w:color="auto" w:fill="F2F2F2" w:themeFill="background1" w:themeFillShade="F2"/>
            <w:vAlign w:val="center"/>
            <w:hideMark/>
          </w:tcPr>
          <w:p w14:paraId="498F56C6"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Chapter</w:t>
            </w:r>
          </w:p>
        </w:tc>
        <w:tc>
          <w:tcPr>
            <w:tcW w:w="960" w:type="pct"/>
            <w:shd w:val="clear" w:color="auto" w:fill="F2F2F2" w:themeFill="background1" w:themeFillShade="F2"/>
            <w:vAlign w:val="center"/>
            <w:hideMark/>
          </w:tcPr>
          <w:p w14:paraId="1B00BFCD"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Elements in a Standard characteristic-specific molecular marker protocol</w:t>
            </w:r>
          </w:p>
        </w:tc>
        <w:tc>
          <w:tcPr>
            <w:tcW w:w="589" w:type="pct"/>
            <w:shd w:val="clear" w:color="auto" w:fill="F2F2F2" w:themeFill="background1" w:themeFillShade="F2"/>
            <w:vAlign w:val="center"/>
          </w:tcPr>
          <w:p w14:paraId="06CAD519"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 xml:space="preserve">Essential information for </w:t>
            </w:r>
            <w:proofErr w:type="spellStart"/>
            <w:r w:rsidRPr="000F04AF">
              <w:rPr>
                <w:rFonts w:cs="Arial"/>
                <w:color w:val="000000"/>
                <w:sz w:val="18"/>
                <w:szCs w:val="18"/>
                <w:lang w:eastAsia="nl-NL"/>
              </w:rPr>
              <w:t>harmoni-zation</w:t>
            </w:r>
            <w:proofErr w:type="spellEnd"/>
          </w:p>
        </w:tc>
        <w:tc>
          <w:tcPr>
            <w:tcW w:w="3088" w:type="pct"/>
            <w:shd w:val="clear" w:color="auto" w:fill="F2F2F2" w:themeFill="background1" w:themeFillShade="F2"/>
            <w:vAlign w:val="center"/>
          </w:tcPr>
          <w:p w14:paraId="2E5DC759"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Remark</w:t>
            </w:r>
          </w:p>
        </w:tc>
      </w:tr>
      <w:tr w:rsidR="00224498" w:rsidRPr="000F04AF" w14:paraId="5C3BF1EC" w14:textId="77777777" w:rsidTr="00803922">
        <w:trPr>
          <w:cantSplit/>
        </w:trPr>
        <w:tc>
          <w:tcPr>
            <w:tcW w:w="363" w:type="pct"/>
            <w:vAlign w:val="center"/>
            <w:hideMark/>
          </w:tcPr>
          <w:p w14:paraId="6E8BCEF8"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1</w:t>
            </w:r>
          </w:p>
        </w:tc>
        <w:tc>
          <w:tcPr>
            <w:tcW w:w="960" w:type="pct"/>
            <w:vAlign w:val="center"/>
            <w:hideMark/>
          </w:tcPr>
          <w:p w14:paraId="04900459"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Characteristic</w:t>
            </w:r>
          </w:p>
        </w:tc>
        <w:tc>
          <w:tcPr>
            <w:tcW w:w="589" w:type="pct"/>
            <w:vAlign w:val="center"/>
          </w:tcPr>
          <w:p w14:paraId="24036E60"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32AE1A83"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Name of the characteristic.</w:t>
            </w:r>
          </w:p>
        </w:tc>
      </w:tr>
      <w:tr w:rsidR="00224498" w:rsidRPr="000F04AF" w14:paraId="0D61B287" w14:textId="77777777" w:rsidTr="00803922">
        <w:trPr>
          <w:cantSplit/>
        </w:trPr>
        <w:tc>
          <w:tcPr>
            <w:tcW w:w="363" w:type="pct"/>
            <w:vAlign w:val="center"/>
            <w:hideMark/>
          </w:tcPr>
          <w:p w14:paraId="02BCDEE1"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2</w:t>
            </w:r>
          </w:p>
        </w:tc>
        <w:tc>
          <w:tcPr>
            <w:tcW w:w="960" w:type="pct"/>
            <w:vAlign w:val="center"/>
            <w:hideMark/>
          </w:tcPr>
          <w:p w14:paraId="22BEFFAF"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Genes and alleles</w:t>
            </w:r>
          </w:p>
        </w:tc>
        <w:tc>
          <w:tcPr>
            <w:tcW w:w="589" w:type="pct"/>
            <w:vAlign w:val="center"/>
          </w:tcPr>
          <w:p w14:paraId="14639AEB"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4C3AF8A5" w14:textId="77777777" w:rsidR="00224498" w:rsidRPr="000F04AF" w:rsidRDefault="00224498" w:rsidP="00803922">
            <w:pPr>
              <w:jc w:val="left"/>
              <w:rPr>
                <w:rFonts w:cs="Arial"/>
                <w:i/>
                <w:iCs/>
                <w:color w:val="000000"/>
                <w:sz w:val="18"/>
                <w:szCs w:val="18"/>
                <w:lang w:eastAsia="fr-FR"/>
              </w:rPr>
            </w:pPr>
            <w:r w:rsidRPr="000F04AF">
              <w:rPr>
                <w:rFonts w:cs="Arial"/>
                <w:color w:val="000000"/>
                <w:sz w:val="18"/>
                <w:szCs w:val="18"/>
                <w:lang w:eastAsia="nl-NL"/>
              </w:rPr>
              <w:t>Need to avoid dominant marker or presence/absence marker otherwise the robustness should be assessed.</w:t>
            </w:r>
          </w:p>
        </w:tc>
      </w:tr>
      <w:tr w:rsidR="00224498" w:rsidRPr="000F04AF" w14:paraId="4F7ACF64" w14:textId="77777777" w:rsidTr="00803922">
        <w:trPr>
          <w:cantSplit/>
        </w:trPr>
        <w:tc>
          <w:tcPr>
            <w:tcW w:w="363" w:type="pct"/>
            <w:vAlign w:val="center"/>
            <w:hideMark/>
          </w:tcPr>
          <w:p w14:paraId="780A9DB0"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2.1</w:t>
            </w:r>
          </w:p>
        </w:tc>
        <w:tc>
          <w:tcPr>
            <w:tcW w:w="960" w:type="pct"/>
            <w:vAlign w:val="center"/>
            <w:hideMark/>
          </w:tcPr>
          <w:p w14:paraId="4A504F11"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Targeted gene(s)</w:t>
            </w:r>
          </w:p>
        </w:tc>
        <w:tc>
          <w:tcPr>
            <w:tcW w:w="589" w:type="pct"/>
            <w:vAlign w:val="center"/>
          </w:tcPr>
          <w:p w14:paraId="05F608D6"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4ABD9C0F"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a) file(s) containing the DNA sequence information (order of nucleotides).</w:t>
            </w:r>
          </w:p>
          <w:p w14:paraId="6718CCA1" w14:textId="77777777" w:rsidR="00224498" w:rsidRPr="000F04AF" w:rsidRDefault="00224498" w:rsidP="00803922">
            <w:pPr>
              <w:jc w:val="left"/>
              <w:rPr>
                <w:rFonts w:cs="Arial"/>
                <w:color w:val="000000"/>
                <w:sz w:val="18"/>
                <w:szCs w:val="18"/>
                <w:lang w:eastAsia="nl-NL"/>
              </w:rPr>
            </w:pPr>
          </w:p>
          <w:p w14:paraId="3D6F2CE2"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b) reference to DNA information in public databases (like gene bank).</w:t>
            </w:r>
          </w:p>
          <w:p w14:paraId="6D199F42" w14:textId="77777777" w:rsidR="00224498" w:rsidRPr="000F04AF" w:rsidRDefault="00224498" w:rsidP="00803922">
            <w:pPr>
              <w:jc w:val="left"/>
              <w:rPr>
                <w:rFonts w:cs="Arial"/>
                <w:color w:val="000000"/>
                <w:sz w:val="18"/>
                <w:szCs w:val="18"/>
                <w:lang w:eastAsia="fr-FR"/>
              </w:rPr>
            </w:pPr>
          </w:p>
          <w:p w14:paraId="0AFF99EC"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c) reference to publications in which the DNA sequence information of the states of expression of the characteristic is revealed.</w:t>
            </w:r>
          </w:p>
          <w:p w14:paraId="0AC0986D" w14:textId="77777777" w:rsidR="00224498" w:rsidRPr="000F04AF" w:rsidRDefault="00224498" w:rsidP="00803922">
            <w:pPr>
              <w:jc w:val="left"/>
              <w:rPr>
                <w:rFonts w:cs="Arial"/>
                <w:i/>
                <w:iCs/>
                <w:color w:val="000000"/>
                <w:sz w:val="18"/>
                <w:szCs w:val="18"/>
                <w:lang w:eastAsia="nl-NL"/>
              </w:rPr>
            </w:pPr>
          </w:p>
          <w:p w14:paraId="19A44F16"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d) reference to a particular position on the published reference genome version.</w:t>
            </w:r>
          </w:p>
        </w:tc>
      </w:tr>
      <w:tr w:rsidR="00224498" w:rsidRPr="000F04AF" w14:paraId="54E7E350" w14:textId="77777777" w:rsidTr="00803922">
        <w:trPr>
          <w:cantSplit/>
        </w:trPr>
        <w:tc>
          <w:tcPr>
            <w:tcW w:w="363" w:type="pct"/>
            <w:vAlign w:val="center"/>
            <w:hideMark/>
          </w:tcPr>
          <w:p w14:paraId="35730559"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2.2</w:t>
            </w:r>
          </w:p>
        </w:tc>
        <w:tc>
          <w:tcPr>
            <w:tcW w:w="960" w:type="pct"/>
            <w:vAlign w:val="center"/>
            <w:hideMark/>
          </w:tcPr>
          <w:p w14:paraId="18A0EEE4"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 xml:space="preserve">Allele corresponding to expression state 1 </w:t>
            </w:r>
          </w:p>
        </w:tc>
        <w:tc>
          <w:tcPr>
            <w:tcW w:w="589" w:type="pct"/>
            <w:vAlign w:val="center"/>
          </w:tcPr>
          <w:p w14:paraId="70F96636"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2AD3071A"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 xml:space="preserve">a) file(s) containing the DNA sequence information (order of nucleotides). </w:t>
            </w:r>
          </w:p>
          <w:p w14:paraId="7CC4300E" w14:textId="77777777" w:rsidR="00224498" w:rsidRPr="000F04AF" w:rsidRDefault="00224498" w:rsidP="00803922">
            <w:pPr>
              <w:jc w:val="left"/>
              <w:rPr>
                <w:rFonts w:cs="Arial"/>
                <w:i/>
                <w:color w:val="000000"/>
                <w:sz w:val="18"/>
                <w:szCs w:val="18"/>
                <w:lang w:eastAsia="nl-NL"/>
              </w:rPr>
            </w:pPr>
          </w:p>
          <w:p w14:paraId="0D749175"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b) reference to DNA information in public databases (like gene bank).</w:t>
            </w:r>
          </w:p>
          <w:p w14:paraId="4BFCFF75" w14:textId="77777777" w:rsidR="00224498" w:rsidRPr="000F04AF" w:rsidRDefault="00224498" w:rsidP="00803922">
            <w:pPr>
              <w:jc w:val="left"/>
              <w:rPr>
                <w:rFonts w:cs="Arial"/>
                <w:color w:val="000000"/>
                <w:sz w:val="18"/>
                <w:szCs w:val="18"/>
                <w:lang w:eastAsia="fr-FR"/>
              </w:rPr>
            </w:pPr>
          </w:p>
          <w:p w14:paraId="43E1100F"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c) reference to publications in which the DNA sequence information of the states of expression of the characteristic is revealed.</w:t>
            </w:r>
          </w:p>
          <w:p w14:paraId="2C31E026" w14:textId="77777777" w:rsidR="00224498" w:rsidRPr="000F04AF" w:rsidRDefault="00224498" w:rsidP="00803922">
            <w:pPr>
              <w:jc w:val="left"/>
              <w:rPr>
                <w:rFonts w:cs="Arial"/>
                <w:color w:val="000000"/>
                <w:sz w:val="18"/>
                <w:szCs w:val="18"/>
                <w:lang w:eastAsia="nl-NL"/>
              </w:rPr>
            </w:pPr>
          </w:p>
          <w:p w14:paraId="1070DD56" w14:textId="77777777" w:rsidR="00224498" w:rsidRPr="000F04AF" w:rsidRDefault="00224498" w:rsidP="00803922">
            <w:pPr>
              <w:jc w:val="left"/>
              <w:rPr>
                <w:rFonts w:cs="Arial"/>
                <w:i/>
                <w:color w:val="000000"/>
                <w:sz w:val="18"/>
                <w:szCs w:val="18"/>
                <w:lang w:eastAsia="nl-NL"/>
              </w:rPr>
            </w:pPr>
            <w:r w:rsidRPr="000F04AF">
              <w:rPr>
                <w:rFonts w:cs="Arial"/>
                <w:color w:val="000000"/>
                <w:sz w:val="18"/>
                <w:szCs w:val="18"/>
                <w:lang w:eastAsia="nl-NL"/>
              </w:rPr>
              <w:t>d) reference to a particular position on the published reference genome version in combination with the SNP or INDEL that is responsible for the state of expression.</w:t>
            </w:r>
          </w:p>
        </w:tc>
      </w:tr>
      <w:tr w:rsidR="00224498" w:rsidRPr="000F04AF" w14:paraId="4418902C" w14:textId="77777777" w:rsidTr="00803922">
        <w:trPr>
          <w:cantSplit/>
        </w:trPr>
        <w:tc>
          <w:tcPr>
            <w:tcW w:w="363" w:type="pct"/>
            <w:vAlign w:val="center"/>
            <w:hideMark/>
          </w:tcPr>
          <w:p w14:paraId="5F08614E" w14:textId="77777777" w:rsidR="00224498" w:rsidRPr="000F04AF" w:rsidRDefault="00224498" w:rsidP="00803922">
            <w:pPr>
              <w:keepNext/>
              <w:jc w:val="left"/>
              <w:rPr>
                <w:rFonts w:cs="Arial"/>
                <w:color w:val="000000"/>
                <w:sz w:val="18"/>
                <w:szCs w:val="18"/>
                <w:lang w:eastAsia="fr-FR"/>
              </w:rPr>
            </w:pPr>
            <w:r w:rsidRPr="000F04AF">
              <w:rPr>
                <w:rFonts w:cs="Arial"/>
                <w:color w:val="000000"/>
                <w:sz w:val="18"/>
                <w:szCs w:val="18"/>
                <w:lang w:eastAsia="nl-NL"/>
              </w:rPr>
              <w:t>2.3</w:t>
            </w:r>
          </w:p>
        </w:tc>
        <w:tc>
          <w:tcPr>
            <w:tcW w:w="960" w:type="pct"/>
            <w:vAlign w:val="center"/>
            <w:hideMark/>
          </w:tcPr>
          <w:p w14:paraId="5F89E718" w14:textId="77777777" w:rsidR="00224498" w:rsidRPr="000F04AF" w:rsidRDefault="00224498" w:rsidP="00803922">
            <w:pPr>
              <w:keepNext/>
              <w:jc w:val="left"/>
              <w:rPr>
                <w:rFonts w:cs="Arial"/>
                <w:color w:val="000000"/>
                <w:sz w:val="18"/>
                <w:szCs w:val="18"/>
                <w:lang w:eastAsia="fr-FR"/>
              </w:rPr>
            </w:pPr>
            <w:r w:rsidRPr="000F04AF">
              <w:rPr>
                <w:rFonts w:cs="Arial"/>
                <w:color w:val="000000"/>
                <w:sz w:val="18"/>
                <w:szCs w:val="18"/>
                <w:lang w:eastAsia="nl-NL"/>
              </w:rPr>
              <w:t xml:space="preserve">Allele corresponding to expression state n </w:t>
            </w:r>
          </w:p>
        </w:tc>
        <w:tc>
          <w:tcPr>
            <w:tcW w:w="589" w:type="pct"/>
            <w:vAlign w:val="center"/>
          </w:tcPr>
          <w:p w14:paraId="487363ED" w14:textId="77777777" w:rsidR="00224498" w:rsidRPr="000F04AF" w:rsidRDefault="00224498" w:rsidP="00803922">
            <w:pPr>
              <w:keepNext/>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0DCD5DA2" w14:textId="77777777" w:rsidR="00224498" w:rsidRPr="000F04AF" w:rsidRDefault="00224498" w:rsidP="00803922">
            <w:pPr>
              <w:keepNext/>
              <w:jc w:val="left"/>
              <w:rPr>
                <w:rFonts w:cs="Arial"/>
                <w:color w:val="000000"/>
                <w:sz w:val="18"/>
                <w:szCs w:val="18"/>
                <w:lang w:eastAsia="nl-NL"/>
              </w:rPr>
            </w:pPr>
            <w:r w:rsidRPr="000F04AF">
              <w:rPr>
                <w:rFonts w:cs="Arial"/>
                <w:color w:val="000000"/>
                <w:sz w:val="18"/>
                <w:szCs w:val="18"/>
                <w:lang w:eastAsia="nl-NL"/>
              </w:rPr>
              <w:t>a) file(s) containing the DNA sequence information (order of nucleotides).</w:t>
            </w:r>
          </w:p>
          <w:p w14:paraId="1A8DBDDC" w14:textId="77777777" w:rsidR="00224498" w:rsidRPr="000F04AF" w:rsidRDefault="00224498" w:rsidP="00803922">
            <w:pPr>
              <w:keepNext/>
              <w:jc w:val="left"/>
              <w:rPr>
                <w:rFonts w:cs="Arial"/>
                <w:i/>
                <w:color w:val="000000"/>
                <w:sz w:val="18"/>
                <w:szCs w:val="18"/>
                <w:lang w:eastAsia="nl-NL"/>
              </w:rPr>
            </w:pPr>
          </w:p>
          <w:p w14:paraId="4AB968A1" w14:textId="77777777" w:rsidR="00224498" w:rsidRPr="000F04AF" w:rsidRDefault="00224498" w:rsidP="00803922">
            <w:pPr>
              <w:keepNext/>
              <w:jc w:val="left"/>
              <w:rPr>
                <w:rFonts w:cs="Arial"/>
                <w:color w:val="000000"/>
                <w:sz w:val="18"/>
                <w:szCs w:val="18"/>
                <w:lang w:eastAsia="nl-NL"/>
              </w:rPr>
            </w:pPr>
            <w:r w:rsidRPr="000F04AF">
              <w:rPr>
                <w:rFonts w:cs="Arial"/>
                <w:color w:val="000000"/>
                <w:sz w:val="18"/>
                <w:szCs w:val="18"/>
                <w:lang w:eastAsia="nl-NL"/>
              </w:rPr>
              <w:t>b) reference to DNA information in public databases (like gene bank).</w:t>
            </w:r>
          </w:p>
          <w:p w14:paraId="45EFBBCF" w14:textId="77777777" w:rsidR="00224498" w:rsidRPr="000F04AF" w:rsidRDefault="00224498" w:rsidP="00803922">
            <w:pPr>
              <w:keepNext/>
              <w:jc w:val="left"/>
              <w:rPr>
                <w:rFonts w:cs="Arial"/>
                <w:color w:val="000000"/>
                <w:sz w:val="18"/>
                <w:szCs w:val="18"/>
                <w:lang w:eastAsia="fr-FR"/>
              </w:rPr>
            </w:pPr>
          </w:p>
          <w:p w14:paraId="1904CD71" w14:textId="77777777" w:rsidR="00224498" w:rsidRPr="000F04AF" w:rsidRDefault="00224498" w:rsidP="00803922">
            <w:pPr>
              <w:keepNext/>
              <w:jc w:val="left"/>
              <w:rPr>
                <w:rFonts w:cs="Arial"/>
                <w:color w:val="000000"/>
                <w:sz w:val="18"/>
                <w:szCs w:val="18"/>
                <w:lang w:eastAsia="nl-NL"/>
              </w:rPr>
            </w:pPr>
            <w:r w:rsidRPr="000F04AF">
              <w:rPr>
                <w:rFonts w:cs="Arial"/>
                <w:color w:val="000000"/>
                <w:sz w:val="18"/>
                <w:szCs w:val="18"/>
                <w:lang w:eastAsia="nl-NL"/>
              </w:rPr>
              <w:t>c) reference to publications in which the DNA sequence information of the states of expression of the characteristic is revealed.</w:t>
            </w:r>
          </w:p>
          <w:p w14:paraId="684A2856" w14:textId="77777777" w:rsidR="00224498" w:rsidRPr="000F04AF" w:rsidRDefault="00224498" w:rsidP="00803922">
            <w:pPr>
              <w:keepNext/>
              <w:jc w:val="left"/>
              <w:rPr>
                <w:rFonts w:cs="Arial"/>
                <w:color w:val="000000"/>
                <w:sz w:val="18"/>
                <w:szCs w:val="18"/>
                <w:lang w:eastAsia="nl-NL"/>
              </w:rPr>
            </w:pPr>
          </w:p>
          <w:p w14:paraId="7FFA6599" w14:textId="77777777" w:rsidR="00224498" w:rsidRPr="000F04AF" w:rsidRDefault="00224498" w:rsidP="00803922">
            <w:pPr>
              <w:jc w:val="left"/>
              <w:rPr>
                <w:rFonts w:cs="Arial"/>
                <w:i/>
                <w:color w:val="000000"/>
                <w:sz w:val="18"/>
                <w:szCs w:val="18"/>
                <w:lang w:eastAsia="nl-NL"/>
              </w:rPr>
            </w:pPr>
            <w:r w:rsidRPr="000F04AF">
              <w:rPr>
                <w:rFonts w:cs="Arial"/>
                <w:color w:val="000000"/>
                <w:sz w:val="18"/>
                <w:szCs w:val="18"/>
                <w:lang w:eastAsia="nl-NL"/>
              </w:rPr>
              <w:t>d) reference to a particular position on the published reference genome version in combination with the SNP or INDEL that is responsible for the state of expression.</w:t>
            </w:r>
          </w:p>
        </w:tc>
      </w:tr>
      <w:tr w:rsidR="00224498" w:rsidRPr="000F04AF" w14:paraId="29086E1D" w14:textId="77777777" w:rsidTr="00803922">
        <w:trPr>
          <w:cantSplit/>
        </w:trPr>
        <w:tc>
          <w:tcPr>
            <w:tcW w:w="363" w:type="pct"/>
            <w:vAlign w:val="center"/>
            <w:hideMark/>
          </w:tcPr>
          <w:p w14:paraId="7D5FCFE8"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3</w:t>
            </w:r>
          </w:p>
        </w:tc>
        <w:tc>
          <w:tcPr>
            <w:tcW w:w="960" w:type="pct"/>
            <w:vAlign w:val="center"/>
            <w:hideMark/>
          </w:tcPr>
          <w:p w14:paraId="5FB7F502" w14:textId="77777777" w:rsidR="00224498" w:rsidRPr="000F04AF" w:rsidRDefault="00224498" w:rsidP="00803922">
            <w:pPr>
              <w:jc w:val="left"/>
              <w:rPr>
                <w:rFonts w:cs="Arial"/>
                <w:color w:val="000000"/>
                <w:sz w:val="18"/>
                <w:szCs w:val="18"/>
                <w:lang w:eastAsia="fr-FR"/>
              </w:rPr>
            </w:pPr>
            <w:r w:rsidRPr="000F04AF">
              <w:rPr>
                <w:rFonts w:cs="Arial"/>
                <w:color w:val="000000" w:themeColor="text1"/>
                <w:sz w:val="18"/>
                <w:szCs w:val="18"/>
                <w:lang w:eastAsia="nl-NL"/>
              </w:rPr>
              <w:t>Primers (and probes)</w:t>
            </w:r>
          </w:p>
        </w:tc>
        <w:tc>
          <w:tcPr>
            <w:tcW w:w="589" w:type="pct"/>
            <w:vAlign w:val="center"/>
          </w:tcPr>
          <w:p w14:paraId="2F3F4623"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29728296" w14:textId="77777777" w:rsidR="00224498" w:rsidRPr="000F04AF" w:rsidRDefault="00224498" w:rsidP="00803922">
            <w:pPr>
              <w:jc w:val="left"/>
              <w:rPr>
                <w:rFonts w:cs="Arial"/>
                <w:i/>
                <w:iCs/>
                <w:color w:val="000000"/>
                <w:sz w:val="18"/>
                <w:szCs w:val="18"/>
                <w:lang w:eastAsia="fr-FR"/>
              </w:rPr>
            </w:pPr>
            <w:r w:rsidRPr="000F04AF">
              <w:rPr>
                <w:rFonts w:cs="Arial"/>
                <w:color w:val="000000"/>
                <w:sz w:val="18"/>
                <w:szCs w:val="18"/>
                <w:lang w:eastAsia="nl-NL"/>
              </w:rPr>
              <w:t>Primer and probe sequences, reference to accessions and sequences in public databases (gene bank numbers), literature.</w:t>
            </w:r>
          </w:p>
        </w:tc>
      </w:tr>
      <w:tr w:rsidR="00224498" w:rsidRPr="000F04AF" w14:paraId="59D583AB" w14:textId="77777777" w:rsidTr="00803922">
        <w:trPr>
          <w:cantSplit/>
        </w:trPr>
        <w:tc>
          <w:tcPr>
            <w:tcW w:w="363" w:type="pct"/>
            <w:vAlign w:val="center"/>
            <w:hideMark/>
          </w:tcPr>
          <w:p w14:paraId="43751C29"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3.1</w:t>
            </w:r>
          </w:p>
        </w:tc>
        <w:tc>
          <w:tcPr>
            <w:tcW w:w="960" w:type="pct"/>
            <w:vAlign w:val="center"/>
            <w:hideMark/>
          </w:tcPr>
          <w:p w14:paraId="7EC631A0" w14:textId="77777777" w:rsidR="00224498" w:rsidRPr="000F04AF" w:rsidRDefault="00224498" w:rsidP="00803922">
            <w:pPr>
              <w:jc w:val="left"/>
              <w:rPr>
                <w:rFonts w:cs="Arial"/>
                <w:color w:val="000000"/>
                <w:sz w:val="18"/>
                <w:szCs w:val="18"/>
                <w:lang w:eastAsia="fr-FR"/>
              </w:rPr>
            </w:pPr>
            <w:r w:rsidRPr="000F04AF">
              <w:rPr>
                <w:rFonts w:cs="Arial"/>
                <w:color w:val="000000" w:themeColor="text1"/>
                <w:sz w:val="18"/>
                <w:szCs w:val="18"/>
                <w:lang w:eastAsia="nl-NL"/>
              </w:rPr>
              <w:t>Primers (and probes) to detect allele ‘9’</w:t>
            </w:r>
          </w:p>
        </w:tc>
        <w:tc>
          <w:tcPr>
            <w:tcW w:w="589" w:type="pct"/>
            <w:vAlign w:val="center"/>
          </w:tcPr>
          <w:p w14:paraId="146AB413"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5C8AF493"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Primer Sequences corresponding to allele(s) for expression ‘9’ (resistance).</w:t>
            </w:r>
          </w:p>
        </w:tc>
      </w:tr>
      <w:tr w:rsidR="00224498" w:rsidRPr="000F04AF" w14:paraId="33A25A5E" w14:textId="77777777" w:rsidTr="00803922">
        <w:trPr>
          <w:cantSplit/>
        </w:trPr>
        <w:tc>
          <w:tcPr>
            <w:tcW w:w="363" w:type="pct"/>
            <w:vAlign w:val="center"/>
            <w:hideMark/>
          </w:tcPr>
          <w:p w14:paraId="6F290FE9"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3.2</w:t>
            </w:r>
          </w:p>
        </w:tc>
        <w:tc>
          <w:tcPr>
            <w:tcW w:w="960" w:type="pct"/>
            <w:vAlign w:val="center"/>
            <w:hideMark/>
          </w:tcPr>
          <w:p w14:paraId="155440DA" w14:textId="77777777" w:rsidR="00224498" w:rsidRPr="000F04AF" w:rsidRDefault="00224498" w:rsidP="00803922">
            <w:pPr>
              <w:jc w:val="left"/>
              <w:rPr>
                <w:rFonts w:cs="Arial"/>
                <w:color w:val="000000"/>
                <w:sz w:val="18"/>
                <w:szCs w:val="18"/>
                <w:lang w:eastAsia="fr-FR"/>
              </w:rPr>
            </w:pPr>
            <w:r w:rsidRPr="000F04AF">
              <w:rPr>
                <w:rFonts w:cs="Arial"/>
                <w:color w:val="000000" w:themeColor="text1"/>
                <w:sz w:val="18"/>
                <w:szCs w:val="18"/>
                <w:lang w:eastAsia="nl-NL"/>
              </w:rPr>
              <w:t>Primers (and probes) to detect allele ‘1’</w:t>
            </w:r>
          </w:p>
        </w:tc>
        <w:tc>
          <w:tcPr>
            <w:tcW w:w="589" w:type="pct"/>
            <w:vAlign w:val="center"/>
          </w:tcPr>
          <w:p w14:paraId="5C48B18D"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6BD05D90"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Primer Sequences corresponding to allele(s) for expression ‘1’ (susceptibility).</w:t>
            </w:r>
          </w:p>
        </w:tc>
      </w:tr>
      <w:tr w:rsidR="00224498" w:rsidRPr="000F04AF" w14:paraId="20EB60F9" w14:textId="77777777" w:rsidTr="00803922">
        <w:trPr>
          <w:cantSplit/>
        </w:trPr>
        <w:tc>
          <w:tcPr>
            <w:tcW w:w="363" w:type="pct"/>
            <w:vAlign w:val="center"/>
            <w:hideMark/>
          </w:tcPr>
          <w:p w14:paraId="7671A821"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3.3</w:t>
            </w:r>
          </w:p>
        </w:tc>
        <w:tc>
          <w:tcPr>
            <w:tcW w:w="960" w:type="pct"/>
            <w:vAlign w:val="center"/>
            <w:hideMark/>
          </w:tcPr>
          <w:p w14:paraId="014BEDFB" w14:textId="77777777" w:rsidR="00224498" w:rsidRPr="000F04AF" w:rsidRDefault="00224498" w:rsidP="00803922">
            <w:pPr>
              <w:jc w:val="left"/>
              <w:rPr>
                <w:rFonts w:cs="Arial"/>
                <w:color w:val="000000"/>
                <w:sz w:val="18"/>
                <w:szCs w:val="18"/>
                <w:lang w:eastAsia="fr-FR"/>
              </w:rPr>
            </w:pPr>
            <w:r w:rsidRPr="000F04AF">
              <w:rPr>
                <w:rFonts w:cs="Arial"/>
                <w:color w:val="000000" w:themeColor="text1"/>
                <w:sz w:val="18"/>
                <w:szCs w:val="18"/>
                <w:lang w:eastAsia="nl-NL"/>
              </w:rPr>
              <w:t>Primers (and probes) to detect allele ‘x’</w:t>
            </w:r>
          </w:p>
        </w:tc>
        <w:tc>
          <w:tcPr>
            <w:tcW w:w="589" w:type="pct"/>
            <w:vAlign w:val="center"/>
          </w:tcPr>
          <w:p w14:paraId="58F5708D"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5AEBBE2B"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Primer Sequences corresponding to allele(s) for expression ‘x’.</w:t>
            </w:r>
          </w:p>
        </w:tc>
      </w:tr>
      <w:tr w:rsidR="00224498" w:rsidRPr="000F04AF" w14:paraId="07A65D08" w14:textId="77777777" w:rsidTr="00803922">
        <w:trPr>
          <w:cantSplit/>
        </w:trPr>
        <w:tc>
          <w:tcPr>
            <w:tcW w:w="363" w:type="pct"/>
            <w:vAlign w:val="center"/>
            <w:hideMark/>
          </w:tcPr>
          <w:p w14:paraId="00F3F2C6"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4</w:t>
            </w:r>
          </w:p>
        </w:tc>
        <w:tc>
          <w:tcPr>
            <w:tcW w:w="960" w:type="pct"/>
            <w:vAlign w:val="center"/>
            <w:hideMark/>
          </w:tcPr>
          <w:p w14:paraId="29B53FE4" w14:textId="77777777" w:rsidR="00224498" w:rsidRPr="000F04AF" w:rsidRDefault="00224498" w:rsidP="00803922">
            <w:pPr>
              <w:jc w:val="left"/>
              <w:rPr>
                <w:rFonts w:cs="Arial"/>
                <w:color w:val="000000"/>
                <w:sz w:val="18"/>
                <w:szCs w:val="18"/>
                <w:lang w:eastAsia="fr-FR"/>
              </w:rPr>
            </w:pPr>
            <w:r w:rsidRPr="000F04AF">
              <w:rPr>
                <w:rFonts w:cs="Arial"/>
                <w:color w:val="000000" w:themeColor="text1"/>
                <w:sz w:val="18"/>
                <w:szCs w:val="18"/>
                <w:lang w:eastAsia="nl-NL"/>
              </w:rPr>
              <w:t>Format of the test</w:t>
            </w:r>
          </w:p>
        </w:tc>
        <w:tc>
          <w:tcPr>
            <w:tcW w:w="589" w:type="pct"/>
            <w:vAlign w:val="center"/>
          </w:tcPr>
          <w:p w14:paraId="2960DCE1"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 </w:t>
            </w:r>
          </w:p>
        </w:tc>
        <w:tc>
          <w:tcPr>
            <w:tcW w:w="3088" w:type="pct"/>
            <w:vAlign w:val="center"/>
          </w:tcPr>
          <w:p w14:paraId="04067AEC"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 </w:t>
            </w:r>
          </w:p>
        </w:tc>
      </w:tr>
      <w:tr w:rsidR="00224498" w:rsidRPr="000F04AF" w14:paraId="72FF7647" w14:textId="77777777" w:rsidTr="00803922">
        <w:trPr>
          <w:cantSplit/>
        </w:trPr>
        <w:tc>
          <w:tcPr>
            <w:tcW w:w="363" w:type="pct"/>
            <w:vAlign w:val="center"/>
            <w:hideMark/>
          </w:tcPr>
          <w:p w14:paraId="144BBAF6"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lastRenderedPageBreak/>
              <w:t>4.1</w:t>
            </w:r>
          </w:p>
        </w:tc>
        <w:tc>
          <w:tcPr>
            <w:tcW w:w="960" w:type="pct"/>
            <w:vAlign w:val="center"/>
            <w:hideMark/>
          </w:tcPr>
          <w:p w14:paraId="3850304B" w14:textId="77777777" w:rsidR="00224498" w:rsidRPr="000F04AF" w:rsidRDefault="00224498" w:rsidP="00803922">
            <w:pPr>
              <w:jc w:val="left"/>
              <w:rPr>
                <w:rFonts w:cs="Arial"/>
                <w:color w:val="000000"/>
                <w:sz w:val="18"/>
                <w:szCs w:val="18"/>
                <w:lang w:eastAsia="fr-FR"/>
              </w:rPr>
            </w:pPr>
            <w:r w:rsidRPr="000F04AF">
              <w:rPr>
                <w:rFonts w:cs="Arial"/>
                <w:color w:val="000000" w:themeColor="text1"/>
                <w:sz w:val="18"/>
                <w:szCs w:val="18"/>
                <w:lang w:eastAsia="nl-NL"/>
              </w:rPr>
              <w:t>Number of plants per genotype</w:t>
            </w:r>
          </w:p>
        </w:tc>
        <w:tc>
          <w:tcPr>
            <w:tcW w:w="589" w:type="pct"/>
            <w:vAlign w:val="center"/>
          </w:tcPr>
          <w:p w14:paraId="775982EC"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40009FCE"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A minimal number of individual plants required: the test for the marker is conducted on the same number of individual plants, with the same criteria for distinctness, uniformity and stability as for the examination of the characteristic by an observation assay (documents TGP/9 and TGP/10).</w:t>
            </w:r>
          </w:p>
        </w:tc>
      </w:tr>
      <w:tr w:rsidR="00224498" w:rsidRPr="000F04AF" w14:paraId="19204F4F" w14:textId="77777777" w:rsidTr="00803922">
        <w:trPr>
          <w:cantSplit/>
        </w:trPr>
        <w:tc>
          <w:tcPr>
            <w:tcW w:w="363" w:type="pct"/>
            <w:vAlign w:val="center"/>
            <w:hideMark/>
          </w:tcPr>
          <w:p w14:paraId="4D6976D5"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4.2</w:t>
            </w:r>
          </w:p>
        </w:tc>
        <w:tc>
          <w:tcPr>
            <w:tcW w:w="960" w:type="pct"/>
            <w:vAlign w:val="center"/>
            <w:hideMark/>
          </w:tcPr>
          <w:p w14:paraId="620098BA"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Control varieties</w:t>
            </w:r>
          </w:p>
        </w:tc>
        <w:tc>
          <w:tcPr>
            <w:tcW w:w="589" w:type="pct"/>
            <w:vAlign w:val="center"/>
          </w:tcPr>
          <w:p w14:paraId="4BEFFF1F" w14:textId="77777777" w:rsidR="00224498" w:rsidRPr="000F04AF" w:rsidRDefault="00224498" w:rsidP="00803922">
            <w:pPr>
              <w:jc w:val="left"/>
              <w:rPr>
                <w:rFonts w:cs="Arial"/>
                <w:color w:val="000000" w:themeColor="text1"/>
                <w:sz w:val="18"/>
                <w:szCs w:val="18"/>
                <w:lang w:eastAsia="nl-NL"/>
              </w:rPr>
            </w:pPr>
            <w:r w:rsidRPr="000F04AF">
              <w:rPr>
                <w:rFonts w:cs="Arial"/>
                <w:color w:val="000000"/>
                <w:sz w:val="18"/>
                <w:szCs w:val="18"/>
                <w:lang w:eastAsia="nl-NL"/>
              </w:rPr>
              <w:t>YES</w:t>
            </w:r>
          </w:p>
        </w:tc>
        <w:tc>
          <w:tcPr>
            <w:tcW w:w="3088" w:type="pct"/>
            <w:vAlign w:val="center"/>
          </w:tcPr>
          <w:p w14:paraId="511B2326" w14:textId="77777777" w:rsidR="00224498" w:rsidRPr="000F04AF" w:rsidRDefault="00224498" w:rsidP="00803922">
            <w:pPr>
              <w:jc w:val="left"/>
              <w:rPr>
                <w:rFonts w:cs="Arial"/>
                <w:i/>
                <w:iCs/>
                <w:color w:val="000000"/>
                <w:sz w:val="18"/>
                <w:szCs w:val="18"/>
                <w:lang w:eastAsia="fr-FR"/>
              </w:rPr>
            </w:pPr>
            <w:r w:rsidRPr="000F04AF">
              <w:rPr>
                <w:rFonts w:cs="Arial"/>
                <w:color w:val="000000" w:themeColor="text1"/>
                <w:sz w:val="18"/>
                <w:szCs w:val="18"/>
                <w:lang w:eastAsia="nl-NL"/>
              </w:rPr>
              <w:t xml:space="preserve">Control varieties (same as in observation assay) as standards representing all relevant combination of alleles. For </w:t>
            </w:r>
            <w:proofErr w:type="gramStart"/>
            <w:r w:rsidRPr="000F04AF">
              <w:rPr>
                <w:rFonts w:cs="Arial"/>
                <w:color w:val="000000" w:themeColor="text1"/>
                <w:sz w:val="18"/>
                <w:szCs w:val="18"/>
                <w:lang w:eastAsia="nl-NL"/>
              </w:rPr>
              <w:t>example</w:t>
            </w:r>
            <w:proofErr w:type="gramEnd"/>
            <w:r w:rsidRPr="000F04AF">
              <w:rPr>
                <w:rFonts w:cs="Arial"/>
                <w:color w:val="000000" w:themeColor="text1"/>
                <w:sz w:val="18"/>
                <w:szCs w:val="18"/>
                <w:lang w:eastAsia="nl-NL"/>
              </w:rPr>
              <w:t xml:space="preserve"> homozygous for allele corresponding to expression state 9 (present), homozygous for allele corresponding to expression state 1 (absent) and heterozygous (both alleles are present in a diploid) corresponding to either resistance, susceptibility or intermediate resistance of the variety (depending on gene function; dominant - recessive). DNA controls can be directly used.</w:t>
            </w:r>
          </w:p>
        </w:tc>
      </w:tr>
      <w:tr w:rsidR="00224498" w:rsidRPr="000F04AF" w14:paraId="64EB52D1" w14:textId="77777777" w:rsidTr="00803922">
        <w:trPr>
          <w:cantSplit/>
        </w:trPr>
        <w:tc>
          <w:tcPr>
            <w:tcW w:w="363" w:type="pct"/>
            <w:vAlign w:val="center"/>
          </w:tcPr>
          <w:p w14:paraId="078F4FC3"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4.3</w:t>
            </w:r>
          </w:p>
        </w:tc>
        <w:tc>
          <w:tcPr>
            <w:tcW w:w="960" w:type="pct"/>
            <w:vAlign w:val="center"/>
          </w:tcPr>
          <w:p w14:paraId="1FF398F3" w14:textId="77777777" w:rsidR="00224498" w:rsidRPr="000F04AF" w:rsidRDefault="00224498" w:rsidP="00803922">
            <w:pPr>
              <w:jc w:val="left"/>
              <w:rPr>
                <w:rFonts w:cs="Arial"/>
                <w:color w:val="000000"/>
                <w:sz w:val="18"/>
                <w:szCs w:val="18"/>
                <w:lang w:eastAsia="nl-NL"/>
              </w:rPr>
            </w:pPr>
            <w:r w:rsidRPr="000F04AF">
              <w:rPr>
                <w:rFonts w:cs="Arial"/>
                <w:color w:val="000000" w:themeColor="text1"/>
                <w:sz w:val="18"/>
                <w:szCs w:val="18"/>
                <w:lang w:eastAsia="nl-NL"/>
              </w:rPr>
              <w:t>Process controls</w:t>
            </w:r>
          </w:p>
        </w:tc>
        <w:tc>
          <w:tcPr>
            <w:tcW w:w="589" w:type="pct"/>
            <w:vAlign w:val="center"/>
          </w:tcPr>
          <w:p w14:paraId="5F3F6317" w14:textId="77777777" w:rsidR="00224498" w:rsidRPr="000F04AF" w:rsidRDefault="00224498" w:rsidP="00803922">
            <w:pPr>
              <w:spacing w:after="200" w:line="276" w:lineRule="auto"/>
              <w:contextualSpacing/>
              <w:jc w:val="left"/>
              <w:rPr>
                <w:rFonts w:eastAsia="Calibri" w:cs="Arial"/>
                <w:color w:val="000000" w:themeColor="text1"/>
                <w:sz w:val="18"/>
                <w:szCs w:val="18"/>
                <w:lang w:eastAsia="nl-NL"/>
              </w:rPr>
            </w:pPr>
            <w:r w:rsidRPr="000F04AF">
              <w:rPr>
                <w:rFonts w:cs="Arial"/>
                <w:color w:val="000000" w:themeColor="text1"/>
                <w:sz w:val="18"/>
                <w:szCs w:val="18"/>
                <w:lang w:eastAsia="nl-NL"/>
              </w:rPr>
              <w:t>YES</w:t>
            </w:r>
          </w:p>
        </w:tc>
        <w:tc>
          <w:tcPr>
            <w:tcW w:w="3088" w:type="pct"/>
            <w:vAlign w:val="center"/>
          </w:tcPr>
          <w:p w14:paraId="1DC947C4" w14:textId="77777777" w:rsidR="00224498" w:rsidRPr="000F04AF" w:rsidRDefault="00224498" w:rsidP="00803922">
            <w:pPr>
              <w:numPr>
                <w:ilvl w:val="0"/>
                <w:numId w:val="25"/>
              </w:numPr>
              <w:tabs>
                <w:tab w:val="left" w:pos="257"/>
              </w:tabs>
              <w:spacing w:after="200" w:line="276" w:lineRule="auto"/>
              <w:ind w:left="0" w:firstLine="0"/>
              <w:contextualSpacing/>
              <w:jc w:val="left"/>
              <w:rPr>
                <w:rFonts w:eastAsia="Calibri" w:cs="Arial"/>
                <w:color w:val="000000"/>
                <w:sz w:val="18"/>
                <w:szCs w:val="18"/>
                <w:lang w:eastAsia="nl-NL"/>
              </w:rPr>
            </w:pPr>
            <w:r w:rsidRPr="000F04AF">
              <w:rPr>
                <w:rFonts w:eastAsia="Calibri" w:cs="Arial"/>
                <w:color w:val="000000" w:themeColor="text1"/>
                <w:sz w:val="18"/>
                <w:szCs w:val="18"/>
                <w:lang w:eastAsia="nl-NL"/>
              </w:rPr>
              <w:t>Negative process control(s).</w:t>
            </w:r>
          </w:p>
          <w:p w14:paraId="4DD2FEF2" w14:textId="77777777" w:rsidR="00224498" w:rsidRPr="000F04AF" w:rsidRDefault="00224498" w:rsidP="00803922">
            <w:pPr>
              <w:tabs>
                <w:tab w:val="left" w:pos="257"/>
              </w:tabs>
              <w:spacing w:after="200" w:line="276" w:lineRule="auto"/>
              <w:contextualSpacing/>
              <w:jc w:val="left"/>
              <w:rPr>
                <w:rFonts w:eastAsia="Calibri" w:cs="Arial"/>
                <w:color w:val="000000"/>
                <w:sz w:val="18"/>
                <w:szCs w:val="18"/>
                <w:lang w:eastAsia="nl-NL"/>
              </w:rPr>
            </w:pPr>
          </w:p>
          <w:p w14:paraId="328B7477" w14:textId="77777777" w:rsidR="00224498" w:rsidRPr="000F04AF" w:rsidRDefault="00224498" w:rsidP="00803922">
            <w:pPr>
              <w:numPr>
                <w:ilvl w:val="0"/>
                <w:numId w:val="25"/>
              </w:numPr>
              <w:tabs>
                <w:tab w:val="left" w:pos="257"/>
              </w:tabs>
              <w:spacing w:after="200" w:line="276" w:lineRule="auto"/>
              <w:ind w:left="0" w:firstLine="0"/>
              <w:contextualSpacing/>
              <w:jc w:val="left"/>
              <w:rPr>
                <w:rFonts w:eastAsia="Calibri" w:cs="Arial"/>
                <w:color w:val="000000"/>
                <w:sz w:val="18"/>
                <w:szCs w:val="18"/>
                <w:lang w:eastAsia="nl-NL"/>
              </w:rPr>
            </w:pPr>
            <w:r w:rsidRPr="000F04AF">
              <w:rPr>
                <w:rFonts w:eastAsia="Calibri" w:cs="Arial"/>
                <w:color w:val="000000" w:themeColor="text1"/>
                <w:sz w:val="18"/>
                <w:szCs w:val="18"/>
                <w:lang w:eastAsia="nl-NL"/>
              </w:rPr>
              <w:t>Positive DNA control(s) that can be the control varieties.</w:t>
            </w:r>
          </w:p>
          <w:p w14:paraId="2AFFB7F2" w14:textId="77777777" w:rsidR="00224498" w:rsidRPr="000F04AF" w:rsidRDefault="00224498" w:rsidP="00803922">
            <w:pPr>
              <w:tabs>
                <w:tab w:val="left" w:pos="257"/>
              </w:tabs>
              <w:spacing w:after="200" w:line="276" w:lineRule="auto"/>
              <w:contextualSpacing/>
              <w:jc w:val="left"/>
              <w:rPr>
                <w:rFonts w:eastAsia="Calibri" w:cs="Arial"/>
                <w:color w:val="000000"/>
                <w:sz w:val="18"/>
                <w:szCs w:val="18"/>
                <w:lang w:eastAsia="nl-NL"/>
              </w:rPr>
            </w:pPr>
          </w:p>
          <w:p w14:paraId="2F409A07" w14:textId="77777777" w:rsidR="00224498" w:rsidRPr="000F04AF" w:rsidRDefault="00224498" w:rsidP="00803922">
            <w:pPr>
              <w:numPr>
                <w:ilvl w:val="0"/>
                <w:numId w:val="25"/>
              </w:numPr>
              <w:tabs>
                <w:tab w:val="left" w:pos="257"/>
              </w:tabs>
              <w:spacing w:after="200" w:line="276" w:lineRule="auto"/>
              <w:ind w:left="0" w:firstLine="0"/>
              <w:contextualSpacing/>
              <w:jc w:val="left"/>
              <w:rPr>
                <w:rFonts w:eastAsia="Calibri" w:cs="Arial"/>
                <w:color w:val="000000"/>
                <w:sz w:val="18"/>
                <w:szCs w:val="18"/>
                <w:lang w:eastAsia="nl-NL"/>
              </w:rPr>
            </w:pPr>
            <w:r w:rsidRPr="000F04AF">
              <w:rPr>
                <w:rFonts w:eastAsia="Calibri" w:cs="Arial"/>
                <w:color w:val="000000" w:themeColor="text1"/>
                <w:sz w:val="18"/>
                <w:szCs w:val="18"/>
                <w:lang w:eastAsia="nl-NL"/>
              </w:rPr>
              <w:t xml:space="preserve"> Internal amplification control in case of a presence/absence marker (</w:t>
            </w:r>
            <w:r w:rsidRPr="000F04AF">
              <w:rPr>
                <w:rFonts w:cs="Arial"/>
                <w:sz w:val="18"/>
                <w:szCs w:val="18"/>
              </w:rPr>
              <w:t>a marker targeting the cytochrome oxidase gene as an internal amplification marker).</w:t>
            </w:r>
          </w:p>
          <w:p w14:paraId="5C61D396" w14:textId="77777777" w:rsidR="00224498" w:rsidRPr="000F04AF" w:rsidRDefault="00224498" w:rsidP="00803922">
            <w:pPr>
              <w:tabs>
                <w:tab w:val="left" w:pos="257"/>
              </w:tabs>
              <w:spacing w:after="200" w:line="276" w:lineRule="auto"/>
              <w:contextualSpacing/>
              <w:jc w:val="left"/>
              <w:rPr>
                <w:rFonts w:eastAsia="Calibri" w:cs="Arial"/>
                <w:color w:val="000000"/>
                <w:sz w:val="18"/>
                <w:szCs w:val="18"/>
                <w:lang w:eastAsia="nl-NL"/>
              </w:rPr>
            </w:pPr>
          </w:p>
          <w:p w14:paraId="2FFF018D" w14:textId="77777777" w:rsidR="00224498" w:rsidRPr="000F04AF" w:rsidRDefault="00224498" w:rsidP="00803922">
            <w:pPr>
              <w:numPr>
                <w:ilvl w:val="0"/>
                <w:numId w:val="25"/>
              </w:numPr>
              <w:tabs>
                <w:tab w:val="left" w:pos="257"/>
              </w:tabs>
              <w:spacing w:after="200" w:line="276" w:lineRule="auto"/>
              <w:ind w:left="0" w:firstLine="0"/>
              <w:contextualSpacing/>
              <w:jc w:val="left"/>
              <w:rPr>
                <w:rFonts w:cs="Arial"/>
                <w:sz w:val="18"/>
                <w:szCs w:val="18"/>
              </w:rPr>
            </w:pPr>
            <w:r w:rsidRPr="000F04AF">
              <w:rPr>
                <w:rFonts w:cs="Arial"/>
                <w:sz w:val="18"/>
                <w:szCs w:val="18"/>
              </w:rPr>
              <w:t>Buffer used for extraction.</w:t>
            </w:r>
          </w:p>
        </w:tc>
      </w:tr>
      <w:tr w:rsidR="00224498" w:rsidRPr="000F04AF" w14:paraId="53220E1A" w14:textId="77777777" w:rsidTr="00803922">
        <w:trPr>
          <w:cantSplit/>
        </w:trPr>
        <w:tc>
          <w:tcPr>
            <w:tcW w:w="363" w:type="pct"/>
            <w:vAlign w:val="center"/>
            <w:hideMark/>
          </w:tcPr>
          <w:p w14:paraId="32D4F88A"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5</w:t>
            </w:r>
          </w:p>
        </w:tc>
        <w:tc>
          <w:tcPr>
            <w:tcW w:w="960" w:type="pct"/>
            <w:vAlign w:val="center"/>
            <w:hideMark/>
          </w:tcPr>
          <w:p w14:paraId="2F4F8D17"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Preparations</w:t>
            </w:r>
          </w:p>
        </w:tc>
        <w:tc>
          <w:tcPr>
            <w:tcW w:w="589" w:type="pct"/>
            <w:vAlign w:val="center"/>
          </w:tcPr>
          <w:p w14:paraId="19E485B9"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NO</w:t>
            </w:r>
          </w:p>
        </w:tc>
        <w:tc>
          <w:tcPr>
            <w:tcW w:w="3088" w:type="pct"/>
            <w:vAlign w:val="center"/>
          </w:tcPr>
          <w:p w14:paraId="6EEABFEE"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Depending on the method used. Not in the Test Guidelines. Detailed protocol(s) can be provided as an example in annex or available on request from the organization that developed the marker.</w:t>
            </w:r>
          </w:p>
          <w:p w14:paraId="3ED1F05E" w14:textId="77777777" w:rsidR="00224498" w:rsidRPr="000F04AF" w:rsidRDefault="00224498" w:rsidP="00803922">
            <w:pPr>
              <w:jc w:val="left"/>
              <w:rPr>
                <w:rFonts w:cs="Arial"/>
                <w:color w:val="000000"/>
                <w:sz w:val="18"/>
                <w:szCs w:val="18"/>
                <w:lang w:eastAsia="nl-NL"/>
              </w:rPr>
            </w:pPr>
          </w:p>
          <w:p w14:paraId="16FF1700"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Mostly sampling of seedlings 4 days old followed by DNA extraction using CTAB method.</w:t>
            </w:r>
          </w:p>
        </w:tc>
      </w:tr>
      <w:tr w:rsidR="00224498" w:rsidRPr="000F04AF" w14:paraId="3D71A56B" w14:textId="77777777" w:rsidTr="00803922">
        <w:trPr>
          <w:cantSplit/>
        </w:trPr>
        <w:tc>
          <w:tcPr>
            <w:tcW w:w="363" w:type="pct"/>
            <w:vAlign w:val="center"/>
            <w:hideMark/>
          </w:tcPr>
          <w:p w14:paraId="5C83D0A3"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6</w:t>
            </w:r>
          </w:p>
        </w:tc>
        <w:tc>
          <w:tcPr>
            <w:tcW w:w="960" w:type="pct"/>
            <w:vAlign w:val="center"/>
            <w:hideMark/>
          </w:tcPr>
          <w:p w14:paraId="47E7EB36"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Technique of the method</w:t>
            </w:r>
          </w:p>
        </w:tc>
        <w:tc>
          <w:tcPr>
            <w:tcW w:w="589" w:type="pct"/>
            <w:vAlign w:val="center"/>
          </w:tcPr>
          <w:p w14:paraId="273742F9" w14:textId="77777777" w:rsidR="00224498" w:rsidRPr="000F04AF" w:rsidRDefault="00224498" w:rsidP="00803922">
            <w:pPr>
              <w:jc w:val="left"/>
              <w:rPr>
                <w:rFonts w:cs="Arial"/>
                <w:color w:val="000000"/>
                <w:sz w:val="18"/>
                <w:szCs w:val="18"/>
                <w:lang w:eastAsia="nl-NL"/>
              </w:rPr>
            </w:pPr>
            <w:r w:rsidRPr="000F04AF">
              <w:rPr>
                <w:rFonts w:cs="Arial"/>
                <w:color w:val="000000" w:themeColor="text1"/>
                <w:sz w:val="18"/>
                <w:szCs w:val="18"/>
                <w:lang w:eastAsia="nl-NL"/>
              </w:rPr>
              <w:t>YES</w:t>
            </w:r>
          </w:p>
        </w:tc>
        <w:tc>
          <w:tcPr>
            <w:tcW w:w="3088" w:type="pct"/>
            <w:vAlign w:val="center"/>
          </w:tcPr>
          <w:p w14:paraId="0E110175" w14:textId="77777777" w:rsidR="00224498" w:rsidRPr="000F04AF" w:rsidRDefault="00224498" w:rsidP="00803922">
            <w:pPr>
              <w:jc w:val="left"/>
              <w:rPr>
                <w:rFonts w:cs="Arial"/>
                <w:i/>
                <w:color w:val="000000" w:themeColor="text1"/>
                <w:sz w:val="18"/>
                <w:szCs w:val="18"/>
                <w:lang w:eastAsia="nl-NL"/>
              </w:rPr>
            </w:pPr>
            <w:r w:rsidRPr="000F04AF">
              <w:rPr>
                <w:rFonts w:cs="Arial"/>
                <w:color w:val="000000" w:themeColor="text1"/>
                <w:sz w:val="18"/>
                <w:szCs w:val="18"/>
                <w:lang w:eastAsia="nl-NL"/>
              </w:rPr>
              <w:t>Conventional PCR, TETRA-ARMS, qPCR, KASP</w:t>
            </w:r>
            <w:proofErr w:type="gramStart"/>
            <w:r w:rsidRPr="000F04AF">
              <w:rPr>
                <w:rFonts w:cs="Arial"/>
                <w:color w:val="000000" w:themeColor="text1"/>
                <w:sz w:val="18"/>
                <w:szCs w:val="18"/>
                <w:lang w:eastAsia="nl-NL"/>
              </w:rPr>
              <w:t>, amplicon</w:t>
            </w:r>
            <w:proofErr w:type="gramEnd"/>
            <w:r w:rsidRPr="000F04AF">
              <w:rPr>
                <w:rFonts w:cs="Arial"/>
                <w:color w:val="000000" w:themeColor="text1"/>
                <w:sz w:val="18"/>
                <w:szCs w:val="18"/>
                <w:lang w:eastAsia="nl-NL"/>
              </w:rPr>
              <w:t xml:space="preserve"> sequencing.</w:t>
            </w:r>
          </w:p>
        </w:tc>
      </w:tr>
      <w:tr w:rsidR="00224498" w:rsidRPr="000F04AF" w14:paraId="55BFB060" w14:textId="77777777" w:rsidTr="00803922">
        <w:trPr>
          <w:cantSplit/>
        </w:trPr>
        <w:tc>
          <w:tcPr>
            <w:tcW w:w="363" w:type="pct"/>
            <w:vAlign w:val="center"/>
            <w:hideMark/>
          </w:tcPr>
          <w:p w14:paraId="4BE3D163"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6.1</w:t>
            </w:r>
          </w:p>
        </w:tc>
        <w:tc>
          <w:tcPr>
            <w:tcW w:w="960" w:type="pct"/>
            <w:vAlign w:val="center"/>
            <w:hideMark/>
          </w:tcPr>
          <w:p w14:paraId="7DE4A2CB"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Particular conditions</w:t>
            </w:r>
          </w:p>
        </w:tc>
        <w:tc>
          <w:tcPr>
            <w:tcW w:w="589" w:type="pct"/>
            <w:vAlign w:val="center"/>
          </w:tcPr>
          <w:p w14:paraId="47465229"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NO</w:t>
            </w:r>
          </w:p>
        </w:tc>
        <w:tc>
          <w:tcPr>
            <w:tcW w:w="3088" w:type="pct"/>
            <w:vAlign w:val="center"/>
          </w:tcPr>
          <w:p w14:paraId="6FCAD804"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Depending on the method used. Not in the Test Guidelines. Detailed protocol(s) can be provided as an example in annex or available on request from the institute that developed the marker.</w:t>
            </w:r>
          </w:p>
          <w:p w14:paraId="53CE0B96" w14:textId="77777777" w:rsidR="00224498" w:rsidRPr="000F04AF" w:rsidRDefault="00224498" w:rsidP="00803922">
            <w:pPr>
              <w:jc w:val="left"/>
              <w:rPr>
                <w:rFonts w:cs="Arial"/>
                <w:color w:val="000000"/>
                <w:sz w:val="18"/>
                <w:szCs w:val="18"/>
                <w:lang w:eastAsia="nl-NL"/>
              </w:rPr>
            </w:pPr>
          </w:p>
          <w:p w14:paraId="229F5655" w14:textId="77777777" w:rsidR="00224498" w:rsidRPr="000F04AF" w:rsidRDefault="00224498" w:rsidP="00803922">
            <w:pPr>
              <w:jc w:val="left"/>
              <w:rPr>
                <w:rFonts w:cs="Arial"/>
                <w:i/>
                <w:color w:val="000000"/>
                <w:sz w:val="18"/>
                <w:szCs w:val="18"/>
                <w:lang w:eastAsia="nl-NL"/>
              </w:rPr>
            </w:pPr>
            <w:r w:rsidRPr="000F04AF">
              <w:rPr>
                <w:rFonts w:cs="Arial"/>
                <w:color w:val="000000"/>
                <w:sz w:val="18"/>
                <w:szCs w:val="18"/>
                <w:lang w:eastAsia="nl-NL"/>
              </w:rPr>
              <w:t>PCR protocol describing primer, enzyme, dNTP concentrations, PCR cycle scheme.</w:t>
            </w:r>
          </w:p>
        </w:tc>
      </w:tr>
      <w:tr w:rsidR="00224498" w:rsidRPr="000F04AF" w14:paraId="34A1ACAB" w14:textId="77777777" w:rsidTr="00803922">
        <w:trPr>
          <w:cantSplit/>
        </w:trPr>
        <w:tc>
          <w:tcPr>
            <w:tcW w:w="363" w:type="pct"/>
            <w:vAlign w:val="center"/>
            <w:hideMark/>
          </w:tcPr>
          <w:p w14:paraId="35DE473D" w14:textId="77777777" w:rsidR="00224498" w:rsidRPr="000F04AF" w:rsidRDefault="00224498" w:rsidP="00803922">
            <w:pPr>
              <w:keepNext/>
              <w:jc w:val="left"/>
              <w:rPr>
                <w:rFonts w:cs="Arial"/>
                <w:color w:val="000000"/>
                <w:sz w:val="18"/>
                <w:szCs w:val="18"/>
                <w:lang w:eastAsia="fr-FR"/>
              </w:rPr>
            </w:pPr>
            <w:r w:rsidRPr="000F04AF">
              <w:rPr>
                <w:rFonts w:cs="Arial"/>
                <w:color w:val="000000"/>
                <w:sz w:val="18"/>
                <w:szCs w:val="18"/>
                <w:lang w:eastAsia="nl-NL"/>
              </w:rPr>
              <w:t>6.2</w:t>
            </w:r>
          </w:p>
        </w:tc>
        <w:tc>
          <w:tcPr>
            <w:tcW w:w="960" w:type="pct"/>
            <w:vAlign w:val="center"/>
            <w:hideMark/>
          </w:tcPr>
          <w:p w14:paraId="2B5FCC5F" w14:textId="77777777" w:rsidR="00224498" w:rsidRPr="000F04AF" w:rsidRDefault="00224498" w:rsidP="00803922">
            <w:pPr>
              <w:keepNext/>
              <w:jc w:val="left"/>
              <w:rPr>
                <w:rFonts w:cs="Arial"/>
                <w:color w:val="000000"/>
                <w:sz w:val="18"/>
                <w:szCs w:val="18"/>
                <w:lang w:eastAsia="fr-FR"/>
              </w:rPr>
            </w:pPr>
            <w:r w:rsidRPr="000F04AF">
              <w:rPr>
                <w:rFonts w:cs="Arial"/>
                <w:color w:val="000000"/>
                <w:sz w:val="18"/>
                <w:szCs w:val="18"/>
                <w:lang w:eastAsia="nl-NL"/>
              </w:rPr>
              <w:t>Particular hardware or infrastructure</w:t>
            </w:r>
          </w:p>
        </w:tc>
        <w:tc>
          <w:tcPr>
            <w:tcW w:w="589" w:type="pct"/>
            <w:vAlign w:val="center"/>
          </w:tcPr>
          <w:p w14:paraId="153030DB" w14:textId="77777777" w:rsidR="00224498" w:rsidRPr="000F04AF" w:rsidRDefault="00224498" w:rsidP="00803922">
            <w:pPr>
              <w:keepNext/>
              <w:jc w:val="left"/>
              <w:rPr>
                <w:rFonts w:cs="Arial"/>
                <w:color w:val="000000"/>
                <w:sz w:val="18"/>
                <w:szCs w:val="18"/>
                <w:lang w:eastAsia="nl-NL"/>
              </w:rPr>
            </w:pPr>
            <w:r w:rsidRPr="000F04AF">
              <w:rPr>
                <w:rFonts w:cs="Arial"/>
                <w:color w:val="000000"/>
                <w:sz w:val="18"/>
                <w:szCs w:val="18"/>
                <w:lang w:eastAsia="nl-NL"/>
              </w:rPr>
              <w:t>NO</w:t>
            </w:r>
          </w:p>
        </w:tc>
        <w:tc>
          <w:tcPr>
            <w:tcW w:w="3088" w:type="pct"/>
            <w:vAlign w:val="center"/>
          </w:tcPr>
          <w:p w14:paraId="74CEFAF3" w14:textId="77777777" w:rsidR="00224498" w:rsidRPr="000F04AF" w:rsidRDefault="00224498" w:rsidP="00803922">
            <w:pPr>
              <w:keepNext/>
              <w:jc w:val="left"/>
              <w:rPr>
                <w:rFonts w:cs="Arial"/>
                <w:color w:val="000000"/>
                <w:sz w:val="18"/>
                <w:szCs w:val="18"/>
                <w:lang w:eastAsia="nl-NL"/>
              </w:rPr>
            </w:pPr>
            <w:r w:rsidRPr="000F04AF">
              <w:rPr>
                <w:rFonts w:cs="Arial"/>
                <w:color w:val="000000"/>
                <w:sz w:val="18"/>
                <w:szCs w:val="18"/>
                <w:lang w:eastAsia="nl-NL"/>
              </w:rPr>
              <w:t>Depending on the method used. Not in the Test Guidelines. Detailed protocol(s) can be provided as an example in annex or available on request from the institute that developed the marker.</w:t>
            </w:r>
          </w:p>
          <w:p w14:paraId="437E41BA" w14:textId="77777777" w:rsidR="00224498" w:rsidRPr="000F04AF" w:rsidRDefault="00224498" w:rsidP="00803922">
            <w:pPr>
              <w:keepNext/>
              <w:jc w:val="left"/>
              <w:rPr>
                <w:rFonts w:cs="Arial"/>
                <w:color w:val="000000"/>
                <w:sz w:val="18"/>
                <w:szCs w:val="18"/>
                <w:lang w:eastAsia="nl-NL"/>
              </w:rPr>
            </w:pPr>
          </w:p>
          <w:p w14:paraId="5DAC4360" w14:textId="77777777" w:rsidR="00224498" w:rsidRPr="000F04AF" w:rsidRDefault="00224498" w:rsidP="00803922">
            <w:pPr>
              <w:keepNext/>
              <w:jc w:val="left"/>
              <w:rPr>
                <w:rFonts w:cs="Arial"/>
                <w:i/>
                <w:color w:val="000000"/>
                <w:sz w:val="18"/>
                <w:szCs w:val="18"/>
                <w:lang w:eastAsia="nl-NL"/>
              </w:rPr>
            </w:pPr>
            <w:r w:rsidRPr="000F04AF">
              <w:rPr>
                <w:rFonts w:cs="Arial"/>
                <w:color w:val="000000"/>
                <w:sz w:val="18"/>
                <w:szCs w:val="18"/>
                <w:lang w:eastAsia="nl-NL"/>
              </w:rPr>
              <w:t>Machines, commercial kits, manufactures of components, lot numbers of chemicals.</w:t>
            </w:r>
          </w:p>
        </w:tc>
      </w:tr>
      <w:tr w:rsidR="00224498" w:rsidRPr="000F04AF" w14:paraId="55AAB3CF" w14:textId="77777777" w:rsidTr="00803922">
        <w:trPr>
          <w:cantSplit/>
        </w:trPr>
        <w:tc>
          <w:tcPr>
            <w:tcW w:w="363" w:type="pct"/>
            <w:vAlign w:val="center"/>
            <w:hideMark/>
          </w:tcPr>
          <w:p w14:paraId="3969DA16"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7</w:t>
            </w:r>
          </w:p>
        </w:tc>
        <w:tc>
          <w:tcPr>
            <w:tcW w:w="960" w:type="pct"/>
            <w:vAlign w:val="center"/>
            <w:hideMark/>
          </w:tcPr>
          <w:p w14:paraId="2CE06026"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Observations</w:t>
            </w:r>
          </w:p>
        </w:tc>
        <w:tc>
          <w:tcPr>
            <w:tcW w:w="589" w:type="pct"/>
            <w:vAlign w:val="center"/>
          </w:tcPr>
          <w:p w14:paraId="36D569B2"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NO</w:t>
            </w:r>
          </w:p>
        </w:tc>
        <w:tc>
          <w:tcPr>
            <w:tcW w:w="3088" w:type="pct"/>
            <w:vAlign w:val="center"/>
          </w:tcPr>
          <w:p w14:paraId="3444ADFA"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Depending on the method used. Not in the Test Guidelines. Detailed protocol(s) can be provided as an example in annex or available on request from the institute that developed the marker.</w:t>
            </w:r>
          </w:p>
          <w:p w14:paraId="49D32144" w14:textId="77777777" w:rsidR="00224498" w:rsidRPr="000F04AF" w:rsidRDefault="00224498" w:rsidP="00803922">
            <w:pPr>
              <w:jc w:val="left"/>
              <w:rPr>
                <w:rFonts w:cs="Arial"/>
                <w:color w:val="000000"/>
                <w:sz w:val="18"/>
                <w:szCs w:val="18"/>
                <w:lang w:eastAsia="nl-NL"/>
              </w:rPr>
            </w:pPr>
          </w:p>
          <w:p w14:paraId="43B0188D" w14:textId="77777777" w:rsidR="00224498" w:rsidRPr="000F04AF" w:rsidRDefault="00224498" w:rsidP="00803922">
            <w:pPr>
              <w:jc w:val="left"/>
              <w:rPr>
                <w:rFonts w:cs="Arial"/>
                <w:i/>
                <w:color w:val="000000"/>
                <w:sz w:val="18"/>
                <w:szCs w:val="18"/>
                <w:lang w:eastAsia="nl-NL"/>
              </w:rPr>
            </w:pPr>
            <w:r w:rsidRPr="000F04AF">
              <w:rPr>
                <w:rFonts w:cs="Arial"/>
                <w:color w:val="000000"/>
                <w:sz w:val="18"/>
                <w:szCs w:val="18"/>
                <w:lang w:eastAsia="nl-NL"/>
              </w:rPr>
              <w:t>Bands on agarose gel (conventional PCR), Ct values (qPCR) Variant call based on sequencing reads.</w:t>
            </w:r>
          </w:p>
        </w:tc>
      </w:tr>
      <w:tr w:rsidR="00224498" w:rsidRPr="000F04AF" w14:paraId="510F403E" w14:textId="77777777" w:rsidTr="00803922">
        <w:trPr>
          <w:cantSplit/>
        </w:trPr>
        <w:tc>
          <w:tcPr>
            <w:tcW w:w="363" w:type="pct"/>
            <w:vAlign w:val="center"/>
          </w:tcPr>
          <w:p w14:paraId="10C0FD32" w14:textId="77777777" w:rsidR="00224498" w:rsidRPr="000F04AF" w:rsidRDefault="00224498" w:rsidP="00803922">
            <w:pPr>
              <w:jc w:val="left"/>
              <w:rPr>
                <w:rFonts w:cs="Arial"/>
                <w:color w:val="000000"/>
                <w:sz w:val="18"/>
                <w:szCs w:val="18"/>
                <w:lang w:eastAsia="nl-NL"/>
              </w:rPr>
            </w:pPr>
            <w:r w:rsidRPr="000F04AF">
              <w:rPr>
                <w:rFonts w:cs="Arial"/>
                <w:color w:val="000000" w:themeColor="text1"/>
                <w:sz w:val="18"/>
                <w:szCs w:val="18"/>
                <w:lang w:eastAsia="nl-NL"/>
              </w:rPr>
              <w:t>7.1</w:t>
            </w:r>
          </w:p>
        </w:tc>
        <w:tc>
          <w:tcPr>
            <w:tcW w:w="960" w:type="pct"/>
            <w:vAlign w:val="center"/>
          </w:tcPr>
          <w:p w14:paraId="56BE1758" w14:textId="77777777" w:rsidR="00224498" w:rsidRPr="000F04AF" w:rsidRDefault="00224498" w:rsidP="00803922">
            <w:pPr>
              <w:jc w:val="left"/>
              <w:rPr>
                <w:rFonts w:cs="Arial"/>
                <w:color w:val="000000"/>
                <w:sz w:val="18"/>
                <w:szCs w:val="18"/>
                <w:lang w:eastAsia="nl-NL"/>
              </w:rPr>
            </w:pPr>
            <w:r w:rsidRPr="000F04AF">
              <w:rPr>
                <w:rFonts w:cs="Arial"/>
                <w:color w:val="000000" w:themeColor="text1"/>
                <w:sz w:val="18"/>
                <w:szCs w:val="18"/>
                <w:lang w:eastAsia="nl-NL"/>
              </w:rPr>
              <w:t>Validity of the results</w:t>
            </w:r>
          </w:p>
        </w:tc>
        <w:tc>
          <w:tcPr>
            <w:tcW w:w="589" w:type="pct"/>
            <w:vAlign w:val="center"/>
          </w:tcPr>
          <w:p w14:paraId="55925CF0" w14:textId="77777777" w:rsidR="00224498" w:rsidRPr="000F04AF" w:rsidRDefault="00224498" w:rsidP="00803922">
            <w:pPr>
              <w:jc w:val="left"/>
              <w:rPr>
                <w:rFonts w:cs="Arial"/>
                <w:color w:val="000000" w:themeColor="text1"/>
                <w:sz w:val="18"/>
                <w:szCs w:val="18"/>
                <w:lang w:eastAsia="nl-NL"/>
              </w:rPr>
            </w:pPr>
            <w:r w:rsidRPr="000F04AF">
              <w:rPr>
                <w:rFonts w:cs="Arial"/>
                <w:color w:val="000000" w:themeColor="text1"/>
                <w:sz w:val="18"/>
                <w:szCs w:val="18"/>
                <w:lang w:eastAsia="nl-NL"/>
              </w:rPr>
              <w:t>YES</w:t>
            </w:r>
          </w:p>
        </w:tc>
        <w:tc>
          <w:tcPr>
            <w:tcW w:w="3088" w:type="pct"/>
            <w:vAlign w:val="center"/>
          </w:tcPr>
          <w:p w14:paraId="6B045873" w14:textId="77777777" w:rsidR="00224498" w:rsidRPr="000F04AF" w:rsidRDefault="00224498" w:rsidP="00803922">
            <w:pPr>
              <w:jc w:val="left"/>
              <w:rPr>
                <w:rFonts w:cs="Arial"/>
                <w:color w:val="000000" w:themeColor="text1"/>
                <w:sz w:val="18"/>
                <w:szCs w:val="18"/>
                <w:lang w:eastAsia="nl-NL"/>
              </w:rPr>
            </w:pPr>
            <w:r w:rsidRPr="000F04AF">
              <w:rPr>
                <w:rFonts w:cs="Arial"/>
                <w:color w:val="000000" w:themeColor="text1"/>
                <w:sz w:val="18"/>
                <w:szCs w:val="18"/>
                <w:lang w:eastAsia="nl-NL"/>
              </w:rPr>
              <w:t xml:space="preserve">Depending on the method used. </w:t>
            </w:r>
          </w:p>
          <w:p w14:paraId="20C217E2" w14:textId="77777777" w:rsidR="00224498" w:rsidRPr="000F04AF" w:rsidRDefault="00224498" w:rsidP="00803922">
            <w:pPr>
              <w:jc w:val="left"/>
              <w:rPr>
                <w:rFonts w:cs="Arial"/>
                <w:color w:val="000000" w:themeColor="text1"/>
                <w:sz w:val="18"/>
                <w:szCs w:val="18"/>
                <w:lang w:eastAsia="nl-NL"/>
              </w:rPr>
            </w:pPr>
          </w:p>
          <w:p w14:paraId="511B065A" w14:textId="77777777" w:rsidR="00224498" w:rsidRPr="000F04AF" w:rsidRDefault="00224498" w:rsidP="00803922">
            <w:pPr>
              <w:jc w:val="left"/>
              <w:rPr>
                <w:rFonts w:cs="Arial"/>
                <w:color w:val="000000" w:themeColor="text1"/>
                <w:sz w:val="18"/>
                <w:szCs w:val="18"/>
                <w:lang w:eastAsia="fr-FR"/>
              </w:rPr>
            </w:pPr>
            <w:r w:rsidRPr="000F04AF">
              <w:rPr>
                <w:rFonts w:cs="Arial"/>
                <w:color w:val="000000" w:themeColor="text1"/>
                <w:sz w:val="18"/>
                <w:szCs w:val="18"/>
                <w:lang w:eastAsia="fr-FR"/>
              </w:rPr>
              <w:t xml:space="preserve">For qPCR, check for typical exponential amplification curves. </w:t>
            </w:r>
          </w:p>
          <w:p w14:paraId="14CF8EF4" w14:textId="77777777" w:rsidR="00224498" w:rsidRPr="000F04AF" w:rsidRDefault="00224498" w:rsidP="00803922">
            <w:pPr>
              <w:jc w:val="left"/>
              <w:rPr>
                <w:rFonts w:cs="Arial"/>
                <w:color w:val="000000" w:themeColor="text1"/>
                <w:sz w:val="18"/>
                <w:szCs w:val="18"/>
                <w:lang w:eastAsia="fr-FR"/>
              </w:rPr>
            </w:pPr>
          </w:p>
          <w:p w14:paraId="79ABDB76" w14:textId="77777777" w:rsidR="00224498" w:rsidRPr="000F04AF" w:rsidRDefault="00224498" w:rsidP="00803922">
            <w:pPr>
              <w:jc w:val="left"/>
              <w:rPr>
                <w:rFonts w:cs="Arial"/>
                <w:i/>
                <w:color w:val="000000" w:themeColor="text1"/>
                <w:sz w:val="18"/>
                <w:szCs w:val="18"/>
                <w:lang w:eastAsia="fr-FR"/>
              </w:rPr>
            </w:pPr>
            <w:r w:rsidRPr="000F04AF">
              <w:rPr>
                <w:rFonts w:cs="Arial"/>
                <w:color w:val="000000" w:themeColor="text1"/>
                <w:sz w:val="18"/>
                <w:szCs w:val="18"/>
                <w:lang w:eastAsia="fr-FR"/>
              </w:rPr>
              <w:t>Check if the controls are as expected (negative controls = no signal; positive controls = shows expected signals for all fluorophores).</w:t>
            </w:r>
          </w:p>
        </w:tc>
      </w:tr>
      <w:tr w:rsidR="00224498" w:rsidRPr="000F04AF" w14:paraId="201E69A8" w14:textId="77777777" w:rsidTr="00803922">
        <w:trPr>
          <w:cantSplit/>
        </w:trPr>
        <w:tc>
          <w:tcPr>
            <w:tcW w:w="363" w:type="pct"/>
            <w:vAlign w:val="center"/>
          </w:tcPr>
          <w:p w14:paraId="51206676"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lastRenderedPageBreak/>
              <w:t>8</w:t>
            </w:r>
          </w:p>
        </w:tc>
        <w:tc>
          <w:tcPr>
            <w:tcW w:w="960" w:type="pct"/>
            <w:vAlign w:val="center"/>
          </w:tcPr>
          <w:p w14:paraId="630791D6"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Interpretation of the test results</w:t>
            </w:r>
          </w:p>
        </w:tc>
        <w:tc>
          <w:tcPr>
            <w:tcW w:w="589" w:type="pct"/>
            <w:vAlign w:val="center"/>
          </w:tcPr>
          <w:p w14:paraId="347297D5"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2B379F18"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Relation between alleles and expressions (with its notes).</w:t>
            </w:r>
          </w:p>
          <w:p w14:paraId="0FDF37F5" w14:textId="77777777" w:rsidR="00224498" w:rsidRPr="000F04AF" w:rsidRDefault="00224498" w:rsidP="00803922">
            <w:pPr>
              <w:jc w:val="left"/>
              <w:rPr>
                <w:rFonts w:cs="Arial"/>
                <w:color w:val="000000"/>
                <w:sz w:val="18"/>
                <w:szCs w:val="18"/>
                <w:lang w:eastAsia="nl-NL"/>
              </w:rPr>
            </w:pPr>
          </w:p>
          <w:p w14:paraId="01727C7D" w14:textId="77777777" w:rsidR="00224498" w:rsidRPr="000F04AF" w:rsidRDefault="00224498" w:rsidP="00803922">
            <w:pPr>
              <w:jc w:val="left"/>
              <w:rPr>
                <w:rFonts w:cs="Arial"/>
                <w:i/>
                <w:iCs/>
                <w:color w:val="000000"/>
                <w:sz w:val="18"/>
                <w:szCs w:val="18"/>
                <w:lang w:eastAsia="fr-FR"/>
              </w:rPr>
            </w:pPr>
            <w:r w:rsidRPr="000F04AF">
              <w:rPr>
                <w:rFonts w:cs="Arial"/>
                <w:color w:val="000000"/>
                <w:sz w:val="18"/>
                <w:szCs w:val="18"/>
                <w:lang w:eastAsia="nl-NL"/>
              </w:rPr>
              <w:t xml:space="preserve">In case the DNA marker test result does not confirm the declaration in the Technical Questionnaire, a field trial or </w:t>
            </w:r>
            <w:proofErr w:type="gramStart"/>
            <w:r w:rsidRPr="000F04AF">
              <w:rPr>
                <w:rFonts w:cs="Arial"/>
                <w:color w:val="000000"/>
                <w:sz w:val="18"/>
                <w:szCs w:val="18"/>
                <w:lang w:eastAsia="nl-NL"/>
              </w:rPr>
              <w:t>bio-assay</w:t>
            </w:r>
            <w:proofErr w:type="gramEnd"/>
            <w:r w:rsidRPr="000F04AF">
              <w:rPr>
                <w:rFonts w:cs="Arial"/>
                <w:color w:val="000000"/>
                <w:sz w:val="18"/>
                <w:szCs w:val="18"/>
                <w:lang w:eastAsia="nl-NL"/>
              </w:rPr>
              <w:t xml:space="preserve"> should be performed.</w:t>
            </w:r>
          </w:p>
        </w:tc>
      </w:tr>
      <w:tr w:rsidR="00224498" w:rsidRPr="000F04AF" w14:paraId="0AA19CC0" w14:textId="77777777" w:rsidTr="00803922">
        <w:trPr>
          <w:cantSplit/>
        </w:trPr>
        <w:tc>
          <w:tcPr>
            <w:tcW w:w="363" w:type="pct"/>
            <w:vAlign w:val="center"/>
          </w:tcPr>
          <w:p w14:paraId="49C805E2"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fr-FR"/>
              </w:rPr>
              <w:t>9</w:t>
            </w:r>
          </w:p>
        </w:tc>
        <w:tc>
          <w:tcPr>
            <w:tcW w:w="960" w:type="pct"/>
            <w:vAlign w:val="center"/>
          </w:tcPr>
          <w:p w14:paraId="199688C2"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fr-FR"/>
              </w:rPr>
              <w:t xml:space="preserve">Validation of the  protocol </w:t>
            </w:r>
          </w:p>
        </w:tc>
        <w:tc>
          <w:tcPr>
            <w:tcW w:w="589" w:type="pct"/>
            <w:vAlign w:val="center"/>
          </w:tcPr>
          <w:p w14:paraId="3F092795" w14:textId="77777777" w:rsidR="00224498" w:rsidRPr="000F04AF" w:rsidDel="009133BE" w:rsidRDefault="00224498" w:rsidP="00803922">
            <w:pPr>
              <w:jc w:val="left"/>
              <w:rPr>
                <w:rFonts w:cs="Arial"/>
                <w:color w:val="000000"/>
                <w:sz w:val="18"/>
                <w:szCs w:val="18"/>
                <w:lang w:eastAsia="fr-FR"/>
              </w:rPr>
            </w:pPr>
            <w:r w:rsidRPr="000F04AF">
              <w:rPr>
                <w:rFonts w:cs="Arial"/>
                <w:color w:val="000000"/>
                <w:sz w:val="18"/>
                <w:szCs w:val="18"/>
                <w:lang w:eastAsia="nl-NL"/>
              </w:rPr>
              <w:t>YES</w:t>
            </w:r>
          </w:p>
        </w:tc>
        <w:tc>
          <w:tcPr>
            <w:tcW w:w="3088" w:type="pct"/>
            <w:vAlign w:val="center"/>
          </w:tcPr>
          <w:p w14:paraId="5D40664E" w14:textId="77777777" w:rsidR="00224498" w:rsidRPr="000F04AF" w:rsidDel="00A75E69" w:rsidRDefault="00224498" w:rsidP="00803922">
            <w:pPr>
              <w:jc w:val="left"/>
              <w:rPr>
                <w:rFonts w:cs="Arial"/>
                <w:color w:val="000000"/>
                <w:sz w:val="18"/>
                <w:szCs w:val="18"/>
                <w:lang w:eastAsia="fr-FR"/>
              </w:rPr>
            </w:pPr>
            <w:r w:rsidRPr="000F04AF">
              <w:rPr>
                <w:rFonts w:cs="Arial"/>
                <w:color w:val="000000"/>
                <w:sz w:val="18"/>
                <w:szCs w:val="18"/>
                <w:lang w:eastAsia="fr-FR"/>
              </w:rPr>
              <w:t>To provide information on the validation of the protocol or to refer to contact the examination office for further information.</w:t>
            </w:r>
          </w:p>
        </w:tc>
      </w:tr>
      <w:tr w:rsidR="00224498" w:rsidRPr="000F04AF" w14:paraId="5937A7BD" w14:textId="77777777" w:rsidTr="00803922">
        <w:trPr>
          <w:cantSplit/>
        </w:trPr>
        <w:tc>
          <w:tcPr>
            <w:tcW w:w="363" w:type="pct"/>
            <w:vAlign w:val="center"/>
          </w:tcPr>
          <w:p w14:paraId="75072021" w14:textId="77777777" w:rsidR="00224498" w:rsidRPr="000F04AF" w:rsidRDefault="00224498" w:rsidP="00803922">
            <w:pPr>
              <w:jc w:val="left"/>
              <w:rPr>
                <w:rFonts w:cs="Arial"/>
                <w:color w:val="000000"/>
                <w:sz w:val="18"/>
                <w:szCs w:val="18"/>
                <w:lang w:eastAsia="fr-FR"/>
              </w:rPr>
            </w:pPr>
            <w:r w:rsidRPr="000F04AF">
              <w:rPr>
                <w:rFonts w:cs="Arial"/>
                <w:color w:val="000000" w:themeColor="text1"/>
                <w:sz w:val="18"/>
                <w:szCs w:val="18"/>
                <w:lang w:eastAsia="fr-FR"/>
              </w:rPr>
              <w:t>9.1</w:t>
            </w:r>
          </w:p>
        </w:tc>
        <w:tc>
          <w:tcPr>
            <w:tcW w:w="960" w:type="pct"/>
            <w:vAlign w:val="center"/>
          </w:tcPr>
          <w:p w14:paraId="2D687C8A" w14:textId="77777777" w:rsidR="00224498" w:rsidRPr="000F04AF" w:rsidRDefault="00224498" w:rsidP="00803922">
            <w:pPr>
              <w:jc w:val="left"/>
              <w:rPr>
                <w:rFonts w:cs="Arial"/>
                <w:color w:val="000000"/>
                <w:sz w:val="18"/>
                <w:szCs w:val="18"/>
                <w:lang w:eastAsia="fr-FR"/>
              </w:rPr>
            </w:pPr>
            <w:r w:rsidRPr="000F04AF">
              <w:rPr>
                <w:rFonts w:cs="Arial"/>
                <w:color w:val="000000" w:themeColor="text1"/>
                <w:sz w:val="18"/>
                <w:szCs w:val="18"/>
                <w:lang w:eastAsia="fr-FR"/>
              </w:rPr>
              <w:t>Contact Examination Office</w:t>
            </w:r>
          </w:p>
        </w:tc>
        <w:tc>
          <w:tcPr>
            <w:tcW w:w="589" w:type="pct"/>
            <w:vAlign w:val="center"/>
          </w:tcPr>
          <w:p w14:paraId="1C7E7900" w14:textId="77777777" w:rsidR="00224498" w:rsidRPr="000F04AF" w:rsidRDefault="00224498" w:rsidP="00803922">
            <w:pPr>
              <w:jc w:val="left"/>
              <w:rPr>
                <w:rFonts w:cs="Arial"/>
                <w:color w:val="000000" w:themeColor="text1"/>
                <w:sz w:val="18"/>
                <w:szCs w:val="18"/>
                <w:lang w:eastAsia="fr-FR"/>
              </w:rPr>
            </w:pPr>
            <w:r w:rsidRPr="000F04AF">
              <w:rPr>
                <w:rFonts w:cs="Arial"/>
                <w:color w:val="000000" w:themeColor="text1"/>
                <w:sz w:val="18"/>
                <w:szCs w:val="18"/>
                <w:lang w:eastAsia="fr-FR"/>
              </w:rPr>
              <w:t>YES</w:t>
            </w:r>
          </w:p>
        </w:tc>
        <w:tc>
          <w:tcPr>
            <w:tcW w:w="3088" w:type="pct"/>
            <w:vAlign w:val="center"/>
          </w:tcPr>
          <w:p w14:paraId="3AF4B7B0" w14:textId="77777777" w:rsidR="00224498" w:rsidRPr="000F04AF" w:rsidRDefault="00224498" w:rsidP="00803922">
            <w:pPr>
              <w:jc w:val="left"/>
              <w:rPr>
                <w:rFonts w:cs="Arial"/>
                <w:i/>
                <w:color w:val="000000" w:themeColor="text1"/>
                <w:sz w:val="18"/>
                <w:szCs w:val="18"/>
                <w:lang w:eastAsia="fr-FR"/>
              </w:rPr>
            </w:pPr>
            <w:r w:rsidRPr="000F04AF">
              <w:rPr>
                <w:rFonts w:cs="Arial"/>
                <w:color w:val="000000" w:themeColor="text1"/>
                <w:sz w:val="18"/>
                <w:szCs w:val="18"/>
                <w:lang w:eastAsia="fr-FR"/>
              </w:rPr>
              <w:t>Contact of the institute that developed the protocol, name of the service.</w:t>
            </w:r>
          </w:p>
        </w:tc>
      </w:tr>
    </w:tbl>
    <w:p w14:paraId="472ADE78" w14:textId="77777777" w:rsidR="00224498" w:rsidRPr="000F04AF" w:rsidRDefault="00224498" w:rsidP="00224498">
      <w:pPr>
        <w:rPr>
          <w:lang w:eastAsia="fr-FR"/>
        </w:rPr>
      </w:pPr>
    </w:p>
    <w:p w14:paraId="52A56F25" w14:textId="77777777" w:rsidR="00224498" w:rsidRPr="007667FB" w:rsidRDefault="00224498" w:rsidP="00224498">
      <w:pPr>
        <w:rPr>
          <w:lang w:eastAsia="fr-FR"/>
        </w:rPr>
      </w:pPr>
    </w:p>
    <w:p w14:paraId="2FA5B835" w14:textId="77777777" w:rsidR="00224498" w:rsidRPr="00B60F5B" w:rsidRDefault="00224498" w:rsidP="00224498">
      <w:r w:rsidRPr="00B60F5B">
        <w:rPr>
          <w:szCs w:val="24"/>
          <w:lang w:eastAsia="ja-JP"/>
        </w:rPr>
        <w:t>3.5.2</w:t>
      </w:r>
      <w:r w:rsidRPr="00B60F5B">
        <w:rPr>
          <w:lang w:eastAsia="fr-FR"/>
        </w:rPr>
        <w:tab/>
        <w:t xml:space="preserve">An example of </w:t>
      </w:r>
      <w:r>
        <w:rPr>
          <w:lang w:eastAsia="fr-FR"/>
        </w:rPr>
        <w:t>“</w:t>
      </w:r>
      <w:r w:rsidRPr="00B60F5B">
        <w:rPr>
          <w:lang w:eastAsia="fr-FR"/>
        </w:rPr>
        <w:t>characteristic</w:t>
      </w:r>
      <w:r w:rsidRPr="00B60F5B">
        <w:rPr>
          <w:lang w:eastAsia="fr-FR"/>
        </w:rPr>
        <w:noBreakHyphen/>
        <w:t>specific molecular marker as alternative method for observation</w:t>
      </w:r>
      <w:r>
        <w:rPr>
          <w:lang w:eastAsia="fr-FR"/>
        </w:rPr>
        <w:t>”</w:t>
      </w:r>
      <w:r w:rsidRPr="00B60F5B">
        <w:rPr>
          <w:lang w:eastAsia="fr-FR"/>
        </w:rPr>
        <w:t xml:space="preserve"> is provided in the Test Guidelines for Tomato (TG/44/12), under characteristic ‘Resistance to Tomato Mosaic Virus’ (</w:t>
      </w:r>
      <w:proofErr w:type="spellStart"/>
      <w:r w:rsidRPr="00B60F5B">
        <w:rPr>
          <w:lang w:eastAsia="fr-FR"/>
        </w:rPr>
        <w:t>ToMV</w:t>
      </w:r>
      <w:proofErr w:type="spellEnd"/>
      <w:r w:rsidRPr="00B60F5B">
        <w:rPr>
          <w:lang w:eastAsia="fr-FR"/>
        </w:rPr>
        <w:t xml:space="preserve">) (see Ad. 59(ii), ‘DNA marker test’). Although compliant with the present guidance, it was adopted prior to the standard presentation format outlined in Table 1 and is therefore presented in a different format.  The report of the comparative test conducted by three laboratories is available upon request to </w:t>
      </w:r>
      <w:hyperlink r:id="rId21" w:history="1">
        <w:r w:rsidRPr="00B60F5B">
          <w:rPr>
            <w:rStyle w:val="Hyperlink"/>
          </w:rPr>
          <w:t>info@naktuinbouw.nl</w:t>
        </w:r>
      </w:hyperlink>
      <w:r w:rsidRPr="00B60F5B">
        <w:t>.</w:t>
      </w:r>
    </w:p>
    <w:p w14:paraId="039893F6" w14:textId="77777777" w:rsidR="00224498" w:rsidRPr="000F04AF" w:rsidRDefault="00224498" w:rsidP="00224498">
      <w:pPr>
        <w:rPr>
          <w:lang w:eastAsia="fr-FR"/>
        </w:rPr>
      </w:pPr>
    </w:p>
    <w:p w14:paraId="0F70FB85" w14:textId="77777777" w:rsidR="00224498" w:rsidRPr="000F04AF" w:rsidRDefault="00224498" w:rsidP="00224498">
      <w:pPr>
        <w:rPr>
          <w:lang w:eastAsia="fr-FR"/>
        </w:rPr>
      </w:pPr>
    </w:p>
    <w:p w14:paraId="7C6DC4CD" w14:textId="77777777" w:rsidR="00224498" w:rsidRPr="000F04AF" w:rsidRDefault="00224498" w:rsidP="00224498">
      <w:pPr>
        <w:pStyle w:val="Heading2"/>
      </w:pPr>
      <w:bookmarkStart w:id="93" w:name="_Toc189576576"/>
      <w:bookmarkStart w:id="94" w:name="_Toc210139358"/>
      <w:bookmarkStart w:id="95" w:name="_Toc240537046"/>
      <w:bookmarkStart w:id="96" w:name="_Toc240538650"/>
      <w:r w:rsidRPr="000F04AF">
        <w:t>3.6</w:t>
      </w:r>
      <w:r w:rsidRPr="000F04AF">
        <w:tab/>
        <w:t>Follow-up survey after approval</w:t>
      </w:r>
      <w:bookmarkEnd w:id="93"/>
      <w:bookmarkEnd w:id="94"/>
      <w:bookmarkEnd w:id="95"/>
      <w:bookmarkEnd w:id="96"/>
    </w:p>
    <w:p w14:paraId="1A23E21D" w14:textId="77777777" w:rsidR="00224498" w:rsidRPr="000F04AF" w:rsidRDefault="00224498" w:rsidP="00224498">
      <w:pPr>
        <w:rPr>
          <w:lang w:eastAsia="fr-FR"/>
        </w:rPr>
      </w:pPr>
      <w:r w:rsidRPr="000F04AF">
        <w:rPr>
          <w:lang w:eastAsia="ja-JP"/>
        </w:rPr>
        <w:t>3.6.1</w:t>
      </w:r>
      <w:r w:rsidRPr="000F04AF">
        <w:rPr>
          <w:lang w:eastAsia="fr-FR"/>
        </w:rPr>
        <w:tab/>
        <w:t>Validation of the marker is not fixed as new genetics can arise from the market. This is a continuous evaluation process. Specificity should be re-assessed after validation acceptance using parallel testing (marker test and bioassay) with observation method</w:t>
      </w:r>
      <w:r w:rsidRPr="00B00FEF">
        <w:rPr>
          <w:lang w:eastAsia="fr-FR"/>
        </w:rPr>
        <w:t xml:space="preserve"> </w:t>
      </w:r>
      <w:r w:rsidRPr="000F04AF">
        <w:rPr>
          <w:lang w:eastAsia="fr-FR"/>
        </w:rPr>
        <w:t xml:space="preserve">at least during the first year. </w:t>
      </w:r>
    </w:p>
    <w:p w14:paraId="6DA62CE7" w14:textId="77777777" w:rsidR="00224498" w:rsidRPr="000F04AF" w:rsidRDefault="00224498" w:rsidP="00224498">
      <w:pPr>
        <w:rPr>
          <w:lang w:eastAsia="fr-FR"/>
        </w:rPr>
      </w:pPr>
    </w:p>
    <w:p w14:paraId="1B1586DE" w14:textId="77777777" w:rsidR="00224498" w:rsidRPr="000F04AF" w:rsidRDefault="00224498" w:rsidP="00224498">
      <w:pPr>
        <w:rPr>
          <w:lang w:eastAsia="fr-FR"/>
        </w:rPr>
      </w:pPr>
      <w:r w:rsidRPr="000F04AF">
        <w:rPr>
          <w:lang w:eastAsia="ja-JP"/>
        </w:rPr>
        <w:t>3.6.2</w:t>
      </w:r>
      <w:r w:rsidRPr="000F04AF">
        <w:rPr>
          <w:lang w:eastAsia="fr-FR"/>
        </w:rPr>
        <w:tab/>
        <w:t>After the first year of acceptance of the protocol, morphological checks on about 10% of the new varieties should be performed.</w:t>
      </w:r>
    </w:p>
    <w:p w14:paraId="23E3AA52" w14:textId="77777777" w:rsidR="00224498" w:rsidRPr="000F04AF" w:rsidRDefault="00224498" w:rsidP="00224498">
      <w:pPr>
        <w:jc w:val="left"/>
      </w:pPr>
    </w:p>
    <w:p w14:paraId="5C9256F9" w14:textId="77777777" w:rsidR="001F202B" w:rsidRPr="000F04AF" w:rsidRDefault="001F202B" w:rsidP="001F202B">
      <w:pPr>
        <w:jc w:val="left"/>
      </w:pPr>
    </w:p>
    <w:p w14:paraId="751F848B" w14:textId="1845BFBB" w:rsidR="001F202B" w:rsidRPr="000F04AF" w:rsidRDefault="007F03AD" w:rsidP="00C177F3">
      <w:pPr>
        <w:pStyle w:val="Heading2"/>
      </w:pPr>
      <w:bookmarkStart w:id="97" w:name="_Toc210139359"/>
      <w:bookmarkStart w:id="98" w:name="_Toc240538651"/>
      <w:r w:rsidRPr="000F04AF">
        <w:t>3.7</w:t>
      </w:r>
      <w:r w:rsidR="001F202B" w:rsidRPr="000F04AF">
        <w:tab/>
      </w:r>
      <w:r w:rsidR="00315888" w:rsidRPr="000F04AF">
        <w:t>Literature</w:t>
      </w:r>
      <w:bookmarkEnd w:id="97"/>
      <w:bookmarkEnd w:id="98"/>
    </w:p>
    <w:p w14:paraId="2DE37D67" w14:textId="77777777" w:rsidR="001F202B" w:rsidRPr="000F04AF" w:rsidRDefault="001F202B" w:rsidP="001F202B">
      <w:r w:rsidRPr="000F04AF">
        <w:t xml:space="preserve">Arens P., Mansilla C., </w:t>
      </w:r>
      <w:proofErr w:type="spellStart"/>
      <w:r w:rsidRPr="000F04AF">
        <w:t>Deinum</w:t>
      </w:r>
      <w:proofErr w:type="spellEnd"/>
      <w:r w:rsidRPr="000F04AF">
        <w:t xml:space="preserve"> D., </w:t>
      </w:r>
      <w:proofErr w:type="spellStart"/>
      <w:r w:rsidRPr="000F04AF">
        <w:t>Cavellini</w:t>
      </w:r>
      <w:proofErr w:type="spellEnd"/>
      <w:r w:rsidRPr="000F04AF">
        <w:t xml:space="preserve"> L., Moretti A., Rolland S., van der </w:t>
      </w:r>
      <w:proofErr w:type="spellStart"/>
      <w:r w:rsidRPr="000F04AF">
        <w:t>Schoot</w:t>
      </w:r>
      <w:proofErr w:type="spellEnd"/>
      <w:r w:rsidRPr="000F04AF">
        <w:t xml:space="preserve"> H., Calvache D., </w:t>
      </w:r>
      <w:proofErr w:type="spellStart"/>
      <w:r w:rsidRPr="000F04AF">
        <w:t>Ponz</w:t>
      </w:r>
      <w:proofErr w:type="spellEnd"/>
      <w:r w:rsidRPr="000F04AF">
        <w:t xml:space="preserve"> F., </w:t>
      </w:r>
      <w:proofErr w:type="spellStart"/>
      <w:r w:rsidRPr="000F04AF">
        <w:t>Collonnier</w:t>
      </w:r>
      <w:proofErr w:type="spellEnd"/>
      <w:r w:rsidRPr="000F04AF">
        <w:t xml:space="preserve"> C., Mathis R., </w:t>
      </w:r>
      <w:proofErr w:type="spellStart"/>
      <w:r w:rsidRPr="000F04AF">
        <w:t>Smilde</w:t>
      </w:r>
      <w:proofErr w:type="spellEnd"/>
      <w:r w:rsidRPr="000F04AF">
        <w:t xml:space="preserve"> D., </w:t>
      </w:r>
      <w:proofErr w:type="spellStart"/>
      <w:r w:rsidRPr="000F04AF">
        <w:t>Caranta</w:t>
      </w:r>
      <w:proofErr w:type="spellEnd"/>
      <w:r w:rsidRPr="000F04AF">
        <w:t xml:space="preserve"> C.; Vosman B., 2010: Development and evaluation of robust molecular markers linked to disease resistance in tomato for distinctness, uniformity and stability testing. </w:t>
      </w:r>
    </w:p>
    <w:p w14:paraId="0B4EA167" w14:textId="77777777" w:rsidR="001F202B" w:rsidRPr="000F04AF" w:rsidRDefault="001F202B" w:rsidP="001F202B">
      <w:pPr>
        <w:jc w:val="left"/>
      </w:pPr>
      <w:r w:rsidRPr="000F04AF">
        <w:t>Theoretical and applied genetics 120(3). pp. 655-64</w:t>
      </w:r>
    </w:p>
    <w:p w14:paraId="62929CBF" w14:textId="77777777" w:rsidR="001F202B" w:rsidRPr="000F04AF" w:rsidRDefault="001F202B" w:rsidP="001F202B"/>
    <w:p w14:paraId="2D942B4C" w14:textId="77777777" w:rsidR="001F202B" w:rsidRPr="00341B87" w:rsidRDefault="001F202B" w:rsidP="001F202B">
      <w:r w:rsidRPr="000F04AF">
        <w:t xml:space="preserve">Langton, S.D., </w:t>
      </w:r>
      <w:proofErr w:type="spellStart"/>
      <w:r w:rsidRPr="000F04AF">
        <w:t>Chevennement</w:t>
      </w:r>
      <w:proofErr w:type="spellEnd"/>
      <w:r w:rsidRPr="000F04AF">
        <w:t xml:space="preserve">, R., Nagelkerke, N. and Lombard, B. (2002). </w:t>
      </w:r>
      <w:proofErr w:type="spellStart"/>
      <w:r w:rsidRPr="000F04AF">
        <w:t>Analysing</w:t>
      </w:r>
      <w:proofErr w:type="spellEnd"/>
      <w:r w:rsidRPr="000F04AF">
        <w:t xml:space="preserve"> collaborative trials for qualitative microbiological methods: accordance and concordance. International Journal of Food Microbiology, 79, 175-181</w:t>
      </w:r>
    </w:p>
    <w:p w14:paraId="284DC945" w14:textId="77777777" w:rsidR="001F202B" w:rsidRPr="00341B87" w:rsidRDefault="001F202B" w:rsidP="001F202B">
      <w:pPr>
        <w:jc w:val="left"/>
      </w:pPr>
    </w:p>
    <w:p w14:paraId="162C6FC3" w14:textId="77777777" w:rsidR="00E306B7" w:rsidRDefault="00E306B7" w:rsidP="000A4427"/>
    <w:p w14:paraId="78FCAFA2" w14:textId="77777777" w:rsidR="00C177F3" w:rsidRDefault="00C177F3" w:rsidP="000A4427"/>
    <w:p w14:paraId="7E4D46ED" w14:textId="77777777" w:rsidR="006000D3" w:rsidRPr="006000D3" w:rsidRDefault="006000D3" w:rsidP="006000D3">
      <w:pPr>
        <w:jc w:val="right"/>
        <w:rPr>
          <w:strike/>
        </w:rPr>
      </w:pPr>
      <w:r w:rsidRPr="006000D3">
        <w:rPr>
          <w:strike/>
          <w:highlight w:val="lightGray"/>
        </w:rPr>
        <w:t>[Annexes follow]</w:t>
      </w:r>
    </w:p>
    <w:p w14:paraId="603C2466" w14:textId="77777777" w:rsidR="006000D3" w:rsidRPr="000A4427" w:rsidRDefault="006000D3" w:rsidP="000A4427"/>
    <w:p w14:paraId="5EFFCB1B" w14:textId="218A97C9" w:rsidR="00293DD2" w:rsidRPr="00FA728C" w:rsidRDefault="00293DD2" w:rsidP="00293DD2">
      <w:pPr>
        <w:jc w:val="right"/>
        <w:rPr>
          <w:rFonts w:cs="Arial"/>
          <w:u w:val="single"/>
        </w:rPr>
      </w:pPr>
      <w:r w:rsidRPr="00FA6279">
        <w:rPr>
          <w:rFonts w:cs="Arial"/>
          <w:highlight w:val="lightGray"/>
          <w:u w:val="single"/>
        </w:rPr>
        <w:t>[End of document]</w:t>
      </w:r>
    </w:p>
    <w:p w14:paraId="161FB8BB" w14:textId="77777777" w:rsidR="00F40E8E" w:rsidRDefault="00F40E8E" w:rsidP="00F40E8E">
      <w:pPr>
        <w:rPr>
          <w:u w:val="single"/>
        </w:rPr>
      </w:pPr>
    </w:p>
    <w:p w14:paraId="7B9E9538" w14:textId="77777777" w:rsidR="00FA728C" w:rsidRDefault="00FA728C" w:rsidP="00F40E8E">
      <w:pPr>
        <w:rPr>
          <w:u w:val="single"/>
        </w:rPr>
        <w:sectPr w:rsidR="00FA728C" w:rsidSect="007C5A0C">
          <w:headerReference w:type="default" r:id="rId22"/>
          <w:pgSz w:w="11907" w:h="16840" w:code="9"/>
          <w:pgMar w:top="510" w:right="1134" w:bottom="1134" w:left="1134" w:header="510" w:footer="680" w:gutter="0"/>
          <w:pgNumType w:start="1"/>
          <w:cols w:space="720"/>
          <w:titlePg/>
        </w:sectPr>
      </w:pPr>
    </w:p>
    <w:p w14:paraId="6CA82837" w14:textId="77777777" w:rsidR="007E07F8" w:rsidRPr="007E07F8" w:rsidRDefault="007E07F8" w:rsidP="007E07F8">
      <w:pPr>
        <w:jc w:val="center"/>
        <w:rPr>
          <w:strike/>
          <w:highlight w:val="lightGray"/>
        </w:rPr>
      </w:pPr>
      <w:bookmarkStart w:id="99" w:name="_Toc311473363"/>
      <w:r w:rsidRPr="007E07F8">
        <w:rPr>
          <w:strike/>
          <w:highlight w:val="lightGray"/>
        </w:rPr>
        <w:lastRenderedPageBreak/>
        <w:t xml:space="preserve">ANNEX </w:t>
      </w:r>
      <w:bookmarkEnd w:id="99"/>
      <w:r w:rsidRPr="007E07F8">
        <w:rPr>
          <w:strike/>
          <w:highlight w:val="lightGray"/>
        </w:rPr>
        <w:t>I</w:t>
      </w:r>
    </w:p>
    <w:p w14:paraId="0A1BBEB2" w14:textId="77777777" w:rsidR="007E07F8" w:rsidRPr="007E07F8" w:rsidRDefault="007E07F8" w:rsidP="007E07F8">
      <w:pPr>
        <w:jc w:val="center"/>
        <w:rPr>
          <w:strike/>
          <w:highlight w:val="lightGray"/>
        </w:rPr>
      </w:pPr>
    </w:p>
    <w:p w14:paraId="656F57C0" w14:textId="77777777" w:rsidR="007E07F8" w:rsidRPr="007E07F8" w:rsidRDefault="007E07F8" w:rsidP="007E07F8">
      <w:pPr>
        <w:jc w:val="center"/>
        <w:rPr>
          <w:strike/>
          <w:highlight w:val="lightGray"/>
        </w:rPr>
      </w:pPr>
    </w:p>
    <w:p w14:paraId="7B865D94" w14:textId="77777777" w:rsidR="007E07F8" w:rsidRPr="007E07F8" w:rsidRDefault="007E07F8" w:rsidP="007E07F8">
      <w:pPr>
        <w:pBdr>
          <w:top w:val="single" w:sz="4" w:space="1" w:color="auto"/>
          <w:left w:val="single" w:sz="4" w:space="4" w:color="auto"/>
          <w:bottom w:val="single" w:sz="4" w:space="1" w:color="auto"/>
          <w:right w:val="single" w:sz="4" w:space="4" w:color="auto"/>
        </w:pBdr>
        <w:jc w:val="center"/>
        <w:rPr>
          <w:strike/>
          <w:snapToGrid w:val="0"/>
          <w:color w:val="000000"/>
        </w:rPr>
      </w:pPr>
      <w:bookmarkStart w:id="100" w:name="_Toc285523706"/>
      <w:bookmarkStart w:id="101" w:name="_Toc311473364"/>
      <w:r w:rsidRPr="007E07F8">
        <w:rPr>
          <w:strike/>
          <w:snapToGrid w:val="0"/>
          <w:highlight w:val="lightGray"/>
        </w:rPr>
        <w:t xml:space="preserve">MODEL:  </w:t>
      </w:r>
      <w:r w:rsidRPr="007E07F8">
        <w:rPr>
          <w:strike/>
          <w:snapToGrid w:val="0"/>
          <w:color w:val="000000"/>
          <w:highlight w:val="lightGray"/>
        </w:rPr>
        <w:t>CHARACTERISTIC-SPECIFIC MOLECULAR MARKERS</w:t>
      </w:r>
      <w:bookmarkEnd w:id="100"/>
      <w:bookmarkEnd w:id="101"/>
    </w:p>
    <w:p w14:paraId="6CC0E821" w14:textId="77777777" w:rsidR="007E07F8" w:rsidRPr="007E07F8" w:rsidRDefault="007E07F8" w:rsidP="007E07F8">
      <w:pPr>
        <w:jc w:val="center"/>
        <w:rPr>
          <w:strike/>
        </w:rPr>
      </w:pPr>
      <w:bookmarkStart w:id="102" w:name="_Toc311473365"/>
    </w:p>
    <w:p w14:paraId="3F963373" w14:textId="77777777" w:rsidR="007E07F8" w:rsidRDefault="007E07F8" w:rsidP="007E07F8">
      <w:pPr>
        <w:jc w:val="center"/>
      </w:pPr>
    </w:p>
    <w:p w14:paraId="00408731" w14:textId="77777777" w:rsidR="007E07F8" w:rsidRPr="007E07F8" w:rsidRDefault="007E07F8" w:rsidP="007E07F8">
      <w:pPr>
        <w:jc w:val="center"/>
        <w:rPr>
          <w:strike/>
          <w:color w:val="4F81BD" w:themeColor="accent1"/>
        </w:rPr>
      </w:pPr>
      <w:r w:rsidRPr="007E07F8">
        <w:rPr>
          <w:strike/>
          <w:color w:val="4F81BD" w:themeColor="accent1"/>
        </w:rPr>
        <w:t>EXAMPLE 1:  GENE SPECIFIC MARKER FOR HERBICIDE TOLERANCE</w:t>
      </w:r>
      <w:bookmarkEnd w:id="102"/>
    </w:p>
    <w:p w14:paraId="468F100F" w14:textId="77777777" w:rsidR="007E07F8" w:rsidRPr="007E07F8" w:rsidRDefault="007E07F8" w:rsidP="007E07F8">
      <w:pPr>
        <w:jc w:val="center"/>
        <w:rPr>
          <w:strike/>
          <w:color w:val="4F81BD" w:themeColor="accent1"/>
        </w:rPr>
      </w:pPr>
    </w:p>
    <w:p w14:paraId="7967DE32" w14:textId="77777777" w:rsidR="007E07F8" w:rsidRPr="007E07F8" w:rsidRDefault="007E07F8" w:rsidP="007E07F8">
      <w:pPr>
        <w:jc w:val="center"/>
        <w:rPr>
          <w:strike/>
          <w:color w:val="4F81BD" w:themeColor="accent1"/>
        </w:rPr>
      </w:pPr>
    </w:p>
    <w:p w14:paraId="20C42F15" w14:textId="77777777" w:rsidR="007E07F8" w:rsidRPr="00804A0D" w:rsidRDefault="007E07F8" w:rsidP="00804A0D">
      <w:pPr>
        <w:jc w:val="center"/>
        <w:rPr>
          <w:strike/>
          <w:color w:val="4F81BD" w:themeColor="accent1"/>
        </w:rPr>
      </w:pPr>
      <w:r w:rsidRPr="00804A0D">
        <w:rPr>
          <w:strike/>
          <w:color w:val="4F81BD" w:themeColor="accent1"/>
        </w:rPr>
        <w:t>prepared by experts from France</w:t>
      </w:r>
    </w:p>
    <w:p w14:paraId="214F097B" w14:textId="77777777" w:rsidR="007E07F8" w:rsidRDefault="007E07F8" w:rsidP="007E07F8">
      <w:pPr>
        <w:rPr>
          <w:rFonts w:cs="Arial"/>
        </w:rPr>
      </w:pPr>
    </w:p>
    <w:p w14:paraId="702B66C8" w14:textId="77777777" w:rsidR="007E07F8" w:rsidRPr="00CD142F" w:rsidRDefault="007E07F8" w:rsidP="007E07F8">
      <w:pPr>
        <w:rPr>
          <w:rFonts w:cs="Arial"/>
        </w:rPr>
      </w:pPr>
    </w:p>
    <w:p w14:paraId="4C130236" w14:textId="77777777" w:rsidR="007E07F8" w:rsidRPr="007E07F8" w:rsidRDefault="007E07F8" w:rsidP="007E07F8">
      <w:pPr>
        <w:rPr>
          <w:strike/>
          <w:u w:val="single"/>
        </w:rPr>
      </w:pPr>
      <w:r w:rsidRPr="007E07F8">
        <w:rPr>
          <w:strike/>
          <w:highlight w:val="lightGray"/>
          <w:u w:val="single"/>
        </w:rPr>
        <w:t>Example</w:t>
      </w:r>
    </w:p>
    <w:p w14:paraId="1048BFB1" w14:textId="77777777" w:rsidR="007E07F8" w:rsidRPr="007E07F8" w:rsidRDefault="007E07F8" w:rsidP="007E07F8">
      <w:pPr>
        <w:rPr>
          <w:strike/>
        </w:rPr>
      </w:pPr>
    </w:p>
    <w:p w14:paraId="51EE9642" w14:textId="77777777" w:rsidR="007E07F8" w:rsidRPr="007E07F8" w:rsidRDefault="007E07F8" w:rsidP="007E07F8">
      <w:pPr>
        <w:rPr>
          <w:rFonts w:cs="Arial"/>
          <w:strike/>
          <w:color w:val="4F81BD" w:themeColor="accent1"/>
        </w:rPr>
      </w:pPr>
      <w:r w:rsidRPr="007E07F8">
        <w:rPr>
          <w:rFonts w:cs="Arial"/>
          <w:strike/>
          <w:color w:val="4F81BD" w:themeColor="accent1"/>
        </w:rPr>
        <w:t>1.</w:t>
      </w:r>
      <w:r w:rsidRPr="007E07F8">
        <w:rPr>
          <w:rFonts w:cs="Arial"/>
          <w:strike/>
          <w:color w:val="4F81BD" w:themeColor="accent1"/>
        </w:rPr>
        <w:tab/>
        <w:t xml:space="preserve">A variety is genetically modified by the insertion of a gene for tolerance to herbicide “Formula X.”  Varieties containing this gene are not harmed when sprayed with Formula X; however, varieties without this gene are always killed if sprayed with this particular herbicide. Tolerance of Formula X, examined in field trials by spraying of plots, is an accepted DUS characteristic, and it can be used to establish distinctness between varieties.  </w:t>
      </w:r>
    </w:p>
    <w:p w14:paraId="49073B37" w14:textId="77777777" w:rsidR="007E07F8" w:rsidRPr="007E07F8" w:rsidRDefault="007E07F8" w:rsidP="007E07F8">
      <w:pPr>
        <w:rPr>
          <w:rFonts w:cs="Arial"/>
          <w:strike/>
          <w:color w:val="4F81BD" w:themeColor="accent1"/>
        </w:rPr>
      </w:pPr>
    </w:p>
    <w:p w14:paraId="357793A2" w14:textId="77777777" w:rsidR="007E07F8" w:rsidRPr="007E07F8" w:rsidRDefault="007E07F8" w:rsidP="007E07F8">
      <w:pPr>
        <w:rPr>
          <w:rFonts w:cs="Arial"/>
          <w:strike/>
          <w:color w:val="4F81BD" w:themeColor="accent1"/>
        </w:rPr>
      </w:pPr>
      <w:r w:rsidRPr="007E07F8">
        <w:rPr>
          <w:rFonts w:cs="Arial"/>
          <w:strike/>
          <w:color w:val="4F81BD" w:themeColor="accent1"/>
        </w:rPr>
        <w:t>2.</w:t>
      </w:r>
      <w:r w:rsidRPr="007E07F8">
        <w:rPr>
          <w:rFonts w:cs="Arial"/>
          <w:strike/>
          <w:color w:val="4F81BD" w:themeColor="accent1"/>
        </w:rPr>
        <w:tab/>
        <w:t xml:space="preserve">It is proposed that, rather than spraying varieties in the field (this is difficult to organize in the standard DUS trial), the characteristic “tolerance of Formula X” is examined by conducting a test for the presence of a molecular marker </w:t>
      </w:r>
      <w:r w:rsidRPr="007E07F8">
        <w:rPr>
          <w:rFonts w:cs="Arial"/>
          <w:i/>
          <w:strike/>
          <w:color w:val="4F81BD" w:themeColor="accent1"/>
        </w:rPr>
        <w:t>linked</w:t>
      </w:r>
      <w:r w:rsidRPr="007E07F8">
        <w:rPr>
          <w:rFonts w:cs="Arial"/>
          <w:strike/>
          <w:color w:val="4F81BD" w:themeColor="accent1"/>
        </w:rPr>
        <w:t xml:space="preserve"> to the gene.  This marker is located on a part of the gene “construct.”  The gene “construct” comprises all the elements which are inserted into the plant during the genetic modification and, in addition to the gene itself, contains additional elements for regulating the gene when in the plant.  The marker may be located within the gene, partly on the gene or outside the gene itself.</w:t>
      </w:r>
    </w:p>
    <w:p w14:paraId="476781D9" w14:textId="77777777" w:rsidR="007E07F8" w:rsidRPr="007E07F8" w:rsidRDefault="007E07F8" w:rsidP="007E07F8">
      <w:pPr>
        <w:rPr>
          <w:rFonts w:cs="Arial"/>
          <w:strike/>
          <w:color w:val="4F81BD" w:themeColor="accent1"/>
        </w:rPr>
      </w:pPr>
    </w:p>
    <w:p w14:paraId="68ED2D0F" w14:textId="77777777" w:rsidR="007E07F8" w:rsidRPr="007E07F8" w:rsidRDefault="007E07F8" w:rsidP="007E07F8">
      <w:pPr>
        <w:rPr>
          <w:rFonts w:cs="Arial"/>
          <w:strike/>
          <w:color w:val="4F81BD" w:themeColor="accent1"/>
        </w:rPr>
      </w:pPr>
    </w:p>
    <w:p w14:paraId="6DE6805F" w14:textId="77777777" w:rsidR="007E07F8" w:rsidRPr="007E07F8" w:rsidRDefault="007E07F8" w:rsidP="007E07F8">
      <w:pPr>
        <w:rPr>
          <w:rFonts w:cs="Arial"/>
          <w:strike/>
          <w:color w:val="4F81BD" w:themeColor="accent1"/>
          <w:u w:val="single"/>
        </w:rPr>
      </w:pPr>
      <w:r w:rsidRPr="007E07F8">
        <w:rPr>
          <w:rFonts w:cs="Arial"/>
          <w:strike/>
          <w:color w:val="4F81BD" w:themeColor="accent1"/>
          <w:u w:val="single"/>
        </w:rPr>
        <w:t>Assumptions to be made in the example</w:t>
      </w:r>
    </w:p>
    <w:p w14:paraId="3ED7BA3E" w14:textId="77777777" w:rsidR="007E07F8" w:rsidRPr="007E07F8" w:rsidRDefault="007E07F8" w:rsidP="007E07F8">
      <w:pPr>
        <w:rPr>
          <w:rFonts w:cs="Arial"/>
          <w:strike/>
          <w:color w:val="4F81BD" w:themeColor="accent1"/>
          <w:u w:val="single"/>
        </w:rPr>
      </w:pPr>
    </w:p>
    <w:p w14:paraId="7510AE91" w14:textId="77777777" w:rsidR="007E07F8" w:rsidRPr="007E07F8" w:rsidRDefault="007E07F8" w:rsidP="007E07F8">
      <w:pPr>
        <w:rPr>
          <w:strike/>
          <w:color w:val="4F81BD" w:themeColor="accent1"/>
        </w:rPr>
      </w:pPr>
      <w:r w:rsidRPr="007E07F8">
        <w:rPr>
          <w:strike/>
          <w:color w:val="4F81BD" w:themeColor="accent1"/>
        </w:rPr>
        <w:t>3.</w:t>
      </w:r>
      <w:r w:rsidRPr="007E07F8">
        <w:rPr>
          <w:strike/>
          <w:color w:val="4F81BD" w:themeColor="accent1"/>
        </w:rPr>
        <w:tab/>
        <w:t>The following assumptions are made:</w:t>
      </w:r>
    </w:p>
    <w:p w14:paraId="1C05ECE9" w14:textId="77777777" w:rsidR="007E07F8" w:rsidRPr="007E07F8" w:rsidRDefault="007E07F8" w:rsidP="007E07F8">
      <w:pPr>
        <w:rPr>
          <w:strike/>
          <w:color w:val="4F81BD" w:themeColor="accent1"/>
        </w:rPr>
      </w:pPr>
    </w:p>
    <w:p w14:paraId="2A5E606A" w14:textId="77777777" w:rsidR="007E07F8" w:rsidRPr="007E07F8" w:rsidRDefault="007E07F8" w:rsidP="007E07F8">
      <w:pPr>
        <w:ind w:left="567"/>
        <w:rPr>
          <w:strike/>
          <w:color w:val="4F81BD" w:themeColor="accent1"/>
        </w:rPr>
      </w:pPr>
      <w:r w:rsidRPr="007E07F8">
        <w:rPr>
          <w:strike/>
          <w:color w:val="4F81BD" w:themeColor="accent1"/>
        </w:rPr>
        <w:t>(a)</w:t>
      </w:r>
      <w:r w:rsidRPr="007E07F8">
        <w:rPr>
          <w:strike/>
          <w:color w:val="4F81BD" w:themeColor="accent1"/>
        </w:rPr>
        <w:tab/>
        <w:t>The DUS Examination</w:t>
      </w:r>
    </w:p>
    <w:p w14:paraId="01A59E13" w14:textId="77777777" w:rsidR="007E07F8" w:rsidRPr="007E07F8" w:rsidRDefault="007E07F8" w:rsidP="007E07F8">
      <w:pPr>
        <w:ind w:left="567"/>
        <w:rPr>
          <w:strike/>
          <w:color w:val="4F81BD" w:themeColor="accent1"/>
        </w:rPr>
      </w:pPr>
    </w:p>
    <w:p w14:paraId="49ADF107" w14:textId="77777777" w:rsidR="007E07F8" w:rsidRPr="007E07F8" w:rsidRDefault="007E07F8" w:rsidP="007E07F8">
      <w:pPr>
        <w:pStyle w:val="BodyTextIndent"/>
        <w:ind w:left="0" w:firstLine="567"/>
        <w:rPr>
          <w:rFonts w:cs="Arial"/>
          <w:strike/>
          <w:color w:val="4F81BD" w:themeColor="accent1"/>
          <w:szCs w:val="20"/>
        </w:rPr>
      </w:pPr>
      <w:r w:rsidRPr="007E07F8">
        <w:rPr>
          <w:rFonts w:cs="Arial"/>
          <w:strike/>
          <w:color w:val="4F81BD" w:themeColor="accent1"/>
          <w:szCs w:val="20"/>
        </w:rPr>
        <w:t>It is assumed that the test for the marker would be conducted to the same extent as for the field test, i.e. the same number of individual plants, over the same number of years and with the same criteria for distinctness, uniformity and stability.</w:t>
      </w:r>
    </w:p>
    <w:p w14:paraId="3104873E" w14:textId="77777777" w:rsidR="007E07F8" w:rsidRPr="007E07F8" w:rsidRDefault="007E07F8" w:rsidP="007E07F8">
      <w:pPr>
        <w:pStyle w:val="BodyTextIndent"/>
        <w:spacing w:line="360" w:lineRule="auto"/>
        <w:ind w:left="0" w:firstLine="567"/>
        <w:rPr>
          <w:rFonts w:cs="Arial"/>
          <w:strike/>
          <w:color w:val="4F81BD" w:themeColor="accent1"/>
          <w:szCs w:val="20"/>
          <w:u w:val="single"/>
        </w:rPr>
      </w:pPr>
    </w:p>
    <w:p w14:paraId="15C51178" w14:textId="77777777" w:rsidR="007E07F8" w:rsidRPr="007E07F8" w:rsidRDefault="007E07F8" w:rsidP="007E07F8">
      <w:pPr>
        <w:ind w:left="567"/>
        <w:rPr>
          <w:strike/>
          <w:color w:val="4F81BD" w:themeColor="accent1"/>
        </w:rPr>
      </w:pPr>
      <w:r w:rsidRPr="007E07F8">
        <w:rPr>
          <w:strike/>
          <w:color w:val="4F81BD" w:themeColor="accent1"/>
        </w:rPr>
        <w:t>(b)</w:t>
      </w:r>
      <w:r w:rsidRPr="007E07F8">
        <w:rPr>
          <w:strike/>
          <w:color w:val="4F81BD" w:themeColor="accent1"/>
        </w:rPr>
        <w:tab/>
        <w:t>Reliability of the Linkage</w:t>
      </w:r>
    </w:p>
    <w:p w14:paraId="443BE80F" w14:textId="77777777" w:rsidR="007E07F8" w:rsidRPr="007E07F8" w:rsidRDefault="007E07F8" w:rsidP="007E07F8">
      <w:pPr>
        <w:ind w:left="567"/>
        <w:rPr>
          <w:strike/>
          <w:color w:val="4F81BD" w:themeColor="accent1"/>
        </w:rPr>
      </w:pPr>
    </w:p>
    <w:p w14:paraId="49425B85" w14:textId="77777777" w:rsidR="007E07F8" w:rsidRPr="007E07F8" w:rsidRDefault="007E07F8" w:rsidP="007E07F8">
      <w:pPr>
        <w:ind w:firstLine="567"/>
        <w:rPr>
          <w:rFonts w:cs="Arial"/>
          <w:strike/>
          <w:color w:val="4F81BD" w:themeColor="accent1"/>
        </w:rPr>
      </w:pPr>
      <w:r w:rsidRPr="007E07F8">
        <w:rPr>
          <w:rFonts w:cs="Arial"/>
          <w:strike/>
          <w:color w:val="4F81BD" w:themeColor="accent1"/>
        </w:rPr>
        <w:t>It is assumed that the link between the marker and the gene would be checked to ensure that the marker is a reliable predictor of tolerance to Formula X.  This check would be necessary to ensure, for example, that the marker does not become separated from the gene and that the presence of the gene is still resulting in tolerance to Formula X.</w:t>
      </w:r>
    </w:p>
    <w:p w14:paraId="11BDCF84" w14:textId="77777777" w:rsidR="007E07F8" w:rsidRPr="007E07F8" w:rsidRDefault="007E07F8" w:rsidP="007E07F8">
      <w:pPr>
        <w:spacing w:line="360" w:lineRule="auto"/>
        <w:ind w:firstLine="567"/>
        <w:rPr>
          <w:rFonts w:cs="Arial"/>
          <w:strike/>
          <w:color w:val="4F81BD" w:themeColor="accent1"/>
        </w:rPr>
      </w:pPr>
    </w:p>
    <w:p w14:paraId="39CEB865" w14:textId="77777777" w:rsidR="007E07F8" w:rsidRPr="007E07F8" w:rsidRDefault="007E07F8" w:rsidP="007E07F8">
      <w:pPr>
        <w:ind w:left="567"/>
        <w:rPr>
          <w:strike/>
          <w:color w:val="4F81BD" w:themeColor="accent1"/>
        </w:rPr>
      </w:pPr>
      <w:r w:rsidRPr="007E07F8">
        <w:rPr>
          <w:strike/>
          <w:color w:val="4F81BD" w:themeColor="accent1"/>
        </w:rPr>
        <w:t>(c)</w:t>
      </w:r>
      <w:r w:rsidRPr="007E07F8">
        <w:rPr>
          <w:strike/>
          <w:color w:val="4F81BD" w:themeColor="accent1"/>
        </w:rPr>
        <w:tab/>
        <w:t>Development of Different Molecular Markers for the Same Gene</w:t>
      </w:r>
    </w:p>
    <w:p w14:paraId="4A84D26F" w14:textId="77777777" w:rsidR="007E07F8" w:rsidRPr="007E07F8" w:rsidRDefault="007E07F8" w:rsidP="007E07F8">
      <w:pPr>
        <w:ind w:left="567"/>
        <w:rPr>
          <w:strike/>
          <w:color w:val="4F81BD" w:themeColor="accent1"/>
        </w:rPr>
      </w:pPr>
    </w:p>
    <w:p w14:paraId="6489BAB3" w14:textId="77777777" w:rsidR="007E07F8" w:rsidRPr="007E07F8" w:rsidRDefault="007E07F8" w:rsidP="007E07F8">
      <w:pPr>
        <w:ind w:firstLine="567"/>
        <w:rPr>
          <w:rFonts w:cs="Arial"/>
          <w:b/>
          <w:strike/>
          <w:color w:val="4F81BD" w:themeColor="accent1"/>
        </w:rPr>
      </w:pPr>
      <w:r w:rsidRPr="007E07F8">
        <w:rPr>
          <w:rFonts w:cs="Arial"/>
          <w:strike/>
          <w:color w:val="4F81BD" w:themeColor="accent1"/>
        </w:rPr>
        <w:t xml:space="preserve">It would be possible to develop different gene constructs containing Formula X tolerance and to identify separate molecular markers for these individual gene constructs, all of which would be linked to exactly the same gene for Formula X tolerance.  If all the different markers for the same gene were accepted as different methods for examining the </w:t>
      </w:r>
      <w:r w:rsidRPr="007E07F8">
        <w:rPr>
          <w:rFonts w:cs="Arial"/>
          <w:i/>
          <w:strike/>
          <w:color w:val="4F81BD" w:themeColor="accent1"/>
        </w:rPr>
        <w:t>same existing phenotypic characteristic</w:t>
      </w:r>
      <w:r w:rsidRPr="007E07F8">
        <w:rPr>
          <w:rFonts w:cs="Arial"/>
          <w:strike/>
          <w:color w:val="4F81BD" w:themeColor="accent1"/>
        </w:rPr>
        <w:t>, the consideration of the approach would be the same.  For the use of “Molecular […] [markers] as a predictor of traditional</w:t>
      </w:r>
      <w:r w:rsidRPr="007E07F8">
        <w:rPr>
          <w:rFonts w:cs="Arial"/>
          <w:i/>
          <w:strike/>
          <w:color w:val="4F81BD" w:themeColor="accent1"/>
        </w:rPr>
        <w:t xml:space="preserve"> </w:t>
      </w:r>
      <w:r w:rsidRPr="007E07F8">
        <w:rPr>
          <w:rFonts w:cs="Arial"/>
          <w:strike/>
          <w:color w:val="4F81BD" w:themeColor="accent1"/>
        </w:rPr>
        <w:t>characteristics,” it is necessary to work on the basis that the markers correspond to a traditional, i.e. existing, approved characteristic.  Therefore, it is assumed that different markers for the same gene would be treated as different methods for examining the same characteristic, i.e. tolerance to Formula X.</w:t>
      </w:r>
    </w:p>
    <w:p w14:paraId="12CC3EB8" w14:textId="77777777" w:rsidR="007E07F8" w:rsidRPr="007E07F8" w:rsidRDefault="007E07F8" w:rsidP="007E07F8">
      <w:pPr>
        <w:spacing w:line="360" w:lineRule="auto"/>
        <w:rPr>
          <w:strike/>
          <w:color w:val="4F81BD" w:themeColor="accent1"/>
        </w:rPr>
      </w:pPr>
    </w:p>
    <w:p w14:paraId="408EDC94" w14:textId="77777777" w:rsidR="007E07F8" w:rsidRPr="007E07F8" w:rsidRDefault="007E07F8" w:rsidP="007E07F8">
      <w:pPr>
        <w:keepNext/>
        <w:ind w:left="567"/>
        <w:rPr>
          <w:strike/>
          <w:color w:val="4F81BD" w:themeColor="accent1"/>
        </w:rPr>
      </w:pPr>
      <w:r w:rsidRPr="007E07F8">
        <w:rPr>
          <w:strike/>
          <w:color w:val="4F81BD" w:themeColor="accent1"/>
        </w:rPr>
        <w:lastRenderedPageBreak/>
        <w:t>(d)</w:t>
      </w:r>
      <w:r w:rsidRPr="007E07F8">
        <w:rPr>
          <w:strike/>
          <w:color w:val="4F81BD" w:themeColor="accent1"/>
        </w:rPr>
        <w:tab/>
        <w:t>Different Genes Producing Tolerance to the Same Herbicide</w:t>
      </w:r>
    </w:p>
    <w:p w14:paraId="43B0FB66" w14:textId="77777777" w:rsidR="007E07F8" w:rsidRPr="007E07F8" w:rsidRDefault="007E07F8" w:rsidP="007E07F8">
      <w:pPr>
        <w:keepNext/>
        <w:ind w:left="567"/>
        <w:rPr>
          <w:strike/>
          <w:color w:val="4F81BD" w:themeColor="accent1"/>
        </w:rPr>
      </w:pPr>
    </w:p>
    <w:p w14:paraId="77A94587" w14:textId="77777777" w:rsidR="007E07F8" w:rsidRPr="007E07F8" w:rsidRDefault="007E07F8" w:rsidP="007E07F8">
      <w:pPr>
        <w:keepLines/>
        <w:ind w:firstLine="567"/>
        <w:rPr>
          <w:rFonts w:cs="Arial"/>
          <w:strike/>
          <w:color w:val="4F81BD" w:themeColor="accent1"/>
        </w:rPr>
      </w:pPr>
      <w:r w:rsidRPr="007E07F8">
        <w:rPr>
          <w:rFonts w:cs="Arial"/>
          <w:strike/>
          <w:color w:val="4F81BD" w:themeColor="accent1"/>
        </w:rPr>
        <w:t xml:space="preserve">It might be possible to develop different genes which confer tolerance to Formula X.  In the simplest case, this could be considered in the same way as different markers for the same gene, i.e. the different genes, with their respective markers, would be considered as different methods for examining the same characteristic, i.e. tolerance to Formula X.  However, the different genes are likely to have a different chemical mechanism to produce the tolerance to Formula X.  Thus, the chemicals produced from the different genes will be different </w:t>
      </w:r>
      <w:proofErr w:type="gramStart"/>
      <w:r w:rsidRPr="007E07F8">
        <w:rPr>
          <w:rFonts w:cs="Arial"/>
          <w:strike/>
          <w:color w:val="4F81BD" w:themeColor="accent1"/>
        </w:rPr>
        <w:t>and,</w:t>
      </w:r>
      <w:proofErr w:type="gramEnd"/>
      <w:r w:rsidRPr="007E07F8">
        <w:rPr>
          <w:rFonts w:cs="Arial"/>
          <w:strike/>
          <w:color w:val="4F81BD" w:themeColor="accent1"/>
        </w:rPr>
        <w:t xml:space="preserve"> these different chemicals might be a basis for establishing distinctness in some circumstances.  Nevertheless, under this model, it would first be necessary to approve the chemical components as UPOV characteristics, before accepting molecular markers linked to these potential characteristics.  This in turn would be a separate example.  Therefore, it is assumed that different genes would be treated as different methods for examining the same characteristic, i.e. tolerance to Formula X.</w:t>
      </w:r>
    </w:p>
    <w:p w14:paraId="33DD4534" w14:textId="77777777" w:rsidR="007E07F8" w:rsidRPr="007E07F8" w:rsidRDefault="007E07F8" w:rsidP="007E07F8">
      <w:pPr>
        <w:spacing w:line="360" w:lineRule="auto"/>
        <w:rPr>
          <w:strike/>
          <w:color w:val="4F81BD" w:themeColor="accent1"/>
        </w:rPr>
      </w:pPr>
    </w:p>
    <w:p w14:paraId="4AB4AACA" w14:textId="77777777" w:rsidR="007E07F8" w:rsidRPr="007E07F8" w:rsidRDefault="007E07F8" w:rsidP="007E07F8">
      <w:pPr>
        <w:ind w:left="1134" w:hanging="567"/>
        <w:rPr>
          <w:strike/>
          <w:color w:val="4F81BD" w:themeColor="accent1"/>
        </w:rPr>
      </w:pPr>
      <w:r w:rsidRPr="007E07F8">
        <w:rPr>
          <w:strike/>
          <w:color w:val="4F81BD" w:themeColor="accent1"/>
        </w:rPr>
        <w:t>(e)</w:t>
      </w:r>
      <w:r w:rsidRPr="007E07F8">
        <w:rPr>
          <w:strike/>
          <w:color w:val="4F81BD" w:themeColor="accent1"/>
        </w:rPr>
        <w:tab/>
        <w:t>Different Gene Constructs Producing the Same Herbicide Tolerance but With Different Control of the Expression</w:t>
      </w:r>
    </w:p>
    <w:p w14:paraId="1008EB7E" w14:textId="77777777" w:rsidR="007E07F8" w:rsidRPr="007E07F8" w:rsidRDefault="007E07F8" w:rsidP="007E07F8">
      <w:pPr>
        <w:ind w:left="1134" w:hanging="567"/>
        <w:rPr>
          <w:strike/>
          <w:color w:val="4F81BD" w:themeColor="accent1"/>
        </w:rPr>
      </w:pPr>
    </w:p>
    <w:p w14:paraId="413EE7A9" w14:textId="77777777" w:rsidR="007E07F8" w:rsidRPr="007E07F8" w:rsidRDefault="007E07F8" w:rsidP="007E07F8">
      <w:pPr>
        <w:rPr>
          <w:strike/>
          <w:color w:val="4F81BD" w:themeColor="accent1"/>
        </w:rPr>
      </w:pPr>
      <w:r w:rsidRPr="007E07F8">
        <w:rPr>
          <w:strike/>
          <w:color w:val="4F81BD" w:themeColor="accent1"/>
        </w:rPr>
        <w:tab/>
        <w:t>It is also possible that different gene constructs could be developed which contain the same gene for tolerance to Formula X, but which had different regulatory control.  For example, the regulatory elements may result in the Formula X tolerance only being switched on at certain stages of development.  For simplicity, in considering this example, it is assumed that the different markers linked to different regulatory elements for the same gene would all be treated as different methods for examining the same characteristic of tolerance to Formula X.  However, it is also assumed that further consideration would be given to this matter at a later stage.</w:t>
      </w:r>
    </w:p>
    <w:p w14:paraId="254A22A7" w14:textId="77777777" w:rsidR="007E07F8" w:rsidRDefault="007E07F8" w:rsidP="007E07F8"/>
    <w:p w14:paraId="2820157F" w14:textId="77777777" w:rsidR="007E07F8" w:rsidRDefault="007E07F8" w:rsidP="007E07F8">
      <w:pPr>
        <w:jc w:val="left"/>
      </w:pPr>
      <w:r>
        <w:br w:type="page"/>
      </w:r>
    </w:p>
    <w:p w14:paraId="71E55EC8" w14:textId="77777777" w:rsidR="007E07F8" w:rsidRPr="007E07F8" w:rsidRDefault="007E07F8" w:rsidP="007E07F8">
      <w:pPr>
        <w:pBdr>
          <w:top w:val="single" w:sz="4" w:space="1" w:color="auto"/>
          <w:left w:val="single" w:sz="4" w:space="4" w:color="auto"/>
          <w:bottom w:val="single" w:sz="4" w:space="1" w:color="auto"/>
          <w:right w:val="single" w:sz="4" w:space="4" w:color="auto"/>
        </w:pBdr>
        <w:jc w:val="center"/>
        <w:rPr>
          <w:strike/>
          <w:snapToGrid w:val="0"/>
          <w:color w:val="000000"/>
        </w:rPr>
      </w:pPr>
      <w:r w:rsidRPr="007E07F8">
        <w:rPr>
          <w:strike/>
          <w:snapToGrid w:val="0"/>
          <w:highlight w:val="lightGray"/>
        </w:rPr>
        <w:lastRenderedPageBreak/>
        <w:t xml:space="preserve">MODEL:  </w:t>
      </w:r>
      <w:r w:rsidRPr="007E07F8">
        <w:rPr>
          <w:strike/>
          <w:snapToGrid w:val="0"/>
          <w:color w:val="000000"/>
          <w:highlight w:val="lightGray"/>
        </w:rPr>
        <w:t>CHARACTERISTIC-SPECIFIC MOLECULAR MARKERS</w:t>
      </w:r>
    </w:p>
    <w:p w14:paraId="077220F6" w14:textId="77777777" w:rsidR="007E07F8" w:rsidRPr="00FC3411" w:rsidRDefault="007E07F8" w:rsidP="007E07F8">
      <w:pPr>
        <w:jc w:val="center"/>
      </w:pPr>
    </w:p>
    <w:p w14:paraId="40672C0C" w14:textId="77777777" w:rsidR="007E07F8" w:rsidRPr="00FC3411" w:rsidRDefault="007E07F8" w:rsidP="007E07F8">
      <w:pPr>
        <w:jc w:val="center"/>
      </w:pPr>
    </w:p>
    <w:p w14:paraId="5111A86B" w14:textId="77777777" w:rsidR="007E07F8" w:rsidRPr="007E07F8" w:rsidRDefault="007E07F8" w:rsidP="007E07F8">
      <w:pPr>
        <w:spacing w:after="160" w:line="259" w:lineRule="auto"/>
        <w:jc w:val="center"/>
        <w:rPr>
          <w:rFonts w:eastAsia="Calibri" w:cs="Arial"/>
          <w:strike/>
          <w:color w:val="4F81BD" w:themeColor="accent1"/>
          <w:lang w:val="en-GB"/>
        </w:rPr>
      </w:pPr>
      <w:r w:rsidRPr="007E07F8">
        <w:rPr>
          <w:rFonts w:eastAsia="Calibri" w:cs="Arial"/>
          <w:strike/>
          <w:color w:val="4F81BD" w:themeColor="accent1"/>
          <w:lang w:val="en-GB"/>
        </w:rPr>
        <w:t>EXAMPLE 2:  GENE SPECIFIC MARKER WITH INCOMPLETE INFORMATION ON STATE OF EXPRESSION FOR DISEASE RESISTANCE IN TOMATO</w:t>
      </w:r>
    </w:p>
    <w:p w14:paraId="2D76E577" w14:textId="77777777" w:rsidR="007E07F8" w:rsidRPr="007E07F8" w:rsidRDefault="007E07F8" w:rsidP="007E07F8">
      <w:pPr>
        <w:spacing w:after="160" w:line="259" w:lineRule="auto"/>
        <w:jc w:val="center"/>
        <w:rPr>
          <w:rFonts w:eastAsia="Calibri" w:cs="Arial"/>
          <w:i/>
          <w:iCs/>
          <w:strike/>
          <w:color w:val="4F81BD" w:themeColor="accent1"/>
          <w:lang w:val="en-GB"/>
        </w:rPr>
      </w:pPr>
      <w:r w:rsidRPr="007E07F8">
        <w:rPr>
          <w:rFonts w:eastAsia="Calibri" w:cs="Arial"/>
          <w:i/>
          <w:iCs/>
          <w:strike/>
          <w:color w:val="4F81BD" w:themeColor="accent1"/>
          <w:lang w:val="en-GB"/>
        </w:rPr>
        <w:t>prepared by experts from The Netherlands</w:t>
      </w:r>
    </w:p>
    <w:p w14:paraId="454DE2D8" w14:textId="77777777" w:rsidR="007E07F8" w:rsidRPr="00FC3411" w:rsidRDefault="007E07F8" w:rsidP="007E07F8">
      <w:pPr>
        <w:autoSpaceDE w:val="0"/>
        <w:autoSpaceDN w:val="0"/>
        <w:adjustRightInd w:val="0"/>
        <w:rPr>
          <w:rFonts w:eastAsia="Calibri" w:cs="Arial"/>
          <w:lang w:val="en-GB"/>
        </w:rPr>
      </w:pPr>
    </w:p>
    <w:p w14:paraId="58043F6D" w14:textId="77777777" w:rsidR="007E07F8" w:rsidRPr="007E07F8" w:rsidRDefault="007E07F8" w:rsidP="007E07F8">
      <w:pPr>
        <w:autoSpaceDE w:val="0"/>
        <w:autoSpaceDN w:val="0"/>
        <w:adjustRightInd w:val="0"/>
        <w:rPr>
          <w:rFonts w:eastAsia="Calibri" w:cs="Arial"/>
          <w:strike/>
          <w:u w:val="single"/>
          <w:lang w:val="en-GB"/>
        </w:rPr>
      </w:pPr>
      <w:r w:rsidRPr="007E07F8">
        <w:rPr>
          <w:rFonts w:eastAsia="Calibri" w:cs="Arial"/>
          <w:strike/>
          <w:highlight w:val="lightGray"/>
          <w:u w:val="single"/>
          <w:lang w:val="en-GB"/>
        </w:rPr>
        <w:t>Example</w:t>
      </w:r>
    </w:p>
    <w:p w14:paraId="360212F6" w14:textId="77777777" w:rsidR="007E07F8" w:rsidRPr="00FC3411" w:rsidRDefault="007E07F8" w:rsidP="007E07F8">
      <w:pPr>
        <w:autoSpaceDE w:val="0"/>
        <w:autoSpaceDN w:val="0"/>
        <w:adjustRightInd w:val="0"/>
        <w:rPr>
          <w:rFonts w:eastAsia="Calibri" w:cs="Arial"/>
          <w:strike/>
          <w:lang w:val="en-GB"/>
        </w:rPr>
      </w:pPr>
    </w:p>
    <w:p w14:paraId="089E4375" w14:textId="77777777" w:rsidR="007E07F8" w:rsidRPr="007E07F8" w:rsidRDefault="007E07F8" w:rsidP="007E07F8">
      <w:pPr>
        <w:autoSpaceDE w:val="0"/>
        <w:autoSpaceDN w:val="0"/>
        <w:adjustRightInd w:val="0"/>
        <w:rPr>
          <w:rFonts w:eastAsia="Calibri" w:cs="Arial"/>
          <w:strike/>
          <w:color w:val="4F81BD" w:themeColor="accent1"/>
          <w:szCs w:val="18"/>
          <w:lang w:val="en-GB"/>
        </w:rPr>
      </w:pPr>
      <w:r w:rsidRPr="007E07F8">
        <w:rPr>
          <w:rFonts w:eastAsia="Calibri" w:cs="Arial"/>
          <w:strike/>
          <w:color w:val="4F81BD" w:themeColor="accent1"/>
          <w:lang w:val="en-GB"/>
        </w:rPr>
        <w:t>1.</w:t>
      </w:r>
      <w:r w:rsidRPr="007E07F8">
        <w:rPr>
          <w:rFonts w:eastAsia="Calibri" w:cs="Arial"/>
          <w:strike/>
          <w:color w:val="4F81BD" w:themeColor="accent1"/>
          <w:lang w:val="en-GB"/>
        </w:rPr>
        <w:tab/>
        <w:t>Resistance to Tomato mosaic virus (</w:t>
      </w:r>
      <w:proofErr w:type="spellStart"/>
      <w:r w:rsidRPr="007E07F8">
        <w:rPr>
          <w:rFonts w:eastAsia="Calibri" w:cs="Arial"/>
          <w:strike/>
          <w:color w:val="4F81BD" w:themeColor="accent1"/>
          <w:lang w:val="en-GB"/>
        </w:rPr>
        <w:t>ToMV</w:t>
      </w:r>
      <w:proofErr w:type="spellEnd"/>
      <w:r w:rsidRPr="007E07F8">
        <w:rPr>
          <w:rFonts w:eastAsia="Calibri" w:cs="Arial"/>
          <w:strike/>
          <w:color w:val="4F81BD" w:themeColor="accent1"/>
          <w:lang w:val="en-GB"/>
        </w:rPr>
        <w:t xml:space="preserve">) Strain 0 in Tomato is conferred by </w:t>
      </w:r>
      <w:r w:rsidRPr="007E07F8">
        <w:rPr>
          <w:rFonts w:eastAsia="Calibri" w:cs="Arial"/>
          <w:strike/>
          <w:color w:val="4F81BD" w:themeColor="accent1"/>
          <w:szCs w:val="18"/>
          <w:lang w:val="en-GB"/>
        </w:rPr>
        <w:t xml:space="preserve">the presence of allele </w:t>
      </w:r>
      <w:r w:rsidRPr="007E07F8">
        <w:rPr>
          <w:rFonts w:eastAsia="Calibri" w:cs="Arial"/>
          <w:i/>
          <w:strike/>
          <w:color w:val="4F81BD" w:themeColor="accent1"/>
          <w:szCs w:val="18"/>
          <w:lang w:val="en-GB"/>
        </w:rPr>
        <w:t xml:space="preserve">Tm1 </w:t>
      </w:r>
      <w:r w:rsidRPr="007E07F8">
        <w:rPr>
          <w:rFonts w:eastAsia="Calibri" w:cs="Arial"/>
          <w:strike/>
          <w:color w:val="4F81BD" w:themeColor="accent1"/>
          <w:szCs w:val="18"/>
          <w:lang w:val="en-GB"/>
        </w:rPr>
        <w:t>from gene Tm1</w:t>
      </w:r>
      <w:r w:rsidRPr="007E07F8">
        <w:rPr>
          <w:rFonts w:eastAsia="Calibri" w:cs="Arial"/>
          <w:i/>
          <w:strike/>
          <w:color w:val="4F81BD" w:themeColor="accent1"/>
          <w:szCs w:val="18"/>
          <w:lang w:val="en-GB"/>
        </w:rPr>
        <w:t xml:space="preserve"> </w:t>
      </w:r>
      <w:r w:rsidRPr="007E07F8">
        <w:rPr>
          <w:rFonts w:eastAsia="Calibri" w:cs="Arial"/>
          <w:strike/>
          <w:color w:val="4F81BD" w:themeColor="accent1"/>
          <w:szCs w:val="18"/>
          <w:lang w:val="en-GB"/>
        </w:rPr>
        <w:t xml:space="preserve">or alleles </w:t>
      </w:r>
      <w:r w:rsidRPr="007E07F8">
        <w:rPr>
          <w:rFonts w:eastAsia="Calibri" w:cs="Arial"/>
          <w:i/>
          <w:strike/>
          <w:color w:val="4F81BD" w:themeColor="accent1"/>
          <w:szCs w:val="18"/>
          <w:lang w:val="en-GB"/>
        </w:rPr>
        <w:t xml:space="preserve">Tm2 </w:t>
      </w:r>
      <w:r w:rsidRPr="007E07F8">
        <w:rPr>
          <w:rFonts w:eastAsia="Calibri" w:cs="Arial"/>
          <w:strike/>
          <w:color w:val="4F81BD" w:themeColor="accent1"/>
          <w:szCs w:val="18"/>
          <w:lang w:val="en-GB"/>
        </w:rPr>
        <w:t xml:space="preserve">or </w:t>
      </w:r>
      <w:r w:rsidRPr="007E07F8">
        <w:rPr>
          <w:rFonts w:eastAsia="Calibri" w:cs="Arial"/>
          <w:i/>
          <w:strike/>
          <w:color w:val="4F81BD" w:themeColor="accent1"/>
          <w:szCs w:val="18"/>
          <w:lang w:val="en-GB"/>
        </w:rPr>
        <w:t>Tm2</w:t>
      </w:r>
      <w:r w:rsidRPr="007E07F8">
        <w:rPr>
          <w:rFonts w:eastAsia="Calibri" w:cs="Arial"/>
          <w:i/>
          <w:strike/>
          <w:color w:val="4F81BD" w:themeColor="accent1"/>
          <w:szCs w:val="18"/>
          <w:vertAlign w:val="superscript"/>
          <w:lang w:val="en-GB"/>
        </w:rPr>
        <w:t xml:space="preserve">2  </w:t>
      </w:r>
      <w:r w:rsidRPr="007E07F8">
        <w:rPr>
          <w:rFonts w:eastAsia="Calibri" w:cs="Arial"/>
          <w:strike/>
          <w:color w:val="4F81BD" w:themeColor="accent1"/>
          <w:szCs w:val="18"/>
          <w:lang w:val="en-GB"/>
        </w:rPr>
        <w:t>from gene Tm2.</w:t>
      </w:r>
    </w:p>
    <w:p w14:paraId="3A8E9C0C" w14:textId="77777777" w:rsidR="007E07F8" w:rsidRPr="007E07F8" w:rsidRDefault="007E07F8" w:rsidP="007E07F8">
      <w:pPr>
        <w:autoSpaceDE w:val="0"/>
        <w:autoSpaceDN w:val="0"/>
        <w:adjustRightInd w:val="0"/>
        <w:rPr>
          <w:rFonts w:eastAsia="Calibri" w:cs="Arial"/>
          <w:strike/>
          <w:color w:val="4F81BD" w:themeColor="accent1"/>
          <w:szCs w:val="18"/>
          <w:lang w:val="en-GB"/>
        </w:rPr>
      </w:pPr>
    </w:p>
    <w:p w14:paraId="0C054936" w14:textId="77777777" w:rsidR="007E07F8" w:rsidRPr="007E07F8" w:rsidRDefault="007E07F8" w:rsidP="007E07F8">
      <w:pPr>
        <w:autoSpaceDE w:val="0"/>
        <w:autoSpaceDN w:val="0"/>
        <w:adjustRightInd w:val="0"/>
        <w:rPr>
          <w:rFonts w:eastAsia="Calibri" w:cs="Arial"/>
          <w:strike/>
          <w:color w:val="4F81BD" w:themeColor="accent1"/>
          <w:lang w:val="en-GB"/>
        </w:rPr>
      </w:pPr>
      <w:r w:rsidRPr="007E07F8">
        <w:rPr>
          <w:rFonts w:eastAsia="Calibri" w:cs="Arial"/>
          <w:strike/>
          <w:color w:val="4F81BD" w:themeColor="accent1"/>
          <w:lang w:val="en-GB"/>
        </w:rPr>
        <w:t>2.</w:t>
      </w:r>
      <w:r w:rsidRPr="007E07F8">
        <w:rPr>
          <w:rFonts w:eastAsia="Calibri" w:cs="Arial"/>
          <w:strike/>
          <w:color w:val="4F81BD" w:themeColor="accent1"/>
          <w:lang w:val="en-GB"/>
        </w:rPr>
        <w:tab/>
        <w:t xml:space="preserve">A single marker identifies the presence of resistance alleles </w:t>
      </w:r>
      <w:r w:rsidRPr="007E07F8">
        <w:rPr>
          <w:rFonts w:eastAsia="Calibri" w:cs="Arial"/>
          <w:i/>
          <w:strike/>
          <w:color w:val="4F81BD" w:themeColor="accent1"/>
          <w:lang w:val="en-GB"/>
        </w:rPr>
        <w:t>Tm2</w:t>
      </w:r>
      <w:r w:rsidRPr="007E07F8">
        <w:rPr>
          <w:rFonts w:eastAsia="Calibri" w:cs="Arial"/>
          <w:strike/>
          <w:color w:val="4F81BD" w:themeColor="accent1"/>
          <w:lang w:val="en-GB"/>
        </w:rPr>
        <w:t xml:space="preserve"> and </w:t>
      </w:r>
      <w:r w:rsidRPr="007E07F8">
        <w:rPr>
          <w:rFonts w:eastAsia="Calibri" w:cs="Arial"/>
          <w:i/>
          <w:strike/>
          <w:color w:val="4F81BD" w:themeColor="accent1"/>
          <w:lang w:val="en-GB"/>
        </w:rPr>
        <w:t>Tm2</w:t>
      </w:r>
      <w:r w:rsidRPr="007E07F8">
        <w:rPr>
          <w:rFonts w:eastAsia="Calibri" w:cs="Arial"/>
          <w:i/>
          <w:strike/>
          <w:color w:val="4F81BD" w:themeColor="accent1"/>
          <w:vertAlign w:val="superscript"/>
          <w:lang w:val="en-GB"/>
        </w:rPr>
        <w:t>2</w:t>
      </w:r>
      <w:r w:rsidRPr="007E07F8">
        <w:rPr>
          <w:rFonts w:eastAsia="Calibri" w:cs="Arial"/>
          <w:strike/>
          <w:color w:val="4F81BD" w:themeColor="accent1"/>
          <w:lang w:val="en-GB"/>
        </w:rPr>
        <w:t xml:space="preserve"> and the susceptible allele </w:t>
      </w:r>
      <w:r w:rsidRPr="007E07F8">
        <w:rPr>
          <w:rFonts w:eastAsia="Calibri" w:cs="Arial"/>
          <w:i/>
          <w:strike/>
          <w:color w:val="4F81BD" w:themeColor="accent1"/>
          <w:lang w:val="en-GB"/>
        </w:rPr>
        <w:t>tm2</w:t>
      </w:r>
      <w:r w:rsidRPr="007E07F8">
        <w:rPr>
          <w:rFonts w:eastAsia="Calibri" w:cs="Arial"/>
          <w:strike/>
          <w:color w:val="4F81BD" w:themeColor="accent1"/>
          <w:lang w:val="en-GB"/>
        </w:rPr>
        <w:t xml:space="preserve">.  Marker </w:t>
      </w:r>
      <w:r w:rsidRPr="007E07F8">
        <w:rPr>
          <w:rFonts w:eastAsia="Calibri" w:cs="Arial"/>
          <w:i/>
          <w:strike/>
          <w:color w:val="4F81BD" w:themeColor="accent1"/>
          <w:lang w:val="en-GB"/>
        </w:rPr>
        <w:t>Tm2/2</w:t>
      </w:r>
      <w:r w:rsidRPr="007E07F8">
        <w:rPr>
          <w:rFonts w:eastAsia="Calibri" w:cs="Arial"/>
          <w:i/>
          <w:strike/>
          <w:color w:val="4F81BD" w:themeColor="accent1"/>
          <w:vertAlign w:val="superscript"/>
          <w:lang w:val="en-GB"/>
        </w:rPr>
        <w:t>2</w:t>
      </w:r>
      <w:r w:rsidRPr="007E07F8">
        <w:rPr>
          <w:rFonts w:eastAsia="Calibri" w:cs="Arial"/>
          <w:strike/>
          <w:color w:val="4F81BD" w:themeColor="accent1"/>
          <w:lang w:val="en-GB"/>
        </w:rPr>
        <w:t xml:space="preserve"> is positioned in the protein coding sequence.</w:t>
      </w:r>
    </w:p>
    <w:p w14:paraId="41D64FB8" w14:textId="77777777" w:rsidR="007E07F8" w:rsidRPr="007E07F8" w:rsidRDefault="007E07F8" w:rsidP="007E07F8">
      <w:pPr>
        <w:autoSpaceDE w:val="0"/>
        <w:autoSpaceDN w:val="0"/>
        <w:adjustRightInd w:val="0"/>
        <w:rPr>
          <w:rFonts w:eastAsia="Calibri" w:cs="Arial"/>
          <w:strike/>
          <w:color w:val="4F81BD" w:themeColor="accent1"/>
          <w:lang w:val="en-GB"/>
        </w:rPr>
      </w:pPr>
    </w:p>
    <w:p w14:paraId="55BD1B09" w14:textId="77777777" w:rsidR="007E07F8" w:rsidRPr="007E07F8" w:rsidRDefault="007E07F8" w:rsidP="007E07F8">
      <w:pPr>
        <w:autoSpaceDE w:val="0"/>
        <w:autoSpaceDN w:val="0"/>
        <w:adjustRightInd w:val="0"/>
        <w:rPr>
          <w:rFonts w:eastAsia="Calibri" w:cs="Arial"/>
          <w:strike/>
          <w:color w:val="4F81BD" w:themeColor="accent1"/>
          <w:lang w:val="en-GB"/>
        </w:rPr>
      </w:pPr>
      <w:r w:rsidRPr="007E07F8">
        <w:rPr>
          <w:rFonts w:eastAsia="Calibri" w:cs="Arial"/>
          <w:strike/>
          <w:color w:val="4F81BD" w:themeColor="accent1"/>
          <w:lang w:val="en-GB"/>
        </w:rPr>
        <w:t>3.</w:t>
      </w:r>
      <w:r w:rsidRPr="007E07F8">
        <w:rPr>
          <w:rFonts w:eastAsia="Calibri" w:cs="Arial"/>
          <w:strike/>
          <w:color w:val="4F81BD" w:themeColor="accent1"/>
          <w:lang w:val="en-GB"/>
        </w:rPr>
        <w:tab/>
        <w:t xml:space="preserve">A variety will be resistant to </w:t>
      </w:r>
      <w:proofErr w:type="spellStart"/>
      <w:r w:rsidRPr="007E07F8">
        <w:rPr>
          <w:rFonts w:eastAsia="Calibri" w:cs="Arial"/>
          <w:strike/>
          <w:color w:val="4F81BD" w:themeColor="accent1"/>
          <w:lang w:val="en-GB"/>
        </w:rPr>
        <w:t>ToMV</w:t>
      </w:r>
      <w:proofErr w:type="spellEnd"/>
      <w:r w:rsidRPr="007E07F8">
        <w:rPr>
          <w:rFonts w:eastAsia="Calibri" w:cs="Arial"/>
          <w:strike/>
          <w:color w:val="4F81BD" w:themeColor="accent1"/>
          <w:lang w:val="en-GB"/>
        </w:rPr>
        <w:t xml:space="preserve"> Strain 0 if resistance allele </w:t>
      </w:r>
      <w:r w:rsidRPr="007E07F8">
        <w:rPr>
          <w:rFonts w:eastAsia="Calibri" w:cs="Arial"/>
          <w:i/>
          <w:strike/>
          <w:color w:val="4F81BD" w:themeColor="accent1"/>
          <w:lang w:val="en-GB"/>
        </w:rPr>
        <w:t xml:space="preserve">Tm2 </w:t>
      </w:r>
      <w:r w:rsidRPr="007E07F8">
        <w:rPr>
          <w:rFonts w:eastAsia="Calibri" w:cs="Arial"/>
          <w:strike/>
          <w:color w:val="4F81BD" w:themeColor="accent1"/>
          <w:lang w:val="en-GB"/>
        </w:rPr>
        <w:t xml:space="preserve">or resistance allele </w:t>
      </w:r>
      <w:r w:rsidRPr="007E07F8">
        <w:rPr>
          <w:rFonts w:eastAsia="Calibri" w:cs="Arial"/>
          <w:i/>
          <w:strike/>
          <w:color w:val="4F81BD" w:themeColor="accent1"/>
          <w:lang w:val="en-GB"/>
        </w:rPr>
        <w:t>Tm2</w:t>
      </w:r>
      <w:r w:rsidRPr="007E07F8">
        <w:rPr>
          <w:rFonts w:eastAsia="Calibri" w:cs="Arial"/>
          <w:i/>
          <w:strike/>
          <w:color w:val="4F81BD" w:themeColor="accent1"/>
          <w:vertAlign w:val="superscript"/>
          <w:lang w:val="en-GB"/>
        </w:rPr>
        <w:t>2</w:t>
      </w:r>
      <w:r w:rsidRPr="007E07F8">
        <w:rPr>
          <w:rFonts w:eastAsia="Calibri" w:cs="Arial"/>
          <w:strike/>
          <w:color w:val="4F81BD" w:themeColor="accent1"/>
          <w:lang w:val="en-GB"/>
        </w:rPr>
        <w:t xml:space="preserve"> is present.  </w:t>
      </w:r>
    </w:p>
    <w:p w14:paraId="52C31643" w14:textId="77777777" w:rsidR="007E07F8" w:rsidRPr="007E07F8" w:rsidRDefault="007E07F8" w:rsidP="007E07F8">
      <w:pPr>
        <w:autoSpaceDE w:val="0"/>
        <w:autoSpaceDN w:val="0"/>
        <w:adjustRightInd w:val="0"/>
        <w:rPr>
          <w:rFonts w:eastAsia="Calibri" w:cs="Arial"/>
          <w:strike/>
          <w:color w:val="4F81BD" w:themeColor="accent1"/>
          <w:lang w:val="en-GB"/>
        </w:rPr>
      </w:pPr>
    </w:p>
    <w:p w14:paraId="2139FB0F" w14:textId="77777777" w:rsidR="007E07F8" w:rsidRPr="007E07F8" w:rsidRDefault="007E07F8" w:rsidP="007E07F8">
      <w:pPr>
        <w:autoSpaceDE w:val="0"/>
        <w:autoSpaceDN w:val="0"/>
        <w:adjustRightInd w:val="0"/>
        <w:rPr>
          <w:rFonts w:eastAsia="Calibri" w:cs="Arial"/>
          <w:strike/>
          <w:color w:val="4F81BD" w:themeColor="accent1"/>
          <w:lang w:val="en-GB"/>
        </w:rPr>
      </w:pPr>
      <w:r w:rsidRPr="007E07F8">
        <w:rPr>
          <w:rFonts w:eastAsia="Calibri" w:cs="Arial"/>
          <w:strike/>
          <w:color w:val="4F81BD" w:themeColor="accent1"/>
          <w:lang w:val="en-GB"/>
        </w:rPr>
        <w:t>4.</w:t>
      </w:r>
      <w:r w:rsidRPr="007E07F8">
        <w:rPr>
          <w:rFonts w:eastAsia="Calibri" w:cs="Arial"/>
          <w:strike/>
          <w:color w:val="4F81BD" w:themeColor="accent1"/>
          <w:lang w:val="en-GB"/>
        </w:rPr>
        <w:tab/>
        <w:t xml:space="preserve">A variety with homozygous allele </w:t>
      </w:r>
      <w:r w:rsidRPr="007E07F8">
        <w:rPr>
          <w:rFonts w:eastAsia="Calibri" w:cs="Arial"/>
          <w:i/>
          <w:strike/>
          <w:color w:val="4F81BD" w:themeColor="accent1"/>
          <w:lang w:val="en-GB"/>
        </w:rPr>
        <w:t>tm2</w:t>
      </w:r>
      <w:r w:rsidRPr="007E07F8">
        <w:rPr>
          <w:rFonts w:eastAsia="Calibri" w:cs="Arial"/>
          <w:strike/>
          <w:color w:val="4F81BD" w:themeColor="accent1"/>
          <w:lang w:val="en-GB"/>
        </w:rPr>
        <w:t xml:space="preserve"> will be susceptible to </w:t>
      </w:r>
      <w:proofErr w:type="spellStart"/>
      <w:r w:rsidRPr="007E07F8">
        <w:rPr>
          <w:rFonts w:eastAsia="Calibri" w:cs="Arial"/>
          <w:strike/>
          <w:color w:val="4F81BD" w:themeColor="accent1"/>
          <w:lang w:val="en-GB"/>
        </w:rPr>
        <w:t>ToMV</w:t>
      </w:r>
      <w:proofErr w:type="spellEnd"/>
      <w:r w:rsidRPr="007E07F8">
        <w:rPr>
          <w:rFonts w:eastAsia="Calibri" w:cs="Arial"/>
          <w:strike/>
          <w:color w:val="4F81BD" w:themeColor="accent1"/>
          <w:lang w:val="en-GB"/>
        </w:rPr>
        <w:t xml:space="preserve"> Strain 0 unless resistance is coded by resistance allele </w:t>
      </w:r>
      <w:r w:rsidRPr="007E07F8">
        <w:rPr>
          <w:rFonts w:eastAsia="Calibri" w:cs="Arial"/>
          <w:i/>
          <w:strike/>
          <w:color w:val="4F81BD" w:themeColor="accent1"/>
          <w:lang w:val="en-GB"/>
        </w:rPr>
        <w:t>Tm1</w:t>
      </w:r>
      <w:r w:rsidRPr="007E07F8">
        <w:rPr>
          <w:rFonts w:eastAsia="Calibri" w:cs="Arial"/>
          <w:strike/>
          <w:color w:val="4F81BD" w:themeColor="accent1"/>
          <w:lang w:val="en-GB"/>
        </w:rPr>
        <w:t xml:space="preserve">.  In this case, resistance to </w:t>
      </w:r>
      <w:proofErr w:type="spellStart"/>
      <w:r w:rsidRPr="007E07F8">
        <w:rPr>
          <w:rFonts w:eastAsia="Calibri" w:cs="Arial"/>
          <w:strike/>
          <w:color w:val="4F81BD" w:themeColor="accent1"/>
          <w:lang w:val="en-GB"/>
        </w:rPr>
        <w:t>ToMV</w:t>
      </w:r>
      <w:proofErr w:type="spellEnd"/>
      <w:r w:rsidRPr="007E07F8">
        <w:rPr>
          <w:rFonts w:eastAsia="Calibri" w:cs="Arial"/>
          <w:strike/>
          <w:color w:val="4F81BD" w:themeColor="accent1"/>
          <w:lang w:val="en-GB"/>
        </w:rPr>
        <w:t xml:space="preserve"> Strain 0 cannot be assessed by a DNA marker test because there is no reliable marker for gene Tm1.  </w:t>
      </w:r>
    </w:p>
    <w:p w14:paraId="48612572" w14:textId="77777777" w:rsidR="007E07F8" w:rsidRPr="007E07F8" w:rsidRDefault="007E07F8" w:rsidP="007E07F8">
      <w:pPr>
        <w:autoSpaceDE w:val="0"/>
        <w:autoSpaceDN w:val="0"/>
        <w:adjustRightInd w:val="0"/>
        <w:rPr>
          <w:rFonts w:eastAsia="Calibri" w:cs="Arial"/>
          <w:strike/>
          <w:color w:val="4F81BD" w:themeColor="accent1"/>
        </w:rPr>
      </w:pPr>
    </w:p>
    <w:p w14:paraId="51E66CB1" w14:textId="77777777" w:rsidR="007E07F8" w:rsidRPr="007E07F8" w:rsidRDefault="007E07F8" w:rsidP="007E07F8">
      <w:pPr>
        <w:keepNext/>
        <w:autoSpaceDE w:val="0"/>
        <w:autoSpaceDN w:val="0"/>
        <w:adjustRightInd w:val="0"/>
        <w:jc w:val="center"/>
        <w:rPr>
          <w:rFonts w:eastAsia="Calibri" w:cs="Arial"/>
          <w:strike/>
          <w:color w:val="4F81BD" w:themeColor="accent1"/>
          <w:lang w:val="en-GB"/>
        </w:rPr>
      </w:pPr>
      <w:r w:rsidRPr="007E07F8">
        <w:rPr>
          <w:rFonts w:eastAsia="Calibri" w:cs="Arial"/>
          <w:strike/>
          <w:color w:val="4F81BD" w:themeColor="accent1"/>
          <w:lang w:val="en-GB"/>
        </w:rPr>
        <w:t>Table 1:  Schematic overview of resistance to Tomato mosaic virus and resistance alleles:</w:t>
      </w:r>
    </w:p>
    <w:p w14:paraId="0FE499D2" w14:textId="77777777" w:rsidR="007E07F8" w:rsidRPr="007E07F8" w:rsidRDefault="007E07F8" w:rsidP="007E07F8">
      <w:pPr>
        <w:keepNext/>
        <w:autoSpaceDE w:val="0"/>
        <w:autoSpaceDN w:val="0"/>
        <w:adjustRightInd w:val="0"/>
        <w:rPr>
          <w:rFonts w:eastAsia="Calibri" w:cs="Arial"/>
          <w:strike/>
          <w:color w:val="4F81BD" w:themeColor="accent1"/>
          <w:szCs w:val="19"/>
          <w:lang w:val="en-GB"/>
        </w:rPr>
      </w:pPr>
    </w:p>
    <w:tbl>
      <w:tblPr>
        <w:tblStyle w:val="TableGrid"/>
        <w:tblW w:w="8505" w:type="dxa"/>
        <w:tblInd w:w="562" w:type="dxa"/>
        <w:tblLayout w:type="fixed"/>
        <w:tblLook w:val="04A0" w:firstRow="1" w:lastRow="0" w:firstColumn="1" w:lastColumn="0" w:noHBand="0" w:noVBand="1"/>
      </w:tblPr>
      <w:tblGrid>
        <w:gridCol w:w="1701"/>
        <w:gridCol w:w="1985"/>
        <w:gridCol w:w="2977"/>
        <w:gridCol w:w="1842"/>
      </w:tblGrid>
      <w:tr w:rsidR="007E07F8" w:rsidRPr="007E07F8" w14:paraId="0E7F3767" w14:textId="77777777" w:rsidTr="00076AAA">
        <w:tc>
          <w:tcPr>
            <w:tcW w:w="1701" w:type="dxa"/>
            <w:vAlign w:val="center"/>
          </w:tcPr>
          <w:p w14:paraId="4FEDC6C2" w14:textId="77777777" w:rsidR="007E07F8" w:rsidRPr="007E07F8" w:rsidRDefault="007E07F8" w:rsidP="00076AAA">
            <w:pPr>
              <w:keepNext/>
              <w:autoSpaceDE w:val="0"/>
              <w:autoSpaceDN w:val="0"/>
              <w:adjustRightInd w:val="0"/>
              <w:jc w:val="left"/>
              <w:rPr>
                <w:rFonts w:cs="Arial"/>
                <w:strike/>
                <w:color w:val="4F81BD" w:themeColor="accent1"/>
                <w:szCs w:val="19"/>
              </w:rPr>
            </w:pPr>
            <w:r w:rsidRPr="007E07F8">
              <w:rPr>
                <w:rFonts w:cs="Arial"/>
                <w:strike/>
                <w:color w:val="4F81BD" w:themeColor="accent1"/>
                <w:szCs w:val="19"/>
              </w:rPr>
              <w:t>Genetic background</w:t>
            </w:r>
          </w:p>
        </w:tc>
        <w:tc>
          <w:tcPr>
            <w:tcW w:w="1985" w:type="dxa"/>
            <w:vAlign w:val="center"/>
          </w:tcPr>
          <w:p w14:paraId="6FEEE687" w14:textId="77777777" w:rsidR="007E07F8" w:rsidRPr="007E07F8" w:rsidRDefault="007E07F8" w:rsidP="00076AAA">
            <w:pPr>
              <w:keepNext/>
              <w:autoSpaceDE w:val="0"/>
              <w:autoSpaceDN w:val="0"/>
              <w:adjustRightInd w:val="0"/>
              <w:jc w:val="left"/>
              <w:rPr>
                <w:rFonts w:cs="Arial"/>
                <w:i/>
                <w:strike/>
                <w:color w:val="4F81BD" w:themeColor="accent1"/>
                <w:szCs w:val="19"/>
              </w:rPr>
            </w:pPr>
            <w:r w:rsidRPr="007E07F8">
              <w:rPr>
                <w:rFonts w:cs="Arial"/>
                <w:i/>
                <w:strike/>
                <w:color w:val="4F81BD" w:themeColor="accent1"/>
                <w:szCs w:val="19"/>
              </w:rPr>
              <w:t xml:space="preserve">tm2/tm2 </w:t>
            </w:r>
          </w:p>
          <w:p w14:paraId="3B0EB205" w14:textId="77777777" w:rsidR="007E07F8" w:rsidRPr="007E07F8" w:rsidRDefault="007E07F8" w:rsidP="00076AAA">
            <w:pPr>
              <w:keepNext/>
              <w:autoSpaceDE w:val="0"/>
              <w:autoSpaceDN w:val="0"/>
              <w:adjustRightInd w:val="0"/>
              <w:jc w:val="left"/>
              <w:rPr>
                <w:rFonts w:cs="Arial"/>
                <w:strike/>
                <w:color w:val="4F81BD" w:themeColor="accent1"/>
                <w:szCs w:val="19"/>
              </w:rPr>
            </w:pPr>
          </w:p>
          <w:p w14:paraId="3DD02FBA" w14:textId="77777777" w:rsidR="007E07F8" w:rsidRPr="007E07F8" w:rsidRDefault="007E07F8" w:rsidP="00076AAA">
            <w:pPr>
              <w:keepNext/>
              <w:autoSpaceDE w:val="0"/>
              <w:autoSpaceDN w:val="0"/>
              <w:adjustRightInd w:val="0"/>
              <w:jc w:val="left"/>
              <w:rPr>
                <w:rFonts w:cs="Arial"/>
                <w:strike/>
                <w:color w:val="4F81BD" w:themeColor="accent1"/>
                <w:szCs w:val="19"/>
              </w:rPr>
            </w:pPr>
            <w:r w:rsidRPr="007E07F8">
              <w:rPr>
                <w:rFonts w:cs="Arial"/>
                <w:strike/>
                <w:color w:val="4F81BD" w:themeColor="accent1"/>
                <w:szCs w:val="19"/>
              </w:rPr>
              <w:t xml:space="preserve">and </w:t>
            </w:r>
          </w:p>
          <w:p w14:paraId="76C3B81A" w14:textId="77777777" w:rsidR="007E07F8" w:rsidRPr="007E07F8" w:rsidRDefault="007E07F8" w:rsidP="00076AAA">
            <w:pPr>
              <w:keepNext/>
              <w:autoSpaceDE w:val="0"/>
              <w:autoSpaceDN w:val="0"/>
              <w:adjustRightInd w:val="0"/>
              <w:jc w:val="left"/>
              <w:rPr>
                <w:rFonts w:cs="Arial"/>
                <w:strike/>
                <w:color w:val="4F81BD" w:themeColor="accent1"/>
                <w:szCs w:val="19"/>
              </w:rPr>
            </w:pPr>
          </w:p>
          <w:p w14:paraId="4D7AACDD" w14:textId="77777777" w:rsidR="007E07F8" w:rsidRPr="007E07F8" w:rsidRDefault="007E07F8" w:rsidP="00076AAA">
            <w:pPr>
              <w:keepNext/>
              <w:autoSpaceDE w:val="0"/>
              <w:autoSpaceDN w:val="0"/>
              <w:adjustRightInd w:val="0"/>
              <w:jc w:val="left"/>
              <w:rPr>
                <w:rFonts w:cs="Arial"/>
                <w:i/>
                <w:strike/>
                <w:color w:val="4F81BD" w:themeColor="accent1"/>
                <w:szCs w:val="19"/>
              </w:rPr>
            </w:pPr>
            <w:r w:rsidRPr="007E07F8">
              <w:rPr>
                <w:rFonts w:cs="Arial"/>
                <w:i/>
                <w:strike/>
                <w:color w:val="4F81BD" w:themeColor="accent1"/>
                <w:szCs w:val="19"/>
              </w:rPr>
              <w:t>tm1/tm1</w:t>
            </w:r>
          </w:p>
          <w:p w14:paraId="76467804" w14:textId="77777777" w:rsidR="007E07F8" w:rsidRPr="007E07F8" w:rsidRDefault="007E07F8" w:rsidP="00076AAA">
            <w:pPr>
              <w:keepNext/>
              <w:autoSpaceDE w:val="0"/>
              <w:autoSpaceDN w:val="0"/>
              <w:adjustRightInd w:val="0"/>
              <w:jc w:val="left"/>
              <w:rPr>
                <w:rFonts w:cs="Arial"/>
                <w:strike/>
                <w:color w:val="4F81BD" w:themeColor="accent1"/>
                <w:szCs w:val="19"/>
              </w:rPr>
            </w:pPr>
          </w:p>
        </w:tc>
        <w:tc>
          <w:tcPr>
            <w:tcW w:w="2977" w:type="dxa"/>
            <w:vAlign w:val="center"/>
          </w:tcPr>
          <w:p w14:paraId="08773A93" w14:textId="77777777" w:rsidR="007E07F8" w:rsidRPr="007E07F8" w:rsidRDefault="007E07F8" w:rsidP="00076AAA">
            <w:pPr>
              <w:keepNext/>
              <w:autoSpaceDE w:val="0"/>
              <w:autoSpaceDN w:val="0"/>
              <w:adjustRightInd w:val="0"/>
              <w:jc w:val="left"/>
              <w:rPr>
                <w:rFonts w:cs="Arial"/>
                <w:strike/>
                <w:color w:val="4F81BD" w:themeColor="accent1"/>
                <w:szCs w:val="19"/>
              </w:rPr>
            </w:pPr>
            <w:r w:rsidRPr="007E07F8">
              <w:rPr>
                <w:rFonts w:cs="Arial"/>
                <w:i/>
                <w:strike/>
                <w:color w:val="4F81BD" w:themeColor="accent1"/>
                <w:szCs w:val="19"/>
              </w:rPr>
              <w:t>Tm2/Tm2 or Tm2</w:t>
            </w:r>
            <w:r w:rsidRPr="007E07F8">
              <w:rPr>
                <w:rFonts w:cs="Arial"/>
                <w:i/>
                <w:strike/>
                <w:color w:val="4F81BD" w:themeColor="accent1"/>
                <w:szCs w:val="19"/>
                <w:vertAlign w:val="superscript"/>
              </w:rPr>
              <w:t>2</w:t>
            </w:r>
            <w:r w:rsidRPr="007E07F8">
              <w:rPr>
                <w:rFonts w:cs="Arial"/>
                <w:i/>
                <w:strike/>
                <w:color w:val="4F81BD" w:themeColor="accent1"/>
                <w:szCs w:val="19"/>
              </w:rPr>
              <w:t>/Tm2</w:t>
            </w:r>
            <w:r w:rsidRPr="007E07F8">
              <w:rPr>
                <w:rFonts w:cs="Arial"/>
                <w:i/>
                <w:strike/>
                <w:color w:val="4F81BD" w:themeColor="accent1"/>
                <w:szCs w:val="19"/>
                <w:vertAlign w:val="superscript"/>
              </w:rPr>
              <w:t>2</w:t>
            </w:r>
            <w:r w:rsidRPr="007E07F8">
              <w:rPr>
                <w:rFonts w:cs="Arial"/>
                <w:strike/>
                <w:color w:val="4F81BD" w:themeColor="accent1"/>
                <w:szCs w:val="19"/>
              </w:rPr>
              <w:t xml:space="preserve"> or </w:t>
            </w:r>
            <w:r w:rsidRPr="007E07F8">
              <w:rPr>
                <w:rFonts w:cs="Arial"/>
                <w:i/>
                <w:strike/>
                <w:color w:val="4F81BD" w:themeColor="accent1"/>
                <w:szCs w:val="19"/>
              </w:rPr>
              <w:t>Tm2</w:t>
            </w:r>
            <w:r w:rsidRPr="007E07F8">
              <w:rPr>
                <w:rFonts w:cs="Arial"/>
                <w:i/>
                <w:strike/>
                <w:color w:val="4F81BD" w:themeColor="accent1"/>
                <w:szCs w:val="19"/>
                <w:vertAlign w:val="superscript"/>
              </w:rPr>
              <w:t>2</w:t>
            </w:r>
            <w:r w:rsidRPr="007E07F8">
              <w:rPr>
                <w:rFonts w:cs="Arial"/>
                <w:i/>
                <w:strike/>
                <w:color w:val="4F81BD" w:themeColor="accent1"/>
                <w:szCs w:val="19"/>
              </w:rPr>
              <w:t>/Tm2</w:t>
            </w:r>
            <w:r w:rsidRPr="007E07F8">
              <w:rPr>
                <w:rFonts w:cs="Arial"/>
                <w:strike/>
                <w:color w:val="4F81BD" w:themeColor="accent1"/>
                <w:szCs w:val="19"/>
              </w:rPr>
              <w:t xml:space="preserve"> or </w:t>
            </w:r>
          </w:p>
          <w:p w14:paraId="610EDC76" w14:textId="77777777" w:rsidR="007E07F8" w:rsidRPr="007E07F8" w:rsidRDefault="007E07F8" w:rsidP="00076AAA">
            <w:pPr>
              <w:keepNext/>
              <w:autoSpaceDE w:val="0"/>
              <w:autoSpaceDN w:val="0"/>
              <w:adjustRightInd w:val="0"/>
              <w:jc w:val="left"/>
              <w:rPr>
                <w:rFonts w:cs="Arial"/>
                <w:i/>
                <w:strike/>
                <w:color w:val="4F81BD" w:themeColor="accent1"/>
                <w:szCs w:val="19"/>
              </w:rPr>
            </w:pPr>
            <w:r w:rsidRPr="007E07F8">
              <w:rPr>
                <w:rFonts w:cs="Arial"/>
                <w:i/>
                <w:strike/>
                <w:color w:val="4F81BD" w:themeColor="accent1"/>
                <w:szCs w:val="19"/>
              </w:rPr>
              <w:t>Tm2/tm2 or Tm2</w:t>
            </w:r>
            <w:r w:rsidRPr="007E07F8">
              <w:rPr>
                <w:rFonts w:cs="Arial"/>
                <w:i/>
                <w:strike/>
                <w:color w:val="4F81BD" w:themeColor="accent1"/>
                <w:szCs w:val="19"/>
                <w:vertAlign w:val="superscript"/>
              </w:rPr>
              <w:t>2</w:t>
            </w:r>
            <w:r w:rsidRPr="007E07F8">
              <w:rPr>
                <w:rFonts w:cs="Arial"/>
                <w:i/>
                <w:strike/>
                <w:color w:val="4F81BD" w:themeColor="accent1"/>
                <w:szCs w:val="19"/>
              </w:rPr>
              <w:t>/tm2</w:t>
            </w:r>
          </w:p>
          <w:p w14:paraId="122C8A83" w14:textId="77777777" w:rsidR="007E07F8" w:rsidRPr="007E07F8" w:rsidRDefault="007E07F8" w:rsidP="00076AAA">
            <w:pPr>
              <w:keepNext/>
              <w:autoSpaceDE w:val="0"/>
              <w:autoSpaceDN w:val="0"/>
              <w:adjustRightInd w:val="0"/>
              <w:jc w:val="left"/>
              <w:rPr>
                <w:rFonts w:cs="Arial"/>
                <w:strike/>
                <w:color w:val="4F81BD" w:themeColor="accent1"/>
                <w:szCs w:val="19"/>
              </w:rPr>
            </w:pPr>
          </w:p>
          <w:p w14:paraId="51CA8FCB" w14:textId="77777777" w:rsidR="007E07F8" w:rsidRPr="007E07F8" w:rsidRDefault="007E07F8" w:rsidP="00076AAA">
            <w:pPr>
              <w:keepNext/>
              <w:autoSpaceDE w:val="0"/>
              <w:autoSpaceDN w:val="0"/>
              <w:adjustRightInd w:val="0"/>
              <w:jc w:val="left"/>
              <w:rPr>
                <w:rFonts w:cs="Arial"/>
                <w:strike/>
                <w:color w:val="4F81BD" w:themeColor="accent1"/>
                <w:szCs w:val="19"/>
              </w:rPr>
            </w:pPr>
            <w:r w:rsidRPr="007E07F8">
              <w:rPr>
                <w:rFonts w:cs="Arial"/>
                <w:strike/>
                <w:color w:val="4F81BD" w:themeColor="accent1"/>
                <w:szCs w:val="19"/>
              </w:rPr>
              <w:t xml:space="preserve">and </w:t>
            </w:r>
          </w:p>
          <w:p w14:paraId="62FB2E2B" w14:textId="77777777" w:rsidR="007E07F8" w:rsidRPr="007E07F8" w:rsidRDefault="007E07F8" w:rsidP="00076AAA">
            <w:pPr>
              <w:keepNext/>
              <w:autoSpaceDE w:val="0"/>
              <w:autoSpaceDN w:val="0"/>
              <w:adjustRightInd w:val="0"/>
              <w:jc w:val="left"/>
              <w:rPr>
                <w:rFonts w:cs="Arial"/>
                <w:strike/>
                <w:color w:val="4F81BD" w:themeColor="accent1"/>
                <w:szCs w:val="19"/>
              </w:rPr>
            </w:pPr>
          </w:p>
          <w:p w14:paraId="59271624" w14:textId="77777777" w:rsidR="007E07F8" w:rsidRPr="007E07F8" w:rsidRDefault="007E07F8" w:rsidP="00076AAA">
            <w:pPr>
              <w:keepNext/>
              <w:autoSpaceDE w:val="0"/>
              <w:autoSpaceDN w:val="0"/>
              <w:adjustRightInd w:val="0"/>
              <w:spacing w:before="60"/>
              <w:jc w:val="left"/>
              <w:rPr>
                <w:rFonts w:cs="Arial"/>
                <w:strike/>
                <w:color w:val="4F81BD" w:themeColor="accent1"/>
                <w:szCs w:val="19"/>
              </w:rPr>
            </w:pPr>
            <w:r w:rsidRPr="007E07F8">
              <w:rPr>
                <w:rFonts w:cs="Arial"/>
                <w:i/>
                <w:strike/>
                <w:color w:val="4F81BD" w:themeColor="accent1"/>
                <w:szCs w:val="19"/>
              </w:rPr>
              <w:t>Tm1/Tm1</w:t>
            </w:r>
            <w:r w:rsidRPr="007E07F8">
              <w:rPr>
                <w:rFonts w:cs="Arial"/>
                <w:strike/>
                <w:color w:val="4F81BD" w:themeColor="accent1"/>
                <w:szCs w:val="19"/>
              </w:rPr>
              <w:t xml:space="preserve"> or </w:t>
            </w:r>
            <w:r w:rsidRPr="007E07F8">
              <w:rPr>
                <w:rFonts w:cs="Arial"/>
                <w:i/>
                <w:strike/>
                <w:color w:val="4F81BD" w:themeColor="accent1"/>
                <w:szCs w:val="19"/>
              </w:rPr>
              <w:t>Tm1/tm1</w:t>
            </w:r>
            <w:r w:rsidRPr="007E07F8">
              <w:rPr>
                <w:rFonts w:cs="Arial"/>
                <w:strike/>
                <w:color w:val="4F81BD" w:themeColor="accent1"/>
                <w:szCs w:val="19"/>
              </w:rPr>
              <w:t xml:space="preserve"> or </w:t>
            </w:r>
            <w:r w:rsidRPr="007E07F8">
              <w:rPr>
                <w:rFonts w:cs="Arial"/>
                <w:i/>
                <w:strike/>
                <w:color w:val="4F81BD" w:themeColor="accent1"/>
                <w:szCs w:val="19"/>
              </w:rPr>
              <w:t>tm1/tm1</w:t>
            </w:r>
          </w:p>
        </w:tc>
        <w:tc>
          <w:tcPr>
            <w:tcW w:w="1842" w:type="dxa"/>
            <w:vAlign w:val="center"/>
          </w:tcPr>
          <w:p w14:paraId="4B8939D8" w14:textId="77777777" w:rsidR="007E07F8" w:rsidRPr="007E07F8" w:rsidRDefault="007E07F8" w:rsidP="00076AAA">
            <w:pPr>
              <w:keepNext/>
              <w:autoSpaceDE w:val="0"/>
              <w:autoSpaceDN w:val="0"/>
              <w:adjustRightInd w:val="0"/>
              <w:jc w:val="left"/>
              <w:rPr>
                <w:rFonts w:cs="Arial"/>
                <w:i/>
                <w:strike/>
                <w:color w:val="4F81BD" w:themeColor="accent1"/>
                <w:szCs w:val="19"/>
              </w:rPr>
            </w:pPr>
            <w:r w:rsidRPr="007E07F8">
              <w:rPr>
                <w:rFonts w:cs="Arial"/>
                <w:i/>
                <w:strike/>
                <w:color w:val="4F81BD" w:themeColor="accent1"/>
                <w:szCs w:val="19"/>
              </w:rPr>
              <w:t xml:space="preserve">tm2/tm2 </w:t>
            </w:r>
          </w:p>
          <w:p w14:paraId="6A7CFA58" w14:textId="77777777" w:rsidR="007E07F8" w:rsidRPr="007E07F8" w:rsidRDefault="007E07F8" w:rsidP="00076AAA">
            <w:pPr>
              <w:keepNext/>
              <w:autoSpaceDE w:val="0"/>
              <w:autoSpaceDN w:val="0"/>
              <w:adjustRightInd w:val="0"/>
              <w:jc w:val="left"/>
              <w:rPr>
                <w:rFonts w:cs="Arial"/>
                <w:strike/>
                <w:color w:val="4F81BD" w:themeColor="accent1"/>
                <w:szCs w:val="19"/>
              </w:rPr>
            </w:pPr>
          </w:p>
          <w:p w14:paraId="579CEADE" w14:textId="77777777" w:rsidR="007E07F8" w:rsidRPr="007E07F8" w:rsidRDefault="007E07F8" w:rsidP="00076AAA">
            <w:pPr>
              <w:keepNext/>
              <w:autoSpaceDE w:val="0"/>
              <w:autoSpaceDN w:val="0"/>
              <w:adjustRightInd w:val="0"/>
              <w:jc w:val="left"/>
              <w:rPr>
                <w:rFonts w:cs="Arial"/>
                <w:strike/>
                <w:color w:val="4F81BD" w:themeColor="accent1"/>
                <w:szCs w:val="19"/>
              </w:rPr>
            </w:pPr>
            <w:r w:rsidRPr="007E07F8">
              <w:rPr>
                <w:rFonts w:cs="Arial"/>
                <w:strike/>
                <w:color w:val="4F81BD" w:themeColor="accent1"/>
                <w:szCs w:val="19"/>
              </w:rPr>
              <w:t>and</w:t>
            </w:r>
          </w:p>
          <w:p w14:paraId="39EB2BE1" w14:textId="77777777" w:rsidR="007E07F8" w:rsidRPr="007E07F8" w:rsidRDefault="007E07F8" w:rsidP="00076AAA">
            <w:pPr>
              <w:keepNext/>
              <w:autoSpaceDE w:val="0"/>
              <w:autoSpaceDN w:val="0"/>
              <w:adjustRightInd w:val="0"/>
              <w:jc w:val="left"/>
              <w:rPr>
                <w:rFonts w:cs="Arial"/>
                <w:strike/>
                <w:color w:val="4F81BD" w:themeColor="accent1"/>
                <w:szCs w:val="19"/>
              </w:rPr>
            </w:pPr>
          </w:p>
          <w:p w14:paraId="0DFF196E" w14:textId="77777777" w:rsidR="007E07F8" w:rsidRPr="007E07F8" w:rsidRDefault="007E07F8" w:rsidP="00076AAA">
            <w:pPr>
              <w:keepNext/>
              <w:autoSpaceDE w:val="0"/>
              <w:autoSpaceDN w:val="0"/>
              <w:adjustRightInd w:val="0"/>
              <w:jc w:val="left"/>
              <w:rPr>
                <w:rFonts w:cs="Arial"/>
                <w:i/>
                <w:strike/>
                <w:color w:val="4F81BD" w:themeColor="accent1"/>
                <w:szCs w:val="19"/>
              </w:rPr>
            </w:pPr>
            <w:r w:rsidRPr="007E07F8">
              <w:rPr>
                <w:rFonts w:cs="Arial"/>
                <w:i/>
                <w:strike/>
                <w:color w:val="4F81BD" w:themeColor="accent1"/>
                <w:szCs w:val="19"/>
              </w:rPr>
              <w:t>Tm1/Tm1</w:t>
            </w:r>
            <w:r w:rsidRPr="007E07F8">
              <w:rPr>
                <w:rFonts w:cs="Arial"/>
                <w:strike/>
                <w:color w:val="4F81BD" w:themeColor="accent1"/>
                <w:szCs w:val="19"/>
              </w:rPr>
              <w:t xml:space="preserve"> or </w:t>
            </w:r>
            <w:r w:rsidRPr="007E07F8">
              <w:rPr>
                <w:rFonts w:cs="Arial"/>
                <w:i/>
                <w:strike/>
                <w:color w:val="4F81BD" w:themeColor="accent1"/>
                <w:szCs w:val="19"/>
              </w:rPr>
              <w:t xml:space="preserve">Tm1/tm1 </w:t>
            </w:r>
          </w:p>
        </w:tc>
      </w:tr>
      <w:tr w:rsidR="007E07F8" w:rsidRPr="007E07F8" w14:paraId="7E14D6C9" w14:textId="77777777" w:rsidTr="00076AAA">
        <w:trPr>
          <w:trHeight w:val="606"/>
        </w:trPr>
        <w:tc>
          <w:tcPr>
            <w:tcW w:w="1701" w:type="dxa"/>
            <w:vAlign w:val="center"/>
          </w:tcPr>
          <w:p w14:paraId="417D24DD" w14:textId="77777777" w:rsidR="007E07F8" w:rsidRPr="007E07F8" w:rsidRDefault="007E07F8" w:rsidP="00076AAA">
            <w:pPr>
              <w:autoSpaceDE w:val="0"/>
              <w:autoSpaceDN w:val="0"/>
              <w:adjustRightInd w:val="0"/>
              <w:jc w:val="left"/>
              <w:rPr>
                <w:rFonts w:cs="Arial"/>
                <w:strike/>
                <w:color w:val="4F81BD" w:themeColor="accent1"/>
                <w:szCs w:val="19"/>
              </w:rPr>
            </w:pPr>
            <w:r w:rsidRPr="007E07F8">
              <w:rPr>
                <w:rFonts w:cs="Arial"/>
                <w:strike/>
                <w:color w:val="4F81BD" w:themeColor="accent1"/>
                <w:szCs w:val="19"/>
              </w:rPr>
              <w:t xml:space="preserve">Marker </w:t>
            </w:r>
            <w:r w:rsidRPr="007E07F8">
              <w:rPr>
                <w:rFonts w:cs="Arial"/>
                <w:i/>
                <w:strike/>
                <w:color w:val="4F81BD" w:themeColor="accent1"/>
                <w:szCs w:val="19"/>
              </w:rPr>
              <w:t>Tm2/2</w:t>
            </w:r>
            <w:r w:rsidRPr="007E07F8">
              <w:rPr>
                <w:rFonts w:cs="Arial"/>
                <w:i/>
                <w:strike/>
                <w:color w:val="4F81BD" w:themeColor="accent1"/>
                <w:szCs w:val="19"/>
                <w:vertAlign w:val="superscript"/>
              </w:rPr>
              <w:t>2</w:t>
            </w:r>
          </w:p>
        </w:tc>
        <w:tc>
          <w:tcPr>
            <w:tcW w:w="1985" w:type="dxa"/>
            <w:vAlign w:val="center"/>
          </w:tcPr>
          <w:p w14:paraId="78FBFFD5" w14:textId="77777777" w:rsidR="007E07F8" w:rsidRPr="007E07F8" w:rsidRDefault="007E07F8" w:rsidP="00076AAA">
            <w:pPr>
              <w:autoSpaceDE w:val="0"/>
              <w:autoSpaceDN w:val="0"/>
              <w:adjustRightInd w:val="0"/>
              <w:jc w:val="left"/>
              <w:rPr>
                <w:rFonts w:cs="Arial"/>
                <w:strike/>
                <w:color w:val="4F81BD" w:themeColor="accent1"/>
                <w:szCs w:val="19"/>
              </w:rPr>
            </w:pPr>
            <w:r w:rsidRPr="007E07F8">
              <w:rPr>
                <w:rFonts w:cs="Arial"/>
                <w:strike/>
                <w:color w:val="4F81BD" w:themeColor="accent1"/>
                <w:szCs w:val="19"/>
              </w:rPr>
              <w:t>susceptible allele</w:t>
            </w:r>
          </w:p>
        </w:tc>
        <w:tc>
          <w:tcPr>
            <w:tcW w:w="2977" w:type="dxa"/>
            <w:vAlign w:val="center"/>
          </w:tcPr>
          <w:p w14:paraId="76928E81" w14:textId="77777777" w:rsidR="007E07F8" w:rsidRPr="007E07F8" w:rsidRDefault="007E07F8" w:rsidP="00076AAA">
            <w:pPr>
              <w:autoSpaceDE w:val="0"/>
              <w:autoSpaceDN w:val="0"/>
              <w:adjustRightInd w:val="0"/>
              <w:jc w:val="left"/>
              <w:rPr>
                <w:rFonts w:cs="Arial"/>
                <w:strike/>
                <w:color w:val="4F81BD" w:themeColor="accent1"/>
                <w:szCs w:val="19"/>
              </w:rPr>
            </w:pPr>
            <w:r w:rsidRPr="007E07F8">
              <w:rPr>
                <w:rFonts w:cs="Arial"/>
                <w:strike/>
                <w:color w:val="4F81BD" w:themeColor="accent1"/>
                <w:szCs w:val="19"/>
              </w:rPr>
              <w:t>resistant allele</w:t>
            </w:r>
          </w:p>
        </w:tc>
        <w:tc>
          <w:tcPr>
            <w:tcW w:w="1842" w:type="dxa"/>
            <w:vAlign w:val="center"/>
          </w:tcPr>
          <w:p w14:paraId="6F71DC14" w14:textId="77777777" w:rsidR="007E07F8" w:rsidRPr="007E07F8" w:rsidRDefault="007E07F8" w:rsidP="00076AAA">
            <w:pPr>
              <w:autoSpaceDE w:val="0"/>
              <w:autoSpaceDN w:val="0"/>
              <w:adjustRightInd w:val="0"/>
              <w:jc w:val="left"/>
              <w:rPr>
                <w:rFonts w:cs="Arial"/>
                <w:strike/>
                <w:color w:val="4F81BD" w:themeColor="accent1"/>
                <w:szCs w:val="19"/>
              </w:rPr>
            </w:pPr>
            <w:r w:rsidRPr="007E07F8">
              <w:rPr>
                <w:rFonts w:cs="Arial"/>
                <w:strike/>
                <w:color w:val="4F81BD" w:themeColor="accent1"/>
                <w:szCs w:val="19"/>
              </w:rPr>
              <w:t>susceptible allele</w:t>
            </w:r>
          </w:p>
        </w:tc>
      </w:tr>
      <w:tr w:rsidR="007E07F8" w:rsidRPr="007E07F8" w14:paraId="749AE4B4" w14:textId="77777777" w:rsidTr="00076AAA">
        <w:trPr>
          <w:trHeight w:val="558"/>
        </w:trPr>
        <w:tc>
          <w:tcPr>
            <w:tcW w:w="1701" w:type="dxa"/>
            <w:vAlign w:val="center"/>
          </w:tcPr>
          <w:p w14:paraId="0080D00A" w14:textId="77777777" w:rsidR="007E07F8" w:rsidRPr="007E07F8" w:rsidRDefault="007E07F8" w:rsidP="00076AAA">
            <w:pPr>
              <w:autoSpaceDE w:val="0"/>
              <w:autoSpaceDN w:val="0"/>
              <w:adjustRightInd w:val="0"/>
              <w:spacing w:before="120" w:after="120"/>
              <w:jc w:val="left"/>
              <w:rPr>
                <w:rFonts w:cs="Arial"/>
                <w:strike/>
                <w:color w:val="4F81BD" w:themeColor="accent1"/>
                <w:szCs w:val="19"/>
              </w:rPr>
            </w:pPr>
            <w:r w:rsidRPr="007E07F8">
              <w:rPr>
                <w:rFonts w:cs="Arial"/>
                <w:strike/>
                <w:color w:val="4F81BD" w:themeColor="accent1"/>
                <w:szCs w:val="19"/>
              </w:rPr>
              <w:t xml:space="preserve">Resistance to </w:t>
            </w:r>
            <w:proofErr w:type="spellStart"/>
            <w:r w:rsidRPr="007E07F8">
              <w:rPr>
                <w:rFonts w:cs="Arial"/>
                <w:strike/>
                <w:color w:val="4F81BD" w:themeColor="accent1"/>
                <w:szCs w:val="19"/>
              </w:rPr>
              <w:t>ToMV</w:t>
            </w:r>
            <w:proofErr w:type="spellEnd"/>
            <w:r w:rsidRPr="007E07F8">
              <w:rPr>
                <w:rFonts w:cs="Arial"/>
                <w:strike/>
                <w:color w:val="4F81BD" w:themeColor="accent1"/>
                <w:szCs w:val="19"/>
              </w:rPr>
              <w:t xml:space="preserve"> - Strain 0</w:t>
            </w:r>
          </w:p>
        </w:tc>
        <w:tc>
          <w:tcPr>
            <w:tcW w:w="1985" w:type="dxa"/>
            <w:vAlign w:val="center"/>
          </w:tcPr>
          <w:p w14:paraId="68B9BC37" w14:textId="77777777" w:rsidR="007E07F8" w:rsidRPr="007E07F8" w:rsidRDefault="007E07F8" w:rsidP="00076AAA">
            <w:pPr>
              <w:autoSpaceDE w:val="0"/>
              <w:autoSpaceDN w:val="0"/>
              <w:adjustRightInd w:val="0"/>
              <w:jc w:val="left"/>
              <w:rPr>
                <w:rFonts w:cs="Arial"/>
                <w:strike/>
                <w:color w:val="4F81BD" w:themeColor="accent1"/>
                <w:szCs w:val="19"/>
              </w:rPr>
            </w:pPr>
            <w:r w:rsidRPr="007E07F8">
              <w:rPr>
                <w:rFonts w:cs="Arial"/>
                <w:strike/>
                <w:color w:val="4F81BD" w:themeColor="accent1"/>
                <w:szCs w:val="19"/>
              </w:rPr>
              <w:t>absent</w:t>
            </w:r>
          </w:p>
        </w:tc>
        <w:tc>
          <w:tcPr>
            <w:tcW w:w="2977" w:type="dxa"/>
            <w:vAlign w:val="center"/>
          </w:tcPr>
          <w:p w14:paraId="387666BE" w14:textId="77777777" w:rsidR="007E07F8" w:rsidRPr="007E07F8" w:rsidRDefault="007E07F8" w:rsidP="00076AAA">
            <w:pPr>
              <w:autoSpaceDE w:val="0"/>
              <w:autoSpaceDN w:val="0"/>
              <w:adjustRightInd w:val="0"/>
              <w:jc w:val="left"/>
              <w:rPr>
                <w:rFonts w:cs="Arial"/>
                <w:strike/>
                <w:color w:val="4F81BD" w:themeColor="accent1"/>
                <w:szCs w:val="19"/>
              </w:rPr>
            </w:pPr>
            <w:r w:rsidRPr="007E07F8">
              <w:rPr>
                <w:rFonts w:cs="Arial"/>
                <w:strike/>
                <w:color w:val="4F81BD" w:themeColor="accent1"/>
                <w:szCs w:val="19"/>
              </w:rPr>
              <w:t>present</w:t>
            </w:r>
          </w:p>
        </w:tc>
        <w:tc>
          <w:tcPr>
            <w:tcW w:w="1842" w:type="dxa"/>
            <w:vAlign w:val="center"/>
          </w:tcPr>
          <w:p w14:paraId="31506762" w14:textId="77777777" w:rsidR="007E07F8" w:rsidRPr="007E07F8" w:rsidRDefault="007E07F8" w:rsidP="00076AAA">
            <w:pPr>
              <w:autoSpaceDE w:val="0"/>
              <w:autoSpaceDN w:val="0"/>
              <w:adjustRightInd w:val="0"/>
              <w:jc w:val="left"/>
              <w:rPr>
                <w:rFonts w:cs="Arial"/>
                <w:strike/>
                <w:color w:val="4F81BD" w:themeColor="accent1"/>
                <w:szCs w:val="19"/>
              </w:rPr>
            </w:pPr>
            <w:r w:rsidRPr="007E07F8">
              <w:rPr>
                <w:rFonts w:cs="Arial"/>
                <w:strike/>
                <w:color w:val="4F81BD" w:themeColor="accent1"/>
                <w:szCs w:val="19"/>
              </w:rPr>
              <w:t>present</w:t>
            </w:r>
          </w:p>
        </w:tc>
      </w:tr>
    </w:tbl>
    <w:p w14:paraId="7544BFE1" w14:textId="77777777" w:rsidR="007E07F8" w:rsidRPr="007E07F8" w:rsidRDefault="007E07F8" w:rsidP="007E07F8">
      <w:pPr>
        <w:autoSpaceDE w:val="0"/>
        <w:autoSpaceDN w:val="0"/>
        <w:adjustRightInd w:val="0"/>
        <w:rPr>
          <w:rFonts w:eastAsia="Calibri" w:cs="Arial"/>
          <w:strike/>
          <w:color w:val="4F81BD" w:themeColor="accent1"/>
          <w:lang w:val="en-GB"/>
        </w:rPr>
      </w:pPr>
    </w:p>
    <w:p w14:paraId="6982098E" w14:textId="77777777" w:rsidR="007E07F8" w:rsidRPr="007E07F8" w:rsidRDefault="007E07F8" w:rsidP="007E07F8">
      <w:pPr>
        <w:autoSpaceDE w:val="0"/>
        <w:autoSpaceDN w:val="0"/>
        <w:adjustRightInd w:val="0"/>
        <w:rPr>
          <w:rFonts w:eastAsia="Calibri" w:cs="Arial"/>
          <w:strike/>
          <w:color w:val="4F81BD" w:themeColor="accent1"/>
          <w:lang w:val="en-GB"/>
        </w:rPr>
      </w:pPr>
      <w:r w:rsidRPr="007E07F8">
        <w:rPr>
          <w:rFonts w:eastAsia="Calibri" w:cs="Arial"/>
          <w:strike/>
          <w:color w:val="4F81BD" w:themeColor="accent1"/>
          <w:lang w:val="en-GB"/>
        </w:rPr>
        <w:t>5.</w:t>
      </w:r>
      <w:r w:rsidRPr="007E07F8">
        <w:rPr>
          <w:rFonts w:eastAsia="Calibri" w:cs="Arial"/>
          <w:strike/>
          <w:color w:val="4F81BD" w:themeColor="accent1"/>
          <w:lang w:val="en-GB"/>
        </w:rPr>
        <w:tab/>
        <w:t xml:space="preserve">If a variety is claimed to be resistant to </w:t>
      </w:r>
      <w:proofErr w:type="spellStart"/>
      <w:r w:rsidRPr="007E07F8">
        <w:rPr>
          <w:rFonts w:eastAsia="Calibri" w:cs="Arial"/>
          <w:strike/>
          <w:color w:val="4F81BD" w:themeColor="accent1"/>
          <w:lang w:val="en-GB"/>
        </w:rPr>
        <w:t>ToMV</w:t>
      </w:r>
      <w:proofErr w:type="spellEnd"/>
      <w:r w:rsidRPr="007E07F8">
        <w:rPr>
          <w:rFonts w:eastAsia="Calibri" w:cs="Arial"/>
          <w:strike/>
          <w:color w:val="4F81BD" w:themeColor="accent1"/>
          <w:lang w:val="en-GB"/>
        </w:rPr>
        <w:t xml:space="preserve"> Strain 0, the DNA marker test may be performed.  In cases where the resistance is based on the presence of the allele </w:t>
      </w:r>
      <w:r w:rsidRPr="007E07F8">
        <w:rPr>
          <w:rFonts w:eastAsia="Calibri" w:cs="Arial"/>
          <w:i/>
          <w:strike/>
          <w:color w:val="4F81BD" w:themeColor="accent1"/>
          <w:lang w:val="en-GB"/>
        </w:rPr>
        <w:t xml:space="preserve">Tm2 </w:t>
      </w:r>
      <w:r w:rsidRPr="007E07F8">
        <w:rPr>
          <w:rFonts w:eastAsia="Calibri" w:cs="Arial"/>
          <w:strike/>
          <w:color w:val="4F81BD" w:themeColor="accent1"/>
          <w:lang w:val="en-GB"/>
        </w:rPr>
        <w:t xml:space="preserve">or </w:t>
      </w:r>
      <w:r w:rsidRPr="007E07F8">
        <w:rPr>
          <w:rFonts w:eastAsia="Calibri" w:cs="Arial"/>
          <w:i/>
          <w:strike/>
          <w:color w:val="4F81BD" w:themeColor="accent1"/>
          <w:lang w:val="en-GB"/>
        </w:rPr>
        <w:t>Tm2</w:t>
      </w:r>
      <w:r w:rsidRPr="007E07F8">
        <w:rPr>
          <w:rFonts w:eastAsia="Calibri" w:cs="Arial"/>
          <w:i/>
          <w:strike/>
          <w:color w:val="4F81BD" w:themeColor="accent1"/>
          <w:vertAlign w:val="superscript"/>
          <w:lang w:val="en-GB"/>
        </w:rPr>
        <w:t>2</w:t>
      </w:r>
      <w:r w:rsidRPr="007E07F8">
        <w:rPr>
          <w:rFonts w:eastAsia="Calibri" w:cs="Arial"/>
          <w:i/>
          <w:strike/>
          <w:color w:val="4F81BD" w:themeColor="accent1"/>
          <w:lang w:val="en-GB"/>
        </w:rPr>
        <w:t xml:space="preserve">, </w:t>
      </w:r>
      <w:r w:rsidRPr="007E07F8">
        <w:rPr>
          <w:rFonts w:eastAsia="Calibri" w:cs="Arial"/>
          <w:strike/>
          <w:color w:val="4F81BD" w:themeColor="accent1"/>
          <w:lang w:val="en-GB"/>
        </w:rPr>
        <w:t>the</w:t>
      </w:r>
      <w:r w:rsidRPr="007E07F8">
        <w:rPr>
          <w:rFonts w:eastAsia="Calibri" w:cs="Arial"/>
          <w:i/>
          <w:strike/>
          <w:color w:val="4F81BD" w:themeColor="accent1"/>
          <w:lang w:val="en-GB"/>
        </w:rPr>
        <w:t xml:space="preserve"> </w:t>
      </w:r>
      <w:r w:rsidRPr="007E07F8">
        <w:rPr>
          <w:rFonts w:eastAsia="Calibri" w:cs="Arial"/>
          <w:strike/>
          <w:color w:val="4F81BD" w:themeColor="accent1"/>
          <w:lang w:val="en-GB"/>
        </w:rPr>
        <w:t>DNA marker test could replace the traditional bioassay.</w:t>
      </w:r>
    </w:p>
    <w:p w14:paraId="3CB57F4D" w14:textId="77777777" w:rsidR="007E07F8" w:rsidRPr="007E07F8" w:rsidRDefault="007E07F8" w:rsidP="007E07F8">
      <w:pPr>
        <w:autoSpaceDE w:val="0"/>
        <w:autoSpaceDN w:val="0"/>
        <w:adjustRightInd w:val="0"/>
        <w:rPr>
          <w:rFonts w:eastAsia="Calibri" w:cs="Arial"/>
          <w:strike/>
          <w:color w:val="4F81BD" w:themeColor="accent1"/>
          <w:lang w:val="en-GB"/>
        </w:rPr>
      </w:pPr>
    </w:p>
    <w:p w14:paraId="19E18A56" w14:textId="77777777" w:rsidR="007E07F8" w:rsidRPr="007E07F8" w:rsidRDefault="007E07F8" w:rsidP="007E07F8">
      <w:pPr>
        <w:autoSpaceDE w:val="0"/>
        <w:autoSpaceDN w:val="0"/>
        <w:adjustRightInd w:val="0"/>
        <w:rPr>
          <w:rFonts w:eastAsia="Calibri" w:cs="Arial"/>
          <w:strike/>
          <w:color w:val="4F81BD" w:themeColor="accent1"/>
          <w:lang w:val="en-GB"/>
        </w:rPr>
      </w:pPr>
      <w:r w:rsidRPr="007E07F8">
        <w:rPr>
          <w:rFonts w:eastAsia="Calibri" w:cs="Arial"/>
          <w:strike/>
          <w:color w:val="4F81BD" w:themeColor="accent1"/>
          <w:lang w:val="en-GB"/>
        </w:rPr>
        <w:t>6.</w:t>
      </w:r>
      <w:r w:rsidRPr="007E07F8">
        <w:rPr>
          <w:rFonts w:eastAsia="Calibri" w:cs="Arial"/>
          <w:strike/>
          <w:color w:val="4F81BD" w:themeColor="accent1"/>
          <w:lang w:val="en-GB"/>
        </w:rPr>
        <w:tab/>
        <w:t>If the DNA marker test does not confirm the resistance claim or if the variety is claimed to be susceptible, a bioassay must be performed.</w:t>
      </w:r>
    </w:p>
    <w:p w14:paraId="7C84C527" w14:textId="77777777" w:rsidR="007E07F8" w:rsidRDefault="007E07F8" w:rsidP="007E07F8"/>
    <w:p w14:paraId="0C8C670D" w14:textId="77777777" w:rsidR="007E07F8" w:rsidRDefault="007E07F8" w:rsidP="007E07F8"/>
    <w:p w14:paraId="015A1732" w14:textId="77777777" w:rsidR="007E07F8" w:rsidRDefault="007E07F8" w:rsidP="007E07F8"/>
    <w:p w14:paraId="783898DA" w14:textId="77777777" w:rsidR="007E07F8" w:rsidRPr="007E07F8" w:rsidRDefault="007E07F8" w:rsidP="007E07F8">
      <w:pPr>
        <w:jc w:val="right"/>
        <w:rPr>
          <w:rFonts w:cs="Arial"/>
          <w:strike/>
        </w:rPr>
      </w:pPr>
      <w:r w:rsidRPr="007E07F8">
        <w:rPr>
          <w:rFonts w:cs="Arial"/>
          <w:strike/>
          <w:highlight w:val="lightGray"/>
        </w:rPr>
        <w:t>[Annex II follows]</w:t>
      </w:r>
    </w:p>
    <w:p w14:paraId="2E4CCC2C" w14:textId="77777777" w:rsidR="007E07F8" w:rsidRPr="003F29C8" w:rsidRDefault="007E07F8" w:rsidP="007E07F8">
      <w:pPr>
        <w:rPr>
          <w:u w:val="single"/>
        </w:rPr>
      </w:pPr>
    </w:p>
    <w:p w14:paraId="5341856E" w14:textId="77777777" w:rsidR="007E07F8" w:rsidRPr="003F29C8" w:rsidRDefault="007E07F8" w:rsidP="007E07F8">
      <w:pPr>
        <w:pBdr>
          <w:top w:val="single" w:sz="4" w:space="1" w:color="auto"/>
          <w:left w:val="single" w:sz="4" w:space="4" w:color="auto"/>
          <w:bottom w:val="single" w:sz="4" w:space="1" w:color="auto"/>
          <w:right w:val="single" w:sz="4" w:space="4" w:color="auto"/>
        </w:pBdr>
        <w:rPr>
          <w:u w:val="single"/>
        </w:rPr>
        <w:sectPr w:rsidR="007E07F8" w:rsidRPr="003F29C8" w:rsidSect="007E07F8">
          <w:headerReference w:type="default" r:id="rId23"/>
          <w:headerReference w:type="first" r:id="rId24"/>
          <w:footerReference w:type="first" r:id="rId25"/>
          <w:pgSz w:w="11907" w:h="16840" w:code="9"/>
          <w:pgMar w:top="510" w:right="1134" w:bottom="1134" w:left="1134" w:header="510" w:footer="567" w:gutter="0"/>
          <w:pgNumType w:start="1"/>
          <w:cols w:space="720"/>
          <w:titlePg/>
        </w:sectPr>
      </w:pPr>
    </w:p>
    <w:p w14:paraId="13A8B7D0" w14:textId="77777777" w:rsidR="007E07F8" w:rsidRPr="007E07F8" w:rsidRDefault="007E07F8" w:rsidP="007E07F8">
      <w:pPr>
        <w:jc w:val="center"/>
        <w:rPr>
          <w:strike/>
          <w:highlight w:val="lightGray"/>
        </w:rPr>
      </w:pPr>
      <w:bookmarkStart w:id="103" w:name="_Toc311473366"/>
      <w:r w:rsidRPr="007E07F8">
        <w:rPr>
          <w:strike/>
          <w:highlight w:val="lightGray"/>
        </w:rPr>
        <w:lastRenderedPageBreak/>
        <w:t xml:space="preserve">ANNEX </w:t>
      </w:r>
      <w:bookmarkEnd w:id="103"/>
      <w:r w:rsidRPr="007E07F8">
        <w:rPr>
          <w:strike/>
          <w:highlight w:val="lightGray"/>
        </w:rPr>
        <w:t>II</w:t>
      </w:r>
    </w:p>
    <w:p w14:paraId="4AA05ACA" w14:textId="77777777" w:rsidR="007E07F8" w:rsidRPr="007E07F8" w:rsidRDefault="007E07F8" w:rsidP="007E07F8">
      <w:pPr>
        <w:jc w:val="center"/>
        <w:rPr>
          <w:strike/>
          <w:snapToGrid w:val="0"/>
          <w:highlight w:val="lightGray"/>
        </w:rPr>
      </w:pPr>
    </w:p>
    <w:p w14:paraId="04C7C204" w14:textId="77777777" w:rsidR="007E07F8" w:rsidRPr="007E07F8" w:rsidRDefault="007E07F8" w:rsidP="007E07F8">
      <w:pPr>
        <w:jc w:val="center"/>
        <w:rPr>
          <w:strike/>
          <w:snapToGrid w:val="0"/>
          <w:highlight w:val="lightGray"/>
        </w:rPr>
      </w:pPr>
    </w:p>
    <w:p w14:paraId="7E6AC3A1" w14:textId="77777777" w:rsidR="007E07F8" w:rsidRPr="007E07F8" w:rsidRDefault="007E07F8" w:rsidP="007E07F8">
      <w:pPr>
        <w:pBdr>
          <w:top w:val="single" w:sz="4" w:space="1" w:color="auto"/>
          <w:left w:val="single" w:sz="4" w:space="4" w:color="auto"/>
          <w:bottom w:val="single" w:sz="4" w:space="1" w:color="auto"/>
          <w:right w:val="single" w:sz="4" w:space="4" w:color="auto"/>
        </w:pBdr>
        <w:jc w:val="center"/>
        <w:rPr>
          <w:bCs/>
          <w:strike/>
          <w:snapToGrid w:val="0"/>
        </w:rPr>
      </w:pPr>
      <w:bookmarkStart w:id="104" w:name="_Toc311473367"/>
      <w:r w:rsidRPr="007E07F8">
        <w:rPr>
          <w:strike/>
          <w:snapToGrid w:val="0"/>
          <w:highlight w:val="lightGray"/>
        </w:rPr>
        <w:t xml:space="preserve">MODEL:  </w:t>
      </w:r>
      <w:r w:rsidRPr="007E07F8">
        <w:rPr>
          <w:bCs/>
          <w:strike/>
          <w:snapToGrid w:val="0"/>
          <w:highlight w:val="lightGray"/>
        </w:rPr>
        <w:t>COMBINING PHENOTYPIC AND MOLECULAR DISTANCES IN</w:t>
      </w:r>
      <w:r w:rsidRPr="007E07F8">
        <w:rPr>
          <w:bCs/>
          <w:strike/>
          <w:snapToGrid w:val="0"/>
          <w:highlight w:val="lightGray"/>
        </w:rPr>
        <w:br/>
        <w:t>THE MANAGEMENT OF VARIETY COLLECTIONS</w:t>
      </w:r>
      <w:bookmarkEnd w:id="104"/>
    </w:p>
    <w:p w14:paraId="60DFEFD2" w14:textId="77777777" w:rsidR="007E07F8" w:rsidRDefault="007E07F8" w:rsidP="007E07F8">
      <w:pPr>
        <w:jc w:val="center"/>
        <w:rPr>
          <w:bCs/>
          <w:snapToGrid w:val="0"/>
        </w:rPr>
      </w:pPr>
    </w:p>
    <w:p w14:paraId="0A0040B5" w14:textId="77777777" w:rsidR="007E07F8" w:rsidRPr="009371BB" w:rsidRDefault="007E07F8" w:rsidP="007E07F8">
      <w:pPr>
        <w:jc w:val="center"/>
        <w:rPr>
          <w:snapToGrid w:val="0"/>
          <w:color w:val="000000"/>
        </w:rPr>
      </w:pPr>
    </w:p>
    <w:p w14:paraId="46BF0511" w14:textId="77777777" w:rsidR="007E07F8" w:rsidRPr="007E07F8" w:rsidRDefault="007E07F8" w:rsidP="007E07F8">
      <w:pPr>
        <w:jc w:val="center"/>
        <w:rPr>
          <w:strike/>
        </w:rPr>
      </w:pPr>
      <w:bookmarkStart w:id="105" w:name="_Toc311473368"/>
      <w:r w:rsidRPr="007E07F8">
        <w:rPr>
          <w:strike/>
          <w:highlight w:val="lightGray"/>
        </w:rPr>
        <w:t>EXAMPLE 1:  PARENT LINES IN MAIZE</w:t>
      </w:r>
      <w:bookmarkEnd w:id="105"/>
    </w:p>
    <w:p w14:paraId="2932488D" w14:textId="77777777" w:rsidR="007E07F8" w:rsidRDefault="007E07F8" w:rsidP="007E07F8">
      <w:pPr>
        <w:jc w:val="center"/>
      </w:pPr>
    </w:p>
    <w:p w14:paraId="091607DE" w14:textId="77777777" w:rsidR="007E07F8" w:rsidRPr="009371BB" w:rsidRDefault="007E07F8" w:rsidP="007E07F8">
      <w:pPr>
        <w:jc w:val="center"/>
      </w:pPr>
    </w:p>
    <w:p w14:paraId="2D387D6E" w14:textId="77777777" w:rsidR="007E07F8" w:rsidRPr="000456A0" w:rsidRDefault="007E07F8" w:rsidP="007E07F8">
      <w:pPr>
        <w:jc w:val="center"/>
        <w:rPr>
          <w:i/>
          <w:strike/>
          <w:color w:val="4F81BD" w:themeColor="accent1"/>
        </w:rPr>
      </w:pPr>
      <w:r w:rsidRPr="000456A0">
        <w:rPr>
          <w:i/>
          <w:strike/>
          <w:color w:val="4F81BD" w:themeColor="accent1"/>
        </w:rPr>
        <w:t>prepared by experts from France</w:t>
      </w:r>
    </w:p>
    <w:p w14:paraId="6B30BE20" w14:textId="77777777" w:rsidR="007E07F8" w:rsidRPr="00804A0D" w:rsidRDefault="007E07F8" w:rsidP="007E07F8">
      <w:pPr>
        <w:jc w:val="center"/>
        <w:rPr>
          <w:i/>
          <w:strike/>
          <w:color w:val="4F81BD" w:themeColor="accent1"/>
        </w:rPr>
      </w:pPr>
    </w:p>
    <w:p w14:paraId="47FAB14F" w14:textId="77777777" w:rsidR="007E07F8" w:rsidRPr="00804A0D" w:rsidRDefault="007E07F8" w:rsidP="00804A0D">
      <w:pPr>
        <w:jc w:val="center"/>
        <w:rPr>
          <w:i/>
          <w:strike/>
          <w:color w:val="4F81BD" w:themeColor="accent1"/>
        </w:rPr>
      </w:pPr>
    </w:p>
    <w:p w14:paraId="7770FBE3" w14:textId="77777777" w:rsidR="007E07F8" w:rsidRPr="00804A0D" w:rsidRDefault="007E07F8" w:rsidP="00804A0D">
      <w:pPr>
        <w:jc w:val="center"/>
        <w:rPr>
          <w:i/>
          <w:strike/>
          <w:color w:val="4F81BD" w:themeColor="accent1"/>
        </w:rPr>
      </w:pPr>
    </w:p>
    <w:p w14:paraId="447C2BA6"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1.</w:t>
      </w:r>
      <w:r w:rsidRPr="000456A0">
        <w:rPr>
          <w:rFonts w:cs="Arial"/>
          <w:strike/>
          <w:snapToGrid w:val="0"/>
          <w:color w:val="4F81BD" w:themeColor="accent1"/>
        </w:rPr>
        <w:tab/>
      </w:r>
      <w:r w:rsidRPr="000456A0">
        <w:rPr>
          <w:rFonts w:cs="Arial"/>
          <w:strike/>
          <w:snapToGrid w:val="0"/>
          <w:color w:val="4F81BD" w:themeColor="accent1"/>
          <w:u w:val="single"/>
        </w:rPr>
        <w:t>Description</w:t>
      </w:r>
    </w:p>
    <w:p w14:paraId="6AA366A1" w14:textId="77777777" w:rsidR="007E07F8" w:rsidRPr="000456A0" w:rsidRDefault="007E07F8" w:rsidP="007E07F8">
      <w:pPr>
        <w:rPr>
          <w:rFonts w:cs="Arial"/>
          <w:strike/>
          <w:snapToGrid w:val="0"/>
          <w:color w:val="4F81BD" w:themeColor="accent1"/>
        </w:rPr>
      </w:pPr>
    </w:p>
    <w:p w14:paraId="19A51AD6" w14:textId="77777777" w:rsidR="007E07F8" w:rsidRPr="000456A0" w:rsidRDefault="007E07F8" w:rsidP="007E07F8">
      <w:pPr>
        <w:rPr>
          <w:rFonts w:cs="Arial"/>
          <w:strike/>
          <w:color w:val="4F81BD" w:themeColor="accent1"/>
        </w:rPr>
      </w:pPr>
      <w:r w:rsidRPr="000456A0">
        <w:rPr>
          <w:rFonts w:cs="Arial"/>
          <w:strike/>
          <w:color w:val="4F81BD" w:themeColor="accent1"/>
        </w:rPr>
        <w:t>1.1</w:t>
      </w:r>
      <w:r w:rsidRPr="000456A0">
        <w:rPr>
          <w:rFonts w:cs="Arial"/>
          <w:strike/>
          <w:color w:val="4F81BD" w:themeColor="accent1"/>
        </w:rPr>
        <w:tab/>
        <w:t xml:space="preserve">A key feature of the process of eliminating varieties of common knowledge prior to the DUS growing trial is that the threshold for deciding which varieties can be safely excluded (i.e. are distinct on the basis of descriptions), can be set with a suitable margin of safety, because those varieties which are </w:t>
      </w:r>
      <w:proofErr w:type="gramStart"/>
      <w:r w:rsidRPr="000456A0">
        <w:rPr>
          <w:rFonts w:cs="Arial"/>
          <w:strike/>
          <w:color w:val="4F81BD" w:themeColor="accent1"/>
        </w:rPr>
        <w:t>eliminated,</w:t>
      </w:r>
      <w:proofErr w:type="gramEnd"/>
      <w:r w:rsidRPr="000456A0">
        <w:rPr>
          <w:rFonts w:cs="Arial"/>
          <w:strike/>
          <w:color w:val="4F81BD" w:themeColor="accent1"/>
        </w:rPr>
        <w:t xml:space="preserve"> will not be included in the growing trial.  This threshold, with a safety margin, is termed the “Distinctness plus” threshold which means that the distances between a candidate variety and “distinct plus” varieties are robust enough to take a decision without direct comparison in the growing trial.</w:t>
      </w:r>
    </w:p>
    <w:p w14:paraId="6E03503E" w14:textId="77777777" w:rsidR="007E07F8" w:rsidRPr="000456A0" w:rsidRDefault="007E07F8" w:rsidP="007E07F8">
      <w:pPr>
        <w:rPr>
          <w:rFonts w:cs="Arial"/>
          <w:strike/>
          <w:color w:val="4F81BD" w:themeColor="accent1"/>
        </w:rPr>
      </w:pPr>
    </w:p>
    <w:p w14:paraId="102A45D3"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1.2</w:t>
      </w:r>
      <w:r w:rsidRPr="000456A0">
        <w:rPr>
          <w:rFonts w:cs="Arial"/>
          <w:strike/>
          <w:snapToGrid w:val="0"/>
          <w:color w:val="4F81BD" w:themeColor="accent1"/>
        </w:rPr>
        <w:tab/>
        <w:t xml:space="preserve">The objective of this </w:t>
      </w:r>
      <w:r w:rsidRPr="000456A0">
        <w:rPr>
          <w:rFonts w:cs="Arial"/>
          <w:strike/>
          <w:color w:val="4F81BD" w:themeColor="accent1"/>
        </w:rPr>
        <w:t xml:space="preserve">example </w:t>
      </w:r>
      <w:r w:rsidRPr="000456A0">
        <w:rPr>
          <w:rFonts w:cs="Arial"/>
          <w:strike/>
          <w:snapToGrid w:val="0"/>
          <w:color w:val="4F81BD" w:themeColor="accent1"/>
        </w:rPr>
        <w:t xml:space="preserve">is to develop an efficient tool, based on a combination of phenotypic and molecular distances, to identify within the variety collection, those varieties which need to be compared with candidate varieties (see Figure 1) in order to improve the selection of “distinct plus” varieties and so to limit the workload without decreasing the quality of the test.  The challenge is to develop a </w:t>
      </w:r>
      <w:proofErr w:type="gramStart"/>
      <w:r w:rsidRPr="000456A0">
        <w:rPr>
          <w:rFonts w:cs="Arial"/>
          <w:strike/>
          <w:snapToGrid w:val="0"/>
          <w:color w:val="4F81BD" w:themeColor="accent1"/>
        </w:rPr>
        <w:t>secure</w:t>
      </w:r>
      <w:proofErr w:type="gramEnd"/>
      <w:r w:rsidRPr="000456A0">
        <w:rPr>
          <w:rFonts w:cs="Arial"/>
          <w:strike/>
          <w:snapToGrid w:val="0"/>
          <w:color w:val="4F81BD" w:themeColor="accent1"/>
        </w:rPr>
        <w:t xml:space="preserve"> system that:</w:t>
      </w:r>
    </w:p>
    <w:p w14:paraId="40C56753" w14:textId="77777777" w:rsidR="007E07F8" w:rsidRPr="000456A0" w:rsidRDefault="007E07F8" w:rsidP="007E07F8">
      <w:pPr>
        <w:rPr>
          <w:rFonts w:cs="Arial"/>
          <w:strike/>
          <w:snapToGrid w:val="0"/>
          <w:color w:val="4F81BD" w:themeColor="accent1"/>
        </w:rPr>
      </w:pPr>
    </w:p>
    <w:p w14:paraId="7019B36A" w14:textId="77777777" w:rsidR="007E07F8" w:rsidRPr="000456A0" w:rsidRDefault="007E07F8" w:rsidP="007E07F8">
      <w:pPr>
        <w:ind w:firstLine="567"/>
        <w:rPr>
          <w:rFonts w:cs="Arial"/>
          <w:strike/>
          <w:snapToGrid w:val="0"/>
          <w:color w:val="4F81BD" w:themeColor="accent1"/>
        </w:rPr>
      </w:pPr>
      <w:r w:rsidRPr="000456A0">
        <w:rPr>
          <w:rFonts w:cs="Arial"/>
          <w:strike/>
          <w:snapToGrid w:val="0"/>
          <w:color w:val="4F81BD" w:themeColor="accent1"/>
        </w:rPr>
        <w:t>(a)</w:t>
      </w:r>
      <w:r w:rsidRPr="000456A0">
        <w:rPr>
          <w:rFonts w:cs="Arial"/>
          <w:strike/>
          <w:snapToGrid w:val="0"/>
          <w:color w:val="4F81BD" w:themeColor="accent1"/>
        </w:rPr>
        <w:tab/>
        <w:t>only selects varieties which are similar to the candidate varieties;  and</w:t>
      </w:r>
    </w:p>
    <w:p w14:paraId="2504E8AA" w14:textId="77777777" w:rsidR="007E07F8" w:rsidRPr="000456A0" w:rsidRDefault="007E07F8" w:rsidP="007E07F8">
      <w:pPr>
        <w:ind w:firstLine="720"/>
        <w:rPr>
          <w:rFonts w:cs="Arial"/>
          <w:strike/>
          <w:snapToGrid w:val="0"/>
          <w:color w:val="4F81BD" w:themeColor="accent1"/>
        </w:rPr>
      </w:pPr>
    </w:p>
    <w:p w14:paraId="485E7EAD" w14:textId="77777777" w:rsidR="007E07F8" w:rsidRPr="000456A0" w:rsidRDefault="007E07F8" w:rsidP="007E07F8">
      <w:pPr>
        <w:ind w:left="1134" w:hanging="567"/>
        <w:rPr>
          <w:rFonts w:cs="Arial"/>
          <w:strike/>
          <w:snapToGrid w:val="0"/>
          <w:color w:val="4F81BD" w:themeColor="accent1"/>
        </w:rPr>
      </w:pPr>
      <w:r w:rsidRPr="000456A0">
        <w:rPr>
          <w:rFonts w:cs="Arial"/>
          <w:strike/>
          <w:snapToGrid w:val="0"/>
          <w:color w:val="4F81BD" w:themeColor="accent1"/>
        </w:rPr>
        <w:t>(b)</w:t>
      </w:r>
      <w:r w:rsidRPr="000456A0">
        <w:rPr>
          <w:rFonts w:cs="Arial"/>
          <w:strike/>
          <w:snapToGrid w:val="0"/>
          <w:color w:val="4F81BD" w:themeColor="accent1"/>
        </w:rPr>
        <w:tab/>
        <w:t>limits the risk of not selecting a variety in the variety collection which needs to be compared in the field, especially when there is a large or expensive variety collection.</w:t>
      </w:r>
    </w:p>
    <w:p w14:paraId="6C2E802C" w14:textId="77777777" w:rsidR="007E07F8" w:rsidRPr="000456A0" w:rsidRDefault="007E07F8" w:rsidP="007E07F8">
      <w:pPr>
        <w:spacing w:line="360" w:lineRule="auto"/>
        <w:ind w:left="1440" w:hanging="720"/>
        <w:rPr>
          <w:rFonts w:cs="Arial"/>
          <w:strike/>
          <w:snapToGrid w:val="0"/>
          <w:color w:val="4F81BD" w:themeColor="accent1"/>
        </w:rPr>
      </w:pPr>
    </w:p>
    <w:p w14:paraId="4EF80335" w14:textId="77777777" w:rsidR="007E07F8" w:rsidRPr="000456A0" w:rsidRDefault="007E07F8" w:rsidP="007E07F8">
      <w:pPr>
        <w:spacing w:after="240"/>
        <w:rPr>
          <w:rFonts w:cs="Arial"/>
          <w:i/>
          <w:iCs/>
          <w:strike/>
          <w:snapToGrid w:val="0"/>
          <w:color w:val="4F81BD" w:themeColor="accent1"/>
        </w:rPr>
      </w:pPr>
      <w:r w:rsidRPr="000456A0">
        <w:rPr>
          <w:rFonts w:cs="Arial"/>
          <w:i/>
          <w:iCs/>
          <w:strike/>
          <w:snapToGrid w:val="0"/>
          <w:color w:val="4F81BD" w:themeColor="accent1"/>
        </w:rPr>
        <w:t>Figure 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286"/>
      </w:tblGrid>
      <w:tr w:rsidR="000456A0" w:rsidRPr="000456A0" w14:paraId="5F4A090B" w14:textId="77777777" w:rsidTr="00076AAA">
        <w:trPr>
          <w:jc w:val="center"/>
        </w:trPr>
        <w:tc>
          <w:tcPr>
            <w:tcW w:w="9286" w:type="dxa"/>
          </w:tcPr>
          <w:p w14:paraId="1B9FDF66" w14:textId="77777777" w:rsidR="007E07F8" w:rsidRPr="000456A0" w:rsidRDefault="007E07F8" w:rsidP="00076AAA">
            <w:pPr>
              <w:jc w:val="center"/>
              <w:rPr>
                <w:rFonts w:cs="Arial"/>
                <w:strike/>
                <w:snapToGrid w:val="0"/>
                <w:color w:val="4F81BD" w:themeColor="accent1"/>
              </w:rPr>
            </w:pPr>
            <w:r w:rsidRPr="000456A0">
              <w:rPr>
                <w:rFonts w:cs="Arial"/>
                <w:strike/>
                <w:noProof/>
                <w:color w:val="4F81BD" w:themeColor="accent1"/>
              </w:rPr>
              <w:drawing>
                <wp:inline distT="0" distB="0" distL="0" distR="0" wp14:anchorId="14216596" wp14:editId="6042EA48">
                  <wp:extent cx="4301490" cy="2926080"/>
                  <wp:effectExtent l="19050" t="19050" r="22860" b="266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t="8388"/>
                          <a:stretch>
                            <a:fillRect/>
                          </a:stretch>
                        </pic:blipFill>
                        <pic:spPr bwMode="auto">
                          <a:xfrm>
                            <a:off x="0" y="0"/>
                            <a:ext cx="4301490" cy="2926080"/>
                          </a:xfrm>
                          <a:prstGeom prst="rect">
                            <a:avLst/>
                          </a:prstGeom>
                          <a:noFill/>
                          <a:ln w="6350" cmpd="sng">
                            <a:solidFill>
                              <a:srgbClr val="000000"/>
                            </a:solidFill>
                            <a:miter lim="800000"/>
                            <a:headEnd/>
                            <a:tailEnd/>
                          </a:ln>
                          <a:effectLst/>
                        </pic:spPr>
                      </pic:pic>
                    </a:graphicData>
                  </a:graphic>
                </wp:inline>
              </w:drawing>
            </w:r>
          </w:p>
        </w:tc>
      </w:tr>
    </w:tbl>
    <w:p w14:paraId="3649E5A8" w14:textId="77777777" w:rsidR="007E07F8" w:rsidRPr="000456A0" w:rsidRDefault="007E07F8" w:rsidP="007E07F8">
      <w:pPr>
        <w:rPr>
          <w:rFonts w:cs="Arial"/>
          <w:strike/>
          <w:snapToGrid w:val="0"/>
          <w:color w:val="4F81BD" w:themeColor="accent1"/>
        </w:rPr>
      </w:pPr>
    </w:p>
    <w:p w14:paraId="4BFC1EC5"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br w:type="page"/>
      </w:r>
      <w:r w:rsidRPr="000456A0">
        <w:rPr>
          <w:rFonts w:cs="Arial"/>
          <w:strike/>
          <w:snapToGrid w:val="0"/>
          <w:color w:val="4F81BD" w:themeColor="accent1"/>
        </w:rPr>
        <w:lastRenderedPageBreak/>
        <w:t>1.3</w:t>
      </w:r>
      <w:r w:rsidRPr="000456A0">
        <w:rPr>
          <w:rFonts w:cs="Arial"/>
          <w:strike/>
          <w:snapToGrid w:val="0"/>
          <w:color w:val="4F81BD" w:themeColor="accent1"/>
        </w:rPr>
        <w:tab/>
        <w:t>The new system has been elaborated on the following background:</w:t>
      </w:r>
    </w:p>
    <w:p w14:paraId="22354303" w14:textId="77777777" w:rsidR="007E07F8" w:rsidRPr="000456A0" w:rsidRDefault="007E07F8" w:rsidP="007E07F8">
      <w:pPr>
        <w:rPr>
          <w:rFonts w:cs="Arial"/>
          <w:strike/>
          <w:snapToGrid w:val="0"/>
          <w:color w:val="4F81BD" w:themeColor="accent1"/>
        </w:rPr>
      </w:pPr>
    </w:p>
    <w:p w14:paraId="70587C97" w14:textId="77777777" w:rsidR="007E07F8" w:rsidRPr="000456A0" w:rsidRDefault="007E07F8" w:rsidP="007E07F8">
      <w:pPr>
        <w:ind w:firstLine="567"/>
        <w:rPr>
          <w:rFonts w:cs="Arial"/>
          <w:strike/>
          <w:snapToGrid w:val="0"/>
          <w:color w:val="4F81BD" w:themeColor="accent1"/>
        </w:rPr>
      </w:pPr>
      <w:r w:rsidRPr="000456A0">
        <w:rPr>
          <w:rFonts w:cs="Arial"/>
          <w:strike/>
          <w:snapToGrid w:val="0"/>
          <w:color w:val="4F81BD" w:themeColor="accent1"/>
        </w:rPr>
        <w:t>(a)</w:t>
      </w:r>
      <w:r w:rsidRPr="000456A0">
        <w:rPr>
          <w:rFonts w:cs="Arial"/>
          <w:strike/>
          <w:snapToGrid w:val="0"/>
          <w:color w:val="4F81BD" w:themeColor="accent1"/>
        </w:rPr>
        <w:tab/>
        <w:t>Studies done on molecular distances in maize for DUS testing and essential derivation, which showed the link with the parentage between varieties (see documents BMT/3/6 “The Estimation of Molecular Genetic Distances in Maize or DUS and ED Protocols:  Optimization of the Information and new Approaches of Kinship” and document BMT/3/6 Add.)</w:t>
      </w:r>
    </w:p>
    <w:p w14:paraId="0DB09708" w14:textId="77777777" w:rsidR="007E07F8" w:rsidRPr="000456A0" w:rsidRDefault="007E07F8" w:rsidP="007E07F8">
      <w:pPr>
        <w:ind w:firstLine="567"/>
        <w:rPr>
          <w:rFonts w:cs="Arial"/>
          <w:strike/>
          <w:snapToGrid w:val="0"/>
          <w:color w:val="4F81BD" w:themeColor="accent1"/>
        </w:rPr>
      </w:pPr>
    </w:p>
    <w:p w14:paraId="4A9ED038" w14:textId="77777777" w:rsidR="007E07F8" w:rsidRPr="000456A0" w:rsidRDefault="007E07F8" w:rsidP="007E07F8">
      <w:pPr>
        <w:ind w:firstLine="567"/>
        <w:rPr>
          <w:rFonts w:cs="Arial"/>
          <w:strike/>
          <w:snapToGrid w:val="0"/>
          <w:color w:val="4F81BD" w:themeColor="accent1"/>
        </w:rPr>
      </w:pPr>
      <w:r w:rsidRPr="000456A0">
        <w:rPr>
          <w:rFonts w:cs="Arial"/>
          <w:strike/>
          <w:snapToGrid w:val="0"/>
          <w:color w:val="4F81BD" w:themeColor="accent1"/>
        </w:rPr>
        <w:t>(b)</w:t>
      </w:r>
      <w:r w:rsidRPr="000456A0">
        <w:rPr>
          <w:rFonts w:cs="Arial"/>
          <w:strike/>
          <w:snapToGrid w:val="0"/>
          <w:color w:val="4F81BD" w:themeColor="accent1"/>
        </w:rPr>
        <w:tab/>
        <w:t>An experiment done by GEVES on a set of maize parental lines, which showed that there is a link between the evaluation of distinctness by experts (global assessment) and a molecular distance computed on Simple Sequence Repeat (SSR) molecular data (see Figure 2).</w:t>
      </w:r>
    </w:p>
    <w:p w14:paraId="49A6C4AB" w14:textId="77777777" w:rsidR="007E07F8" w:rsidRPr="000456A0" w:rsidRDefault="007E07F8" w:rsidP="007E07F8">
      <w:pPr>
        <w:ind w:firstLine="567"/>
        <w:rPr>
          <w:rFonts w:cs="Arial"/>
          <w:strike/>
          <w:snapToGrid w:val="0"/>
          <w:color w:val="4F81BD" w:themeColor="accent1"/>
        </w:rPr>
      </w:pPr>
    </w:p>
    <w:p w14:paraId="1DD3A32C" w14:textId="77777777" w:rsidR="007E07F8" w:rsidRPr="000456A0" w:rsidRDefault="007E07F8" w:rsidP="007E07F8">
      <w:pPr>
        <w:ind w:firstLine="567"/>
        <w:rPr>
          <w:rFonts w:cs="Arial"/>
          <w:strike/>
          <w:snapToGrid w:val="0"/>
          <w:color w:val="4F81BD" w:themeColor="accent1"/>
        </w:rPr>
      </w:pPr>
    </w:p>
    <w:p w14:paraId="5B279AA9"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1.4</w:t>
      </w:r>
      <w:r w:rsidRPr="000456A0">
        <w:rPr>
          <w:rFonts w:cs="Arial"/>
          <w:strike/>
          <w:snapToGrid w:val="0"/>
          <w:color w:val="4F81BD" w:themeColor="accent1"/>
        </w:rPr>
        <w:tab/>
        <w:t>Components of the system</w:t>
      </w:r>
    </w:p>
    <w:p w14:paraId="196530C5" w14:textId="77777777" w:rsidR="007E07F8" w:rsidRPr="000456A0" w:rsidRDefault="007E07F8" w:rsidP="007E07F8">
      <w:pPr>
        <w:rPr>
          <w:rFonts w:cs="Arial"/>
          <w:strike/>
          <w:snapToGrid w:val="0"/>
          <w:color w:val="4F81BD" w:themeColor="accent1"/>
        </w:rPr>
      </w:pPr>
    </w:p>
    <w:p w14:paraId="5A0CB435"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1.4.1</w:t>
      </w:r>
      <w:r w:rsidRPr="000456A0">
        <w:rPr>
          <w:rFonts w:cs="Arial"/>
          <w:strike/>
          <w:snapToGrid w:val="0"/>
          <w:color w:val="4F81BD" w:themeColor="accent1"/>
        </w:rPr>
        <w:tab/>
        <w:t xml:space="preserve">GAIA distance </w:t>
      </w:r>
    </w:p>
    <w:p w14:paraId="346A2966" w14:textId="77777777" w:rsidR="007E07F8" w:rsidRPr="000456A0" w:rsidRDefault="007E07F8" w:rsidP="007E07F8">
      <w:pPr>
        <w:rPr>
          <w:rFonts w:cs="Arial"/>
          <w:strike/>
          <w:snapToGrid w:val="0"/>
          <w:color w:val="4F81BD" w:themeColor="accent1"/>
        </w:rPr>
      </w:pPr>
    </w:p>
    <w:p w14:paraId="67C30738"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The GAIA distance component is computed with the GAIA software developed by GEVES. The GAIA distance is a combination of differences observed on phenotypic characteristics, where each difference contributes to the distance according to the reliability of the characteristics, especially regarding its variability and its susceptibility to environment.  The larger the size of the difference and the greater the reliability of the characteristic, the more the difference contributes to the GAIA distance. Only differences that are equal or larger than the minimum distance required for each individual characteristic are included.</w:t>
      </w:r>
    </w:p>
    <w:p w14:paraId="3FF8CF07" w14:textId="77777777" w:rsidR="007E07F8" w:rsidRPr="000456A0" w:rsidRDefault="007E07F8" w:rsidP="007E07F8">
      <w:pPr>
        <w:spacing w:line="360" w:lineRule="auto"/>
        <w:rPr>
          <w:rFonts w:cs="Arial"/>
          <w:strike/>
          <w:snapToGrid w:val="0"/>
          <w:color w:val="4F81BD" w:themeColor="accent1"/>
        </w:rPr>
      </w:pPr>
    </w:p>
    <w:p w14:paraId="472B17A9"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1.4.2</w:t>
      </w:r>
      <w:r w:rsidRPr="000456A0">
        <w:rPr>
          <w:rFonts w:cs="Arial"/>
          <w:strike/>
          <w:snapToGrid w:val="0"/>
          <w:color w:val="4F81BD" w:themeColor="accent1"/>
        </w:rPr>
        <w:tab/>
        <w:t xml:space="preserve">Molecular distance </w:t>
      </w:r>
    </w:p>
    <w:p w14:paraId="5B37793F" w14:textId="77777777" w:rsidR="007E07F8" w:rsidRPr="000456A0" w:rsidRDefault="007E07F8" w:rsidP="007E07F8">
      <w:pPr>
        <w:rPr>
          <w:rFonts w:cs="Arial"/>
          <w:strike/>
          <w:snapToGrid w:val="0"/>
          <w:color w:val="4F81BD" w:themeColor="accent1"/>
        </w:rPr>
      </w:pPr>
    </w:p>
    <w:p w14:paraId="7A335155"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 xml:space="preserve">The molecular distance component is computed on the differences observed on a set of markers. Different types of molecular markers and distances can be used. In the case of the study done in France on maize, 60 SSR markers and Roger’s distance have been used. It is important that sufficient markers, with a good distribution on the chromosomes, are used.  The type of markers, the effect of the number of markers and the distribution of the markers need to be considered according to the species concerned. </w:t>
      </w:r>
    </w:p>
    <w:p w14:paraId="1DC415DA" w14:textId="77777777" w:rsidR="007E07F8" w:rsidRPr="000456A0" w:rsidRDefault="007E07F8" w:rsidP="007E07F8">
      <w:pPr>
        <w:rPr>
          <w:rFonts w:cs="Arial"/>
          <w:strike/>
          <w:snapToGrid w:val="0"/>
          <w:color w:val="4F81BD" w:themeColor="accent1"/>
        </w:rPr>
      </w:pPr>
    </w:p>
    <w:p w14:paraId="06871C4C"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1.4.3</w:t>
      </w:r>
      <w:r w:rsidRPr="000456A0">
        <w:rPr>
          <w:rFonts w:cs="Arial"/>
          <w:strike/>
          <w:snapToGrid w:val="0"/>
          <w:color w:val="4F81BD" w:themeColor="accent1"/>
        </w:rPr>
        <w:tab/>
        <w:t>Before combining these two components, an evaluation of the link between molecular distance and a global assessment of distinctness by a panel of experts needs to be done on a set of pairs of varieties.  In the case of maize, that evaluation was made on the following basis:</w:t>
      </w:r>
    </w:p>
    <w:p w14:paraId="085549C2" w14:textId="77777777" w:rsidR="007E07F8" w:rsidRPr="000456A0" w:rsidRDefault="007E07F8" w:rsidP="007E07F8">
      <w:pPr>
        <w:rPr>
          <w:rFonts w:cs="Arial"/>
          <w:strike/>
          <w:snapToGrid w:val="0"/>
          <w:color w:val="4F81BD" w:themeColor="accent1"/>
        </w:rPr>
      </w:pPr>
    </w:p>
    <w:p w14:paraId="4AFB4927" w14:textId="77777777" w:rsidR="007E07F8" w:rsidRPr="000456A0" w:rsidRDefault="007E07F8" w:rsidP="007E07F8">
      <w:pPr>
        <w:ind w:firstLine="567"/>
        <w:rPr>
          <w:rFonts w:cs="Arial"/>
          <w:strike/>
          <w:snapToGrid w:val="0"/>
          <w:color w:val="4F81BD" w:themeColor="accent1"/>
        </w:rPr>
      </w:pPr>
      <w:r w:rsidRPr="000456A0">
        <w:rPr>
          <w:rFonts w:cs="Arial"/>
          <w:strike/>
          <w:snapToGrid w:val="0"/>
          <w:color w:val="4F81BD" w:themeColor="accent1"/>
        </w:rPr>
        <w:t>Material: 504 pairs of varieties tested in parallel with molecular markers</w:t>
      </w:r>
    </w:p>
    <w:p w14:paraId="2532476B" w14:textId="77777777" w:rsidR="007E07F8" w:rsidRPr="000456A0" w:rsidRDefault="007E07F8" w:rsidP="007E07F8">
      <w:pPr>
        <w:ind w:firstLine="720"/>
        <w:rPr>
          <w:rFonts w:cs="Arial"/>
          <w:strike/>
          <w:snapToGrid w:val="0"/>
          <w:color w:val="4F81BD" w:themeColor="accent1"/>
        </w:rPr>
      </w:pPr>
    </w:p>
    <w:p w14:paraId="14EA9D14" w14:textId="77777777" w:rsidR="007E07F8" w:rsidRPr="000456A0" w:rsidRDefault="007E07F8" w:rsidP="007E07F8">
      <w:pPr>
        <w:ind w:left="1440" w:hanging="873"/>
        <w:jc w:val="left"/>
        <w:rPr>
          <w:rFonts w:cs="Arial"/>
          <w:strike/>
          <w:snapToGrid w:val="0"/>
          <w:color w:val="4F81BD" w:themeColor="accent1"/>
        </w:rPr>
      </w:pPr>
      <w:r w:rsidRPr="000456A0">
        <w:rPr>
          <w:rFonts w:cs="Arial"/>
          <w:strike/>
          <w:snapToGrid w:val="0"/>
          <w:color w:val="4F81BD" w:themeColor="accent1"/>
        </w:rPr>
        <w:t xml:space="preserve">Field design: pairs of varieties grown side by side </w:t>
      </w:r>
      <w:r w:rsidRPr="000456A0">
        <w:rPr>
          <w:rFonts w:cs="Arial"/>
          <w:strike/>
          <w:snapToGrid w:val="0"/>
          <w:color w:val="4F81BD" w:themeColor="accent1"/>
        </w:rPr>
        <w:br/>
        <w:t>(1 plot = 2 rows of 15 plants)</w:t>
      </w:r>
    </w:p>
    <w:p w14:paraId="0798CD81" w14:textId="77777777" w:rsidR="007E07F8" w:rsidRPr="000456A0" w:rsidRDefault="007E07F8" w:rsidP="007E07F8">
      <w:pPr>
        <w:ind w:left="1440" w:hanging="720"/>
        <w:jc w:val="left"/>
        <w:rPr>
          <w:rFonts w:cs="Arial"/>
          <w:strike/>
          <w:snapToGrid w:val="0"/>
          <w:color w:val="4F81BD" w:themeColor="accent1"/>
        </w:rPr>
      </w:pPr>
    </w:p>
    <w:p w14:paraId="0C107B0C" w14:textId="77777777" w:rsidR="007E07F8" w:rsidRPr="000456A0" w:rsidRDefault="007E07F8" w:rsidP="007E07F8">
      <w:pPr>
        <w:ind w:firstLine="567"/>
        <w:rPr>
          <w:rFonts w:cs="Arial"/>
          <w:strike/>
          <w:snapToGrid w:val="0"/>
          <w:color w:val="4F81BD" w:themeColor="accent1"/>
        </w:rPr>
      </w:pPr>
      <w:r w:rsidRPr="000456A0">
        <w:rPr>
          <w:rFonts w:cs="Arial"/>
          <w:strike/>
          <w:snapToGrid w:val="0"/>
          <w:color w:val="4F81BD" w:themeColor="accent1"/>
        </w:rPr>
        <w:t>Visual assessment by maize crop experts:</w:t>
      </w:r>
    </w:p>
    <w:p w14:paraId="6F4D4323" w14:textId="77777777" w:rsidR="007E07F8" w:rsidRPr="000456A0" w:rsidRDefault="007E07F8" w:rsidP="007E07F8">
      <w:pPr>
        <w:ind w:firstLine="720"/>
        <w:rPr>
          <w:rFonts w:cs="Arial"/>
          <w:strike/>
          <w:snapToGrid w:val="0"/>
          <w:color w:val="4F81BD" w:themeColor="accent1"/>
        </w:rPr>
      </w:pPr>
    </w:p>
    <w:p w14:paraId="0215965F" w14:textId="77777777" w:rsidR="007E07F8" w:rsidRPr="000456A0" w:rsidRDefault="007E07F8" w:rsidP="007E07F8">
      <w:pPr>
        <w:ind w:firstLine="567"/>
        <w:rPr>
          <w:rFonts w:cs="Arial"/>
          <w:strike/>
          <w:snapToGrid w:val="0"/>
          <w:color w:val="4F81BD" w:themeColor="accent1"/>
        </w:rPr>
      </w:pPr>
      <w:r w:rsidRPr="000456A0">
        <w:rPr>
          <w:rFonts w:cs="Arial"/>
          <w:strike/>
          <w:snapToGrid w:val="0"/>
          <w:color w:val="4F81BD" w:themeColor="accent1"/>
        </w:rPr>
        <w:t>Scale of similarity:</w:t>
      </w:r>
    </w:p>
    <w:p w14:paraId="11366958" w14:textId="77777777" w:rsidR="007E07F8" w:rsidRPr="000456A0" w:rsidRDefault="007E07F8" w:rsidP="007E07F8">
      <w:pPr>
        <w:ind w:firstLine="709"/>
        <w:rPr>
          <w:rFonts w:cs="Arial"/>
          <w:strike/>
          <w:snapToGrid w:val="0"/>
          <w:color w:val="4F81BD" w:themeColor="accent1"/>
        </w:rPr>
      </w:pPr>
    </w:p>
    <w:p w14:paraId="6F741C9A" w14:textId="77777777" w:rsidR="007E07F8" w:rsidRPr="000456A0" w:rsidRDefault="007E07F8" w:rsidP="007E07F8">
      <w:pPr>
        <w:ind w:left="567" w:right="-1"/>
        <w:rPr>
          <w:rFonts w:cs="Arial"/>
          <w:strike/>
          <w:snapToGrid w:val="0"/>
          <w:color w:val="4F81BD" w:themeColor="accent1"/>
        </w:rPr>
      </w:pPr>
      <w:r w:rsidRPr="000456A0">
        <w:rPr>
          <w:rFonts w:cs="Arial"/>
          <w:strike/>
          <w:snapToGrid w:val="0"/>
          <w:color w:val="4F81BD" w:themeColor="accent1"/>
        </w:rPr>
        <w:t xml:space="preserve">1. </w:t>
      </w:r>
      <w:r w:rsidRPr="000456A0">
        <w:rPr>
          <w:rFonts w:cs="Arial"/>
          <w:strike/>
          <w:snapToGrid w:val="0"/>
          <w:color w:val="4F81BD" w:themeColor="accent1"/>
        </w:rPr>
        <w:tab/>
        <w:t>the two varieties are similar or very close</w:t>
      </w:r>
    </w:p>
    <w:p w14:paraId="547A234D" w14:textId="77777777" w:rsidR="007E07F8" w:rsidRPr="000456A0" w:rsidRDefault="007E07F8" w:rsidP="007E07F8">
      <w:pPr>
        <w:ind w:left="567" w:right="-1"/>
        <w:rPr>
          <w:rFonts w:cs="Arial"/>
          <w:strike/>
          <w:snapToGrid w:val="0"/>
          <w:color w:val="4F81BD" w:themeColor="accent1"/>
        </w:rPr>
      </w:pPr>
      <w:r w:rsidRPr="000456A0">
        <w:rPr>
          <w:rFonts w:cs="Arial"/>
          <w:strike/>
          <w:snapToGrid w:val="0"/>
          <w:color w:val="4F81BD" w:themeColor="accent1"/>
        </w:rPr>
        <w:t xml:space="preserve">3. </w:t>
      </w:r>
      <w:r w:rsidRPr="000456A0">
        <w:rPr>
          <w:rFonts w:cs="Arial"/>
          <w:strike/>
          <w:snapToGrid w:val="0"/>
          <w:color w:val="4F81BD" w:themeColor="accent1"/>
        </w:rPr>
        <w:tab/>
        <w:t>the two varieties are distinct but close</w:t>
      </w:r>
    </w:p>
    <w:p w14:paraId="6CA9156A" w14:textId="77777777" w:rsidR="007E07F8" w:rsidRPr="000456A0" w:rsidRDefault="007E07F8" w:rsidP="007E07F8">
      <w:pPr>
        <w:ind w:left="567" w:right="-1"/>
        <w:rPr>
          <w:rFonts w:cs="Arial"/>
          <w:strike/>
          <w:snapToGrid w:val="0"/>
          <w:color w:val="4F81BD" w:themeColor="accent1"/>
        </w:rPr>
      </w:pPr>
      <w:r w:rsidRPr="000456A0">
        <w:rPr>
          <w:rFonts w:cs="Arial"/>
          <w:strike/>
          <w:snapToGrid w:val="0"/>
          <w:color w:val="4F81BD" w:themeColor="accent1"/>
        </w:rPr>
        <w:t xml:space="preserve">5. </w:t>
      </w:r>
      <w:r w:rsidRPr="000456A0">
        <w:rPr>
          <w:rFonts w:cs="Arial"/>
          <w:strike/>
          <w:snapToGrid w:val="0"/>
          <w:color w:val="4F81BD" w:themeColor="accent1"/>
        </w:rPr>
        <w:tab/>
        <w:t>the comparison was useful, but the varieties are clearly distinct</w:t>
      </w:r>
    </w:p>
    <w:p w14:paraId="2DA7788C" w14:textId="77777777" w:rsidR="007E07F8" w:rsidRPr="000456A0" w:rsidRDefault="007E07F8" w:rsidP="007E07F8">
      <w:pPr>
        <w:ind w:left="567" w:right="-1"/>
        <w:rPr>
          <w:rFonts w:cs="Arial"/>
          <w:strike/>
          <w:snapToGrid w:val="0"/>
          <w:color w:val="4F81BD" w:themeColor="accent1"/>
        </w:rPr>
      </w:pPr>
      <w:r w:rsidRPr="000456A0">
        <w:rPr>
          <w:rFonts w:cs="Arial"/>
          <w:strike/>
          <w:snapToGrid w:val="0"/>
          <w:color w:val="4F81BD" w:themeColor="accent1"/>
        </w:rPr>
        <w:t xml:space="preserve">7. </w:t>
      </w:r>
      <w:r w:rsidRPr="000456A0">
        <w:rPr>
          <w:rFonts w:cs="Arial"/>
          <w:strike/>
          <w:snapToGrid w:val="0"/>
          <w:color w:val="4F81BD" w:themeColor="accent1"/>
        </w:rPr>
        <w:tab/>
        <w:t>the comparison should have been avoided because the varieties are very different</w:t>
      </w:r>
    </w:p>
    <w:p w14:paraId="0CC86236" w14:textId="77777777" w:rsidR="007E07F8" w:rsidRPr="000456A0" w:rsidRDefault="007E07F8" w:rsidP="007E07F8">
      <w:pPr>
        <w:keepNext/>
        <w:ind w:left="567" w:right="-1"/>
        <w:rPr>
          <w:rFonts w:cs="Arial"/>
          <w:strike/>
          <w:snapToGrid w:val="0"/>
          <w:color w:val="4F81BD" w:themeColor="accent1"/>
        </w:rPr>
      </w:pPr>
      <w:r w:rsidRPr="000456A0">
        <w:rPr>
          <w:rFonts w:cs="Arial"/>
          <w:strike/>
          <w:snapToGrid w:val="0"/>
          <w:color w:val="4F81BD" w:themeColor="accent1"/>
        </w:rPr>
        <w:t xml:space="preserve">9. </w:t>
      </w:r>
      <w:r w:rsidRPr="000456A0">
        <w:rPr>
          <w:rFonts w:cs="Arial"/>
          <w:strike/>
          <w:snapToGrid w:val="0"/>
          <w:color w:val="4F81BD" w:themeColor="accent1"/>
        </w:rPr>
        <w:tab/>
        <w:t>the comparison should have been avoided because the varieties are  totally different</w:t>
      </w:r>
    </w:p>
    <w:p w14:paraId="7E6C72CD" w14:textId="77777777" w:rsidR="007E07F8" w:rsidRPr="000456A0" w:rsidRDefault="007E07F8" w:rsidP="007E07F8">
      <w:pPr>
        <w:keepNext/>
        <w:ind w:left="1418" w:right="-1"/>
        <w:rPr>
          <w:rFonts w:cs="Arial"/>
          <w:strike/>
          <w:snapToGrid w:val="0"/>
          <w:color w:val="4F81BD" w:themeColor="accent1"/>
        </w:rPr>
      </w:pPr>
      <w:r w:rsidRPr="000456A0">
        <w:rPr>
          <w:rFonts w:cs="Arial"/>
          <w:strike/>
          <w:snapToGrid w:val="0"/>
          <w:color w:val="4F81BD" w:themeColor="accent1"/>
        </w:rPr>
        <w:t>(“even” notes are not used in the scale)</w:t>
      </w:r>
    </w:p>
    <w:p w14:paraId="217D23BA" w14:textId="77777777" w:rsidR="007E07F8" w:rsidRPr="000456A0" w:rsidRDefault="007E07F8" w:rsidP="007E07F8">
      <w:pPr>
        <w:ind w:right="-1"/>
        <w:rPr>
          <w:rFonts w:cs="Arial"/>
          <w:strike/>
          <w:snapToGrid w:val="0"/>
          <w:color w:val="4F81BD" w:themeColor="accent1"/>
        </w:rPr>
      </w:pPr>
    </w:p>
    <w:p w14:paraId="58D056C8"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In the case of maize, this evaluation showed that no parental lines with a molecular distance greater than 0.15 were considered as similar or very close by a DUS expert evaluation (see Figure 2).</w:t>
      </w:r>
    </w:p>
    <w:p w14:paraId="4B9E2A0C" w14:textId="77777777" w:rsidR="007E07F8" w:rsidRPr="000456A0" w:rsidRDefault="007E07F8" w:rsidP="007E07F8">
      <w:pPr>
        <w:rPr>
          <w:rFonts w:cs="Arial"/>
          <w:strike/>
          <w:snapToGrid w:val="0"/>
          <w:color w:val="4F81BD" w:themeColor="accent1"/>
        </w:rPr>
      </w:pPr>
    </w:p>
    <w:p w14:paraId="0DBFDDB6" w14:textId="77777777" w:rsidR="007E07F8" w:rsidRPr="000456A0" w:rsidRDefault="007E07F8" w:rsidP="007E07F8">
      <w:pPr>
        <w:keepNext/>
        <w:ind w:left="709"/>
        <w:rPr>
          <w:rFonts w:cs="Arial"/>
          <w:i/>
          <w:iCs/>
          <w:strike/>
          <w:snapToGrid w:val="0"/>
          <w:color w:val="4F81BD" w:themeColor="accent1"/>
        </w:rPr>
      </w:pPr>
      <w:r w:rsidRPr="000456A0">
        <w:rPr>
          <w:rFonts w:cs="Arial"/>
          <w:i/>
          <w:iCs/>
          <w:strike/>
          <w:snapToGrid w:val="0"/>
          <w:color w:val="4F81BD" w:themeColor="accent1"/>
        </w:rPr>
        <w:lastRenderedPageBreak/>
        <w:t>Figure 2</w:t>
      </w:r>
    </w:p>
    <w:p w14:paraId="14A9504F" w14:textId="77777777" w:rsidR="007E07F8" w:rsidRPr="000456A0" w:rsidRDefault="007E07F8" w:rsidP="007E07F8">
      <w:pPr>
        <w:keepNext/>
        <w:ind w:left="567"/>
        <w:rPr>
          <w:rFonts w:cs="Arial"/>
          <w:i/>
          <w:iCs/>
          <w:strike/>
          <w:snapToGrid w:val="0"/>
          <w:color w:val="4F81BD" w:themeColor="accent1"/>
        </w:rPr>
      </w:pPr>
    </w:p>
    <w:bookmarkStart w:id="106" w:name="_1314444884"/>
    <w:bookmarkStart w:id="107" w:name="_1314444953"/>
    <w:bookmarkStart w:id="108" w:name="_MON_1311498427"/>
    <w:bookmarkEnd w:id="106"/>
    <w:bookmarkEnd w:id="107"/>
    <w:bookmarkEnd w:id="108"/>
    <w:bookmarkStart w:id="109" w:name="_MON_1375793324"/>
    <w:bookmarkEnd w:id="109"/>
    <w:p w14:paraId="3E7A9B39" w14:textId="77777777" w:rsidR="007E07F8" w:rsidRPr="000456A0" w:rsidRDefault="007E07F8" w:rsidP="007E07F8">
      <w:pPr>
        <w:jc w:val="center"/>
        <w:rPr>
          <w:rFonts w:cs="Arial"/>
          <w:strike/>
          <w:color w:val="4F81BD" w:themeColor="accent1"/>
        </w:rPr>
      </w:pPr>
      <w:r w:rsidRPr="000456A0">
        <w:rPr>
          <w:rFonts w:cs="Arial"/>
          <w:strike/>
          <w:color w:val="4F81BD" w:themeColor="accent1"/>
        </w:rPr>
        <w:object w:dxaOrig="7324" w:dyaOrig="5501" w14:anchorId="498CF0FF">
          <v:shape id="_x0000_i1027" type="#_x0000_t75" style="width:405.1pt;height:302.4pt" o:ole="" o:bordertopcolor="this" o:borderleftcolor="this" o:borderbottomcolor="this" o:borderrightcolor="this">
            <v:imagedata r:id="rId17" o:title=""/>
            <w10:bordertop type="single" width="4"/>
            <w10:borderleft type="single" width="4"/>
            <w10:borderbottom type="single" width="4"/>
            <w10:borderright type="single" width="4"/>
          </v:shape>
          <o:OLEObject Type="Embed" ProgID="PowerPoint.Show.8" ShapeID="_x0000_i1027" DrawAspect="Content" ObjectID="_1851151662" r:id="rId26"/>
        </w:object>
      </w:r>
    </w:p>
    <w:p w14:paraId="00A1C037" w14:textId="77777777" w:rsidR="007E07F8" w:rsidRPr="000456A0" w:rsidRDefault="007E07F8" w:rsidP="007E07F8">
      <w:pPr>
        <w:ind w:left="567"/>
        <w:rPr>
          <w:rFonts w:cs="Arial"/>
          <w:i/>
          <w:iCs/>
          <w:strike/>
          <w:snapToGrid w:val="0"/>
          <w:color w:val="4F81BD" w:themeColor="accent1"/>
        </w:rPr>
      </w:pPr>
    </w:p>
    <w:p w14:paraId="58579DAD" w14:textId="77777777" w:rsidR="007E07F8" w:rsidRPr="000456A0" w:rsidRDefault="007E07F8" w:rsidP="007E07F8">
      <w:pPr>
        <w:ind w:left="567"/>
        <w:rPr>
          <w:rFonts w:cs="Arial"/>
          <w:i/>
          <w:iCs/>
          <w:strike/>
          <w:snapToGrid w:val="0"/>
          <w:color w:val="4F81BD" w:themeColor="accent1"/>
        </w:rPr>
      </w:pPr>
    </w:p>
    <w:p w14:paraId="3448C952"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1.4.4</w:t>
      </w:r>
      <w:r w:rsidRPr="000456A0">
        <w:rPr>
          <w:rFonts w:cs="Arial"/>
          <w:strike/>
          <w:snapToGrid w:val="0"/>
          <w:color w:val="4F81BD" w:themeColor="accent1"/>
        </w:rPr>
        <w:tab/>
        <w:t>On the basis of that result, the combination of morphological and molecular distances offers the possibility to establish a decision scheme as follows (see Figure 3):</w:t>
      </w:r>
    </w:p>
    <w:p w14:paraId="67601B10" w14:textId="77777777" w:rsidR="007E07F8" w:rsidRPr="000456A0" w:rsidRDefault="007E07F8" w:rsidP="007E07F8">
      <w:pPr>
        <w:spacing w:line="360" w:lineRule="auto"/>
        <w:rPr>
          <w:rFonts w:cs="Arial"/>
          <w:strike/>
          <w:snapToGrid w:val="0"/>
          <w:color w:val="4F81BD" w:themeColor="accent1"/>
        </w:rPr>
      </w:pPr>
    </w:p>
    <w:p w14:paraId="6CFB3191" w14:textId="77777777" w:rsidR="007E07F8" w:rsidRPr="000456A0" w:rsidRDefault="007E07F8" w:rsidP="007E07F8">
      <w:pPr>
        <w:keepNext/>
        <w:ind w:left="709"/>
        <w:rPr>
          <w:rFonts w:cs="Arial"/>
          <w:i/>
          <w:iCs/>
          <w:strike/>
          <w:snapToGrid w:val="0"/>
          <w:color w:val="4F81BD" w:themeColor="accent1"/>
        </w:rPr>
      </w:pPr>
      <w:r w:rsidRPr="000456A0">
        <w:rPr>
          <w:rFonts w:cs="Arial"/>
          <w:i/>
          <w:iCs/>
          <w:strike/>
          <w:snapToGrid w:val="0"/>
          <w:color w:val="4F81BD" w:themeColor="accent1"/>
        </w:rPr>
        <w:t>Figure 3</w:t>
      </w:r>
    </w:p>
    <w:p w14:paraId="7BA97212" w14:textId="77777777" w:rsidR="007E07F8" w:rsidRPr="000456A0" w:rsidRDefault="007E07F8" w:rsidP="007E07F8">
      <w:pPr>
        <w:keepNext/>
        <w:rPr>
          <w:rFonts w:cs="Arial"/>
          <w:strike/>
          <w:snapToGrid w:val="0"/>
          <w:color w:val="4F81BD" w:themeColor="accent1"/>
        </w:rPr>
      </w:pPr>
    </w:p>
    <w:p w14:paraId="2E8A1A0C" w14:textId="77777777" w:rsidR="007E07F8" w:rsidRPr="000456A0" w:rsidRDefault="007E07F8" w:rsidP="007E07F8">
      <w:pPr>
        <w:jc w:val="center"/>
        <w:rPr>
          <w:rFonts w:cs="Arial"/>
          <w:strike/>
          <w:snapToGrid w:val="0"/>
          <w:color w:val="4F81BD" w:themeColor="accent1"/>
        </w:rPr>
      </w:pPr>
      <w:r w:rsidRPr="000456A0">
        <w:rPr>
          <w:rFonts w:cs="Arial"/>
          <w:strike/>
          <w:snapToGrid w:val="0"/>
          <w:color w:val="4F81BD" w:themeColor="accent1"/>
          <w:lang w:val="fr-FR"/>
        </w:rPr>
        <w:object w:dxaOrig="7215" w:dyaOrig="5407" w14:anchorId="3F06383C">
          <v:shape id="_x0000_i1028" type="#_x0000_t75" style="width:379.4pt;height:283pt" o:ole="" o:bordertopcolor="this" o:borderleftcolor="this" o:borderbottomcolor="this" o:borderrightcolor="this">
            <v:imagedata r:id="rId19" o:title=""/>
            <w10:bordertop type="single" width="4"/>
            <w10:borderleft type="single" width="4"/>
            <w10:borderbottom type="single" width="4"/>
            <w10:borderright type="single" width="4"/>
          </v:shape>
          <o:OLEObject Type="Embed" ProgID="PowerPoint.Slide.12" ShapeID="_x0000_i1028" DrawAspect="Content" ObjectID="_1851151663" r:id="rId27"/>
        </w:object>
      </w:r>
    </w:p>
    <w:p w14:paraId="0315FB6E" w14:textId="77777777" w:rsidR="007E07F8" w:rsidRPr="000456A0" w:rsidRDefault="007E07F8" w:rsidP="007E07F8">
      <w:pPr>
        <w:rPr>
          <w:rFonts w:cs="Arial"/>
          <w:strike/>
          <w:snapToGrid w:val="0"/>
          <w:color w:val="4F81BD" w:themeColor="accent1"/>
        </w:rPr>
      </w:pPr>
    </w:p>
    <w:p w14:paraId="7D5B5FDB"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lastRenderedPageBreak/>
        <w:t>1.4.5</w:t>
      </w:r>
      <w:r w:rsidRPr="000456A0">
        <w:rPr>
          <w:rFonts w:cs="Arial"/>
          <w:strike/>
          <w:snapToGrid w:val="0"/>
          <w:color w:val="4F81BD" w:themeColor="accent1"/>
        </w:rPr>
        <w:tab/>
        <w:t>All pairs of varieties with a GAIA distance equal to, or larger than, 6 and all varieties with a GAIA distance between 2 and 6, plus a molecular distance equal to, or larger than, 0.2 are declared “Distinct plus”.</w:t>
      </w:r>
    </w:p>
    <w:p w14:paraId="35795DE8" w14:textId="77777777" w:rsidR="007E07F8" w:rsidRPr="000456A0" w:rsidRDefault="007E07F8" w:rsidP="007E07F8">
      <w:pPr>
        <w:rPr>
          <w:rFonts w:cs="Arial"/>
          <w:strike/>
          <w:snapToGrid w:val="0"/>
          <w:color w:val="4F81BD" w:themeColor="accent1"/>
        </w:rPr>
      </w:pPr>
    </w:p>
    <w:p w14:paraId="0C1455BE"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1.4.6</w:t>
      </w:r>
      <w:r w:rsidRPr="000456A0">
        <w:rPr>
          <w:rFonts w:cs="Arial"/>
          <w:strike/>
          <w:snapToGrid w:val="0"/>
          <w:color w:val="4F81BD" w:themeColor="accent1"/>
        </w:rPr>
        <w:tab/>
        <w:t>This scheme shows that less parental lines need to be observed in the field compared to the situation where only a GAIA distance of 6 is used on its own.</w:t>
      </w:r>
    </w:p>
    <w:p w14:paraId="0329FFF1" w14:textId="77777777" w:rsidR="007E07F8" w:rsidRPr="000456A0" w:rsidRDefault="007E07F8" w:rsidP="007E07F8">
      <w:pPr>
        <w:rPr>
          <w:rFonts w:cs="Arial"/>
          <w:strike/>
          <w:snapToGrid w:val="0"/>
          <w:color w:val="4F81BD" w:themeColor="accent1"/>
        </w:rPr>
      </w:pPr>
    </w:p>
    <w:p w14:paraId="7D4C7094"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1.4.7</w:t>
      </w:r>
      <w:r w:rsidRPr="000456A0">
        <w:rPr>
          <w:rFonts w:cs="Arial"/>
          <w:strike/>
          <w:snapToGrid w:val="0"/>
          <w:color w:val="4F81BD" w:themeColor="accent1"/>
        </w:rPr>
        <w:tab/>
        <w:t>The robustness of this system has been studied with different GAIA and molecular distances.</w:t>
      </w:r>
    </w:p>
    <w:p w14:paraId="7887C82A" w14:textId="77777777" w:rsidR="007E07F8" w:rsidRPr="000456A0" w:rsidRDefault="007E07F8" w:rsidP="007E07F8">
      <w:pPr>
        <w:rPr>
          <w:rFonts w:cs="Arial"/>
          <w:strike/>
          <w:snapToGrid w:val="0"/>
          <w:color w:val="4F81BD" w:themeColor="accent1"/>
        </w:rPr>
      </w:pPr>
    </w:p>
    <w:p w14:paraId="0C16E17B" w14:textId="77777777" w:rsidR="007E07F8" w:rsidRPr="000456A0" w:rsidRDefault="007E07F8" w:rsidP="007E07F8">
      <w:pPr>
        <w:rPr>
          <w:rFonts w:cs="Arial"/>
          <w:strike/>
          <w:snapToGrid w:val="0"/>
          <w:color w:val="4F81BD" w:themeColor="accent1"/>
        </w:rPr>
      </w:pPr>
    </w:p>
    <w:p w14:paraId="64D4E6A6"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2.</w:t>
      </w:r>
      <w:r w:rsidRPr="000456A0">
        <w:rPr>
          <w:rFonts w:cs="Arial"/>
          <w:strike/>
          <w:snapToGrid w:val="0"/>
          <w:color w:val="4F81BD" w:themeColor="accent1"/>
        </w:rPr>
        <w:tab/>
      </w:r>
      <w:r w:rsidRPr="000456A0">
        <w:rPr>
          <w:rFonts w:cs="Arial"/>
          <w:strike/>
          <w:snapToGrid w:val="0"/>
          <w:color w:val="4F81BD" w:themeColor="accent1"/>
          <w:u w:val="single"/>
        </w:rPr>
        <w:t>Advantages and constraints</w:t>
      </w:r>
    </w:p>
    <w:p w14:paraId="56A16CA2" w14:textId="77777777" w:rsidR="007E07F8" w:rsidRPr="000456A0" w:rsidRDefault="007E07F8" w:rsidP="007E07F8">
      <w:pPr>
        <w:rPr>
          <w:rFonts w:cs="Arial"/>
          <w:strike/>
          <w:snapToGrid w:val="0"/>
          <w:color w:val="4F81BD" w:themeColor="accent1"/>
        </w:rPr>
      </w:pPr>
    </w:p>
    <w:p w14:paraId="09D16623"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2.1</w:t>
      </w:r>
      <w:r w:rsidRPr="000456A0">
        <w:rPr>
          <w:rFonts w:cs="Arial"/>
          <w:strike/>
          <w:snapToGrid w:val="0"/>
          <w:color w:val="4F81BD" w:themeColor="accent1"/>
        </w:rPr>
        <w:tab/>
        <w:t>Advantages</w:t>
      </w:r>
    </w:p>
    <w:p w14:paraId="4147F3AE" w14:textId="77777777" w:rsidR="007E07F8" w:rsidRPr="000456A0" w:rsidRDefault="007E07F8" w:rsidP="007E07F8">
      <w:pPr>
        <w:rPr>
          <w:rFonts w:cs="Arial"/>
          <w:strike/>
          <w:snapToGrid w:val="0"/>
          <w:color w:val="4F81BD" w:themeColor="accent1"/>
        </w:rPr>
      </w:pPr>
    </w:p>
    <w:p w14:paraId="005C1F13" w14:textId="77777777" w:rsidR="007E07F8" w:rsidRPr="000456A0" w:rsidRDefault="007E07F8" w:rsidP="007E07F8">
      <w:pPr>
        <w:spacing w:after="240"/>
        <w:ind w:firstLine="567"/>
        <w:rPr>
          <w:rFonts w:cs="Arial"/>
          <w:strike/>
          <w:snapToGrid w:val="0"/>
          <w:color w:val="4F81BD" w:themeColor="accent1"/>
        </w:rPr>
      </w:pPr>
      <w:r w:rsidRPr="000456A0">
        <w:rPr>
          <w:rFonts w:cs="Arial"/>
          <w:strike/>
          <w:snapToGrid w:val="0"/>
          <w:color w:val="4F81BD" w:themeColor="accent1"/>
        </w:rPr>
        <w:t>(a)</w:t>
      </w:r>
      <w:r w:rsidRPr="000456A0">
        <w:rPr>
          <w:rFonts w:cs="Arial"/>
          <w:strike/>
          <w:snapToGrid w:val="0"/>
          <w:color w:val="4F81BD" w:themeColor="accent1"/>
        </w:rPr>
        <w:tab/>
        <w:t>Improvement of the management of variety collections with less varieties needing to be compared in the field;</w:t>
      </w:r>
    </w:p>
    <w:p w14:paraId="6920CC9B" w14:textId="77777777" w:rsidR="007E07F8" w:rsidRPr="000456A0" w:rsidRDefault="007E07F8" w:rsidP="007E07F8">
      <w:pPr>
        <w:spacing w:after="240"/>
        <w:ind w:firstLine="567"/>
        <w:rPr>
          <w:rFonts w:cs="Arial"/>
          <w:strike/>
          <w:snapToGrid w:val="0"/>
          <w:color w:val="4F81BD" w:themeColor="accent1"/>
        </w:rPr>
      </w:pPr>
      <w:r w:rsidRPr="000456A0">
        <w:rPr>
          <w:rFonts w:cs="Arial"/>
          <w:strike/>
          <w:snapToGrid w:val="0"/>
          <w:color w:val="4F81BD" w:themeColor="accent1"/>
        </w:rPr>
        <w:t>(b)</w:t>
      </w:r>
      <w:r w:rsidRPr="000456A0">
        <w:rPr>
          <w:rFonts w:cs="Arial"/>
          <w:strike/>
          <w:snapToGrid w:val="0"/>
          <w:color w:val="4F81BD" w:themeColor="accent1"/>
        </w:rPr>
        <w:tab/>
        <w:t>Use of morphological and molecular distances with thresholds defined by DUS experts. GAIA was also calibrated against DUS experts’ evaluations when developed by GEVES;</w:t>
      </w:r>
    </w:p>
    <w:p w14:paraId="2A5632B3" w14:textId="77777777" w:rsidR="007E07F8" w:rsidRPr="000456A0" w:rsidRDefault="007E07F8" w:rsidP="007E07F8">
      <w:pPr>
        <w:spacing w:after="240"/>
        <w:ind w:firstLine="567"/>
        <w:rPr>
          <w:rFonts w:cs="Arial"/>
          <w:strike/>
          <w:snapToGrid w:val="0"/>
          <w:color w:val="4F81BD" w:themeColor="accent1"/>
        </w:rPr>
      </w:pPr>
      <w:r w:rsidRPr="000456A0">
        <w:rPr>
          <w:rFonts w:cs="Arial"/>
          <w:strike/>
          <w:snapToGrid w:val="0"/>
          <w:color w:val="4F81BD" w:themeColor="accent1"/>
        </w:rPr>
        <w:t xml:space="preserve">(c) </w:t>
      </w:r>
      <w:r w:rsidRPr="000456A0">
        <w:rPr>
          <w:rFonts w:cs="Arial"/>
          <w:strike/>
          <w:snapToGrid w:val="0"/>
          <w:color w:val="4F81BD" w:themeColor="accent1"/>
        </w:rPr>
        <w:tab/>
        <w:t xml:space="preserve">Use of molecular data that </w:t>
      </w:r>
      <w:proofErr w:type="gramStart"/>
      <w:r w:rsidRPr="000456A0">
        <w:rPr>
          <w:rFonts w:cs="Arial"/>
          <w:strike/>
          <w:snapToGrid w:val="0"/>
          <w:color w:val="4F81BD" w:themeColor="accent1"/>
        </w:rPr>
        <w:t>are</w:t>
      </w:r>
      <w:proofErr w:type="gramEnd"/>
      <w:r w:rsidRPr="000456A0">
        <w:rPr>
          <w:rFonts w:cs="Arial"/>
          <w:strike/>
          <w:snapToGrid w:val="0"/>
          <w:color w:val="4F81BD" w:themeColor="accent1"/>
        </w:rPr>
        <w:t xml:space="preserve"> not susceptible to the environment; the set of markers and the laboratory protocol are well defined;</w:t>
      </w:r>
    </w:p>
    <w:p w14:paraId="47E3BD77" w14:textId="77777777" w:rsidR="007E07F8" w:rsidRPr="000456A0" w:rsidRDefault="007E07F8" w:rsidP="007E07F8">
      <w:pPr>
        <w:spacing w:after="240"/>
        <w:ind w:firstLine="567"/>
        <w:rPr>
          <w:rFonts w:cs="Arial"/>
          <w:strike/>
          <w:snapToGrid w:val="0"/>
          <w:color w:val="4F81BD" w:themeColor="accent1"/>
        </w:rPr>
      </w:pPr>
      <w:r w:rsidRPr="000456A0">
        <w:rPr>
          <w:rFonts w:cs="Arial"/>
          <w:strike/>
          <w:snapToGrid w:val="0"/>
          <w:color w:val="4F81BD" w:themeColor="accent1"/>
        </w:rPr>
        <w:t>(d)</w:t>
      </w:r>
      <w:r w:rsidRPr="000456A0">
        <w:rPr>
          <w:rFonts w:cs="Arial"/>
          <w:strike/>
          <w:snapToGrid w:val="0"/>
          <w:color w:val="4F81BD" w:themeColor="accent1"/>
        </w:rPr>
        <w:tab/>
        <w:t>Use of only phenotypic characteristics with a good robustness and possibility to use descriptions coming from different origins under close cooperation (The maize database that has been developed in cooperation between France, Germany, Spain and the Community Plant Variety Office of the European Union (CPVO) is a good example to illustrate the value of this approach with a variety collection shared between different offices);</w:t>
      </w:r>
    </w:p>
    <w:p w14:paraId="06E8602A" w14:textId="77777777" w:rsidR="007E07F8" w:rsidRPr="000456A0" w:rsidRDefault="007E07F8" w:rsidP="007E07F8">
      <w:pPr>
        <w:spacing w:after="240"/>
        <w:ind w:firstLine="567"/>
        <w:rPr>
          <w:rFonts w:cs="Arial"/>
          <w:strike/>
          <w:snapToGrid w:val="0"/>
          <w:color w:val="4F81BD" w:themeColor="accent1"/>
        </w:rPr>
      </w:pPr>
      <w:r w:rsidRPr="000456A0">
        <w:rPr>
          <w:rFonts w:cs="Arial"/>
          <w:strike/>
          <w:snapToGrid w:val="0"/>
          <w:color w:val="4F81BD" w:themeColor="accent1"/>
        </w:rPr>
        <w:t>(e)</w:t>
      </w:r>
      <w:r w:rsidRPr="000456A0">
        <w:rPr>
          <w:rFonts w:cs="Arial"/>
          <w:strike/>
          <w:snapToGrid w:val="0"/>
          <w:color w:val="4F81BD" w:themeColor="accent1"/>
        </w:rPr>
        <w:tab/>
        <w:t>Electrophoresis characteristics can also be replaced; and</w:t>
      </w:r>
    </w:p>
    <w:p w14:paraId="1BBDEE3F" w14:textId="77777777" w:rsidR="007E07F8" w:rsidRPr="000456A0" w:rsidRDefault="007E07F8" w:rsidP="007E07F8">
      <w:pPr>
        <w:ind w:firstLine="567"/>
        <w:rPr>
          <w:rFonts w:cs="Arial"/>
          <w:strike/>
          <w:snapToGrid w:val="0"/>
          <w:color w:val="4F81BD" w:themeColor="accent1"/>
        </w:rPr>
      </w:pPr>
      <w:r w:rsidRPr="000456A0">
        <w:rPr>
          <w:rFonts w:cs="Arial"/>
          <w:strike/>
          <w:snapToGrid w:val="0"/>
          <w:color w:val="4F81BD" w:themeColor="accent1"/>
        </w:rPr>
        <w:t>(f)</w:t>
      </w:r>
      <w:r w:rsidRPr="000456A0">
        <w:rPr>
          <w:rFonts w:cs="Arial"/>
          <w:strike/>
          <w:snapToGrid w:val="0"/>
          <w:color w:val="4F81BD" w:themeColor="accent1"/>
        </w:rPr>
        <w:tab/>
        <w:t>There is no influence of lack of uniformity in molecular profiles provided enough markers are used and the number of variants is low.  In the case of maize parental lines, the level of molecular uniformity is high but could be a problem in some other crops.</w:t>
      </w:r>
    </w:p>
    <w:p w14:paraId="6069A932" w14:textId="77777777" w:rsidR="007E07F8" w:rsidRPr="000456A0" w:rsidRDefault="007E07F8" w:rsidP="007E07F8">
      <w:pPr>
        <w:rPr>
          <w:strike/>
          <w:color w:val="4F81BD" w:themeColor="accent1"/>
        </w:rPr>
      </w:pPr>
    </w:p>
    <w:p w14:paraId="508CD9DA"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2.2</w:t>
      </w:r>
      <w:r w:rsidRPr="000456A0">
        <w:rPr>
          <w:rFonts w:cs="Arial"/>
          <w:strike/>
          <w:snapToGrid w:val="0"/>
          <w:color w:val="4F81BD" w:themeColor="accent1"/>
        </w:rPr>
        <w:tab/>
        <w:t>Constraints</w:t>
      </w:r>
    </w:p>
    <w:p w14:paraId="468E4F3F" w14:textId="77777777" w:rsidR="007E07F8" w:rsidRPr="000456A0" w:rsidRDefault="007E07F8" w:rsidP="007E07F8">
      <w:pPr>
        <w:rPr>
          <w:rFonts w:cs="Arial"/>
          <w:strike/>
          <w:snapToGrid w:val="0"/>
          <w:color w:val="4F81BD" w:themeColor="accent1"/>
        </w:rPr>
      </w:pPr>
    </w:p>
    <w:p w14:paraId="5C82EF90" w14:textId="77777777" w:rsidR="007E07F8" w:rsidRPr="000456A0" w:rsidRDefault="007E07F8" w:rsidP="007E07F8">
      <w:pPr>
        <w:spacing w:after="240"/>
        <w:ind w:firstLine="567"/>
        <w:rPr>
          <w:rFonts w:cs="Arial"/>
          <w:strike/>
          <w:snapToGrid w:val="0"/>
          <w:color w:val="4F81BD" w:themeColor="accent1"/>
        </w:rPr>
      </w:pPr>
      <w:r w:rsidRPr="000456A0">
        <w:rPr>
          <w:rFonts w:cs="Arial"/>
          <w:strike/>
          <w:snapToGrid w:val="0"/>
          <w:color w:val="4F81BD" w:themeColor="accent1"/>
        </w:rPr>
        <w:t>(a)</w:t>
      </w:r>
      <w:r w:rsidRPr="000456A0">
        <w:rPr>
          <w:rFonts w:cs="Arial"/>
          <w:strike/>
          <w:snapToGrid w:val="0"/>
          <w:color w:val="4F81BD" w:themeColor="accent1"/>
        </w:rPr>
        <w:tab/>
        <w:t>Not efficient, or less efficient, for species with synthetic varieties or populations;</w:t>
      </w:r>
    </w:p>
    <w:p w14:paraId="262D52B0" w14:textId="77777777" w:rsidR="007E07F8" w:rsidRPr="000456A0" w:rsidRDefault="007E07F8" w:rsidP="007E07F8">
      <w:pPr>
        <w:spacing w:after="240"/>
        <w:ind w:firstLine="567"/>
        <w:rPr>
          <w:rFonts w:cs="Arial"/>
          <w:strike/>
          <w:snapToGrid w:val="0"/>
          <w:color w:val="4F81BD" w:themeColor="accent1"/>
        </w:rPr>
      </w:pPr>
      <w:r w:rsidRPr="000456A0">
        <w:rPr>
          <w:rFonts w:cs="Arial"/>
          <w:strike/>
          <w:snapToGrid w:val="0"/>
          <w:color w:val="4F81BD" w:themeColor="accent1"/>
        </w:rPr>
        <w:t>(b)</w:t>
      </w:r>
      <w:r w:rsidRPr="000456A0">
        <w:rPr>
          <w:rFonts w:cs="Arial"/>
          <w:strike/>
          <w:snapToGrid w:val="0"/>
          <w:color w:val="4F81BD" w:themeColor="accent1"/>
        </w:rPr>
        <w:tab/>
        <w:t>Necessity to have enough good DNA markers and enough phenotypic characteristics with low susceptibility to environment; and</w:t>
      </w:r>
    </w:p>
    <w:p w14:paraId="33C9E894" w14:textId="77777777" w:rsidR="007E07F8" w:rsidRPr="000456A0" w:rsidRDefault="007E07F8" w:rsidP="007E07F8">
      <w:pPr>
        <w:ind w:firstLine="567"/>
        <w:rPr>
          <w:rFonts w:cs="Arial"/>
          <w:strike/>
          <w:snapToGrid w:val="0"/>
          <w:color w:val="4F81BD" w:themeColor="accent1"/>
        </w:rPr>
      </w:pPr>
      <w:r w:rsidRPr="000456A0">
        <w:rPr>
          <w:rFonts w:cs="Arial"/>
          <w:strike/>
          <w:snapToGrid w:val="0"/>
          <w:color w:val="4F81BD" w:themeColor="accent1"/>
        </w:rPr>
        <w:t>(c)</w:t>
      </w:r>
      <w:r w:rsidRPr="000456A0">
        <w:rPr>
          <w:rFonts w:cs="Arial"/>
          <w:strike/>
          <w:snapToGrid w:val="0"/>
          <w:color w:val="4F81BD" w:themeColor="accent1"/>
        </w:rPr>
        <w:tab/>
        <w:t>Preliminary work with calibration in comparison with DUS expert evaluation of distinctness.</w:t>
      </w:r>
    </w:p>
    <w:p w14:paraId="63EC49E9" w14:textId="77777777" w:rsidR="007E07F8" w:rsidRPr="009371BB" w:rsidRDefault="007E07F8" w:rsidP="007E07F8">
      <w:pPr>
        <w:rPr>
          <w:rFonts w:cs="Arial"/>
          <w:snapToGrid w:val="0"/>
        </w:rPr>
      </w:pPr>
    </w:p>
    <w:p w14:paraId="7ADC48CE" w14:textId="77777777" w:rsidR="007E07F8" w:rsidRDefault="007E07F8" w:rsidP="007E07F8">
      <w:pPr>
        <w:jc w:val="left"/>
      </w:pPr>
      <w:r>
        <w:br w:type="page"/>
      </w:r>
    </w:p>
    <w:p w14:paraId="6FE20CE1" w14:textId="77777777" w:rsidR="007E07F8" w:rsidRPr="000456A0" w:rsidRDefault="007E07F8" w:rsidP="007E07F8">
      <w:pPr>
        <w:pBdr>
          <w:top w:val="single" w:sz="4" w:space="1" w:color="auto"/>
          <w:left w:val="single" w:sz="4" w:space="4" w:color="auto"/>
          <w:bottom w:val="single" w:sz="4" w:space="1" w:color="auto"/>
          <w:right w:val="single" w:sz="4" w:space="4" w:color="auto"/>
        </w:pBdr>
        <w:jc w:val="center"/>
        <w:rPr>
          <w:bCs/>
          <w:strike/>
          <w:snapToGrid w:val="0"/>
          <w:highlight w:val="lightGray"/>
        </w:rPr>
      </w:pPr>
      <w:r w:rsidRPr="000456A0">
        <w:rPr>
          <w:strike/>
          <w:snapToGrid w:val="0"/>
          <w:highlight w:val="lightGray"/>
        </w:rPr>
        <w:lastRenderedPageBreak/>
        <w:t xml:space="preserve">MODEL:  </w:t>
      </w:r>
      <w:r w:rsidRPr="000456A0">
        <w:rPr>
          <w:bCs/>
          <w:strike/>
          <w:snapToGrid w:val="0"/>
          <w:highlight w:val="lightGray"/>
        </w:rPr>
        <w:t>COMBINING PHENOTYPIC AND MOLECULAR DISTANCES IN</w:t>
      </w:r>
      <w:r w:rsidRPr="000456A0">
        <w:rPr>
          <w:bCs/>
          <w:strike/>
          <w:snapToGrid w:val="0"/>
          <w:highlight w:val="lightGray"/>
        </w:rPr>
        <w:br/>
        <w:t>THE MANAGEMENT OF VARIETY COLLECTIONS</w:t>
      </w:r>
    </w:p>
    <w:p w14:paraId="4E15124B" w14:textId="77777777" w:rsidR="007E07F8" w:rsidRPr="000456A0" w:rsidRDefault="007E07F8" w:rsidP="007E07F8">
      <w:pPr>
        <w:jc w:val="center"/>
        <w:rPr>
          <w:bCs/>
          <w:strike/>
          <w:snapToGrid w:val="0"/>
          <w:highlight w:val="lightGray"/>
        </w:rPr>
      </w:pPr>
    </w:p>
    <w:p w14:paraId="196B9925" w14:textId="77777777" w:rsidR="007E07F8" w:rsidRPr="000456A0" w:rsidRDefault="007E07F8" w:rsidP="007E07F8">
      <w:pPr>
        <w:jc w:val="center"/>
        <w:rPr>
          <w:strike/>
          <w:snapToGrid w:val="0"/>
          <w:color w:val="000000"/>
          <w:highlight w:val="lightGray"/>
        </w:rPr>
      </w:pPr>
    </w:p>
    <w:p w14:paraId="4FDEE85F" w14:textId="77777777" w:rsidR="007E07F8" w:rsidRPr="000456A0" w:rsidRDefault="007E07F8" w:rsidP="007E07F8">
      <w:pPr>
        <w:jc w:val="center"/>
        <w:rPr>
          <w:caps/>
          <w:strike/>
          <w:color w:val="4F81BD" w:themeColor="accent1"/>
        </w:rPr>
      </w:pPr>
      <w:r w:rsidRPr="000456A0">
        <w:rPr>
          <w:caps/>
          <w:strike/>
          <w:highlight w:val="lightGray"/>
        </w:rPr>
        <w:t>EXAMPLE 2:  Genetic Selection of Similar Varieties for the First Growing Cycle:</w:t>
      </w:r>
      <w:r w:rsidRPr="00F000EA">
        <w:rPr>
          <w:caps/>
        </w:rPr>
        <w:t xml:space="preserve"> </w:t>
      </w:r>
      <w:r w:rsidRPr="000456A0">
        <w:rPr>
          <w:caps/>
          <w:strike/>
          <w:color w:val="4F81BD" w:themeColor="accent1"/>
        </w:rPr>
        <w:t>FRENCH BEAN</w:t>
      </w:r>
    </w:p>
    <w:p w14:paraId="35856CBD" w14:textId="77777777" w:rsidR="007E07F8" w:rsidRPr="00B20E7C" w:rsidRDefault="007E07F8" w:rsidP="007E07F8">
      <w:pPr>
        <w:jc w:val="center"/>
      </w:pPr>
    </w:p>
    <w:p w14:paraId="5AA95B89" w14:textId="77777777" w:rsidR="007E07F8" w:rsidRPr="00B20E7C" w:rsidRDefault="007E07F8" w:rsidP="007E07F8">
      <w:pPr>
        <w:jc w:val="center"/>
      </w:pPr>
    </w:p>
    <w:p w14:paraId="2E297E8C" w14:textId="77777777" w:rsidR="007E07F8" w:rsidRPr="000456A0" w:rsidRDefault="007E07F8" w:rsidP="007E07F8">
      <w:pPr>
        <w:jc w:val="center"/>
        <w:rPr>
          <w:i/>
          <w:strike/>
          <w:color w:val="4F81BD" w:themeColor="accent1"/>
        </w:rPr>
      </w:pPr>
      <w:r w:rsidRPr="000456A0">
        <w:rPr>
          <w:i/>
          <w:strike/>
          <w:color w:val="4F81BD" w:themeColor="accent1"/>
        </w:rPr>
        <w:t>prepared by experts from the Netherlands</w:t>
      </w:r>
    </w:p>
    <w:p w14:paraId="08E88A4B" w14:textId="77777777" w:rsidR="007E07F8" w:rsidRPr="00B20E7C" w:rsidRDefault="007E07F8" w:rsidP="007E07F8"/>
    <w:p w14:paraId="5C0E1305" w14:textId="77777777" w:rsidR="007E07F8" w:rsidRPr="00B20E7C" w:rsidRDefault="007E07F8" w:rsidP="007E07F8"/>
    <w:p w14:paraId="22FC945D" w14:textId="77777777" w:rsidR="007E07F8" w:rsidRPr="00B20E7C" w:rsidRDefault="007E07F8" w:rsidP="007E07F8"/>
    <w:p w14:paraId="4ED47CB1" w14:textId="77777777" w:rsidR="007E07F8" w:rsidRPr="000456A0" w:rsidRDefault="007E07F8" w:rsidP="007E07F8">
      <w:pPr>
        <w:rPr>
          <w:strike/>
          <w:color w:val="4F81BD" w:themeColor="accent1"/>
        </w:rPr>
      </w:pPr>
      <w:r w:rsidRPr="000456A0">
        <w:rPr>
          <w:strike/>
          <w:color w:val="4F81BD" w:themeColor="accent1"/>
        </w:rPr>
        <w:t>1.</w:t>
      </w:r>
      <w:r w:rsidRPr="000456A0">
        <w:rPr>
          <w:strike/>
          <w:color w:val="4F81BD" w:themeColor="accent1"/>
        </w:rPr>
        <w:tab/>
      </w:r>
      <w:r w:rsidRPr="000456A0">
        <w:rPr>
          <w:strike/>
          <w:color w:val="4F81BD" w:themeColor="accent1"/>
          <w:u w:val="single"/>
        </w:rPr>
        <w:t>Introduction</w:t>
      </w:r>
    </w:p>
    <w:p w14:paraId="48C06206" w14:textId="77777777" w:rsidR="007E07F8" w:rsidRPr="000456A0" w:rsidRDefault="007E07F8" w:rsidP="007E07F8">
      <w:pPr>
        <w:rPr>
          <w:strike/>
          <w:color w:val="4F81BD" w:themeColor="accent1"/>
        </w:rPr>
      </w:pPr>
    </w:p>
    <w:p w14:paraId="177D6436" w14:textId="77777777" w:rsidR="007E07F8" w:rsidRPr="000456A0" w:rsidRDefault="007E07F8" w:rsidP="007E07F8">
      <w:pPr>
        <w:rPr>
          <w:strike/>
          <w:color w:val="4F81BD" w:themeColor="accent1"/>
        </w:rPr>
      </w:pPr>
      <w:r w:rsidRPr="000456A0">
        <w:rPr>
          <w:strike/>
          <w:color w:val="4F81BD" w:themeColor="accent1"/>
        </w:rPr>
        <w:t xml:space="preserve">1.1 </w:t>
      </w:r>
      <w:r w:rsidRPr="000456A0">
        <w:rPr>
          <w:strike/>
          <w:color w:val="4F81BD" w:themeColor="accent1"/>
        </w:rPr>
        <w:tab/>
        <w:t xml:space="preserve">This approach involves a step to check for genetic similarity before the first growing cycle.  </w:t>
      </w:r>
    </w:p>
    <w:p w14:paraId="407A31E6" w14:textId="77777777" w:rsidR="007E07F8" w:rsidRPr="000456A0" w:rsidRDefault="007E07F8" w:rsidP="007E07F8">
      <w:pPr>
        <w:rPr>
          <w:strike/>
          <w:color w:val="4F81BD" w:themeColor="accent1"/>
        </w:rPr>
      </w:pPr>
    </w:p>
    <w:p w14:paraId="2AD92CEE" w14:textId="77777777" w:rsidR="007E07F8" w:rsidRPr="000456A0" w:rsidRDefault="007E07F8" w:rsidP="007E07F8">
      <w:pPr>
        <w:rPr>
          <w:strike/>
          <w:color w:val="4F81BD" w:themeColor="accent1"/>
        </w:rPr>
      </w:pPr>
      <w:r w:rsidRPr="000456A0">
        <w:rPr>
          <w:strike/>
          <w:color w:val="4F81BD" w:themeColor="accent1"/>
        </w:rPr>
        <w:t>1.2</w:t>
      </w:r>
      <w:r w:rsidRPr="000456A0">
        <w:rPr>
          <w:strike/>
          <w:color w:val="4F81BD" w:themeColor="accent1"/>
        </w:rPr>
        <w:tab/>
        <w:t xml:space="preserve">In cases where the minimum duration of tests is normally two growing cycles, a selection of similar varieties in the variety collection for comparison with candidate varieties in the first growing cycle is made according to genetic similarity. As a next step, the information provided by the applicant in the Technical Questionnaire (TQ) is used to see if some of the genetically similar varieties do not have to be compared in a growing trial because of differences in DUS characteristics.  </w:t>
      </w:r>
    </w:p>
    <w:p w14:paraId="689D8146" w14:textId="77777777" w:rsidR="007E07F8" w:rsidRPr="000456A0" w:rsidRDefault="007E07F8" w:rsidP="007E07F8">
      <w:pPr>
        <w:rPr>
          <w:strike/>
          <w:color w:val="4F81BD" w:themeColor="accent1"/>
        </w:rPr>
      </w:pPr>
    </w:p>
    <w:p w14:paraId="7D7539F6" w14:textId="77777777" w:rsidR="007E07F8" w:rsidRPr="000456A0" w:rsidRDefault="007E07F8" w:rsidP="007E07F8">
      <w:pPr>
        <w:rPr>
          <w:strike/>
          <w:color w:val="4F81BD" w:themeColor="accent1"/>
        </w:rPr>
      </w:pPr>
      <w:r w:rsidRPr="000456A0">
        <w:rPr>
          <w:strike/>
          <w:color w:val="4F81BD" w:themeColor="accent1"/>
        </w:rPr>
        <w:t>1.3</w:t>
      </w:r>
      <w:r w:rsidRPr="000456A0">
        <w:rPr>
          <w:strike/>
          <w:color w:val="4F81BD" w:themeColor="accent1"/>
        </w:rPr>
        <w:tab/>
        <w:t xml:space="preserve">On the basis of the variety description of DUS characteristics produced in the first growing cycle, a further search is made of varieties in the variety collection to identify any similar varieties that were not compared in the first growing </w:t>
      </w:r>
      <w:proofErr w:type="gramStart"/>
      <w:r w:rsidRPr="000456A0">
        <w:rPr>
          <w:strike/>
          <w:color w:val="4F81BD" w:themeColor="accent1"/>
        </w:rPr>
        <w:t>cycle</w:t>
      </w:r>
      <w:proofErr w:type="gramEnd"/>
      <w:r w:rsidRPr="000456A0">
        <w:rPr>
          <w:strike/>
          <w:color w:val="4F81BD" w:themeColor="accent1"/>
        </w:rPr>
        <w:t xml:space="preserve"> and which should be compared with the candidate variety in the second growing cycle. </w:t>
      </w:r>
    </w:p>
    <w:p w14:paraId="153D82EA" w14:textId="77777777" w:rsidR="007E07F8" w:rsidRPr="000456A0" w:rsidRDefault="007E07F8" w:rsidP="007E07F8">
      <w:pPr>
        <w:rPr>
          <w:strike/>
          <w:color w:val="4F81BD" w:themeColor="accent1"/>
        </w:rPr>
      </w:pPr>
    </w:p>
    <w:p w14:paraId="73D3F7E3" w14:textId="77777777" w:rsidR="007E07F8" w:rsidRPr="000456A0" w:rsidRDefault="007E07F8" w:rsidP="007E07F8">
      <w:pPr>
        <w:rPr>
          <w:strike/>
          <w:color w:val="4F81BD" w:themeColor="accent1"/>
        </w:rPr>
      </w:pPr>
    </w:p>
    <w:p w14:paraId="25D9B81A" w14:textId="77777777" w:rsidR="007E07F8" w:rsidRPr="000456A0" w:rsidRDefault="007E07F8" w:rsidP="007E07F8">
      <w:pPr>
        <w:rPr>
          <w:strike/>
          <w:color w:val="4F81BD" w:themeColor="accent1"/>
        </w:rPr>
      </w:pPr>
      <w:r w:rsidRPr="000456A0">
        <w:rPr>
          <w:strike/>
          <w:color w:val="4F81BD" w:themeColor="accent1"/>
        </w:rPr>
        <w:t>2.</w:t>
      </w:r>
      <w:r w:rsidRPr="000456A0">
        <w:rPr>
          <w:strike/>
          <w:color w:val="4F81BD" w:themeColor="accent1"/>
        </w:rPr>
        <w:tab/>
      </w:r>
      <w:r w:rsidRPr="000456A0">
        <w:rPr>
          <w:strike/>
          <w:color w:val="4F81BD" w:themeColor="accent1"/>
          <w:u w:val="single"/>
        </w:rPr>
        <w:t>Procedure</w:t>
      </w:r>
    </w:p>
    <w:p w14:paraId="2C788202" w14:textId="77777777" w:rsidR="007E07F8" w:rsidRPr="000456A0" w:rsidRDefault="007E07F8" w:rsidP="007E07F8">
      <w:pPr>
        <w:rPr>
          <w:strike/>
          <w:color w:val="4F81BD" w:themeColor="accent1"/>
        </w:rPr>
      </w:pPr>
    </w:p>
    <w:p w14:paraId="262041EC" w14:textId="77777777" w:rsidR="007E07F8" w:rsidRPr="000456A0" w:rsidRDefault="007E07F8" w:rsidP="007E07F8">
      <w:pPr>
        <w:rPr>
          <w:i/>
          <w:strike/>
          <w:color w:val="4F81BD" w:themeColor="accent1"/>
        </w:rPr>
      </w:pPr>
      <w:r w:rsidRPr="000456A0">
        <w:rPr>
          <w:i/>
          <w:strike/>
          <w:color w:val="4F81BD" w:themeColor="accent1"/>
        </w:rPr>
        <w:t>Determine genetic similarity</w:t>
      </w:r>
    </w:p>
    <w:p w14:paraId="3E8DC13E" w14:textId="77777777" w:rsidR="007E07F8" w:rsidRPr="000456A0" w:rsidRDefault="007E07F8" w:rsidP="007E07F8">
      <w:pPr>
        <w:rPr>
          <w:strike/>
          <w:color w:val="4F81BD" w:themeColor="accent1"/>
        </w:rPr>
      </w:pPr>
    </w:p>
    <w:p w14:paraId="5F3B3E70" w14:textId="77777777" w:rsidR="007E07F8" w:rsidRPr="000456A0" w:rsidRDefault="007E07F8" w:rsidP="007E07F8">
      <w:pPr>
        <w:rPr>
          <w:strike/>
          <w:color w:val="4F81BD" w:themeColor="accent1"/>
        </w:rPr>
      </w:pPr>
      <w:r w:rsidRPr="000456A0">
        <w:rPr>
          <w:strike/>
          <w:color w:val="4F81BD" w:themeColor="accent1"/>
        </w:rPr>
        <w:t>2.1</w:t>
      </w:r>
      <w:r w:rsidRPr="000456A0">
        <w:rPr>
          <w:strike/>
          <w:color w:val="4F81BD" w:themeColor="accent1"/>
        </w:rPr>
        <w:tab/>
        <w:t>The DNA-profile of the candidate variety is produced as soon as plant material is received.</w:t>
      </w:r>
    </w:p>
    <w:p w14:paraId="7ED7437F" w14:textId="77777777" w:rsidR="007E07F8" w:rsidRPr="000456A0" w:rsidRDefault="007E07F8" w:rsidP="007E07F8">
      <w:pPr>
        <w:rPr>
          <w:strike/>
          <w:color w:val="4F81BD" w:themeColor="accent1"/>
        </w:rPr>
      </w:pPr>
    </w:p>
    <w:p w14:paraId="23456629" w14:textId="77777777" w:rsidR="007E07F8" w:rsidRPr="000456A0" w:rsidRDefault="007E07F8" w:rsidP="007E07F8">
      <w:pPr>
        <w:rPr>
          <w:strike/>
          <w:color w:val="4F81BD" w:themeColor="accent1"/>
        </w:rPr>
      </w:pPr>
      <w:r w:rsidRPr="000456A0">
        <w:rPr>
          <w:strike/>
          <w:color w:val="4F81BD" w:themeColor="accent1"/>
        </w:rPr>
        <w:t>2.2</w:t>
      </w:r>
      <w:r w:rsidRPr="000456A0">
        <w:rPr>
          <w:strike/>
          <w:color w:val="4F81BD" w:themeColor="accent1"/>
        </w:rPr>
        <w:tab/>
        <w:t xml:space="preserve">The DNA-profile is compared with the profiles of all varieties in the variety collection and genetically similar varieties are identified. </w:t>
      </w:r>
    </w:p>
    <w:p w14:paraId="386CF2A9" w14:textId="77777777" w:rsidR="007E07F8" w:rsidRPr="000456A0" w:rsidRDefault="007E07F8" w:rsidP="007E07F8">
      <w:pPr>
        <w:rPr>
          <w:strike/>
          <w:color w:val="4F81BD" w:themeColor="accent1"/>
        </w:rPr>
      </w:pPr>
    </w:p>
    <w:p w14:paraId="46A606F9" w14:textId="77777777" w:rsidR="007E07F8" w:rsidRPr="000456A0" w:rsidRDefault="007E07F8" w:rsidP="007E07F8">
      <w:pPr>
        <w:rPr>
          <w:i/>
          <w:strike/>
          <w:color w:val="4F81BD" w:themeColor="accent1"/>
        </w:rPr>
      </w:pPr>
      <w:r w:rsidRPr="000456A0">
        <w:rPr>
          <w:i/>
          <w:strike/>
          <w:color w:val="4F81BD" w:themeColor="accent1"/>
        </w:rPr>
        <w:t>Technical Questionnaire information</w:t>
      </w:r>
    </w:p>
    <w:p w14:paraId="6A666688" w14:textId="77777777" w:rsidR="007E07F8" w:rsidRPr="000456A0" w:rsidRDefault="007E07F8" w:rsidP="007E07F8">
      <w:pPr>
        <w:rPr>
          <w:strike/>
          <w:color w:val="4F81BD" w:themeColor="accent1"/>
        </w:rPr>
      </w:pPr>
    </w:p>
    <w:p w14:paraId="757854B5" w14:textId="77777777" w:rsidR="007E07F8" w:rsidRPr="000456A0" w:rsidRDefault="007E07F8" w:rsidP="007E07F8">
      <w:pPr>
        <w:rPr>
          <w:strike/>
          <w:color w:val="4F81BD" w:themeColor="accent1"/>
        </w:rPr>
      </w:pPr>
      <w:r w:rsidRPr="000456A0">
        <w:rPr>
          <w:strike/>
          <w:color w:val="4F81BD" w:themeColor="accent1"/>
        </w:rPr>
        <w:t>2.3</w:t>
      </w:r>
      <w:r w:rsidRPr="000456A0">
        <w:rPr>
          <w:strike/>
          <w:color w:val="4F81BD" w:themeColor="accent1"/>
        </w:rPr>
        <w:tab/>
        <w:t xml:space="preserve">The information provided by the applicant in the Technical Questionnaire (TQ) is then used to see if there are clear differences in DUS characteristics from some of the genetically similar varieties so that they do not need to be compared with candidate varieties in a growing trial.   </w:t>
      </w:r>
    </w:p>
    <w:p w14:paraId="245693C6" w14:textId="77777777" w:rsidR="007E07F8" w:rsidRPr="000456A0" w:rsidRDefault="007E07F8" w:rsidP="007E07F8">
      <w:pPr>
        <w:rPr>
          <w:strike/>
          <w:color w:val="4F81BD" w:themeColor="accent1"/>
        </w:rPr>
      </w:pPr>
    </w:p>
    <w:p w14:paraId="286FDBB0" w14:textId="77777777" w:rsidR="007E07F8" w:rsidRPr="000456A0" w:rsidRDefault="007E07F8" w:rsidP="007E07F8">
      <w:pPr>
        <w:rPr>
          <w:i/>
          <w:strike/>
          <w:color w:val="4F81BD" w:themeColor="accent1"/>
        </w:rPr>
      </w:pPr>
      <w:r w:rsidRPr="000456A0">
        <w:rPr>
          <w:i/>
          <w:strike/>
          <w:color w:val="4F81BD" w:themeColor="accent1"/>
        </w:rPr>
        <w:t>Field trial</w:t>
      </w:r>
    </w:p>
    <w:p w14:paraId="664BB0B9" w14:textId="77777777" w:rsidR="007E07F8" w:rsidRPr="000456A0" w:rsidRDefault="007E07F8" w:rsidP="007E07F8">
      <w:pPr>
        <w:rPr>
          <w:strike/>
          <w:color w:val="4F81BD" w:themeColor="accent1"/>
        </w:rPr>
      </w:pPr>
    </w:p>
    <w:p w14:paraId="00C7957C" w14:textId="77777777" w:rsidR="007E07F8" w:rsidRPr="000456A0" w:rsidRDefault="007E07F8" w:rsidP="007E07F8">
      <w:pPr>
        <w:ind w:left="567"/>
        <w:rPr>
          <w:strike/>
          <w:color w:val="4F81BD" w:themeColor="accent1"/>
          <w:u w:val="single"/>
        </w:rPr>
      </w:pPr>
      <w:r w:rsidRPr="000456A0">
        <w:rPr>
          <w:strike/>
          <w:color w:val="4F81BD" w:themeColor="accent1"/>
          <w:u w:val="single"/>
        </w:rPr>
        <w:t>First growing cycle:</w:t>
      </w:r>
    </w:p>
    <w:p w14:paraId="03BE5539" w14:textId="77777777" w:rsidR="007E07F8" w:rsidRPr="000456A0" w:rsidRDefault="007E07F8" w:rsidP="007E07F8">
      <w:pPr>
        <w:rPr>
          <w:strike/>
          <w:color w:val="4F81BD" w:themeColor="accent1"/>
        </w:rPr>
      </w:pPr>
    </w:p>
    <w:p w14:paraId="37D80E67" w14:textId="77777777" w:rsidR="007E07F8" w:rsidRPr="000456A0" w:rsidRDefault="007E07F8" w:rsidP="007E07F8">
      <w:pPr>
        <w:rPr>
          <w:strike/>
          <w:color w:val="4F81BD" w:themeColor="accent1"/>
        </w:rPr>
      </w:pPr>
      <w:r w:rsidRPr="000456A0">
        <w:rPr>
          <w:strike/>
          <w:color w:val="4F81BD" w:themeColor="accent1"/>
        </w:rPr>
        <w:t>2.4</w:t>
      </w:r>
      <w:r w:rsidRPr="000456A0">
        <w:rPr>
          <w:strike/>
          <w:color w:val="4F81BD" w:themeColor="accent1"/>
        </w:rPr>
        <w:tab/>
        <w:t xml:space="preserve">The candidate and the genetically similar varieties selected by the procedure above are grown in the same field trial. A complete description of the DUS characteristics of the candidate variety is produced and is compared to the descriptions of all varieties in the variety collection using a database containing descriptions produced at the same location in previous years. </w:t>
      </w:r>
    </w:p>
    <w:p w14:paraId="76AD4835" w14:textId="77777777" w:rsidR="007E07F8" w:rsidRPr="000456A0" w:rsidRDefault="007E07F8" w:rsidP="007E07F8">
      <w:pPr>
        <w:rPr>
          <w:strike/>
          <w:color w:val="4F81BD" w:themeColor="accent1"/>
        </w:rPr>
      </w:pPr>
    </w:p>
    <w:p w14:paraId="70B82272" w14:textId="77777777" w:rsidR="007E07F8" w:rsidRPr="000456A0" w:rsidRDefault="007E07F8" w:rsidP="007E07F8">
      <w:pPr>
        <w:ind w:firstLine="567"/>
        <w:rPr>
          <w:i/>
          <w:strike/>
          <w:color w:val="4F81BD" w:themeColor="accent1"/>
        </w:rPr>
      </w:pPr>
      <w:r w:rsidRPr="000456A0">
        <w:rPr>
          <w:i/>
          <w:strike/>
          <w:color w:val="4F81BD" w:themeColor="accent1"/>
        </w:rPr>
        <w:t xml:space="preserve">Possible outcomes: </w:t>
      </w:r>
    </w:p>
    <w:p w14:paraId="630E5FBB" w14:textId="77777777" w:rsidR="007E07F8" w:rsidRPr="000456A0" w:rsidRDefault="007E07F8" w:rsidP="007E07F8">
      <w:pPr>
        <w:rPr>
          <w:strike/>
          <w:color w:val="4F81BD" w:themeColor="accent1"/>
        </w:rPr>
      </w:pPr>
    </w:p>
    <w:p w14:paraId="397B6D90" w14:textId="77777777" w:rsidR="007E07F8" w:rsidRPr="000456A0" w:rsidRDefault="007E07F8" w:rsidP="007E07F8">
      <w:pPr>
        <w:rPr>
          <w:strike/>
          <w:color w:val="4F81BD" w:themeColor="accent1"/>
        </w:rPr>
      </w:pPr>
      <w:r w:rsidRPr="000456A0">
        <w:rPr>
          <w:strike/>
          <w:color w:val="4F81BD" w:themeColor="accent1"/>
        </w:rPr>
        <w:t>2.5</w:t>
      </w:r>
      <w:r w:rsidRPr="000456A0">
        <w:rPr>
          <w:strike/>
          <w:color w:val="4F81BD" w:themeColor="accent1"/>
        </w:rPr>
        <w:tab/>
        <w:t xml:space="preserve">If the candidate variety is not distinct from the genetically similar varieties on the basis of DUS characteristics, the test will be continued for another growing cycle. </w:t>
      </w:r>
    </w:p>
    <w:p w14:paraId="4F2704FA" w14:textId="77777777" w:rsidR="007E07F8" w:rsidRPr="000456A0" w:rsidRDefault="007E07F8" w:rsidP="007E07F8">
      <w:pPr>
        <w:jc w:val="left"/>
        <w:rPr>
          <w:strike/>
          <w:color w:val="4F81BD" w:themeColor="accent1"/>
        </w:rPr>
      </w:pPr>
      <w:r w:rsidRPr="000456A0">
        <w:rPr>
          <w:strike/>
          <w:color w:val="4F81BD" w:themeColor="accent1"/>
        </w:rPr>
        <w:br w:type="page"/>
      </w:r>
    </w:p>
    <w:p w14:paraId="26F6D898" w14:textId="77777777" w:rsidR="007E07F8" w:rsidRPr="000456A0" w:rsidRDefault="007E07F8" w:rsidP="007E07F8">
      <w:pPr>
        <w:rPr>
          <w:strike/>
          <w:color w:val="4F81BD" w:themeColor="accent1"/>
        </w:rPr>
      </w:pPr>
    </w:p>
    <w:p w14:paraId="66DFF6AA" w14:textId="77777777" w:rsidR="007E07F8" w:rsidRPr="000456A0" w:rsidRDefault="007E07F8" w:rsidP="007E07F8">
      <w:pPr>
        <w:rPr>
          <w:strike/>
          <w:color w:val="4F81BD" w:themeColor="accent1"/>
        </w:rPr>
      </w:pPr>
      <w:r w:rsidRPr="000456A0">
        <w:rPr>
          <w:strike/>
          <w:color w:val="4F81BD" w:themeColor="accent1"/>
        </w:rPr>
        <w:t>2.6</w:t>
      </w:r>
      <w:r w:rsidRPr="000456A0">
        <w:rPr>
          <w:strike/>
          <w:color w:val="4F81BD" w:themeColor="accent1"/>
        </w:rPr>
        <w:tab/>
        <w:t xml:space="preserve">In any case, the description of the candidate variety produced in the first growing cycle is compared to the descriptions of the varieties in the variety collection using a database containing descriptions produced at the same location: </w:t>
      </w:r>
    </w:p>
    <w:p w14:paraId="3906C17B" w14:textId="77777777" w:rsidR="007E07F8" w:rsidRPr="000456A0" w:rsidRDefault="007E07F8" w:rsidP="007E07F8">
      <w:pPr>
        <w:rPr>
          <w:strike/>
          <w:color w:val="4F81BD" w:themeColor="accent1"/>
        </w:rPr>
      </w:pPr>
    </w:p>
    <w:p w14:paraId="533970D6" w14:textId="77777777" w:rsidR="007E07F8" w:rsidRPr="000456A0" w:rsidRDefault="007E07F8" w:rsidP="007E07F8">
      <w:pPr>
        <w:rPr>
          <w:strike/>
          <w:color w:val="4F81BD" w:themeColor="accent1"/>
        </w:rPr>
      </w:pPr>
      <w:r w:rsidRPr="000456A0">
        <w:rPr>
          <w:strike/>
          <w:color w:val="4F81BD" w:themeColor="accent1"/>
        </w:rPr>
        <w:tab/>
      </w:r>
      <w:proofErr w:type="gramStart"/>
      <w:r w:rsidRPr="000456A0">
        <w:rPr>
          <w:strike/>
          <w:color w:val="4F81BD" w:themeColor="accent1"/>
        </w:rPr>
        <w:t>(a)</w:t>
      </w:r>
      <w:r w:rsidRPr="000456A0">
        <w:rPr>
          <w:strike/>
          <w:color w:val="4F81BD" w:themeColor="accent1"/>
        </w:rPr>
        <w:tab/>
        <w:t>If</w:t>
      </w:r>
      <w:proofErr w:type="gramEnd"/>
      <w:r w:rsidRPr="000456A0">
        <w:rPr>
          <w:strike/>
          <w:color w:val="4F81BD" w:themeColor="accent1"/>
        </w:rPr>
        <w:t xml:space="preserve"> the candidate variety is found to be distinct from all varieties grown in the first growing cycle and to all other varieties in the variety collection at the end of the first growing cycle and it fulfills the uniformity and stability requirements the DUS test may be concluded after the first growing cycle.</w:t>
      </w:r>
    </w:p>
    <w:p w14:paraId="5DAAA3D2" w14:textId="77777777" w:rsidR="007E07F8" w:rsidRPr="000456A0" w:rsidRDefault="007E07F8" w:rsidP="007E07F8">
      <w:pPr>
        <w:rPr>
          <w:strike/>
          <w:color w:val="4F81BD" w:themeColor="accent1"/>
        </w:rPr>
      </w:pPr>
    </w:p>
    <w:p w14:paraId="765BA692" w14:textId="77777777" w:rsidR="007E07F8" w:rsidRPr="000456A0" w:rsidRDefault="007E07F8" w:rsidP="007E07F8">
      <w:pPr>
        <w:rPr>
          <w:strike/>
          <w:color w:val="4F81BD" w:themeColor="accent1"/>
        </w:rPr>
      </w:pPr>
      <w:r w:rsidRPr="000456A0">
        <w:rPr>
          <w:strike/>
          <w:color w:val="4F81BD" w:themeColor="accent1"/>
        </w:rPr>
        <w:tab/>
        <w:t>(b)</w:t>
      </w:r>
      <w:r w:rsidRPr="000456A0">
        <w:rPr>
          <w:strike/>
          <w:color w:val="4F81BD" w:themeColor="accent1"/>
        </w:rPr>
        <w:tab/>
        <w:t xml:space="preserve">In all other cases a second growing cycle is performed. </w:t>
      </w:r>
    </w:p>
    <w:p w14:paraId="351235D6" w14:textId="77777777" w:rsidR="007E07F8" w:rsidRPr="000456A0" w:rsidRDefault="007E07F8" w:rsidP="007E07F8">
      <w:pPr>
        <w:rPr>
          <w:strike/>
          <w:color w:val="4F81BD" w:themeColor="accent1"/>
        </w:rPr>
      </w:pPr>
    </w:p>
    <w:p w14:paraId="16A823E4" w14:textId="77777777" w:rsidR="007E07F8" w:rsidRPr="000456A0" w:rsidRDefault="007E07F8" w:rsidP="007E07F8">
      <w:pPr>
        <w:ind w:left="567"/>
        <w:rPr>
          <w:strike/>
          <w:color w:val="4F81BD" w:themeColor="accent1"/>
          <w:u w:val="single"/>
        </w:rPr>
      </w:pPr>
      <w:r w:rsidRPr="000456A0">
        <w:rPr>
          <w:strike/>
          <w:color w:val="4F81BD" w:themeColor="accent1"/>
          <w:u w:val="single"/>
        </w:rPr>
        <w:t>Second growing cycle</w:t>
      </w:r>
    </w:p>
    <w:p w14:paraId="4B75B0CD" w14:textId="77777777" w:rsidR="007E07F8" w:rsidRPr="000456A0" w:rsidRDefault="007E07F8" w:rsidP="007E07F8">
      <w:pPr>
        <w:rPr>
          <w:strike/>
          <w:color w:val="4F81BD" w:themeColor="accent1"/>
        </w:rPr>
      </w:pPr>
    </w:p>
    <w:p w14:paraId="7D0C938B" w14:textId="77777777" w:rsidR="007E07F8" w:rsidRPr="000456A0" w:rsidRDefault="007E07F8" w:rsidP="007E07F8">
      <w:pPr>
        <w:rPr>
          <w:strike/>
          <w:color w:val="4F81BD" w:themeColor="accent1"/>
        </w:rPr>
      </w:pPr>
      <w:r w:rsidRPr="000456A0">
        <w:rPr>
          <w:strike/>
          <w:color w:val="4F81BD" w:themeColor="accent1"/>
        </w:rPr>
        <w:t>2.7</w:t>
      </w:r>
      <w:r w:rsidRPr="000456A0">
        <w:rPr>
          <w:strike/>
          <w:color w:val="4F81BD" w:themeColor="accent1"/>
        </w:rPr>
        <w:tab/>
        <w:t xml:space="preserve">In the second growing cycle, the candidate variety is grown with all varieties in the variety collection from which it was not found to be distinct at the end of the first growing cycle. </w:t>
      </w:r>
    </w:p>
    <w:p w14:paraId="66852AFD" w14:textId="77777777" w:rsidR="007E07F8" w:rsidRPr="000456A0" w:rsidRDefault="007E07F8" w:rsidP="007E07F8">
      <w:pPr>
        <w:rPr>
          <w:strike/>
          <w:color w:val="4F81BD" w:themeColor="accent1"/>
        </w:rPr>
      </w:pPr>
    </w:p>
    <w:p w14:paraId="1DCF108B" w14:textId="77777777" w:rsidR="007E07F8" w:rsidRPr="000456A0" w:rsidRDefault="007E07F8" w:rsidP="007E07F8">
      <w:pPr>
        <w:rPr>
          <w:rFonts w:eastAsia="Calibri"/>
          <w:strike/>
          <w:color w:val="4F81BD" w:themeColor="accent1"/>
        </w:rPr>
      </w:pPr>
      <w:r w:rsidRPr="000456A0">
        <w:rPr>
          <w:strike/>
          <w:color w:val="4F81BD" w:themeColor="accent1"/>
        </w:rPr>
        <w:t>2.8</w:t>
      </w:r>
      <w:r w:rsidRPr="000456A0">
        <w:rPr>
          <w:strike/>
          <w:color w:val="4F81BD" w:themeColor="accent1"/>
        </w:rPr>
        <w:tab/>
        <w:t>At the end of the second growing cycle, an assessment of DUS is made.  If it is not possible to reach a decision on DUS at the end of the second growing cycle, a further growing cycle may be conducted.</w:t>
      </w:r>
    </w:p>
    <w:p w14:paraId="2BBA55CD" w14:textId="77777777" w:rsidR="007E07F8" w:rsidRPr="00A20215" w:rsidRDefault="007E07F8" w:rsidP="007E07F8">
      <w:pPr>
        <w:rPr>
          <w:rFonts w:eastAsia="Calibri"/>
        </w:rPr>
      </w:pPr>
    </w:p>
    <w:p w14:paraId="267A60E2" w14:textId="77777777" w:rsidR="007E07F8" w:rsidRDefault="007E07F8" w:rsidP="007E07F8"/>
    <w:p w14:paraId="3FE3758D" w14:textId="77777777" w:rsidR="007E07F8" w:rsidRPr="000456A0" w:rsidRDefault="007E07F8" w:rsidP="007E07F8">
      <w:pPr>
        <w:jc w:val="right"/>
        <w:rPr>
          <w:rFonts w:cs="Arial"/>
          <w:strike/>
        </w:rPr>
      </w:pPr>
      <w:r w:rsidRPr="000456A0">
        <w:rPr>
          <w:rFonts w:cs="Arial"/>
          <w:strike/>
          <w:highlight w:val="lightGray"/>
        </w:rPr>
        <w:t>[End of Annex II and of document]</w:t>
      </w:r>
    </w:p>
    <w:p w14:paraId="2EBF4AA0" w14:textId="77777777" w:rsidR="00FA728C" w:rsidRPr="003F29C8" w:rsidRDefault="00FA728C" w:rsidP="00F40E8E">
      <w:pPr>
        <w:rPr>
          <w:u w:val="single"/>
        </w:rPr>
      </w:pPr>
    </w:p>
    <w:sectPr w:rsidR="00FA728C" w:rsidRPr="003F29C8" w:rsidSect="007C5A0C">
      <w:headerReference w:type="default" r:id="rId28"/>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88818" w14:textId="77777777" w:rsidR="002216C4" w:rsidRDefault="002216C4" w:rsidP="006655D3">
      <w:r>
        <w:separator/>
      </w:r>
    </w:p>
    <w:p w14:paraId="2A59F60F" w14:textId="77777777" w:rsidR="002216C4" w:rsidRDefault="002216C4" w:rsidP="006655D3"/>
    <w:p w14:paraId="58416228" w14:textId="77777777" w:rsidR="002216C4" w:rsidRDefault="002216C4" w:rsidP="006655D3"/>
  </w:endnote>
  <w:endnote w:type="continuationSeparator" w:id="0">
    <w:p w14:paraId="6EF232CE" w14:textId="77777777" w:rsidR="002216C4" w:rsidRDefault="002216C4" w:rsidP="006655D3">
      <w:r>
        <w:separator/>
      </w:r>
    </w:p>
    <w:p w14:paraId="5C9406DD" w14:textId="77777777" w:rsidR="002216C4" w:rsidRPr="005F385A" w:rsidRDefault="002216C4">
      <w:pPr>
        <w:pStyle w:val="Footer"/>
        <w:spacing w:after="60"/>
        <w:rPr>
          <w:sz w:val="18"/>
          <w:lang w:val="fr-CH"/>
        </w:rPr>
      </w:pPr>
      <w:r w:rsidRPr="005F385A">
        <w:rPr>
          <w:sz w:val="18"/>
          <w:lang w:val="fr-CH"/>
        </w:rPr>
        <w:t>[Suite de la note de la page précédente]</w:t>
      </w:r>
    </w:p>
    <w:p w14:paraId="35D83A35" w14:textId="77777777" w:rsidR="002216C4" w:rsidRPr="005F385A" w:rsidRDefault="002216C4" w:rsidP="006655D3">
      <w:pPr>
        <w:rPr>
          <w:lang w:val="fr-CH"/>
        </w:rPr>
      </w:pPr>
    </w:p>
    <w:p w14:paraId="433DC8A3" w14:textId="77777777" w:rsidR="002216C4" w:rsidRPr="005F385A" w:rsidRDefault="002216C4" w:rsidP="006655D3">
      <w:pPr>
        <w:rPr>
          <w:lang w:val="fr-CH"/>
        </w:rPr>
      </w:pPr>
    </w:p>
  </w:endnote>
  <w:endnote w:type="continuationNotice" w:id="1">
    <w:p w14:paraId="2172F092" w14:textId="77777777" w:rsidR="002216C4" w:rsidRPr="005F385A" w:rsidRDefault="002216C4" w:rsidP="006655D3">
      <w:pPr>
        <w:rPr>
          <w:lang w:val="fr-CH"/>
        </w:rPr>
      </w:pPr>
      <w:r w:rsidRPr="005F385A">
        <w:rPr>
          <w:lang w:val="fr-CH"/>
        </w:rPr>
        <w:t>[Suite de la note page suivante]</w:t>
      </w:r>
    </w:p>
    <w:p w14:paraId="5183C5B7" w14:textId="77777777" w:rsidR="002216C4" w:rsidRPr="005F385A" w:rsidRDefault="002216C4" w:rsidP="006655D3">
      <w:pPr>
        <w:rPr>
          <w:lang w:val="fr-CH"/>
        </w:rPr>
      </w:pPr>
    </w:p>
    <w:p w14:paraId="4744CB8E" w14:textId="77777777" w:rsidR="002216C4" w:rsidRPr="005F385A" w:rsidRDefault="002216C4" w:rsidP="006655D3">
      <w:pPr>
        <w:rPr>
          <w:lang w:val="fr-CH"/>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F5726" w14:textId="77777777" w:rsidR="007E07F8" w:rsidRPr="00CA384F" w:rsidRDefault="007E07F8" w:rsidP="007C15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B29A9" w14:textId="77777777" w:rsidR="002216C4" w:rsidRDefault="002216C4" w:rsidP="006655D3">
      <w:r>
        <w:separator/>
      </w:r>
    </w:p>
  </w:footnote>
  <w:footnote w:type="continuationSeparator" w:id="0">
    <w:p w14:paraId="45EE84DE" w14:textId="77777777" w:rsidR="002216C4" w:rsidRDefault="002216C4" w:rsidP="006655D3">
      <w:r>
        <w:separator/>
      </w:r>
    </w:p>
  </w:footnote>
  <w:footnote w:type="continuationNotice" w:id="1">
    <w:p w14:paraId="4CD7D08F" w14:textId="77777777" w:rsidR="002216C4" w:rsidRPr="00AB5028" w:rsidRDefault="002216C4" w:rsidP="00AB5028">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ACC2C" w14:textId="5B5492BD" w:rsidR="008E0BE7" w:rsidRDefault="008E0BE7" w:rsidP="007E07F8">
    <w:pPr>
      <w:pStyle w:val="Header"/>
    </w:pPr>
    <w:r w:rsidRPr="008E0BE7">
      <w:t>TGP/15/4 Draft 1</w:t>
    </w:r>
  </w:p>
  <w:p w14:paraId="29F890B9" w14:textId="3E3D422A" w:rsidR="008E0BE7" w:rsidRDefault="008E0BE7" w:rsidP="007E07F8">
    <w:pPr>
      <w:pStyle w:val="Header"/>
      <w:rPr>
        <w:noProof/>
      </w:rPr>
    </w:pPr>
    <w:r>
      <w:t xml:space="preserve">page </w:t>
    </w:r>
    <w:r>
      <w:fldChar w:fldCharType="begin"/>
    </w:r>
    <w:r>
      <w:instrText xml:space="preserve"> PAGE   \* MERGEFORMAT </w:instrText>
    </w:r>
    <w:r>
      <w:fldChar w:fldCharType="separate"/>
    </w:r>
    <w:r>
      <w:rPr>
        <w:noProof/>
      </w:rPr>
      <w:t>1</w:t>
    </w:r>
    <w:r>
      <w:rPr>
        <w:noProof/>
      </w:rPr>
      <w:fldChar w:fldCharType="end"/>
    </w:r>
  </w:p>
  <w:p w14:paraId="1F55A83F" w14:textId="77777777" w:rsidR="008E0BE7" w:rsidRDefault="008E0BE7" w:rsidP="007E07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2AE3E" w14:textId="1DA57774" w:rsidR="007E07F8" w:rsidRPr="00804A0D" w:rsidRDefault="007E07F8" w:rsidP="007E07F8">
    <w:pPr>
      <w:pStyle w:val="Header"/>
      <w:rPr>
        <w:strike/>
        <w:highlight w:val="lightGray"/>
      </w:rPr>
    </w:pPr>
    <w:r w:rsidRPr="00804A0D">
      <w:rPr>
        <w:strike/>
        <w:highlight w:val="lightGray"/>
      </w:rPr>
      <w:t>TGP/15/4 Draft 1</w:t>
    </w:r>
  </w:p>
  <w:p w14:paraId="07832B16" w14:textId="77777777" w:rsidR="007E07F8" w:rsidRPr="007E07F8" w:rsidRDefault="007E07F8">
    <w:pPr>
      <w:jc w:val="center"/>
      <w:rPr>
        <w:rFonts w:cs="Arial"/>
        <w:strike/>
      </w:rPr>
    </w:pPr>
    <w:r w:rsidRPr="007E07F8">
      <w:rPr>
        <w:rFonts w:cs="Arial"/>
        <w:strike/>
        <w:highlight w:val="lightGray"/>
      </w:rPr>
      <w:t xml:space="preserve">Annex I, page </w:t>
    </w:r>
    <w:r w:rsidRPr="007E07F8">
      <w:rPr>
        <w:rFonts w:cs="Arial"/>
        <w:strike/>
        <w:highlight w:val="lightGray"/>
      </w:rPr>
      <w:fldChar w:fldCharType="begin"/>
    </w:r>
    <w:r w:rsidRPr="007E07F8">
      <w:rPr>
        <w:rFonts w:cs="Arial"/>
        <w:strike/>
        <w:highlight w:val="lightGray"/>
      </w:rPr>
      <w:instrText xml:space="preserve"> PAGE  \* MERGEFORMAT </w:instrText>
    </w:r>
    <w:r w:rsidRPr="007E07F8">
      <w:rPr>
        <w:rFonts w:cs="Arial"/>
        <w:strike/>
        <w:highlight w:val="lightGray"/>
      </w:rPr>
      <w:fldChar w:fldCharType="separate"/>
    </w:r>
    <w:r w:rsidRPr="007E07F8">
      <w:rPr>
        <w:rFonts w:cs="Arial"/>
        <w:strike/>
        <w:noProof/>
        <w:highlight w:val="lightGray"/>
      </w:rPr>
      <w:t>3</w:t>
    </w:r>
    <w:r w:rsidRPr="007E07F8">
      <w:rPr>
        <w:rFonts w:cs="Arial"/>
        <w:strike/>
        <w:highlight w:val="lightGray"/>
      </w:rPr>
      <w:fldChar w:fldCharType="end"/>
    </w:r>
  </w:p>
  <w:p w14:paraId="4E18A510" w14:textId="77777777" w:rsidR="007E07F8" w:rsidRPr="00C61C6B" w:rsidRDefault="007E07F8">
    <w:pPr>
      <w:jc w:val="center"/>
      <w:rPr>
        <w:rFonts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613C1" w14:textId="08F17569" w:rsidR="007E07F8" w:rsidRPr="000456A0" w:rsidRDefault="007E07F8" w:rsidP="007E07F8">
    <w:pPr>
      <w:pStyle w:val="Header"/>
      <w:rPr>
        <w:strike/>
      </w:rPr>
    </w:pPr>
    <w:r w:rsidRPr="000456A0">
      <w:rPr>
        <w:strike/>
        <w:highlight w:val="lightGray"/>
      </w:rPr>
      <w:t>TGP/15/4 Draft 1</w:t>
    </w:r>
  </w:p>
  <w:p w14:paraId="2840C109" w14:textId="77777777" w:rsidR="007E07F8" w:rsidRPr="00647496" w:rsidRDefault="007E07F8" w:rsidP="007E07F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52E06" w14:textId="77777777" w:rsidR="007E07F8" w:rsidRPr="00804A0D" w:rsidRDefault="007E07F8" w:rsidP="007E07F8">
    <w:pPr>
      <w:pStyle w:val="Header"/>
      <w:rPr>
        <w:strike/>
        <w:highlight w:val="lightGray"/>
      </w:rPr>
    </w:pPr>
    <w:r w:rsidRPr="00804A0D">
      <w:rPr>
        <w:strike/>
        <w:highlight w:val="lightGray"/>
      </w:rPr>
      <w:t>TGP/15/4 Draft 1</w:t>
    </w:r>
  </w:p>
  <w:p w14:paraId="38633E7F" w14:textId="7EF866D1" w:rsidR="007E07F8" w:rsidRPr="007E07F8" w:rsidRDefault="007E07F8">
    <w:pPr>
      <w:jc w:val="center"/>
      <w:rPr>
        <w:rFonts w:cs="Arial"/>
        <w:strike/>
      </w:rPr>
    </w:pPr>
    <w:r w:rsidRPr="007E07F8">
      <w:rPr>
        <w:rFonts w:cs="Arial"/>
        <w:strike/>
        <w:highlight w:val="lightGray"/>
      </w:rPr>
      <w:t xml:space="preserve">Annex II, page </w:t>
    </w:r>
    <w:r w:rsidRPr="007E07F8">
      <w:rPr>
        <w:rFonts w:cs="Arial"/>
        <w:strike/>
        <w:highlight w:val="lightGray"/>
      </w:rPr>
      <w:fldChar w:fldCharType="begin"/>
    </w:r>
    <w:r w:rsidRPr="007E07F8">
      <w:rPr>
        <w:rFonts w:cs="Arial"/>
        <w:strike/>
        <w:highlight w:val="lightGray"/>
      </w:rPr>
      <w:instrText xml:space="preserve"> PAGE  \* MERGEFORMAT </w:instrText>
    </w:r>
    <w:r w:rsidRPr="007E07F8">
      <w:rPr>
        <w:rFonts w:cs="Arial"/>
        <w:strike/>
        <w:highlight w:val="lightGray"/>
      </w:rPr>
      <w:fldChar w:fldCharType="separate"/>
    </w:r>
    <w:r w:rsidRPr="007E07F8">
      <w:rPr>
        <w:rFonts w:cs="Arial"/>
        <w:strike/>
        <w:noProof/>
        <w:highlight w:val="lightGray"/>
      </w:rPr>
      <w:t>3</w:t>
    </w:r>
    <w:r w:rsidRPr="007E07F8">
      <w:rPr>
        <w:rFonts w:cs="Arial"/>
        <w:strike/>
        <w:highlight w:val="lightGray"/>
      </w:rPr>
      <w:fldChar w:fldCharType="end"/>
    </w:r>
  </w:p>
  <w:p w14:paraId="52616F51" w14:textId="77777777" w:rsidR="007E07F8" w:rsidRPr="00C61C6B" w:rsidRDefault="007E07F8">
    <w:pPr>
      <w:jc w:val="cente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947C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060B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147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7238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69211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9A13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58CE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65F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6C35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74FB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371D0"/>
    <w:multiLevelType w:val="multilevel"/>
    <w:tmpl w:val="D3C84D7C"/>
    <w:lvl w:ilvl="0">
      <w:start w:val="1"/>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0A5B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A285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F31C84"/>
    <w:multiLevelType w:val="hybridMultilevel"/>
    <w:tmpl w:val="A306CBA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2833C7A"/>
    <w:multiLevelType w:val="hybridMultilevel"/>
    <w:tmpl w:val="CC347F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2B377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7FB0F9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37332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2FF1FC1"/>
    <w:multiLevelType w:val="hybridMultilevel"/>
    <w:tmpl w:val="8DA0C3D8"/>
    <w:lvl w:ilvl="0" w:tplc="E8C4367C">
      <w:start w:val="1"/>
      <w:numFmt w:val="lowerRoman"/>
      <w:lvlText w:val="(%1)"/>
      <w:lvlJc w:val="left"/>
      <w:pPr>
        <w:tabs>
          <w:tab w:val="num" w:pos="3550"/>
        </w:tabs>
        <w:ind w:left="3550" w:hanging="1080"/>
      </w:pPr>
      <w:rPr>
        <w:rFonts w:hint="default"/>
      </w:rPr>
    </w:lvl>
    <w:lvl w:ilvl="1" w:tplc="04090019" w:tentative="1">
      <w:start w:val="1"/>
      <w:numFmt w:val="lowerLetter"/>
      <w:lvlText w:val="%2."/>
      <w:lvlJc w:val="left"/>
      <w:pPr>
        <w:tabs>
          <w:tab w:val="num" w:pos="3550"/>
        </w:tabs>
        <w:ind w:left="3550" w:hanging="360"/>
      </w:pPr>
    </w:lvl>
    <w:lvl w:ilvl="2" w:tplc="0409001B" w:tentative="1">
      <w:start w:val="1"/>
      <w:numFmt w:val="lowerRoman"/>
      <w:lvlText w:val="%3."/>
      <w:lvlJc w:val="right"/>
      <w:pPr>
        <w:tabs>
          <w:tab w:val="num" w:pos="4270"/>
        </w:tabs>
        <w:ind w:left="4270" w:hanging="180"/>
      </w:pPr>
    </w:lvl>
    <w:lvl w:ilvl="3" w:tplc="0409000F" w:tentative="1">
      <w:start w:val="1"/>
      <w:numFmt w:val="decimal"/>
      <w:lvlText w:val="%4."/>
      <w:lvlJc w:val="left"/>
      <w:pPr>
        <w:tabs>
          <w:tab w:val="num" w:pos="4990"/>
        </w:tabs>
        <w:ind w:left="4990" w:hanging="360"/>
      </w:pPr>
    </w:lvl>
    <w:lvl w:ilvl="4" w:tplc="04090019" w:tentative="1">
      <w:start w:val="1"/>
      <w:numFmt w:val="lowerLetter"/>
      <w:lvlText w:val="%5."/>
      <w:lvlJc w:val="left"/>
      <w:pPr>
        <w:tabs>
          <w:tab w:val="num" w:pos="5710"/>
        </w:tabs>
        <w:ind w:left="5710" w:hanging="360"/>
      </w:pPr>
    </w:lvl>
    <w:lvl w:ilvl="5" w:tplc="0409001B" w:tentative="1">
      <w:start w:val="1"/>
      <w:numFmt w:val="lowerRoman"/>
      <w:lvlText w:val="%6."/>
      <w:lvlJc w:val="right"/>
      <w:pPr>
        <w:tabs>
          <w:tab w:val="num" w:pos="6430"/>
        </w:tabs>
        <w:ind w:left="6430" w:hanging="180"/>
      </w:pPr>
    </w:lvl>
    <w:lvl w:ilvl="6" w:tplc="0409000F" w:tentative="1">
      <w:start w:val="1"/>
      <w:numFmt w:val="decimal"/>
      <w:lvlText w:val="%7."/>
      <w:lvlJc w:val="left"/>
      <w:pPr>
        <w:tabs>
          <w:tab w:val="num" w:pos="7150"/>
        </w:tabs>
        <w:ind w:left="7150" w:hanging="360"/>
      </w:pPr>
    </w:lvl>
    <w:lvl w:ilvl="7" w:tplc="04090019" w:tentative="1">
      <w:start w:val="1"/>
      <w:numFmt w:val="lowerLetter"/>
      <w:lvlText w:val="%8."/>
      <w:lvlJc w:val="left"/>
      <w:pPr>
        <w:tabs>
          <w:tab w:val="num" w:pos="7870"/>
        </w:tabs>
        <w:ind w:left="7870" w:hanging="360"/>
      </w:pPr>
    </w:lvl>
    <w:lvl w:ilvl="8" w:tplc="0409001B" w:tentative="1">
      <w:start w:val="1"/>
      <w:numFmt w:val="lowerRoman"/>
      <w:lvlText w:val="%9."/>
      <w:lvlJc w:val="right"/>
      <w:pPr>
        <w:tabs>
          <w:tab w:val="num" w:pos="8590"/>
        </w:tabs>
        <w:ind w:left="8590" w:hanging="180"/>
      </w:pPr>
    </w:lvl>
  </w:abstractNum>
  <w:abstractNum w:abstractNumId="20" w15:restartNumberingAfterBreak="0">
    <w:nsid w:val="6CFB2B96"/>
    <w:multiLevelType w:val="hybridMultilevel"/>
    <w:tmpl w:val="402A1E6A"/>
    <w:lvl w:ilvl="0" w:tplc="634AA75C">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16578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2335A2F"/>
    <w:multiLevelType w:val="hybridMultilevel"/>
    <w:tmpl w:val="0EBCA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B7533A"/>
    <w:multiLevelType w:val="hybridMultilevel"/>
    <w:tmpl w:val="D6168A2A"/>
    <w:lvl w:ilvl="0" w:tplc="DCEA9C3A">
      <w:start w:val="1"/>
      <w:numFmt w:val="lowerLetter"/>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4" w15:restartNumberingAfterBreak="0">
    <w:nsid w:val="7840709B"/>
    <w:multiLevelType w:val="singleLevel"/>
    <w:tmpl w:val="6BC4A006"/>
    <w:lvl w:ilvl="0">
      <w:start w:val="1"/>
      <w:numFmt w:val="decimal"/>
      <w:lvlText w:val="%1."/>
      <w:lvlJc w:val="left"/>
      <w:pPr>
        <w:tabs>
          <w:tab w:val="num" w:pos="705"/>
        </w:tabs>
        <w:ind w:left="705" w:hanging="705"/>
      </w:pPr>
      <w:rPr>
        <w:rFonts w:hint="default"/>
        <w:u w:val="none"/>
      </w:rPr>
    </w:lvl>
  </w:abstractNum>
  <w:num w:numId="1" w16cid:durableId="960960718">
    <w:abstractNumId w:val="12"/>
  </w:num>
  <w:num w:numId="2" w16cid:durableId="1711372200">
    <w:abstractNumId w:val="17"/>
  </w:num>
  <w:num w:numId="3" w16cid:durableId="1185556535">
    <w:abstractNumId w:val="16"/>
  </w:num>
  <w:num w:numId="4" w16cid:durableId="465926758">
    <w:abstractNumId w:val="21"/>
  </w:num>
  <w:num w:numId="5" w16cid:durableId="448203169">
    <w:abstractNumId w:val="13"/>
  </w:num>
  <w:num w:numId="6" w16cid:durableId="669335963">
    <w:abstractNumId w:val="18"/>
  </w:num>
  <w:num w:numId="7" w16cid:durableId="1283610138">
    <w:abstractNumId w:val="24"/>
  </w:num>
  <w:num w:numId="8" w16cid:durableId="1983532482">
    <w:abstractNumId w:val="10"/>
  </w:num>
  <w:num w:numId="9" w16cid:durableId="1039742131">
    <w:abstractNumId w:val="9"/>
  </w:num>
  <w:num w:numId="10" w16cid:durableId="298847936">
    <w:abstractNumId w:val="7"/>
  </w:num>
  <w:num w:numId="11" w16cid:durableId="1948805158">
    <w:abstractNumId w:val="6"/>
  </w:num>
  <w:num w:numId="12" w16cid:durableId="807935226">
    <w:abstractNumId w:val="5"/>
  </w:num>
  <w:num w:numId="13" w16cid:durableId="297877033">
    <w:abstractNumId w:val="4"/>
  </w:num>
  <w:num w:numId="14" w16cid:durableId="560604489">
    <w:abstractNumId w:val="8"/>
  </w:num>
  <w:num w:numId="15" w16cid:durableId="2132435379">
    <w:abstractNumId w:val="3"/>
  </w:num>
  <w:num w:numId="16" w16cid:durableId="1566841591">
    <w:abstractNumId w:val="2"/>
  </w:num>
  <w:num w:numId="17" w16cid:durableId="1060979435">
    <w:abstractNumId w:val="1"/>
  </w:num>
  <w:num w:numId="18" w16cid:durableId="2110463565">
    <w:abstractNumId w:val="0"/>
  </w:num>
  <w:num w:numId="19" w16cid:durableId="814565858">
    <w:abstractNumId w:val="19"/>
  </w:num>
  <w:num w:numId="20" w16cid:durableId="1560823976">
    <w:abstractNumId w:val="15"/>
  </w:num>
  <w:num w:numId="21" w16cid:durableId="1921139539">
    <w:abstractNumId w:val="22"/>
  </w:num>
  <w:num w:numId="22" w16cid:durableId="1975672250">
    <w:abstractNumId w:val="23"/>
  </w:num>
  <w:num w:numId="23" w16cid:durableId="702629218">
    <w:abstractNumId w:val="20"/>
  </w:num>
  <w:num w:numId="24" w16cid:durableId="1802335823">
    <w:abstractNumId w:val="11"/>
  </w:num>
  <w:num w:numId="25" w16cid:durableId="5327700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C24"/>
    <w:rsid w:val="00000CB9"/>
    <w:rsid w:val="00002B6A"/>
    <w:rsid w:val="0000443F"/>
    <w:rsid w:val="000044B5"/>
    <w:rsid w:val="00010CF3"/>
    <w:rsid w:val="00011E27"/>
    <w:rsid w:val="000148BC"/>
    <w:rsid w:val="00021037"/>
    <w:rsid w:val="00024909"/>
    <w:rsid w:val="00024AB8"/>
    <w:rsid w:val="00030854"/>
    <w:rsid w:val="00030E5D"/>
    <w:rsid w:val="00036028"/>
    <w:rsid w:val="00037F34"/>
    <w:rsid w:val="00043485"/>
    <w:rsid w:val="00043EF1"/>
    <w:rsid w:val="00044642"/>
    <w:rsid w:val="000446B9"/>
    <w:rsid w:val="000449F0"/>
    <w:rsid w:val="000456A0"/>
    <w:rsid w:val="00047D7F"/>
    <w:rsid w:val="00047E21"/>
    <w:rsid w:val="0006248B"/>
    <w:rsid w:val="00063D11"/>
    <w:rsid w:val="000671EE"/>
    <w:rsid w:val="0007288C"/>
    <w:rsid w:val="00073466"/>
    <w:rsid w:val="0007356B"/>
    <w:rsid w:val="00076918"/>
    <w:rsid w:val="00080A8D"/>
    <w:rsid w:val="00085052"/>
    <w:rsid w:val="00085505"/>
    <w:rsid w:val="00085A45"/>
    <w:rsid w:val="00091A19"/>
    <w:rsid w:val="00092A8A"/>
    <w:rsid w:val="00094E01"/>
    <w:rsid w:val="0009590A"/>
    <w:rsid w:val="00097E65"/>
    <w:rsid w:val="00097F5E"/>
    <w:rsid w:val="000A04B8"/>
    <w:rsid w:val="000A1E07"/>
    <w:rsid w:val="000A4427"/>
    <w:rsid w:val="000A68B4"/>
    <w:rsid w:val="000A70B0"/>
    <w:rsid w:val="000B03A2"/>
    <w:rsid w:val="000B2492"/>
    <w:rsid w:val="000C46ED"/>
    <w:rsid w:val="000C7021"/>
    <w:rsid w:val="000D268A"/>
    <w:rsid w:val="000D2FFC"/>
    <w:rsid w:val="000D528D"/>
    <w:rsid w:val="000D551C"/>
    <w:rsid w:val="000D647D"/>
    <w:rsid w:val="000D6BBC"/>
    <w:rsid w:val="000D7780"/>
    <w:rsid w:val="000E1FD1"/>
    <w:rsid w:val="000F04AF"/>
    <w:rsid w:val="000F413B"/>
    <w:rsid w:val="000F647B"/>
    <w:rsid w:val="000F7A18"/>
    <w:rsid w:val="0010207D"/>
    <w:rsid w:val="00104C61"/>
    <w:rsid w:val="00105929"/>
    <w:rsid w:val="00110CAE"/>
    <w:rsid w:val="001117A4"/>
    <w:rsid w:val="00111C13"/>
    <w:rsid w:val="001131D5"/>
    <w:rsid w:val="00117F5F"/>
    <w:rsid w:val="00126FB6"/>
    <w:rsid w:val="00130D68"/>
    <w:rsid w:val="00132E0B"/>
    <w:rsid w:val="00141DB8"/>
    <w:rsid w:val="0014260E"/>
    <w:rsid w:val="00151CB4"/>
    <w:rsid w:val="0015579B"/>
    <w:rsid w:val="0015599C"/>
    <w:rsid w:val="00163742"/>
    <w:rsid w:val="00167822"/>
    <w:rsid w:val="00172984"/>
    <w:rsid w:val="0017474A"/>
    <w:rsid w:val="00175876"/>
    <w:rsid w:val="001758C6"/>
    <w:rsid w:val="00175960"/>
    <w:rsid w:val="00177FA1"/>
    <w:rsid w:val="0018017C"/>
    <w:rsid w:val="00182B99"/>
    <w:rsid w:val="001847F8"/>
    <w:rsid w:val="0019611A"/>
    <w:rsid w:val="001A0AA6"/>
    <w:rsid w:val="001A13C4"/>
    <w:rsid w:val="001A344A"/>
    <w:rsid w:val="001A6338"/>
    <w:rsid w:val="001B40EE"/>
    <w:rsid w:val="001B5948"/>
    <w:rsid w:val="001C1A11"/>
    <w:rsid w:val="001C30BB"/>
    <w:rsid w:val="001D292B"/>
    <w:rsid w:val="001D5938"/>
    <w:rsid w:val="001D6281"/>
    <w:rsid w:val="001D7208"/>
    <w:rsid w:val="001E3B46"/>
    <w:rsid w:val="001E7CA6"/>
    <w:rsid w:val="001F202B"/>
    <w:rsid w:val="001F62AE"/>
    <w:rsid w:val="0020017F"/>
    <w:rsid w:val="002003D8"/>
    <w:rsid w:val="002029C6"/>
    <w:rsid w:val="00207199"/>
    <w:rsid w:val="0021332C"/>
    <w:rsid w:val="00213982"/>
    <w:rsid w:val="00214587"/>
    <w:rsid w:val="0021545B"/>
    <w:rsid w:val="002178C8"/>
    <w:rsid w:val="00220F2E"/>
    <w:rsid w:val="002216C4"/>
    <w:rsid w:val="00221C2C"/>
    <w:rsid w:val="00223239"/>
    <w:rsid w:val="00224498"/>
    <w:rsid w:val="00227397"/>
    <w:rsid w:val="0023189C"/>
    <w:rsid w:val="00233156"/>
    <w:rsid w:val="00236DE2"/>
    <w:rsid w:val="00237965"/>
    <w:rsid w:val="002406AD"/>
    <w:rsid w:val="0024416D"/>
    <w:rsid w:val="0024623A"/>
    <w:rsid w:val="002522ED"/>
    <w:rsid w:val="00252F7A"/>
    <w:rsid w:val="002539A2"/>
    <w:rsid w:val="0026205B"/>
    <w:rsid w:val="00263EC0"/>
    <w:rsid w:val="0026729D"/>
    <w:rsid w:val="00267B7B"/>
    <w:rsid w:val="00270019"/>
    <w:rsid w:val="002741F7"/>
    <w:rsid w:val="00274294"/>
    <w:rsid w:val="00277A4C"/>
    <w:rsid w:val="002800A0"/>
    <w:rsid w:val="002801B3"/>
    <w:rsid w:val="00281060"/>
    <w:rsid w:val="002852D1"/>
    <w:rsid w:val="002853F5"/>
    <w:rsid w:val="00286ABE"/>
    <w:rsid w:val="00293DD2"/>
    <w:rsid w:val="00294032"/>
    <w:rsid w:val="002940E8"/>
    <w:rsid w:val="002A6E50"/>
    <w:rsid w:val="002B14BC"/>
    <w:rsid w:val="002B43DD"/>
    <w:rsid w:val="002C256A"/>
    <w:rsid w:val="002C432E"/>
    <w:rsid w:val="002C4789"/>
    <w:rsid w:val="002C5E5D"/>
    <w:rsid w:val="002D1B00"/>
    <w:rsid w:val="002D71F4"/>
    <w:rsid w:val="002E0195"/>
    <w:rsid w:val="002E4023"/>
    <w:rsid w:val="002F1FC3"/>
    <w:rsid w:val="002F245E"/>
    <w:rsid w:val="002F3FCF"/>
    <w:rsid w:val="002F519B"/>
    <w:rsid w:val="002F6472"/>
    <w:rsid w:val="002F6C61"/>
    <w:rsid w:val="002F7F64"/>
    <w:rsid w:val="0030140A"/>
    <w:rsid w:val="00305A7F"/>
    <w:rsid w:val="00306C98"/>
    <w:rsid w:val="003152FE"/>
    <w:rsid w:val="0031534C"/>
    <w:rsid w:val="00315481"/>
    <w:rsid w:val="0031569D"/>
    <w:rsid w:val="00315888"/>
    <w:rsid w:val="0032649B"/>
    <w:rsid w:val="003273FC"/>
    <w:rsid w:val="00327436"/>
    <w:rsid w:val="00332177"/>
    <w:rsid w:val="003347E4"/>
    <w:rsid w:val="00334D2A"/>
    <w:rsid w:val="00344BD6"/>
    <w:rsid w:val="003544E6"/>
    <w:rsid w:val="0035528D"/>
    <w:rsid w:val="0036046C"/>
    <w:rsid w:val="00361821"/>
    <w:rsid w:val="00361EB5"/>
    <w:rsid w:val="00365765"/>
    <w:rsid w:val="00365BB2"/>
    <w:rsid w:val="00370355"/>
    <w:rsid w:val="00381161"/>
    <w:rsid w:val="0038194A"/>
    <w:rsid w:val="003821A0"/>
    <w:rsid w:val="00384E18"/>
    <w:rsid w:val="00386371"/>
    <w:rsid w:val="0038670F"/>
    <w:rsid w:val="003A0212"/>
    <w:rsid w:val="003A0B4E"/>
    <w:rsid w:val="003A1187"/>
    <w:rsid w:val="003A3AD2"/>
    <w:rsid w:val="003A4469"/>
    <w:rsid w:val="003A7DE4"/>
    <w:rsid w:val="003B027E"/>
    <w:rsid w:val="003B3258"/>
    <w:rsid w:val="003D097B"/>
    <w:rsid w:val="003D227C"/>
    <w:rsid w:val="003D2B4D"/>
    <w:rsid w:val="003D4BA0"/>
    <w:rsid w:val="003D4DF5"/>
    <w:rsid w:val="003D54D5"/>
    <w:rsid w:val="003D5873"/>
    <w:rsid w:val="003E00E4"/>
    <w:rsid w:val="003E1C24"/>
    <w:rsid w:val="003E24A1"/>
    <w:rsid w:val="003E4CA3"/>
    <w:rsid w:val="003E7E58"/>
    <w:rsid w:val="003F29C8"/>
    <w:rsid w:val="00403D56"/>
    <w:rsid w:val="00406356"/>
    <w:rsid w:val="00420F50"/>
    <w:rsid w:val="00423762"/>
    <w:rsid w:val="004310B2"/>
    <w:rsid w:val="0043571A"/>
    <w:rsid w:val="0044051F"/>
    <w:rsid w:val="0044135C"/>
    <w:rsid w:val="00441894"/>
    <w:rsid w:val="00444A88"/>
    <w:rsid w:val="00445188"/>
    <w:rsid w:val="00445C1E"/>
    <w:rsid w:val="00451574"/>
    <w:rsid w:val="004552E5"/>
    <w:rsid w:val="00456626"/>
    <w:rsid w:val="00472F4E"/>
    <w:rsid w:val="00474DA4"/>
    <w:rsid w:val="00476B4D"/>
    <w:rsid w:val="004805FA"/>
    <w:rsid w:val="00482BCB"/>
    <w:rsid w:val="00483F49"/>
    <w:rsid w:val="00487237"/>
    <w:rsid w:val="00487EEC"/>
    <w:rsid w:val="004900C2"/>
    <w:rsid w:val="00494CA3"/>
    <w:rsid w:val="004A2DA0"/>
    <w:rsid w:val="004A5BAE"/>
    <w:rsid w:val="004A7B14"/>
    <w:rsid w:val="004C30E2"/>
    <w:rsid w:val="004C4766"/>
    <w:rsid w:val="004D047D"/>
    <w:rsid w:val="004E4D85"/>
    <w:rsid w:val="004F1F27"/>
    <w:rsid w:val="004F305A"/>
    <w:rsid w:val="004F416D"/>
    <w:rsid w:val="004F74E9"/>
    <w:rsid w:val="00500358"/>
    <w:rsid w:val="00500B9A"/>
    <w:rsid w:val="00501C91"/>
    <w:rsid w:val="00504662"/>
    <w:rsid w:val="00507AF5"/>
    <w:rsid w:val="00511B51"/>
    <w:rsid w:val="00512164"/>
    <w:rsid w:val="00520297"/>
    <w:rsid w:val="00520567"/>
    <w:rsid w:val="00524276"/>
    <w:rsid w:val="005338F9"/>
    <w:rsid w:val="00537DDF"/>
    <w:rsid w:val="005406E7"/>
    <w:rsid w:val="0054281C"/>
    <w:rsid w:val="00543C85"/>
    <w:rsid w:val="00550F26"/>
    <w:rsid w:val="005513D8"/>
    <w:rsid w:val="0055268D"/>
    <w:rsid w:val="00552861"/>
    <w:rsid w:val="00555BB3"/>
    <w:rsid w:val="0056212E"/>
    <w:rsid w:val="00566585"/>
    <w:rsid w:val="00570002"/>
    <w:rsid w:val="00572D60"/>
    <w:rsid w:val="00576BE4"/>
    <w:rsid w:val="00576FBC"/>
    <w:rsid w:val="00580E99"/>
    <w:rsid w:val="00582EE2"/>
    <w:rsid w:val="00587F36"/>
    <w:rsid w:val="005966EE"/>
    <w:rsid w:val="005A3FBE"/>
    <w:rsid w:val="005A400A"/>
    <w:rsid w:val="005B1550"/>
    <w:rsid w:val="005B4228"/>
    <w:rsid w:val="005D0ECE"/>
    <w:rsid w:val="005D704F"/>
    <w:rsid w:val="005E2477"/>
    <w:rsid w:val="005F05B6"/>
    <w:rsid w:val="005F2A50"/>
    <w:rsid w:val="005F2C30"/>
    <w:rsid w:val="005F385A"/>
    <w:rsid w:val="006000D3"/>
    <w:rsid w:val="0060056B"/>
    <w:rsid w:val="00612379"/>
    <w:rsid w:val="006131EC"/>
    <w:rsid w:val="00613998"/>
    <w:rsid w:val="006140CE"/>
    <w:rsid w:val="00614723"/>
    <w:rsid w:val="0061555F"/>
    <w:rsid w:val="006208E8"/>
    <w:rsid w:val="00621C0E"/>
    <w:rsid w:val="00624019"/>
    <w:rsid w:val="0062476F"/>
    <w:rsid w:val="00632C1F"/>
    <w:rsid w:val="0064102C"/>
    <w:rsid w:val="00641200"/>
    <w:rsid w:val="0064276D"/>
    <w:rsid w:val="00644FD6"/>
    <w:rsid w:val="00645124"/>
    <w:rsid w:val="00646C7D"/>
    <w:rsid w:val="00647496"/>
    <w:rsid w:val="00647749"/>
    <w:rsid w:val="00650CD4"/>
    <w:rsid w:val="00650FF7"/>
    <w:rsid w:val="006521C0"/>
    <w:rsid w:val="00652623"/>
    <w:rsid w:val="00655B90"/>
    <w:rsid w:val="00656665"/>
    <w:rsid w:val="0065781E"/>
    <w:rsid w:val="00657DE2"/>
    <w:rsid w:val="00664587"/>
    <w:rsid w:val="006655D3"/>
    <w:rsid w:val="00676455"/>
    <w:rsid w:val="00677241"/>
    <w:rsid w:val="006777EF"/>
    <w:rsid w:val="00680E54"/>
    <w:rsid w:val="00681D2B"/>
    <w:rsid w:val="006847C8"/>
    <w:rsid w:val="006878A9"/>
    <w:rsid w:val="00687EB4"/>
    <w:rsid w:val="00691A9A"/>
    <w:rsid w:val="00694BE3"/>
    <w:rsid w:val="00695D2D"/>
    <w:rsid w:val="0069668B"/>
    <w:rsid w:val="00696DE1"/>
    <w:rsid w:val="006B17D2"/>
    <w:rsid w:val="006B4BD0"/>
    <w:rsid w:val="006B6BE3"/>
    <w:rsid w:val="006B7CF6"/>
    <w:rsid w:val="006C224E"/>
    <w:rsid w:val="006C4C00"/>
    <w:rsid w:val="006C52E3"/>
    <w:rsid w:val="006D4692"/>
    <w:rsid w:val="006D780A"/>
    <w:rsid w:val="006E3A97"/>
    <w:rsid w:val="006E4913"/>
    <w:rsid w:val="006E5781"/>
    <w:rsid w:val="006F55C4"/>
    <w:rsid w:val="006F64A6"/>
    <w:rsid w:val="006F67E1"/>
    <w:rsid w:val="00700ABF"/>
    <w:rsid w:val="00701D1A"/>
    <w:rsid w:val="007113FE"/>
    <w:rsid w:val="007227DB"/>
    <w:rsid w:val="00722BA8"/>
    <w:rsid w:val="007244CD"/>
    <w:rsid w:val="00732DEC"/>
    <w:rsid w:val="00735BD5"/>
    <w:rsid w:val="00741D8B"/>
    <w:rsid w:val="00744B92"/>
    <w:rsid w:val="007556F6"/>
    <w:rsid w:val="007567A7"/>
    <w:rsid w:val="007603D1"/>
    <w:rsid w:val="00760EEF"/>
    <w:rsid w:val="0076106B"/>
    <w:rsid w:val="00770EF2"/>
    <w:rsid w:val="00777956"/>
    <w:rsid w:val="00777EE5"/>
    <w:rsid w:val="00780F3A"/>
    <w:rsid w:val="007811C0"/>
    <w:rsid w:val="007812D8"/>
    <w:rsid w:val="00781481"/>
    <w:rsid w:val="00783D10"/>
    <w:rsid w:val="00784836"/>
    <w:rsid w:val="00784E02"/>
    <w:rsid w:val="0079023E"/>
    <w:rsid w:val="00795A78"/>
    <w:rsid w:val="00797A76"/>
    <w:rsid w:val="007A1988"/>
    <w:rsid w:val="007A1E0E"/>
    <w:rsid w:val="007A2854"/>
    <w:rsid w:val="007A2E2F"/>
    <w:rsid w:val="007A3C0F"/>
    <w:rsid w:val="007A54DE"/>
    <w:rsid w:val="007C5A0C"/>
    <w:rsid w:val="007C6C7D"/>
    <w:rsid w:val="007D0B9D"/>
    <w:rsid w:val="007D19B0"/>
    <w:rsid w:val="007D2474"/>
    <w:rsid w:val="007E07F8"/>
    <w:rsid w:val="007E083D"/>
    <w:rsid w:val="007E0874"/>
    <w:rsid w:val="007E71B5"/>
    <w:rsid w:val="007E7588"/>
    <w:rsid w:val="007F03AD"/>
    <w:rsid w:val="007F0967"/>
    <w:rsid w:val="007F498F"/>
    <w:rsid w:val="00801B14"/>
    <w:rsid w:val="00804596"/>
    <w:rsid w:val="00804A0D"/>
    <w:rsid w:val="00804A76"/>
    <w:rsid w:val="0080679D"/>
    <w:rsid w:val="0080753E"/>
    <w:rsid w:val="008108B0"/>
    <w:rsid w:val="00811B20"/>
    <w:rsid w:val="00814EF9"/>
    <w:rsid w:val="008157B2"/>
    <w:rsid w:val="00817F66"/>
    <w:rsid w:val="0082296E"/>
    <w:rsid w:val="00823652"/>
    <w:rsid w:val="00824099"/>
    <w:rsid w:val="00826027"/>
    <w:rsid w:val="00827A72"/>
    <w:rsid w:val="00833607"/>
    <w:rsid w:val="0083795D"/>
    <w:rsid w:val="00840A65"/>
    <w:rsid w:val="0084342F"/>
    <w:rsid w:val="00852307"/>
    <w:rsid w:val="00860D33"/>
    <w:rsid w:val="00860D83"/>
    <w:rsid w:val="008633C4"/>
    <w:rsid w:val="0086442B"/>
    <w:rsid w:val="00866F5B"/>
    <w:rsid w:val="00867AC1"/>
    <w:rsid w:val="00867B90"/>
    <w:rsid w:val="0087038C"/>
    <w:rsid w:val="0087470A"/>
    <w:rsid w:val="00876655"/>
    <w:rsid w:val="008810C9"/>
    <w:rsid w:val="00883C40"/>
    <w:rsid w:val="00883D93"/>
    <w:rsid w:val="0088754C"/>
    <w:rsid w:val="00892053"/>
    <w:rsid w:val="008922C9"/>
    <w:rsid w:val="00895017"/>
    <w:rsid w:val="00896810"/>
    <w:rsid w:val="00896D04"/>
    <w:rsid w:val="008A170E"/>
    <w:rsid w:val="008A2C6F"/>
    <w:rsid w:val="008A46E5"/>
    <w:rsid w:val="008A4DF1"/>
    <w:rsid w:val="008A5258"/>
    <w:rsid w:val="008A743F"/>
    <w:rsid w:val="008B64FB"/>
    <w:rsid w:val="008B75DB"/>
    <w:rsid w:val="008C0970"/>
    <w:rsid w:val="008C43CA"/>
    <w:rsid w:val="008C59AE"/>
    <w:rsid w:val="008C5A23"/>
    <w:rsid w:val="008C77DD"/>
    <w:rsid w:val="008D07A0"/>
    <w:rsid w:val="008D14E8"/>
    <w:rsid w:val="008D2CF7"/>
    <w:rsid w:val="008D36D9"/>
    <w:rsid w:val="008D6917"/>
    <w:rsid w:val="008E0BE7"/>
    <w:rsid w:val="008E1599"/>
    <w:rsid w:val="008F043B"/>
    <w:rsid w:val="008F0487"/>
    <w:rsid w:val="008F4739"/>
    <w:rsid w:val="008F4EE1"/>
    <w:rsid w:val="00900C26"/>
    <w:rsid w:val="0090197F"/>
    <w:rsid w:val="00901A3F"/>
    <w:rsid w:val="009030FC"/>
    <w:rsid w:val="00905926"/>
    <w:rsid w:val="00905CC6"/>
    <w:rsid w:val="00906DD5"/>
    <w:rsid w:val="00906DDC"/>
    <w:rsid w:val="0091205B"/>
    <w:rsid w:val="00913E07"/>
    <w:rsid w:val="009146DE"/>
    <w:rsid w:val="00915498"/>
    <w:rsid w:val="00916272"/>
    <w:rsid w:val="0092029E"/>
    <w:rsid w:val="0092080C"/>
    <w:rsid w:val="00923507"/>
    <w:rsid w:val="00924B07"/>
    <w:rsid w:val="0093152F"/>
    <w:rsid w:val="00932F4A"/>
    <w:rsid w:val="00934E09"/>
    <w:rsid w:val="0093565C"/>
    <w:rsid w:val="00936253"/>
    <w:rsid w:val="009362C5"/>
    <w:rsid w:val="009420B5"/>
    <w:rsid w:val="00944D7B"/>
    <w:rsid w:val="00946283"/>
    <w:rsid w:val="00947E51"/>
    <w:rsid w:val="00952DD4"/>
    <w:rsid w:val="00953021"/>
    <w:rsid w:val="009545F8"/>
    <w:rsid w:val="00960B9C"/>
    <w:rsid w:val="0096342F"/>
    <w:rsid w:val="00964611"/>
    <w:rsid w:val="0096477D"/>
    <w:rsid w:val="00965428"/>
    <w:rsid w:val="00970FED"/>
    <w:rsid w:val="00971630"/>
    <w:rsid w:val="009728E1"/>
    <w:rsid w:val="00973275"/>
    <w:rsid w:val="00973CBA"/>
    <w:rsid w:val="009750FB"/>
    <w:rsid w:val="00982475"/>
    <w:rsid w:val="00984926"/>
    <w:rsid w:val="0098498A"/>
    <w:rsid w:val="00984F7B"/>
    <w:rsid w:val="00986A34"/>
    <w:rsid w:val="00993CE3"/>
    <w:rsid w:val="00995131"/>
    <w:rsid w:val="00997029"/>
    <w:rsid w:val="00997362"/>
    <w:rsid w:val="0099781E"/>
    <w:rsid w:val="009A2544"/>
    <w:rsid w:val="009A2D8D"/>
    <w:rsid w:val="009A3585"/>
    <w:rsid w:val="009B49EB"/>
    <w:rsid w:val="009B7609"/>
    <w:rsid w:val="009C29CF"/>
    <w:rsid w:val="009C3D8F"/>
    <w:rsid w:val="009C7BDA"/>
    <w:rsid w:val="009D0931"/>
    <w:rsid w:val="009D38DC"/>
    <w:rsid w:val="009D5DCF"/>
    <w:rsid w:val="009D690D"/>
    <w:rsid w:val="009E22C7"/>
    <w:rsid w:val="009E65B6"/>
    <w:rsid w:val="009F0D5B"/>
    <w:rsid w:val="009F2C4A"/>
    <w:rsid w:val="009F3920"/>
    <w:rsid w:val="00A035AF"/>
    <w:rsid w:val="00A0456E"/>
    <w:rsid w:val="00A07606"/>
    <w:rsid w:val="00A07DBE"/>
    <w:rsid w:val="00A11763"/>
    <w:rsid w:val="00A14082"/>
    <w:rsid w:val="00A20215"/>
    <w:rsid w:val="00A22AC2"/>
    <w:rsid w:val="00A25E6C"/>
    <w:rsid w:val="00A26568"/>
    <w:rsid w:val="00A42666"/>
    <w:rsid w:val="00A42AC3"/>
    <w:rsid w:val="00A430CF"/>
    <w:rsid w:val="00A518B7"/>
    <w:rsid w:val="00A5386A"/>
    <w:rsid w:val="00A54309"/>
    <w:rsid w:val="00A631A8"/>
    <w:rsid w:val="00A631DB"/>
    <w:rsid w:val="00A647FE"/>
    <w:rsid w:val="00A7257E"/>
    <w:rsid w:val="00A7385B"/>
    <w:rsid w:val="00A750FD"/>
    <w:rsid w:val="00A75746"/>
    <w:rsid w:val="00A76776"/>
    <w:rsid w:val="00A77192"/>
    <w:rsid w:val="00A844F7"/>
    <w:rsid w:val="00A925F9"/>
    <w:rsid w:val="00A92668"/>
    <w:rsid w:val="00A92677"/>
    <w:rsid w:val="00A92D6A"/>
    <w:rsid w:val="00A95BAF"/>
    <w:rsid w:val="00AB0DB3"/>
    <w:rsid w:val="00AB2B93"/>
    <w:rsid w:val="00AB3E7A"/>
    <w:rsid w:val="00AB3EDA"/>
    <w:rsid w:val="00AB47F6"/>
    <w:rsid w:val="00AB4CCF"/>
    <w:rsid w:val="00AB5028"/>
    <w:rsid w:val="00AB70E1"/>
    <w:rsid w:val="00AB7E5B"/>
    <w:rsid w:val="00AC2836"/>
    <w:rsid w:val="00AC57D1"/>
    <w:rsid w:val="00AD4B61"/>
    <w:rsid w:val="00AD789A"/>
    <w:rsid w:val="00AD79FF"/>
    <w:rsid w:val="00AE0EF1"/>
    <w:rsid w:val="00AE1A44"/>
    <w:rsid w:val="00AE1D0A"/>
    <w:rsid w:val="00AE2937"/>
    <w:rsid w:val="00AE3273"/>
    <w:rsid w:val="00AE3B95"/>
    <w:rsid w:val="00AF01FB"/>
    <w:rsid w:val="00AF06A8"/>
    <w:rsid w:val="00AF3FAE"/>
    <w:rsid w:val="00AF428C"/>
    <w:rsid w:val="00AF510E"/>
    <w:rsid w:val="00B07301"/>
    <w:rsid w:val="00B1160E"/>
    <w:rsid w:val="00B20179"/>
    <w:rsid w:val="00B20E7C"/>
    <w:rsid w:val="00B224DE"/>
    <w:rsid w:val="00B24C08"/>
    <w:rsid w:val="00B2678C"/>
    <w:rsid w:val="00B268AB"/>
    <w:rsid w:val="00B26D2A"/>
    <w:rsid w:val="00B33333"/>
    <w:rsid w:val="00B41A7D"/>
    <w:rsid w:val="00B43A23"/>
    <w:rsid w:val="00B46575"/>
    <w:rsid w:val="00B525F1"/>
    <w:rsid w:val="00B60930"/>
    <w:rsid w:val="00B621F3"/>
    <w:rsid w:val="00B6238F"/>
    <w:rsid w:val="00B6263B"/>
    <w:rsid w:val="00B65738"/>
    <w:rsid w:val="00B84B82"/>
    <w:rsid w:val="00B84BBD"/>
    <w:rsid w:val="00B95EE4"/>
    <w:rsid w:val="00B9606E"/>
    <w:rsid w:val="00B97959"/>
    <w:rsid w:val="00BA3E07"/>
    <w:rsid w:val="00BA43FB"/>
    <w:rsid w:val="00BA446E"/>
    <w:rsid w:val="00BA6BD5"/>
    <w:rsid w:val="00BB41C2"/>
    <w:rsid w:val="00BC127D"/>
    <w:rsid w:val="00BC1FE6"/>
    <w:rsid w:val="00BD288D"/>
    <w:rsid w:val="00BD4C45"/>
    <w:rsid w:val="00BE2221"/>
    <w:rsid w:val="00BE3D62"/>
    <w:rsid w:val="00BE3F1F"/>
    <w:rsid w:val="00BE4D76"/>
    <w:rsid w:val="00BE4EF2"/>
    <w:rsid w:val="00BF0CCC"/>
    <w:rsid w:val="00BF22ED"/>
    <w:rsid w:val="00BF535D"/>
    <w:rsid w:val="00BF7754"/>
    <w:rsid w:val="00C00575"/>
    <w:rsid w:val="00C02E35"/>
    <w:rsid w:val="00C05F97"/>
    <w:rsid w:val="00C061B6"/>
    <w:rsid w:val="00C13749"/>
    <w:rsid w:val="00C1657F"/>
    <w:rsid w:val="00C177F3"/>
    <w:rsid w:val="00C20236"/>
    <w:rsid w:val="00C22F7C"/>
    <w:rsid w:val="00C2446C"/>
    <w:rsid w:val="00C27926"/>
    <w:rsid w:val="00C323D0"/>
    <w:rsid w:val="00C344D7"/>
    <w:rsid w:val="00C3548A"/>
    <w:rsid w:val="00C36AE5"/>
    <w:rsid w:val="00C37908"/>
    <w:rsid w:val="00C415D7"/>
    <w:rsid w:val="00C41F17"/>
    <w:rsid w:val="00C47385"/>
    <w:rsid w:val="00C517C6"/>
    <w:rsid w:val="00C51D44"/>
    <w:rsid w:val="00C5280D"/>
    <w:rsid w:val="00C5337B"/>
    <w:rsid w:val="00C5791C"/>
    <w:rsid w:val="00C65583"/>
    <w:rsid w:val="00C66290"/>
    <w:rsid w:val="00C676CA"/>
    <w:rsid w:val="00C72B7A"/>
    <w:rsid w:val="00C74757"/>
    <w:rsid w:val="00C77C32"/>
    <w:rsid w:val="00C8017C"/>
    <w:rsid w:val="00C81327"/>
    <w:rsid w:val="00C81842"/>
    <w:rsid w:val="00C91F34"/>
    <w:rsid w:val="00C96814"/>
    <w:rsid w:val="00C973F2"/>
    <w:rsid w:val="00CA304C"/>
    <w:rsid w:val="00CA774A"/>
    <w:rsid w:val="00CB1354"/>
    <w:rsid w:val="00CB79FE"/>
    <w:rsid w:val="00CB7DBB"/>
    <w:rsid w:val="00CC1049"/>
    <w:rsid w:val="00CC11B0"/>
    <w:rsid w:val="00CC51D2"/>
    <w:rsid w:val="00CD1382"/>
    <w:rsid w:val="00CD39C3"/>
    <w:rsid w:val="00CD4D3B"/>
    <w:rsid w:val="00CD5B0C"/>
    <w:rsid w:val="00CD7B1A"/>
    <w:rsid w:val="00CF4869"/>
    <w:rsid w:val="00CF7E36"/>
    <w:rsid w:val="00D01647"/>
    <w:rsid w:val="00D017AD"/>
    <w:rsid w:val="00D06C97"/>
    <w:rsid w:val="00D13554"/>
    <w:rsid w:val="00D2458E"/>
    <w:rsid w:val="00D35D5C"/>
    <w:rsid w:val="00D3642B"/>
    <w:rsid w:val="00D3659E"/>
    <w:rsid w:val="00D3708D"/>
    <w:rsid w:val="00D40426"/>
    <w:rsid w:val="00D46488"/>
    <w:rsid w:val="00D46AD7"/>
    <w:rsid w:val="00D477B4"/>
    <w:rsid w:val="00D527D3"/>
    <w:rsid w:val="00D55FD2"/>
    <w:rsid w:val="00D57502"/>
    <w:rsid w:val="00D57C96"/>
    <w:rsid w:val="00D57FA0"/>
    <w:rsid w:val="00D6061A"/>
    <w:rsid w:val="00D608A0"/>
    <w:rsid w:val="00D70948"/>
    <w:rsid w:val="00D769D1"/>
    <w:rsid w:val="00D76EF9"/>
    <w:rsid w:val="00D77A63"/>
    <w:rsid w:val="00D8383E"/>
    <w:rsid w:val="00D91203"/>
    <w:rsid w:val="00D93BFC"/>
    <w:rsid w:val="00D940C6"/>
    <w:rsid w:val="00D94FFB"/>
    <w:rsid w:val="00D95174"/>
    <w:rsid w:val="00DA3175"/>
    <w:rsid w:val="00DA62E4"/>
    <w:rsid w:val="00DA6F36"/>
    <w:rsid w:val="00DA7A91"/>
    <w:rsid w:val="00DB4134"/>
    <w:rsid w:val="00DB596E"/>
    <w:rsid w:val="00DC00EA"/>
    <w:rsid w:val="00DC1697"/>
    <w:rsid w:val="00DD1507"/>
    <w:rsid w:val="00DD2EF9"/>
    <w:rsid w:val="00DD4F7D"/>
    <w:rsid w:val="00DD5008"/>
    <w:rsid w:val="00DE0EFA"/>
    <w:rsid w:val="00DF246E"/>
    <w:rsid w:val="00E01E8D"/>
    <w:rsid w:val="00E03AB8"/>
    <w:rsid w:val="00E14C06"/>
    <w:rsid w:val="00E20723"/>
    <w:rsid w:val="00E306B7"/>
    <w:rsid w:val="00E32F7E"/>
    <w:rsid w:val="00E3312D"/>
    <w:rsid w:val="00E360ED"/>
    <w:rsid w:val="00E36B2A"/>
    <w:rsid w:val="00E432B4"/>
    <w:rsid w:val="00E44B9D"/>
    <w:rsid w:val="00E5324E"/>
    <w:rsid w:val="00E61389"/>
    <w:rsid w:val="00E64CC9"/>
    <w:rsid w:val="00E71BFC"/>
    <w:rsid w:val="00E72D49"/>
    <w:rsid w:val="00E74DED"/>
    <w:rsid w:val="00E7593C"/>
    <w:rsid w:val="00E7678A"/>
    <w:rsid w:val="00E767C2"/>
    <w:rsid w:val="00E83DC6"/>
    <w:rsid w:val="00E91AF0"/>
    <w:rsid w:val="00E935F1"/>
    <w:rsid w:val="00E940BC"/>
    <w:rsid w:val="00E94A81"/>
    <w:rsid w:val="00E97774"/>
    <w:rsid w:val="00EA1FFB"/>
    <w:rsid w:val="00EA7607"/>
    <w:rsid w:val="00EB0415"/>
    <w:rsid w:val="00EB048E"/>
    <w:rsid w:val="00EC2F2C"/>
    <w:rsid w:val="00EC4EC6"/>
    <w:rsid w:val="00EC5AC0"/>
    <w:rsid w:val="00EC75D8"/>
    <w:rsid w:val="00EC7C65"/>
    <w:rsid w:val="00ED17CB"/>
    <w:rsid w:val="00ED2D12"/>
    <w:rsid w:val="00ED3946"/>
    <w:rsid w:val="00ED578A"/>
    <w:rsid w:val="00EE04DD"/>
    <w:rsid w:val="00EE34DF"/>
    <w:rsid w:val="00EE55F6"/>
    <w:rsid w:val="00EE6C67"/>
    <w:rsid w:val="00EF2AC6"/>
    <w:rsid w:val="00EF2F89"/>
    <w:rsid w:val="00EF302E"/>
    <w:rsid w:val="00EF30A6"/>
    <w:rsid w:val="00EF5E61"/>
    <w:rsid w:val="00EF7C50"/>
    <w:rsid w:val="00F000EA"/>
    <w:rsid w:val="00F02927"/>
    <w:rsid w:val="00F02A83"/>
    <w:rsid w:val="00F04433"/>
    <w:rsid w:val="00F05B58"/>
    <w:rsid w:val="00F05C67"/>
    <w:rsid w:val="00F07A89"/>
    <w:rsid w:val="00F1237A"/>
    <w:rsid w:val="00F14677"/>
    <w:rsid w:val="00F2061E"/>
    <w:rsid w:val="00F20B1F"/>
    <w:rsid w:val="00F22CBD"/>
    <w:rsid w:val="00F2539C"/>
    <w:rsid w:val="00F30DDF"/>
    <w:rsid w:val="00F32006"/>
    <w:rsid w:val="00F33D27"/>
    <w:rsid w:val="00F341B8"/>
    <w:rsid w:val="00F3665E"/>
    <w:rsid w:val="00F40E8E"/>
    <w:rsid w:val="00F45372"/>
    <w:rsid w:val="00F55EC9"/>
    <w:rsid w:val="00F560F7"/>
    <w:rsid w:val="00F6334D"/>
    <w:rsid w:val="00F64538"/>
    <w:rsid w:val="00F760C4"/>
    <w:rsid w:val="00F7776B"/>
    <w:rsid w:val="00F7780C"/>
    <w:rsid w:val="00F822BF"/>
    <w:rsid w:val="00F83261"/>
    <w:rsid w:val="00F847D7"/>
    <w:rsid w:val="00F85794"/>
    <w:rsid w:val="00F871FD"/>
    <w:rsid w:val="00FA067D"/>
    <w:rsid w:val="00FA291B"/>
    <w:rsid w:val="00FA49AB"/>
    <w:rsid w:val="00FA4BDE"/>
    <w:rsid w:val="00FA6279"/>
    <w:rsid w:val="00FA728C"/>
    <w:rsid w:val="00FA7C0B"/>
    <w:rsid w:val="00FB274F"/>
    <w:rsid w:val="00FB31D9"/>
    <w:rsid w:val="00FB4D39"/>
    <w:rsid w:val="00FC26DB"/>
    <w:rsid w:val="00FC3411"/>
    <w:rsid w:val="00FC533A"/>
    <w:rsid w:val="00FC6EEB"/>
    <w:rsid w:val="00FC7507"/>
    <w:rsid w:val="00FC7E92"/>
    <w:rsid w:val="00FE39C7"/>
    <w:rsid w:val="00FE4855"/>
    <w:rsid w:val="00FE4EA5"/>
    <w:rsid w:val="00FE5D28"/>
    <w:rsid w:val="00FE7119"/>
    <w:rsid w:val="00FE7AE9"/>
    <w:rsid w:val="00FF3C0F"/>
    <w:rsid w:val="00FF4D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9AAA7"/>
  <w15:docId w15:val="{2156D0FB-18C8-484F-84B7-6F8E13DA7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3D56"/>
    <w:pPr>
      <w:jc w:val="both"/>
    </w:pPr>
    <w:rPr>
      <w:rFonts w:ascii="Arial" w:hAnsi="Arial"/>
    </w:rPr>
  </w:style>
  <w:style w:type="paragraph" w:styleId="Heading1">
    <w:name w:val="heading 1"/>
    <w:next w:val="Normal"/>
    <w:autoRedefine/>
    <w:qFormat/>
    <w:rsid w:val="00C177F3"/>
    <w:pPr>
      <w:keepNext/>
      <w:spacing w:after="240"/>
      <w:ind w:left="567" w:hanging="567"/>
      <w:jc w:val="both"/>
      <w:outlineLvl w:val="0"/>
    </w:pPr>
    <w:rPr>
      <w:rFonts w:ascii="Arial Bold" w:hAnsi="Arial Bold"/>
      <w:b/>
      <w:caps/>
    </w:rPr>
  </w:style>
  <w:style w:type="paragraph" w:styleId="Heading2">
    <w:name w:val="heading 2"/>
    <w:next w:val="Normal"/>
    <w:link w:val="Heading2Char"/>
    <w:autoRedefine/>
    <w:qFormat/>
    <w:rsid w:val="00FE5D28"/>
    <w:pPr>
      <w:keepNext/>
      <w:spacing w:after="240"/>
      <w:jc w:val="both"/>
      <w:outlineLvl w:val="1"/>
    </w:pPr>
    <w:rPr>
      <w:rFonts w:ascii="Arial" w:hAnsi="Arial"/>
      <w:b/>
    </w:rPr>
  </w:style>
  <w:style w:type="paragraph" w:styleId="Heading3">
    <w:name w:val="heading 3"/>
    <w:next w:val="Normal"/>
    <w:qFormat/>
    <w:rsid w:val="00C323D0"/>
    <w:pPr>
      <w:keepNext/>
      <w:spacing w:after="240"/>
      <w:jc w:val="both"/>
      <w:outlineLvl w:val="2"/>
    </w:pPr>
    <w:rPr>
      <w:rFonts w:ascii="Arial" w:hAnsi="Arial"/>
      <w:u w:val="single"/>
    </w:rPr>
  </w:style>
  <w:style w:type="paragraph" w:styleId="Heading4">
    <w:name w:val="heading 4"/>
    <w:next w:val="Normal"/>
    <w:autoRedefine/>
    <w:qFormat/>
    <w:rsid w:val="00C177F3"/>
    <w:pPr>
      <w:keepNext/>
      <w:spacing w:after="240"/>
      <w:jc w:val="both"/>
      <w:outlineLvl w:val="3"/>
    </w:pPr>
    <w:rPr>
      <w:rFonts w:ascii="Arial" w:hAnsi="Arial"/>
      <w:i/>
    </w:rPr>
  </w:style>
  <w:style w:type="paragraph" w:styleId="Heading5">
    <w:name w:val="heading 5"/>
    <w:next w:val="Normal"/>
    <w:autoRedefine/>
    <w:rsid w:val="00BE3D62"/>
    <w:pPr>
      <w:keepNext/>
      <w:spacing w:after="240"/>
      <w:ind w:left="851" w:hanging="851"/>
      <w:jc w:val="both"/>
      <w:outlineLvl w:val="4"/>
    </w:pPr>
    <w:rPr>
      <w:rFonts w:ascii="Arial" w:hAnsi="Arial"/>
      <w:i/>
      <w:szCs w:val="18"/>
    </w:rPr>
  </w:style>
  <w:style w:type="paragraph" w:styleId="Heading6">
    <w:name w:val="heading 6"/>
    <w:basedOn w:val="Normal"/>
    <w:next w:val="Normal"/>
    <w:link w:val="Heading6Char"/>
    <w:autoRedefine/>
    <w:qFormat/>
    <w:rsid w:val="00A647FE"/>
    <w:pPr>
      <w:keepNext/>
      <w:tabs>
        <w:tab w:val="left" w:pos="1985"/>
      </w:tabs>
      <w:ind w:left="1702" w:hanging="851"/>
      <w:outlineLvl w:val="5"/>
    </w:pPr>
    <w:rPr>
      <w:rFonts w:cs="Angsana New"/>
      <w:i/>
      <w:iCs/>
      <w:szCs w:val="24"/>
      <w:u w:val="single"/>
      <w:lang w:eastAsia="ja-JP" w:bidi="th-TH"/>
    </w:rPr>
  </w:style>
  <w:style w:type="paragraph" w:styleId="Heading7">
    <w:name w:val="heading 7"/>
    <w:basedOn w:val="Normal"/>
    <w:next w:val="Normal"/>
    <w:qFormat/>
    <w:rsid w:val="00AB0DB3"/>
    <w:pPr>
      <w:keepNext/>
      <w:spacing w:before="60" w:after="60"/>
      <w:outlineLvl w:val="6"/>
    </w:pPr>
  </w:style>
  <w:style w:type="paragraph" w:styleId="Heading8">
    <w:name w:val="heading 8"/>
    <w:basedOn w:val="Normal"/>
    <w:next w:val="Normal"/>
    <w:link w:val="Heading8Char"/>
    <w:autoRedefine/>
    <w:qFormat/>
    <w:rsid w:val="00A647FE"/>
    <w:pPr>
      <w:keepNext/>
      <w:widowControl w:val="0"/>
      <w:ind w:left="993" w:hanging="993"/>
      <w:outlineLvl w:val="7"/>
    </w:pPr>
    <w:rPr>
      <w:rFonts w:cs="Angsana New"/>
      <w:i/>
      <w:iCs/>
      <w:szCs w:val="22"/>
      <w:lang w:eastAsia="ja-JP" w:bidi="th-TH"/>
    </w:rPr>
  </w:style>
  <w:style w:type="paragraph" w:styleId="Heading9">
    <w:name w:val="heading 9"/>
    <w:basedOn w:val="Normal"/>
    <w:next w:val="Normal"/>
    <w:qFormat/>
    <w:rsid w:val="008A170E"/>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804A0D"/>
    <w:pPr>
      <w:jc w:val="center"/>
    </w:pPr>
    <w:rPr>
      <w:rFonts w:ascii="Arial" w:hAnsi="Arial" w:cs="Arial"/>
    </w:rPr>
  </w:style>
  <w:style w:type="paragraph" w:styleId="Footer">
    <w:name w:val="footer"/>
    <w:aliases w:val="doc_path_name"/>
    <w:autoRedefine/>
    <w:rsid w:val="008A170E"/>
    <w:pPr>
      <w:jc w:val="both"/>
    </w:pPr>
    <w:rPr>
      <w:rFonts w:ascii="Arial" w:hAnsi="Arial"/>
      <w:sz w:val="14"/>
    </w:rPr>
  </w:style>
  <w:style w:type="character" w:styleId="PageNumber">
    <w:name w:val="page number"/>
    <w:basedOn w:val="DefaultParagraphFont"/>
    <w:rsid w:val="008A170E"/>
    <w:rPr>
      <w:rFonts w:ascii="Arial" w:hAnsi="Arial"/>
      <w:sz w:val="20"/>
    </w:rPr>
  </w:style>
  <w:style w:type="paragraph" w:styleId="Title">
    <w:name w:val="Title"/>
    <w:basedOn w:val="Normal"/>
    <w:qFormat/>
    <w:rsid w:val="008A170E"/>
    <w:pPr>
      <w:spacing w:after="300"/>
      <w:jc w:val="center"/>
    </w:pPr>
    <w:rPr>
      <w:b/>
      <w:caps/>
      <w:kern w:val="28"/>
      <w:sz w:val="30"/>
    </w:rPr>
  </w:style>
  <w:style w:type="paragraph" w:customStyle="1" w:styleId="preparedby">
    <w:name w:val="preparedby"/>
    <w:basedOn w:val="Normal"/>
    <w:next w:val="Normal"/>
    <w:semiHidden/>
    <w:rsid w:val="00784E02"/>
    <w:pPr>
      <w:spacing w:after="600"/>
      <w:jc w:val="center"/>
    </w:pPr>
    <w:rPr>
      <w:i/>
    </w:rPr>
  </w:style>
  <w:style w:type="paragraph" w:customStyle="1" w:styleId="Docoriginal">
    <w:name w:val="Doc_original"/>
    <w:basedOn w:val="Code"/>
    <w:link w:val="DocoriginalChar"/>
    <w:rsid w:val="00784E02"/>
    <w:pPr>
      <w:spacing w:before="240" w:line="240" w:lineRule="exact"/>
      <w:ind w:left="0"/>
      <w:contextualSpacing/>
      <w:jc w:val="left"/>
    </w:pPr>
    <w:rPr>
      <w:sz w:val="18"/>
      <w:lang w:val="fr-FR"/>
    </w:rPr>
  </w:style>
  <w:style w:type="paragraph" w:customStyle="1" w:styleId="DecisionParagraphs">
    <w:name w:val="DecisionParagraphs"/>
    <w:basedOn w:val="Normal"/>
    <w:rsid w:val="008A170E"/>
    <w:pPr>
      <w:tabs>
        <w:tab w:val="left" w:pos="5387"/>
      </w:tabs>
      <w:ind w:left="4820"/>
    </w:pPr>
    <w:rPr>
      <w:i/>
    </w:rPr>
  </w:style>
  <w:style w:type="paragraph" w:styleId="FootnoteText">
    <w:name w:val="footnote text"/>
    <w:autoRedefine/>
    <w:rsid w:val="00AB5028"/>
    <w:pPr>
      <w:spacing w:before="60" w:line="200" w:lineRule="exact"/>
      <w:ind w:left="284" w:hanging="284"/>
      <w:jc w:val="both"/>
    </w:pPr>
    <w:rPr>
      <w:rFonts w:ascii="Arial" w:hAnsi="Arial"/>
      <w:sz w:val="16"/>
    </w:rPr>
  </w:style>
  <w:style w:type="character" w:styleId="FootnoteReference">
    <w:name w:val="footnote reference"/>
    <w:basedOn w:val="DefaultParagraphFont"/>
    <w:semiHidden/>
    <w:rsid w:val="008A170E"/>
    <w:rPr>
      <w:vertAlign w:val="superscript"/>
    </w:rPr>
  </w:style>
  <w:style w:type="paragraph" w:styleId="Closing">
    <w:name w:val="Closing"/>
    <w:basedOn w:val="Normal"/>
    <w:rsid w:val="008A170E"/>
    <w:pPr>
      <w:ind w:left="4536"/>
      <w:jc w:val="center"/>
    </w:pPr>
  </w:style>
  <w:style w:type="paragraph" w:styleId="Index1">
    <w:name w:val="index 1"/>
    <w:basedOn w:val="Normal"/>
    <w:next w:val="Normal"/>
    <w:semiHidden/>
    <w:rsid w:val="008A170E"/>
    <w:pPr>
      <w:tabs>
        <w:tab w:val="right" w:leader="dot" w:pos="9071"/>
      </w:tabs>
      <w:ind w:left="284" w:hanging="284"/>
    </w:pPr>
    <w:rPr>
      <w:sz w:val="24"/>
    </w:rPr>
  </w:style>
  <w:style w:type="paragraph" w:styleId="Index2">
    <w:name w:val="index 2"/>
    <w:basedOn w:val="Normal"/>
    <w:next w:val="Normal"/>
    <w:semiHidden/>
    <w:rsid w:val="008A170E"/>
    <w:pPr>
      <w:tabs>
        <w:tab w:val="right" w:leader="dot" w:pos="9071"/>
      </w:tabs>
      <w:ind w:left="568" w:hanging="284"/>
    </w:pPr>
    <w:rPr>
      <w:sz w:val="24"/>
    </w:rPr>
  </w:style>
  <w:style w:type="paragraph" w:styleId="Index3">
    <w:name w:val="index 3"/>
    <w:basedOn w:val="Normal"/>
    <w:next w:val="Normal"/>
    <w:semiHidden/>
    <w:rsid w:val="008A170E"/>
    <w:pPr>
      <w:tabs>
        <w:tab w:val="right" w:leader="dot" w:pos="9071"/>
      </w:tabs>
      <w:ind w:left="851" w:hanging="284"/>
    </w:pPr>
    <w:rPr>
      <w:sz w:val="24"/>
    </w:rPr>
  </w:style>
  <w:style w:type="paragraph" w:styleId="MacroText">
    <w:name w:val="macro"/>
    <w:semiHidden/>
    <w:rsid w:val="008A170E"/>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8A170E"/>
    <w:pPr>
      <w:ind w:left="4536"/>
      <w:jc w:val="center"/>
    </w:pPr>
  </w:style>
  <w:style w:type="character" w:customStyle="1" w:styleId="Doclang">
    <w:name w:val="Doc_lang"/>
    <w:basedOn w:val="DefaultParagraphFont"/>
    <w:rsid w:val="008A170E"/>
    <w:rPr>
      <w:rFonts w:ascii="Arial" w:hAnsi="Arial"/>
      <w:sz w:val="20"/>
      <w:lang w:val="en-US"/>
    </w:rPr>
  </w:style>
  <w:style w:type="paragraph" w:customStyle="1" w:styleId="Session">
    <w:name w:val="Session"/>
    <w:basedOn w:val="Normal"/>
    <w:rsid w:val="00784E02"/>
    <w:pPr>
      <w:spacing w:before="60"/>
      <w:jc w:val="center"/>
    </w:pPr>
    <w:rPr>
      <w:b/>
    </w:rPr>
  </w:style>
  <w:style w:type="paragraph" w:customStyle="1" w:styleId="Organizer">
    <w:name w:val="Organizer"/>
    <w:basedOn w:val="Normal"/>
    <w:rsid w:val="008A170E"/>
    <w:pPr>
      <w:spacing w:after="600"/>
      <w:ind w:left="-993" w:right="-994"/>
      <w:jc w:val="center"/>
    </w:pPr>
    <w:rPr>
      <w:b/>
      <w:caps/>
      <w:kern w:val="26"/>
      <w:sz w:val="26"/>
    </w:rPr>
  </w:style>
  <w:style w:type="paragraph" w:styleId="BodyText">
    <w:name w:val="Body Text"/>
    <w:basedOn w:val="Normal"/>
    <w:rsid w:val="008A170E"/>
  </w:style>
  <w:style w:type="paragraph" w:customStyle="1" w:styleId="StyleDocoriginalNotBold">
    <w:name w:val="Style Doc_original + Not Bold"/>
    <w:basedOn w:val="Docoriginal"/>
    <w:link w:val="StyleDocoriginalNotBoldChar"/>
    <w:autoRedefine/>
    <w:rsid w:val="008A170E"/>
    <w:pPr>
      <w:ind w:left="1589"/>
    </w:pPr>
  </w:style>
  <w:style w:type="paragraph" w:customStyle="1" w:styleId="upove">
    <w:name w:val="upov_e"/>
    <w:basedOn w:val="Normal"/>
    <w:rsid w:val="00784E02"/>
    <w:pPr>
      <w:spacing w:before="120"/>
    </w:pPr>
    <w:rPr>
      <w:sz w:val="16"/>
    </w:rPr>
  </w:style>
  <w:style w:type="paragraph" w:customStyle="1" w:styleId="TitleofDoc">
    <w:name w:val="Title of Doc"/>
    <w:basedOn w:val="Normal"/>
    <w:link w:val="TitleofDocChar"/>
    <w:rsid w:val="00EC4EC6"/>
    <w:pPr>
      <w:jc w:val="left"/>
    </w:pPr>
  </w:style>
  <w:style w:type="paragraph" w:customStyle="1" w:styleId="preparedby0">
    <w:name w:val="prepared by"/>
    <w:basedOn w:val="Normal"/>
    <w:rsid w:val="00784E02"/>
    <w:pPr>
      <w:spacing w:before="600" w:after="600"/>
      <w:jc w:val="center"/>
    </w:pPr>
    <w:rPr>
      <w:i/>
    </w:rPr>
  </w:style>
  <w:style w:type="paragraph" w:customStyle="1" w:styleId="PlaceAndDate">
    <w:name w:val="PlaceAndDate"/>
    <w:basedOn w:val="Session"/>
    <w:rsid w:val="00784E02"/>
  </w:style>
  <w:style w:type="paragraph" w:styleId="EndnoteText">
    <w:name w:val="endnote text"/>
    <w:basedOn w:val="Normal"/>
    <w:link w:val="EndnoteTextChar"/>
    <w:semiHidden/>
    <w:rsid w:val="008A170E"/>
  </w:style>
  <w:style w:type="character" w:styleId="EndnoteReference">
    <w:name w:val="endnote reference"/>
    <w:basedOn w:val="DefaultParagraphFont"/>
    <w:semiHidden/>
    <w:rsid w:val="008A170E"/>
    <w:rPr>
      <w:vertAlign w:val="superscript"/>
    </w:rPr>
  </w:style>
  <w:style w:type="paragraph" w:customStyle="1" w:styleId="SessionMeetingPlace">
    <w:name w:val="Session_MeetingPlace"/>
    <w:basedOn w:val="Normal"/>
    <w:semiHidden/>
    <w:rsid w:val="00784E02"/>
    <w:pPr>
      <w:spacing w:before="480"/>
      <w:jc w:val="center"/>
    </w:pPr>
    <w:rPr>
      <w:b/>
      <w:bCs/>
      <w:kern w:val="28"/>
      <w:sz w:val="24"/>
    </w:rPr>
  </w:style>
  <w:style w:type="paragraph" w:customStyle="1" w:styleId="Original">
    <w:name w:val="Original"/>
    <w:basedOn w:val="Normal"/>
    <w:rsid w:val="00784E02"/>
    <w:pPr>
      <w:spacing w:before="60"/>
      <w:ind w:left="1276"/>
    </w:pPr>
    <w:rPr>
      <w:b/>
      <w:sz w:val="22"/>
    </w:rPr>
  </w:style>
  <w:style w:type="paragraph" w:styleId="Date">
    <w:name w:val="Date"/>
    <w:basedOn w:val="Normal"/>
    <w:rsid w:val="00784E02"/>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8A170E"/>
    <w:pPr>
      <w:spacing w:before="60" w:after="480"/>
      <w:jc w:val="center"/>
    </w:pPr>
  </w:style>
  <w:style w:type="paragraph" w:customStyle="1" w:styleId="Lettrine">
    <w:name w:val="Lettrine"/>
    <w:basedOn w:val="Normal"/>
    <w:rsid w:val="00784E02"/>
    <w:pPr>
      <w:spacing w:line="340" w:lineRule="atLeast"/>
      <w:jc w:val="right"/>
    </w:pPr>
    <w:rPr>
      <w:b/>
      <w:bCs/>
      <w:sz w:val="36"/>
    </w:rPr>
  </w:style>
  <w:style w:type="paragraph" w:customStyle="1" w:styleId="LogoUPOV">
    <w:name w:val="LogoUPOV"/>
    <w:basedOn w:val="Normal"/>
    <w:rsid w:val="00784E02"/>
    <w:pPr>
      <w:spacing w:before="600" w:after="80"/>
      <w:jc w:val="center"/>
    </w:pPr>
    <w:rPr>
      <w:snapToGrid w:val="0"/>
    </w:rPr>
  </w:style>
  <w:style w:type="paragraph" w:customStyle="1" w:styleId="Sessiontc">
    <w:name w:val="Session_tc"/>
    <w:basedOn w:val="StyleSessionAllcaps"/>
    <w:rsid w:val="00784E02"/>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8A170E"/>
    <w:pPr>
      <w:spacing w:before="480"/>
    </w:pPr>
    <w:rPr>
      <w:bCs/>
      <w:caps/>
      <w:kern w:val="28"/>
      <w:sz w:val="24"/>
    </w:rPr>
  </w:style>
  <w:style w:type="paragraph" w:customStyle="1" w:styleId="plcountry">
    <w:name w:val="plcountry"/>
    <w:basedOn w:val="Normal"/>
    <w:rsid w:val="008A170E"/>
    <w:pPr>
      <w:keepNext/>
      <w:keepLines/>
      <w:spacing w:before="180" w:after="120"/>
      <w:jc w:val="left"/>
    </w:pPr>
    <w:rPr>
      <w:caps/>
      <w:noProof/>
      <w:snapToGrid w:val="0"/>
      <w:u w:val="single"/>
    </w:rPr>
  </w:style>
  <w:style w:type="paragraph" w:customStyle="1" w:styleId="pldetails">
    <w:name w:val="pldetails"/>
    <w:basedOn w:val="Normal"/>
    <w:rsid w:val="008A170E"/>
    <w:pPr>
      <w:keepLines/>
      <w:spacing w:before="60" w:after="60"/>
      <w:jc w:val="left"/>
    </w:pPr>
    <w:rPr>
      <w:noProof/>
      <w:snapToGrid w:val="0"/>
    </w:rPr>
  </w:style>
  <w:style w:type="paragraph" w:customStyle="1" w:styleId="plheading">
    <w:name w:val="plheading"/>
    <w:basedOn w:val="Normal"/>
    <w:rsid w:val="008A170E"/>
    <w:pPr>
      <w:keepNext/>
      <w:spacing w:before="480" w:after="120"/>
      <w:jc w:val="center"/>
    </w:pPr>
    <w:rPr>
      <w:caps/>
      <w:snapToGrid w:val="0"/>
      <w:u w:val="single"/>
    </w:rPr>
  </w:style>
  <w:style w:type="paragraph" w:customStyle="1" w:styleId="Sessiontcplacedate">
    <w:name w:val="Session_tc_place_date"/>
    <w:basedOn w:val="SessionMeetingPlace"/>
    <w:rsid w:val="00784E02"/>
    <w:pPr>
      <w:spacing w:before="240"/>
      <w:contextualSpacing/>
      <w:jc w:val="left"/>
    </w:pPr>
    <w:rPr>
      <w:sz w:val="20"/>
    </w:rPr>
  </w:style>
  <w:style w:type="paragraph" w:customStyle="1" w:styleId="Titleofdoc0">
    <w:name w:val="Title_of_doc"/>
    <w:basedOn w:val="TitleofDoc"/>
    <w:rsid w:val="00EC4EC6"/>
    <w:pPr>
      <w:spacing w:before="600" w:after="240"/>
    </w:pPr>
    <w:rPr>
      <w:b/>
    </w:rPr>
  </w:style>
  <w:style w:type="paragraph" w:customStyle="1" w:styleId="preparedby1">
    <w:name w:val="prepared_by"/>
    <w:basedOn w:val="preparedby0"/>
    <w:rsid w:val="00784E02"/>
    <w:pPr>
      <w:spacing w:before="0" w:after="240"/>
      <w:jc w:val="left"/>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autoRedefine/>
    <w:rsid w:val="008A170E"/>
    <w:pPr>
      <w:spacing w:before="480"/>
      <w:ind w:left="567" w:hanging="567"/>
      <w:jc w:val="right"/>
    </w:pPr>
    <w:rPr>
      <w:rFonts w:ascii="Arial" w:hAnsi="Arial"/>
    </w:rPr>
  </w:style>
  <w:style w:type="character" w:customStyle="1" w:styleId="DocoriginalChar">
    <w:name w:val="Doc_original Char"/>
    <w:basedOn w:val="CodeChar"/>
    <w:link w:val="Docoriginal"/>
    <w:rsid w:val="00784E02"/>
    <w:rPr>
      <w:rFonts w:ascii="Arial" w:hAnsi="Arial"/>
      <w:b/>
      <w:bCs/>
      <w:spacing w:val="10"/>
      <w:sz w:val="18"/>
      <w:lang w:val="fr-FR" w:eastAsia="en-US" w:bidi="ar-SA"/>
    </w:rPr>
  </w:style>
  <w:style w:type="character" w:customStyle="1" w:styleId="StyleDocoriginalNotBoldChar">
    <w:name w:val="Style Doc_original + Not Bold Char"/>
    <w:basedOn w:val="DocoriginalChar"/>
    <w:link w:val="StyleDocoriginalNotBold"/>
    <w:rsid w:val="008A170E"/>
    <w:rPr>
      <w:rFonts w:ascii="Arial" w:hAnsi="Arial"/>
      <w:b/>
      <w:bCs/>
      <w:spacing w:val="10"/>
      <w:sz w:val="18"/>
      <w:lang w:val="fr-FR" w:eastAsia="en-US" w:bidi="ar-SA"/>
    </w:rPr>
  </w:style>
  <w:style w:type="paragraph" w:customStyle="1" w:styleId="StyleDocnumber">
    <w:name w:val="Style Doc_number"/>
    <w:basedOn w:val="Docoriginal"/>
    <w:rsid w:val="008A170E"/>
    <w:pPr>
      <w:ind w:left="1589"/>
    </w:pPr>
  </w:style>
  <w:style w:type="paragraph" w:customStyle="1" w:styleId="StyleDocoriginal">
    <w:name w:val="Style Doc_original"/>
    <w:basedOn w:val="Docoriginal"/>
    <w:link w:val="StyleDocoriginalChar"/>
    <w:rsid w:val="008A170E"/>
  </w:style>
  <w:style w:type="character" w:customStyle="1" w:styleId="StyleDocoriginalChar">
    <w:name w:val="Style Doc_original Char"/>
    <w:basedOn w:val="DocoriginalChar"/>
    <w:link w:val="StyleDocoriginal"/>
    <w:rsid w:val="008A170E"/>
    <w:rPr>
      <w:rFonts w:ascii="Arial" w:hAnsi="Arial"/>
      <w:b/>
      <w:bCs/>
      <w:spacing w:val="10"/>
      <w:sz w:val="18"/>
      <w:lang w:val="fr-FR" w:eastAsia="en-US" w:bidi="ar-SA"/>
    </w:rPr>
  </w:style>
  <w:style w:type="paragraph" w:customStyle="1" w:styleId="StyleStyleDocoriginalNotBoldNotBold">
    <w:name w:val="Style Style Doc_original + Not Bold + Not Bold"/>
    <w:basedOn w:val="StyleDocoriginalNotBold"/>
    <w:link w:val="StyleStyleDocoriginalNotBoldNotBoldChar"/>
    <w:rsid w:val="00281060"/>
    <w:rPr>
      <w:b w:val="0"/>
      <w:bCs w:val="0"/>
      <w:spacing w:val="0"/>
    </w:rPr>
  </w:style>
  <w:style w:type="character" w:customStyle="1" w:styleId="StyleStyleDocoriginalNotBoldNotBoldChar">
    <w:name w:val="Style Style Doc_original + Not Bold + Not Bold Char"/>
    <w:basedOn w:val="StyleDocoriginalNotBoldChar"/>
    <w:link w:val="StyleStyleDocoriginalNotBoldNotBold"/>
    <w:rsid w:val="00281060"/>
    <w:rPr>
      <w:rFonts w:ascii="Arial" w:hAnsi="Arial"/>
      <w:b/>
      <w:bCs/>
      <w:spacing w:val="10"/>
      <w:sz w:val="18"/>
      <w:lang w:val="en-US" w:eastAsia="en-US" w:bidi="ar-SA"/>
    </w:rPr>
  </w:style>
  <w:style w:type="character" w:customStyle="1" w:styleId="StyleDocoriginalNotBold1">
    <w:name w:val="Style Doc_original + Not Bold1"/>
    <w:basedOn w:val="DefaultParagraphFont"/>
    <w:rsid w:val="008A170E"/>
    <w:rPr>
      <w:rFonts w:ascii="Arial" w:hAnsi="Arial"/>
      <w:b/>
      <w:bCs/>
      <w:spacing w:val="10"/>
      <w:lang w:val="en-US" w:eastAsia="en-US" w:bidi="ar-SA"/>
    </w:rPr>
  </w:style>
  <w:style w:type="character" w:customStyle="1" w:styleId="StyleDoclangBold">
    <w:name w:val="Style Doc_lang + Bold"/>
    <w:basedOn w:val="Doclang"/>
    <w:rsid w:val="008A170E"/>
    <w:rPr>
      <w:rFonts w:ascii="Arial" w:hAnsi="Arial"/>
      <w:b/>
      <w:bCs/>
      <w:sz w:val="20"/>
      <w:lang w:val="en-US"/>
    </w:rPr>
  </w:style>
  <w:style w:type="paragraph" w:styleId="TOC2">
    <w:name w:val="toc 2"/>
    <w:basedOn w:val="Normal"/>
    <w:next w:val="Normal"/>
    <w:uiPriority w:val="39"/>
    <w:rsid w:val="0060056B"/>
    <w:pPr>
      <w:tabs>
        <w:tab w:val="left" w:pos="709"/>
        <w:tab w:val="right" w:leader="dot" w:pos="9639"/>
      </w:tabs>
      <w:spacing w:after="60"/>
      <w:ind w:left="709" w:hanging="471"/>
      <w:jc w:val="left"/>
    </w:pPr>
    <w:rPr>
      <w:noProof/>
      <w:szCs w:val="24"/>
      <w:lang w:val="en-GB" w:eastAsia="es-ES_tradnl"/>
    </w:rPr>
  </w:style>
  <w:style w:type="paragraph" w:styleId="TOC3">
    <w:name w:val="toc 3"/>
    <w:next w:val="Normal"/>
    <w:autoRedefine/>
    <w:uiPriority w:val="39"/>
    <w:rsid w:val="00315888"/>
    <w:pPr>
      <w:tabs>
        <w:tab w:val="right" w:leader="dot" w:pos="9639"/>
      </w:tabs>
      <w:spacing w:before="120" w:after="120"/>
      <w:ind w:left="709" w:right="567"/>
    </w:pPr>
    <w:rPr>
      <w:rFonts w:ascii="Arial" w:hAnsi="Arial"/>
      <w:i/>
      <w:noProof/>
      <w:sz w:val="18"/>
      <w:szCs w:val="18"/>
      <w:lang w:val="fr-FR"/>
    </w:rPr>
  </w:style>
  <w:style w:type="character" w:styleId="Hyperlink">
    <w:name w:val="Hyperlink"/>
    <w:basedOn w:val="DefaultParagraphFont"/>
    <w:uiPriority w:val="99"/>
    <w:rsid w:val="008A170E"/>
    <w:rPr>
      <w:rFonts w:ascii="Arial" w:hAnsi="Arial"/>
      <w:color w:val="0000FF"/>
      <w:u w:val="single"/>
    </w:rPr>
  </w:style>
  <w:style w:type="paragraph" w:styleId="TOC4">
    <w:name w:val="toc 4"/>
    <w:next w:val="Normal"/>
    <w:autoRedefine/>
    <w:uiPriority w:val="39"/>
    <w:rsid w:val="00D94FFB"/>
    <w:pPr>
      <w:tabs>
        <w:tab w:val="left" w:pos="2126"/>
        <w:tab w:val="right" w:leader="dot" w:pos="9639"/>
      </w:tabs>
      <w:ind w:left="1843" w:right="851" w:hanging="709"/>
      <w:contextualSpacing/>
    </w:pPr>
    <w:rPr>
      <w:rFonts w:ascii="Arial" w:hAnsi="Arial"/>
      <w:i/>
      <w:noProof/>
      <w:sz w:val="18"/>
    </w:rPr>
  </w:style>
  <w:style w:type="paragraph" w:styleId="TOC1">
    <w:name w:val="toc 1"/>
    <w:next w:val="Normal"/>
    <w:autoRedefine/>
    <w:uiPriority w:val="39"/>
    <w:rsid w:val="00781481"/>
    <w:pPr>
      <w:keepNext/>
      <w:tabs>
        <w:tab w:val="right" w:leader="dot" w:pos="9639"/>
      </w:tabs>
      <w:spacing w:before="240" w:after="240"/>
      <w:ind w:left="284" w:right="284" w:hanging="284"/>
    </w:pPr>
    <w:rPr>
      <w:rFonts w:ascii="Arial" w:hAnsi="Arial"/>
      <w:caps/>
      <w:noProof/>
    </w:rPr>
  </w:style>
  <w:style w:type="paragraph" w:styleId="TOC5">
    <w:name w:val="toc 5"/>
    <w:next w:val="Normal"/>
    <w:autoRedefine/>
    <w:uiPriority w:val="39"/>
    <w:rsid w:val="00D94FFB"/>
    <w:pPr>
      <w:tabs>
        <w:tab w:val="left" w:pos="2141"/>
        <w:tab w:val="right" w:leader="dot" w:pos="9639"/>
      </w:tabs>
      <w:ind w:left="2126" w:right="851" w:hanging="425"/>
      <w:contextualSpacing/>
      <w:jc w:val="both"/>
    </w:pPr>
    <w:rPr>
      <w:rFonts w:ascii="Arial" w:hAnsi="Arial"/>
      <w:noProof/>
      <w:sz w:val="18"/>
      <w:lang w:val="fr-FR"/>
    </w:rPr>
  </w:style>
  <w:style w:type="paragraph" w:customStyle="1" w:styleId="StyleTitleofSectionArial10ptBefore0ptAfter0pt">
    <w:name w:val="Style Title of Section + Arial 10 pt Before:  0 pt After:  0 pt..."/>
    <w:basedOn w:val="Normal"/>
    <w:autoRedefine/>
    <w:rsid w:val="006D4692"/>
    <w:pPr>
      <w:pBdr>
        <w:top w:val="single" w:sz="4" w:space="0" w:color="auto"/>
        <w:left w:val="single" w:sz="4" w:space="3" w:color="auto"/>
        <w:bottom w:val="single" w:sz="4" w:space="1" w:color="auto"/>
        <w:right w:val="single" w:sz="4" w:space="4" w:color="auto"/>
      </w:pBdr>
      <w:shd w:val="clear" w:color="auto" w:fill="D9D9D9"/>
      <w:jc w:val="center"/>
    </w:pPr>
    <w:rPr>
      <w:b/>
      <w:bCs/>
      <w:lang w:eastAsia="de-DE"/>
    </w:rPr>
  </w:style>
  <w:style w:type="paragraph" w:styleId="CommentText">
    <w:name w:val="annotation text"/>
    <w:basedOn w:val="Normal"/>
    <w:semiHidden/>
    <w:rsid w:val="00047D7F"/>
    <w:pPr>
      <w:jc w:val="left"/>
    </w:pPr>
    <w:rPr>
      <w:rFonts w:ascii="Times New Roman" w:hAnsi="Times New Roman"/>
      <w:sz w:val="22"/>
    </w:rPr>
  </w:style>
  <w:style w:type="paragraph" w:customStyle="1" w:styleId="TitleofSection">
    <w:name w:val="Title of Section"/>
    <w:basedOn w:val="TitleofDoc"/>
    <w:rsid w:val="00AD789A"/>
    <w:pPr>
      <w:spacing w:before="120" w:after="120"/>
    </w:pPr>
    <w:rPr>
      <w:b/>
      <w:bCs/>
      <w:caps/>
      <w:lang w:val="fr-FR"/>
    </w:rPr>
  </w:style>
  <w:style w:type="paragraph" w:customStyle="1" w:styleId="Normaltg">
    <w:name w:val="Normaltg"/>
    <w:basedOn w:val="Normal"/>
    <w:rsid w:val="00AD789A"/>
    <w:pPr>
      <w:tabs>
        <w:tab w:val="left" w:pos="709"/>
        <w:tab w:val="left" w:pos="1418"/>
      </w:tabs>
    </w:pPr>
    <w:rPr>
      <w:lang w:val="fr-FR"/>
    </w:rPr>
  </w:style>
  <w:style w:type="paragraph" w:styleId="BalloonText">
    <w:name w:val="Balloon Text"/>
    <w:basedOn w:val="Normal"/>
    <w:semiHidden/>
    <w:rsid w:val="005F2C30"/>
    <w:rPr>
      <w:rFonts w:ascii="Tahoma" w:hAnsi="Tahoma" w:cs="Tahoma"/>
      <w:sz w:val="16"/>
      <w:szCs w:val="16"/>
    </w:rPr>
  </w:style>
  <w:style w:type="character" w:customStyle="1" w:styleId="Heading6Char">
    <w:name w:val="Heading 6 Char"/>
    <w:basedOn w:val="DefaultParagraphFont"/>
    <w:link w:val="Heading6"/>
    <w:rsid w:val="00A647FE"/>
    <w:rPr>
      <w:rFonts w:ascii="Arial" w:hAnsi="Arial" w:cs="Angsana New"/>
      <w:i/>
      <w:iCs/>
      <w:szCs w:val="24"/>
      <w:u w:val="single"/>
      <w:lang w:eastAsia="ja-JP" w:bidi="th-TH"/>
    </w:rPr>
  </w:style>
  <w:style w:type="character" w:customStyle="1" w:styleId="Heading8Char">
    <w:name w:val="Heading 8 Char"/>
    <w:basedOn w:val="DefaultParagraphFont"/>
    <w:link w:val="Heading8"/>
    <w:rsid w:val="00A647FE"/>
    <w:rPr>
      <w:rFonts w:ascii="Arial" w:hAnsi="Arial" w:cs="Angsana New"/>
      <w:i/>
      <w:iCs/>
      <w:szCs w:val="22"/>
      <w:lang w:eastAsia="ja-JP" w:bidi="th-TH"/>
    </w:rPr>
  </w:style>
  <w:style w:type="paragraph" w:styleId="TOC6">
    <w:name w:val="toc 6"/>
    <w:basedOn w:val="Normal"/>
    <w:next w:val="Normal"/>
    <w:autoRedefine/>
    <w:uiPriority w:val="39"/>
    <w:rsid w:val="008922C9"/>
    <w:pPr>
      <w:tabs>
        <w:tab w:val="left" w:pos="2694"/>
        <w:tab w:val="right" w:leader="dot" w:pos="9061"/>
      </w:tabs>
      <w:ind w:left="1701"/>
      <w:jc w:val="left"/>
    </w:pPr>
    <w:rPr>
      <w:rFonts w:ascii="Times New Roman" w:hAnsi="Times New Roman" w:cs="Angsana New"/>
      <w:noProof/>
      <w:sz w:val="18"/>
      <w:szCs w:val="18"/>
      <w:lang w:eastAsia="ja-JP" w:bidi="th-TH"/>
    </w:rPr>
  </w:style>
  <w:style w:type="paragraph" w:styleId="TOC7">
    <w:name w:val="toc 7"/>
    <w:basedOn w:val="Normal"/>
    <w:next w:val="Normal"/>
    <w:autoRedefine/>
    <w:uiPriority w:val="39"/>
    <w:rsid w:val="008922C9"/>
    <w:pPr>
      <w:ind w:left="1440"/>
      <w:jc w:val="left"/>
    </w:pPr>
    <w:rPr>
      <w:rFonts w:ascii="Times New Roman" w:hAnsi="Times New Roman" w:cs="Angsana New"/>
      <w:sz w:val="18"/>
      <w:szCs w:val="18"/>
      <w:lang w:eastAsia="ja-JP" w:bidi="th-TH"/>
    </w:rPr>
  </w:style>
  <w:style w:type="paragraph" w:styleId="TOC8">
    <w:name w:val="toc 8"/>
    <w:basedOn w:val="Normal"/>
    <w:next w:val="Normal"/>
    <w:uiPriority w:val="39"/>
    <w:rsid w:val="00EF7C50"/>
    <w:pPr>
      <w:tabs>
        <w:tab w:val="left" w:pos="567"/>
        <w:tab w:val="right" w:leader="dot" w:pos="9639"/>
      </w:tabs>
      <w:spacing w:before="60" w:after="120"/>
      <w:ind w:left="425" w:right="851" w:hanging="425"/>
      <w:jc w:val="left"/>
    </w:pPr>
    <w:rPr>
      <w:caps/>
      <w:noProof/>
      <w:sz w:val="18"/>
      <w:lang w:eastAsia="ja-JP" w:bidi="th-TH"/>
    </w:rPr>
  </w:style>
  <w:style w:type="paragraph" w:styleId="TOC9">
    <w:name w:val="toc 9"/>
    <w:basedOn w:val="Normal"/>
    <w:next w:val="Normal"/>
    <w:link w:val="TOC9Char"/>
    <w:uiPriority w:val="39"/>
    <w:rsid w:val="00EF7C50"/>
    <w:pPr>
      <w:tabs>
        <w:tab w:val="right" w:leader="dot" w:pos="9639"/>
      </w:tabs>
      <w:spacing w:before="60" w:after="120"/>
      <w:ind w:left="992" w:right="851" w:hanging="567"/>
      <w:contextualSpacing/>
      <w:jc w:val="left"/>
    </w:pPr>
    <w:rPr>
      <w:smallCaps/>
      <w:noProof/>
      <w:sz w:val="18"/>
      <w:lang w:val="fr-FR" w:eastAsia="ja-JP"/>
    </w:rPr>
  </w:style>
  <w:style w:type="paragraph" w:customStyle="1" w:styleId="tqparabox">
    <w:name w:val="tqparabox"/>
    <w:basedOn w:val="Normal"/>
    <w:rsid w:val="008922C9"/>
    <w:pPr>
      <w:tabs>
        <w:tab w:val="left" w:pos="567"/>
        <w:tab w:val="left" w:pos="1134"/>
        <w:tab w:val="left" w:pos="2976"/>
        <w:tab w:val="left" w:pos="5856"/>
        <w:tab w:val="left" w:pos="7296"/>
      </w:tabs>
      <w:spacing w:before="40" w:after="40"/>
      <w:ind w:left="567"/>
      <w:jc w:val="left"/>
    </w:pPr>
    <w:rPr>
      <w:rFonts w:ascii="Times New Roman" w:hAnsi="Times New Roman" w:cs="Angsana New"/>
      <w:sz w:val="24"/>
      <w:szCs w:val="24"/>
      <w:lang w:eastAsia="ja-JP" w:bidi="th-TH"/>
    </w:rPr>
  </w:style>
  <w:style w:type="paragraph" w:customStyle="1" w:styleId="Normalt">
    <w:name w:val="Normalt"/>
    <w:basedOn w:val="Normal"/>
    <w:rsid w:val="008922C9"/>
    <w:pPr>
      <w:spacing w:before="120" w:after="120"/>
      <w:jc w:val="left"/>
    </w:pPr>
    <w:rPr>
      <w:rFonts w:ascii="Times New Roman" w:hAnsi="Times New Roman" w:cs="Angsana New"/>
      <w:snapToGrid w:val="0"/>
      <w:lang w:eastAsia="ja-JP" w:bidi="th-TH"/>
    </w:rPr>
  </w:style>
  <w:style w:type="paragraph" w:customStyle="1" w:styleId="Normaltb">
    <w:name w:val="Normaltb"/>
    <w:basedOn w:val="Normalt"/>
    <w:rsid w:val="008922C9"/>
    <w:pPr>
      <w:keepNext/>
    </w:pPr>
    <w:rPr>
      <w:b/>
      <w:bCs/>
    </w:rPr>
  </w:style>
  <w:style w:type="paragraph" w:customStyle="1" w:styleId="Annex">
    <w:name w:val="Annex"/>
    <w:basedOn w:val="Heading1"/>
    <w:next w:val="Normal"/>
    <w:rsid w:val="009362C5"/>
    <w:pPr>
      <w:pBdr>
        <w:top w:val="single" w:sz="6" w:space="1" w:color="auto" w:shadow="1"/>
        <w:left w:val="single" w:sz="6" w:space="4" w:color="auto" w:shadow="1"/>
        <w:bottom w:val="single" w:sz="6" w:space="1" w:color="auto" w:shadow="1"/>
        <w:right w:val="single" w:sz="6" w:space="4" w:color="auto" w:shadow="1"/>
      </w:pBdr>
      <w:spacing w:before="4800" w:line="480" w:lineRule="auto"/>
      <w:ind w:left="1134" w:right="1133"/>
      <w:jc w:val="center"/>
    </w:pPr>
    <w:rPr>
      <w:rFonts w:ascii="Arial" w:hAnsi="Arial" w:cs="Angsana New"/>
      <w:bCs/>
      <w:sz w:val="32"/>
      <w:szCs w:val="32"/>
      <w:lang w:eastAsia="ja-JP" w:bidi="th-TH"/>
    </w:rPr>
  </w:style>
  <w:style w:type="paragraph" w:customStyle="1" w:styleId="TOC1tg">
    <w:name w:val="TOC 1tg"/>
    <w:basedOn w:val="TOC1"/>
    <w:rsid w:val="008922C9"/>
    <w:pPr>
      <w:tabs>
        <w:tab w:val="clear" w:pos="9639"/>
        <w:tab w:val="left" w:pos="567"/>
        <w:tab w:val="right" w:leader="dot" w:pos="9072"/>
      </w:tabs>
      <w:spacing w:before="120"/>
      <w:ind w:left="0" w:firstLine="0"/>
    </w:pPr>
    <w:rPr>
      <w:rFonts w:ascii="Times New Roman" w:hAnsi="Times New Roman" w:cs="Angsana New"/>
      <w:lang w:eastAsia="ja-JP" w:bidi="th-TH"/>
    </w:rPr>
  </w:style>
  <w:style w:type="paragraph" w:customStyle="1" w:styleId="TOC2tg">
    <w:name w:val="TOC 2tg"/>
    <w:basedOn w:val="TOC2"/>
    <w:rsid w:val="008922C9"/>
    <w:pPr>
      <w:tabs>
        <w:tab w:val="clear" w:pos="9639"/>
        <w:tab w:val="left" w:pos="1134"/>
        <w:tab w:val="right" w:leader="dot" w:pos="9072"/>
      </w:tabs>
      <w:ind w:left="1134" w:right="284"/>
    </w:pPr>
    <w:rPr>
      <w:rFonts w:ascii="Times New Roman" w:hAnsi="Times New Roman" w:cs="Angsana New"/>
      <w:smallCaps/>
      <w:lang w:eastAsia="ja-JP" w:bidi="th-TH"/>
    </w:rPr>
  </w:style>
  <w:style w:type="paragraph" w:customStyle="1" w:styleId="Draft">
    <w:name w:val="Draft"/>
    <w:basedOn w:val="Normal"/>
    <w:next w:val="Normal"/>
    <w:rsid w:val="00286ABE"/>
    <w:pPr>
      <w:spacing w:before="120" w:after="120"/>
      <w:jc w:val="center"/>
    </w:pPr>
    <w:rPr>
      <w:caps/>
      <w:sz w:val="28"/>
    </w:rPr>
  </w:style>
  <w:style w:type="paragraph" w:styleId="BodyText2">
    <w:name w:val="Body Text 2"/>
    <w:basedOn w:val="Normal"/>
    <w:link w:val="BodyText2Char"/>
    <w:rsid w:val="00A42666"/>
    <w:rPr>
      <w:rFonts w:cs="Angsana New"/>
      <w:color w:val="000000"/>
      <w:szCs w:val="24"/>
      <w:lang w:eastAsia="ja-JP" w:bidi="th-TH"/>
    </w:rPr>
  </w:style>
  <w:style w:type="character" w:customStyle="1" w:styleId="BodyText2Char">
    <w:name w:val="Body Text 2 Char"/>
    <w:basedOn w:val="DefaultParagraphFont"/>
    <w:link w:val="BodyText2"/>
    <w:rsid w:val="00A42666"/>
    <w:rPr>
      <w:rFonts w:ascii="Arial" w:hAnsi="Arial" w:cs="Angsana New"/>
      <w:color w:val="000000"/>
      <w:szCs w:val="24"/>
      <w:lang w:eastAsia="ja-JP" w:bidi="th-TH"/>
    </w:rPr>
  </w:style>
  <w:style w:type="paragraph" w:styleId="BodyTextIndent">
    <w:name w:val="Body Text Indent"/>
    <w:basedOn w:val="Normal"/>
    <w:link w:val="BodyTextIndentChar"/>
    <w:rsid w:val="00A42666"/>
    <w:pPr>
      <w:ind w:left="2977" w:hanging="993"/>
    </w:pPr>
    <w:rPr>
      <w:rFonts w:cs="Angsana New"/>
      <w:szCs w:val="24"/>
      <w:lang w:eastAsia="ja-JP" w:bidi="th-TH"/>
    </w:rPr>
  </w:style>
  <w:style w:type="character" w:customStyle="1" w:styleId="BodyTextIndentChar">
    <w:name w:val="Body Text Indent Char"/>
    <w:basedOn w:val="DefaultParagraphFont"/>
    <w:link w:val="BodyTextIndent"/>
    <w:rsid w:val="00A42666"/>
    <w:rPr>
      <w:rFonts w:ascii="Arial" w:hAnsi="Arial" w:cs="Angsana New"/>
      <w:szCs w:val="24"/>
      <w:lang w:eastAsia="ja-JP" w:bidi="th-TH"/>
    </w:rPr>
  </w:style>
  <w:style w:type="paragraph" w:styleId="BodyTextIndent2">
    <w:name w:val="Body Text Indent 2"/>
    <w:basedOn w:val="Normal"/>
    <w:link w:val="BodyTextIndent2Char"/>
    <w:rsid w:val="00A42666"/>
    <w:pPr>
      <w:pBdr>
        <w:top w:val="single" w:sz="4" w:space="1" w:color="auto"/>
        <w:left w:val="single" w:sz="4" w:space="4" w:color="auto"/>
        <w:bottom w:val="single" w:sz="4" w:space="1" w:color="auto"/>
        <w:right w:val="single" w:sz="4" w:space="4" w:color="auto"/>
      </w:pBdr>
      <w:ind w:left="1701" w:hanging="1344"/>
    </w:pPr>
    <w:rPr>
      <w:rFonts w:cs="Angsana New"/>
      <w:szCs w:val="24"/>
      <w:lang w:eastAsia="ja-JP" w:bidi="th-TH"/>
    </w:rPr>
  </w:style>
  <w:style w:type="character" w:customStyle="1" w:styleId="BodyTextIndent2Char">
    <w:name w:val="Body Text Indent 2 Char"/>
    <w:basedOn w:val="DefaultParagraphFont"/>
    <w:link w:val="BodyTextIndent2"/>
    <w:rsid w:val="00A42666"/>
    <w:rPr>
      <w:rFonts w:ascii="Arial" w:hAnsi="Arial" w:cs="Angsana New"/>
      <w:szCs w:val="24"/>
      <w:lang w:eastAsia="ja-JP" w:bidi="th-TH"/>
    </w:rPr>
  </w:style>
  <w:style w:type="paragraph" w:styleId="BodyTextIndent3">
    <w:name w:val="Body Text Indent 3"/>
    <w:basedOn w:val="Normal"/>
    <w:link w:val="BodyTextIndent3Char"/>
    <w:rsid w:val="00A42666"/>
    <w:pPr>
      <w:ind w:left="1985"/>
    </w:pPr>
    <w:rPr>
      <w:rFonts w:cs="Angsana New"/>
      <w:szCs w:val="24"/>
      <w:lang w:eastAsia="ja-JP" w:bidi="th-TH"/>
    </w:rPr>
  </w:style>
  <w:style w:type="character" w:customStyle="1" w:styleId="BodyTextIndent3Char">
    <w:name w:val="Body Text Indent 3 Char"/>
    <w:basedOn w:val="DefaultParagraphFont"/>
    <w:link w:val="BodyTextIndent3"/>
    <w:rsid w:val="00A42666"/>
    <w:rPr>
      <w:rFonts w:ascii="Arial" w:hAnsi="Arial" w:cs="Angsana New"/>
      <w:szCs w:val="24"/>
      <w:lang w:eastAsia="ja-JP" w:bidi="th-TH"/>
    </w:rPr>
  </w:style>
  <w:style w:type="paragraph" w:styleId="BodyText3">
    <w:name w:val="Body Text 3"/>
    <w:basedOn w:val="Normal"/>
    <w:link w:val="BodyText3Char"/>
    <w:rsid w:val="00A42666"/>
    <w:pPr>
      <w:jc w:val="center"/>
    </w:pPr>
    <w:rPr>
      <w:rFonts w:cs="Angsana New"/>
      <w:szCs w:val="24"/>
      <w:lang w:eastAsia="ja-JP" w:bidi="th-TH"/>
    </w:rPr>
  </w:style>
  <w:style w:type="character" w:customStyle="1" w:styleId="BodyText3Char">
    <w:name w:val="Body Text 3 Char"/>
    <w:basedOn w:val="DefaultParagraphFont"/>
    <w:link w:val="BodyText3"/>
    <w:rsid w:val="00A42666"/>
    <w:rPr>
      <w:rFonts w:ascii="Arial" w:hAnsi="Arial" w:cs="Angsana New"/>
      <w:szCs w:val="24"/>
      <w:lang w:eastAsia="ja-JP" w:bidi="th-TH"/>
    </w:rPr>
  </w:style>
  <w:style w:type="paragraph" w:styleId="DocumentMap">
    <w:name w:val="Document Map"/>
    <w:basedOn w:val="Normal"/>
    <w:link w:val="DocumentMapChar"/>
    <w:rsid w:val="008922C9"/>
    <w:pPr>
      <w:shd w:val="clear" w:color="auto" w:fill="000080"/>
    </w:pPr>
    <w:rPr>
      <w:rFonts w:ascii="Tahoma" w:hAnsi="Tahoma" w:cs="Tahoma"/>
      <w:sz w:val="24"/>
      <w:szCs w:val="24"/>
      <w:lang w:eastAsia="ja-JP" w:bidi="th-TH"/>
    </w:rPr>
  </w:style>
  <w:style w:type="character" w:customStyle="1" w:styleId="DocumentMapChar">
    <w:name w:val="Document Map Char"/>
    <w:basedOn w:val="DefaultParagraphFont"/>
    <w:link w:val="DocumentMap"/>
    <w:rsid w:val="008922C9"/>
    <w:rPr>
      <w:rFonts w:ascii="Tahoma" w:hAnsi="Tahoma" w:cs="Tahoma"/>
      <w:sz w:val="24"/>
      <w:szCs w:val="24"/>
      <w:shd w:val="clear" w:color="auto" w:fill="000080"/>
      <w:lang w:eastAsia="ja-JP" w:bidi="th-TH"/>
    </w:rPr>
  </w:style>
  <w:style w:type="paragraph" w:styleId="BlockText">
    <w:name w:val="Block Text"/>
    <w:basedOn w:val="Normal"/>
    <w:rsid w:val="00A42666"/>
    <w:pPr>
      <w:ind w:left="1985" w:right="-2"/>
    </w:pPr>
    <w:rPr>
      <w:rFonts w:cs="Angsana New"/>
      <w:szCs w:val="24"/>
      <w:lang w:eastAsia="ja-JP" w:bidi="th-TH"/>
    </w:rPr>
  </w:style>
  <w:style w:type="table" w:styleId="TableGrid">
    <w:name w:val="Table Grid"/>
    <w:basedOn w:val="TableNormal"/>
    <w:rsid w:val="008922C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9Char">
    <w:name w:val="TOC 9 Char"/>
    <w:basedOn w:val="DefaultParagraphFont"/>
    <w:link w:val="TOC9"/>
    <w:uiPriority w:val="39"/>
    <w:rsid w:val="00EF7C50"/>
    <w:rPr>
      <w:rFonts w:ascii="Arial" w:hAnsi="Arial"/>
      <w:smallCaps/>
      <w:noProof/>
      <w:sz w:val="18"/>
      <w:lang w:val="fr-FR" w:eastAsia="ja-JP"/>
    </w:rPr>
  </w:style>
  <w:style w:type="paragraph" w:customStyle="1" w:styleId="StyleHeading2Justified">
    <w:name w:val="Style Heading 2 + Justified"/>
    <w:basedOn w:val="Heading2"/>
    <w:rsid w:val="008922C9"/>
    <w:pPr>
      <w:pBdr>
        <w:top w:val="single" w:sz="4" w:space="1" w:color="auto"/>
        <w:left w:val="single" w:sz="4" w:space="4" w:color="auto"/>
        <w:bottom w:val="single" w:sz="4" w:space="1" w:color="auto"/>
        <w:right w:val="single" w:sz="4" w:space="4" w:color="auto"/>
      </w:pBdr>
      <w:tabs>
        <w:tab w:val="left" w:pos="992"/>
      </w:tabs>
      <w:ind w:left="992" w:hanging="992"/>
    </w:pPr>
    <w:rPr>
      <w:rFonts w:ascii="Times New Roman" w:hAnsi="Times New Roman"/>
      <w:b w:val="0"/>
      <w:bCs/>
      <w:sz w:val="24"/>
      <w:lang w:val="en-GB" w:eastAsia="ja-JP" w:bidi="th-TH"/>
    </w:rPr>
  </w:style>
  <w:style w:type="character" w:customStyle="1" w:styleId="Heading2Char">
    <w:name w:val="Heading 2 Char"/>
    <w:basedOn w:val="DefaultParagraphFont"/>
    <w:link w:val="Heading2"/>
    <w:rsid w:val="00FE5D28"/>
    <w:rPr>
      <w:rFonts w:ascii="Arial" w:hAnsi="Arial"/>
      <w:b/>
    </w:rPr>
  </w:style>
  <w:style w:type="paragraph" w:styleId="ListParagraph">
    <w:name w:val="List Paragraph"/>
    <w:basedOn w:val="Normal"/>
    <w:uiPriority w:val="34"/>
    <w:qFormat/>
    <w:rsid w:val="002B14BC"/>
    <w:pPr>
      <w:ind w:left="720"/>
      <w:contextualSpacing/>
    </w:pPr>
  </w:style>
  <w:style w:type="character" w:styleId="FollowedHyperlink">
    <w:name w:val="FollowedHyperlink"/>
    <w:basedOn w:val="DefaultParagraphFont"/>
    <w:rsid w:val="00E97774"/>
    <w:rPr>
      <w:color w:val="800080" w:themeColor="followedHyperlink"/>
      <w:u w:val="single"/>
    </w:rPr>
  </w:style>
  <w:style w:type="paragraph" w:styleId="Caption">
    <w:name w:val="caption"/>
    <w:basedOn w:val="Normal"/>
    <w:next w:val="Normal"/>
    <w:unhideWhenUsed/>
    <w:qFormat/>
    <w:rsid w:val="00FA291B"/>
    <w:pPr>
      <w:spacing w:after="200"/>
    </w:pPr>
    <w:rPr>
      <w:b/>
      <w:bCs/>
      <w:color w:val="4F81BD" w:themeColor="accent1"/>
      <w:sz w:val="18"/>
      <w:szCs w:val="18"/>
    </w:rPr>
  </w:style>
  <w:style w:type="character" w:customStyle="1" w:styleId="HeaderChar">
    <w:name w:val="Header Char"/>
    <w:basedOn w:val="DefaultParagraphFont"/>
    <w:link w:val="Header"/>
    <w:uiPriority w:val="99"/>
    <w:rsid w:val="00804A0D"/>
    <w:rPr>
      <w:rFonts w:ascii="Arial" w:hAnsi="Arial" w:cs="Arial"/>
    </w:rPr>
  </w:style>
  <w:style w:type="character" w:customStyle="1" w:styleId="EndnoteTextChar">
    <w:name w:val="Endnote Text Char"/>
    <w:basedOn w:val="DefaultParagraphFont"/>
    <w:link w:val="EndnoteText"/>
    <w:semiHidden/>
    <w:rsid w:val="008D07A0"/>
    <w:rPr>
      <w:rFonts w:ascii="Arial" w:hAnsi="Arial"/>
    </w:rPr>
  </w:style>
  <w:style w:type="paragraph" w:customStyle="1" w:styleId="Disclaimer">
    <w:name w:val="Disclaimer"/>
    <w:next w:val="Normal"/>
    <w:qFormat/>
    <w:rsid w:val="00784E02"/>
    <w:pPr>
      <w:spacing w:after="600"/>
    </w:pPr>
    <w:rPr>
      <w:rFonts w:ascii="Arial" w:hAnsi="Arial"/>
      <w:i/>
      <w:iCs/>
      <w:color w:val="A6A6A6" w:themeColor="background1" w:themeShade="A6"/>
    </w:rPr>
  </w:style>
  <w:style w:type="paragraph" w:customStyle="1" w:styleId="Doccode">
    <w:name w:val="Doc_code"/>
    <w:qFormat/>
    <w:rsid w:val="00784E02"/>
    <w:rPr>
      <w:rFonts w:ascii="Arial" w:hAnsi="Arial"/>
      <w:b/>
      <w:bCs/>
      <w:spacing w:val="10"/>
      <w:sz w:val="18"/>
    </w:rPr>
  </w:style>
  <w:style w:type="paragraph" w:customStyle="1" w:styleId="tgchartextcentered">
    <w:name w:val="tg_char_text_centered"/>
    <w:basedOn w:val="Normal"/>
    <w:rsid w:val="00AB3EDA"/>
    <w:pPr>
      <w:spacing w:before="80" w:after="80"/>
      <w:jc w:val="center"/>
    </w:pPr>
    <w:rPr>
      <w:b/>
      <w:sz w:val="16"/>
    </w:rPr>
  </w:style>
  <w:style w:type="paragraph" w:customStyle="1" w:styleId="tgchartext">
    <w:name w:val="tg_char_text"/>
    <w:basedOn w:val="Normal"/>
    <w:rsid w:val="00AB3EDA"/>
    <w:pPr>
      <w:spacing w:before="80" w:after="80"/>
      <w:jc w:val="left"/>
    </w:pPr>
    <w:rPr>
      <w:sz w:val="16"/>
    </w:rPr>
  </w:style>
  <w:style w:type="character" w:customStyle="1" w:styleId="TitleofDocChar">
    <w:name w:val="Title of Doc Char"/>
    <w:basedOn w:val="DefaultParagraphFont"/>
    <w:link w:val="TitleofDoc"/>
    <w:rsid w:val="00E306B7"/>
    <w:rPr>
      <w:rFonts w:ascii="Arial" w:hAnsi="Arial"/>
    </w:rPr>
  </w:style>
  <w:style w:type="paragraph" w:styleId="NormalWeb">
    <w:name w:val="Normal (Web)"/>
    <w:basedOn w:val="Normal"/>
    <w:uiPriority w:val="99"/>
    <w:unhideWhenUsed/>
    <w:rsid w:val="00B26D2A"/>
    <w:pPr>
      <w:spacing w:before="100" w:beforeAutospacing="1" w:after="100" w:afterAutospacing="1"/>
      <w:jc w:val="left"/>
    </w:pPr>
    <w:rPr>
      <w:rFonts w:ascii="Times New Roman" w:eastAsiaTheme="minorEastAsia" w:hAnsi="Times New Roman"/>
      <w:sz w:val="24"/>
      <w:szCs w:val="24"/>
      <w:lang w:eastAsia="ja-JP"/>
    </w:rPr>
  </w:style>
  <w:style w:type="paragraph" w:styleId="Revision">
    <w:name w:val="Revision"/>
    <w:hidden/>
    <w:uiPriority w:val="99"/>
    <w:semiHidden/>
    <w:rsid w:val="00E14C0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oleObject" Target="embeddings/Microsoft_PowerPoint_97-2003_Presentation.ppt"/><Relationship Id="rId26" Type="http://schemas.openxmlformats.org/officeDocument/2006/relationships/oleObject" Target="embeddings/Microsoft_PowerPoint_97-2003_Presentation1.ppt"/><Relationship Id="rId3" Type="http://schemas.openxmlformats.org/officeDocument/2006/relationships/customXml" Target="../customXml/item3.xml"/><Relationship Id="rId21" Type="http://schemas.openxmlformats.org/officeDocument/2006/relationships/hyperlink" Target="mailto:info@naktuinbouw.nl"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e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package" Target="embeddings/Microsoft_PowerPoint_Slide.sldx"/><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www.upov.int/about/en/organigram.html" TargetMode="External"/><Relationship Id="rId23" Type="http://schemas.openxmlformats.org/officeDocument/2006/relationships/header" Target="header2.xml"/><Relationship Id="rId28"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documents/d/upov/tgp-documents-en-tgp_15.pdf" TargetMode="External"/><Relationship Id="rId22" Type="http://schemas.openxmlformats.org/officeDocument/2006/relationships/header" Target="header1.xml"/><Relationship Id="rId27" Type="http://schemas.openxmlformats.org/officeDocument/2006/relationships/package" Target="embeddings/Microsoft_PowerPoint_Slide1.sldx"/><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9</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Development Files</TermName>
          <TermId xmlns="http://schemas.microsoft.com/office/infopath/2007/PartnerControls">f71841d7-d761-4c37-b004-5446a898ad53</TermId>
        </TermInfo>
      </Terms>
    </oec7080f59824b85bfab9bab42c36e68>
    <Excluded xmlns="56500874-bba0-4b48-9090-b201492e8473">false</Excluded>
    <_dlc_DocId xmlns="178a353b-07a4-4986-a4a2-cbf49365616c">UPOVBFP-1868347946-2779</_dlc_DocId>
    <_dlc_DocIdUrl xmlns="178a353b-07a4-4986-a4a2-cbf49365616c">
      <Url>https://wipoprod.sharepoint.com/sites/SPS-INT-BFP-UPOV-InfoGuid/_layouts/15/DocIdRedir.aspx?ID=UPOVBFP-1868347946-2779</Url>
      <Description>UPOVBFP-1868347946-2779</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UPOV Document" ma:contentTypeID="0x01010055C8466DB2DC0041BD825C52736E99FC001A116FCF373EC742BDAD8FDE50CE3C41" ma:contentTypeVersion="73" ma:contentTypeDescription="" ma:contentTypeScope="" ma:versionID="432f5ea03483bcdc6b68b693cca8f94f">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5b7e50d1aba6cfe1ca34ac4756095515"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f7a99264-aac8-44dd-b14f-8017e78a225a" ContentTypeId="0x01010055C8466DB2DC0041BD825C52736E99FC" PreviousValue="false"/>
</file>

<file path=customXml/itemProps1.xml><?xml version="1.0" encoding="utf-8"?>
<ds:datastoreItem xmlns:ds="http://schemas.openxmlformats.org/officeDocument/2006/customXml" ds:itemID="{127B8E76-17B4-4688-B184-5F3CAB137D93}">
  <ds:schemaRefs>
    <ds:schemaRef ds:uri="http://schemas.microsoft.com/sharepoint/events"/>
  </ds:schemaRefs>
</ds:datastoreItem>
</file>

<file path=customXml/itemProps2.xml><?xml version="1.0" encoding="utf-8"?>
<ds:datastoreItem xmlns:ds="http://schemas.openxmlformats.org/officeDocument/2006/customXml" ds:itemID="{05D03905-7A4A-4F89-9589-D268B140BEED}">
  <ds:schemaRefs>
    <ds:schemaRef ds:uri="http://schemas.microsoft.com/sharepoint/v3/contenttype/forms"/>
  </ds:schemaRefs>
</ds:datastoreItem>
</file>

<file path=customXml/itemProps3.xml><?xml version="1.0" encoding="utf-8"?>
<ds:datastoreItem xmlns:ds="http://schemas.openxmlformats.org/officeDocument/2006/customXml" ds:itemID="{FEB2C91C-CC04-45D4-9CC3-B7CCD6F9FC2A}">
  <ds:schemaRefs>
    <ds:schemaRef ds:uri="http://schemas.openxmlformats.org/officeDocument/2006/bibliography"/>
  </ds:schemaRefs>
</ds:datastoreItem>
</file>

<file path=customXml/itemProps4.xml><?xml version="1.0" encoding="utf-8"?>
<ds:datastoreItem xmlns:ds="http://schemas.openxmlformats.org/officeDocument/2006/customXml" ds:itemID="{F944CC9C-01DA-4154-AF2C-24F1264CF9DD}">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5.xml><?xml version="1.0" encoding="utf-8"?>
<ds:datastoreItem xmlns:ds="http://schemas.openxmlformats.org/officeDocument/2006/customXml" ds:itemID="{8996223A-7B97-4277-9D64-9529946BEB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3DA8CC5-2D2D-47AB-9955-0F0494F0D155}">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25</Pages>
  <Words>9064</Words>
  <Characters>50218</Characters>
  <Application>Microsoft Office Word</Application>
  <DocSecurity>0</DocSecurity>
  <Lines>1195</Lines>
  <Paragraphs>529</Paragraphs>
  <ScaleCrop>false</ScaleCrop>
  <HeadingPairs>
    <vt:vector size="2" baseType="variant">
      <vt:variant>
        <vt:lpstr>Title</vt:lpstr>
      </vt:variant>
      <vt:variant>
        <vt:i4>1</vt:i4>
      </vt:variant>
    </vt:vector>
  </HeadingPairs>
  <TitlesOfParts>
    <vt:vector size="1" baseType="lpstr">
      <vt:lpstr>TGP/15/4 Draft 1</vt:lpstr>
    </vt:vector>
  </TitlesOfParts>
  <Company>UPOV</Company>
  <LinksUpToDate>false</LinksUpToDate>
  <CharactersWithSpaces>58753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TGP/15/4 Draft 1</dc:title>
  <dc:creator>SANCHEZ VIZCAINO GOMEZ Rosa Maria</dc:creator>
  <cp:lastModifiedBy>SANCHEZ VIZCAINO GOMEZ Rosa Maria</cp:lastModifiedBy>
  <cp:revision>89</cp:revision>
  <cp:lastPrinted>2019-07-05T09:41:00Z</cp:lastPrinted>
  <dcterms:created xsi:type="dcterms:W3CDTF">2026-03-04T16:32:00Z</dcterms:created>
  <dcterms:modified xsi:type="dcterms:W3CDTF">2026-09-17T09:56:00Z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0x01010055C8466DB2DC0041BD825C52736E99FC001A116FCF373EC742BDAD8FDE50CE3C41</vt:lpwstr>
  </property>
  <property fmtid="{D5CDD505-2E9C-101B-9397-08002B2CF9AE}" pid="3" name="BusinessUnit">
    <vt:lpwstr>3;#International Union for the Protection of New Varieties of Plants|b5148cec-dea8-4a3e-91f7-349f7e3ddab8</vt:lpwstr>
  </property>
  <property fmtid="{D5CDD505-2E9C-101B-9397-08002B2CF9AE}" pid="4" name="MediaServiceImageTags">
    <vt:lpwstr/>
  </property>
  <property fmtid="{D5CDD505-2E9C-101B-9397-08002B2CF9AE}" pid="5" name="RMClassification">
    <vt:lpwstr>9;#05 Development Files|f71841d7-d761-4c37-b004-5446a898ad53</vt:lpwstr>
  </property>
  <property fmtid="{D5CDD505-2E9C-101B-9397-08002B2CF9AE}" pid="6" name="lcf76f155ced4ddcb4097134ff3c332f">
    <vt:lpwstr/>
  </property>
  <property fmtid="{D5CDD505-2E9C-101B-9397-08002B2CF9AE}" pid="7" name="Languages">
    <vt:lpwstr>1;#English|950e6fa2-2df0-4983-a604-54e57c7a6d93</vt:lpwstr>
  </property>
  <property fmtid="{D5CDD505-2E9C-101B-9397-08002B2CF9AE}" pid="8" name="UPOVTopics">
    <vt:lpwstr/>
  </property>
  <property fmtid="{D5CDD505-2E9C-101B-9397-08002B2CF9AE}" pid="9" name="_dlc_DocIdItemGuid">
    <vt:lpwstr>173cba72-a34c-4f8a-8144-868e389c2bbf</vt:lpwstr>
  </property>
  <property fmtid="{D5CDD505-2E9C-101B-9397-08002B2CF9AE}" pid="11" name="docLang">
    <vt:lpwstr>en</vt:lpwstr>
  </property>
</Properties>
</file>