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DC3802" w:rsidRPr="00815738" w14:paraId="70E8E618" w14:textId="77777777" w:rsidTr="00EB4E9C">
        <w:tc>
          <w:tcPr>
            <w:tcW w:w="6522" w:type="dxa"/>
          </w:tcPr>
          <w:p w14:paraId="23A90A10" w14:textId="77777777" w:rsidR="00DC3802" w:rsidRPr="00AC2883" w:rsidRDefault="00CA7BA1" w:rsidP="00AC2883">
            <w:r>
              <w:rPr>
                <w:noProof/>
              </w:rPr>
              <w:drawing>
                <wp:inline distT="0" distB="0" distL="0" distR="0" wp14:anchorId="35E1AB1C" wp14:editId="2D6E156F">
                  <wp:extent cx="933450" cy="266700"/>
                  <wp:effectExtent l="0" t="0" r="0" b="0"/>
                  <wp:docPr id="1613879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79380"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33450" cy="266700"/>
                          </a:xfrm>
                          <a:prstGeom prst="rect">
                            <a:avLst/>
                          </a:prstGeom>
                        </pic:spPr>
                      </pic:pic>
                    </a:graphicData>
                  </a:graphic>
                </wp:inline>
              </w:drawing>
            </w:r>
          </w:p>
        </w:tc>
        <w:tc>
          <w:tcPr>
            <w:tcW w:w="3117" w:type="dxa"/>
          </w:tcPr>
          <w:p w14:paraId="26F3C568" w14:textId="77777777" w:rsidR="00DC3802" w:rsidRPr="007C1D92" w:rsidRDefault="00DC3802" w:rsidP="00AC2883">
            <w:pPr>
              <w:pStyle w:val="Lettrine"/>
            </w:pPr>
            <w:r w:rsidRPr="00172084">
              <w:t>E</w:t>
            </w:r>
          </w:p>
        </w:tc>
      </w:tr>
      <w:tr w:rsidR="00DC3802" w:rsidRPr="00DA4973" w14:paraId="7ABC8EEC" w14:textId="77777777" w:rsidTr="00645CA8">
        <w:trPr>
          <w:trHeight w:val="219"/>
        </w:trPr>
        <w:tc>
          <w:tcPr>
            <w:tcW w:w="6522" w:type="dxa"/>
          </w:tcPr>
          <w:p w14:paraId="31D01337" w14:textId="77777777" w:rsidR="00DC3802" w:rsidRPr="00AC2883" w:rsidRDefault="00DC3802" w:rsidP="00AC2883">
            <w:pPr>
              <w:pStyle w:val="upove"/>
            </w:pPr>
            <w:r w:rsidRPr="00AC2883">
              <w:t>International Union for the Protection of New Varieties of Plants</w:t>
            </w:r>
          </w:p>
        </w:tc>
        <w:tc>
          <w:tcPr>
            <w:tcW w:w="3117" w:type="dxa"/>
          </w:tcPr>
          <w:p w14:paraId="167DFF6C" w14:textId="77777777" w:rsidR="00DC3802" w:rsidRPr="00DA4973" w:rsidRDefault="00DC3802" w:rsidP="00DA4973"/>
        </w:tc>
      </w:tr>
    </w:tbl>
    <w:p w14:paraId="2EC3F8E2" w14:textId="77777777" w:rsidR="00DC3802" w:rsidRDefault="00DC3802" w:rsidP="00DC3802"/>
    <w:p w14:paraId="2F2FC766" w14:textId="77777777" w:rsidR="00DA4973" w:rsidRPr="00365DC1" w:rsidRDefault="00DA4973" w:rsidP="00DC3802"/>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EB4E9C" w:rsidRPr="00C5280D" w14:paraId="252AFA2A" w14:textId="77777777" w:rsidTr="00EB4E9C">
        <w:tc>
          <w:tcPr>
            <w:tcW w:w="6512" w:type="dxa"/>
          </w:tcPr>
          <w:p w14:paraId="570170F7" w14:textId="77777777" w:rsidR="00EB4E9C" w:rsidRPr="00C00377" w:rsidRDefault="00A3365A" w:rsidP="00AC2883">
            <w:pPr>
              <w:pStyle w:val="Sessiontc"/>
              <w:spacing w:line="240" w:lineRule="auto"/>
            </w:pPr>
            <w:r w:rsidRPr="00C00377">
              <w:t>Council</w:t>
            </w:r>
          </w:p>
          <w:p w14:paraId="6D57968F" w14:textId="77777777" w:rsidR="0083359E" w:rsidRPr="00C00377" w:rsidRDefault="00B451A8" w:rsidP="0051361E">
            <w:pPr>
              <w:pStyle w:val="Sessiontcplacedate"/>
            </w:pPr>
            <w:r w:rsidRPr="00C00377">
              <w:t xml:space="preserve">Sixtieth </w:t>
            </w:r>
            <w:r w:rsidR="00A3365A" w:rsidRPr="00C00377">
              <w:t xml:space="preserve">Ordinary </w:t>
            </w:r>
            <w:r w:rsidR="00EB4E9C" w:rsidRPr="00C00377">
              <w:t>Session</w:t>
            </w:r>
          </w:p>
          <w:p w14:paraId="5437DC31" w14:textId="77777777" w:rsidR="00EB4E9C" w:rsidRPr="00C00377" w:rsidRDefault="00EB4E9C" w:rsidP="00E364BF">
            <w:pPr>
              <w:pStyle w:val="Sessiontcplacedate"/>
              <w:rPr>
                <w:sz w:val="22"/>
              </w:rPr>
            </w:pPr>
            <w:r w:rsidRPr="00C00377">
              <w:t xml:space="preserve">Geneva, </w:t>
            </w:r>
            <w:r w:rsidR="0020304B" w:rsidRPr="00C00377">
              <w:t xml:space="preserve">October </w:t>
            </w:r>
            <w:r w:rsidR="00E948F9" w:rsidRPr="00C00377">
              <w:t>2</w:t>
            </w:r>
            <w:r w:rsidR="00B451A8" w:rsidRPr="00C00377">
              <w:t>3</w:t>
            </w:r>
            <w:r w:rsidR="00E364BF" w:rsidRPr="00C00377">
              <w:t xml:space="preserve">, </w:t>
            </w:r>
            <w:r w:rsidR="00B451A8" w:rsidRPr="00C00377">
              <w:t>2026</w:t>
            </w:r>
          </w:p>
        </w:tc>
        <w:tc>
          <w:tcPr>
            <w:tcW w:w="3127" w:type="dxa"/>
          </w:tcPr>
          <w:p w14:paraId="7E072188" w14:textId="185DFAEC" w:rsidR="00EB4E9C" w:rsidRPr="00C00377" w:rsidRDefault="00B451A8" w:rsidP="003C7FBE">
            <w:pPr>
              <w:pStyle w:val="Doccode"/>
            </w:pPr>
            <w:r w:rsidRPr="00C00377">
              <w:t>C/</w:t>
            </w:r>
            <w:r w:rsidR="009A36D8" w:rsidRPr="00C00377">
              <w:t>60/10</w:t>
            </w:r>
          </w:p>
          <w:p w14:paraId="729E6786" w14:textId="77777777" w:rsidR="00EB4E9C" w:rsidRPr="00C00377" w:rsidRDefault="00EB4E9C" w:rsidP="003C7FBE">
            <w:pPr>
              <w:pStyle w:val="Docoriginal"/>
            </w:pPr>
            <w:r w:rsidRPr="00C00377">
              <w:t>Original:</w:t>
            </w:r>
            <w:r w:rsidRPr="00C00377">
              <w:rPr>
                <w:b w:val="0"/>
                <w:spacing w:val="0"/>
              </w:rPr>
              <w:t xml:space="preserve">  English</w:t>
            </w:r>
          </w:p>
          <w:p w14:paraId="41F6691B" w14:textId="79E28D3D" w:rsidR="00EB4E9C" w:rsidRPr="007C1D92" w:rsidRDefault="00EB4E9C" w:rsidP="00E364BF">
            <w:pPr>
              <w:pStyle w:val="Docoriginal"/>
            </w:pPr>
            <w:r w:rsidRPr="00C00377">
              <w:t>Date:</w:t>
            </w:r>
            <w:r w:rsidRPr="00C00377">
              <w:rPr>
                <w:b w:val="0"/>
                <w:spacing w:val="0"/>
              </w:rPr>
              <w:t xml:space="preserve">  </w:t>
            </w:r>
            <w:r w:rsidR="00F036E2" w:rsidRPr="00C00377">
              <w:rPr>
                <w:b w:val="0"/>
                <w:spacing w:val="0"/>
              </w:rPr>
              <w:t>August</w:t>
            </w:r>
            <w:r w:rsidR="009A36D8" w:rsidRPr="00C00377">
              <w:rPr>
                <w:b w:val="0"/>
                <w:spacing w:val="0"/>
              </w:rPr>
              <w:t xml:space="preserve"> </w:t>
            </w:r>
            <w:r w:rsidR="00662B4B" w:rsidRPr="00C00377">
              <w:rPr>
                <w:b w:val="0"/>
                <w:spacing w:val="0"/>
              </w:rPr>
              <w:t>6</w:t>
            </w:r>
            <w:r w:rsidRPr="00C00377">
              <w:rPr>
                <w:b w:val="0"/>
                <w:spacing w:val="0"/>
              </w:rPr>
              <w:t xml:space="preserve">, </w:t>
            </w:r>
            <w:r w:rsidR="00B451A8" w:rsidRPr="00C00377">
              <w:rPr>
                <w:b w:val="0"/>
                <w:spacing w:val="0"/>
              </w:rPr>
              <w:t>2026</w:t>
            </w:r>
          </w:p>
        </w:tc>
      </w:tr>
    </w:tbl>
    <w:p w14:paraId="44EC86E8" w14:textId="66B74EE6" w:rsidR="009A36D8" w:rsidRPr="006E1E7B" w:rsidRDefault="0028575F" w:rsidP="009A36D8">
      <w:pPr>
        <w:pStyle w:val="Titleofdoc0"/>
      </w:pPr>
      <w:r w:rsidRPr="0028575F">
        <w:t>Report by the External Auditor on the 2025 UPOV financial statements</w:t>
      </w:r>
    </w:p>
    <w:p w14:paraId="4100453A" w14:textId="77777777" w:rsidR="009A36D8" w:rsidRPr="006E1E7B" w:rsidRDefault="009A36D8" w:rsidP="009A36D8">
      <w:pPr>
        <w:pStyle w:val="preparedby1"/>
        <w:jc w:val="left"/>
      </w:pPr>
      <w:r w:rsidRPr="006E1E7B">
        <w:t>Document prepared by the Office of the Union</w:t>
      </w:r>
    </w:p>
    <w:p w14:paraId="426C9ED5" w14:textId="77777777" w:rsidR="009A36D8" w:rsidRPr="006E1E7B" w:rsidRDefault="009A36D8" w:rsidP="009A36D8">
      <w:pPr>
        <w:pStyle w:val="Disclaimer"/>
      </w:pPr>
      <w:r w:rsidRPr="006E1E7B">
        <w:t>Disclaimer:  this document does not represent UPOV policies or guidance</w:t>
      </w:r>
    </w:p>
    <w:p w14:paraId="5C162645" w14:textId="32F74AF7" w:rsidR="009A36D8" w:rsidRPr="006E1E7B" w:rsidRDefault="009A36D8" w:rsidP="009A36D8">
      <w:r w:rsidRPr="006E1E7B">
        <w:fldChar w:fldCharType="begin"/>
      </w:r>
      <w:r w:rsidRPr="006E1E7B">
        <w:instrText xml:space="preserve"> AUTONUM  </w:instrText>
      </w:r>
      <w:r w:rsidRPr="006E1E7B">
        <w:fldChar w:fldCharType="end"/>
      </w:r>
      <w:r w:rsidRPr="006E1E7B">
        <w:tab/>
        <w:t>The Financial Statements of the International Union for the Protection of New Varieties of Plants (UPOV) for the year ended December 31, 202</w:t>
      </w:r>
      <w:r>
        <w:t>5</w:t>
      </w:r>
      <w:r w:rsidRPr="006E1E7B">
        <w:t>, together with the audit report of the External Auditor, are transmitted to the Council in accordance with Regulation 6.5 of the Financial Regulations and Rules of UPOV (document UPOV/INF/4/</w:t>
      </w:r>
      <w:r w:rsidR="00380C37">
        <w:t>7</w:t>
      </w:r>
      <w:r w:rsidRPr="006E1E7B">
        <w:t>), which requires that the Council examine and approve the financial statements.  The Financial Statements for 202</w:t>
      </w:r>
      <w:r>
        <w:t>5</w:t>
      </w:r>
      <w:r w:rsidRPr="006E1E7B">
        <w:t xml:space="preserve"> are presented in document C/</w:t>
      </w:r>
      <w:r>
        <w:t>60</w:t>
      </w:r>
      <w:r w:rsidRPr="006E1E7B">
        <w:t>/9.  The Annex to this document contains the audit report of the External Auditor.</w:t>
      </w:r>
    </w:p>
    <w:p w14:paraId="58C71D8D" w14:textId="77777777" w:rsidR="009A36D8" w:rsidRPr="006E1E7B" w:rsidRDefault="009A36D8" w:rsidP="009A36D8"/>
    <w:p w14:paraId="69C5870E" w14:textId="77777777" w:rsidR="009A36D8" w:rsidRPr="006E1E7B" w:rsidRDefault="009A36D8" w:rsidP="009A36D8">
      <w:pPr>
        <w:pStyle w:val="DecisionParagraphs"/>
        <w:rPr>
          <w:rFonts w:cs="Arial"/>
        </w:rPr>
      </w:pPr>
      <w:r w:rsidRPr="006E1E7B">
        <w:rPr>
          <w:rFonts w:cs="Arial"/>
        </w:rPr>
        <w:fldChar w:fldCharType="begin"/>
      </w:r>
      <w:r w:rsidRPr="006E1E7B">
        <w:rPr>
          <w:rFonts w:cs="Arial"/>
        </w:rPr>
        <w:instrText xml:space="preserve"> AUTONUM  </w:instrText>
      </w:r>
      <w:r w:rsidRPr="006E1E7B">
        <w:rPr>
          <w:rFonts w:cs="Arial"/>
        </w:rPr>
        <w:fldChar w:fldCharType="end"/>
      </w:r>
      <w:r w:rsidRPr="006E1E7B">
        <w:tab/>
        <w:t>The Council is invited to take note of the present document.</w:t>
      </w:r>
    </w:p>
    <w:p w14:paraId="59DB264F" w14:textId="77777777" w:rsidR="009A36D8" w:rsidRPr="006E1E7B" w:rsidRDefault="009A36D8" w:rsidP="009A36D8">
      <w:pPr>
        <w:spacing w:before="720"/>
        <w:jc w:val="right"/>
      </w:pPr>
      <w:r w:rsidRPr="006E1E7B">
        <w:t>[Annex follows]</w:t>
      </w:r>
    </w:p>
    <w:p w14:paraId="147E0AE7" w14:textId="77777777" w:rsidR="00903264" w:rsidRDefault="00903264" w:rsidP="007D2DA5"/>
    <w:p w14:paraId="492C72E1" w14:textId="77777777" w:rsidR="00737DC2" w:rsidRDefault="00737DC2" w:rsidP="007D2DA5">
      <w:pPr>
        <w:sectPr w:rsidR="00737DC2" w:rsidSect="00906DDC">
          <w:headerReference w:type="default" r:id="rId14"/>
          <w:footerReference w:type="even" r:id="rId15"/>
          <w:pgSz w:w="11907" w:h="16840" w:code="9"/>
          <w:pgMar w:top="510" w:right="1134" w:bottom="1134" w:left="1134" w:header="510" w:footer="680" w:gutter="0"/>
          <w:cols w:space="720"/>
          <w:titlePg/>
        </w:sectPr>
      </w:pPr>
    </w:p>
    <w:p w14:paraId="27EE060C" w14:textId="77777777" w:rsidR="00737DC2" w:rsidRPr="00737DC2" w:rsidRDefault="00737DC2" w:rsidP="00737DC2">
      <w:pPr>
        <w:spacing w:after="120" w:line="276" w:lineRule="auto"/>
        <w:jc w:val="left"/>
        <w:rPr>
          <w:rFonts w:ascii="Aptos" w:eastAsia="Aptos" w:hAnsi="Aptos" w:cs="Arial"/>
          <w:sz w:val="24"/>
          <w:szCs w:val="24"/>
          <w14:ligatures w14:val="standardContextual"/>
        </w:rPr>
      </w:pPr>
    </w:p>
    <w:p w14:paraId="716ACA74" w14:textId="77777777" w:rsidR="00737DC2" w:rsidRPr="00737DC2" w:rsidRDefault="00737DC2" w:rsidP="00737DC2">
      <w:pPr>
        <w:spacing w:after="120" w:line="276" w:lineRule="auto"/>
        <w:jc w:val="left"/>
        <w:rPr>
          <w:rFonts w:ascii="Aptos" w:eastAsia="Aptos" w:hAnsi="Aptos" w:cs="Arial"/>
          <w:sz w:val="24"/>
          <w:szCs w:val="24"/>
          <w14:ligatures w14:val="standardContextual"/>
        </w:rPr>
      </w:pPr>
      <w:r w:rsidRPr="00737DC2">
        <w:rPr>
          <w:rFonts w:ascii="Aptos" w:eastAsia="Aptos" w:hAnsi="Aptos" w:cs="Arial"/>
          <w:noProof/>
          <w:sz w:val="24"/>
          <w:szCs w:val="24"/>
          <w14:ligatures w14:val="standardContextual"/>
        </w:rPr>
        <mc:AlternateContent>
          <mc:Choice Requires="wpg">
            <w:drawing>
              <wp:anchor distT="0" distB="0" distL="114300" distR="114300" simplePos="0" relativeHeight="251658243" behindDoc="0" locked="0" layoutInCell="1" allowOverlap="1" wp14:anchorId="30AC20C7" wp14:editId="7B67659B">
                <wp:simplePos x="0" y="0"/>
                <wp:positionH relativeFrom="margin">
                  <wp:posOffset>339973</wp:posOffset>
                </wp:positionH>
                <wp:positionV relativeFrom="paragraph">
                  <wp:posOffset>266396</wp:posOffset>
                </wp:positionV>
                <wp:extent cx="4897175" cy="626771"/>
                <wp:effectExtent l="0" t="0" r="0" b="1905"/>
                <wp:wrapNone/>
                <wp:docPr id="2" name="Group 17"/>
                <wp:cNvGraphicFramePr/>
                <a:graphic xmlns:a="http://schemas.openxmlformats.org/drawingml/2006/main">
                  <a:graphicData uri="http://schemas.microsoft.com/office/word/2010/wordprocessingGroup">
                    <wpg:wgp>
                      <wpg:cNvGrpSpPr/>
                      <wpg:grpSpPr bwMode="auto">
                        <a:xfrm>
                          <a:off x="0" y="0"/>
                          <a:ext cx="4897175" cy="626771"/>
                          <a:chOff x="396815" y="0"/>
                          <a:chExt cx="4897330" cy="627214"/>
                        </a:xfrm>
                      </wpg:grpSpPr>
                      <wps:wsp>
                        <wps:cNvPr id="1748824790" name="Text Box 1748824790"/>
                        <wps:cNvSpPr txBox="1"/>
                        <wps:spPr bwMode="auto">
                          <a:xfrm>
                            <a:off x="1774341" y="84924"/>
                            <a:ext cx="3519804" cy="542290"/>
                          </a:xfrm>
                          <a:prstGeom prst="rect">
                            <a:avLst/>
                          </a:prstGeom>
                          <a:noFill/>
                          <a:ln>
                            <a:noFill/>
                          </a:ln>
                        </wps:spPr>
                        <wps:txbx>
                          <w:txbxContent>
                            <w:p w14:paraId="44961DA5" w14:textId="77777777" w:rsidR="00737DC2" w:rsidRDefault="00737DC2" w:rsidP="00737DC2">
                              <w:pPr>
                                <w:rPr>
                                  <w:rFonts w:ascii="Helvetica" w:hAnsi="Helvetica"/>
                                  <w:color w:val="000000"/>
                                  <w14:textOutline w14:w="0" w14:cap="flat" w14:cmpd="sng" w14:algn="ctr">
                                    <w14:noFill/>
                                    <w14:prstDash w14:val="solid"/>
                                    <w14:round/>
                                  </w14:textOutline>
                                </w:rPr>
                              </w:pPr>
                              <w:r>
                                <w:rPr>
                                  <w:rFonts w:ascii="Helvetica" w:hAnsi="Helvetica"/>
                                  <w:color w:val="000000"/>
                                  <w14:textOutline w14:w="0" w14:cap="flat" w14:cmpd="sng" w14:algn="ctr">
                                    <w14:noFill/>
                                    <w14:prstDash w14:val="solid"/>
                                    <w14:round/>
                                  </w14:textOutline>
                                </w:rPr>
                                <w:t xml:space="preserve">THE AUDIT BOARD OF </w:t>
                              </w:r>
                            </w:p>
                            <w:p w14:paraId="4DFC1EF4" w14:textId="77777777" w:rsidR="00737DC2" w:rsidRDefault="00737DC2" w:rsidP="00737DC2">
                              <w:pPr>
                                <w:rPr>
                                  <w:rFonts w:ascii="Helvetica" w:hAnsi="Helvetica"/>
                                  <w:color w:val="000000"/>
                                  <w14:textOutline w14:w="0" w14:cap="flat" w14:cmpd="sng" w14:algn="ctr">
                                    <w14:noFill/>
                                    <w14:prstDash w14:val="solid"/>
                                    <w14:round/>
                                  </w14:textOutline>
                                </w:rPr>
                              </w:pPr>
                              <w:r>
                                <w:rPr>
                                  <w:rFonts w:ascii="Helvetica" w:hAnsi="Helvetica"/>
                                  <w:color w:val="000000"/>
                                  <w14:textOutline w14:w="0" w14:cap="flat" w14:cmpd="sng" w14:algn="ctr">
                                    <w14:noFill/>
                                    <w14:prstDash w14:val="solid"/>
                                    <w14:round/>
                                  </w14:textOutline>
                                </w:rPr>
                                <w:t>THE REPUBLIC OF INDONESIA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bwMode="auto">
                          <a:xfrm>
                            <a:off x="396815" y="0"/>
                            <a:ext cx="1781810" cy="542290"/>
                          </a:xfrm>
                          <a:prstGeom prst="rect">
                            <a:avLst/>
                          </a:prstGeom>
                          <a:noFill/>
                          <a:ln>
                            <a:noFill/>
                          </a:ln>
                        </wps:spPr>
                        <wps:txbx>
                          <w:txbxContent>
                            <w:p w14:paraId="5C3C5294" w14:textId="77777777" w:rsidR="00737DC2" w:rsidRDefault="00737DC2" w:rsidP="00737DC2">
                              <w:pPr>
                                <w:rPr>
                                  <w:rFonts w:ascii="Helvetica" w:hAnsi="Helvetica"/>
                                  <w:b/>
                                  <w:bCs/>
                                  <w:color w:val="000000"/>
                                  <w:sz w:val="60"/>
                                  <w:szCs w:val="60"/>
                                  <w14:textOutline w14:w="0" w14:cap="flat" w14:cmpd="sng" w14:algn="ctr">
                                    <w14:noFill/>
                                    <w14:prstDash w14:val="solid"/>
                                    <w14:round/>
                                  </w14:textOutline>
                                </w:rPr>
                              </w:pPr>
                              <w:r>
                                <w:rPr>
                                  <w:rFonts w:ascii="Helvetica" w:hAnsi="Helvetica"/>
                                  <w:b/>
                                  <w:bCs/>
                                  <w:color w:val="000000"/>
                                  <w:sz w:val="60"/>
                                  <w:szCs w:val="60"/>
                                  <w14:textOutline w14:w="0" w14:cap="flat" w14:cmpd="sng" w14:algn="ctr">
                                    <w14:noFill/>
                                    <w14:prstDash w14:val="solid"/>
                                    <w14:round/>
                                  </w14:textOutline>
                                </w:rPr>
                                <w:t>BPK 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AC20C7" id="Group 17" o:spid="_x0000_s1026" style="position:absolute;margin-left:26.75pt;margin-top:21pt;width:385.6pt;height:49.35pt;z-index:251658243;mso-position-horizontal-relative:margin;mso-width-relative:margin;mso-height-relative:margin" coordorigin="3968" coordsize="48973,6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">
                <v:shapetype id="_x0000_t202" coordsize="21600,21600" o:spt="202" path="m,l,21600r21600,l21600,xe">
                  <v:stroke joinstyle="miter"/>
                  <v:path gradientshapeok="t" o:connecttype="rect"/>
                </v:shapetype>
                <v:shape id="Text Box 1748824790" o:spid="_x0000_s1027" type="#_x0000_t202" style="position:absolute;left:17743;top:849;width:35198;height:5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" filled="f" stroked="f">
                  <v:textbox>
                    <w:txbxContent>
                      <w:p w14:paraId="44961DA5" w14:textId="77777777" w:rsidR="00737DC2" w:rsidRDefault="00737DC2" w:rsidP="00737DC2">
                        <w:pPr>
                          <w:rPr>
                            <w:rFonts w:ascii="Helvetica" w:hAnsi="Helvetica"/>
                            <w:color w:val="000000"/>
                            <w14:textOutline w14:w="0" w14:cap="flat" w14:cmpd="sng" w14:algn="ctr">
                              <w14:noFill/>
                              <w14:prstDash w14:val="solid"/>
                              <w14:round/>
                            </w14:textOutline>
                          </w:rPr>
                        </w:pPr>
                        <w:r>
                          <w:rPr>
                            <w:rFonts w:ascii="Helvetica" w:hAnsi="Helvetica"/>
                            <w:color w:val="000000"/>
                            <w14:textOutline w14:w="0" w14:cap="flat" w14:cmpd="sng" w14:algn="ctr">
                              <w14:noFill/>
                              <w14:prstDash w14:val="solid"/>
                              <w14:round/>
                            </w14:textOutline>
                          </w:rPr>
                          <w:t xml:space="preserve">THE AUDIT BOARD OF </w:t>
                        </w:r>
                      </w:p>
                      <w:p w14:paraId="4DFC1EF4" w14:textId="77777777" w:rsidR="00737DC2" w:rsidRDefault="00737DC2" w:rsidP="00737DC2">
                        <w:pPr>
                          <w:rPr>
                            <w:rFonts w:ascii="Helvetica" w:hAnsi="Helvetica"/>
                            <w:color w:val="000000"/>
                            <w14:textOutline w14:w="0" w14:cap="flat" w14:cmpd="sng" w14:algn="ctr">
                              <w14:noFill/>
                              <w14:prstDash w14:val="solid"/>
                              <w14:round/>
                            </w14:textOutline>
                          </w:rPr>
                        </w:pPr>
                        <w:r>
                          <w:rPr>
                            <w:rFonts w:ascii="Helvetica" w:hAnsi="Helvetica"/>
                            <w:color w:val="000000"/>
                            <w14:textOutline w14:w="0" w14:cap="flat" w14:cmpd="sng" w14:algn="ctr">
                              <w14:noFill/>
                              <w14:prstDash w14:val="solid"/>
                              <w14:round/>
                            </w14:textOutline>
                          </w:rPr>
                          <w:t>THE REPUBLIC OF INDONESIA</w:t>
                        </w:r>
                      </w:p>
                    </w:txbxContent>
                  </v:textbox>
                </v:shape>
                <v:shape id="_x0000_s1028" type="#_x0000_t202" style="position:absolute;left:3968;width:17818;height:5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5C3C5294" w14:textId="77777777" w:rsidR="00737DC2" w:rsidRDefault="00737DC2" w:rsidP="00737DC2">
                        <w:pPr>
                          <w:rPr>
                            <w:rFonts w:ascii="Helvetica" w:hAnsi="Helvetica"/>
                            <w:b/>
                            <w:bCs/>
                            <w:color w:val="000000"/>
                            <w:sz w:val="60"/>
                            <w:szCs w:val="60"/>
                            <w14:textOutline w14:w="0" w14:cap="flat" w14:cmpd="sng" w14:algn="ctr">
                              <w14:noFill/>
                              <w14:prstDash w14:val="solid"/>
                              <w14:round/>
                            </w14:textOutline>
                          </w:rPr>
                        </w:pPr>
                        <w:r>
                          <w:rPr>
                            <w:rFonts w:ascii="Helvetica" w:hAnsi="Helvetica"/>
                            <w:b/>
                            <w:bCs/>
                            <w:color w:val="000000"/>
                            <w:sz w:val="60"/>
                            <w:szCs w:val="60"/>
                            <w14:textOutline w14:w="0" w14:cap="flat" w14:cmpd="sng" w14:algn="ctr">
                              <w14:noFill/>
                              <w14:prstDash w14:val="solid"/>
                              <w14:round/>
                            </w14:textOutline>
                          </w:rPr>
                          <w:t>BPK RI</w:t>
                        </w:r>
                      </w:p>
                    </w:txbxContent>
                  </v:textbox>
                </v:shape>
                <w10:wrap anchorx="margin"/>
              </v:group>
            </w:pict>
          </mc:Fallback>
        </mc:AlternateContent>
      </w:r>
      <w:r w:rsidRPr="00737DC2">
        <w:rPr>
          <w:rFonts w:ascii="Aptos" w:eastAsia="Aptos" w:hAnsi="Aptos" w:cs="Arial"/>
          <w:noProof/>
          <w:sz w:val="24"/>
          <w:szCs w:val="24"/>
          <w14:ligatures w14:val="standardContextual"/>
        </w:rPr>
        <w:drawing>
          <wp:anchor distT="0" distB="0" distL="114300" distR="114300" simplePos="0" relativeHeight="251658245" behindDoc="0" locked="0" layoutInCell="1" allowOverlap="1" wp14:anchorId="75D79473" wp14:editId="6A66EED2">
            <wp:simplePos x="0" y="0"/>
            <wp:positionH relativeFrom="leftMargin">
              <wp:posOffset>810895</wp:posOffset>
            </wp:positionH>
            <wp:positionV relativeFrom="paragraph">
              <wp:posOffset>310291</wp:posOffset>
            </wp:positionV>
            <wp:extent cx="425450" cy="431800"/>
            <wp:effectExtent l="0" t="0" r="6350" b="0"/>
            <wp:wrapThrough wrapText="bothSides">
              <wp:wrapPolygon edited="1">
                <wp:start x="0" y="0"/>
                <wp:lineTo x="0" y="15247"/>
                <wp:lineTo x="2579" y="20329"/>
                <wp:lineTo x="5803" y="20965"/>
                <wp:lineTo x="15475" y="20965"/>
                <wp:lineTo x="18699" y="20329"/>
                <wp:lineTo x="21278" y="15247"/>
                <wp:lineTo x="21278" y="0"/>
                <wp:lineTo x="0" y="0"/>
              </wp:wrapPolygon>
            </wp:wrapThrough>
            <wp:docPr id="3" name="Picture 834132170" descr="A golden eagle with a red and white shield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132170" name="Picture 834132170" descr="A golden eagle with a red and white shield  AI-generated content may be incorrect."/>
                    <pic:cNvPicPr>
                      <a:picLocks noChangeAspect="1"/>
                    </pic:cNvPicPr>
                  </pic:nvPicPr>
                  <pic:blipFill>
                    <a:blip r:embed="rId16"/>
                    <a:stretch/>
                  </pic:blipFill>
                  <pic:spPr bwMode="auto">
                    <a:xfrm>
                      <a:off x="0" y="0"/>
                      <a:ext cx="425450" cy="431799"/>
                    </a:xfrm>
                    <a:prstGeom prst="rect">
                      <a:avLst/>
                    </a:prstGeom>
                  </pic:spPr>
                </pic:pic>
              </a:graphicData>
            </a:graphic>
            <wp14:sizeRelH relativeFrom="margin">
              <wp14:pctWidth>0</wp14:pctWidth>
            </wp14:sizeRelH>
            <wp14:sizeRelV relativeFrom="margin">
              <wp14:pctHeight>0</wp14:pctHeight>
            </wp14:sizeRelV>
          </wp:anchor>
        </w:drawing>
      </w:r>
    </w:p>
    <w:p w14:paraId="28E5CB03" w14:textId="77777777" w:rsidR="00737DC2" w:rsidRPr="00737DC2" w:rsidRDefault="00737DC2" w:rsidP="00737DC2">
      <w:pPr>
        <w:spacing w:after="120" w:line="276" w:lineRule="auto"/>
        <w:jc w:val="left"/>
        <w:rPr>
          <w:rFonts w:ascii="Aptos" w:eastAsia="Aptos" w:hAnsi="Aptos" w:cs="Arial"/>
          <w:sz w:val="24"/>
          <w:szCs w:val="24"/>
          <w14:ligatures w14:val="standardContextual"/>
        </w:rPr>
      </w:pPr>
      <w:r w:rsidRPr="00737DC2">
        <w:rPr>
          <w:rFonts w:ascii="Aptos" w:eastAsia="Aptos" w:hAnsi="Aptos" w:cs="Arial"/>
          <w:noProof/>
          <w:sz w:val="24"/>
          <w:szCs w:val="24"/>
          <w14:ligatures w14:val="standardContextual"/>
        </w:rPr>
        <mc:AlternateContent>
          <mc:Choice Requires="wps">
            <w:drawing>
              <wp:anchor distT="0" distB="0" distL="114300" distR="114300" simplePos="0" relativeHeight="251658240" behindDoc="0" locked="0" layoutInCell="1" allowOverlap="1" wp14:anchorId="09E4CFA0" wp14:editId="29FDDEBB">
                <wp:simplePos x="0" y="0"/>
                <wp:positionH relativeFrom="column">
                  <wp:posOffset>-917198</wp:posOffset>
                </wp:positionH>
                <wp:positionV relativeFrom="paragraph">
                  <wp:posOffset>9497695</wp:posOffset>
                </wp:positionV>
                <wp:extent cx="7884795" cy="254000"/>
                <wp:effectExtent l="0" t="0" r="1905" b="0"/>
                <wp:wrapNone/>
                <wp:docPr id="4" name="Rectangle 14"/>
                <wp:cNvGraphicFramePr/>
                <a:graphic xmlns:a="http://schemas.openxmlformats.org/drawingml/2006/main">
                  <a:graphicData uri="http://schemas.microsoft.com/office/word/2010/wordprocessingShape">
                    <wps:wsp>
                      <wps:cNvSpPr/>
                      <wps:spPr bwMode="auto">
                        <a:xfrm>
                          <a:off x="0" y="0"/>
                          <a:ext cx="7884795" cy="254000"/>
                        </a:xfrm>
                        <a:prstGeom prst="rect">
                          <a:avLst/>
                        </a:prstGeom>
                        <a:solidFill>
                          <a:srgbClr val="0E2841">
                            <a:lumMod val="75000"/>
                            <a:lumOff val="25000"/>
                          </a:srgbClr>
                        </a:solidFill>
                        <a:ln w="19050" cap="flat" cmpd="sng" algn="ctr">
                          <a:noFill/>
                          <a:prstDash val="solid"/>
                          <a:miter lim="800000"/>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E8E68" id="Rectangle 14" o:spid="_x0000_s1026" style="position:absolute;margin-left:-72.2pt;margin-top:747.85pt;width:620.85pt;height:2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" fillcolor="#215f9a" stroked="f" strokeweight="1.5pt"/>
            </w:pict>
          </mc:Fallback>
        </mc:AlternateContent>
      </w:r>
      <w:r w:rsidRPr="00737DC2">
        <w:rPr>
          <w:rFonts w:ascii="Aptos" w:eastAsia="Aptos" w:hAnsi="Aptos" w:cs="Aptos"/>
          <w:noProof/>
          <w:color w:val="000000"/>
          <w:sz w:val="24"/>
          <w:szCs w:val="24"/>
          <w14:ligatures w14:val="standardContextual"/>
        </w:rPr>
        <mc:AlternateContent>
          <mc:Choice Requires="wps">
            <w:drawing>
              <wp:anchor distT="0" distB="0" distL="114300" distR="114300" simplePos="0" relativeHeight="251658242" behindDoc="0" locked="0" layoutInCell="1" allowOverlap="1" wp14:anchorId="0B5668DB" wp14:editId="0D014086">
                <wp:simplePos x="0" y="0"/>
                <wp:positionH relativeFrom="column">
                  <wp:posOffset>-38735</wp:posOffset>
                </wp:positionH>
                <wp:positionV relativeFrom="paragraph">
                  <wp:posOffset>-2312670</wp:posOffset>
                </wp:positionV>
                <wp:extent cx="5365115" cy="944880"/>
                <wp:effectExtent l="0" t="0" r="0" b="0"/>
                <wp:wrapNone/>
                <wp:docPr id="5" name="Text Box 1"/>
                <wp:cNvGraphicFramePr/>
                <a:graphic xmlns:a="http://schemas.openxmlformats.org/drawingml/2006/main">
                  <a:graphicData uri="http://schemas.microsoft.com/office/word/2010/wordprocessingShape">
                    <wps:wsp>
                      <wps:cNvSpPr txBox="1"/>
                      <wps:spPr bwMode="auto">
                        <a:xfrm>
                          <a:off x="0" y="0"/>
                          <a:ext cx="5365115" cy="944880"/>
                        </a:xfrm>
                        <a:prstGeom prst="rect">
                          <a:avLst/>
                        </a:prstGeom>
                        <a:noFill/>
                        <a:ln>
                          <a:noFill/>
                        </a:ln>
                      </wps:spPr>
                      <wps:txbx>
                        <w:txbxContent>
                          <w:p w14:paraId="1138CCBD" w14:textId="77777777" w:rsidR="00737DC2" w:rsidRDefault="00737DC2" w:rsidP="00737DC2">
                            <w:pPr>
                              <w:rPr>
                                <w:rFonts w:ascii="Helvetica" w:hAnsi="Helvetica"/>
                                <w:color w:val="FFFFFF"/>
                                <w:sz w:val="56"/>
                                <w:szCs w:val="56"/>
                                <w14:textOutline w14:w="0" w14:cap="flat" w14:cmpd="sng" w14:algn="ctr">
                                  <w14:noFill/>
                                  <w14:prstDash w14:val="solid"/>
                                  <w14:round/>
                                </w14:textOutline>
                              </w:rPr>
                            </w:pPr>
                            <w:r>
                              <w:rPr>
                                <w:rFonts w:ascii="Helvetica" w:hAnsi="Helvetica"/>
                                <w:color w:val="FFFFFF"/>
                                <w:sz w:val="56"/>
                                <w:szCs w:val="56"/>
                                <w14:textOutline w14:w="0" w14:cap="flat" w14:cmpd="sng" w14:algn="ctr">
                                  <w14:noFill/>
                                  <w14:prstDash w14:val="solid"/>
                                  <w14:round/>
                                </w14:textOutline>
                              </w:rPr>
                              <w:t>WORLD INTELLECTUAL PROPERTY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B5668DB" id="Text Box 1" o:spid="_x0000_s1029" type="#_x0000_t202" style="position:absolute;margin-left:-3.05pt;margin-top:-182.1pt;width:422.45pt;height:74.4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" filled="f" stroked="f">
                <v:textbox style="mso-fit-shape-to-text:t">
                  <w:txbxContent>
                    <w:p w14:paraId="1138CCBD" w14:textId="77777777" w:rsidR="00737DC2" w:rsidRDefault="00737DC2" w:rsidP="00737DC2">
                      <w:pPr>
                        <w:rPr>
                          <w:rFonts w:ascii="Helvetica" w:hAnsi="Helvetica"/>
                          <w:color w:val="FFFFFF"/>
                          <w:sz w:val="56"/>
                          <w:szCs w:val="56"/>
                          <w14:textOutline w14:w="0" w14:cap="flat" w14:cmpd="sng" w14:algn="ctr">
                            <w14:noFill/>
                            <w14:prstDash w14:val="solid"/>
                            <w14:round/>
                          </w14:textOutline>
                        </w:rPr>
                      </w:pPr>
                      <w:r>
                        <w:rPr>
                          <w:rFonts w:ascii="Helvetica" w:hAnsi="Helvetica"/>
                          <w:color w:val="FFFFFF"/>
                          <w:sz w:val="56"/>
                          <w:szCs w:val="56"/>
                          <w14:textOutline w14:w="0" w14:cap="flat" w14:cmpd="sng" w14:algn="ctr">
                            <w14:noFill/>
                            <w14:prstDash w14:val="solid"/>
                            <w14:round/>
                          </w14:textOutline>
                        </w:rPr>
                        <w:t>WORLD INTELLECTUAL PROPERTY ORGANIZATION</w:t>
                      </w:r>
                    </w:p>
                  </w:txbxContent>
                </v:textbox>
              </v:shape>
            </w:pict>
          </mc:Fallback>
        </mc:AlternateContent>
      </w:r>
      <w:r w:rsidRPr="00737DC2">
        <w:rPr>
          <w:rFonts w:ascii="Aptos" w:eastAsia="Aptos" w:hAnsi="Aptos" w:cs="Aptos"/>
          <w:noProof/>
          <w:color w:val="000000"/>
          <w:sz w:val="24"/>
          <w:szCs w:val="24"/>
          <w14:ligatures w14:val="standardContextual"/>
        </w:rPr>
        <mc:AlternateContent>
          <mc:Choice Requires="wps">
            <w:drawing>
              <wp:anchor distT="0" distB="0" distL="114300" distR="114300" simplePos="0" relativeHeight="251658241" behindDoc="0" locked="0" layoutInCell="1" allowOverlap="1" wp14:anchorId="0415198B" wp14:editId="38819A33">
                <wp:simplePos x="0" y="0"/>
                <wp:positionH relativeFrom="column">
                  <wp:posOffset>-53340</wp:posOffset>
                </wp:positionH>
                <wp:positionV relativeFrom="paragraph">
                  <wp:posOffset>-3122295</wp:posOffset>
                </wp:positionV>
                <wp:extent cx="4755515" cy="835660"/>
                <wp:effectExtent l="0" t="0" r="0" b="0"/>
                <wp:wrapNone/>
                <wp:docPr id="6" name="Text Box 1"/>
                <wp:cNvGraphicFramePr/>
                <a:graphic xmlns:a="http://schemas.openxmlformats.org/drawingml/2006/main">
                  <a:graphicData uri="http://schemas.microsoft.com/office/word/2010/wordprocessingShape">
                    <wps:wsp>
                      <wps:cNvSpPr txBox="1"/>
                      <wps:spPr bwMode="auto">
                        <a:xfrm>
                          <a:off x="0" y="0"/>
                          <a:ext cx="4755515" cy="835660"/>
                        </a:xfrm>
                        <a:prstGeom prst="rect">
                          <a:avLst/>
                        </a:prstGeom>
                        <a:noFill/>
                        <a:ln>
                          <a:noFill/>
                        </a:ln>
                      </wps:spPr>
                      <wps:txbx>
                        <w:txbxContent>
                          <w:p w14:paraId="4B132163" w14:textId="77777777" w:rsidR="00737DC2" w:rsidRDefault="00737DC2" w:rsidP="00737DC2">
                            <w:pPr>
                              <w:jc w:val="center"/>
                              <w:rPr>
                                <w:rFonts w:ascii="Helvetica" w:hAnsi="Helvetica"/>
                                <w:b/>
                                <w:bCs/>
                                <w:color w:val="FFFFFF"/>
                                <w:sz w:val="96"/>
                                <w:szCs w:val="96"/>
                                <w14:textOutline w14:w="0" w14:cap="flat" w14:cmpd="sng" w14:algn="ctr">
                                  <w14:noFill/>
                                  <w14:prstDash w14:val="solid"/>
                                  <w14:round/>
                                </w14:textOutline>
                              </w:rPr>
                            </w:pPr>
                            <w:r>
                              <w:rPr>
                                <w:rFonts w:ascii="Helvetica" w:hAnsi="Helvetica"/>
                                <w:b/>
                                <w:bCs/>
                                <w:color w:val="FFFFFF"/>
                                <w:sz w:val="96"/>
                                <w:szCs w:val="96"/>
                                <w14:textOutline w14:w="0" w14:cap="flat" w14:cmpd="sng" w14:algn="ctr">
                                  <w14:noFill/>
                                  <w14:prstDash w14:val="solid"/>
                                  <w14:round/>
                                </w14:textOutline>
                              </w:rPr>
                              <w:t>AUDIT REPORT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15198B" id="_x0000_s1030" type="#_x0000_t202" style="position:absolute;margin-left:-4.2pt;margin-top:-245.85pt;width:374.45pt;height:65.8pt;z-index:25165824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" filled="f" stroked="f">
                <v:textbox>
                  <w:txbxContent>
                    <w:p w14:paraId="4B132163" w14:textId="77777777" w:rsidR="00737DC2" w:rsidRDefault="00737DC2" w:rsidP="00737DC2">
                      <w:pPr>
                        <w:jc w:val="center"/>
                        <w:rPr>
                          <w:rFonts w:ascii="Helvetica" w:hAnsi="Helvetica"/>
                          <w:b/>
                          <w:bCs/>
                          <w:color w:val="FFFFFF"/>
                          <w:sz w:val="96"/>
                          <w:szCs w:val="96"/>
                          <w14:textOutline w14:w="0" w14:cap="flat" w14:cmpd="sng" w14:algn="ctr">
                            <w14:noFill/>
                            <w14:prstDash w14:val="solid"/>
                            <w14:round/>
                          </w14:textOutline>
                        </w:rPr>
                      </w:pPr>
                      <w:r>
                        <w:rPr>
                          <w:rFonts w:ascii="Helvetica" w:hAnsi="Helvetica"/>
                          <w:b/>
                          <w:bCs/>
                          <w:color w:val="FFFFFF"/>
                          <w:sz w:val="96"/>
                          <w:szCs w:val="96"/>
                          <w14:textOutline w14:w="0" w14:cap="flat" w14:cmpd="sng" w14:algn="ctr">
                            <w14:noFill/>
                            <w14:prstDash w14:val="solid"/>
                            <w14:round/>
                          </w14:textOutline>
                        </w:rPr>
                        <w:t>AUDIT REPORT</w:t>
                      </w:r>
                    </w:p>
                  </w:txbxContent>
                </v:textbox>
              </v:shape>
            </w:pict>
          </mc:Fallback>
        </mc:AlternateContent>
      </w:r>
    </w:p>
    <w:p w14:paraId="12AA0A22" w14:textId="77777777" w:rsidR="00737DC2" w:rsidRPr="00737DC2" w:rsidRDefault="00737DC2" w:rsidP="00737DC2">
      <w:pPr>
        <w:spacing w:after="120" w:line="276" w:lineRule="auto"/>
        <w:jc w:val="left"/>
        <w:rPr>
          <w:rFonts w:ascii="Aptos" w:eastAsia="Aptos" w:hAnsi="Aptos" w:cs="Arial"/>
          <w:sz w:val="24"/>
          <w:szCs w:val="24"/>
        </w:rPr>
      </w:pPr>
    </w:p>
    <w:p w14:paraId="20537E3D" w14:textId="77777777" w:rsidR="00737DC2" w:rsidRPr="00737DC2" w:rsidRDefault="00737DC2" w:rsidP="00737DC2">
      <w:pPr>
        <w:spacing w:after="120" w:line="276" w:lineRule="auto"/>
        <w:jc w:val="left"/>
        <w:rPr>
          <w:rFonts w:ascii="Aptos" w:eastAsia="Aptos" w:hAnsi="Aptos" w:cs="Arial"/>
          <w:sz w:val="24"/>
          <w:szCs w:val="24"/>
        </w:rPr>
      </w:pPr>
    </w:p>
    <w:p w14:paraId="3E1EB35E" w14:textId="77777777" w:rsidR="00737DC2" w:rsidRPr="00737DC2" w:rsidRDefault="00737DC2" w:rsidP="00737DC2">
      <w:pPr>
        <w:spacing w:after="120" w:line="276" w:lineRule="auto"/>
        <w:jc w:val="left"/>
        <w:rPr>
          <w:rFonts w:ascii="Aptos" w:eastAsia="Aptos" w:hAnsi="Aptos" w:cs="Arial"/>
          <w:sz w:val="24"/>
          <w:szCs w:val="24"/>
        </w:rPr>
      </w:pPr>
      <w:r w:rsidRPr="00737DC2">
        <w:rPr>
          <w:rFonts w:ascii="Aptos" w:eastAsia="Aptos" w:hAnsi="Aptos" w:cs="Arial"/>
          <w:noProof/>
          <w:sz w:val="24"/>
          <w:szCs w:val="24"/>
          <w14:ligatures w14:val="standardContextual"/>
        </w:rPr>
        <mc:AlternateContent>
          <mc:Choice Requires="wpg">
            <w:drawing>
              <wp:anchor distT="0" distB="0" distL="114300" distR="114300" simplePos="0" relativeHeight="251658246" behindDoc="0" locked="0" layoutInCell="1" allowOverlap="1" wp14:anchorId="5F0572EA" wp14:editId="6F16536C">
                <wp:simplePos x="0" y="0"/>
                <wp:positionH relativeFrom="page">
                  <wp:align>left</wp:align>
                </wp:positionH>
                <wp:positionV relativeFrom="paragraph">
                  <wp:posOffset>195718</wp:posOffset>
                </wp:positionV>
                <wp:extent cx="6765547" cy="3789405"/>
                <wp:effectExtent l="0" t="0" r="3810" b="0"/>
                <wp:wrapNone/>
                <wp:docPr id="763565899" name="Group 9"/>
                <wp:cNvGraphicFramePr/>
                <a:graphic xmlns:a="http://schemas.openxmlformats.org/drawingml/2006/main">
                  <a:graphicData uri="http://schemas.microsoft.com/office/word/2010/wordprocessingGroup">
                    <wpg:wgp>
                      <wpg:cNvGrpSpPr/>
                      <wpg:grpSpPr bwMode="auto">
                        <a:xfrm>
                          <a:off x="0" y="0"/>
                          <a:ext cx="6765547" cy="3789405"/>
                          <a:chOff x="-133350" y="-254003"/>
                          <a:chExt cx="6366510" cy="3283649"/>
                        </a:xfrm>
                      </wpg:grpSpPr>
                      <wps:wsp>
                        <wps:cNvPr id="1978238379" name="Rectangle 1978238379"/>
                        <wps:cNvSpPr/>
                        <wps:spPr bwMode="auto">
                          <a:xfrm>
                            <a:off x="-133350" y="-254003"/>
                            <a:ext cx="6366510" cy="2628265"/>
                          </a:xfrm>
                          <a:prstGeom prst="rect">
                            <a:avLst/>
                          </a:prstGeom>
                          <a:solidFill>
                            <a:srgbClr val="0E2841">
                              <a:lumMod val="75000"/>
                              <a:lumOff val="25000"/>
                            </a:srgbClr>
                          </a:solidFill>
                          <a:ln w="19050" cap="flat" cmpd="sng" algn="ctr">
                            <a:noFill/>
                            <a:prstDash val="solid"/>
                            <a:miter lim="800000"/>
                          </a:ln>
                          <a:effectLst/>
                        </wps:spPr>
                        <wps:bodyPr rot="0">
                          <a:prstTxWarp prst="textNoShape">
                            <a:avLst/>
                          </a:prstTxWarp>
                          <a:noAutofit/>
                        </wps:bodyPr>
                      </wps:wsp>
                      <wps:wsp>
                        <wps:cNvPr id="2094811236" name="Text Box 2094811236"/>
                        <wps:cNvSpPr txBox="1"/>
                        <wps:spPr bwMode="auto">
                          <a:xfrm>
                            <a:off x="496126" y="-113180"/>
                            <a:ext cx="4756150" cy="792480"/>
                          </a:xfrm>
                          <a:prstGeom prst="rect">
                            <a:avLst/>
                          </a:prstGeom>
                          <a:noFill/>
                          <a:ln>
                            <a:noFill/>
                          </a:ln>
                        </wps:spPr>
                        <wps:txbx>
                          <w:txbxContent>
                            <w:p w14:paraId="37F4ABAE" w14:textId="77777777" w:rsidR="00737DC2" w:rsidRDefault="00737DC2" w:rsidP="00737DC2">
                              <w:pPr>
                                <w:jc w:val="center"/>
                                <w:rPr>
                                  <w:rFonts w:ascii="Helvetica" w:hAnsi="Helvetica"/>
                                  <w:b/>
                                  <w:bCs/>
                                  <w:color w:val="FFFFFF"/>
                                  <w:sz w:val="96"/>
                                  <w:szCs w:val="96"/>
                                  <w14:textOutline w14:w="0" w14:cap="flat" w14:cmpd="sng" w14:algn="ctr">
                                    <w14:noFill/>
                                    <w14:prstDash w14:val="solid"/>
                                    <w14:round/>
                                  </w14:textOutline>
                                </w:rPr>
                              </w:pPr>
                              <w:r>
                                <w:rPr>
                                  <w:rFonts w:ascii="Helvetica" w:hAnsi="Helvetica"/>
                                  <w:b/>
                                  <w:bCs/>
                                  <w:color w:val="FFFFFF"/>
                                  <w:sz w:val="96"/>
                                  <w:szCs w:val="96"/>
                                  <w14:textOutline w14:w="0" w14:cap="flat" w14:cmpd="sng" w14:algn="ctr">
                                    <w14:noFill/>
                                    <w14:prstDash w14:val="solid"/>
                                    <w14:round/>
                                  </w14:textOutline>
                                </w:rPr>
                                <w:t>AUDIT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7380353" name="Text Box 1887380353"/>
                        <wps:cNvSpPr txBox="1"/>
                        <wps:spPr bwMode="auto">
                          <a:xfrm>
                            <a:off x="689872" y="566109"/>
                            <a:ext cx="5525606" cy="1204899"/>
                          </a:xfrm>
                          <a:prstGeom prst="rect">
                            <a:avLst/>
                          </a:prstGeom>
                          <a:noFill/>
                          <a:ln>
                            <a:noFill/>
                          </a:ln>
                        </wps:spPr>
                        <wps:txbx>
                          <w:txbxContent>
                            <w:p w14:paraId="406B0E73" w14:textId="77777777" w:rsidR="00737DC2" w:rsidRDefault="00737DC2" w:rsidP="00737DC2">
                              <w:pPr>
                                <w:jc w:val="left"/>
                                <w:rPr>
                                  <w:rFonts w:ascii="Helvetica" w:hAnsi="Helvetica"/>
                                  <w:color w:val="FFFFFF"/>
                                  <w:sz w:val="56"/>
                                  <w:szCs w:val="56"/>
                                  <w14:textOutline w14:w="0" w14:cap="flat" w14:cmpd="sng" w14:algn="ctr">
                                    <w14:noFill/>
                                    <w14:prstDash w14:val="solid"/>
                                    <w14:round/>
                                  </w14:textOutline>
                                </w:rPr>
                              </w:pPr>
                              <w:r>
                                <w:rPr>
                                  <w:rFonts w:ascii="Helvetica" w:hAnsi="Helvetica"/>
                                  <w:color w:val="FFFFFF"/>
                                  <w:sz w:val="56"/>
                                  <w:szCs w:val="56"/>
                                  <w14:textOutline w14:w="0" w14:cap="flat" w14:cmpd="sng" w14:algn="ctr">
                                    <w14:noFill/>
                                    <w14:prstDash w14:val="solid"/>
                                    <w14:round/>
                                  </w14:textOutline>
                                </w:rPr>
                                <w:t>INTERNATIONAL UNION FOR THE PROTECTION OF NEW VARIETIES OF PLANTS (UPOV)</w:t>
                              </w:r>
                            </w:p>
                            <w:p w14:paraId="66161C41" w14:textId="77777777" w:rsidR="00737DC2" w:rsidRDefault="00737DC2" w:rsidP="00737DC2">
                              <w:pPr>
                                <w:rPr>
                                  <w:rFonts w:ascii="Helvetica" w:hAnsi="Helvetica"/>
                                  <w:color w:val="FFFFFF"/>
                                  <w:sz w:val="56"/>
                                  <w:szCs w:val="56"/>
                                  <w14:textOutline w14:w="0" w14:cap="flat" w14:cmpd="sng" w14:algn="ctr">
                                    <w14:noFill/>
                                    <w14:prstDash w14:val="solid"/>
                                    <w14:round/>
                                  </w14:textOutline>
                                </w:rPr>
                              </w:pPr>
                            </w:p>
                            <w:p w14:paraId="7946D894" w14:textId="77777777" w:rsidR="00737DC2" w:rsidRDefault="00737DC2" w:rsidP="00737DC2">
                              <w:pPr>
                                <w:rPr>
                                  <w:rFonts w:ascii="Helvetica" w:hAnsi="Helvetica"/>
                                  <w:color w:val="FFFFFF"/>
                                  <w:sz w:val="56"/>
                                  <w:szCs w:val="56"/>
                                  <w14:textOutline w14:w="0" w14:cap="flat" w14:cmpd="sng" w14:algn="ctr">
                                    <w14:noFill/>
                                    <w14:prstDash w14:val="solid"/>
                                    <w14:round/>
                                  </w14:textOutline>
                                </w:rPr>
                              </w:pPr>
                              <w:r>
                                <w:rPr>
                                  <w:rFonts w:ascii="Helvetica" w:hAnsi="Helvetica"/>
                                  <w:color w:val="FFFFFF"/>
                                  <w:sz w:val="56"/>
                                  <w:szCs w:val="56"/>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532252" name="Text Box 75532252"/>
                        <wps:cNvSpPr txBox="1"/>
                        <wps:spPr bwMode="auto">
                          <a:xfrm>
                            <a:off x="728685" y="1771211"/>
                            <a:ext cx="2893695" cy="441960"/>
                          </a:xfrm>
                          <a:prstGeom prst="rect">
                            <a:avLst/>
                          </a:prstGeom>
                          <a:noFill/>
                          <a:ln>
                            <a:noFill/>
                          </a:ln>
                        </wps:spPr>
                        <wps:txbx>
                          <w:txbxContent>
                            <w:p w14:paraId="2DEFA658" w14:textId="77777777" w:rsidR="00737DC2" w:rsidRDefault="00737DC2" w:rsidP="00737DC2">
                              <w:pPr>
                                <w:jc w:val="left"/>
                                <w:rPr>
                                  <w:rFonts w:ascii="Helvetica" w:hAnsi="Helvetica"/>
                                  <w:color w:val="FFFFFF"/>
                                  <w:sz w:val="48"/>
                                  <w:szCs w:val="48"/>
                                  <w14:textOutline w14:w="0" w14:cap="flat" w14:cmpd="sng" w14:algn="ctr">
                                    <w14:noFill/>
                                    <w14:prstDash w14:val="solid"/>
                                    <w14:round/>
                                  </w14:textOutline>
                                </w:rPr>
                              </w:pPr>
                              <w:r>
                                <w:rPr>
                                  <w:rFonts w:ascii="Helvetica" w:hAnsi="Helvetica"/>
                                  <w:color w:val="FFFFFF"/>
                                  <w:sz w:val="48"/>
                                  <w:szCs w:val="48"/>
                                  <w14:textOutline w14:w="0" w14:cap="flat" w14:cmpd="sng" w14:algn="ctr">
                                    <w14:noFill/>
                                    <w14:prstDash w14:val="solid"/>
                                    <w14:round/>
                                  </w14:textOutline>
                                </w:rPr>
                                <w:t>Financial Year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37852516" name="Text Box 1837852516"/>
                        <wps:cNvSpPr txBox="1"/>
                        <wps:spPr bwMode="auto">
                          <a:xfrm>
                            <a:off x="739734" y="2675316"/>
                            <a:ext cx="3606948" cy="354330"/>
                          </a:xfrm>
                          <a:prstGeom prst="rect">
                            <a:avLst/>
                          </a:prstGeom>
                          <a:noFill/>
                          <a:ln>
                            <a:noFill/>
                          </a:ln>
                        </wps:spPr>
                        <wps:txbx>
                          <w:txbxContent>
                            <w:p w14:paraId="5DCD4C1E" w14:textId="77777777" w:rsidR="00737DC2" w:rsidRDefault="00737DC2" w:rsidP="00737DC2">
                              <w:pPr>
                                <w:rPr>
                                  <w:rFonts w:ascii="Helvetica" w:hAnsi="Helvetica"/>
                                  <w:color w:val="000000"/>
                                  <w:sz w:val="32"/>
                                  <w:szCs w:val="32"/>
                                  <w14:textOutline w14:w="0" w14:cap="flat" w14:cmpd="sng" w14:algn="ctr">
                                    <w14:noFill/>
                                    <w14:prstDash w14:val="solid"/>
                                    <w14:round/>
                                  </w14:textOutline>
                                </w:rPr>
                              </w:pPr>
                              <w:r>
                                <w:rPr>
                                  <w:rFonts w:ascii="Helvetica" w:hAnsi="Helvetica"/>
                                  <w:color w:val="000000"/>
                                  <w:sz w:val="32"/>
                                  <w:szCs w:val="32"/>
                                  <w14:textOutline w14:w="0" w14:cap="flat" w14:cmpd="sng" w14:algn="ctr">
                                    <w14:noFill/>
                                    <w14:prstDash w14:val="solid"/>
                                    <w14:round/>
                                  </w14:textOutline>
                                </w:rPr>
                                <w:t>JULY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0572EA" id="Group 9" o:spid="_x0000_s1031" style="position:absolute;margin-left:0;margin-top:15.4pt;width:532.7pt;height:298.4pt;z-index:251658246;mso-position-horizontal:left;mso-position-horizontal-relative:page;mso-width-relative:margin;mso-height-relative:margin" coordorigin="-1333,-2540" coordsize="63665,32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">
                <v:rect id="Rectangle 1978238379" o:spid="_x0000_s1032" style="position:absolute;left:-1333;top:-2540;width:63664;height:26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" fillcolor="#215f9a" stroked="f" strokeweight="1.5pt"/>
                <v:shape id="Text Box 2094811236" o:spid="_x0000_s1033" type="#_x0000_t202" style="position:absolute;left:4961;top:-1131;width:47561;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" filled="f" stroked="f">
                  <v:textbox>
                    <w:txbxContent>
                      <w:p w14:paraId="37F4ABAE" w14:textId="77777777" w:rsidR="00737DC2" w:rsidRDefault="00737DC2" w:rsidP="00737DC2">
                        <w:pPr>
                          <w:jc w:val="center"/>
                          <w:rPr>
                            <w:rFonts w:ascii="Helvetica" w:hAnsi="Helvetica"/>
                            <w:b/>
                            <w:bCs/>
                            <w:color w:val="FFFFFF"/>
                            <w:sz w:val="96"/>
                            <w:szCs w:val="96"/>
                            <w14:textOutline w14:w="0" w14:cap="flat" w14:cmpd="sng" w14:algn="ctr">
                              <w14:noFill/>
                              <w14:prstDash w14:val="solid"/>
                              <w14:round/>
                            </w14:textOutline>
                          </w:rPr>
                        </w:pPr>
                        <w:r>
                          <w:rPr>
                            <w:rFonts w:ascii="Helvetica" w:hAnsi="Helvetica"/>
                            <w:b/>
                            <w:bCs/>
                            <w:color w:val="FFFFFF"/>
                            <w:sz w:val="96"/>
                            <w:szCs w:val="96"/>
                            <w14:textOutline w14:w="0" w14:cap="flat" w14:cmpd="sng" w14:algn="ctr">
                              <w14:noFill/>
                              <w14:prstDash w14:val="solid"/>
                              <w14:round/>
                            </w14:textOutline>
                          </w:rPr>
                          <w:t>AUDIT REPORT</w:t>
                        </w:r>
                      </w:p>
                    </w:txbxContent>
                  </v:textbox>
                </v:shape>
                <v:shape id="Text Box 1887380353" o:spid="_x0000_s1034" type="#_x0000_t202" style="position:absolute;left:6898;top:5661;width:55256;height:12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" filled="f" stroked="f">
                  <v:textbox>
                    <w:txbxContent>
                      <w:p w14:paraId="406B0E73" w14:textId="77777777" w:rsidR="00737DC2" w:rsidRDefault="00737DC2" w:rsidP="00737DC2">
                        <w:pPr>
                          <w:jc w:val="left"/>
                          <w:rPr>
                            <w:rFonts w:ascii="Helvetica" w:hAnsi="Helvetica"/>
                            <w:color w:val="FFFFFF"/>
                            <w:sz w:val="56"/>
                            <w:szCs w:val="56"/>
                            <w14:textOutline w14:w="0" w14:cap="flat" w14:cmpd="sng" w14:algn="ctr">
                              <w14:noFill/>
                              <w14:prstDash w14:val="solid"/>
                              <w14:round/>
                            </w14:textOutline>
                          </w:rPr>
                        </w:pPr>
                        <w:r>
                          <w:rPr>
                            <w:rFonts w:ascii="Helvetica" w:hAnsi="Helvetica"/>
                            <w:color w:val="FFFFFF"/>
                            <w:sz w:val="56"/>
                            <w:szCs w:val="56"/>
                            <w14:textOutline w14:w="0" w14:cap="flat" w14:cmpd="sng" w14:algn="ctr">
                              <w14:noFill/>
                              <w14:prstDash w14:val="solid"/>
                              <w14:round/>
                            </w14:textOutline>
                          </w:rPr>
                          <w:t>INTERNATIONAL UNION FOR THE PROTECTION OF NEW VARIETIES OF PLANTS (UPOV)</w:t>
                        </w:r>
                      </w:p>
                      <w:p w14:paraId="66161C41" w14:textId="77777777" w:rsidR="00737DC2" w:rsidRDefault="00737DC2" w:rsidP="00737DC2">
                        <w:pPr>
                          <w:rPr>
                            <w:rFonts w:ascii="Helvetica" w:hAnsi="Helvetica"/>
                            <w:color w:val="FFFFFF"/>
                            <w:sz w:val="56"/>
                            <w:szCs w:val="56"/>
                            <w14:textOutline w14:w="0" w14:cap="flat" w14:cmpd="sng" w14:algn="ctr">
                              <w14:noFill/>
                              <w14:prstDash w14:val="solid"/>
                              <w14:round/>
                            </w14:textOutline>
                          </w:rPr>
                        </w:pPr>
                      </w:p>
                      <w:p w14:paraId="7946D894" w14:textId="77777777" w:rsidR="00737DC2" w:rsidRDefault="00737DC2" w:rsidP="00737DC2">
                        <w:pPr>
                          <w:rPr>
                            <w:rFonts w:ascii="Helvetica" w:hAnsi="Helvetica"/>
                            <w:color w:val="FFFFFF"/>
                            <w:sz w:val="56"/>
                            <w:szCs w:val="56"/>
                            <w14:textOutline w14:w="0" w14:cap="flat" w14:cmpd="sng" w14:algn="ctr">
                              <w14:noFill/>
                              <w14:prstDash w14:val="solid"/>
                              <w14:round/>
                            </w14:textOutline>
                          </w:rPr>
                        </w:pPr>
                        <w:r>
                          <w:rPr>
                            <w:rFonts w:ascii="Helvetica" w:hAnsi="Helvetica"/>
                            <w:color w:val="FFFFFF"/>
                            <w:sz w:val="56"/>
                            <w:szCs w:val="56"/>
                            <w14:textOutline w14:w="0" w14:cap="flat" w14:cmpd="sng" w14:algn="ctr">
                              <w14:noFill/>
                              <w14:prstDash w14:val="solid"/>
                              <w14:round/>
                            </w14:textOutline>
                          </w:rPr>
                          <w:t>)</w:t>
                        </w:r>
                      </w:p>
                    </w:txbxContent>
                  </v:textbox>
                </v:shape>
                <v:shape id="Text Box 75532252" o:spid="_x0000_s1035" type="#_x0000_t202" style="position:absolute;left:7286;top:17712;width:28937;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" filled="f" stroked="f">
                  <v:textbox>
                    <w:txbxContent>
                      <w:p w14:paraId="2DEFA658" w14:textId="77777777" w:rsidR="00737DC2" w:rsidRDefault="00737DC2" w:rsidP="00737DC2">
                        <w:pPr>
                          <w:jc w:val="left"/>
                          <w:rPr>
                            <w:rFonts w:ascii="Helvetica" w:hAnsi="Helvetica"/>
                            <w:color w:val="FFFFFF"/>
                            <w:sz w:val="48"/>
                            <w:szCs w:val="48"/>
                            <w14:textOutline w14:w="0" w14:cap="flat" w14:cmpd="sng" w14:algn="ctr">
                              <w14:noFill/>
                              <w14:prstDash w14:val="solid"/>
                              <w14:round/>
                            </w14:textOutline>
                          </w:rPr>
                        </w:pPr>
                        <w:r>
                          <w:rPr>
                            <w:rFonts w:ascii="Helvetica" w:hAnsi="Helvetica"/>
                            <w:color w:val="FFFFFF"/>
                            <w:sz w:val="48"/>
                            <w:szCs w:val="48"/>
                            <w14:textOutline w14:w="0" w14:cap="flat" w14:cmpd="sng" w14:algn="ctr">
                              <w14:noFill/>
                              <w14:prstDash w14:val="solid"/>
                              <w14:round/>
                            </w14:textOutline>
                          </w:rPr>
                          <w:t>Financial Year 2025</w:t>
                        </w:r>
                      </w:p>
                    </w:txbxContent>
                  </v:textbox>
                </v:shape>
                <v:shape id="Text Box 1837852516" o:spid="_x0000_s1036" type="#_x0000_t202" style="position:absolute;left:7397;top:26753;width:36069;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" filled="f" stroked="f">
                  <v:textbox>
                    <w:txbxContent>
                      <w:p w14:paraId="5DCD4C1E" w14:textId="77777777" w:rsidR="00737DC2" w:rsidRDefault="00737DC2" w:rsidP="00737DC2">
                        <w:pPr>
                          <w:rPr>
                            <w:rFonts w:ascii="Helvetica" w:hAnsi="Helvetica"/>
                            <w:color w:val="000000"/>
                            <w:sz w:val="32"/>
                            <w:szCs w:val="32"/>
                            <w14:textOutline w14:w="0" w14:cap="flat" w14:cmpd="sng" w14:algn="ctr">
                              <w14:noFill/>
                              <w14:prstDash w14:val="solid"/>
                              <w14:round/>
                            </w14:textOutline>
                          </w:rPr>
                        </w:pPr>
                        <w:r>
                          <w:rPr>
                            <w:rFonts w:ascii="Helvetica" w:hAnsi="Helvetica"/>
                            <w:color w:val="000000"/>
                            <w:sz w:val="32"/>
                            <w:szCs w:val="32"/>
                            <w14:textOutline w14:w="0" w14:cap="flat" w14:cmpd="sng" w14:algn="ctr">
                              <w14:noFill/>
                              <w14:prstDash w14:val="solid"/>
                              <w14:round/>
                            </w14:textOutline>
                          </w:rPr>
                          <w:t>JULY 2026</w:t>
                        </w:r>
                      </w:p>
                    </w:txbxContent>
                  </v:textbox>
                </v:shape>
                <w10:wrap anchorx="page"/>
              </v:group>
            </w:pict>
          </mc:Fallback>
        </mc:AlternateContent>
      </w:r>
    </w:p>
    <w:p w14:paraId="3AD3E262" w14:textId="77777777" w:rsidR="00737DC2" w:rsidRPr="00737DC2" w:rsidRDefault="00737DC2" w:rsidP="00737DC2">
      <w:pPr>
        <w:spacing w:after="120" w:line="276" w:lineRule="auto"/>
        <w:jc w:val="left"/>
        <w:rPr>
          <w:rFonts w:ascii="Aptos" w:eastAsia="Aptos" w:hAnsi="Aptos" w:cs="Arial"/>
          <w:sz w:val="24"/>
          <w:szCs w:val="24"/>
        </w:rPr>
      </w:pPr>
    </w:p>
    <w:p w14:paraId="6DA09D25" w14:textId="77777777" w:rsidR="00737DC2" w:rsidRPr="00737DC2" w:rsidRDefault="00737DC2" w:rsidP="00737DC2">
      <w:pPr>
        <w:spacing w:after="120" w:line="276" w:lineRule="auto"/>
        <w:jc w:val="left"/>
        <w:rPr>
          <w:rFonts w:ascii="Aptos" w:eastAsia="Aptos" w:hAnsi="Aptos" w:cs="Arial"/>
          <w:sz w:val="24"/>
          <w:szCs w:val="24"/>
        </w:rPr>
      </w:pPr>
    </w:p>
    <w:p w14:paraId="45B98296" w14:textId="77777777" w:rsidR="00737DC2" w:rsidRPr="00737DC2" w:rsidRDefault="00737DC2" w:rsidP="00737DC2">
      <w:pPr>
        <w:spacing w:after="120" w:line="276" w:lineRule="auto"/>
        <w:jc w:val="left"/>
        <w:rPr>
          <w:rFonts w:ascii="Aptos" w:eastAsia="Aptos" w:hAnsi="Aptos" w:cs="Arial"/>
          <w:sz w:val="24"/>
          <w:szCs w:val="24"/>
        </w:rPr>
      </w:pPr>
    </w:p>
    <w:p w14:paraId="78D38EED" w14:textId="77777777" w:rsidR="00737DC2" w:rsidRPr="00737DC2" w:rsidRDefault="00737DC2" w:rsidP="00737DC2">
      <w:pPr>
        <w:spacing w:after="120" w:line="276" w:lineRule="auto"/>
        <w:jc w:val="left"/>
        <w:rPr>
          <w:rFonts w:ascii="Aptos" w:eastAsia="Aptos" w:hAnsi="Aptos" w:cs="Arial"/>
          <w:sz w:val="24"/>
          <w:szCs w:val="24"/>
        </w:rPr>
      </w:pPr>
    </w:p>
    <w:p w14:paraId="671F2384" w14:textId="77777777" w:rsidR="00737DC2" w:rsidRPr="00737DC2" w:rsidRDefault="00737DC2" w:rsidP="00737DC2">
      <w:pPr>
        <w:spacing w:after="120" w:line="276" w:lineRule="auto"/>
        <w:jc w:val="left"/>
        <w:rPr>
          <w:rFonts w:ascii="Aptos" w:eastAsia="Aptos" w:hAnsi="Aptos" w:cs="Arial"/>
          <w:sz w:val="24"/>
          <w:szCs w:val="24"/>
        </w:rPr>
      </w:pPr>
    </w:p>
    <w:p w14:paraId="30A25DE3" w14:textId="77777777" w:rsidR="00737DC2" w:rsidRPr="00737DC2" w:rsidRDefault="00737DC2" w:rsidP="00737DC2">
      <w:pPr>
        <w:spacing w:after="120" w:line="276" w:lineRule="auto"/>
        <w:jc w:val="left"/>
        <w:rPr>
          <w:rFonts w:ascii="Aptos" w:eastAsia="Aptos" w:hAnsi="Aptos" w:cs="Arial"/>
          <w:sz w:val="24"/>
          <w:szCs w:val="24"/>
        </w:rPr>
      </w:pPr>
    </w:p>
    <w:p w14:paraId="5FF8AC9F" w14:textId="77777777" w:rsidR="00737DC2" w:rsidRPr="00737DC2" w:rsidRDefault="00737DC2" w:rsidP="00737DC2">
      <w:pPr>
        <w:spacing w:after="120" w:line="276" w:lineRule="auto"/>
        <w:jc w:val="left"/>
        <w:rPr>
          <w:rFonts w:ascii="Aptos" w:eastAsia="Aptos" w:hAnsi="Aptos" w:cs="Arial"/>
          <w:sz w:val="24"/>
          <w:szCs w:val="24"/>
        </w:rPr>
      </w:pPr>
    </w:p>
    <w:p w14:paraId="620343D3" w14:textId="77777777" w:rsidR="00737DC2" w:rsidRPr="00737DC2" w:rsidRDefault="00737DC2" w:rsidP="00737DC2">
      <w:pPr>
        <w:spacing w:after="120" w:line="276" w:lineRule="auto"/>
        <w:jc w:val="left"/>
        <w:rPr>
          <w:rFonts w:ascii="Aptos" w:eastAsia="Aptos" w:hAnsi="Aptos" w:cs="Arial"/>
          <w:sz w:val="24"/>
          <w:szCs w:val="24"/>
        </w:rPr>
      </w:pPr>
    </w:p>
    <w:p w14:paraId="324DDD5B" w14:textId="77777777" w:rsidR="00737DC2" w:rsidRPr="00737DC2" w:rsidRDefault="00737DC2" w:rsidP="00737DC2">
      <w:pPr>
        <w:spacing w:after="120" w:line="276" w:lineRule="auto"/>
        <w:jc w:val="left"/>
        <w:rPr>
          <w:rFonts w:ascii="Aptos" w:eastAsia="Aptos" w:hAnsi="Aptos" w:cs="Arial"/>
          <w:sz w:val="24"/>
          <w:szCs w:val="24"/>
        </w:rPr>
      </w:pPr>
    </w:p>
    <w:p w14:paraId="7031AE84" w14:textId="77777777" w:rsidR="00737DC2" w:rsidRPr="00737DC2" w:rsidRDefault="00737DC2" w:rsidP="00737DC2">
      <w:pPr>
        <w:spacing w:after="120" w:line="276" w:lineRule="auto"/>
        <w:jc w:val="left"/>
        <w:rPr>
          <w:rFonts w:ascii="Aptos" w:eastAsia="Aptos" w:hAnsi="Aptos" w:cs="Arial"/>
          <w:sz w:val="24"/>
          <w:szCs w:val="24"/>
        </w:rPr>
      </w:pPr>
    </w:p>
    <w:p w14:paraId="3D010294" w14:textId="77777777" w:rsidR="00737DC2" w:rsidRPr="00737DC2" w:rsidRDefault="00737DC2" w:rsidP="00737DC2">
      <w:pPr>
        <w:spacing w:after="120" w:line="276" w:lineRule="auto"/>
        <w:jc w:val="left"/>
        <w:rPr>
          <w:rFonts w:ascii="Aptos" w:eastAsia="Aptos" w:hAnsi="Aptos" w:cs="Arial"/>
          <w:sz w:val="24"/>
          <w:szCs w:val="24"/>
        </w:rPr>
      </w:pPr>
    </w:p>
    <w:p w14:paraId="6ACCAEB8" w14:textId="77777777" w:rsidR="00737DC2" w:rsidRPr="00737DC2" w:rsidRDefault="00737DC2" w:rsidP="00737DC2">
      <w:pPr>
        <w:spacing w:after="120" w:line="276" w:lineRule="auto"/>
        <w:jc w:val="left"/>
        <w:rPr>
          <w:rFonts w:ascii="Aptos" w:eastAsia="Aptos" w:hAnsi="Aptos" w:cs="Arial"/>
          <w:sz w:val="24"/>
          <w:szCs w:val="24"/>
        </w:rPr>
      </w:pPr>
    </w:p>
    <w:p w14:paraId="4957C992" w14:textId="77777777" w:rsidR="00737DC2" w:rsidRPr="00737DC2" w:rsidRDefault="00737DC2" w:rsidP="00737DC2">
      <w:pPr>
        <w:spacing w:after="120" w:line="276" w:lineRule="auto"/>
        <w:jc w:val="left"/>
        <w:rPr>
          <w:rFonts w:ascii="Aptos" w:eastAsia="Aptos" w:hAnsi="Aptos" w:cs="Arial"/>
          <w:sz w:val="24"/>
          <w:szCs w:val="24"/>
        </w:rPr>
      </w:pPr>
    </w:p>
    <w:p w14:paraId="47DCC247" w14:textId="77777777" w:rsidR="00737DC2" w:rsidRPr="00737DC2" w:rsidRDefault="00737DC2" w:rsidP="00737DC2">
      <w:pPr>
        <w:spacing w:after="120" w:line="276" w:lineRule="auto"/>
        <w:jc w:val="left"/>
        <w:rPr>
          <w:rFonts w:ascii="Aptos" w:eastAsia="Aptos" w:hAnsi="Aptos" w:cs="Arial"/>
          <w:sz w:val="24"/>
          <w:szCs w:val="24"/>
        </w:rPr>
      </w:pPr>
    </w:p>
    <w:p w14:paraId="7B15E845" w14:textId="77777777" w:rsidR="00737DC2" w:rsidRPr="00737DC2" w:rsidRDefault="00737DC2" w:rsidP="00737DC2">
      <w:pPr>
        <w:spacing w:after="120" w:line="276" w:lineRule="auto"/>
        <w:jc w:val="left"/>
        <w:rPr>
          <w:rFonts w:ascii="Aptos" w:eastAsia="Aptos" w:hAnsi="Aptos" w:cs="Arial"/>
          <w:sz w:val="24"/>
          <w:szCs w:val="24"/>
        </w:rPr>
      </w:pPr>
    </w:p>
    <w:p w14:paraId="127C8E0A" w14:textId="77777777" w:rsidR="00737DC2" w:rsidRPr="00737DC2" w:rsidRDefault="00737DC2" w:rsidP="00737DC2">
      <w:pPr>
        <w:tabs>
          <w:tab w:val="left" w:pos="915"/>
        </w:tabs>
        <w:spacing w:after="120" w:line="276" w:lineRule="auto"/>
        <w:jc w:val="left"/>
        <w:rPr>
          <w:rFonts w:ascii="Aptos" w:eastAsia="Aptos" w:hAnsi="Aptos" w:cs="Arial"/>
          <w:sz w:val="24"/>
          <w:szCs w:val="24"/>
          <w14:ligatures w14:val="standardContextual"/>
        </w:rPr>
      </w:pPr>
      <w:r w:rsidRPr="00737DC2">
        <w:rPr>
          <w:rFonts w:ascii="Aptos" w:eastAsia="Aptos" w:hAnsi="Aptos" w:cs="Arial"/>
          <w:sz w:val="24"/>
          <w:szCs w:val="24"/>
          <w14:ligatures w14:val="standardContextual"/>
        </w:rPr>
        <w:tab/>
      </w:r>
    </w:p>
    <w:p w14:paraId="4F61C98F" w14:textId="77777777" w:rsidR="00737DC2" w:rsidRPr="00737DC2" w:rsidRDefault="00737DC2" w:rsidP="00737DC2">
      <w:pPr>
        <w:spacing w:after="120" w:line="276" w:lineRule="auto"/>
        <w:jc w:val="left"/>
        <w:rPr>
          <w:rFonts w:ascii="Times New Roman" w:eastAsia="Calibri" w:hAnsi="Times New Roman"/>
          <w:b/>
          <w:bCs/>
          <w:color w:val="000000"/>
          <w:sz w:val="22"/>
          <w:szCs w:val="22"/>
        </w:rPr>
      </w:pPr>
      <w:r w:rsidRPr="00737DC2">
        <w:rPr>
          <w:rFonts w:ascii="Aptos" w:eastAsia="Aptos" w:hAnsi="Aptos" w:cs="Arial"/>
          <w:noProof/>
          <w:sz w:val="24"/>
          <w:szCs w:val="24"/>
          <w14:ligatures w14:val="standardContextual"/>
        </w:rPr>
        <mc:AlternateContent>
          <mc:Choice Requires="wps">
            <w:drawing>
              <wp:anchor distT="0" distB="0" distL="114300" distR="114300" simplePos="0" relativeHeight="251658244" behindDoc="0" locked="0" layoutInCell="1" allowOverlap="1" wp14:anchorId="468B3CF6" wp14:editId="66AE8467">
                <wp:simplePos x="0" y="0"/>
                <wp:positionH relativeFrom="page">
                  <wp:posOffset>-3175</wp:posOffset>
                </wp:positionH>
                <wp:positionV relativeFrom="paragraph">
                  <wp:posOffset>2807687</wp:posOffset>
                </wp:positionV>
                <wp:extent cx="7884795" cy="254000"/>
                <wp:effectExtent l="0" t="0" r="1905" b="0"/>
                <wp:wrapNone/>
                <wp:docPr id="8" name="Rectangle 14"/>
                <wp:cNvGraphicFramePr/>
                <a:graphic xmlns:a="http://schemas.openxmlformats.org/drawingml/2006/main">
                  <a:graphicData uri="http://schemas.microsoft.com/office/word/2010/wordprocessingShape">
                    <wps:wsp>
                      <wps:cNvSpPr/>
                      <wps:spPr bwMode="auto">
                        <a:xfrm>
                          <a:off x="0" y="0"/>
                          <a:ext cx="7884795" cy="254000"/>
                        </a:xfrm>
                        <a:prstGeom prst="rect">
                          <a:avLst/>
                        </a:prstGeom>
                        <a:solidFill>
                          <a:srgbClr val="0E2841">
                            <a:lumMod val="75000"/>
                            <a:lumOff val="25000"/>
                          </a:srgbClr>
                        </a:solidFill>
                        <a:ln w="19050" cap="flat" cmpd="sng" algn="ctr">
                          <a:noFill/>
                          <a:prstDash val="solid"/>
                          <a:miter lim="800000"/>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ED21FA" id="Rectangle 14" o:spid="_x0000_s1026" style="position:absolute;margin-left:-.25pt;margin-top:221.1pt;width:620.85pt;height:20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" fillcolor="#215f9a" stroked="f" strokeweight="1.5pt">
                <w10:wrap anchorx="page"/>
              </v:rect>
            </w:pict>
          </mc:Fallback>
        </mc:AlternateContent>
      </w:r>
      <w:r w:rsidRPr="00737DC2">
        <w:rPr>
          <w:rFonts w:ascii="Aptos" w:eastAsia="Aptos" w:hAnsi="Aptos" w:cs="Arial"/>
          <w:sz w:val="24"/>
          <w:szCs w:val="24"/>
        </w:rPr>
        <w:tab/>
      </w:r>
      <w:r w:rsidRPr="00737DC2">
        <w:rPr>
          <w:rFonts w:ascii="Times New Roman" w:eastAsia="Calibri" w:hAnsi="Times New Roman"/>
          <w:b/>
          <w:bCs/>
          <w:color w:val="000000"/>
          <w:sz w:val="22"/>
          <w:szCs w:val="22"/>
        </w:rPr>
        <w:br w:type="page" w:clear="all"/>
      </w:r>
    </w:p>
    <w:p w14:paraId="757E4811" w14:textId="05B39ED7" w:rsidR="00737DC2" w:rsidRPr="00737DC2" w:rsidRDefault="00737DC2" w:rsidP="00BF7378">
      <w:pPr>
        <w:pStyle w:val="Heading1"/>
      </w:pPr>
      <w:bookmarkStart w:id="0" w:name="_Toc234408420"/>
      <w:bookmarkStart w:id="1" w:name="_Toc234409588"/>
      <w:bookmarkStart w:id="2" w:name="_Toc234419081"/>
      <w:r w:rsidRPr="00737DC2">
        <w:lastRenderedPageBreak/>
        <w:t>Contents</w:t>
      </w:r>
      <w:bookmarkEnd w:id="0"/>
      <w:bookmarkEnd w:id="1"/>
      <w:bookmarkEnd w:id="2"/>
    </w:p>
    <w:p w14:paraId="4C610360" w14:textId="77777777" w:rsidR="00BF7378" w:rsidRDefault="00BF7378" w:rsidP="00737DC2">
      <w:pPr>
        <w:spacing w:after="120" w:line="276" w:lineRule="auto"/>
        <w:jc w:val="left"/>
        <w:rPr>
          <w:rFonts w:ascii="Times New Roman" w:eastAsia="Calibri" w:hAnsi="Times New Roman"/>
          <w:color w:val="000000"/>
          <w:sz w:val="22"/>
          <w:szCs w:val="22"/>
        </w:rPr>
      </w:pPr>
    </w:p>
    <w:p w14:paraId="5E89EEA0" w14:textId="5CD0BC3B" w:rsidR="007A5A83" w:rsidRDefault="00D51C01">
      <w:pPr>
        <w:pStyle w:val="TOC1"/>
        <w:rPr>
          <w:rFonts w:asciiTheme="minorHAnsi" w:eastAsiaTheme="minorEastAsia" w:hAnsiTheme="minorHAnsi" w:cstheme="minorBidi"/>
          <w:bCs w:val="0"/>
          <w:kern w:val="2"/>
          <w:sz w:val="24"/>
          <w:szCs w:val="24"/>
          <w:lang w:val="en-GB" w:eastAsia="zh-CN"/>
          <w14:ligatures w14:val="standardContextual"/>
        </w:rPr>
      </w:pPr>
      <w:r>
        <w:rPr>
          <w:color w:val="000000"/>
        </w:rPr>
        <w:fldChar w:fldCharType="begin"/>
      </w:r>
      <w:r>
        <w:rPr>
          <w:color w:val="000000"/>
        </w:rPr>
        <w:instrText xml:space="preserve"> TOC \o "1-4" \u </w:instrText>
      </w:r>
      <w:r>
        <w:rPr>
          <w:color w:val="000000"/>
        </w:rPr>
        <w:fldChar w:fldCharType="separate"/>
      </w:r>
      <w:r w:rsidR="007A5A83">
        <w:t>Contents</w:t>
      </w:r>
      <w:r w:rsidR="007A5A83">
        <w:tab/>
      </w:r>
      <w:r w:rsidR="007A5A83">
        <w:fldChar w:fldCharType="begin"/>
      </w:r>
      <w:r w:rsidR="007A5A83">
        <w:instrText xml:space="preserve"> PAGEREF _Toc234419081 \h </w:instrText>
      </w:r>
      <w:r w:rsidR="007A5A83">
        <w:fldChar w:fldCharType="separate"/>
      </w:r>
      <w:r w:rsidR="007A5A83">
        <w:t>2</w:t>
      </w:r>
      <w:r w:rsidR="007A5A83">
        <w:fldChar w:fldCharType="end"/>
      </w:r>
    </w:p>
    <w:p w14:paraId="6C945247" w14:textId="69F3CC55" w:rsidR="007A5A83" w:rsidRDefault="007A5A83">
      <w:pPr>
        <w:pStyle w:val="TOC1"/>
        <w:rPr>
          <w:rFonts w:asciiTheme="minorHAnsi" w:eastAsiaTheme="minorEastAsia" w:hAnsiTheme="minorHAnsi" w:cstheme="minorBidi"/>
          <w:bCs w:val="0"/>
          <w:kern w:val="2"/>
          <w:sz w:val="24"/>
          <w:szCs w:val="24"/>
          <w:lang w:val="en-GB" w:eastAsia="zh-CN"/>
          <w14:ligatures w14:val="standardContextual"/>
        </w:rPr>
      </w:pPr>
      <w:r>
        <w:t>List of tables</w:t>
      </w:r>
      <w:r>
        <w:tab/>
      </w:r>
      <w:r>
        <w:fldChar w:fldCharType="begin"/>
      </w:r>
      <w:r>
        <w:instrText xml:space="preserve"> PAGEREF _Toc234419082 \h </w:instrText>
      </w:r>
      <w:r>
        <w:fldChar w:fldCharType="separate"/>
      </w:r>
      <w:r>
        <w:t>3</w:t>
      </w:r>
      <w:r>
        <w:fldChar w:fldCharType="end"/>
      </w:r>
    </w:p>
    <w:p w14:paraId="11256C0D" w14:textId="22F8606C" w:rsidR="007A5A83" w:rsidRDefault="007A5A83">
      <w:pPr>
        <w:pStyle w:val="TOC1"/>
        <w:rPr>
          <w:rFonts w:asciiTheme="minorHAnsi" w:eastAsiaTheme="minorEastAsia" w:hAnsiTheme="minorHAnsi" w:cstheme="minorBidi"/>
          <w:bCs w:val="0"/>
          <w:kern w:val="2"/>
          <w:sz w:val="24"/>
          <w:szCs w:val="24"/>
          <w:lang w:val="en-GB" w:eastAsia="zh-CN"/>
          <w14:ligatures w14:val="standardContextual"/>
        </w:rPr>
      </w:pPr>
      <w:r>
        <w:t>Letter of transmittal</w:t>
      </w:r>
      <w:r>
        <w:tab/>
      </w:r>
      <w:r>
        <w:fldChar w:fldCharType="begin"/>
      </w:r>
      <w:r>
        <w:instrText xml:space="preserve"> PAGEREF _Toc234419083 \h </w:instrText>
      </w:r>
      <w:r>
        <w:fldChar w:fldCharType="separate"/>
      </w:r>
      <w:r>
        <w:t>4</w:t>
      </w:r>
      <w:r>
        <w:fldChar w:fldCharType="end"/>
      </w:r>
    </w:p>
    <w:p w14:paraId="63AEE4BE" w14:textId="33B09F4C" w:rsidR="007A5A83" w:rsidRDefault="007A5A83">
      <w:pPr>
        <w:pStyle w:val="TOC2"/>
        <w:rPr>
          <w:rFonts w:asciiTheme="minorHAnsi" w:hAnsiTheme="minorHAnsi"/>
          <w:sz w:val="24"/>
        </w:rPr>
      </w:pPr>
      <w:r>
        <w:t>I.</w:t>
      </w:r>
      <w:r>
        <w:rPr>
          <w:rFonts w:asciiTheme="minorHAnsi" w:hAnsiTheme="minorHAnsi"/>
          <w:sz w:val="24"/>
        </w:rPr>
        <w:tab/>
      </w:r>
      <w:r>
        <w:t>Report of the external auditor on the financial statements: audit opinion</w:t>
      </w:r>
      <w:r>
        <w:tab/>
      </w:r>
      <w:r>
        <w:fldChar w:fldCharType="begin"/>
      </w:r>
      <w:r>
        <w:instrText xml:space="preserve"> PAGEREF _Toc234419084 \h </w:instrText>
      </w:r>
      <w:r>
        <w:fldChar w:fldCharType="separate"/>
      </w:r>
      <w:r>
        <w:t>5</w:t>
      </w:r>
      <w:r>
        <w:fldChar w:fldCharType="end"/>
      </w:r>
    </w:p>
    <w:p w14:paraId="478A4BCD" w14:textId="25E50627" w:rsidR="007A5A83" w:rsidRDefault="007A5A83">
      <w:pPr>
        <w:pStyle w:val="TOC2"/>
        <w:rPr>
          <w:rFonts w:asciiTheme="minorHAnsi" w:hAnsiTheme="minorHAnsi"/>
          <w:sz w:val="24"/>
        </w:rPr>
      </w:pPr>
      <w:r>
        <w:t>II.</w:t>
      </w:r>
      <w:r>
        <w:rPr>
          <w:rFonts w:asciiTheme="minorHAnsi" w:hAnsiTheme="minorHAnsi"/>
          <w:sz w:val="24"/>
        </w:rPr>
        <w:tab/>
      </w:r>
      <w:r>
        <w:t>Long form report of the external auditor</w:t>
      </w:r>
      <w:r>
        <w:tab/>
      </w:r>
      <w:r>
        <w:fldChar w:fldCharType="begin"/>
      </w:r>
      <w:r>
        <w:instrText xml:space="preserve"> PAGEREF _Toc234419085 \h </w:instrText>
      </w:r>
      <w:r>
        <w:fldChar w:fldCharType="separate"/>
      </w:r>
      <w:r>
        <w:t>8</w:t>
      </w:r>
      <w:r>
        <w:fldChar w:fldCharType="end"/>
      </w:r>
    </w:p>
    <w:p w14:paraId="1F8ADE34" w14:textId="04AC3F1F" w:rsidR="007A5A83" w:rsidRDefault="007A5A83">
      <w:pPr>
        <w:pStyle w:val="TOC1"/>
        <w:rPr>
          <w:rFonts w:asciiTheme="minorHAnsi" w:eastAsiaTheme="minorEastAsia" w:hAnsiTheme="minorHAnsi" w:cstheme="minorBidi"/>
          <w:bCs w:val="0"/>
          <w:kern w:val="2"/>
          <w:sz w:val="24"/>
          <w:szCs w:val="24"/>
          <w:lang w:val="en-GB" w:eastAsia="zh-CN"/>
          <w14:ligatures w14:val="standardContextual"/>
        </w:rPr>
      </w:pPr>
      <w:r>
        <w:t>Summary</w:t>
      </w:r>
      <w:r>
        <w:tab/>
      </w:r>
      <w:r>
        <w:fldChar w:fldCharType="begin"/>
      </w:r>
      <w:r>
        <w:instrText xml:space="preserve"> PAGEREF _Toc234419086 \h </w:instrText>
      </w:r>
      <w:r>
        <w:fldChar w:fldCharType="separate"/>
      </w:r>
      <w:r>
        <w:t>8</w:t>
      </w:r>
      <w:r>
        <w:fldChar w:fldCharType="end"/>
      </w:r>
    </w:p>
    <w:p w14:paraId="2D7B257E" w14:textId="5B3AE857" w:rsidR="007A5A83" w:rsidRDefault="007A5A83">
      <w:pPr>
        <w:pStyle w:val="TOC3"/>
        <w:tabs>
          <w:tab w:val="left" w:pos="1276"/>
        </w:tabs>
        <w:rPr>
          <w:rFonts w:asciiTheme="minorHAnsi" w:hAnsiTheme="minorHAnsi"/>
          <w:sz w:val="24"/>
        </w:rPr>
      </w:pPr>
      <w:r>
        <w:t>A.</w:t>
      </w:r>
      <w:r>
        <w:rPr>
          <w:rFonts w:asciiTheme="minorHAnsi" w:hAnsiTheme="minorHAnsi"/>
          <w:sz w:val="24"/>
        </w:rPr>
        <w:tab/>
      </w:r>
      <w:r>
        <w:t>Mandate, scope, and methodology</w:t>
      </w:r>
      <w:r>
        <w:tab/>
      </w:r>
      <w:r>
        <w:fldChar w:fldCharType="begin"/>
      </w:r>
      <w:r>
        <w:instrText xml:space="preserve"> PAGEREF _Toc234419087 \h </w:instrText>
      </w:r>
      <w:r>
        <w:fldChar w:fldCharType="separate"/>
      </w:r>
      <w:r>
        <w:t>9</w:t>
      </w:r>
      <w:r>
        <w:fldChar w:fldCharType="end"/>
      </w:r>
    </w:p>
    <w:p w14:paraId="685A19E1" w14:textId="00EDAF88" w:rsidR="007A5A83" w:rsidRDefault="007A5A83">
      <w:pPr>
        <w:pStyle w:val="TOC3"/>
        <w:tabs>
          <w:tab w:val="left" w:pos="1276"/>
        </w:tabs>
        <w:rPr>
          <w:rFonts w:asciiTheme="minorHAnsi" w:hAnsiTheme="minorHAnsi"/>
          <w:sz w:val="24"/>
        </w:rPr>
      </w:pPr>
      <w:r>
        <w:t>B.</w:t>
      </w:r>
      <w:r>
        <w:rPr>
          <w:rFonts w:asciiTheme="minorHAnsi" w:hAnsiTheme="minorHAnsi"/>
          <w:sz w:val="24"/>
        </w:rPr>
        <w:tab/>
      </w:r>
      <w:r>
        <w:t>Financial overview</w:t>
      </w:r>
      <w:r>
        <w:tab/>
      </w:r>
      <w:r>
        <w:fldChar w:fldCharType="begin"/>
      </w:r>
      <w:r>
        <w:instrText xml:space="preserve"> PAGEREF _Toc234419088 \h </w:instrText>
      </w:r>
      <w:r>
        <w:fldChar w:fldCharType="separate"/>
      </w:r>
      <w:r>
        <w:t>10</w:t>
      </w:r>
      <w:r>
        <w:fldChar w:fldCharType="end"/>
      </w:r>
    </w:p>
    <w:p w14:paraId="639FB509" w14:textId="240525E6" w:rsidR="007A5A83" w:rsidRDefault="007A5A83">
      <w:pPr>
        <w:pStyle w:val="TOC3"/>
        <w:tabs>
          <w:tab w:val="left" w:pos="1276"/>
        </w:tabs>
        <w:rPr>
          <w:rFonts w:asciiTheme="minorHAnsi" w:hAnsiTheme="minorHAnsi"/>
          <w:sz w:val="24"/>
        </w:rPr>
      </w:pPr>
      <w:r>
        <w:t>C.</w:t>
      </w:r>
      <w:r>
        <w:rPr>
          <w:rFonts w:asciiTheme="minorHAnsi" w:hAnsiTheme="minorHAnsi"/>
          <w:sz w:val="24"/>
        </w:rPr>
        <w:tab/>
      </w:r>
      <w:r>
        <w:t>Follow-up on previous recommendations</w:t>
      </w:r>
      <w:r>
        <w:tab/>
      </w:r>
      <w:r>
        <w:fldChar w:fldCharType="begin"/>
      </w:r>
      <w:r>
        <w:instrText xml:space="preserve"> PAGEREF _Toc234419089 \h </w:instrText>
      </w:r>
      <w:r>
        <w:fldChar w:fldCharType="separate"/>
      </w:r>
      <w:r>
        <w:t>13</w:t>
      </w:r>
      <w:r>
        <w:fldChar w:fldCharType="end"/>
      </w:r>
    </w:p>
    <w:p w14:paraId="00F1147B" w14:textId="2DF2EDCA" w:rsidR="007A5A83" w:rsidRDefault="007A5A83">
      <w:pPr>
        <w:pStyle w:val="TOC3"/>
        <w:tabs>
          <w:tab w:val="left" w:pos="1276"/>
        </w:tabs>
        <w:rPr>
          <w:rFonts w:asciiTheme="minorHAnsi" w:hAnsiTheme="minorHAnsi"/>
          <w:sz w:val="24"/>
        </w:rPr>
      </w:pPr>
      <w:r>
        <w:t>D.</w:t>
      </w:r>
      <w:r>
        <w:rPr>
          <w:rFonts w:asciiTheme="minorHAnsi" w:hAnsiTheme="minorHAnsi"/>
          <w:sz w:val="24"/>
        </w:rPr>
        <w:tab/>
      </w:r>
      <w:r>
        <w:t>Audit conclusion, finding, and recommendations</w:t>
      </w:r>
      <w:r>
        <w:tab/>
      </w:r>
      <w:r>
        <w:fldChar w:fldCharType="begin"/>
      </w:r>
      <w:r>
        <w:instrText xml:space="preserve"> PAGEREF _Toc234419090 \h </w:instrText>
      </w:r>
      <w:r>
        <w:fldChar w:fldCharType="separate"/>
      </w:r>
      <w:r>
        <w:t>13</w:t>
      </w:r>
      <w:r>
        <w:fldChar w:fldCharType="end"/>
      </w:r>
    </w:p>
    <w:p w14:paraId="3BAB6FFA" w14:textId="2098AE2C" w:rsidR="007A5A83" w:rsidRDefault="007A5A83">
      <w:pPr>
        <w:pStyle w:val="TOC4"/>
        <w:tabs>
          <w:tab w:val="left" w:pos="1440"/>
        </w:tabs>
        <w:rPr>
          <w:rFonts w:asciiTheme="minorHAnsi" w:eastAsiaTheme="minorEastAsia" w:hAnsiTheme="minorHAnsi" w:cstheme="minorBidi"/>
          <w:iCs w:val="0"/>
          <w:kern w:val="2"/>
          <w:sz w:val="24"/>
          <w:lang w:val="en-GB" w:eastAsia="zh-CN"/>
          <w14:ligatures w14:val="standardContextual"/>
        </w:rPr>
      </w:pPr>
      <w:r>
        <w:t>1.</w:t>
      </w:r>
      <w:r>
        <w:rPr>
          <w:rFonts w:asciiTheme="minorHAnsi" w:eastAsiaTheme="minorEastAsia" w:hAnsiTheme="minorHAnsi" w:cstheme="minorBidi"/>
          <w:iCs w:val="0"/>
          <w:kern w:val="2"/>
          <w:sz w:val="24"/>
          <w:lang w:val="en-GB" w:eastAsia="zh-CN"/>
          <w14:ligatures w14:val="standardContextual"/>
        </w:rPr>
        <w:tab/>
      </w:r>
      <w:r>
        <w:t>Audit conclusion</w:t>
      </w:r>
      <w:r>
        <w:tab/>
      </w:r>
      <w:r>
        <w:fldChar w:fldCharType="begin"/>
      </w:r>
      <w:r>
        <w:instrText xml:space="preserve"> PAGEREF _Toc234419091 \h </w:instrText>
      </w:r>
      <w:r>
        <w:fldChar w:fldCharType="separate"/>
      </w:r>
      <w:r>
        <w:t>13</w:t>
      </w:r>
      <w:r>
        <w:fldChar w:fldCharType="end"/>
      </w:r>
    </w:p>
    <w:p w14:paraId="3AF393A0" w14:textId="7561E671" w:rsidR="007A5A83" w:rsidRDefault="007A5A83">
      <w:pPr>
        <w:pStyle w:val="TOC4"/>
        <w:tabs>
          <w:tab w:val="left" w:pos="1440"/>
        </w:tabs>
        <w:rPr>
          <w:rFonts w:asciiTheme="minorHAnsi" w:eastAsiaTheme="minorEastAsia" w:hAnsiTheme="minorHAnsi" w:cstheme="minorBidi"/>
          <w:iCs w:val="0"/>
          <w:kern w:val="2"/>
          <w:sz w:val="24"/>
          <w:lang w:val="en-GB" w:eastAsia="zh-CN"/>
          <w14:ligatures w14:val="standardContextual"/>
        </w:rPr>
      </w:pPr>
      <w:r>
        <w:t>2.</w:t>
      </w:r>
      <w:r>
        <w:rPr>
          <w:rFonts w:asciiTheme="minorHAnsi" w:eastAsiaTheme="minorEastAsia" w:hAnsiTheme="minorHAnsi" w:cstheme="minorBidi"/>
          <w:iCs w:val="0"/>
          <w:kern w:val="2"/>
          <w:sz w:val="24"/>
          <w:lang w:val="en-GB" w:eastAsia="zh-CN"/>
          <w14:ligatures w14:val="standardContextual"/>
        </w:rPr>
        <w:tab/>
      </w:r>
      <w:r>
        <w:t>Finding and recommendation</w:t>
      </w:r>
      <w:r>
        <w:tab/>
      </w:r>
      <w:r>
        <w:fldChar w:fldCharType="begin"/>
      </w:r>
      <w:r>
        <w:instrText xml:space="preserve"> PAGEREF _Toc234419092 \h </w:instrText>
      </w:r>
      <w:r>
        <w:fldChar w:fldCharType="separate"/>
      </w:r>
      <w:r>
        <w:t>13</w:t>
      </w:r>
      <w:r>
        <w:fldChar w:fldCharType="end"/>
      </w:r>
    </w:p>
    <w:p w14:paraId="2D734335" w14:textId="7269695B" w:rsidR="007A5A83" w:rsidRDefault="007A5A83">
      <w:pPr>
        <w:pStyle w:val="TOC3"/>
        <w:tabs>
          <w:tab w:val="left" w:pos="1276"/>
        </w:tabs>
        <w:rPr>
          <w:rFonts w:asciiTheme="minorHAnsi" w:hAnsiTheme="minorHAnsi"/>
          <w:sz w:val="24"/>
        </w:rPr>
      </w:pPr>
      <w:r>
        <w:t>E.</w:t>
      </w:r>
      <w:r>
        <w:rPr>
          <w:rFonts w:asciiTheme="minorHAnsi" w:hAnsiTheme="minorHAnsi"/>
          <w:sz w:val="24"/>
        </w:rPr>
        <w:tab/>
      </w:r>
      <w:r>
        <w:t>Transmissions of information by management</w:t>
      </w:r>
      <w:r>
        <w:tab/>
      </w:r>
      <w:r>
        <w:fldChar w:fldCharType="begin"/>
      </w:r>
      <w:r>
        <w:instrText xml:space="preserve"> PAGEREF _Toc234419093 \h </w:instrText>
      </w:r>
      <w:r>
        <w:fldChar w:fldCharType="separate"/>
      </w:r>
      <w:r>
        <w:t>14</w:t>
      </w:r>
      <w:r>
        <w:fldChar w:fldCharType="end"/>
      </w:r>
    </w:p>
    <w:p w14:paraId="39E6192D" w14:textId="6492376E" w:rsidR="007A5A83" w:rsidRDefault="007A5A83">
      <w:pPr>
        <w:pStyle w:val="TOC4"/>
        <w:tabs>
          <w:tab w:val="left" w:pos="1440"/>
        </w:tabs>
        <w:rPr>
          <w:rFonts w:asciiTheme="minorHAnsi" w:eastAsiaTheme="minorEastAsia" w:hAnsiTheme="minorHAnsi" w:cstheme="minorBidi"/>
          <w:iCs w:val="0"/>
          <w:kern w:val="2"/>
          <w:sz w:val="24"/>
          <w:lang w:val="en-GB" w:eastAsia="zh-CN"/>
          <w14:ligatures w14:val="standardContextual"/>
        </w:rPr>
      </w:pPr>
      <w:r>
        <w:t>1.</w:t>
      </w:r>
      <w:r>
        <w:rPr>
          <w:rFonts w:asciiTheme="minorHAnsi" w:eastAsiaTheme="minorEastAsia" w:hAnsiTheme="minorHAnsi" w:cstheme="minorBidi"/>
          <w:iCs w:val="0"/>
          <w:kern w:val="2"/>
          <w:sz w:val="24"/>
          <w:lang w:val="en-GB" w:eastAsia="zh-CN"/>
          <w14:ligatures w14:val="standardContextual"/>
        </w:rPr>
        <w:tab/>
      </w:r>
      <w:r>
        <w:t>Write-offs and losses of cash and other assets</w:t>
      </w:r>
      <w:r>
        <w:tab/>
      </w:r>
      <w:r>
        <w:fldChar w:fldCharType="begin"/>
      </w:r>
      <w:r>
        <w:instrText xml:space="preserve"> PAGEREF _Toc234419094 \h </w:instrText>
      </w:r>
      <w:r>
        <w:fldChar w:fldCharType="separate"/>
      </w:r>
      <w:r>
        <w:t>14</w:t>
      </w:r>
      <w:r>
        <w:fldChar w:fldCharType="end"/>
      </w:r>
    </w:p>
    <w:p w14:paraId="4B60B3C8" w14:textId="43E7A27A" w:rsidR="007A5A83" w:rsidRDefault="007A5A83">
      <w:pPr>
        <w:pStyle w:val="TOC4"/>
        <w:tabs>
          <w:tab w:val="left" w:pos="1440"/>
        </w:tabs>
        <w:rPr>
          <w:rFonts w:asciiTheme="minorHAnsi" w:eastAsiaTheme="minorEastAsia" w:hAnsiTheme="minorHAnsi" w:cstheme="minorBidi"/>
          <w:iCs w:val="0"/>
          <w:kern w:val="2"/>
          <w:sz w:val="24"/>
          <w:lang w:val="en-GB" w:eastAsia="zh-CN"/>
          <w14:ligatures w14:val="standardContextual"/>
        </w:rPr>
      </w:pPr>
      <w:r>
        <w:t>2.</w:t>
      </w:r>
      <w:r>
        <w:rPr>
          <w:rFonts w:asciiTheme="minorHAnsi" w:eastAsiaTheme="minorEastAsia" w:hAnsiTheme="minorHAnsi" w:cstheme="minorBidi"/>
          <w:iCs w:val="0"/>
          <w:kern w:val="2"/>
          <w:sz w:val="24"/>
          <w:lang w:val="en-GB" w:eastAsia="zh-CN"/>
          <w14:ligatures w14:val="standardContextual"/>
        </w:rPr>
        <w:tab/>
      </w:r>
      <w:r>
        <w:t>Ex-gratia payments</w:t>
      </w:r>
      <w:r>
        <w:tab/>
      </w:r>
      <w:r>
        <w:fldChar w:fldCharType="begin"/>
      </w:r>
      <w:r>
        <w:instrText xml:space="preserve"> PAGEREF _Toc234419095 \h </w:instrText>
      </w:r>
      <w:r>
        <w:fldChar w:fldCharType="separate"/>
      </w:r>
      <w:r>
        <w:t>14</w:t>
      </w:r>
      <w:r>
        <w:fldChar w:fldCharType="end"/>
      </w:r>
    </w:p>
    <w:p w14:paraId="57DDD0BA" w14:textId="47CC4CB6" w:rsidR="007A5A83" w:rsidRDefault="007A5A83">
      <w:pPr>
        <w:pStyle w:val="TOC4"/>
        <w:tabs>
          <w:tab w:val="left" w:pos="1440"/>
        </w:tabs>
        <w:rPr>
          <w:rFonts w:asciiTheme="minorHAnsi" w:eastAsiaTheme="minorEastAsia" w:hAnsiTheme="minorHAnsi" w:cstheme="minorBidi"/>
          <w:iCs w:val="0"/>
          <w:kern w:val="2"/>
          <w:sz w:val="24"/>
          <w:lang w:val="en-GB" w:eastAsia="zh-CN"/>
          <w14:ligatures w14:val="standardContextual"/>
        </w:rPr>
      </w:pPr>
      <w:r>
        <w:t>3.</w:t>
      </w:r>
      <w:r>
        <w:rPr>
          <w:rFonts w:asciiTheme="minorHAnsi" w:eastAsiaTheme="minorEastAsia" w:hAnsiTheme="minorHAnsi" w:cstheme="minorBidi"/>
          <w:iCs w:val="0"/>
          <w:kern w:val="2"/>
          <w:sz w:val="24"/>
          <w:lang w:val="en-GB" w:eastAsia="zh-CN"/>
          <w14:ligatures w14:val="standardContextual"/>
        </w:rPr>
        <w:tab/>
      </w:r>
      <w:r>
        <w:t>Cases of fraud and presumptive fraud</w:t>
      </w:r>
      <w:r>
        <w:tab/>
      </w:r>
      <w:r>
        <w:fldChar w:fldCharType="begin"/>
      </w:r>
      <w:r>
        <w:instrText xml:space="preserve"> PAGEREF _Toc234419096 \h </w:instrText>
      </w:r>
      <w:r>
        <w:fldChar w:fldCharType="separate"/>
      </w:r>
      <w:r>
        <w:t>14</w:t>
      </w:r>
      <w:r>
        <w:fldChar w:fldCharType="end"/>
      </w:r>
    </w:p>
    <w:p w14:paraId="739D5DF0" w14:textId="53EE22AB" w:rsidR="007A5A83" w:rsidRDefault="007A5A83">
      <w:pPr>
        <w:pStyle w:val="TOC3"/>
        <w:tabs>
          <w:tab w:val="left" w:pos="993"/>
        </w:tabs>
        <w:rPr>
          <w:rFonts w:asciiTheme="minorHAnsi" w:hAnsiTheme="minorHAnsi"/>
          <w:sz w:val="24"/>
        </w:rPr>
      </w:pPr>
      <w:r>
        <w:t>F.</w:t>
      </w:r>
      <w:r>
        <w:rPr>
          <w:rFonts w:asciiTheme="minorHAnsi" w:hAnsiTheme="minorHAnsi"/>
          <w:sz w:val="24"/>
        </w:rPr>
        <w:tab/>
      </w:r>
      <w:r>
        <w:t>Audit handover</w:t>
      </w:r>
      <w:r>
        <w:tab/>
      </w:r>
      <w:r>
        <w:fldChar w:fldCharType="begin"/>
      </w:r>
      <w:r>
        <w:instrText xml:space="preserve"> PAGEREF _Toc234419097 \h </w:instrText>
      </w:r>
      <w:r>
        <w:fldChar w:fldCharType="separate"/>
      </w:r>
      <w:r>
        <w:t>14</w:t>
      </w:r>
      <w:r>
        <w:fldChar w:fldCharType="end"/>
      </w:r>
    </w:p>
    <w:p w14:paraId="7729AF61" w14:textId="41E3AE26" w:rsidR="007A5A83" w:rsidRDefault="007A5A83">
      <w:pPr>
        <w:pStyle w:val="TOC3"/>
        <w:tabs>
          <w:tab w:val="left" w:pos="1276"/>
        </w:tabs>
        <w:rPr>
          <w:rFonts w:asciiTheme="minorHAnsi" w:hAnsiTheme="minorHAnsi"/>
          <w:sz w:val="24"/>
        </w:rPr>
      </w:pPr>
      <w:r>
        <w:t>G.</w:t>
      </w:r>
      <w:r>
        <w:rPr>
          <w:rFonts w:asciiTheme="minorHAnsi" w:hAnsiTheme="minorHAnsi"/>
          <w:sz w:val="24"/>
        </w:rPr>
        <w:tab/>
      </w:r>
      <w:r>
        <w:t>Acknowledgement</w:t>
      </w:r>
      <w:r>
        <w:tab/>
      </w:r>
      <w:r>
        <w:fldChar w:fldCharType="begin"/>
      </w:r>
      <w:r>
        <w:instrText xml:space="preserve"> PAGEREF _Toc234419098 \h </w:instrText>
      </w:r>
      <w:r>
        <w:fldChar w:fldCharType="separate"/>
      </w:r>
      <w:r>
        <w:t>16</w:t>
      </w:r>
      <w:r>
        <w:fldChar w:fldCharType="end"/>
      </w:r>
    </w:p>
    <w:p w14:paraId="153A0B5C" w14:textId="59418BA5" w:rsidR="007A5A83" w:rsidRDefault="007A5A83">
      <w:pPr>
        <w:pStyle w:val="TOC1"/>
        <w:rPr>
          <w:rFonts w:asciiTheme="minorHAnsi" w:eastAsiaTheme="minorEastAsia" w:hAnsiTheme="minorHAnsi" w:cstheme="minorBidi"/>
          <w:bCs w:val="0"/>
          <w:kern w:val="2"/>
          <w:sz w:val="24"/>
          <w:szCs w:val="24"/>
          <w:lang w:val="en-GB" w:eastAsia="zh-CN"/>
          <w14:ligatures w14:val="standardContextual"/>
        </w:rPr>
      </w:pPr>
      <w:r>
        <w:t>Annex 1: List of acronyms</w:t>
      </w:r>
      <w:r>
        <w:tab/>
      </w:r>
      <w:r>
        <w:fldChar w:fldCharType="begin"/>
      </w:r>
      <w:r>
        <w:instrText xml:space="preserve"> PAGEREF _Toc234419099 \h </w:instrText>
      </w:r>
      <w:r>
        <w:fldChar w:fldCharType="separate"/>
      </w:r>
      <w:r>
        <w:t>17</w:t>
      </w:r>
      <w:r>
        <w:fldChar w:fldCharType="end"/>
      </w:r>
    </w:p>
    <w:p w14:paraId="5473F859" w14:textId="6ED28A48" w:rsidR="00BF7378" w:rsidRDefault="00D51C01" w:rsidP="00737DC2">
      <w:pPr>
        <w:spacing w:after="120" w:line="276" w:lineRule="auto"/>
        <w:jc w:val="left"/>
        <w:rPr>
          <w:rFonts w:ascii="Times New Roman" w:eastAsia="Calibri" w:hAnsi="Times New Roman"/>
          <w:color w:val="000000"/>
          <w:sz w:val="22"/>
          <w:szCs w:val="22"/>
        </w:rPr>
      </w:pPr>
      <w:r>
        <w:rPr>
          <w:rFonts w:ascii="Times New Roman" w:eastAsia="Calibri" w:hAnsi="Times New Roman"/>
          <w:color w:val="000000"/>
          <w:sz w:val="22"/>
          <w:szCs w:val="22"/>
        </w:rPr>
        <w:fldChar w:fldCharType="end"/>
      </w:r>
    </w:p>
    <w:p w14:paraId="6A30D7E6" w14:textId="40CB5B22" w:rsidR="00737DC2" w:rsidRPr="00737DC2" w:rsidRDefault="00737DC2" w:rsidP="00737DC2">
      <w:pPr>
        <w:spacing w:after="120" w:line="276" w:lineRule="auto"/>
        <w:jc w:val="left"/>
        <w:rPr>
          <w:rFonts w:ascii="Times New Roman" w:eastAsia="Calibri" w:hAnsi="Times New Roman"/>
          <w:color w:val="000000"/>
          <w:sz w:val="22"/>
          <w:szCs w:val="22"/>
        </w:rPr>
      </w:pPr>
      <w:r w:rsidRPr="00737DC2">
        <w:rPr>
          <w:rFonts w:ascii="Times New Roman" w:eastAsia="Calibri" w:hAnsi="Times New Roman"/>
          <w:color w:val="000000"/>
          <w:sz w:val="22"/>
          <w:szCs w:val="22"/>
        </w:rPr>
        <w:br w:type="page" w:clear="all"/>
      </w:r>
    </w:p>
    <w:p w14:paraId="44C574EC" w14:textId="77777777" w:rsidR="00737DC2" w:rsidRPr="00737DC2" w:rsidRDefault="00737DC2" w:rsidP="00BF7378">
      <w:pPr>
        <w:pStyle w:val="Heading1"/>
      </w:pPr>
      <w:bookmarkStart w:id="3" w:name="_Toc234408421"/>
      <w:bookmarkStart w:id="4" w:name="_Toc234409589"/>
      <w:bookmarkStart w:id="5" w:name="_Toc234419082"/>
      <w:r w:rsidRPr="00737DC2">
        <w:lastRenderedPageBreak/>
        <w:t>List of tables</w:t>
      </w:r>
      <w:bookmarkEnd w:id="3"/>
      <w:bookmarkEnd w:id="4"/>
      <w:bookmarkEnd w:id="5"/>
      <w:r w:rsidRPr="00737DC2">
        <w:t xml:space="preserve"> </w:t>
      </w:r>
    </w:p>
    <w:p w14:paraId="66235B92" w14:textId="77777777" w:rsidR="00737DC2" w:rsidRPr="00737DC2" w:rsidRDefault="00737DC2" w:rsidP="00737DC2">
      <w:pPr>
        <w:tabs>
          <w:tab w:val="right" w:leader="dot" w:pos="9038"/>
        </w:tabs>
        <w:spacing w:line="276" w:lineRule="auto"/>
        <w:jc w:val="left"/>
        <w:rPr>
          <w:rFonts w:ascii="Times New Roman" w:eastAsia="Calibri" w:hAnsi="Times New Roman"/>
          <w:color w:val="000000"/>
          <w:sz w:val="22"/>
          <w:szCs w:val="22"/>
        </w:rPr>
      </w:pPr>
    </w:p>
    <w:p w14:paraId="60D98B59" w14:textId="3ECD1FFC" w:rsidR="00A624FB" w:rsidRDefault="00A624FB">
      <w:pPr>
        <w:pStyle w:val="TOC1"/>
        <w:rPr>
          <w:rFonts w:asciiTheme="minorHAnsi" w:eastAsiaTheme="minorEastAsia" w:hAnsiTheme="minorHAnsi" w:cstheme="minorBidi"/>
          <w:bCs w:val="0"/>
          <w:kern w:val="2"/>
          <w:sz w:val="24"/>
          <w:szCs w:val="24"/>
          <w:lang w:val="en-GB" w:eastAsia="zh-CN"/>
          <w14:ligatures w14:val="standardContextual"/>
        </w:rPr>
      </w:pPr>
      <w:r>
        <w:rPr>
          <w:color w:val="000000"/>
        </w:rPr>
        <w:fldChar w:fldCharType="begin"/>
      </w:r>
      <w:r>
        <w:rPr>
          <w:color w:val="000000"/>
        </w:rPr>
        <w:instrText xml:space="preserve"> TOC \t "Table of Figures</w:instrText>
      </w:r>
      <w:r w:rsidR="00AF0AF1">
        <w:rPr>
          <w:color w:val="000000"/>
        </w:rPr>
        <w:fldChar w:fldCharType="begin"/>
      </w:r>
      <w:r w:rsidR="00AF0AF1">
        <w:instrText xml:space="preserve"> XE "</w:instrText>
      </w:r>
      <w:r w:rsidR="00AF0AF1" w:rsidRPr="00E43D71">
        <w:instrText>Table of Figures</w:instrText>
      </w:r>
      <w:r w:rsidR="00AF0AF1">
        <w:instrText xml:space="preserve">" \y "1" </w:instrText>
      </w:r>
      <w:r w:rsidR="00AF0AF1">
        <w:rPr>
          <w:color w:val="000000"/>
        </w:rPr>
        <w:fldChar w:fldCharType="end"/>
      </w:r>
      <w:r>
        <w:rPr>
          <w:color w:val="000000"/>
        </w:rPr>
        <w:instrText xml:space="preserve">,1" </w:instrText>
      </w:r>
      <w:r>
        <w:rPr>
          <w:color w:val="000000"/>
        </w:rPr>
        <w:fldChar w:fldCharType="separate"/>
      </w:r>
      <w:r>
        <w:t>Table 1 The Union’s Financial Ratios (2021-2025)</w:t>
      </w:r>
      <w:r>
        <w:tab/>
      </w:r>
      <w:r>
        <w:fldChar w:fldCharType="begin"/>
      </w:r>
      <w:r>
        <w:instrText xml:space="preserve"> PAGEREF _Toc234411184 \h </w:instrText>
      </w:r>
      <w:r>
        <w:fldChar w:fldCharType="separate"/>
      </w:r>
      <w:r>
        <w:t>12</w:t>
      </w:r>
      <w:r>
        <w:fldChar w:fldCharType="end"/>
      </w:r>
    </w:p>
    <w:p w14:paraId="53DFFA4A" w14:textId="14C3CC19" w:rsidR="00737DC2" w:rsidRDefault="00A624FB" w:rsidP="00737DC2">
      <w:pPr>
        <w:spacing w:after="80" w:line="280" w:lineRule="exact"/>
        <w:rPr>
          <w:rFonts w:ascii="Times New Roman" w:eastAsia="Calibri" w:hAnsi="Times New Roman"/>
          <w:color w:val="000000"/>
          <w:sz w:val="22"/>
          <w:szCs w:val="22"/>
        </w:rPr>
      </w:pPr>
      <w:r>
        <w:rPr>
          <w:rFonts w:ascii="Times New Roman" w:eastAsia="Calibri" w:hAnsi="Times New Roman"/>
          <w:color w:val="000000"/>
          <w:sz w:val="22"/>
          <w:szCs w:val="22"/>
        </w:rPr>
        <w:fldChar w:fldCharType="end"/>
      </w:r>
    </w:p>
    <w:p w14:paraId="1C6DD122" w14:textId="77777777" w:rsidR="00A624FB" w:rsidRPr="00737DC2" w:rsidRDefault="00A624FB" w:rsidP="00737DC2">
      <w:pPr>
        <w:spacing w:after="80" w:line="280" w:lineRule="exact"/>
        <w:rPr>
          <w:rFonts w:ascii="Times New Roman" w:eastAsia="Calibri" w:hAnsi="Times New Roman"/>
          <w:color w:val="000000"/>
          <w:sz w:val="22"/>
          <w:szCs w:val="22"/>
        </w:rPr>
      </w:pPr>
    </w:p>
    <w:p w14:paraId="5291DD8C" w14:textId="77777777" w:rsidR="00737DC2" w:rsidRPr="00737DC2" w:rsidRDefault="00737DC2" w:rsidP="00737DC2">
      <w:pPr>
        <w:spacing w:after="120" w:line="276" w:lineRule="auto"/>
        <w:jc w:val="left"/>
        <w:rPr>
          <w:rFonts w:ascii="Times New Roman" w:eastAsia="Calibri" w:hAnsi="Times New Roman"/>
          <w:color w:val="000000"/>
          <w:sz w:val="22"/>
          <w:szCs w:val="22"/>
        </w:rPr>
        <w:sectPr w:rsidR="00737DC2" w:rsidRPr="00737DC2" w:rsidSect="00832B16">
          <w:headerReference w:type="default" r:id="rId17"/>
          <w:headerReference w:type="first" r:id="rId18"/>
          <w:pgSz w:w="11906" w:h="16838" w:code="9"/>
          <w:pgMar w:top="510" w:right="1440" w:bottom="1440" w:left="1418" w:header="510" w:footer="709" w:gutter="0"/>
          <w:pgNumType w:start="1"/>
          <w:cols w:space="720"/>
          <w:titlePg/>
          <w:docGrid w:linePitch="272"/>
        </w:sectPr>
      </w:pPr>
    </w:p>
    <w:p w14:paraId="40ED1695" w14:textId="1C65C257" w:rsidR="00737DC2" w:rsidRPr="00E0118D" w:rsidRDefault="00C50A12" w:rsidP="00E0118D">
      <w:pPr>
        <w:jc w:val="center"/>
        <w:rPr>
          <w:rFonts w:eastAsia="Calibri"/>
        </w:rPr>
      </w:pPr>
      <w:r>
        <w:rPr>
          <w:noProof/>
        </w:rPr>
        <w:lastRenderedPageBreak/>
        <w:drawing>
          <wp:inline distT="0" distB="0" distL="0" distR="0" wp14:anchorId="06DD3908" wp14:editId="4D5A347E">
            <wp:extent cx="5745600" cy="1332000"/>
            <wp:effectExtent l="0" t="0" r="7620" b="1905"/>
            <wp:docPr id="1453030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30818" name=""/>
                    <pic:cNvPicPr/>
                  </pic:nvPicPr>
                  <pic:blipFill>
                    <a:blip r:embed="rId19"/>
                    <a:stretch>
                      <a:fillRect/>
                    </a:stretch>
                  </pic:blipFill>
                  <pic:spPr>
                    <a:xfrm>
                      <a:off x="0" y="0"/>
                      <a:ext cx="5745600" cy="1332000"/>
                    </a:xfrm>
                    <a:prstGeom prst="rect">
                      <a:avLst/>
                    </a:prstGeom>
                  </pic:spPr>
                </pic:pic>
              </a:graphicData>
            </a:graphic>
          </wp:inline>
        </w:drawing>
      </w:r>
    </w:p>
    <w:p w14:paraId="6B7F3A6B" w14:textId="77777777" w:rsidR="00C50A12" w:rsidRDefault="00C50A12" w:rsidP="00C50A12">
      <w:pPr>
        <w:spacing w:after="120" w:line="276" w:lineRule="auto"/>
        <w:jc w:val="center"/>
        <w:rPr>
          <w:rFonts w:ascii="Times New Roman" w:eastAsia="Calibri" w:hAnsi="Times New Roman"/>
          <w:color w:val="000000"/>
          <w:sz w:val="22"/>
          <w:szCs w:val="22"/>
        </w:rPr>
      </w:pPr>
    </w:p>
    <w:p w14:paraId="0B18ED9D" w14:textId="77777777" w:rsidR="00E0118D" w:rsidRPr="00737DC2" w:rsidRDefault="00E0118D" w:rsidP="00C50A12">
      <w:pPr>
        <w:spacing w:after="120" w:line="276" w:lineRule="auto"/>
        <w:jc w:val="center"/>
        <w:rPr>
          <w:rFonts w:ascii="Times New Roman" w:eastAsia="Calibri" w:hAnsi="Times New Roman"/>
          <w:color w:val="000000"/>
          <w:sz w:val="22"/>
          <w:szCs w:val="22"/>
        </w:rPr>
      </w:pPr>
    </w:p>
    <w:p w14:paraId="628819FC" w14:textId="77777777" w:rsidR="00737DC2" w:rsidRPr="00737DC2" w:rsidRDefault="00737DC2" w:rsidP="00BF7378">
      <w:pPr>
        <w:pStyle w:val="Heading1"/>
        <w:jc w:val="center"/>
      </w:pPr>
      <w:bookmarkStart w:id="6" w:name="_Toc234408422"/>
      <w:bookmarkStart w:id="7" w:name="_Toc234409590"/>
      <w:bookmarkStart w:id="8" w:name="_Toc234419083"/>
      <w:r w:rsidRPr="00737DC2">
        <w:t>Letter of transmittal</w:t>
      </w:r>
      <w:bookmarkEnd w:id="6"/>
      <w:bookmarkEnd w:id="7"/>
      <w:bookmarkEnd w:id="8"/>
    </w:p>
    <w:p w14:paraId="1A59B9CE" w14:textId="77777777" w:rsidR="00737DC2" w:rsidRPr="00737DC2" w:rsidRDefault="00737DC2" w:rsidP="00737DC2">
      <w:pPr>
        <w:spacing w:after="100" w:line="276" w:lineRule="auto"/>
        <w:rPr>
          <w:rFonts w:ascii="Times New Roman" w:eastAsia="Calibri" w:hAnsi="Times New Roman"/>
          <w:color w:val="000000"/>
          <w:sz w:val="22"/>
          <w:szCs w:val="22"/>
        </w:rPr>
      </w:pPr>
    </w:p>
    <w:p w14:paraId="7F39E4D4" w14:textId="77777777" w:rsidR="00737DC2" w:rsidRPr="00737DC2" w:rsidRDefault="00737DC2" w:rsidP="00737DC2">
      <w:pPr>
        <w:spacing w:after="120" w:line="360" w:lineRule="auto"/>
        <w:rPr>
          <w:rFonts w:ascii="Times New Roman" w:eastAsia="Calibri" w:hAnsi="Times New Roman"/>
          <w:sz w:val="22"/>
          <w:szCs w:val="22"/>
          <w:shd w:val="clear" w:color="auto" w:fill="FFFFFF"/>
        </w:rPr>
      </w:pPr>
    </w:p>
    <w:p w14:paraId="6B0CA6C7" w14:textId="14933F40" w:rsidR="00737DC2" w:rsidRPr="00737DC2" w:rsidRDefault="00737DC2" w:rsidP="00737DC2">
      <w:pPr>
        <w:rPr>
          <w:rFonts w:ascii="Times New Roman" w:eastAsia="Calibri" w:hAnsi="Times New Roman"/>
          <w:sz w:val="22"/>
          <w:szCs w:val="22"/>
          <w:shd w:val="clear" w:color="auto" w:fill="FFFFFF"/>
        </w:rPr>
      </w:pPr>
      <w:r w:rsidRPr="00737DC2">
        <w:rPr>
          <w:rFonts w:ascii="Times New Roman" w:eastAsia="Calibri" w:hAnsi="Times New Roman"/>
          <w:sz w:val="22"/>
          <w:szCs w:val="22"/>
          <w:shd w:val="clear" w:color="auto" w:fill="FFFFFF"/>
        </w:rPr>
        <w:t xml:space="preserve">Number:    </w:t>
      </w:r>
      <w:r w:rsidR="00326A74">
        <w:rPr>
          <w:rFonts w:ascii="Times New Roman" w:eastAsia="Calibri" w:hAnsi="Times New Roman"/>
          <w:sz w:val="22"/>
          <w:szCs w:val="22"/>
          <w:shd w:val="clear" w:color="auto" w:fill="FFFFFF"/>
        </w:rPr>
        <w:t>68</w:t>
      </w:r>
      <w:r w:rsidRPr="00737DC2">
        <w:rPr>
          <w:rFonts w:ascii="Times New Roman" w:eastAsia="Calibri" w:hAnsi="Times New Roman"/>
          <w:sz w:val="22"/>
          <w:szCs w:val="22"/>
          <w:shd w:val="clear" w:color="auto" w:fill="FFFFFF"/>
        </w:rPr>
        <w:t xml:space="preserve">   B/S/KETUA/POI.01/07/2026</w:t>
      </w:r>
    </w:p>
    <w:p w14:paraId="5F67139B" w14:textId="77777777" w:rsidR="00737DC2" w:rsidRPr="00737DC2" w:rsidRDefault="00737DC2" w:rsidP="00737DC2">
      <w:pPr>
        <w:rPr>
          <w:rFonts w:ascii="Times New Roman" w:eastAsia="Calibri" w:hAnsi="Times New Roman"/>
          <w:sz w:val="22"/>
          <w:szCs w:val="22"/>
          <w:shd w:val="clear" w:color="auto" w:fill="FFFFFF"/>
        </w:rPr>
      </w:pPr>
    </w:p>
    <w:p w14:paraId="10681021" w14:textId="77777777" w:rsidR="00737DC2" w:rsidRPr="00737DC2" w:rsidRDefault="00737DC2" w:rsidP="00737DC2">
      <w:pPr>
        <w:rPr>
          <w:rFonts w:ascii="Times New Roman" w:eastAsia="Calibri" w:hAnsi="Times New Roman"/>
          <w:sz w:val="22"/>
          <w:szCs w:val="22"/>
          <w:shd w:val="clear" w:color="auto" w:fill="FFFFFF"/>
        </w:rPr>
      </w:pPr>
      <w:r w:rsidRPr="00737DC2">
        <w:rPr>
          <w:rFonts w:ascii="Times New Roman" w:eastAsia="Calibri" w:hAnsi="Times New Roman"/>
          <w:sz w:val="22"/>
          <w:szCs w:val="22"/>
          <w:shd w:val="clear" w:color="auto" w:fill="FFFFFF"/>
        </w:rPr>
        <w:t>President of the Council</w:t>
      </w:r>
    </w:p>
    <w:p w14:paraId="033F8E45" w14:textId="77777777" w:rsidR="00737DC2" w:rsidRPr="00737DC2" w:rsidRDefault="00737DC2" w:rsidP="00737DC2">
      <w:pPr>
        <w:rPr>
          <w:rFonts w:ascii="Times New Roman" w:eastAsia="Calibri" w:hAnsi="Times New Roman"/>
          <w:sz w:val="22"/>
          <w:szCs w:val="22"/>
          <w:shd w:val="clear" w:color="auto" w:fill="FFFFFF"/>
        </w:rPr>
      </w:pPr>
      <w:r w:rsidRPr="00737DC2">
        <w:rPr>
          <w:rFonts w:ascii="Times New Roman" w:eastAsia="Calibri" w:hAnsi="Times New Roman"/>
          <w:sz w:val="22"/>
          <w:szCs w:val="22"/>
          <w:shd w:val="clear" w:color="auto" w:fill="FFFFFF"/>
        </w:rPr>
        <w:t>International Union for the Protection of New Varieties of Plants</w:t>
      </w:r>
    </w:p>
    <w:p w14:paraId="38419D19" w14:textId="77777777" w:rsidR="00737DC2" w:rsidRPr="00737DC2" w:rsidRDefault="00737DC2" w:rsidP="00737DC2">
      <w:pPr>
        <w:rPr>
          <w:rFonts w:ascii="Times New Roman" w:eastAsia="Calibri" w:hAnsi="Times New Roman"/>
          <w:sz w:val="22"/>
          <w:szCs w:val="22"/>
          <w:shd w:val="clear" w:color="auto" w:fill="FFFFFF"/>
        </w:rPr>
      </w:pPr>
      <w:r w:rsidRPr="00737DC2">
        <w:rPr>
          <w:rFonts w:ascii="Times New Roman" w:eastAsia="Calibri" w:hAnsi="Times New Roman"/>
          <w:sz w:val="22"/>
          <w:szCs w:val="22"/>
          <w:shd w:val="clear" w:color="auto" w:fill="FFFFFF"/>
        </w:rPr>
        <w:t xml:space="preserve">34, chemin des </w:t>
      </w:r>
      <w:proofErr w:type="spellStart"/>
      <w:r w:rsidRPr="00737DC2">
        <w:rPr>
          <w:rFonts w:ascii="Times New Roman" w:eastAsia="Calibri" w:hAnsi="Times New Roman"/>
          <w:sz w:val="22"/>
          <w:szCs w:val="22"/>
          <w:shd w:val="clear" w:color="auto" w:fill="FFFFFF"/>
        </w:rPr>
        <w:t>Colombettes</w:t>
      </w:r>
      <w:proofErr w:type="spellEnd"/>
    </w:p>
    <w:p w14:paraId="48348C1E" w14:textId="77777777" w:rsidR="00737DC2" w:rsidRPr="00737DC2" w:rsidRDefault="00737DC2" w:rsidP="00737DC2">
      <w:pPr>
        <w:rPr>
          <w:rFonts w:ascii="Times New Roman" w:eastAsia="Calibri" w:hAnsi="Times New Roman"/>
          <w:sz w:val="22"/>
          <w:szCs w:val="22"/>
          <w:shd w:val="clear" w:color="auto" w:fill="FFFFFF"/>
        </w:rPr>
      </w:pPr>
      <w:r w:rsidRPr="00737DC2">
        <w:rPr>
          <w:rFonts w:ascii="Times New Roman" w:eastAsia="Calibri" w:hAnsi="Times New Roman"/>
          <w:sz w:val="22"/>
          <w:szCs w:val="22"/>
          <w:shd w:val="clear" w:color="auto" w:fill="FFFFFF"/>
        </w:rPr>
        <w:t>CH-1211 Geneva 20</w:t>
      </w:r>
    </w:p>
    <w:p w14:paraId="22F0490C" w14:textId="77777777" w:rsidR="00737DC2" w:rsidRPr="00737DC2" w:rsidRDefault="00737DC2" w:rsidP="00737DC2">
      <w:pPr>
        <w:rPr>
          <w:rFonts w:ascii="Times New Roman" w:eastAsia="Calibri" w:hAnsi="Times New Roman"/>
          <w:sz w:val="22"/>
          <w:szCs w:val="22"/>
          <w:shd w:val="clear" w:color="auto" w:fill="FFFFFF"/>
        </w:rPr>
      </w:pPr>
      <w:r w:rsidRPr="00737DC2">
        <w:rPr>
          <w:rFonts w:ascii="Times New Roman" w:eastAsia="Calibri" w:hAnsi="Times New Roman"/>
          <w:sz w:val="22"/>
          <w:szCs w:val="22"/>
          <w:shd w:val="clear" w:color="auto" w:fill="FFFFFF"/>
        </w:rPr>
        <w:t>Switzerland</w:t>
      </w:r>
    </w:p>
    <w:p w14:paraId="772F0548" w14:textId="77777777" w:rsidR="00737DC2" w:rsidRPr="00737DC2" w:rsidRDefault="00737DC2" w:rsidP="00737DC2">
      <w:pPr>
        <w:spacing w:after="120" w:line="360" w:lineRule="auto"/>
        <w:rPr>
          <w:rFonts w:ascii="Times New Roman" w:eastAsia="Calibri" w:hAnsi="Times New Roman"/>
          <w:sz w:val="22"/>
          <w:szCs w:val="22"/>
          <w:shd w:val="clear" w:color="auto" w:fill="FFFFFF"/>
        </w:rPr>
      </w:pPr>
    </w:p>
    <w:p w14:paraId="61EA96A3" w14:textId="77777777" w:rsidR="00737DC2" w:rsidRPr="00737DC2" w:rsidRDefault="00737DC2" w:rsidP="00737DC2">
      <w:pPr>
        <w:spacing w:after="120" w:line="360" w:lineRule="auto"/>
        <w:rPr>
          <w:rFonts w:ascii="Times New Roman" w:eastAsia="Calibri" w:hAnsi="Times New Roman"/>
          <w:sz w:val="22"/>
          <w:szCs w:val="22"/>
          <w:shd w:val="clear" w:color="auto" w:fill="FFFFFF"/>
        </w:rPr>
      </w:pPr>
      <w:r w:rsidRPr="00737DC2">
        <w:rPr>
          <w:rFonts w:ascii="Times New Roman" w:eastAsia="Calibri" w:hAnsi="Times New Roman"/>
          <w:sz w:val="22"/>
          <w:szCs w:val="22"/>
          <w:shd w:val="clear" w:color="auto" w:fill="FFFFFF"/>
        </w:rPr>
        <w:t>Dear President,</w:t>
      </w:r>
    </w:p>
    <w:p w14:paraId="7FA1D23D" w14:textId="77777777" w:rsidR="00737DC2" w:rsidRPr="00737DC2" w:rsidRDefault="00737DC2" w:rsidP="00737DC2">
      <w:pPr>
        <w:spacing w:after="120" w:line="360" w:lineRule="auto"/>
        <w:rPr>
          <w:rFonts w:ascii="Times New Roman" w:eastAsia="Calibri" w:hAnsi="Times New Roman"/>
          <w:sz w:val="22"/>
          <w:szCs w:val="22"/>
          <w:shd w:val="clear" w:color="auto" w:fill="FFFFFF"/>
        </w:rPr>
      </w:pPr>
      <w:r w:rsidRPr="00737DC2">
        <w:rPr>
          <w:rFonts w:ascii="Times New Roman" w:eastAsia="Calibri" w:hAnsi="Times New Roman"/>
          <w:sz w:val="22"/>
          <w:szCs w:val="22"/>
          <w:shd w:val="clear" w:color="auto" w:fill="FFFFFF"/>
        </w:rPr>
        <w:t xml:space="preserve">In accordance with Regulation 8.11 of the International Union for the Protection of New Varieties of Plants’ (UPOV) Financial Regulations and Rules, I have the honor of presenting the audit report of the Audit Board of the Republic of Indonesia or Badan </w:t>
      </w:r>
      <w:proofErr w:type="spellStart"/>
      <w:r w:rsidRPr="00737DC2">
        <w:rPr>
          <w:rFonts w:ascii="Times New Roman" w:eastAsia="Calibri" w:hAnsi="Times New Roman"/>
          <w:sz w:val="22"/>
          <w:szCs w:val="22"/>
          <w:shd w:val="clear" w:color="auto" w:fill="FFFFFF"/>
        </w:rPr>
        <w:t>Pemeriksa</w:t>
      </w:r>
      <w:proofErr w:type="spellEnd"/>
      <w:r w:rsidRPr="00737DC2">
        <w:rPr>
          <w:rFonts w:ascii="Times New Roman" w:eastAsia="Calibri" w:hAnsi="Times New Roman"/>
          <w:sz w:val="22"/>
          <w:szCs w:val="22"/>
          <w:shd w:val="clear" w:color="auto" w:fill="FFFFFF"/>
        </w:rPr>
        <w:t xml:space="preserve"> Keuangan (BPK).</w:t>
      </w:r>
    </w:p>
    <w:p w14:paraId="7E0B64FE" w14:textId="77777777" w:rsidR="00737DC2" w:rsidRPr="00737DC2" w:rsidRDefault="00737DC2" w:rsidP="00737DC2">
      <w:pPr>
        <w:spacing w:after="120" w:line="360" w:lineRule="auto"/>
        <w:rPr>
          <w:rFonts w:ascii="Times New Roman" w:eastAsia="Calibri" w:hAnsi="Times New Roman"/>
          <w:sz w:val="22"/>
          <w:szCs w:val="22"/>
          <w:shd w:val="clear" w:color="auto" w:fill="FFFFFF"/>
        </w:rPr>
      </w:pPr>
      <w:r w:rsidRPr="00737DC2">
        <w:rPr>
          <w:rFonts w:ascii="Times New Roman" w:eastAsia="Calibri" w:hAnsi="Times New Roman"/>
          <w:sz w:val="22"/>
          <w:szCs w:val="22"/>
          <w:shd w:val="clear" w:color="auto" w:fill="FFFFFF"/>
        </w:rPr>
        <w:t xml:space="preserve">This report comprises the External Auditor’s Opinion and the External Auditor’s Long-Form Report on the audited financial statements of the Union for the year ended 31 December 2025. </w:t>
      </w:r>
    </w:p>
    <w:p w14:paraId="162E67C7" w14:textId="77777777" w:rsidR="00737DC2" w:rsidRPr="00737DC2" w:rsidRDefault="00737DC2" w:rsidP="00737DC2">
      <w:pPr>
        <w:spacing w:after="200" w:line="276" w:lineRule="auto"/>
        <w:rPr>
          <w:rFonts w:ascii="Times New Roman" w:eastAsia="Calibri" w:hAnsi="Times New Roman"/>
          <w:color w:val="000000"/>
          <w:sz w:val="22"/>
          <w:szCs w:val="22"/>
        </w:rPr>
      </w:pPr>
    </w:p>
    <w:p w14:paraId="0D4FE861" w14:textId="77777777" w:rsidR="00737DC2" w:rsidRPr="00737DC2" w:rsidRDefault="00737DC2" w:rsidP="00737DC2">
      <w:pPr>
        <w:spacing w:after="400" w:line="276" w:lineRule="auto"/>
        <w:rPr>
          <w:rFonts w:ascii="Times New Roman" w:eastAsia="Calibri" w:hAnsi="Times New Roman"/>
          <w:color w:val="000000"/>
          <w:sz w:val="22"/>
          <w:szCs w:val="22"/>
        </w:rPr>
      </w:pPr>
      <w:r w:rsidRPr="00737DC2">
        <w:rPr>
          <w:rFonts w:ascii="Times New Roman" w:eastAsia="Calibri" w:hAnsi="Times New Roman"/>
          <w:color w:val="000000"/>
          <w:sz w:val="22"/>
          <w:szCs w:val="22"/>
        </w:rPr>
        <w:t>Yours sincerely,</w:t>
      </w:r>
    </w:p>
    <w:p w14:paraId="4D9295B9" w14:textId="78871889" w:rsidR="00737DC2" w:rsidRPr="00737DC2" w:rsidRDefault="00C50A12" w:rsidP="00737DC2">
      <w:pPr>
        <w:spacing w:after="400" w:line="276" w:lineRule="auto"/>
        <w:rPr>
          <w:rFonts w:ascii="Times New Roman" w:eastAsia="Calibri" w:hAnsi="Times New Roman"/>
          <w:color w:val="000000"/>
          <w:sz w:val="22"/>
          <w:szCs w:val="22"/>
        </w:rPr>
      </w:pPr>
      <w:r>
        <w:rPr>
          <w:rFonts w:ascii="Times New Roman" w:eastAsia="Calibri" w:hAnsi="Times New Roman"/>
          <w:color w:val="000000"/>
          <w:sz w:val="22"/>
          <w:szCs w:val="22"/>
        </w:rPr>
        <w:t>[signed]</w:t>
      </w:r>
    </w:p>
    <w:p w14:paraId="0B86B4CD" w14:textId="77777777" w:rsidR="00737DC2" w:rsidRPr="00737DC2" w:rsidRDefault="00737DC2" w:rsidP="00737DC2">
      <w:pPr>
        <w:spacing w:after="400" w:line="276" w:lineRule="auto"/>
        <w:rPr>
          <w:rFonts w:ascii="Times New Roman" w:eastAsia="Calibri" w:hAnsi="Times New Roman"/>
          <w:color w:val="000000"/>
          <w:sz w:val="22"/>
          <w:szCs w:val="22"/>
        </w:rPr>
      </w:pPr>
    </w:p>
    <w:p w14:paraId="49D2C0BD" w14:textId="77777777" w:rsidR="00737DC2" w:rsidRPr="00737DC2" w:rsidRDefault="00737DC2" w:rsidP="00737DC2">
      <w:pPr>
        <w:jc w:val="left"/>
        <w:rPr>
          <w:rFonts w:ascii="Times New Roman" w:eastAsia="Calibri" w:hAnsi="Times New Roman"/>
          <w:b/>
          <w:bCs/>
          <w:color w:val="000000"/>
          <w:sz w:val="22"/>
          <w:szCs w:val="22"/>
        </w:rPr>
      </w:pPr>
      <w:r w:rsidRPr="00737DC2">
        <w:rPr>
          <w:rFonts w:ascii="Times New Roman" w:eastAsia="Calibri" w:hAnsi="Times New Roman"/>
          <w:b/>
          <w:bCs/>
          <w:color w:val="000000"/>
          <w:sz w:val="22"/>
          <w:szCs w:val="22"/>
        </w:rPr>
        <w:t xml:space="preserve">Dr. Isma </w:t>
      </w:r>
      <w:proofErr w:type="spellStart"/>
      <w:r w:rsidRPr="00737DC2">
        <w:rPr>
          <w:rFonts w:ascii="Times New Roman" w:eastAsia="Calibri" w:hAnsi="Times New Roman"/>
          <w:b/>
          <w:bCs/>
          <w:color w:val="000000"/>
          <w:sz w:val="22"/>
          <w:szCs w:val="22"/>
        </w:rPr>
        <w:t>Yatun</w:t>
      </w:r>
      <w:proofErr w:type="spellEnd"/>
      <w:r w:rsidRPr="00737DC2">
        <w:rPr>
          <w:rFonts w:ascii="Times New Roman" w:eastAsia="Calibri" w:hAnsi="Times New Roman"/>
          <w:b/>
          <w:bCs/>
          <w:color w:val="000000"/>
          <w:sz w:val="22"/>
          <w:szCs w:val="22"/>
        </w:rPr>
        <w:t xml:space="preserve">, CSFA., </w:t>
      </w:r>
      <w:proofErr w:type="spellStart"/>
      <w:r w:rsidRPr="00737DC2">
        <w:rPr>
          <w:rFonts w:ascii="Times New Roman" w:eastAsia="Calibri" w:hAnsi="Times New Roman"/>
          <w:b/>
          <w:bCs/>
          <w:color w:val="000000"/>
          <w:sz w:val="22"/>
          <w:szCs w:val="22"/>
        </w:rPr>
        <w:t>CFrA</w:t>
      </w:r>
      <w:proofErr w:type="spellEnd"/>
      <w:r w:rsidRPr="00737DC2">
        <w:rPr>
          <w:rFonts w:ascii="Times New Roman" w:eastAsia="Calibri" w:hAnsi="Times New Roman"/>
          <w:b/>
          <w:bCs/>
          <w:color w:val="000000"/>
          <w:sz w:val="22"/>
          <w:szCs w:val="22"/>
        </w:rPr>
        <w:t>.</w:t>
      </w:r>
    </w:p>
    <w:p w14:paraId="3538E934" w14:textId="77777777" w:rsidR="00737DC2" w:rsidRPr="00737DC2" w:rsidRDefault="00737DC2" w:rsidP="00737DC2">
      <w:pPr>
        <w:jc w:val="left"/>
        <w:rPr>
          <w:rFonts w:ascii="Times New Roman" w:eastAsia="Calibri" w:hAnsi="Times New Roman"/>
          <w:b/>
          <w:bCs/>
          <w:color w:val="000000"/>
          <w:sz w:val="22"/>
          <w:szCs w:val="22"/>
        </w:rPr>
      </w:pPr>
      <w:r w:rsidRPr="00737DC2">
        <w:rPr>
          <w:rFonts w:ascii="Times New Roman" w:eastAsia="Calibri" w:hAnsi="Times New Roman"/>
          <w:b/>
          <w:bCs/>
          <w:color w:val="000000"/>
          <w:sz w:val="22"/>
          <w:szCs w:val="22"/>
        </w:rPr>
        <w:t>Chair of the Audit Board of the Republic of Indonesia</w:t>
      </w:r>
    </w:p>
    <w:p w14:paraId="635741DC" w14:textId="77777777" w:rsidR="00737DC2" w:rsidRPr="00737DC2" w:rsidRDefault="00737DC2" w:rsidP="00737DC2">
      <w:pPr>
        <w:jc w:val="left"/>
        <w:rPr>
          <w:rFonts w:ascii="Times New Roman" w:eastAsia="Calibri" w:hAnsi="Times New Roman"/>
          <w:b/>
          <w:bCs/>
          <w:color w:val="000000"/>
          <w:sz w:val="22"/>
          <w:szCs w:val="22"/>
          <w:lang w:val="pt-PT"/>
        </w:rPr>
      </w:pPr>
      <w:r w:rsidRPr="00737DC2">
        <w:rPr>
          <w:rFonts w:ascii="Times New Roman" w:eastAsia="Calibri" w:hAnsi="Times New Roman"/>
          <w:b/>
          <w:bCs/>
          <w:color w:val="000000"/>
          <w:sz w:val="22"/>
          <w:szCs w:val="22"/>
          <w:lang w:val="pt-PT"/>
        </w:rPr>
        <w:t>External Auditor</w:t>
      </w:r>
    </w:p>
    <w:p w14:paraId="25868A30" w14:textId="77777777" w:rsidR="00737DC2" w:rsidRPr="00737DC2" w:rsidRDefault="00737DC2" w:rsidP="00737DC2">
      <w:pPr>
        <w:jc w:val="left"/>
        <w:rPr>
          <w:rFonts w:ascii="Times New Roman" w:eastAsia="Calibri" w:hAnsi="Times New Roman"/>
          <w:sz w:val="22"/>
          <w:szCs w:val="22"/>
          <w:shd w:val="clear" w:color="auto" w:fill="FFFFFF"/>
          <w:lang w:val="pt-PT"/>
        </w:rPr>
      </w:pPr>
    </w:p>
    <w:p w14:paraId="3570112E" w14:textId="77777777" w:rsidR="00737DC2" w:rsidRPr="00737DC2" w:rsidRDefault="00737DC2" w:rsidP="00737DC2">
      <w:pPr>
        <w:jc w:val="left"/>
        <w:rPr>
          <w:rFonts w:ascii="Times New Roman" w:eastAsia="Calibri" w:hAnsi="Times New Roman"/>
          <w:b/>
          <w:bCs/>
          <w:color w:val="000000"/>
          <w:sz w:val="22"/>
          <w:szCs w:val="22"/>
          <w:lang w:val="pt-PT"/>
        </w:rPr>
      </w:pPr>
      <w:r w:rsidRPr="00737DC2">
        <w:rPr>
          <w:rFonts w:ascii="Times New Roman" w:eastAsia="Calibri" w:hAnsi="Times New Roman"/>
          <w:b/>
          <w:bCs/>
          <w:color w:val="000000"/>
          <w:sz w:val="22"/>
          <w:szCs w:val="22"/>
          <w:lang w:val="pt-PT"/>
        </w:rPr>
        <w:t>Jakarta, Indonesia</w:t>
      </w:r>
    </w:p>
    <w:p w14:paraId="274FDEF7" w14:textId="77777777" w:rsidR="00737DC2" w:rsidRPr="00737DC2" w:rsidRDefault="00737DC2" w:rsidP="00737DC2">
      <w:pPr>
        <w:jc w:val="left"/>
        <w:rPr>
          <w:rFonts w:ascii="Times New Roman" w:eastAsia="Calibri" w:hAnsi="Times New Roman"/>
          <w:b/>
          <w:bCs/>
          <w:color w:val="000000"/>
          <w:sz w:val="22"/>
          <w:szCs w:val="22"/>
          <w:lang w:val="pt-PT"/>
        </w:rPr>
      </w:pPr>
      <w:r w:rsidRPr="00737DC2">
        <w:rPr>
          <w:rFonts w:ascii="Times New Roman" w:eastAsia="Calibri" w:hAnsi="Times New Roman"/>
          <w:b/>
          <w:bCs/>
          <w:color w:val="000000"/>
          <w:sz w:val="22"/>
          <w:szCs w:val="22"/>
          <w:lang w:val="pt-PT"/>
        </w:rPr>
        <w:t>3 July 2026</w:t>
      </w:r>
    </w:p>
    <w:p w14:paraId="3E29679F" w14:textId="77777777" w:rsidR="00737DC2" w:rsidRPr="00737DC2" w:rsidRDefault="00737DC2" w:rsidP="00737DC2">
      <w:pPr>
        <w:spacing w:after="80" w:line="280" w:lineRule="exact"/>
        <w:rPr>
          <w:rFonts w:ascii="Times New Roman" w:eastAsia="Calibri" w:hAnsi="Times New Roman"/>
          <w:color w:val="000000"/>
          <w:sz w:val="22"/>
          <w:szCs w:val="22"/>
          <w:lang w:val="pt-PT"/>
        </w:rPr>
      </w:pPr>
      <w:r w:rsidRPr="00737DC2">
        <w:rPr>
          <w:rFonts w:ascii="Times New Roman" w:eastAsia="Calibri" w:hAnsi="Times New Roman"/>
          <w:color w:val="000000"/>
          <w:sz w:val="22"/>
          <w:szCs w:val="22"/>
          <w:lang w:val="pt-PT"/>
        </w:rPr>
        <w:br w:type="page" w:clear="all"/>
      </w:r>
    </w:p>
    <w:p w14:paraId="557919F3" w14:textId="77777777" w:rsidR="00737DC2" w:rsidRPr="00737DC2" w:rsidRDefault="00737DC2" w:rsidP="00737DC2">
      <w:pPr>
        <w:spacing w:after="80" w:line="280" w:lineRule="exact"/>
        <w:rPr>
          <w:rFonts w:ascii="Times New Roman" w:eastAsia="Calibri" w:hAnsi="Times New Roman"/>
          <w:color w:val="000000"/>
          <w:sz w:val="22"/>
          <w:szCs w:val="22"/>
          <w:lang w:val="pt-PT"/>
        </w:rPr>
        <w:sectPr w:rsidR="00737DC2" w:rsidRPr="00737DC2" w:rsidSect="00832B16">
          <w:footerReference w:type="default" r:id="rId20"/>
          <w:pgSz w:w="11906" w:h="16838" w:code="9"/>
          <w:pgMar w:top="510" w:right="1440" w:bottom="1440" w:left="1418" w:header="510" w:footer="709" w:gutter="0"/>
          <w:cols w:space="720"/>
        </w:sectPr>
      </w:pPr>
    </w:p>
    <w:p w14:paraId="68A67F37" w14:textId="0D737DCC" w:rsidR="00737DC2" w:rsidRPr="00737DC2" w:rsidRDefault="00832B16" w:rsidP="00E0118D">
      <w:pPr>
        <w:rPr>
          <w:lang w:val="pt-PT"/>
        </w:rPr>
      </w:pPr>
      <w:r>
        <w:rPr>
          <w:noProof/>
        </w:rPr>
        <w:lastRenderedPageBreak/>
        <w:drawing>
          <wp:inline distT="0" distB="0" distL="0" distR="0" wp14:anchorId="1F289F93" wp14:editId="3F1FF021">
            <wp:extent cx="5744485" cy="1228007"/>
            <wp:effectExtent l="0" t="0" r="0" b="0"/>
            <wp:docPr id="858463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30818" name=""/>
                    <pic:cNvPicPr/>
                  </pic:nvPicPr>
                  <pic:blipFill rotWithShape="1">
                    <a:blip r:embed="rId19"/>
                    <a:srcRect t="7763"/>
                    <a:stretch>
                      <a:fillRect/>
                    </a:stretch>
                  </pic:blipFill>
                  <pic:spPr bwMode="auto">
                    <a:xfrm>
                      <a:off x="0" y="0"/>
                      <a:ext cx="5745480" cy="1228220"/>
                    </a:xfrm>
                    <a:prstGeom prst="rect">
                      <a:avLst/>
                    </a:prstGeom>
                    <a:ln>
                      <a:noFill/>
                    </a:ln>
                    <a:extLst>
                      <a:ext uri="{53640926-AAD7-44D8-BBD7-CCE9431645EC}">
                        <a14:shadowObscured xmlns:a14="http://schemas.microsoft.com/office/drawing/2010/main"/>
                      </a:ext>
                    </a:extLst>
                  </pic:spPr>
                </pic:pic>
              </a:graphicData>
            </a:graphic>
          </wp:inline>
        </w:drawing>
      </w:r>
    </w:p>
    <w:p w14:paraId="566B47A2" w14:textId="38AAF495" w:rsidR="00737DC2" w:rsidRPr="00737DC2" w:rsidRDefault="00737DC2" w:rsidP="00E7700E">
      <w:pPr>
        <w:pStyle w:val="Heading2"/>
      </w:pPr>
      <w:bookmarkStart w:id="9" w:name="_Toc234408423"/>
      <w:bookmarkStart w:id="10" w:name="_Toc234409591"/>
      <w:bookmarkStart w:id="11" w:name="_Toc234419084"/>
      <w:r w:rsidRPr="00737DC2">
        <w:t>I.</w:t>
      </w:r>
      <w:r w:rsidRPr="00737DC2">
        <w:tab/>
        <w:t>Report of the external auditor on the financial statements: audit opinion</w:t>
      </w:r>
      <w:bookmarkEnd w:id="9"/>
      <w:bookmarkEnd w:id="10"/>
      <w:bookmarkEnd w:id="11"/>
    </w:p>
    <w:p w14:paraId="6CA7E5D8" w14:textId="45EEB735" w:rsidR="00737DC2" w:rsidRPr="00737DC2" w:rsidRDefault="00737DC2" w:rsidP="00737DC2">
      <w:pPr>
        <w:spacing w:after="80" w:line="280" w:lineRule="exact"/>
        <w:rPr>
          <w:rFonts w:ascii="Times New Roman" w:eastAsia="Calibri" w:hAnsi="Times New Roman"/>
          <w:b/>
          <w:bCs/>
          <w:color w:val="000000"/>
          <w:sz w:val="22"/>
          <w:szCs w:val="22"/>
        </w:rPr>
      </w:pPr>
      <w:r w:rsidRPr="00737DC2">
        <w:rPr>
          <w:rFonts w:ascii="Times New Roman" w:eastAsia="Calibri" w:hAnsi="Times New Roman"/>
          <w:color w:val="000000"/>
          <w:sz w:val="22"/>
          <w:szCs w:val="22"/>
        </w:rPr>
        <w:t>To the Council of the International Union for the Protection of New Varieties of Plants</w:t>
      </w:r>
    </w:p>
    <w:p w14:paraId="00298110" w14:textId="63323252" w:rsidR="00737DC2" w:rsidRPr="00737DC2" w:rsidRDefault="00737DC2" w:rsidP="00737DC2">
      <w:pPr>
        <w:spacing w:after="80" w:line="280" w:lineRule="exact"/>
        <w:rPr>
          <w:rFonts w:ascii="Times New Roman" w:eastAsia="Calibri" w:hAnsi="Times New Roman"/>
          <w:color w:val="000000"/>
          <w:sz w:val="22"/>
          <w:szCs w:val="22"/>
        </w:rPr>
      </w:pPr>
      <w:bookmarkStart w:id="12" w:name="_Toc229470740"/>
      <w:bookmarkStart w:id="13" w:name="_Toc231337222"/>
      <w:bookmarkStart w:id="14" w:name="_Toc231446298"/>
      <w:r w:rsidRPr="00737DC2">
        <w:rPr>
          <w:rFonts w:ascii="Times New Roman" w:eastAsia="Calibri" w:hAnsi="Times New Roman"/>
          <w:b/>
          <w:color w:val="000000"/>
          <w:sz w:val="22"/>
          <w:szCs w:val="22"/>
        </w:rPr>
        <w:t>Opinion</w:t>
      </w:r>
      <w:bookmarkEnd w:id="12"/>
      <w:bookmarkEnd w:id="13"/>
      <w:bookmarkEnd w:id="14"/>
    </w:p>
    <w:p w14:paraId="53490460" w14:textId="77777777" w:rsidR="00737DC2" w:rsidRPr="00737DC2" w:rsidRDefault="00737DC2" w:rsidP="00737DC2">
      <w:pPr>
        <w:spacing w:after="80" w:line="280" w:lineRule="exact"/>
        <w:rPr>
          <w:rFonts w:ascii="Times New Roman" w:eastAsia="Calibri" w:hAnsi="Times New Roman"/>
          <w:color w:val="000000"/>
          <w:sz w:val="22"/>
          <w:szCs w:val="22"/>
        </w:rPr>
      </w:pPr>
      <w:r w:rsidRPr="00737DC2">
        <w:rPr>
          <w:rFonts w:ascii="Times New Roman" w:eastAsia="Calibri" w:hAnsi="Times New Roman"/>
          <w:color w:val="000000"/>
          <w:sz w:val="22"/>
          <w:szCs w:val="22"/>
        </w:rPr>
        <w:t>We have audited the financial statements of the International Union for the Protection of New Varieties of Plants (UPOV or the Union), which comprise the statement of financial position as at 31 December 2025, and the statement of financial performance, the statement of changes in net assets, the statement of cash flows, the statement of comparison of budget and actual amounts for the financial year then ended, and notes to the financial statements.</w:t>
      </w:r>
    </w:p>
    <w:p w14:paraId="3339AE3E" w14:textId="77777777" w:rsidR="00737DC2" w:rsidRPr="00737DC2" w:rsidRDefault="00737DC2" w:rsidP="00737DC2">
      <w:pPr>
        <w:spacing w:after="80" w:line="280" w:lineRule="exact"/>
        <w:rPr>
          <w:rFonts w:ascii="Times New Roman" w:eastAsia="Calibri" w:hAnsi="Times New Roman"/>
          <w:color w:val="000000"/>
          <w:sz w:val="22"/>
          <w:szCs w:val="22"/>
        </w:rPr>
      </w:pPr>
      <w:r w:rsidRPr="00737DC2">
        <w:rPr>
          <w:rFonts w:ascii="Times New Roman" w:eastAsia="Calibri" w:hAnsi="Times New Roman"/>
          <w:color w:val="000000"/>
          <w:sz w:val="22"/>
          <w:szCs w:val="22"/>
        </w:rPr>
        <w:t xml:space="preserve">In our opinion, the accompanying financial statements present fairly, in all material respects, the financial position of the Union as at 31 December 2025, and its financial performance and its cash flows for the financial year then ended in accordance with International Public Sector Accounting Standards (IPSAS). </w:t>
      </w:r>
    </w:p>
    <w:p w14:paraId="46DE60CE" w14:textId="77777777" w:rsidR="00737DC2" w:rsidRPr="00737DC2" w:rsidRDefault="00737DC2" w:rsidP="00737DC2">
      <w:pPr>
        <w:spacing w:after="80" w:line="280" w:lineRule="exact"/>
        <w:rPr>
          <w:rFonts w:ascii="Times New Roman" w:eastAsia="Calibri" w:hAnsi="Times New Roman"/>
          <w:b/>
          <w:bCs/>
          <w:color w:val="000000"/>
          <w:sz w:val="22"/>
          <w:szCs w:val="22"/>
        </w:rPr>
      </w:pPr>
      <w:r w:rsidRPr="00737DC2">
        <w:rPr>
          <w:rFonts w:ascii="Times New Roman" w:eastAsia="Calibri" w:hAnsi="Times New Roman"/>
          <w:b/>
          <w:bCs/>
          <w:color w:val="000000"/>
          <w:sz w:val="22"/>
          <w:szCs w:val="22"/>
        </w:rPr>
        <w:t>Opinion on regularity</w:t>
      </w:r>
    </w:p>
    <w:p w14:paraId="5C34A855" w14:textId="77777777" w:rsidR="00737DC2" w:rsidRPr="00737DC2" w:rsidRDefault="00737DC2" w:rsidP="00737DC2">
      <w:pPr>
        <w:spacing w:after="80" w:line="280" w:lineRule="exact"/>
        <w:rPr>
          <w:rFonts w:ascii="Times New Roman" w:eastAsia="Calibri" w:hAnsi="Times New Roman"/>
          <w:color w:val="000000"/>
          <w:sz w:val="22"/>
          <w:szCs w:val="22"/>
        </w:rPr>
      </w:pPr>
      <w:r w:rsidRPr="00737DC2">
        <w:rPr>
          <w:rFonts w:ascii="Times New Roman" w:eastAsia="Calibri" w:hAnsi="Times New Roman"/>
          <w:color w:val="000000"/>
          <w:sz w:val="22"/>
          <w:szCs w:val="22"/>
        </w:rPr>
        <w:t>In our opinion, in all material respects, the revenue and expenses have been applied to the purposes intended by the Council of the Union and the financial transactions conform to the Union’s Financial Regulations and Rules, and legislative authority.</w:t>
      </w:r>
    </w:p>
    <w:p w14:paraId="6B2ABB7D" w14:textId="77777777" w:rsidR="00737DC2" w:rsidRPr="00737DC2" w:rsidRDefault="00737DC2" w:rsidP="00737DC2">
      <w:pPr>
        <w:spacing w:after="80" w:line="280" w:lineRule="exact"/>
        <w:rPr>
          <w:rFonts w:ascii="Times New Roman" w:eastAsia="Calibri" w:hAnsi="Times New Roman"/>
          <w:color w:val="000000"/>
          <w:sz w:val="22"/>
          <w:szCs w:val="22"/>
        </w:rPr>
      </w:pPr>
      <w:bookmarkStart w:id="15" w:name="_Toc229470741"/>
      <w:bookmarkStart w:id="16" w:name="_Toc231337223"/>
      <w:bookmarkStart w:id="17" w:name="_Toc231446299"/>
      <w:r w:rsidRPr="00737DC2">
        <w:rPr>
          <w:rFonts w:ascii="Times New Roman" w:eastAsia="Calibri" w:hAnsi="Times New Roman"/>
          <w:b/>
          <w:color w:val="000000"/>
          <w:sz w:val="22"/>
          <w:szCs w:val="22"/>
        </w:rPr>
        <w:t>Basis for opinion</w:t>
      </w:r>
      <w:bookmarkEnd w:id="15"/>
      <w:bookmarkEnd w:id="16"/>
      <w:bookmarkEnd w:id="17"/>
    </w:p>
    <w:p w14:paraId="616798DA" w14:textId="77777777" w:rsidR="00737DC2" w:rsidRPr="00737DC2" w:rsidRDefault="00737DC2" w:rsidP="00737DC2">
      <w:pPr>
        <w:spacing w:after="80" w:line="280" w:lineRule="exact"/>
        <w:rPr>
          <w:rFonts w:ascii="Times New Roman" w:eastAsia="Calibri" w:hAnsi="Times New Roman"/>
          <w:color w:val="000000"/>
          <w:sz w:val="22"/>
          <w:szCs w:val="22"/>
        </w:rPr>
      </w:pPr>
      <w:r w:rsidRPr="00737DC2">
        <w:rPr>
          <w:rFonts w:ascii="Times New Roman" w:eastAsia="Calibri" w:hAnsi="Times New Roman"/>
          <w:color w:val="000000"/>
          <w:sz w:val="22"/>
          <w:szCs w:val="22"/>
        </w:rPr>
        <w:t xml:space="preserve">We conducted our audit in accordance with International Standards on Auditing (ISAs). Our responsibilities under those standards are further described in the Auditor’s Responsibilities for the Audit of the Financial Statements section of our report. </w:t>
      </w:r>
    </w:p>
    <w:p w14:paraId="5E5FD981" w14:textId="77777777" w:rsidR="00737DC2" w:rsidRPr="00737DC2" w:rsidRDefault="00737DC2" w:rsidP="00737DC2">
      <w:pPr>
        <w:spacing w:after="80" w:line="280" w:lineRule="exact"/>
        <w:rPr>
          <w:rFonts w:ascii="Times New Roman" w:eastAsia="Calibri" w:hAnsi="Times New Roman"/>
          <w:color w:val="000000"/>
          <w:sz w:val="22"/>
          <w:szCs w:val="22"/>
        </w:rPr>
      </w:pPr>
      <w:r w:rsidRPr="00737DC2">
        <w:rPr>
          <w:rFonts w:ascii="Times New Roman" w:eastAsia="Calibri" w:hAnsi="Times New Roman"/>
          <w:color w:val="000000"/>
          <w:sz w:val="22"/>
          <w:szCs w:val="22"/>
        </w:rPr>
        <w:t xml:space="preserve">We are independent of the Union, in accordance with the ethical requirements that are relevant to our audit of the financial statements, and we have fulfilled our other ethical responsibilities in accordance with these requirements. </w:t>
      </w:r>
    </w:p>
    <w:p w14:paraId="1E2822CD" w14:textId="77777777" w:rsidR="00737DC2" w:rsidRPr="00737DC2" w:rsidRDefault="00737DC2" w:rsidP="00737DC2">
      <w:pPr>
        <w:spacing w:after="80" w:line="280" w:lineRule="exact"/>
        <w:rPr>
          <w:rFonts w:ascii="Times New Roman" w:eastAsia="Calibri" w:hAnsi="Times New Roman"/>
          <w:color w:val="000000"/>
          <w:sz w:val="22"/>
          <w:szCs w:val="22"/>
        </w:rPr>
      </w:pPr>
      <w:bookmarkStart w:id="18" w:name="_Hlk192619538"/>
      <w:r w:rsidRPr="00737DC2">
        <w:rPr>
          <w:rFonts w:ascii="Times New Roman" w:eastAsia="Calibri" w:hAnsi="Times New Roman"/>
          <w:color w:val="000000"/>
          <w:sz w:val="22"/>
          <w:szCs w:val="22"/>
        </w:rPr>
        <w:t>We believe that the audit evidence that we have obtained is sufficient and appropriate to provide a basis for our opinion</w:t>
      </w:r>
      <w:bookmarkEnd w:id="18"/>
      <w:r w:rsidRPr="00737DC2">
        <w:rPr>
          <w:rFonts w:ascii="Times New Roman" w:eastAsia="Calibri" w:hAnsi="Times New Roman"/>
          <w:color w:val="000000"/>
          <w:sz w:val="22"/>
          <w:szCs w:val="22"/>
        </w:rPr>
        <w:t>.</w:t>
      </w:r>
    </w:p>
    <w:p w14:paraId="04CBCC65" w14:textId="77777777" w:rsidR="00737DC2" w:rsidRPr="00737DC2" w:rsidRDefault="00737DC2" w:rsidP="00737DC2">
      <w:pPr>
        <w:spacing w:after="80" w:line="280" w:lineRule="exact"/>
        <w:rPr>
          <w:rFonts w:ascii="Times New Roman" w:eastAsia="Calibri" w:hAnsi="Times New Roman"/>
          <w:color w:val="000000"/>
          <w:sz w:val="22"/>
          <w:szCs w:val="22"/>
        </w:rPr>
      </w:pPr>
      <w:r w:rsidRPr="00737DC2">
        <w:rPr>
          <w:rFonts w:ascii="Times New Roman" w:eastAsia="Calibri" w:hAnsi="Times New Roman"/>
          <w:b/>
          <w:bCs/>
          <w:color w:val="000000"/>
          <w:sz w:val="22"/>
          <w:szCs w:val="22"/>
        </w:rPr>
        <w:t>Other matter</w:t>
      </w:r>
    </w:p>
    <w:p w14:paraId="196D01D4" w14:textId="77777777" w:rsidR="00737DC2" w:rsidRPr="00737DC2" w:rsidRDefault="00737DC2" w:rsidP="00737DC2">
      <w:pPr>
        <w:spacing w:after="80" w:line="280" w:lineRule="exact"/>
        <w:rPr>
          <w:rFonts w:ascii="Times New Roman" w:eastAsia="Calibri" w:hAnsi="Times New Roman"/>
          <w:color w:val="000000"/>
          <w:sz w:val="22"/>
          <w:szCs w:val="22"/>
        </w:rPr>
      </w:pPr>
      <w:r w:rsidRPr="00737DC2">
        <w:rPr>
          <w:rFonts w:ascii="Times New Roman" w:eastAsia="Calibri" w:hAnsi="Times New Roman"/>
          <w:color w:val="000000"/>
          <w:sz w:val="22"/>
          <w:szCs w:val="22"/>
        </w:rPr>
        <w:t>The financial statements of the Union for the year ended 31 December 2024, were audited by the Swiss Federal Audit Office, who expressed an unmodified opinion on those statements on 23 May 2025.</w:t>
      </w:r>
    </w:p>
    <w:p w14:paraId="05EBF245" w14:textId="77777777" w:rsidR="00737DC2" w:rsidRPr="00737DC2" w:rsidRDefault="00737DC2" w:rsidP="00737DC2">
      <w:pPr>
        <w:spacing w:after="80" w:line="280" w:lineRule="exact"/>
        <w:rPr>
          <w:rFonts w:ascii="Times New Roman" w:eastAsia="Calibri" w:hAnsi="Times New Roman"/>
          <w:b/>
          <w:bCs/>
          <w:color w:val="000000"/>
          <w:sz w:val="22"/>
          <w:szCs w:val="22"/>
        </w:rPr>
      </w:pPr>
      <w:bookmarkStart w:id="19" w:name="_Toc229470742"/>
      <w:bookmarkStart w:id="20" w:name="_Toc231337224"/>
      <w:bookmarkStart w:id="21" w:name="_Toc231446300"/>
      <w:r w:rsidRPr="00737DC2">
        <w:rPr>
          <w:rFonts w:ascii="Times New Roman" w:eastAsia="Calibri" w:hAnsi="Times New Roman"/>
          <w:b/>
          <w:bCs/>
          <w:color w:val="000000"/>
          <w:sz w:val="22"/>
          <w:szCs w:val="22"/>
        </w:rPr>
        <w:t>Other information</w:t>
      </w:r>
      <w:bookmarkEnd w:id="19"/>
      <w:bookmarkEnd w:id="20"/>
      <w:bookmarkEnd w:id="21"/>
    </w:p>
    <w:p w14:paraId="47B9E2C9" w14:textId="757BD686" w:rsidR="00737DC2" w:rsidRPr="00737DC2" w:rsidRDefault="00737DC2" w:rsidP="00737DC2">
      <w:pPr>
        <w:spacing w:after="80" w:line="280" w:lineRule="exact"/>
        <w:rPr>
          <w:rFonts w:ascii="Times New Roman" w:eastAsia="Calibri" w:hAnsi="Times New Roman"/>
          <w:color w:val="000000"/>
          <w:sz w:val="22"/>
          <w:szCs w:val="22"/>
        </w:rPr>
      </w:pPr>
      <w:r w:rsidRPr="00737DC2">
        <w:rPr>
          <w:rFonts w:ascii="Times New Roman" w:eastAsia="Calibri" w:hAnsi="Times New Roman"/>
          <w:color w:val="000000"/>
          <w:sz w:val="22"/>
          <w:szCs w:val="22"/>
        </w:rPr>
        <w:t xml:space="preserve">Management is responsible for the other information, which comprises the Financial Results for the </w:t>
      </w:r>
      <w:r w:rsidR="00E7700E" w:rsidRPr="00737DC2">
        <w:rPr>
          <w:rFonts w:ascii="Times New Roman" w:eastAsia="Calibri" w:hAnsi="Times New Roman"/>
          <w:color w:val="000000"/>
          <w:sz w:val="22"/>
          <w:szCs w:val="22"/>
        </w:rPr>
        <w:t xml:space="preserve">Year Ended </w:t>
      </w:r>
      <w:r w:rsidRPr="00737DC2">
        <w:rPr>
          <w:rFonts w:ascii="Times New Roman" w:eastAsia="Calibri" w:hAnsi="Times New Roman"/>
          <w:color w:val="000000"/>
          <w:sz w:val="22"/>
          <w:szCs w:val="22"/>
        </w:rPr>
        <w:t>31 December 2025 but does not include the financial statements and our auditor’s report thereon.</w:t>
      </w:r>
    </w:p>
    <w:p w14:paraId="413E08D2" w14:textId="77777777" w:rsidR="00737DC2" w:rsidRPr="00737DC2" w:rsidRDefault="00737DC2" w:rsidP="00737DC2">
      <w:pPr>
        <w:spacing w:after="80" w:line="280" w:lineRule="exact"/>
        <w:rPr>
          <w:rFonts w:ascii="Times New Roman" w:eastAsia="Calibri" w:hAnsi="Times New Roman"/>
          <w:sz w:val="22"/>
          <w:szCs w:val="22"/>
        </w:rPr>
      </w:pPr>
      <w:r w:rsidRPr="00737DC2">
        <w:rPr>
          <w:rFonts w:ascii="Times New Roman" w:eastAsia="Calibri" w:hAnsi="Times New Roman"/>
          <w:sz w:val="22"/>
          <w:szCs w:val="22"/>
        </w:rPr>
        <w:t xml:space="preserve">Our opinion on the financial statements does not cover the other information and, except to the extent otherwise explicitly stated in our report, we do not express any form of assurance conclusion thereon. </w:t>
      </w:r>
    </w:p>
    <w:p w14:paraId="03E524ED" w14:textId="77777777" w:rsidR="00737DC2" w:rsidRPr="00737DC2" w:rsidRDefault="00737DC2" w:rsidP="00737DC2">
      <w:pPr>
        <w:spacing w:after="80" w:line="280" w:lineRule="exact"/>
        <w:rPr>
          <w:rFonts w:ascii="Times New Roman" w:eastAsia="Calibri" w:hAnsi="Times New Roman"/>
          <w:color w:val="000000"/>
          <w:sz w:val="22"/>
          <w:szCs w:val="22"/>
        </w:rPr>
      </w:pPr>
      <w:r w:rsidRPr="00737DC2">
        <w:rPr>
          <w:rFonts w:ascii="Times New Roman" w:eastAsia="Calibri" w:hAnsi="Times New Roman"/>
          <w:sz w:val="22"/>
          <w:szCs w:val="22"/>
        </w:rPr>
        <w:t xml:space="preserve">Our responsibility is to read the other information and, in doing so, consider whether the other information is materially inconsistent with the financial statements or our knowledge obtained in the audit or otherwise appears to be materially misstated. If, on the basis of the work that we have performed, we conclude that there is a material misstatement in such other information, we are required to report that fact. We have nothing to </w:t>
      </w:r>
      <w:proofErr w:type="gramStart"/>
      <w:r w:rsidRPr="00737DC2">
        <w:rPr>
          <w:rFonts w:ascii="Times New Roman" w:eastAsia="Calibri" w:hAnsi="Times New Roman"/>
          <w:sz w:val="22"/>
          <w:szCs w:val="22"/>
        </w:rPr>
        <w:t>report</w:t>
      </w:r>
      <w:proofErr w:type="gramEnd"/>
      <w:r w:rsidRPr="00737DC2">
        <w:rPr>
          <w:rFonts w:ascii="Times New Roman" w:eastAsia="Calibri" w:hAnsi="Times New Roman"/>
          <w:sz w:val="22"/>
          <w:szCs w:val="22"/>
        </w:rPr>
        <w:t xml:space="preserve"> in this regard.</w:t>
      </w:r>
    </w:p>
    <w:p w14:paraId="08C65A43" w14:textId="61D1FC9E" w:rsidR="00737DC2" w:rsidRPr="00737DC2" w:rsidRDefault="00737DC2" w:rsidP="00E0118D">
      <w:pPr>
        <w:keepNext/>
        <w:spacing w:after="80" w:line="280" w:lineRule="exact"/>
        <w:rPr>
          <w:rFonts w:ascii="Times New Roman" w:eastAsia="Calibri" w:hAnsi="Times New Roman"/>
          <w:color w:val="000000"/>
          <w:sz w:val="22"/>
          <w:szCs w:val="22"/>
        </w:rPr>
      </w:pPr>
      <w:bookmarkStart w:id="22" w:name="_Toc229470743"/>
      <w:bookmarkStart w:id="23" w:name="_Toc231337225"/>
      <w:bookmarkStart w:id="24" w:name="_Toc231446301"/>
      <w:r w:rsidRPr="00737DC2">
        <w:rPr>
          <w:rFonts w:ascii="Times New Roman" w:eastAsia="Calibri" w:hAnsi="Times New Roman"/>
          <w:b/>
          <w:color w:val="000000"/>
          <w:sz w:val="22"/>
          <w:szCs w:val="22"/>
        </w:rPr>
        <w:lastRenderedPageBreak/>
        <w:t>Responsibilities of management and those charged with governance</w:t>
      </w:r>
      <w:bookmarkEnd w:id="22"/>
      <w:bookmarkEnd w:id="23"/>
      <w:bookmarkEnd w:id="24"/>
      <w:r w:rsidRPr="00737DC2">
        <w:rPr>
          <w:rFonts w:ascii="Times New Roman" w:eastAsia="Calibri" w:hAnsi="Times New Roman"/>
          <w:b/>
          <w:color w:val="000000"/>
          <w:sz w:val="22"/>
          <w:szCs w:val="22"/>
        </w:rPr>
        <w:t xml:space="preserve"> for the financial statements</w:t>
      </w:r>
      <w:r w:rsidRPr="00737DC2">
        <w:rPr>
          <w:rFonts w:ascii="Times New Roman" w:eastAsia="Calibri" w:hAnsi="Times New Roman"/>
          <w:color w:val="000000"/>
          <w:sz w:val="22"/>
          <w:szCs w:val="22"/>
        </w:rPr>
        <w:t xml:space="preserve"> </w:t>
      </w:r>
    </w:p>
    <w:p w14:paraId="3C817EBA" w14:textId="77777777" w:rsidR="00737DC2" w:rsidRPr="00737DC2" w:rsidRDefault="00737DC2" w:rsidP="00737DC2">
      <w:pPr>
        <w:spacing w:after="80" w:line="280" w:lineRule="exact"/>
        <w:rPr>
          <w:rFonts w:ascii="Times New Roman" w:eastAsia="Calibri" w:hAnsi="Times New Roman"/>
          <w:color w:val="000000"/>
          <w:sz w:val="22"/>
          <w:szCs w:val="22"/>
        </w:rPr>
      </w:pPr>
      <w:r w:rsidRPr="00737DC2">
        <w:rPr>
          <w:rFonts w:ascii="Times New Roman" w:eastAsia="Calibri" w:hAnsi="Times New Roman"/>
          <w:color w:val="000000"/>
          <w:sz w:val="22"/>
          <w:szCs w:val="22"/>
        </w:rPr>
        <w:t>Management is responsible for the preparation and fair presentation of the financial statements in accordance with IPSAS, and for such internal control as management determines is necessary to enable the preparation of financial statements that are free from material misstatement, whether due to fraud or error.</w:t>
      </w:r>
    </w:p>
    <w:p w14:paraId="4EE77CDC" w14:textId="77777777" w:rsidR="00737DC2" w:rsidRPr="00737DC2" w:rsidRDefault="00737DC2" w:rsidP="00737DC2">
      <w:pPr>
        <w:spacing w:after="80" w:line="280" w:lineRule="exact"/>
        <w:rPr>
          <w:rFonts w:ascii="Times New Roman" w:eastAsia="Calibri" w:hAnsi="Times New Roman"/>
          <w:color w:val="000000"/>
          <w:sz w:val="22"/>
          <w:szCs w:val="22"/>
        </w:rPr>
      </w:pPr>
      <w:r w:rsidRPr="00737DC2">
        <w:rPr>
          <w:rFonts w:ascii="Times New Roman" w:eastAsia="Calibri" w:hAnsi="Times New Roman"/>
          <w:color w:val="000000"/>
          <w:sz w:val="22"/>
          <w:szCs w:val="22"/>
        </w:rPr>
        <w:t>In preparing the financial statements, Management is responsible for assessing the Union’s ability to continue as a going concern, disclosing, as applicable, matters related to going concern, and using the going concern basis of accounting unless Management either intends to liquidate the Union or to cease operations, or has no realistic alternative but to do so.</w:t>
      </w:r>
    </w:p>
    <w:p w14:paraId="21ADF537" w14:textId="77777777" w:rsidR="00737DC2" w:rsidRPr="00737DC2" w:rsidRDefault="00737DC2" w:rsidP="00737DC2">
      <w:pPr>
        <w:spacing w:after="80" w:line="280" w:lineRule="exact"/>
        <w:rPr>
          <w:rFonts w:ascii="Times New Roman" w:eastAsia="Calibri" w:hAnsi="Times New Roman"/>
          <w:color w:val="000000"/>
          <w:sz w:val="22"/>
          <w:szCs w:val="22"/>
        </w:rPr>
      </w:pPr>
      <w:r w:rsidRPr="00737DC2">
        <w:rPr>
          <w:rFonts w:ascii="Times New Roman" w:eastAsia="Calibri" w:hAnsi="Times New Roman"/>
          <w:color w:val="000000"/>
          <w:sz w:val="22"/>
          <w:szCs w:val="22"/>
        </w:rPr>
        <w:t xml:space="preserve">The Union’s </w:t>
      </w:r>
      <w:proofErr w:type="gramStart"/>
      <w:r w:rsidRPr="00737DC2">
        <w:rPr>
          <w:rFonts w:ascii="Times New Roman" w:eastAsia="Calibri" w:hAnsi="Times New Roman"/>
          <w:color w:val="000000"/>
          <w:sz w:val="22"/>
          <w:szCs w:val="22"/>
        </w:rPr>
        <w:t>Council</w:t>
      </w:r>
      <w:proofErr w:type="gramEnd"/>
      <w:r w:rsidRPr="00737DC2">
        <w:rPr>
          <w:rFonts w:ascii="Times New Roman" w:eastAsia="Calibri" w:hAnsi="Times New Roman"/>
          <w:color w:val="000000"/>
          <w:sz w:val="22"/>
          <w:szCs w:val="22"/>
        </w:rPr>
        <w:t xml:space="preserve"> as those charged with governance, is responsible for overseeing the Union’s financial reporting process.</w:t>
      </w:r>
    </w:p>
    <w:p w14:paraId="29A50B09" w14:textId="77777777" w:rsidR="00737DC2" w:rsidRPr="00737DC2" w:rsidRDefault="00737DC2" w:rsidP="00737DC2">
      <w:pPr>
        <w:spacing w:after="80" w:line="280" w:lineRule="exact"/>
        <w:rPr>
          <w:rFonts w:ascii="Times New Roman" w:eastAsia="Calibri" w:hAnsi="Times New Roman"/>
          <w:color w:val="000000"/>
          <w:sz w:val="22"/>
          <w:szCs w:val="22"/>
        </w:rPr>
      </w:pPr>
      <w:bookmarkStart w:id="25" w:name="_Toc229470744"/>
      <w:bookmarkStart w:id="26" w:name="_Toc231337226"/>
      <w:bookmarkStart w:id="27" w:name="_Toc231446302"/>
      <w:r w:rsidRPr="00737DC2">
        <w:rPr>
          <w:rFonts w:ascii="Times New Roman" w:eastAsia="Calibri" w:hAnsi="Times New Roman"/>
          <w:b/>
          <w:color w:val="000000"/>
          <w:sz w:val="22"/>
          <w:szCs w:val="22"/>
        </w:rPr>
        <w:t>Auditor’s responsibilities for the audit of the financial statements</w:t>
      </w:r>
      <w:bookmarkEnd w:id="25"/>
      <w:bookmarkEnd w:id="26"/>
      <w:bookmarkEnd w:id="27"/>
    </w:p>
    <w:p w14:paraId="3BA519C2" w14:textId="77777777" w:rsidR="00737DC2" w:rsidRPr="00737DC2" w:rsidRDefault="00737DC2" w:rsidP="00737DC2">
      <w:pPr>
        <w:spacing w:after="80" w:line="280" w:lineRule="exact"/>
        <w:rPr>
          <w:rFonts w:ascii="Times New Roman" w:eastAsia="Calibri" w:hAnsi="Times New Roman"/>
          <w:color w:val="000000"/>
          <w:sz w:val="22"/>
          <w:szCs w:val="22"/>
        </w:rPr>
      </w:pPr>
      <w:r w:rsidRPr="00737DC2">
        <w:rPr>
          <w:rFonts w:ascii="Times New Roman" w:eastAsia="Calibri" w:hAnsi="Times New Roman"/>
          <w:color w:val="000000"/>
          <w:sz w:val="22"/>
          <w:szCs w:val="22"/>
        </w:rPr>
        <w:t xml:space="preserve">Our objectives are to obtain reasonable assurance about whether the financial statements as a whole are free from material misstatement, whether due to fraud or error, and to issue an auditor’s report that includes our opinion. Reasonable assurance is a high level of </w:t>
      </w:r>
      <w:proofErr w:type="gramStart"/>
      <w:r w:rsidRPr="00737DC2">
        <w:rPr>
          <w:rFonts w:ascii="Times New Roman" w:eastAsia="Calibri" w:hAnsi="Times New Roman"/>
          <w:color w:val="000000"/>
          <w:sz w:val="22"/>
          <w:szCs w:val="22"/>
        </w:rPr>
        <w:t>assurance, but</w:t>
      </w:r>
      <w:proofErr w:type="gramEnd"/>
      <w:r w:rsidRPr="00737DC2">
        <w:rPr>
          <w:rFonts w:ascii="Times New Roman" w:eastAsia="Calibri" w:hAnsi="Times New Roman"/>
          <w:color w:val="000000"/>
          <w:sz w:val="22"/>
          <w:szCs w:val="22"/>
        </w:rPr>
        <w:t xml:space="preserve"> is not a guarantee that an audit conducted in accordance with ISAs will always detect a material misstatement when it exists.</w:t>
      </w:r>
    </w:p>
    <w:p w14:paraId="47D9F7E0" w14:textId="77777777" w:rsidR="00737DC2" w:rsidRPr="00737DC2" w:rsidRDefault="00737DC2" w:rsidP="00737DC2">
      <w:pPr>
        <w:spacing w:after="80" w:line="280" w:lineRule="exact"/>
        <w:rPr>
          <w:rFonts w:ascii="Times New Roman" w:eastAsia="Calibri" w:hAnsi="Times New Roman"/>
          <w:color w:val="000000"/>
          <w:sz w:val="22"/>
          <w:szCs w:val="22"/>
        </w:rPr>
      </w:pPr>
      <w:r w:rsidRPr="00737DC2">
        <w:rPr>
          <w:rFonts w:ascii="Times New Roman" w:eastAsia="Calibri" w:hAnsi="Times New Roman"/>
          <w:color w:val="000000"/>
          <w:sz w:val="22"/>
          <w:szCs w:val="22"/>
        </w:rPr>
        <w:t>Misstatements can arise from fraud or error and are considered material if, individually or in the aggregate, they could reasonably be expected to influence the economic decisions of users taken on the basis of these financial statements.</w:t>
      </w:r>
    </w:p>
    <w:p w14:paraId="10072265" w14:textId="77777777" w:rsidR="00737DC2" w:rsidRPr="00737DC2" w:rsidRDefault="00737DC2" w:rsidP="00737DC2">
      <w:pPr>
        <w:spacing w:after="80" w:line="280" w:lineRule="exact"/>
        <w:rPr>
          <w:rFonts w:ascii="Times New Roman" w:eastAsia="Calibri" w:hAnsi="Times New Roman"/>
          <w:color w:val="000000"/>
          <w:sz w:val="22"/>
          <w:szCs w:val="22"/>
        </w:rPr>
      </w:pPr>
      <w:r w:rsidRPr="00737DC2">
        <w:rPr>
          <w:rFonts w:ascii="Times New Roman" w:eastAsia="Calibri" w:hAnsi="Times New Roman"/>
          <w:color w:val="000000"/>
          <w:sz w:val="22"/>
          <w:szCs w:val="22"/>
        </w:rPr>
        <w:t>A further description of our responsibilities for the audit of the financial statements is included in the Annex to this auditor’s report.</w:t>
      </w:r>
    </w:p>
    <w:p w14:paraId="7CBF443F" w14:textId="77777777" w:rsidR="00737DC2" w:rsidRPr="00737DC2" w:rsidRDefault="00737DC2" w:rsidP="00737DC2">
      <w:pPr>
        <w:spacing w:after="80" w:line="280" w:lineRule="exact"/>
        <w:rPr>
          <w:rFonts w:ascii="Times New Roman" w:eastAsia="Calibri" w:hAnsi="Times New Roman"/>
          <w:sz w:val="22"/>
          <w:szCs w:val="22"/>
        </w:rPr>
      </w:pPr>
      <w:r w:rsidRPr="00737DC2">
        <w:rPr>
          <w:rFonts w:ascii="Times New Roman" w:eastAsia="Calibri" w:hAnsi="Times New Roman"/>
          <w:sz w:val="22"/>
          <w:szCs w:val="22"/>
        </w:rPr>
        <w:t xml:space="preserve">In addition, we are required to obtain </w:t>
      </w:r>
      <w:proofErr w:type="gramStart"/>
      <w:r w:rsidRPr="00737DC2">
        <w:rPr>
          <w:rFonts w:ascii="Times New Roman" w:eastAsia="Calibri" w:hAnsi="Times New Roman"/>
          <w:sz w:val="22"/>
          <w:szCs w:val="22"/>
        </w:rPr>
        <w:t>evidence sufficient</w:t>
      </w:r>
      <w:proofErr w:type="gramEnd"/>
      <w:r w:rsidRPr="00737DC2">
        <w:rPr>
          <w:rFonts w:ascii="Times New Roman" w:eastAsia="Calibri" w:hAnsi="Times New Roman"/>
          <w:sz w:val="22"/>
          <w:szCs w:val="22"/>
        </w:rPr>
        <w:t xml:space="preserve"> to give reasonable assurance that the revenue and expenses reported in the financial statements have been applied for the purposes intended by the Council and the financial transactions comply with the Financial Regulations and Rules, and legislative authority which govern them.</w:t>
      </w:r>
    </w:p>
    <w:p w14:paraId="50AA10A2" w14:textId="77777777" w:rsidR="00737DC2" w:rsidRPr="00737DC2" w:rsidRDefault="00737DC2" w:rsidP="00737DC2">
      <w:pPr>
        <w:spacing w:after="80" w:line="280" w:lineRule="exact"/>
        <w:rPr>
          <w:rFonts w:ascii="Times New Roman" w:eastAsia="Calibri" w:hAnsi="Times New Roman"/>
          <w:color w:val="000000"/>
          <w:sz w:val="22"/>
          <w:szCs w:val="22"/>
        </w:rPr>
      </w:pPr>
      <w:r w:rsidRPr="00737DC2">
        <w:rPr>
          <w:rFonts w:ascii="Times New Roman" w:eastAsia="Calibri" w:hAnsi="Times New Roman"/>
          <w:sz w:val="22"/>
          <w:szCs w:val="22"/>
        </w:rPr>
        <w:t>We communicate with those charged with governance regarding, among other matters, the planned scope and timing of the audit, and significant audit findings, including any significant deficiencies in internal control that we identify during our audit.</w:t>
      </w:r>
    </w:p>
    <w:p w14:paraId="274CF87C" w14:textId="77777777" w:rsidR="00737DC2" w:rsidRPr="00737DC2" w:rsidRDefault="00737DC2" w:rsidP="00737DC2">
      <w:pPr>
        <w:spacing w:after="80" w:line="280" w:lineRule="exact"/>
        <w:rPr>
          <w:rFonts w:ascii="Times New Roman" w:eastAsia="Calibri" w:hAnsi="Times New Roman"/>
          <w:color w:val="000000"/>
          <w:sz w:val="22"/>
          <w:szCs w:val="22"/>
        </w:rPr>
      </w:pPr>
      <w:bookmarkStart w:id="28" w:name="_Toc229470745"/>
      <w:bookmarkStart w:id="29" w:name="_Toc231337227"/>
      <w:bookmarkStart w:id="30" w:name="_Toc231446303"/>
      <w:r w:rsidRPr="00737DC2">
        <w:rPr>
          <w:rFonts w:ascii="Times New Roman" w:eastAsia="Calibri" w:hAnsi="Times New Roman"/>
          <w:b/>
          <w:color w:val="000000"/>
          <w:sz w:val="22"/>
          <w:szCs w:val="22"/>
        </w:rPr>
        <w:t>Report on other legal and regulatory requirements</w:t>
      </w:r>
      <w:bookmarkEnd w:id="28"/>
      <w:bookmarkEnd w:id="29"/>
      <w:bookmarkEnd w:id="30"/>
    </w:p>
    <w:p w14:paraId="4EE57A86" w14:textId="77777777" w:rsidR="00737DC2" w:rsidRPr="00737DC2" w:rsidRDefault="00737DC2" w:rsidP="00737DC2">
      <w:pPr>
        <w:spacing w:after="80" w:line="280" w:lineRule="exact"/>
        <w:rPr>
          <w:rFonts w:ascii="Times New Roman" w:eastAsia="Calibri" w:hAnsi="Times New Roman"/>
          <w:color w:val="000000"/>
          <w:sz w:val="22"/>
          <w:szCs w:val="22"/>
        </w:rPr>
      </w:pPr>
      <w:r w:rsidRPr="00737DC2">
        <w:rPr>
          <w:rFonts w:ascii="Times New Roman" w:eastAsia="Calibri" w:hAnsi="Times New Roman"/>
          <w:color w:val="000000"/>
          <w:sz w:val="22"/>
          <w:szCs w:val="22"/>
        </w:rPr>
        <w:t>Furthermore, in our opinion, the transactions of the Union that have come to our notice or which we have tested as part of our audit have, in all significant respects, been in accordance with the Union’s Financial Regulations and Rules.</w:t>
      </w:r>
    </w:p>
    <w:p w14:paraId="549A3979" w14:textId="77777777" w:rsidR="00737DC2" w:rsidRPr="00737DC2" w:rsidRDefault="00737DC2" w:rsidP="00737DC2">
      <w:pPr>
        <w:spacing w:after="80" w:line="280" w:lineRule="exact"/>
        <w:rPr>
          <w:rFonts w:ascii="Times New Roman" w:eastAsia="Calibri" w:hAnsi="Times New Roman"/>
          <w:color w:val="000000"/>
          <w:sz w:val="22"/>
          <w:szCs w:val="22"/>
        </w:rPr>
      </w:pPr>
      <w:r w:rsidRPr="00737DC2">
        <w:rPr>
          <w:rFonts w:ascii="Times New Roman" w:eastAsia="Calibri" w:hAnsi="Times New Roman"/>
          <w:color w:val="000000"/>
          <w:sz w:val="22"/>
          <w:szCs w:val="22"/>
        </w:rPr>
        <w:t>In accordance with Regulation 8.10 of the Union’s Financial Regulations and Rules, we have also issued a long-form report on our audit of the Union.</w:t>
      </w:r>
    </w:p>
    <w:p w14:paraId="3B9BCC25" w14:textId="77777777" w:rsidR="00737DC2" w:rsidRPr="00737DC2" w:rsidRDefault="00737DC2" w:rsidP="00737DC2">
      <w:pPr>
        <w:ind w:left="3600"/>
        <w:jc w:val="center"/>
        <w:rPr>
          <w:rFonts w:ascii="Times New Roman" w:eastAsia="Calibri" w:hAnsi="Times New Roman"/>
          <w:b/>
          <w:bCs/>
          <w:color w:val="000000"/>
          <w:sz w:val="22"/>
          <w:szCs w:val="22"/>
        </w:rPr>
      </w:pPr>
    </w:p>
    <w:p w14:paraId="62F38493" w14:textId="77777777" w:rsidR="00737DC2" w:rsidRPr="00737DC2" w:rsidRDefault="00737DC2" w:rsidP="00737DC2">
      <w:pPr>
        <w:ind w:left="3600"/>
        <w:jc w:val="center"/>
        <w:rPr>
          <w:rFonts w:ascii="Times New Roman" w:eastAsia="Calibri" w:hAnsi="Times New Roman"/>
          <w:b/>
          <w:bCs/>
          <w:color w:val="000000"/>
          <w:sz w:val="22"/>
          <w:szCs w:val="22"/>
        </w:rPr>
      </w:pPr>
    </w:p>
    <w:p w14:paraId="3331F324" w14:textId="77777777" w:rsidR="00737DC2" w:rsidRPr="00737DC2" w:rsidRDefault="00737DC2" w:rsidP="00737DC2">
      <w:pPr>
        <w:jc w:val="left"/>
        <w:rPr>
          <w:rFonts w:ascii="Times New Roman" w:eastAsia="Calibri" w:hAnsi="Times New Roman"/>
          <w:b/>
          <w:bCs/>
          <w:color w:val="000000"/>
          <w:sz w:val="22"/>
          <w:szCs w:val="22"/>
        </w:rPr>
      </w:pPr>
    </w:p>
    <w:p w14:paraId="1E496999" w14:textId="77777777" w:rsidR="00737DC2" w:rsidRPr="00737DC2" w:rsidRDefault="00737DC2" w:rsidP="00737DC2">
      <w:pPr>
        <w:ind w:left="3600"/>
        <w:jc w:val="center"/>
        <w:rPr>
          <w:rFonts w:ascii="Times New Roman" w:eastAsia="Calibri" w:hAnsi="Times New Roman"/>
          <w:b/>
          <w:bCs/>
          <w:color w:val="000000"/>
          <w:sz w:val="22"/>
          <w:szCs w:val="22"/>
        </w:rPr>
      </w:pPr>
    </w:p>
    <w:p w14:paraId="0164CAEF" w14:textId="0672DDBB" w:rsidR="00737DC2" w:rsidRPr="00BE268F" w:rsidRDefault="00E0118D" w:rsidP="00737DC2">
      <w:pPr>
        <w:ind w:left="3600"/>
        <w:jc w:val="center"/>
        <w:rPr>
          <w:rFonts w:ascii="Times New Roman" w:eastAsia="Calibri" w:hAnsi="Times New Roman"/>
          <w:color w:val="000000"/>
          <w:sz w:val="22"/>
          <w:szCs w:val="22"/>
          <w:lang w:val="es-ES_tradnl"/>
        </w:rPr>
      </w:pPr>
      <w:r w:rsidRPr="00BE268F">
        <w:rPr>
          <w:rFonts w:ascii="Times New Roman" w:eastAsia="Calibri" w:hAnsi="Times New Roman"/>
          <w:color w:val="000000"/>
          <w:sz w:val="22"/>
          <w:szCs w:val="22"/>
          <w:lang w:val="es-ES_tradnl"/>
        </w:rPr>
        <w:t>[signed]</w:t>
      </w:r>
    </w:p>
    <w:p w14:paraId="12C9D6B8" w14:textId="77777777" w:rsidR="00737DC2" w:rsidRPr="00BE268F" w:rsidRDefault="00737DC2" w:rsidP="00737DC2">
      <w:pPr>
        <w:ind w:left="3600"/>
        <w:jc w:val="center"/>
        <w:rPr>
          <w:rFonts w:ascii="Times New Roman" w:eastAsia="Calibri" w:hAnsi="Times New Roman"/>
          <w:b/>
          <w:bCs/>
          <w:color w:val="000000"/>
          <w:sz w:val="22"/>
          <w:szCs w:val="22"/>
          <w:lang w:val="es-ES_tradnl"/>
        </w:rPr>
      </w:pPr>
    </w:p>
    <w:p w14:paraId="643F048B" w14:textId="77777777" w:rsidR="00737DC2" w:rsidRPr="00BE268F" w:rsidRDefault="00737DC2" w:rsidP="00737DC2">
      <w:pPr>
        <w:ind w:left="3600"/>
        <w:jc w:val="center"/>
        <w:rPr>
          <w:rFonts w:ascii="Times New Roman" w:eastAsia="Calibri" w:hAnsi="Times New Roman"/>
          <w:b/>
          <w:bCs/>
          <w:color w:val="000000"/>
          <w:sz w:val="22"/>
          <w:szCs w:val="22"/>
          <w:lang w:val="es-ES_tradnl"/>
        </w:rPr>
      </w:pPr>
    </w:p>
    <w:p w14:paraId="609E3A93" w14:textId="77777777" w:rsidR="00737DC2" w:rsidRPr="00326A74" w:rsidRDefault="00737DC2" w:rsidP="00737DC2">
      <w:pPr>
        <w:ind w:left="3600"/>
        <w:jc w:val="center"/>
        <w:rPr>
          <w:rFonts w:ascii="Times New Roman" w:eastAsia="Calibri" w:hAnsi="Times New Roman"/>
          <w:b/>
          <w:bCs/>
          <w:color w:val="000000"/>
          <w:sz w:val="22"/>
          <w:szCs w:val="22"/>
        </w:rPr>
      </w:pPr>
      <w:r w:rsidRPr="00326A74">
        <w:rPr>
          <w:rFonts w:ascii="Times New Roman" w:eastAsia="Calibri" w:hAnsi="Times New Roman"/>
          <w:b/>
          <w:bCs/>
          <w:color w:val="000000"/>
          <w:sz w:val="22"/>
          <w:szCs w:val="22"/>
        </w:rPr>
        <w:t xml:space="preserve">Dr. Isma </w:t>
      </w:r>
      <w:proofErr w:type="spellStart"/>
      <w:r w:rsidRPr="00326A74">
        <w:rPr>
          <w:rFonts w:ascii="Times New Roman" w:eastAsia="Calibri" w:hAnsi="Times New Roman"/>
          <w:b/>
          <w:bCs/>
          <w:color w:val="000000"/>
          <w:sz w:val="22"/>
          <w:szCs w:val="22"/>
        </w:rPr>
        <w:t>Yatun</w:t>
      </w:r>
      <w:proofErr w:type="spellEnd"/>
      <w:r w:rsidRPr="00326A74">
        <w:rPr>
          <w:rFonts w:ascii="Times New Roman" w:eastAsia="Calibri" w:hAnsi="Times New Roman"/>
          <w:b/>
          <w:bCs/>
          <w:color w:val="000000"/>
          <w:sz w:val="22"/>
          <w:szCs w:val="22"/>
        </w:rPr>
        <w:t xml:space="preserve">, CSFA., </w:t>
      </w:r>
      <w:proofErr w:type="spellStart"/>
      <w:r w:rsidRPr="00326A74">
        <w:rPr>
          <w:rFonts w:ascii="Times New Roman" w:eastAsia="Calibri" w:hAnsi="Times New Roman"/>
          <w:b/>
          <w:bCs/>
          <w:color w:val="000000"/>
          <w:sz w:val="22"/>
          <w:szCs w:val="22"/>
        </w:rPr>
        <w:t>CFrA</w:t>
      </w:r>
      <w:proofErr w:type="spellEnd"/>
      <w:r w:rsidRPr="00326A74">
        <w:rPr>
          <w:rFonts w:ascii="Times New Roman" w:eastAsia="Calibri" w:hAnsi="Times New Roman"/>
          <w:b/>
          <w:bCs/>
          <w:color w:val="000000"/>
          <w:sz w:val="22"/>
          <w:szCs w:val="22"/>
        </w:rPr>
        <w:t>.</w:t>
      </w:r>
    </w:p>
    <w:p w14:paraId="3139F51E" w14:textId="77777777" w:rsidR="00737DC2" w:rsidRPr="00737DC2" w:rsidRDefault="00737DC2" w:rsidP="00737DC2">
      <w:pPr>
        <w:jc w:val="right"/>
        <w:rPr>
          <w:rFonts w:ascii="Times New Roman" w:eastAsia="Calibri" w:hAnsi="Times New Roman"/>
          <w:b/>
          <w:bCs/>
          <w:color w:val="000000"/>
          <w:sz w:val="22"/>
          <w:szCs w:val="22"/>
        </w:rPr>
      </w:pPr>
      <w:r w:rsidRPr="00737DC2">
        <w:rPr>
          <w:rFonts w:ascii="Times New Roman" w:eastAsia="Calibri" w:hAnsi="Times New Roman"/>
          <w:b/>
          <w:bCs/>
          <w:color w:val="000000"/>
          <w:sz w:val="22"/>
          <w:szCs w:val="22"/>
        </w:rPr>
        <w:t>Chair of the Audit Board of the Republic of Indonesia</w:t>
      </w:r>
    </w:p>
    <w:p w14:paraId="177D3FF7" w14:textId="77777777" w:rsidR="00737DC2" w:rsidRPr="00737DC2" w:rsidRDefault="00737DC2" w:rsidP="00737DC2">
      <w:pPr>
        <w:ind w:left="5040"/>
        <w:jc w:val="left"/>
        <w:rPr>
          <w:rFonts w:ascii="Times New Roman" w:eastAsia="Calibri" w:hAnsi="Times New Roman"/>
          <w:b/>
          <w:bCs/>
          <w:color w:val="000000"/>
          <w:sz w:val="22"/>
          <w:szCs w:val="22"/>
          <w:lang w:val="pt-PT"/>
        </w:rPr>
      </w:pPr>
      <w:r w:rsidRPr="00737DC2">
        <w:rPr>
          <w:rFonts w:ascii="Times New Roman" w:eastAsia="Calibri" w:hAnsi="Times New Roman"/>
          <w:b/>
          <w:bCs/>
          <w:color w:val="000000"/>
          <w:sz w:val="22"/>
          <w:szCs w:val="22"/>
        </w:rPr>
        <w:t xml:space="preserve">        </w:t>
      </w:r>
      <w:r w:rsidRPr="00737DC2">
        <w:rPr>
          <w:rFonts w:ascii="Times New Roman" w:eastAsia="Calibri" w:hAnsi="Times New Roman"/>
          <w:b/>
          <w:bCs/>
          <w:color w:val="000000"/>
          <w:sz w:val="22"/>
          <w:szCs w:val="22"/>
          <w:lang w:val="pt-PT"/>
        </w:rPr>
        <w:t>External Auditor</w:t>
      </w:r>
    </w:p>
    <w:p w14:paraId="3B0BA5D2" w14:textId="77777777" w:rsidR="00737DC2" w:rsidRPr="00737DC2" w:rsidRDefault="00737DC2" w:rsidP="00737DC2">
      <w:pPr>
        <w:ind w:left="2880" w:firstLine="720"/>
        <w:jc w:val="center"/>
        <w:rPr>
          <w:rFonts w:ascii="Times New Roman" w:eastAsia="Calibri" w:hAnsi="Times New Roman"/>
          <w:b/>
          <w:bCs/>
          <w:color w:val="000000"/>
          <w:sz w:val="22"/>
          <w:szCs w:val="22"/>
          <w:lang w:val="pt-PT"/>
        </w:rPr>
      </w:pPr>
    </w:p>
    <w:p w14:paraId="48E540E1" w14:textId="77777777" w:rsidR="00737DC2" w:rsidRPr="00737DC2" w:rsidRDefault="00737DC2" w:rsidP="00737DC2">
      <w:pPr>
        <w:ind w:left="2880" w:firstLine="720"/>
        <w:jc w:val="center"/>
        <w:rPr>
          <w:rFonts w:ascii="Times New Roman" w:eastAsia="Calibri" w:hAnsi="Times New Roman"/>
          <w:b/>
          <w:bCs/>
          <w:color w:val="000000"/>
          <w:sz w:val="22"/>
          <w:szCs w:val="22"/>
          <w:lang w:val="pt-PT"/>
        </w:rPr>
      </w:pPr>
      <w:r w:rsidRPr="00737DC2">
        <w:rPr>
          <w:rFonts w:ascii="Times New Roman" w:eastAsia="Calibri" w:hAnsi="Times New Roman"/>
          <w:b/>
          <w:bCs/>
          <w:color w:val="000000"/>
          <w:sz w:val="22"/>
          <w:szCs w:val="22"/>
          <w:lang w:val="pt-PT"/>
        </w:rPr>
        <w:t>Jakarta, Indonesia</w:t>
      </w:r>
    </w:p>
    <w:p w14:paraId="1DF6DE8B" w14:textId="77777777" w:rsidR="00737DC2" w:rsidRPr="00737DC2" w:rsidRDefault="00737DC2" w:rsidP="00737DC2">
      <w:pPr>
        <w:ind w:left="2880" w:firstLine="720"/>
        <w:jc w:val="center"/>
        <w:rPr>
          <w:rFonts w:ascii="Times New Roman" w:eastAsia="Calibri" w:hAnsi="Times New Roman"/>
          <w:b/>
          <w:bCs/>
          <w:color w:val="000000"/>
          <w:sz w:val="22"/>
          <w:szCs w:val="22"/>
          <w:lang w:val="pt-PT"/>
        </w:rPr>
      </w:pPr>
      <w:r w:rsidRPr="00737DC2">
        <w:rPr>
          <w:rFonts w:ascii="Times New Roman" w:eastAsia="Calibri" w:hAnsi="Times New Roman"/>
          <w:b/>
          <w:bCs/>
          <w:color w:val="000000"/>
          <w:sz w:val="22"/>
          <w:szCs w:val="22"/>
          <w:lang w:val="pt-PT"/>
        </w:rPr>
        <w:t>3 July 2026</w:t>
      </w:r>
      <w:bookmarkStart w:id="31" w:name="_Toc229470746"/>
    </w:p>
    <w:p w14:paraId="16A5ACA9" w14:textId="77777777" w:rsidR="00832B16" w:rsidRPr="00326A74" w:rsidRDefault="00832B16">
      <w:pPr>
        <w:jc w:val="left"/>
        <w:rPr>
          <w:rFonts w:ascii="Times New Roman" w:eastAsia="Calibri" w:hAnsi="Times New Roman"/>
          <w:b/>
          <w:color w:val="000000"/>
          <w:sz w:val="22"/>
          <w:szCs w:val="22"/>
          <w:lang w:val="pt-PT"/>
        </w:rPr>
      </w:pPr>
      <w:bookmarkStart w:id="32" w:name="_Toc231337228"/>
      <w:bookmarkStart w:id="33" w:name="_Toc231446304"/>
      <w:r w:rsidRPr="00326A74">
        <w:rPr>
          <w:rFonts w:ascii="Times New Roman" w:eastAsia="Calibri" w:hAnsi="Times New Roman"/>
          <w:b/>
          <w:color w:val="000000"/>
          <w:sz w:val="22"/>
          <w:szCs w:val="22"/>
          <w:lang w:val="pt-PT"/>
        </w:rPr>
        <w:br w:type="page"/>
      </w:r>
    </w:p>
    <w:p w14:paraId="22C43611" w14:textId="61806B6A" w:rsidR="00737DC2" w:rsidRPr="00737DC2" w:rsidRDefault="00737DC2" w:rsidP="00737DC2">
      <w:pPr>
        <w:spacing w:after="120" w:line="280" w:lineRule="exact"/>
        <w:rPr>
          <w:rFonts w:ascii="Times New Roman" w:eastAsia="Calibri" w:hAnsi="Times New Roman"/>
          <w:color w:val="000000"/>
          <w:sz w:val="22"/>
          <w:szCs w:val="22"/>
        </w:rPr>
      </w:pPr>
      <w:r w:rsidRPr="00737DC2">
        <w:rPr>
          <w:rFonts w:ascii="Times New Roman" w:eastAsia="Calibri" w:hAnsi="Times New Roman"/>
          <w:b/>
          <w:color w:val="000000"/>
          <w:sz w:val="22"/>
          <w:szCs w:val="22"/>
        </w:rPr>
        <w:lastRenderedPageBreak/>
        <w:t>Annex. Description of the auditor’s responsibilities for the audit of the financial statements</w:t>
      </w:r>
      <w:bookmarkEnd w:id="31"/>
      <w:bookmarkEnd w:id="32"/>
      <w:bookmarkEnd w:id="33"/>
    </w:p>
    <w:p w14:paraId="5C5AED29" w14:textId="77777777" w:rsidR="00737DC2" w:rsidRPr="00737DC2" w:rsidRDefault="00737DC2" w:rsidP="00737DC2">
      <w:pPr>
        <w:spacing w:after="120" w:line="276" w:lineRule="auto"/>
        <w:rPr>
          <w:rFonts w:ascii="Times New Roman" w:eastAsia="Calibri" w:hAnsi="Times New Roman"/>
          <w:color w:val="000000"/>
          <w:sz w:val="22"/>
          <w:szCs w:val="22"/>
        </w:rPr>
      </w:pPr>
      <w:r w:rsidRPr="00737DC2">
        <w:rPr>
          <w:rFonts w:ascii="Times New Roman" w:eastAsia="Calibri" w:hAnsi="Times New Roman"/>
          <w:color w:val="000000"/>
          <w:sz w:val="22"/>
          <w:szCs w:val="22"/>
        </w:rPr>
        <w:t xml:space="preserve">As part of an audit in accordance with ISAs, we exercise professional judgment and maintain professional </w:t>
      </w:r>
      <w:proofErr w:type="spellStart"/>
      <w:r w:rsidRPr="00737DC2">
        <w:rPr>
          <w:rFonts w:ascii="Times New Roman" w:eastAsia="Calibri" w:hAnsi="Times New Roman"/>
          <w:color w:val="000000"/>
          <w:sz w:val="22"/>
          <w:szCs w:val="22"/>
        </w:rPr>
        <w:t>scepticism</w:t>
      </w:r>
      <w:proofErr w:type="spellEnd"/>
      <w:r w:rsidRPr="00737DC2">
        <w:rPr>
          <w:rFonts w:ascii="Times New Roman" w:eastAsia="Calibri" w:hAnsi="Times New Roman"/>
          <w:color w:val="000000"/>
          <w:sz w:val="22"/>
          <w:szCs w:val="22"/>
        </w:rPr>
        <w:t xml:space="preserve"> throughout the audit. </w:t>
      </w:r>
      <w:proofErr w:type="gramStart"/>
      <w:r w:rsidRPr="00737DC2">
        <w:rPr>
          <w:rFonts w:ascii="Times New Roman" w:eastAsia="Calibri" w:hAnsi="Times New Roman"/>
          <w:color w:val="000000"/>
          <w:sz w:val="22"/>
          <w:szCs w:val="22"/>
        </w:rPr>
        <w:t>We</w:t>
      </w:r>
      <w:proofErr w:type="gramEnd"/>
      <w:r w:rsidRPr="00737DC2">
        <w:rPr>
          <w:rFonts w:ascii="Times New Roman" w:eastAsia="Calibri" w:hAnsi="Times New Roman"/>
          <w:color w:val="000000"/>
          <w:sz w:val="22"/>
          <w:szCs w:val="22"/>
        </w:rPr>
        <w:t xml:space="preserve"> also:</w:t>
      </w:r>
    </w:p>
    <w:p w14:paraId="27492692" w14:textId="77777777" w:rsidR="00737DC2" w:rsidRPr="00737DC2" w:rsidRDefault="00737DC2" w:rsidP="00737DC2">
      <w:pPr>
        <w:numPr>
          <w:ilvl w:val="0"/>
          <w:numId w:val="1"/>
        </w:numPr>
        <w:spacing w:after="100" w:line="276" w:lineRule="auto"/>
        <w:jc w:val="left"/>
        <w:rPr>
          <w:rFonts w:ascii="Times New Roman" w:eastAsia="Calibri" w:hAnsi="Times New Roman"/>
          <w:color w:val="000000"/>
          <w:sz w:val="22"/>
          <w:szCs w:val="22"/>
        </w:rPr>
      </w:pPr>
      <w:r w:rsidRPr="00737DC2">
        <w:rPr>
          <w:rFonts w:ascii="Times New Roman" w:eastAsia="Calibri" w:hAnsi="Times New Roman"/>
          <w:color w:val="000000"/>
          <w:sz w:val="22"/>
          <w:szCs w:val="22"/>
        </w:rPr>
        <w:t>Identify and assess the risks of material misstatement of the financial statements, whether due to fraud or error, design and perform audit procedures responsive to those risks, and obtain audit evidence that is sufficient and appropriate to provide a basis for our opinion. The risk of not detecting a material misstatement resulting from fraud is higher than for one resulting from error, as fraud may involve collusion, forgery, intentional omissions, misrepresentations, or the override of internal control;</w:t>
      </w:r>
    </w:p>
    <w:p w14:paraId="3C597F5D" w14:textId="77777777" w:rsidR="00737DC2" w:rsidRPr="00737DC2" w:rsidRDefault="00737DC2" w:rsidP="00737DC2">
      <w:pPr>
        <w:numPr>
          <w:ilvl w:val="0"/>
          <w:numId w:val="1"/>
        </w:numPr>
        <w:spacing w:after="100" w:line="276" w:lineRule="auto"/>
        <w:jc w:val="left"/>
        <w:rPr>
          <w:rFonts w:ascii="Times New Roman" w:eastAsia="Calibri" w:hAnsi="Times New Roman"/>
          <w:color w:val="000000"/>
          <w:sz w:val="22"/>
          <w:szCs w:val="22"/>
        </w:rPr>
      </w:pPr>
      <w:r w:rsidRPr="00737DC2">
        <w:rPr>
          <w:rFonts w:ascii="Times New Roman" w:eastAsia="Calibri" w:hAnsi="Times New Roman"/>
          <w:color w:val="000000"/>
          <w:sz w:val="22"/>
          <w:szCs w:val="22"/>
        </w:rPr>
        <w:t>Obtain an understanding of internal control relevant to the audit in order to design audit procedures that are appropriate in the circumstances, but not for the purpose of expressing an opinion on the effectiveness of the Union’s internal control;</w:t>
      </w:r>
    </w:p>
    <w:p w14:paraId="5077E1D5" w14:textId="77777777" w:rsidR="00737DC2" w:rsidRPr="00737DC2" w:rsidRDefault="00737DC2" w:rsidP="00737DC2">
      <w:pPr>
        <w:numPr>
          <w:ilvl w:val="0"/>
          <w:numId w:val="1"/>
        </w:numPr>
        <w:spacing w:after="100" w:line="276" w:lineRule="auto"/>
        <w:jc w:val="left"/>
        <w:rPr>
          <w:rFonts w:ascii="Times New Roman" w:eastAsia="Calibri" w:hAnsi="Times New Roman"/>
          <w:color w:val="000000"/>
          <w:sz w:val="22"/>
          <w:szCs w:val="22"/>
        </w:rPr>
      </w:pPr>
      <w:r w:rsidRPr="00737DC2">
        <w:rPr>
          <w:rFonts w:ascii="Times New Roman" w:eastAsia="Calibri" w:hAnsi="Times New Roman"/>
          <w:color w:val="000000"/>
          <w:sz w:val="22"/>
          <w:szCs w:val="22"/>
        </w:rPr>
        <w:t>Evaluate the appropriateness of accounting policies used and the reasonableness of accounting estimates and related disclosures made by Management;</w:t>
      </w:r>
    </w:p>
    <w:p w14:paraId="221F9A6C" w14:textId="77777777" w:rsidR="00737DC2" w:rsidRPr="00737DC2" w:rsidRDefault="00737DC2" w:rsidP="00737DC2">
      <w:pPr>
        <w:numPr>
          <w:ilvl w:val="0"/>
          <w:numId w:val="1"/>
        </w:numPr>
        <w:spacing w:after="100" w:line="276" w:lineRule="auto"/>
        <w:jc w:val="left"/>
        <w:rPr>
          <w:rFonts w:ascii="Times New Roman" w:eastAsia="Calibri" w:hAnsi="Times New Roman"/>
          <w:color w:val="000000"/>
          <w:sz w:val="22"/>
          <w:szCs w:val="22"/>
        </w:rPr>
      </w:pPr>
      <w:r w:rsidRPr="00737DC2">
        <w:rPr>
          <w:rFonts w:ascii="Times New Roman" w:eastAsia="Calibri" w:hAnsi="Times New Roman"/>
          <w:color w:val="000000"/>
          <w:sz w:val="22"/>
          <w:szCs w:val="22"/>
        </w:rPr>
        <w:t>Conclude on the appropriateness of Management’s use of the going concern basis of accounting and, on the basis of the audit evidence obtained, whether a material uncertainty exists in relation to events or conditions that may cast significant doubt on the ability of the Union to continue as a going concern. If we conclude that a material uncertainty exists, we are required to draw attention in our auditor’s report to the related disclosures in the financial statements or, if such disclosures are inadequate, to modify our opinion. Our conclusions are based on the audit evidence obtained up to the date of our auditor’s report. However, future events or conditions may cause the Union to cease to continue as a going concern; and</w:t>
      </w:r>
    </w:p>
    <w:p w14:paraId="3173E63F" w14:textId="77777777" w:rsidR="00737DC2" w:rsidRPr="00737DC2" w:rsidRDefault="00737DC2" w:rsidP="00737DC2">
      <w:pPr>
        <w:numPr>
          <w:ilvl w:val="0"/>
          <w:numId w:val="1"/>
        </w:numPr>
        <w:spacing w:after="200" w:line="276" w:lineRule="auto"/>
        <w:jc w:val="left"/>
        <w:rPr>
          <w:rFonts w:ascii="Times New Roman" w:eastAsia="Calibri" w:hAnsi="Times New Roman"/>
          <w:color w:val="000000"/>
          <w:sz w:val="22"/>
          <w:szCs w:val="22"/>
        </w:rPr>
      </w:pPr>
      <w:r w:rsidRPr="00737DC2">
        <w:rPr>
          <w:rFonts w:ascii="Times New Roman" w:eastAsia="Calibri" w:hAnsi="Times New Roman"/>
          <w:color w:val="000000"/>
          <w:sz w:val="22"/>
          <w:szCs w:val="22"/>
        </w:rPr>
        <w:t>Evaluate the overall presentation, structure, and content of the financial statements, including the disclosures, and whether the financial statements represent the underlying transactions and events in a manner that achieves fair presentation.</w:t>
      </w:r>
    </w:p>
    <w:p w14:paraId="4654BD87" w14:textId="77777777" w:rsidR="00737DC2" w:rsidRPr="00737DC2" w:rsidRDefault="00737DC2" w:rsidP="00737DC2">
      <w:pPr>
        <w:spacing w:after="120" w:line="276" w:lineRule="auto"/>
        <w:rPr>
          <w:rFonts w:ascii="Times New Roman" w:eastAsia="Calibri" w:hAnsi="Times New Roman"/>
          <w:color w:val="000000"/>
          <w:sz w:val="22"/>
          <w:szCs w:val="22"/>
        </w:rPr>
        <w:sectPr w:rsidR="00737DC2" w:rsidRPr="00737DC2" w:rsidSect="00832B16">
          <w:footerReference w:type="default" r:id="rId21"/>
          <w:pgSz w:w="11906" w:h="16838" w:code="9"/>
          <w:pgMar w:top="510" w:right="1440" w:bottom="1276" w:left="1418" w:header="510" w:footer="709" w:gutter="0"/>
          <w:cols w:space="720"/>
        </w:sectPr>
      </w:pPr>
    </w:p>
    <w:p w14:paraId="3BF7B830" w14:textId="77777777" w:rsidR="00737DC2" w:rsidRPr="00737DC2" w:rsidRDefault="00737DC2" w:rsidP="00E7700E">
      <w:pPr>
        <w:pStyle w:val="Heading2"/>
      </w:pPr>
      <w:bookmarkStart w:id="34" w:name="_Toc234408424"/>
      <w:bookmarkStart w:id="35" w:name="_Toc234409592"/>
      <w:bookmarkStart w:id="36" w:name="_Toc234419085"/>
      <w:r w:rsidRPr="00737DC2">
        <w:lastRenderedPageBreak/>
        <w:t>II.</w:t>
      </w:r>
      <w:r w:rsidRPr="00737DC2">
        <w:tab/>
        <w:t>Long form report of the external auditor</w:t>
      </w:r>
      <w:bookmarkEnd w:id="34"/>
      <w:bookmarkEnd w:id="35"/>
      <w:bookmarkEnd w:id="36"/>
    </w:p>
    <w:p w14:paraId="2961E29B" w14:textId="77777777" w:rsidR="00737DC2" w:rsidRPr="00737DC2" w:rsidRDefault="00737DC2" w:rsidP="00E7700E">
      <w:pPr>
        <w:pStyle w:val="Heading1"/>
        <w:jc w:val="center"/>
      </w:pPr>
      <w:bookmarkStart w:id="37" w:name="_Toc234408425"/>
      <w:bookmarkStart w:id="38" w:name="_Toc234409593"/>
      <w:bookmarkStart w:id="39" w:name="_Toc234419086"/>
      <w:r w:rsidRPr="00737DC2">
        <w:t>Summary</w:t>
      </w:r>
      <w:bookmarkEnd w:id="37"/>
      <w:bookmarkEnd w:id="38"/>
      <w:bookmarkEnd w:id="39"/>
    </w:p>
    <w:p w14:paraId="2B3F0DA1" w14:textId="77777777" w:rsidR="00737DC2" w:rsidRPr="00737DC2" w:rsidRDefault="00737DC2" w:rsidP="00737DC2">
      <w:pPr>
        <w:spacing w:after="120" w:line="280" w:lineRule="exact"/>
        <w:rPr>
          <w:rFonts w:ascii="Times New Roman" w:eastAsia="Calibri" w:hAnsi="Times New Roman"/>
          <w:sz w:val="22"/>
          <w:szCs w:val="22"/>
        </w:rPr>
      </w:pPr>
      <w:r w:rsidRPr="00737DC2">
        <w:rPr>
          <w:rFonts w:ascii="Times New Roman" w:eastAsia="Calibri" w:hAnsi="Times New Roman"/>
          <w:sz w:val="22"/>
          <w:szCs w:val="22"/>
        </w:rPr>
        <w:t xml:space="preserve">In 2025, the Union generated revenue of 4,004 thousand Swiss francs and </w:t>
      </w:r>
      <w:proofErr w:type="spellStart"/>
      <w:r w:rsidRPr="00737DC2">
        <w:rPr>
          <w:rFonts w:ascii="Times New Roman" w:eastAsia="Calibri" w:hAnsi="Times New Roman"/>
          <w:sz w:val="22"/>
          <w:szCs w:val="22"/>
        </w:rPr>
        <w:t>recognised</w:t>
      </w:r>
      <w:proofErr w:type="spellEnd"/>
      <w:r w:rsidRPr="00737DC2">
        <w:rPr>
          <w:rFonts w:ascii="Times New Roman" w:eastAsia="Calibri" w:hAnsi="Times New Roman"/>
          <w:sz w:val="22"/>
          <w:szCs w:val="22"/>
        </w:rPr>
        <w:t xml:space="preserve"> expenses of 4,136 thousand Swiss francs, while holding assets of 5,211 thousand Swiss francs and liabilities of 5,791 thousand Swiss francs.</w:t>
      </w:r>
    </w:p>
    <w:p w14:paraId="2CFAB19B" w14:textId="77777777" w:rsidR="00737DC2" w:rsidRPr="00737DC2" w:rsidRDefault="00737DC2" w:rsidP="00737DC2">
      <w:pPr>
        <w:spacing w:after="120" w:line="280" w:lineRule="exact"/>
        <w:rPr>
          <w:rFonts w:ascii="Times New Roman" w:eastAsia="Calibri" w:hAnsi="Times New Roman"/>
          <w:sz w:val="22"/>
          <w:szCs w:val="22"/>
        </w:rPr>
      </w:pPr>
      <w:r w:rsidRPr="00737DC2">
        <w:rPr>
          <w:rFonts w:ascii="Times New Roman" w:eastAsia="Calibri" w:hAnsi="Times New Roman"/>
          <w:sz w:val="22"/>
          <w:szCs w:val="22"/>
        </w:rPr>
        <w:t xml:space="preserve">Accordingly, the Audit Board of the Republic of Indonesia or </w:t>
      </w:r>
      <w:r w:rsidRPr="00737DC2">
        <w:rPr>
          <w:rFonts w:ascii="Times New Roman" w:eastAsia="Calibri" w:hAnsi="Times New Roman"/>
          <w:iCs/>
          <w:sz w:val="22"/>
          <w:szCs w:val="22"/>
        </w:rPr>
        <w:t xml:space="preserve">Badan </w:t>
      </w:r>
      <w:proofErr w:type="spellStart"/>
      <w:r w:rsidRPr="00737DC2">
        <w:rPr>
          <w:rFonts w:ascii="Times New Roman" w:eastAsia="Calibri" w:hAnsi="Times New Roman"/>
          <w:iCs/>
          <w:sz w:val="22"/>
          <w:szCs w:val="22"/>
        </w:rPr>
        <w:t>Pemeriksa</w:t>
      </w:r>
      <w:proofErr w:type="spellEnd"/>
      <w:r w:rsidRPr="00737DC2">
        <w:rPr>
          <w:rFonts w:ascii="Times New Roman" w:eastAsia="Calibri" w:hAnsi="Times New Roman"/>
          <w:iCs/>
          <w:sz w:val="22"/>
          <w:szCs w:val="22"/>
        </w:rPr>
        <w:t xml:space="preserve"> Keuangan</w:t>
      </w:r>
      <w:r w:rsidRPr="00737DC2">
        <w:rPr>
          <w:rFonts w:ascii="Times New Roman" w:eastAsia="Calibri" w:hAnsi="Times New Roman"/>
          <w:sz w:val="22"/>
          <w:szCs w:val="22"/>
        </w:rPr>
        <w:t xml:space="preserve"> (BPK) presents this report following a comprehensive audit of the Union’s financial statements for the year ended 31 December 2025. Our audit was conducted in accordance with International Standards on Auditing (ISAs).</w:t>
      </w:r>
    </w:p>
    <w:p w14:paraId="287C522A" w14:textId="77777777" w:rsidR="00737DC2" w:rsidRPr="00737DC2" w:rsidRDefault="00737DC2" w:rsidP="00737DC2">
      <w:pPr>
        <w:spacing w:after="120" w:line="280" w:lineRule="exact"/>
        <w:jc w:val="left"/>
        <w:rPr>
          <w:rFonts w:ascii="Times New Roman" w:eastAsia="Calibri" w:hAnsi="Times New Roman"/>
          <w:sz w:val="22"/>
          <w:szCs w:val="22"/>
        </w:rPr>
      </w:pPr>
      <w:r w:rsidRPr="00737DC2">
        <w:rPr>
          <w:rFonts w:ascii="Times New Roman" w:eastAsia="Calibri" w:hAnsi="Times New Roman"/>
          <w:b/>
          <w:bCs/>
          <w:sz w:val="22"/>
          <w:szCs w:val="22"/>
        </w:rPr>
        <w:t>Audit objectives</w:t>
      </w:r>
    </w:p>
    <w:p w14:paraId="4468DA57" w14:textId="77777777" w:rsidR="00737DC2" w:rsidRPr="00737DC2" w:rsidRDefault="00737DC2" w:rsidP="00737DC2">
      <w:pPr>
        <w:spacing w:after="120" w:line="280" w:lineRule="exact"/>
        <w:rPr>
          <w:rFonts w:ascii="Times New Roman" w:eastAsia="Calibri" w:hAnsi="Times New Roman"/>
          <w:sz w:val="22"/>
          <w:szCs w:val="22"/>
        </w:rPr>
      </w:pPr>
      <w:r w:rsidRPr="00737DC2">
        <w:rPr>
          <w:rFonts w:ascii="Times New Roman" w:eastAsia="Calibri" w:hAnsi="Times New Roman"/>
          <w:sz w:val="22"/>
          <w:szCs w:val="22"/>
        </w:rPr>
        <w:t xml:space="preserve">The financial audit was conducted primarily to enable BPK to form an opinion as to whether the financial statements of the Union for the year ended 31 December 2025, present fairly, in all material respects, in accordance with the International Public Sector Accounting Standards (IPSAS). This included an assessment to test whether the transactions were, in all significant respects, in accordance with the Union Financial Regulation and Rules (FRR). </w:t>
      </w:r>
    </w:p>
    <w:p w14:paraId="058D2795" w14:textId="77777777" w:rsidR="00737DC2" w:rsidRPr="00737DC2" w:rsidRDefault="00737DC2" w:rsidP="00737DC2">
      <w:pPr>
        <w:spacing w:after="120" w:line="280" w:lineRule="exact"/>
        <w:jc w:val="left"/>
        <w:rPr>
          <w:rFonts w:ascii="Times New Roman" w:eastAsia="Calibri" w:hAnsi="Times New Roman"/>
          <w:b/>
          <w:bCs/>
          <w:sz w:val="22"/>
          <w:szCs w:val="22"/>
        </w:rPr>
      </w:pPr>
      <w:r w:rsidRPr="00737DC2">
        <w:rPr>
          <w:rFonts w:ascii="Times New Roman" w:eastAsia="Calibri" w:hAnsi="Times New Roman"/>
          <w:b/>
          <w:bCs/>
          <w:sz w:val="22"/>
          <w:szCs w:val="22"/>
        </w:rPr>
        <w:t>Audit results</w:t>
      </w:r>
    </w:p>
    <w:p w14:paraId="133428CB" w14:textId="77777777" w:rsidR="00737DC2" w:rsidRPr="00737DC2" w:rsidRDefault="00737DC2" w:rsidP="00737DC2">
      <w:pPr>
        <w:spacing w:after="120" w:line="280" w:lineRule="exact"/>
        <w:rPr>
          <w:rFonts w:ascii="Times New Roman" w:eastAsia="Calibri" w:hAnsi="Times New Roman"/>
          <w:color w:val="000000"/>
          <w:sz w:val="22"/>
          <w:szCs w:val="22"/>
        </w:rPr>
      </w:pPr>
      <w:r w:rsidRPr="00737DC2">
        <w:rPr>
          <w:rFonts w:ascii="Times New Roman" w:eastAsia="Calibri" w:hAnsi="Times New Roman"/>
          <w:sz w:val="22"/>
          <w:szCs w:val="22"/>
        </w:rPr>
        <w:t xml:space="preserve">The financial statements present fairly, in all material respects, the financial position as at 31 December 2025, and its financial performance, changes in net assets, cash flows, and comparison of budget and actual amounts for the year then ended, in accordance with IPSAS. In addition, the revenue </w:t>
      </w:r>
      <w:r w:rsidRPr="00737DC2">
        <w:rPr>
          <w:rFonts w:ascii="Times New Roman" w:eastAsia="Calibri" w:hAnsi="Times New Roman"/>
          <w:color w:val="000000"/>
          <w:sz w:val="22"/>
          <w:szCs w:val="22"/>
        </w:rPr>
        <w:t>and expenses, in all material respects, have been applied to the purposes intended by the Council of the Union, and the financial transactions conform to the Union’s FRR, and legislative authority.</w:t>
      </w:r>
    </w:p>
    <w:p w14:paraId="530DA6EC" w14:textId="77777777" w:rsidR="00737DC2" w:rsidRPr="00737DC2" w:rsidRDefault="00737DC2" w:rsidP="00737DC2">
      <w:pPr>
        <w:spacing w:after="120" w:line="280" w:lineRule="exact"/>
        <w:jc w:val="left"/>
        <w:rPr>
          <w:rFonts w:ascii="Times New Roman" w:eastAsia="Calibri" w:hAnsi="Times New Roman"/>
          <w:color w:val="000000"/>
          <w:sz w:val="22"/>
          <w:szCs w:val="22"/>
        </w:rPr>
      </w:pPr>
      <w:r w:rsidRPr="00737DC2">
        <w:rPr>
          <w:rFonts w:ascii="Times New Roman" w:eastAsia="Calibri" w:hAnsi="Times New Roman"/>
          <w:b/>
          <w:bCs/>
          <w:color w:val="000000"/>
          <w:sz w:val="22"/>
          <w:szCs w:val="22"/>
        </w:rPr>
        <w:t>Other matter</w:t>
      </w:r>
    </w:p>
    <w:p w14:paraId="4DC987E5" w14:textId="77777777" w:rsidR="00737DC2" w:rsidRPr="00737DC2" w:rsidRDefault="00737DC2" w:rsidP="00737DC2">
      <w:pPr>
        <w:spacing w:after="120" w:line="280" w:lineRule="exact"/>
        <w:rPr>
          <w:rFonts w:ascii="Times New Roman" w:eastAsia="Calibri" w:hAnsi="Times New Roman"/>
          <w:color w:val="000000"/>
          <w:sz w:val="22"/>
          <w:szCs w:val="22"/>
        </w:rPr>
      </w:pPr>
      <w:r w:rsidRPr="00737DC2">
        <w:rPr>
          <w:rFonts w:ascii="Times New Roman" w:eastAsia="Calibri" w:hAnsi="Times New Roman"/>
          <w:color w:val="000000"/>
          <w:sz w:val="22"/>
          <w:szCs w:val="22"/>
        </w:rPr>
        <w:t xml:space="preserve">The financial statements of the Union for the year ended 31 December 2024, were audited by the Swiss </w:t>
      </w:r>
      <w:r w:rsidRPr="00737DC2">
        <w:rPr>
          <w:rFonts w:ascii="Times New Roman" w:eastAsia="Calibri" w:hAnsi="Times New Roman"/>
          <w:sz w:val="22"/>
          <w:szCs w:val="22"/>
        </w:rPr>
        <w:t>Federal</w:t>
      </w:r>
      <w:r w:rsidRPr="00737DC2">
        <w:rPr>
          <w:rFonts w:ascii="Times New Roman" w:eastAsia="Calibri" w:hAnsi="Times New Roman"/>
          <w:color w:val="000000"/>
          <w:sz w:val="22"/>
          <w:szCs w:val="22"/>
        </w:rPr>
        <w:t xml:space="preserve"> Audit Office, which expressed an unmodified opinion on those statements on 23 May 2025.</w:t>
      </w:r>
    </w:p>
    <w:p w14:paraId="476F4611" w14:textId="77777777" w:rsidR="00737DC2" w:rsidRPr="00737DC2" w:rsidRDefault="00737DC2" w:rsidP="00737DC2">
      <w:pPr>
        <w:spacing w:after="120" w:line="280" w:lineRule="exact"/>
        <w:jc w:val="left"/>
        <w:rPr>
          <w:rFonts w:ascii="Times New Roman" w:eastAsia="Calibri" w:hAnsi="Times New Roman"/>
          <w:sz w:val="22"/>
          <w:szCs w:val="22"/>
        </w:rPr>
      </w:pPr>
      <w:r w:rsidRPr="00737DC2">
        <w:rPr>
          <w:rFonts w:ascii="Times New Roman" w:eastAsia="Calibri" w:hAnsi="Times New Roman"/>
          <w:b/>
          <w:bCs/>
          <w:sz w:val="22"/>
          <w:szCs w:val="22"/>
        </w:rPr>
        <w:t>Financial matters</w:t>
      </w:r>
    </w:p>
    <w:p w14:paraId="12DFC6E8" w14:textId="2AEE8682" w:rsidR="00737DC2" w:rsidRPr="00737DC2" w:rsidRDefault="00737DC2" w:rsidP="00737DC2">
      <w:pPr>
        <w:spacing w:after="120" w:line="280" w:lineRule="exact"/>
        <w:rPr>
          <w:rFonts w:ascii="Times New Roman" w:eastAsia="Calibri" w:hAnsi="Times New Roman"/>
          <w:sz w:val="22"/>
          <w:szCs w:val="22"/>
        </w:rPr>
      </w:pPr>
      <w:r w:rsidRPr="00737DC2">
        <w:rPr>
          <w:rFonts w:ascii="Times New Roman" w:eastAsia="Calibri" w:hAnsi="Times New Roman"/>
          <w:sz w:val="22"/>
          <w:szCs w:val="22"/>
        </w:rPr>
        <w:t xml:space="preserve">BPK acknowledged that the Union had adopted IPSAS 47 </w:t>
      </w:r>
      <w:r w:rsidRPr="00737DC2">
        <w:rPr>
          <w:rFonts w:ascii="Times New Roman" w:eastAsia="Calibri" w:hAnsi="Times New Roman"/>
          <w:i/>
          <w:sz w:val="22"/>
          <w:szCs w:val="22"/>
        </w:rPr>
        <w:t>Revenue</w:t>
      </w:r>
      <w:r w:rsidRPr="00737DC2">
        <w:rPr>
          <w:rFonts w:ascii="Times New Roman" w:eastAsia="Calibri" w:hAnsi="Times New Roman"/>
          <w:sz w:val="22"/>
          <w:szCs w:val="22"/>
        </w:rPr>
        <w:t xml:space="preserve"> and IPSAS 48 </w:t>
      </w:r>
      <w:r w:rsidRPr="00737DC2">
        <w:rPr>
          <w:rFonts w:ascii="Times New Roman" w:eastAsia="Calibri" w:hAnsi="Times New Roman"/>
          <w:i/>
          <w:sz w:val="22"/>
          <w:szCs w:val="22"/>
        </w:rPr>
        <w:t>Transfer Expenses</w:t>
      </w:r>
      <w:r w:rsidRPr="00737DC2">
        <w:rPr>
          <w:rFonts w:ascii="Times New Roman" w:eastAsia="Calibri" w:hAnsi="Times New Roman"/>
          <w:sz w:val="22"/>
          <w:szCs w:val="22"/>
        </w:rPr>
        <w:t xml:space="preserve"> early, effective 1 January 2025, with no material impact on the financial statements. The audit focused on, among others, cash management and identified an area requiring improvement, which is the optimization of the Union’s reimbursement cycle with the World Intellectual Property Organization (WIPO).</w:t>
      </w:r>
    </w:p>
    <w:p w14:paraId="2DDE65C2" w14:textId="77777777" w:rsidR="00737DC2" w:rsidRPr="00737DC2" w:rsidRDefault="00737DC2" w:rsidP="00737DC2">
      <w:pPr>
        <w:spacing w:after="120" w:line="280" w:lineRule="exact"/>
        <w:rPr>
          <w:rFonts w:ascii="Times New Roman" w:hAnsi="Times New Roman"/>
          <w:sz w:val="22"/>
          <w:szCs w:val="22"/>
        </w:rPr>
      </w:pPr>
      <w:r w:rsidRPr="00737DC2">
        <w:rPr>
          <w:rFonts w:ascii="Times New Roman" w:hAnsi="Times New Roman"/>
          <w:sz w:val="22"/>
          <w:szCs w:val="22"/>
        </w:rPr>
        <w:t>Comprehensive details of the audit observation are presented in this report.</w:t>
      </w:r>
    </w:p>
    <w:p w14:paraId="47F29526" w14:textId="77777777" w:rsidR="00737DC2" w:rsidRPr="00737DC2" w:rsidRDefault="00737DC2" w:rsidP="00737DC2">
      <w:pPr>
        <w:spacing w:after="120" w:line="280" w:lineRule="exact"/>
        <w:rPr>
          <w:rFonts w:ascii="Times New Roman" w:eastAsia="Calibri" w:hAnsi="Times New Roman"/>
          <w:b/>
          <w:bCs/>
          <w:color w:val="000000"/>
          <w:sz w:val="22"/>
          <w:szCs w:val="22"/>
        </w:rPr>
      </w:pPr>
      <w:r w:rsidRPr="00737DC2">
        <w:rPr>
          <w:rFonts w:ascii="Times New Roman" w:eastAsia="Calibri" w:hAnsi="Times New Roman"/>
          <w:b/>
          <w:bCs/>
          <w:color w:val="000000"/>
          <w:sz w:val="22"/>
          <w:szCs w:val="22"/>
        </w:rPr>
        <w:t xml:space="preserve">Previous audit recommendations </w:t>
      </w:r>
    </w:p>
    <w:p w14:paraId="4050AC32" w14:textId="77777777" w:rsidR="00737DC2" w:rsidRPr="00737DC2" w:rsidRDefault="00737DC2" w:rsidP="00737DC2">
      <w:pPr>
        <w:spacing w:after="120" w:line="280" w:lineRule="exact"/>
        <w:jc w:val="left"/>
        <w:rPr>
          <w:rFonts w:ascii="Times New Roman" w:eastAsia="Calibri" w:hAnsi="Times New Roman"/>
          <w:sz w:val="22"/>
          <w:szCs w:val="22"/>
        </w:rPr>
      </w:pPr>
      <w:r w:rsidRPr="00737DC2">
        <w:rPr>
          <w:rFonts w:ascii="Times New Roman" w:eastAsia="Calibri" w:hAnsi="Times New Roman"/>
          <w:sz w:val="22"/>
          <w:szCs w:val="22"/>
        </w:rPr>
        <w:t>There were no outstanding recommendations from prior audit periods.</w:t>
      </w:r>
    </w:p>
    <w:p w14:paraId="71EAC863" w14:textId="77777777" w:rsidR="00737DC2" w:rsidRPr="00737DC2" w:rsidRDefault="00737DC2" w:rsidP="00737DC2">
      <w:pPr>
        <w:spacing w:after="120" w:line="276" w:lineRule="auto"/>
        <w:rPr>
          <w:rFonts w:ascii="Times New Roman" w:eastAsia="Calibri" w:hAnsi="Times New Roman"/>
          <w:color w:val="000000"/>
          <w:sz w:val="22"/>
          <w:szCs w:val="22"/>
        </w:rPr>
      </w:pPr>
      <w:r w:rsidRPr="00737DC2">
        <w:rPr>
          <w:rFonts w:ascii="Times New Roman" w:eastAsia="Calibri" w:hAnsi="Times New Roman"/>
          <w:color w:val="000000"/>
          <w:sz w:val="22"/>
          <w:szCs w:val="22"/>
        </w:rPr>
        <w:br w:type="page" w:clear="all"/>
      </w:r>
    </w:p>
    <w:p w14:paraId="57167014" w14:textId="77777777" w:rsidR="00737DC2" w:rsidRPr="00737DC2" w:rsidRDefault="00737DC2" w:rsidP="00225471">
      <w:pPr>
        <w:pStyle w:val="Heading3"/>
      </w:pPr>
      <w:bookmarkStart w:id="40" w:name="_Toc234408426"/>
      <w:bookmarkStart w:id="41" w:name="_Toc234409594"/>
      <w:bookmarkStart w:id="42" w:name="_Toc234419087"/>
      <w:r w:rsidRPr="00737DC2">
        <w:lastRenderedPageBreak/>
        <w:t>Mandate, scope, and methodology</w:t>
      </w:r>
      <w:bookmarkEnd w:id="40"/>
      <w:bookmarkEnd w:id="41"/>
      <w:bookmarkEnd w:id="42"/>
    </w:p>
    <w:p w14:paraId="12D6A1AF" w14:textId="77777777" w:rsidR="00737DC2" w:rsidRPr="00737DC2" w:rsidRDefault="00737DC2" w:rsidP="00832B16">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The International Union for the Protection of New Varieties of Plants (UPOV or the Union) was established by the International Convention for the Protection of New Varieties of Plants (the UPOV Convention), adopted in Paris on 2 December 1961, and subsequently revised in 1972, 1978, and 1991. The Union’s mission is to provide and promote an effective system of plant variety protection, with the aim of encouraging the development of new varieties of plants, for the benefit of society. As at 31 December 2025, the Union had 80 members.</w:t>
      </w:r>
    </w:p>
    <w:p w14:paraId="4F057810" w14:textId="77777777" w:rsidR="00737DC2" w:rsidRPr="00737DC2" w:rsidRDefault="00737DC2" w:rsidP="00832B16">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 xml:space="preserve">Pursuant to Regulation 8.4 of the Financial Regulations and Rules (FRR) of the Union and the terms of reference set out in Annex II of the FRR, the Audit Board of the Republic of Indonesia (Badan </w:t>
      </w:r>
      <w:proofErr w:type="spellStart"/>
      <w:r w:rsidRPr="00737DC2">
        <w:rPr>
          <w:rFonts w:ascii="Times New Roman" w:eastAsia="Calibri" w:hAnsi="Times New Roman"/>
          <w:sz w:val="22"/>
          <w:szCs w:val="22"/>
        </w:rPr>
        <w:t>Pemeriksa</w:t>
      </w:r>
      <w:proofErr w:type="spellEnd"/>
      <w:r w:rsidRPr="00737DC2">
        <w:rPr>
          <w:rFonts w:ascii="Times New Roman" w:eastAsia="Calibri" w:hAnsi="Times New Roman"/>
          <w:sz w:val="22"/>
          <w:szCs w:val="22"/>
        </w:rPr>
        <w:t xml:space="preserve"> Keuangan/BPK) conducted an audit of the Union for the period 1 January to 31 December 2025.</w:t>
      </w:r>
    </w:p>
    <w:p w14:paraId="1FDBCE36" w14:textId="77777777" w:rsidR="00737DC2" w:rsidRPr="00737DC2" w:rsidRDefault="00737DC2" w:rsidP="00832B16">
      <w:pPr>
        <w:numPr>
          <w:ilvl w:val="0"/>
          <w:numId w:val="3"/>
        </w:numPr>
        <w:spacing w:after="120" w:line="276" w:lineRule="auto"/>
        <w:ind w:left="709"/>
        <w:rPr>
          <w:rFonts w:ascii="Times New Roman" w:eastAsia="Calibri" w:hAnsi="Times New Roman"/>
          <w:color w:val="0D0D0D"/>
          <w:sz w:val="22"/>
          <w:szCs w:val="22"/>
        </w:rPr>
      </w:pPr>
      <w:r w:rsidRPr="00737DC2">
        <w:rPr>
          <w:rFonts w:ascii="Times New Roman" w:eastAsia="Calibri" w:hAnsi="Times New Roman"/>
          <w:sz w:val="22"/>
          <w:szCs w:val="22"/>
        </w:rPr>
        <w:t xml:space="preserve">The financial audit was conducted primarily to enable BPK to obtain reasonable assurance to form an opinion as to whether the financial statements of the Union for the year ended 31 December 2025 are presented fairly, in </w:t>
      </w:r>
      <w:r w:rsidRPr="00737DC2">
        <w:rPr>
          <w:rFonts w:ascii="Times New Roman" w:eastAsia="Calibri" w:hAnsi="Times New Roman"/>
          <w:color w:val="0D0D0D"/>
          <w:sz w:val="22"/>
          <w:szCs w:val="22"/>
        </w:rPr>
        <w:t xml:space="preserve">accordance with International Public Sector Accounting Standards (IPSAS). This included an assessment to test whether the transactions of the Union were, in all significant respects, in accordance with the Union’s FRR. </w:t>
      </w:r>
    </w:p>
    <w:p w14:paraId="4E82C3A2" w14:textId="77777777" w:rsidR="00737DC2" w:rsidRPr="00737DC2" w:rsidRDefault="00737DC2" w:rsidP="00832B16">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The audit covered the financial statements of the Union, which comprise the statement of financial position as at 31 December 2025, the statement of financial performance, the statement of changes in net assets, the statement of cash flows, the statement of comparison of budget and actual amounts for the year/biennium then ended, and notes to the financial statements.</w:t>
      </w:r>
    </w:p>
    <w:p w14:paraId="09980BC6" w14:textId="77777777" w:rsidR="00737DC2" w:rsidRPr="00737DC2" w:rsidRDefault="00737DC2" w:rsidP="00832B16">
      <w:pPr>
        <w:numPr>
          <w:ilvl w:val="0"/>
          <w:numId w:val="3"/>
        </w:numPr>
        <w:spacing w:after="120" w:line="276" w:lineRule="auto"/>
        <w:ind w:left="709"/>
        <w:rPr>
          <w:rFonts w:ascii="Times New Roman" w:eastAsia="Calibri" w:hAnsi="Times New Roman"/>
          <w:color w:val="0D0D0D"/>
          <w:sz w:val="22"/>
          <w:szCs w:val="22"/>
        </w:rPr>
      </w:pPr>
      <w:r w:rsidRPr="00737DC2">
        <w:rPr>
          <w:rFonts w:ascii="Times New Roman" w:eastAsia="Calibri" w:hAnsi="Times New Roman"/>
          <w:sz w:val="22"/>
          <w:szCs w:val="22"/>
        </w:rPr>
        <w:t>The audit was carried out in accordance with the International Standards on Auditing (ISAs). The Standards require BPK to comply with ethical requirements and plan and conduct the audit to obtain reasonable assurance about whether the financial statements of the Union are free from material misstatements. Regarding regularity, the audit follows the</w:t>
      </w:r>
      <w:r w:rsidRPr="00737DC2">
        <w:rPr>
          <w:rFonts w:ascii="Times New Roman" w:eastAsia="Calibri" w:hAnsi="Times New Roman"/>
          <w:color w:val="FF0000"/>
          <w:sz w:val="22"/>
          <w:szCs w:val="22"/>
        </w:rPr>
        <w:t xml:space="preserve"> </w:t>
      </w:r>
      <w:r w:rsidRPr="00737DC2">
        <w:rPr>
          <w:rFonts w:ascii="Times New Roman" w:eastAsia="Calibri" w:hAnsi="Times New Roman"/>
          <w:color w:val="0D0D0D"/>
          <w:sz w:val="22"/>
          <w:szCs w:val="22"/>
        </w:rPr>
        <w:t>FRR.</w:t>
      </w:r>
    </w:p>
    <w:p w14:paraId="29087051" w14:textId="77777777" w:rsidR="00737DC2" w:rsidRPr="00737DC2" w:rsidRDefault="00737DC2" w:rsidP="00832B16">
      <w:pPr>
        <w:numPr>
          <w:ilvl w:val="0"/>
          <w:numId w:val="3"/>
        </w:numPr>
        <w:spacing w:after="120" w:line="276" w:lineRule="auto"/>
        <w:ind w:left="709"/>
        <w:rPr>
          <w:rFonts w:ascii="Times New Roman" w:eastAsia="Calibri" w:hAnsi="Times New Roman"/>
          <w:color w:val="0D0D0D"/>
          <w:sz w:val="22"/>
          <w:szCs w:val="22"/>
        </w:rPr>
      </w:pPr>
      <w:r w:rsidRPr="00737DC2">
        <w:rPr>
          <w:rFonts w:ascii="Times New Roman" w:eastAsia="Calibri" w:hAnsi="Times New Roman"/>
          <w:sz w:val="22"/>
          <w:szCs w:val="22"/>
        </w:rPr>
        <w:t xml:space="preserve">The audit included a general review of financial systems and internal controls, an assessment of risk, and a test examination of the accounting records and other supporting evidence to the extent that BPK considered necessary to form an opinion on the financial statements. </w:t>
      </w:r>
    </w:p>
    <w:p w14:paraId="43C98E8B" w14:textId="77777777" w:rsidR="00737DC2" w:rsidRPr="00737DC2" w:rsidRDefault="00737DC2" w:rsidP="00832B16">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BPK has obtained an understanding of the Union’s business and accounting processes and internal controls relevant to the financial statements to help us identify risks that may impact the financial statements. Internal controls were considered to design appropriate audit procedures, but not for the purpose of expressing an opinion on the effectiveness of the Union’s internal control.</w:t>
      </w:r>
    </w:p>
    <w:p w14:paraId="266E5067" w14:textId="77777777" w:rsidR="00737DC2" w:rsidRPr="00737DC2" w:rsidRDefault="00737DC2" w:rsidP="00832B16">
      <w:pPr>
        <w:numPr>
          <w:ilvl w:val="0"/>
          <w:numId w:val="3"/>
        </w:numPr>
        <w:spacing w:after="120" w:line="276" w:lineRule="auto"/>
        <w:ind w:left="709"/>
        <w:rPr>
          <w:rFonts w:ascii="Times New Roman" w:eastAsia="Calibri" w:hAnsi="Times New Roman"/>
          <w:color w:val="0D0D0D"/>
          <w:sz w:val="22"/>
          <w:szCs w:val="22"/>
        </w:rPr>
      </w:pPr>
      <w:r w:rsidRPr="00737DC2">
        <w:rPr>
          <w:rFonts w:ascii="Times New Roman" w:eastAsia="Calibri" w:hAnsi="Times New Roman"/>
          <w:sz w:val="22"/>
          <w:szCs w:val="22"/>
        </w:rPr>
        <w:t>BPK also examined, updated, and reported on the status of the external auditor’s recommendations from prior year audits. There were no outstanding recommendations from prior audit periods.</w:t>
      </w:r>
    </w:p>
    <w:p w14:paraId="710F3417" w14:textId="77777777" w:rsidR="00737DC2" w:rsidRPr="00737DC2" w:rsidRDefault="00737DC2" w:rsidP="00832B16">
      <w:pPr>
        <w:numPr>
          <w:ilvl w:val="0"/>
          <w:numId w:val="3"/>
        </w:numPr>
        <w:spacing w:after="120" w:line="276" w:lineRule="auto"/>
        <w:ind w:left="709"/>
        <w:rPr>
          <w:rFonts w:ascii="Times New Roman" w:eastAsia="Calibri" w:hAnsi="Times New Roman"/>
          <w:color w:val="0D0D0D"/>
          <w:sz w:val="22"/>
          <w:szCs w:val="22"/>
        </w:rPr>
      </w:pPr>
      <w:r w:rsidRPr="00737DC2">
        <w:rPr>
          <w:rFonts w:ascii="Times New Roman" w:eastAsia="Calibri" w:hAnsi="Times New Roman"/>
          <w:sz w:val="22"/>
          <w:szCs w:val="22"/>
        </w:rPr>
        <w:t>In the financial audit, BPK worked collaboratively with the Controller of the World Intellectual Property Organization (WIPO) and other respective staff members of WIPO and the Union to understand financial activities and determine their relevance to the audit. As noted in the WIPO/UPOV Agreement and the Union FRR, the Controller of WIPO is responsible for the Union’s accounting and financial matters.</w:t>
      </w:r>
    </w:p>
    <w:p w14:paraId="6F4E4ACB" w14:textId="77777777" w:rsidR="00737DC2" w:rsidRPr="00737DC2" w:rsidRDefault="00737DC2" w:rsidP="00832B16">
      <w:pPr>
        <w:numPr>
          <w:ilvl w:val="0"/>
          <w:numId w:val="3"/>
        </w:numPr>
        <w:spacing w:after="120" w:line="276" w:lineRule="auto"/>
        <w:ind w:left="709"/>
        <w:rPr>
          <w:rFonts w:ascii="Times New Roman" w:eastAsia="Calibri" w:hAnsi="Times New Roman"/>
          <w:color w:val="0D0D0D"/>
          <w:sz w:val="22"/>
          <w:szCs w:val="22"/>
        </w:rPr>
      </w:pPr>
      <w:r w:rsidRPr="00737DC2">
        <w:rPr>
          <w:rFonts w:ascii="Times New Roman" w:eastAsia="Calibri" w:hAnsi="Times New Roman"/>
          <w:sz w:val="22"/>
          <w:szCs w:val="22"/>
        </w:rPr>
        <w:t xml:space="preserve">Regulation 8.10 states that the external auditor shall issue an opinion on the annual financial statements for each calendar year of the financial period, which shall include such information as the External Auditor deems necessary with regard to matters referred to in Regulation 8.5 and in Annex II to the present Regulations referred to in Regulation 8.4. </w:t>
      </w:r>
      <w:bookmarkStart w:id="43" w:name="_Toc223004775"/>
      <w:bookmarkStart w:id="44" w:name="_Toc223005281"/>
      <w:bookmarkStart w:id="45" w:name="_Toc223005308"/>
      <w:bookmarkStart w:id="46" w:name="_Toc223005497"/>
      <w:bookmarkStart w:id="47" w:name="_Toc223004776"/>
      <w:bookmarkStart w:id="48" w:name="_Toc223005282"/>
      <w:bookmarkStart w:id="49" w:name="_Toc223005309"/>
      <w:bookmarkStart w:id="50" w:name="_Toc223005498"/>
      <w:bookmarkStart w:id="51" w:name="_Toc192095254"/>
      <w:bookmarkStart w:id="52" w:name="_Toc222750716"/>
      <w:bookmarkStart w:id="53" w:name="_Toc66109791"/>
      <w:bookmarkStart w:id="54" w:name="_Toc66109898"/>
      <w:bookmarkEnd w:id="43"/>
      <w:bookmarkEnd w:id="44"/>
      <w:bookmarkEnd w:id="45"/>
      <w:bookmarkEnd w:id="46"/>
      <w:bookmarkEnd w:id="47"/>
      <w:bookmarkEnd w:id="48"/>
      <w:bookmarkEnd w:id="49"/>
      <w:bookmarkEnd w:id="50"/>
      <w:bookmarkEnd w:id="51"/>
      <w:bookmarkEnd w:id="52"/>
      <w:bookmarkEnd w:id="53"/>
      <w:bookmarkEnd w:id="54"/>
    </w:p>
    <w:p w14:paraId="29983214" w14:textId="77777777" w:rsidR="00737DC2" w:rsidRPr="00737DC2" w:rsidRDefault="00737DC2" w:rsidP="00832B16">
      <w:pPr>
        <w:numPr>
          <w:ilvl w:val="0"/>
          <w:numId w:val="3"/>
        </w:numPr>
        <w:spacing w:after="120" w:line="276" w:lineRule="auto"/>
        <w:ind w:left="709"/>
        <w:rPr>
          <w:rFonts w:ascii="Times New Roman" w:eastAsia="Calibri" w:hAnsi="Times New Roman"/>
          <w:color w:val="0D0D0D"/>
          <w:sz w:val="22"/>
          <w:szCs w:val="22"/>
        </w:rPr>
      </w:pPr>
      <w:r w:rsidRPr="00737DC2">
        <w:rPr>
          <w:rFonts w:ascii="Times New Roman" w:eastAsia="Calibri" w:hAnsi="Times New Roman"/>
          <w:sz w:val="22"/>
          <w:szCs w:val="22"/>
        </w:rPr>
        <w:lastRenderedPageBreak/>
        <w:t xml:space="preserve">Matters arising out of the audit were discussed with Management. The comments and responses received from the Management have, where appropriate, been incorporated in this report. </w:t>
      </w:r>
    </w:p>
    <w:p w14:paraId="4EC5E522" w14:textId="77777777" w:rsidR="00737DC2" w:rsidRPr="00737DC2" w:rsidRDefault="00737DC2" w:rsidP="00832B16">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The financial year ended 31 December 2025 is the first year in which BPK serves as the External Auditor of the Union, succeeding the Swiss Federal Audit Office (SFAO), whose mandate concluded with the audit of the financial year ended 31 December 2024. The appointment of BPK was approved by the Union’s Council in accordance with the FRR.</w:t>
      </w:r>
    </w:p>
    <w:p w14:paraId="18F42837" w14:textId="77777777" w:rsidR="00737DC2" w:rsidRPr="00737DC2" w:rsidRDefault="00737DC2" w:rsidP="00BC6EC4">
      <w:pPr>
        <w:pStyle w:val="Heading5"/>
      </w:pPr>
      <w:bookmarkStart w:id="55" w:name="_Toc234409595"/>
      <w:r w:rsidRPr="00737DC2">
        <w:t>Initial Audit Engagement</w:t>
      </w:r>
      <w:bookmarkEnd w:id="55"/>
    </w:p>
    <w:p w14:paraId="69B777CE" w14:textId="77777777" w:rsidR="00737DC2" w:rsidRPr="00737DC2" w:rsidRDefault="00737DC2" w:rsidP="00832B16">
      <w:pPr>
        <w:numPr>
          <w:ilvl w:val="0"/>
          <w:numId w:val="3"/>
        </w:numPr>
        <w:spacing w:after="120" w:line="276" w:lineRule="auto"/>
        <w:ind w:left="709"/>
        <w:rPr>
          <w:rFonts w:ascii="Times New Roman" w:eastAsia="Calibri" w:hAnsi="Times New Roman"/>
          <w:color w:val="0D0D0D"/>
          <w:sz w:val="22"/>
          <w:szCs w:val="22"/>
        </w:rPr>
      </w:pPr>
      <w:r w:rsidRPr="00737DC2">
        <w:rPr>
          <w:rFonts w:ascii="Times New Roman" w:eastAsia="Calibri" w:hAnsi="Times New Roman"/>
          <w:color w:val="0D0D0D"/>
          <w:sz w:val="22"/>
          <w:szCs w:val="22"/>
        </w:rPr>
        <w:t>In accordance with the requirements of ISAs, BPK undertook preliminary procedures before commencing the initial audit engagement, including:</w:t>
      </w:r>
    </w:p>
    <w:p w14:paraId="3E7C1205" w14:textId="77777777" w:rsidR="00737DC2" w:rsidRPr="00737DC2" w:rsidRDefault="00737DC2" w:rsidP="00737DC2">
      <w:pPr>
        <w:numPr>
          <w:ilvl w:val="0"/>
          <w:numId w:val="5"/>
        </w:numPr>
        <w:spacing w:after="120" w:line="276" w:lineRule="auto"/>
        <w:jc w:val="left"/>
        <w:rPr>
          <w:rFonts w:ascii="Times New Roman" w:eastAsia="Calibri" w:hAnsi="Times New Roman"/>
          <w:color w:val="0D0D0D"/>
          <w:sz w:val="22"/>
          <w:szCs w:val="22"/>
        </w:rPr>
      </w:pPr>
      <w:r w:rsidRPr="00737DC2">
        <w:rPr>
          <w:rFonts w:ascii="Times New Roman" w:eastAsia="Calibri" w:hAnsi="Times New Roman"/>
          <w:color w:val="0D0D0D"/>
          <w:sz w:val="22"/>
          <w:szCs w:val="22"/>
        </w:rPr>
        <w:t>Preliminary understanding of the Union and its environment</w:t>
      </w:r>
    </w:p>
    <w:p w14:paraId="38CC3125" w14:textId="77777777" w:rsidR="00737DC2" w:rsidRPr="00737DC2" w:rsidRDefault="00737DC2" w:rsidP="00737DC2">
      <w:pPr>
        <w:spacing w:after="120" w:line="276" w:lineRule="auto"/>
        <w:ind w:left="1080"/>
        <w:rPr>
          <w:rFonts w:ascii="Times New Roman" w:eastAsia="Calibri" w:hAnsi="Times New Roman"/>
          <w:color w:val="0D0D0D"/>
          <w:sz w:val="22"/>
          <w:szCs w:val="22"/>
        </w:rPr>
      </w:pPr>
      <w:r w:rsidRPr="00737DC2">
        <w:rPr>
          <w:rFonts w:ascii="Times New Roman" w:eastAsia="Calibri" w:hAnsi="Times New Roman"/>
          <w:color w:val="0D0D0D"/>
          <w:sz w:val="22"/>
          <w:szCs w:val="22"/>
        </w:rPr>
        <w:t>BPK obtained an initial understanding of the Union’s operations, industry, regulatory environment, and internal control systems to assist in identifying and assessing the risks of material misstatement.</w:t>
      </w:r>
    </w:p>
    <w:p w14:paraId="0C861E6E" w14:textId="77777777" w:rsidR="00737DC2" w:rsidRPr="00737DC2" w:rsidRDefault="00737DC2" w:rsidP="00737DC2">
      <w:pPr>
        <w:numPr>
          <w:ilvl w:val="0"/>
          <w:numId w:val="5"/>
        </w:numPr>
        <w:spacing w:after="120" w:line="276" w:lineRule="auto"/>
        <w:jc w:val="left"/>
        <w:rPr>
          <w:rFonts w:ascii="Times New Roman" w:eastAsia="Calibri" w:hAnsi="Times New Roman"/>
          <w:color w:val="0D0D0D"/>
          <w:sz w:val="22"/>
          <w:szCs w:val="22"/>
        </w:rPr>
      </w:pPr>
      <w:r w:rsidRPr="00737DC2">
        <w:rPr>
          <w:rFonts w:ascii="Times New Roman" w:eastAsia="Calibri" w:hAnsi="Times New Roman"/>
          <w:color w:val="0D0D0D"/>
          <w:sz w:val="22"/>
          <w:szCs w:val="22"/>
        </w:rPr>
        <w:t>Agreement on terms of engagement</w:t>
      </w:r>
    </w:p>
    <w:p w14:paraId="104A081A" w14:textId="77777777" w:rsidR="00737DC2" w:rsidRPr="00737DC2" w:rsidRDefault="00737DC2" w:rsidP="00737DC2">
      <w:pPr>
        <w:spacing w:after="120" w:line="276" w:lineRule="auto"/>
        <w:ind w:left="1080"/>
        <w:rPr>
          <w:rFonts w:ascii="Times New Roman" w:eastAsia="Calibri" w:hAnsi="Times New Roman"/>
          <w:color w:val="0D0D0D"/>
          <w:sz w:val="22"/>
          <w:szCs w:val="22"/>
        </w:rPr>
      </w:pPr>
      <w:r w:rsidRPr="00737DC2">
        <w:rPr>
          <w:rFonts w:ascii="Times New Roman" w:eastAsia="Calibri" w:hAnsi="Times New Roman"/>
          <w:color w:val="0D0D0D"/>
          <w:sz w:val="22"/>
          <w:szCs w:val="22"/>
        </w:rPr>
        <w:t>A formal engagement letter outlining the scope, objectives, and responsibilities of BPK and the management was prepared and signed, thereby establishing a mutual understanding of the audit engagement terms.</w:t>
      </w:r>
    </w:p>
    <w:p w14:paraId="03259262" w14:textId="77777777" w:rsidR="00737DC2" w:rsidRPr="00737DC2" w:rsidRDefault="00737DC2" w:rsidP="00737DC2">
      <w:pPr>
        <w:numPr>
          <w:ilvl w:val="0"/>
          <w:numId w:val="5"/>
        </w:numPr>
        <w:spacing w:after="120" w:line="276" w:lineRule="auto"/>
        <w:jc w:val="left"/>
        <w:rPr>
          <w:rFonts w:ascii="Times New Roman" w:eastAsia="Calibri" w:hAnsi="Times New Roman"/>
          <w:color w:val="0D0D0D"/>
          <w:sz w:val="22"/>
          <w:szCs w:val="22"/>
        </w:rPr>
      </w:pPr>
      <w:r w:rsidRPr="00737DC2">
        <w:rPr>
          <w:rFonts w:ascii="Times New Roman" w:eastAsia="Calibri" w:hAnsi="Times New Roman"/>
          <w:color w:val="0D0D0D"/>
          <w:sz w:val="22"/>
          <w:szCs w:val="22"/>
        </w:rPr>
        <w:t>Assessment of independence and ethical compliance</w:t>
      </w:r>
    </w:p>
    <w:p w14:paraId="536D7146" w14:textId="77777777" w:rsidR="00737DC2" w:rsidRPr="00737DC2" w:rsidRDefault="00737DC2" w:rsidP="00737DC2">
      <w:pPr>
        <w:spacing w:after="120" w:line="276" w:lineRule="auto"/>
        <w:ind w:left="1080"/>
        <w:rPr>
          <w:rFonts w:ascii="Times New Roman" w:eastAsia="Calibri" w:hAnsi="Times New Roman"/>
          <w:color w:val="0D0D0D"/>
          <w:sz w:val="22"/>
          <w:szCs w:val="22"/>
        </w:rPr>
      </w:pPr>
      <w:r w:rsidRPr="00737DC2">
        <w:rPr>
          <w:rFonts w:ascii="Times New Roman" w:eastAsia="Calibri" w:hAnsi="Times New Roman"/>
          <w:color w:val="0D0D0D"/>
          <w:sz w:val="22"/>
          <w:szCs w:val="22"/>
        </w:rPr>
        <w:t>A review was conducted to confirm the auditor’s independence and compliance with relevant ethical requirements.</w:t>
      </w:r>
    </w:p>
    <w:p w14:paraId="289F62B3" w14:textId="77777777" w:rsidR="00737DC2" w:rsidRPr="00737DC2" w:rsidRDefault="00737DC2" w:rsidP="00737DC2">
      <w:pPr>
        <w:numPr>
          <w:ilvl w:val="0"/>
          <w:numId w:val="5"/>
        </w:numPr>
        <w:spacing w:after="120" w:line="276" w:lineRule="auto"/>
        <w:jc w:val="left"/>
        <w:rPr>
          <w:rFonts w:ascii="Times New Roman" w:eastAsia="Calibri" w:hAnsi="Times New Roman"/>
          <w:color w:val="0D0D0D"/>
          <w:sz w:val="22"/>
          <w:szCs w:val="22"/>
        </w:rPr>
      </w:pPr>
      <w:r w:rsidRPr="00737DC2">
        <w:rPr>
          <w:rFonts w:ascii="Times New Roman" w:eastAsia="Calibri" w:hAnsi="Times New Roman"/>
          <w:color w:val="0D0D0D"/>
          <w:sz w:val="22"/>
          <w:szCs w:val="22"/>
        </w:rPr>
        <w:t>Preliminary analytical procedures</w:t>
      </w:r>
    </w:p>
    <w:p w14:paraId="059A3676" w14:textId="77777777" w:rsidR="00737DC2" w:rsidRPr="00737DC2" w:rsidRDefault="00737DC2" w:rsidP="00737DC2">
      <w:pPr>
        <w:spacing w:after="120" w:line="276" w:lineRule="auto"/>
        <w:ind w:left="1080"/>
        <w:rPr>
          <w:rFonts w:ascii="Times New Roman" w:eastAsia="Calibri" w:hAnsi="Times New Roman"/>
          <w:color w:val="0D0D0D"/>
          <w:sz w:val="22"/>
          <w:szCs w:val="22"/>
        </w:rPr>
      </w:pPr>
      <w:r w:rsidRPr="00737DC2">
        <w:rPr>
          <w:rFonts w:ascii="Times New Roman" w:eastAsia="Calibri" w:hAnsi="Times New Roman"/>
          <w:color w:val="0D0D0D"/>
          <w:sz w:val="22"/>
          <w:szCs w:val="22"/>
        </w:rPr>
        <w:t>Initial analytical procedures were performed to assist in understanding the entity’s financial condition and to identify areas that may represent specific risks, consistent with the guidance in the standards.</w:t>
      </w:r>
    </w:p>
    <w:p w14:paraId="082800A5" w14:textId="77777777" w:rsidR="00737DC2" w:rsidRPr="00737DC2" w:rsidRDefault="00737DC2" w:rsidP="006F49CE">
      <w:pPr>
        <w:pStyle w:val="Heading3"/>
      </w:pPr>
      <w:bookmarkStart w:id="56" w:name="_Toc234408427"/>
      <w:bookmarkStart w:id="57" w:name="_Toc234409596"/>
      <w:bookmarkStart w:id="58" w:name="_Toc234419088"/>
      <w:r w:rsidRPr="00737DC2">
        <w:t>Financial overview</w:t>
      </w:r>
      <w:bookmarkEnd w:id="56"/>
      <w:bookmarkEnd w:id="57"/>
      <w:bookmarkEnd w:id="58"/>
    </w:p>
    <w:tbl>
      <w:tblPr>
        <w:tblStyle w:val="TableGrid1"/>
        <w:tblW w:w="0" w:type="auto"/>
        <w:jc w:val="center"/>
        <w:tblBorders>
          <w:insideH w:val="none" w:sz="0" w:space="0" w:color="auto"/>
          <w:insideV w:val="none" w:sz="0" w:space="0" w:color="auto"/>
        </w:tblBorders>
        <w:tblLook w:val="04A0" w:firstRow="1" w:lastRow="0" w:firstColumn="1" w:lastColumn="0" w:noHBand="0" w:noVBand="1"/>
      </w:tblPr>
      <w:tblGrid>
        <w:gridCol w:w="2972"/>
        <w:gridCol w:w="4541"/>
      </w:tblGrid>
      <w:tr w:rsidR="00737DC2" w:rsidRPr="00737DC2" w14:paraId="783F7187" w14:textId="77777777" w:rsidTr="00737DC2">
        <w:trPr>
          <w:trHeight w:val="454"/>
          <w:jc w:val="center"/>
        </w:trPr>
        <w:tc>
          <w:tcPr>
            <w:tcW w:w="7513" w:type="dxa"/>
            <w:gridSpan w:val="2"/>
            <w:tcBorders>
              <w:top w:val="single" w:sz="4" w:space="0" w:color="auto"/>
              <w:bottom w:val="single" w:sz="4" w:space="0" w:color="auto"/>
            </w:tcBorders>
            <w:shd w:val="clear" w:color="auto" w:fill="DAE9F7"/>
            <w:vAlign w:val="center"/>
          </w:tcPr>
          <w:p w14:paraId="01AD8121" w14:textId="77777777" w:rsidR="00737DC2" w:rsidRPr="00737DC2" w:rsidRDefault="00737DC2" w:rsidP="00BC6EC4">
            <w:pPr>
              <w:jc w:val="center"/>
            </w:pPr>
            <w:bookmarkStart w:id="59" w:name="_Toc231446309"/>
            <w:bookmarkStart w:id="60" w:name="_Toc234409597"/>
            <w:r w:rsidRPr="00737DC2">
              <w:rPr>
                <w:rFonts w:ascii="Times New Roman" w:hAnsi="Times New Roman"/>
                <w:b/>
                <w:bCs/>
                <w:color w:val="000000"/>
              </w:rPr>
              <w:t>Key facts</w:t>
            </w:r>
            <w:bookmarkEnd w:id="59"/>
            <w:bookmarkEnd w:id="60"/>
          </w:p>
        </w:tc>
      </w:tr>
      <w:tr w:rsidR="00737DC2" w:rsidRPr="00737DC2" w14:paraId="03834A45" w14:textId="77777777" w:rsidTr="00BD760D">
        <w:trPr>
          <w:trHeight w:val="454"/>
          <w:jc w:val="center"/>
        </w:trPr>
        <w:tc>
          <w:tcPr>
            <w:tcW w:w="2972" w:type="dxa"/>
            <w:tcBorders>
              <w:top w:val="single" w:sz="4" w:space="0" w:color="auto"/>
              <w:bottom w:val="single" w:sz="4" w:space="0" w:color="auto"/>
              <w:right w:val="none" w:sz="4" w:space="0" w:color="000000"/>
            </w:tcBorders>
            <w:vAlign w:val="center"/>
          </w:tcPr>
          <w:p w14:paraId="34F33E22" w14:textId="77777777" w:rsidR="00737DC2" w:rsidRPr="00737DC2" w:rsidRDefault="00737DC2" w:rsidP="00737DC2">
            <w:pPr>
              <w:spacing w:before="60" w:after="60"/>
              <w:jc w:val="right"/>
              <w:rPr>
                <w:rFonts w:ascii="Times New Roman" w:hAnsi="Times New Roman"/>
              </w:rPr>
            </w:pPr>
            <w:r w:rsidRPr="00737DC2">
              <w:rPr>
                <w:rFonts w:ascii="Times New Roman" w:hAnsi="Times New Roman"/>
              </w:rPr>
              <w:t>3,950 thousand Swiss francs</w:t>
            </w:r>
          </w:p>
        </w:tc>
        <w:tc>
          <w:tcPr>
            <w:tcW w:w="4541" w:type="dxa"/>
            <w:tcBorders>
              <w:top w:val="single" w:sz="4" w:space="0" w:color="auto"/>
              <w:left w:val="none" w:sz="4" w:space="0" w:color="000000"/>
              <w:bottom w:val="single" w:sz="4" w:space="0" w:color="auto"/>
            </w:tcBorders>
            <w:vAlign w:val="center"/>
          </w:tcPr>
          <w:p w14:paraId="72A37318" w14:textId="77777777" w:rsidR="00737DC2" w:rsidRPr="00737DC2" w:rsidRDefault="00737DC2" w:rsidP="00737DC2">
            <w:pPr>
              <w:spacing w:before="60" w:after="60"/>
              <w:rPr>
                <w:rFonts w:ascii="Times New Roman" w:hAnsi="Times New Roman"/>
              </w:rPr>
            </w:pPr>
            <w:r w:rsidRPr="00737DC2">
              <w:rPr>
                <w:rFonts w:ascii="Times New Roman" w:hAnsi="Times New Roman"/>
              </w:rPr>
              <w:t>Final Budget Revenue for 2025</w:t>
            </w:r>
          </w:p>
        </w:tc>
      </w:tr>
      <w:tr w:rsidR="00737DC2" w:rsidRPr="00737DC2" w14:paraId="4D98C464" w14:textId="77777777" w:rsidTr="00BD760D">
        <w:trPr>
          <w:trHeight w:val="454"/>
          <w:jc w:val="center"/>
        </w:trPr>
        <w:tc>
          <w:tcPr>
            <w:tcW w:w="2972" w:type="dxa"/>
            <w:tcBorders>
              <w:top w:val="single" w:sz="4" w:space="0" w:color="auto"/>
              <w:bottom w:val="single" w:sz="4" w:space="0" w:color="auto"/>
              <w:right w:val="none" w:sz="4" w:space="0" w:color="000000"/>
            </w:tcBorders>
            <w:vAlign w:val="center"/>
          </w:tcPr>
          <w:p w14:paraId="5EC4F7EE" w14:textId="77777777" w:rsidR="00737DC2" w:rsidRPr="00737DC2" w:rsidRDefault="00737DC2" w:rsidP="00737DC2">
            <w:pPr>
              <w:spacing w:before="60" w:after="60"/>
              <w:jc w:val="right"/>
              <w:rPr>
                <w:rFonts w:ascii="Times New Roman" w:hAnsi="Times New Roman"/>
              </w:rPr>
            </w:pPr>
            <w:r w:rsidRPr="00737DC2">
              <w:rPr>
                <w:rFonts w:ascii="Times New Roman" w:hAnsi="Times New Roman"/>
              </w:rPr>
              <w:t>3,950 thousand Swiss francs</w:t>
            </w:r>
          </w:p>
        </w:tc>
        <w:tc>
          <w:tcPr>
            <w:tcW w:w="4541" w:type="dxa"/>
            <w:tcBorders>
              <w:top w:val="single" w:sz="4" w:space="0" w:color="auto"/>
              <w:left w:val="none" w:sz="4" w:space="0" w:color="000000"/>
              <w:bottom w:val="single" w:sz="4" w:space="0" w:color="auto"/>
            </w:tcBorders>
            <w:vAlign w:val="center"/>
          </w:tcPr>
          <w:p w14:paraId="45684E83" w14:textId="77777777" w:rsidR="00737DC2" w:rsidRPr="00737DC2" w:rsidRDefault="00737DC2" w:rsidP="00737DC2">
            <w:pPr>
              <w:spacing w:before="60" w:after="60"/>
              <w:rPr>
                <w:rFonts w:ascii="Times New Roman" w:hAnsi="Times New Roman"/>
              </w:rPr>
            </w:pPr>
            <w:r w:rsidRPr="00737DC2">
              <w:rPr>
                <w:rFonts w:ascii="Times New Roman" w:hAnsi="Times New Roman"/>
              </w:rPr>
              <w:t>Final Budget Expenditure for 2025</w:t>
            </w:r>
          </w:p>
        </w:tc>
      </w:tr>
      <w:tr w:rsidR="00737DC2" w:rsidRPr="00737DC2" w14:paraId="4592BF8B" w14:textId="77777777" w:rsidTr="00BD760D">
        <w:trPr>
          <w:trHeight w:val="454"/>
          <w:jc w:val="center"/>
        </w:trPr>
        <w:tc>
          <w:tcPr>
            <w:tcW w:w="2972" w:type="dxa"/>
            <w:tcBorders>
              <w:top w:val="single" w:sz="4" w:space="0" w:color="auto"/>
              <w:bottom w:val="single" w:sz="4" w:space="0" w:color="auto"/>
              <w:right w:val="none" w:sz="4" w:space="0" w:color="000000"/>
            </w:tcBorders>
            <w:vAlign w:val="center"/>
          </w:tcPr>
          <w:p w14:paraId="78B31122" w14:textId="77777777" w:rsidR="00737DC2" w:rsidRPr="00737DC2" w:rsidRDefault="00737DC2" w:rsidP="00737DC2">
            <w:pPr>
              <w:spacing w:before="60" w:after="60"/>
              <w:jc w:val="right"/>
              <w:rPr>
                <w:rFonts w:ascii="Times New Roman" w:hAnsi="Times New Roman"/>
              </w:rPr>
            </w:pPr>
            <w:r w:rsidRPr="00737DC2">
              <w:rPr>
                <w:rFonts w:ascii="Times New Roman" w:hAnsi="Times New Roman"/>
              </w:rPr>
              <w:t>4,004 thousand Swiss francs</w:t>
            </w:r>
          </w:p>
        </w:tc>
        <w:tc>
          <w:tcPr>
            <w:tcW w:w="4541" w:type="dxa"/>
            <w:tcBorders>
              <w:top w:val="single" w:sz="4" w:space="0" w:color="auto"/>
              <w:left w:val="none" w:sz="4" w:space="0" w:color="000000"/>
              <w:bottom w:val="single" w:sz="4" w:space="0" w:color="auto"/>
            </w:tcBorders>
            <w:vAlign w:val="center"/>
          </w:tcPr>
          <w:p w14:paraId="08A53945" w14:textId="77777777" w:rsidR="00737DC2" w:rsidRPr="00737DC2" w:rsidRDefault="00737DC2" w:rsidP="00737DC2">
            <w:pPr>
              <w:spacing w:before="60" w:after="60"/>
              <w:rPr>
                <w:rFonts w:ascii="Times New Roman" w:hAnsi="Times New Roman"/>
              </w:rPr>
            </w:pPr>
            <w:r w:rsidRPr="00737DC2">
              <w:rPr>
                <w:rFonts w:ascii="Times New Roman" w:hAnsi="Times New Roman"/>
              </w:rPr>
              <w:t>Total Revenue reported in 2025</w:t>
            </w:r>
          </w:p>
        </w:tc>
      </w:tr>
      <w:tr w:rsidR="00737DC2" w:rsidRPr="00737DC2" w14:paraId="3B409151" w14:textId="77777777" w:rsidTr="00BD760D">
        <w:trPr>
          <w:trHeight w:val="454"/>
          <w:jc w:val="center"/>
        </w:trPr>
        <w:tc>
          <w:tcPr>
            <w:tcW w:w="2972" w:type="dxa"/>
            <w:tcBorders>
              <w:top w:val="single" w:sz="4" w:space="0" w:color="auto"/>
              <w:bottom w:val="single" w:sz="4" w:space="0" w:color="auto"/>
              <w:right w:val="none" w:sz="4" w:space="0" w:color="000000"/>
            </w:tcBorders>
            <w:vAlign w:val="center"/>
          </w:tcPr>
          <w:p w14:paraId="29CB092B" w14:textId="77777777" w:rsidR="00737DC2" w:rsidRPr="00737DC2" w:rsidRDefault="00737DC2" w:rsidP="00737DC2">
            <w:pPr>
              <w:spacing w:before="60" w:after="60"/>
              <w:jc w:val="right"/>
              <w:rPr>
                <w:rFonts w:ascii="Times New Roman" w:hAnsi="Times New Roman"/>
              </w:rPr>
            </w:pPr>
            <w:r w:rsidRPr="00737DC2">
              <w:rPr>
                <w:rFonts w:ascii="Times New Roman" w:hAnsi="Times New Roman"/>
              </w:rPr>
              <w:t>4,136 thousand Swiss francs</w:t>
            </w:r>
          </w:p>
        </w:tc>
        <w:tc>
          <w:tcPr>
            <w:tcW w:w="4541" w:type="dxa"/>
            <w:tcBorders>
              <w:top w:val="single" w:sz="4" w:space="0" w:color="auto"/>
              <w:left w:val="none" w:sz="4" w:space="0" w:color="000000"/>
              <w:bottom w:val="single" w:sz="4" w:space="0" w:color="auto"/>
            </w:tcBorders>
            <w:vAlign w:val="center"/>
          </w:tcPr>
          <w:p w14:paraId="6D2B9002" w14:textId="77777777" w:rsidR="00737DC2" w:rsidRPr="00737DC2" w:rsidRDefault="00737DC2" w:rsidP="00737DC2">
            <w:pPr>
              <w:spacing w:before="60" w:after="60"/>
              <w:rPr>
                <w:rFonts w:ascii="Times New Roman" w:hAnsi="Times New Roman"/>
              </w:rPr>
            </w:pPr>
            <w:r w:rsidRPr="00737DC2">
              <w:rPr>
                <w:rFonts w:ascii="Times New Roman" w:hAnsi="Times New Roman"/>
              </w:rPr>
              <w:t>Total Expenditure incurred in 2025</w:t>
            </w:r>
          </w:p>
        </w:tc>
      </w:tr>
      <w:tr w:rsidR="00737DC2" w:rsidRPr="00737DC2" w14:paraId="79FFACD1" w14:textId="77777777" w:rsidTr="00BD760D">
        <w:trPr>
          <w:trHeight w:val="454"/>
          <w:jc w:val="center"/>
        </w:trPr>
        <w:tc>
          <w:tcPr>
            <w:tcW w:w="2972" w:type="dxa"/>
            <w:tcBorders>
              <w:top w:val="single" w:sz="4" w:space="0" w:color="auto"/>
              <w:bottom w:val="single" w:sz="4" w:space="0" w:color="auto"/>
              <w:right w:val="none" w:sz="4" w:space="0" w:color="000000"/>
            </w:tcBorders>
            <w:vAlign w:val="center"/>
          </w:tcPr>
          <w:p w14:paraId="37139C2E" w14:textId="77777777" w:rsidR="00737DC2" w:rsidRPr="00737DC2" w:rsidRDefault="00737DC2" w:rsidP="00737DC2">
            <w:pPr>
              <w:spacing w:before="60" w:after="60"/>
              <w:jc w:val="right"/>
              <w:rPr>
                <w:rFonts w:ascii="Times New Roman" w:hAnsi="Times New Roman"/>
              </w:rPr>
            </w:pPr>
            <w:r w:rsidRPr="00737DC2">
              <w:rPr>
                <w:rFonts w:ascii="Times New Roman" w:hAnsi="Times New Roman"/>
              </w:rPr>
              <w:t xml:space="preserve"> -580 thousand Swiss francs</w:t>
            </w:r>
          </w:p>
        </w:tc>
        <w:tc>
          <w:tcPr>
            <w:tcW w:w="4541" w:type="dxa"/>
            <w:tcBorders>
              <w:top w:val="single" w:sz="4" w:space="0" w:color="auto"/>
              <w:left w:val="none" w:sz="4" w:space="0" w:color="000000"/>
              <w:bottom w:val="single" w:sz="4" w:space="0" w:color="auto"/>
            </w:tcBorders>
            <w:vAlign w:val="center"/>
          </w:tcPr>
          <w:p w14:paraId="065B5CB1" w14:textId="77777777" w:rsidR="00737DC2" w:rsidRPr="00737DC2" w:rsidRDefault="00737DC2" w:rsidP="00737DC2">
            <w:pPr>
              <w:spacing w:before="60" w:after="60"/>
              <w:rPr>
                <w:rFonts w:ascii="Times New Roman" w:hAnsi="Times New Roman"/>
              </w:rPr>
            </w:pPr>
            <w:r w:rsidRPr="00737DC2">
              <w:rPr>
                <w:rFonts w:ascii="Times New Roman" w:hAnsi="Times New Roman"/>
              </w:rPr>
              <w:t>Net Assets as of 31 December 2025</w:t>
            </w:r>
          </w:p>
        </w:tc>
      </w:tr>
      <w:tr w:rsidR="00737DC2" w:rsidRPr="00737DC2" w14:paraId="1EB9638D" w14:textId="77777777" w:rsidTr="00BD760D">
        <w:trPr>
          <w:trHeight w:val="454"/>
          <w:jc w:val="center"/>
        </w:trPr>
        <w:tc>
          <w:tcPr>
            <w:tcW w:w="2972" w:type="dxa"/>
            <w:tcBorders>
              <w:top w:val="single" w:sz="4" w:space="0" w:color="auto"/>
              <w:bottom w:val="single" w:sz="4" w:space="0" w:color="auto"/>
              <w:right w:val="none" w:sz="4" w:space="0" w:color="000000"/>
            </w:tcBorders>
            <w:vAlign w:val="center"/>
          </w:tcPr>
          <w:p w14:paraId="6095C8CE" w14:textId="77777777" w:rsidR="00737DC2" w:rsidRPr="00737DC2" w:rsidRDefault="00737DC2" w:rsidP="00737DC2">
            <w:pPr>
              <w:spacing w:before="60" w:after="60"/>
              <w:jc w:val="right"/>
              <w:rPr>
                <w:rFonts w:ascii="Times New Roman" w:hAnsi="Times New Roman"/>
              </w:rPr>
            </w:pPr>
            <w:r w:rsidRPr="00737DC2">
              <w:rPr>
                <w:rFonts w:ascii="Times New Roman" w:hAnsi="Times New Roman"/>
              </w:rPr>
              <w:t xml:space="preserve">  -132 thousand Swiss francs</w:t>
            </w:r>
          </w:p>
        </w:tc>
        <w:tc>
          <w:tcPr>
            <w:tcW w:w="4541" w:type="dxa"/>
            <w:tcBorders>
              <w:top w:val="single" w:sz="4" w:space="0" w:color="auto"/>
              <w:left w:val="none" w:sz="4" w:space="0" w:color="000000"/>
              <w:bottom w:val="single" w:sz="4" w:space="0" w:color="auto"/>
            </w:tcBorders>
            <w:vAlign w:val="center"/>
          </w:tcPr>
          <w:p w14:paraId="6D4582D7" w14:textId="77777777" w:rsidR="00737DC2" w:rsidRPr="00737DC2" w:rsidRDefault="00737DC2" w:rsidP="00737DC2">
            <w:pPr>
              <w:spacing w:before="60" w:after="60"/>
              <w:rPr>
                <w:rFonts w:ascii="Times New Roman" w:hAnsi="Times New Roman"/>
              </w:rPr>
            </w:pPr>
            <w:r w:rsidRPr="00737DC2">
              <w:rPr>
                <w:rFonts w:ascii="Times New Roman" w:hAnsi="Times New Roman"/>
              </w:rPr>
              <w:t>Operating Deficit</w:t>
            </w:r>
          </w:p>
        </w:tc>
      </w:tr>
    </w:tbl>
    <w:p w14:paraId="492CCBFF" w14:textId="77777777" w:rsidR="00737DC2" w:rsidRPr="00737DC2" w:rsidRDefault="00737DC2" w:rsidP="00737DC2">
      <w:pPr>
        <w:spacing w:after="120" w:line="276" w:lineRule="auto"/>
        <w:jc w:val="left"/>
        <w:rPr>
          <w:rFonts w:ascii="Times New Roman" w:eastAsia="Calibri" w:hAnsi="Times New Roman"/>
          <w:color w:val="000000"/>
          <w:sz w:val="22"/>
          <w:szCs w:val="22"/>
        </w:rPr>
      </w:pPr>
      <w:r w:rsidRPr="00737DC2">
        <w:rPr>
          <w:rFonts w:ascii="Times New Roman" w:eastAsia="Calibri" w:hAnsi="Times New Roman"/>
          <w:color w:val="000000"/>
          <w:sz w:val="22"/>
          <w:szCs w:val="22"/>
        </w:rPr>
        <w:br w:type="page" w:clear="all"/>
      </w:r>
    </w:p>
    <w:p w14:paraId="569AE32E" w14:textId="77777777" w:rsidR="00737DC2" w:rsidRPr="00737DC2" w:rsidRDefault="00737DC2" w:rsidP="00BC6EC4">
      <w:pPr>
        <w:pStyle w:val="Heading5"/>
      </w:pPr>
      <w:bookmarkStart w:id="61" w:name="_Toc229470751"/>
      <w:bookmarkStart w:id="62" w:name="_Toc231446310"/>
      <w:bookmarkStart w:id="63" w:name="_Toc234409598"/>
      <w:r w:rsidRPr="00737DC2">
        <w:lastRenderedPageBreak/>
        <w:t>Budgeting</w:t>
      </w:r>
      <w:bookmarkEnd w:id="61"/>
      <w:bookmarkEnd w:id="62"/>
      <w:bookmarkEnd w:id="63"/>
    </w:p>
    <w:p w14:paraId="0F0A4AFC" w14:textId="77777777" w:rsidR="00737DC2" w:rsidRPr="00737DC2" w:rsidRDefault="00737DC2" w:rsidP="00832B16">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 xml:space="preserve">The Union’s </w:t>
      </w:r>
      <w:r w:rsidRPr="00737DC2">
        <w:rPr>
          <w:rFonts w:ascii="Times New Roman" w:eastAsia="Calibri" w:hAnsi="Times New Roman"/>
          <w:color w:val="0D0D0D"/>
          <w:sz w:val="22"/>
          <w:szCs w:val="22"/>
        </w:rPr>
        <w:t>Program</w:t>
      </w:r>
      <w:r w:rsidRPr="00737DC2">
        <w:rPr>
          <w:rFonts w:ascii="Times New Roman" w:eastAsia="Calibri" w:hAnsi="Times New Roman"/>
          <w:sz w:val="22"/>
          <w:szCs w:val="22"/>
        </w:rPr>
        <w:t xml:space="preserve">  and Budget </w:t>
      </w:r>
      <w:proofErr w:type="gramStart"/>
      <w:r w:rsidRPr="00737DC2">
        <w:rPr>
          <w:rFonts w:ascii="Times New Roman" w:eastAsia="Calibri" w:hAnsi="Times New Roman"/>
          <w:sz w:val="22"/>
          <w:szCs w:val="22"/>
        </w:rPr>
        <w:t>is</w:t>
      </w:r>
      <w:proofErr w:type="gramEnd"/>
      <w:r w:rsidRPr="00737DC2">
        <w:rPr>
          <w:rFonts w:ascii="Times New Roman" w:eastAsia="Calibri" w:hAnsi="Times New Roman"/>
          <w:sz w:val="22"/>
          <w:szCs w:val="22"/>
        </w:rPr>
        <w:t xml:space="preserve"> prepared on a modified accrual basis and approved by the Council on a biennial basis. However, separate estimates are prepared for each of the two annual periods. Statement V provides a comparison between the approved budget and actual expenditure for the year 2025. A reconciliation of budgetary performance with the revenue and expense figures presented in the Statement of Financial Performance is presented in Note 12 to the financial statements.</w:t>
      </w:r>
    </w:p>
    <w:p w14:paraId="18EB4EE9" w14:textId="77777777" w:rsidR="00737DC2" w:rsidRPr="00737DC2" w:rsidRDefault="00737DC2" w:rsidP="00832B16">
      <w:pPr>
        <w:numPr>
          <w:ilvl w:val="0"/>
          <w:numId w:val="3"/>
        </w:numPr>
        <w:spacing w:after="120" w:line="276" w:lineRule="auto"/>
        <w:ind w:left="709"/>
        <w:rPr>
          <w:rFonts w:ascii="Times New Roman" w:eastAsia="Calibri" w:hAnsi="Times New Roman"/>
          <w:color w:val="000000"/>
          <w:sz w:val="22"/>
          <w:szCs w:val="22"/>
        </w:rPr>
      </w:pPr>
      <w:r w:rsidRPr="00737DC2">
        <w:rPr>
          <w:rFonts w:ascii="Times New Roman" w:eastAsia="Calibri" w:hAnsi="Times New Roman"/>
          <w:sz w:val="22"/>
          <w:szCs w:val="22"/>
        </w:rPr>
        <w:t>The Council approved the total biennial budget of 7,901 thousand Swiss francs for the 2024/25 biennium, which included an original appropriation of 3,950 thousand Swiss francs for the year 2025. There is no change to the final budget of 2025. Actual expenditure incurred of 3,759 thousand Swiss francs was within the final budget, however a shortfall of revenue resulted in a net budget deficit of 50 thousand Swiss francs for the year on a modified accrual basis.</w:t>
      </w:r>
    </w:p>
    <w:p w14:paraId="163EFE50" w14:textId="77777777" w:rsidR="00737DC2" w:rsidRPr="00737DC2" w:rsidRDefault="00737DC2" w:rsidP="00BC6EC4">
      <w:pPr>
        <w:pStyle w:val="Heading5"/>
      </w:pPr>
      <w:bookmarkStart w:id="64" w:name="_Toc229470752"/>
      <w:bookmarkStart w:id="65" w:name="_Toc231446311"/>
      <w:bookmarkStart w:id="66" w:name="_Toc234409599"/>
      <w:r w:rsidRPr="00737DC2">
        <w:t>Financial performance</w:t>
      </w:r>
      <w:bookmarkEnd w:id="64"/>
      <w:bookmarkEnd w:id="65"/>
      <w:bookmarkEnd w:id="66"/>
    </w:p>
    <w:p w14:paraId="09AF0959" w14:textId="77777777" w:rsidR="00737DC2" w:rsidRPr="00737DC2" w:rsidRDefault="00737DC2" w:rsidP="00832B16">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Under IPSAS, total revenue for the financial year 2025 was 4,004 thousand Swiss francs, a decrease of 4.9% compared to 4,210 thousand Swiss francs in 2024. Revenue was predominantly composed of assessed member contributions of 3,623 thousand Swiss francs (90.5%) and extra budgetary funds of 298 thousand Swiss francs (7.4%).</w:t>
      </w:r>
    </w:p>
    <w:p w14:paraId="1B065D59" w14:textId="77777777" w:rsidR="00737DC2" w:rsidRPr="00737DC2" w:rsidRDefault="00737DC2" w:rsidP="00832B16">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Total expenses for 2025 were 4,136 thousand Swiss francs, an increase of 4.7% compared to 3,950 thousand Swiss francs in 2024. The increase was primarily driven by higher personnel expenditure (up 12.3%) and higher contractual services expenses (up 5.0%). These were partly offset by a significant decrease in travel, training, and grants expenditure (down 64.1%).</w:t>
      </w:r>
    </w:p>
    <w:p w14:paraId="5E37D3C8" w14:textId="77777777" w:rsidR="00737DC2" w:rsidRPr="00737DC2" w:rsidRDefault="00737DC2" w:rsidP="00832B16">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The Union recorded a deficit of 132 thousand Swiss francs for 2025, compared to a surplus of 260 thousand Swiss francs in 2024. The swing from surplus to deficit was primarily driven by the increase in personnel expenditure and lower revenues.</w:t>
      </w:r>
    </w:p>
    <w:p w14:paraId="1EC47F31" w14:textId="77777777" w:rsidR="00737DC2" w:rsidRPr="00737DC2" w:rsidRDefault="00737DC2" w:rsidP="00BC6EC4">
      <w:pPr>
        <w:pStyle w:val="Heading5"/>
      </w:pPr>
      <w:bookmarkStart w:id="67" w:name="_Toc229470753"/>
      <w:bookmarkStart w:id="68" w:name="_Toc231446312"/>
      <w:bookmarkStart w:id="69" w:name="_Toc234409600"/>
      <w:r w:rsidRPr="00737DC2">
        <w:t>Financial position</w:t>
      </w:r>
      <w:bookmarkEnd w:id="67"/>
      <w:bookmarkEnd w:id="68"/>
      <w:bookmarkEnd w:id="69"/>
    </w:p>
    <w:p w14:paraId="735044FA" w14:textId="77777777" w:rsidR="00737DC2" w:rsidRPr="00737DC2" w:rsidRDefault="00737DC2" w:rsidP="00832B16">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 xml:space="preserve">As at 31 December 2025, the Union’s total assets were 5,211 thousand Swiss francs (2024: 5,920 thousand Swiss francs), consisting entirely of current assets: cash and cash equivalents of 5,017 thousand Swiss francs and accounts receivable of 195 thousand Swiss francs. The Union </w:t>
      </w:r>
      <w:proofErr w:type="gramStart"/>
      <w:r w:rsidRPr="00737DC2">
        <w:rPr>
          <w:rFonts w:ascii="Times New Roman" w:eastAsia="Calibri" w:hAnsi="Times New Roman"/>
          <w:sz w:val="22"/>
          <w:szCs w:val="22"/>
        </w:rPr>
        <w:t>holds</w:t>
      </w:r>
      <w:proofErr w:type="gramEnd"/>
      <w:r w:rsidRPr="00737DC2">
        <w:rPr>
          <w:rFonts w:ascii="Times New Roman" w:eastAsia="Calibri" w:hAnsi="Times New Roman"/>
          <w:sz w:val="22"/>
          <w:szCs w:val="22"/>
        </w:rPr>
        <w:t xml:space="preserve"> no non-current assets.</w:t>
      </w:r>
    </w:p>
    <w:p w14:paraId="69732447" w14:textId="77777777" w:rsidR="00737DC2" w:rsidRPr="00737DC2" w:rsidRDefault="00737DC2" w:rsidP="00832B16">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Total liabilities were 5,791 thousand Swiss francs (2024: 7,079 thousand Swiss francs), comprising current liabilities of 2,163 thousand Swiss francs and non-current liabilities of 3,628 thousand Swiss francs. The non-current liabilities consist entirely of long-term employee benefit obligations. The largest component is the non-current portion of the After Service Health Insurance (ASHI) net liability, which amounts to 3,453 thousand Swiss francs.</w:t>
      </w:r>
    </w:p>
    <w:p w14:paraId="0143A292" w14:textId="77777777" w:rsidR="00737DC2" w:rsidRPr="00737DC2" w:rsidRDefault="00737DC2" w:rsidP="00832B16">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Net assets improved from negative 1,159 thousand Swiss francs in 2024 to negative 580 thousand Swiss francs in 2025, primarily driven by actuarial gains of 709 thousand Swiss francs on the ASHI defined benefit obligation, resulting from favorable changes in actuarial assumptions and experience adjustments.</w:t>
      </w:r>
    </w:p>
    <w:p w14:paraId="1AC0684C" w14:textId="77777777" w:rsidR="00737DC2" w:rsidRPr="00737DC2" w:rsidRDefault="00737DC2" w:rsidP="00737DC2">
      <w:pPr>
        <w:spacing w:after="120" w:line="276" w:lineRule="auto"/>
        <w:jc w:val="left"/>
        <w:rPr>
          <w:rFonts w:ascii="Times New Roman" w:eastAsia="Calibri" w:hAnsi="Times New Roman"/>
          <w:b/>
          <w:bCs/>
          <w:color w:val="000000"/>
          <w:sz w:val="22"/>
          <w:szCs w:val="22"/>
        </w:rPr>
      </w:pPr>
      <w:bookmarkStart w:id="70" w:name="_Toc229470754"/>
      <w:bookmarkStart w:id="71" w:name="_Toc231446313"/>
      <w:r w:rsidRPr="00737DC2">
        <w:rPr>
          <w:rFonts w:ascii="Calibri" w:eastAsia="Calibri" w:hAnsi="Calibri" w:cs="Calibri"/>
          <w:sz w:val="22"/>
          <w:szCs w:val="22"/>
        </w:rPr>
        <w:br w:type="page" w:clear="all"/>
      </w:r>
    </w:p>
    <w:p w14:paraId="626DFA5C" w14:textId="77777777" w:rsidR="00737DC2" w:rsidRPr="00737DC2" w:rsidRDefault="00737DC2" w:rsidP="00BC6EC4">
      <w:pPr>
        <w:pStyle w:val="Heading5"/>
      </w:pPr>
      <w:bookmarkStart w:id="72" w:name="_Toc234409601"/>
      <w:r w:rsidRPr="00737DC2">
        <w:lastRenderedPageBreak/>
        <w:t>Financial health</w:t>
      </w:r>
      <w:bookmarkEnd w:id="70"/>
      <w:bookmarkEnd w:id="71"/>
      <w:bookmarkEnd w:id="72"/>
    </w:p>
    <w:p w14:paraId="302A7D18" w14:textId="77777777" w:rsidR="00737DC2" w:rsidRPr="00737DC2" w:rsidRDefault="00737DC2" w:rsidP="00832B16">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The Union’s key financial ratios are presented in Table 1 below. The current ratio of 2.41 (2024: 3.44) indicates that the Union can cover its current liabilities, though the decline reflects an increase in advance receipts and higher employee benefit. The days cash on hand ratio of 443 days (2024: 538 days) remains robust, indicating strong short-term liquidity despite the decrease.</w:t>
      </w:r>
    </w:p>
    <w:p w14:paraId="690DBF75" w14:textId="77777777" w:rsidR="00737DC2" w:rsidRPr="00737DC2" w:rsidRDefault="00737DC2" w:rsidP="00BC6EC4">
      <w:pPr>
        <w:pStyle w:val="TableofFigures"/>
      </w:pPr>
      <w:bookmarkStart w:id="73" w:name="_Toc234408129"/>
      <w:bookmarkStart w:id="74" w:name="_Toc234411184"/>
      <w:r w:rsidRPr="00737DC2">
        <w:t xml:space="preserve">Table </w:t>
      </w:r>
      <w:fldSimple w:instr=" SEQ Table \* ARABIC ">
        <w:r w:rsidRPr="00737DC2">
          <w:rPr>
            <w:noProof/>
          </w:rPr>
          <w:t>1</w:t>
        </w:r>
      </w:fldSimple>
      <w:r w:rsidRPr="00737DC2">
        <w:t xml:space="preserve"> The Union’s Financial Ratios (2021-2025)</w:t>
      </w:r>
      <w:bookmarkEnd w:id="73"/>
      <w:bookmarkEnd w:id="74"/>
    </w:p>
    <w:tbl>
      <w:tblPr>
        <w:tblpPr w:leftFromText="180" w:rightFromText="180" w:vertAnchor="text" w:horzAnchor="margin" w:tblpX="421" w:tblpY="333"/>
        <w:tblW w:w="8642" w:type="dxa"/>
        <w:tblLook w:val="04A0" w:firstRow="1" w:lastRow="0" w:firstColumn="1" w:lastColumn="0" w:noHBand="0" w:noVBand="1"/>
      </w:tblPr>
      <w:tblGrid>
        <w:gridCol w:w="2995"/>
        <w:gridCol w:w="1106"/>
        <w:gridCol w:w="1106"/>
        <w:gridCol w:w="1360"/>
        <w:gridCol w:w="1121"/>
        <w:gridCol w:w="954"/>
      </w:tblGrid>
      <w:tr w:rsidR="00737DC2" w:rsidRPr="00737DC2" w14:paraId="63BF9C12" w14:textId="77777777" w:rsidTr="00737DC2">
        <w:trPr>
          <w:trHeight w:val="20"/>
          <w:tblHeader/>
        </w:trPr>
        <w:tc>
          <w:tcPr>
            <w:tcW w:w="2995" w:type="dxa"/>
            <w:vMerge w:val="restart"/>
            <w:tcBorders>
              <w:top w:val="single" w:sz="4" w:space="0" w:color="auto"/>
              <w:left w:val="single" w:sz="4" w:space="0" w:color="auto"/>
              <w:right w:val="none" w:sz="4" w:space="0" w:color="000000"/>
            </w:tcBorders>
            <w:shd w:val="clear" w:color="auto" w:fill="DAE9F7"/>
            <w:noWrap/>
            <w:vAlign w:val="center"/>
          </w:tcPr>
          <w:p w14:paraId="4F76DF1E" w14:textId="77777777" w:rsidR="00737DC2" w:rsidRPr="00737DC2" w:rsidRDefault="00737DC2" w:rsidP="00737DC2">
            <w:pPr>
              <w:spacing w:line="240" w:lineRule="exact"/>
              <w:jc w:val="center"/>
              <w:rPr>
                <w:rFonts w:cs="Arial"/>
                <w:b/>
                <w:bCs/>
                <w:color w:val="000000"/>
                <w:sz w:val="16"/>
                <w:szCs w:val="16"/>
              </w:rPr>
            </w:pPr>
            <w:bookmarkStart w:id="75" w:name="_Toc161320395"/>
            <w:r w:rsidRPr="00737DC2">
              <w:rPr>
                <w:rFonts w:cs="Arial"/>
                <w:b/>
                <w:bCs/>
                <w:color w:val="000000"/>
                <w:sz w:val="16"/>
                <w:szCs w:val="16"/>
              </w:rPr>
              <w:t>Description of ratio</w:t>
            </w:r>
          </w:p>
        </w:tc>
        <w:tc>
          <w:tcPr>
            <w:tcW w:w="5647" w:type="dxa"/>
            <w:gridSpan w:val="5"/>
            <w:tcBorders>
              <w:top w:val="single" w:sz="4" w:space="0" w:color="auto"/>
              <w:left w:val="none" w:sz="4" w:space="0" w:color="000000"/>
              <w:bottom w:val="none" w:sz="4" w:space="0" w:color="000000"/>
              <w:right w:val="single" w:sz="4" w:space="0" w:color="auto"/>
            </w:tcBorders>
            <w:shd w:val="clear" w:color="auto" w:fill="DAE9F7"/>
            <w:noWrap/>
            <w:vAlign w:val="center"/>
          </w:tcPr>
          <w:p w14:paraId="1E5A6628" w14:textId="77777777" w:rsidR="00737DC2" w:rsidRPr="00737DC2" w:rsidRDefault="00737DC2" w:rsidP="00737DC2">
            <w:pPr>
              <w:spacing w:line="240" w:lineRule="exact"/>
              <w:jc w:val="center"/>
              <w:rPr>
                <w:rFonts w:cs="Arial"/>
                <w:b/>
                <w:bCs/>
                <w:color w:val="000000"/>
                <w:sz w:val="16"/>
                <w:szCs w:val="16"/>
              </w:rPr>
            </w:pPr>
            <w:r w:rsidRPr="00737DC2">
              <w:rPr>
                <w:rFonts w:cs="Arial"/>
                <w:b/>
                <w:bCs/>
                <w:color w:val="000000"/>
                <w:sz w:val="16"/>
                <w:szCs w:val="16"/>
              </w:rPr>
              <w:t>Year</w:t>
            </w:r>
          </w:p>
          <w:p w14:paraId="0D0DC15C" w14:textId="77777777" w:rsidR="00737DC2" w:rsidRPr="00737DC2" w:rsidRDefault="00737DC2" w:rsidP="00737DC2">
            <w:pPr>
              <w:spacing w:line="240" w:lineRule="exact"/>
              <w:jc w:val="center"/>
              <w:rPr>
                <w:rFonts w:cs="Arial"/>
                <w:b/>
                <w:bCs/>
                <w:color w:val="000000"/>
                <w:sz w:val="16"/>
                <w:szCs w:val="16"/>
              </w:rPr>
            </w:pPr>
          </w:p>
        </w:tc>
      </w:tr>
      <w:tr w:rsidR="00737DC2" w:rsidRPr="00737DC2" w14:paraId="72EC5E0A" w14:textId="77777777" w:rsidTr="00737DC2">
        <w:trPr>
          <w:trHeight w:val="20"/>
          <w:tblHeader/>
        </w:trPr>
        <w:tc>
          <w:tcPr>
            <w:tcW w:w="2995" w:type="dxa"/>
            <w:vMerge/>
            <w:tcBorders>
              <w:left w:val="single" w:sz="4" w:space="0" w:color="auto"/>
              <w:bottom w:val="single" w:sz="8" w:space="0" w:color="auto"/>
            </w:tcBorders>
            <w:shd w:val="clear" w:color="auto" w:fill="DAE9F7"/>
            <w:noWrap/>
            <w:vAlign w:val="center"/>
          </w:tcPr>
          <w:p w14:paraId="48D33A7A" w14:textId="77777777" w:rsidR="00737DC2" w:rsidRPr="00737DC2" w:rsidRDefault="00737DC2" w:rsidP="00737DC2">
            <w:pPr>
              <w:spacing w:line="240" w:lineRule="exact"/>
              <w:jc w:val="center"/>
              <w:rPr>
                <w:rFonts w:cs="Arial"/>
                <w:b/>
                <w:bCs/>
                <w:color w:val="000000"/>
                <w:sz w:val="16"/>
                <w:szCs w:val="16"/>
              </w:rPr>
            </w:pPr>
          </w:p>
        </w:tc>
        <w:tc>
          <w:tcPr>
            <w:tcW w:w="1106" w:type="dxa"/>
            <w:tcBorders>
              <w:top w:val="none" w:sz="4" w:space="0" w:color="000000"/>
              <w:left w:val="none" w:sz="4" w:space="0" w:color="000000"/>
              <w:bottom w:val="single" w:sz="8" w:space="0" w:color="auto"/>
              <w:right w:val="none" w:sz="4" w:space="0" w:color="000000"/>
            </w:tcBorders>
            <w:shd w:val="clear" w:color="auto" w:fill="DAE9F7"/>
            <w:noWrap/>
            <w:vAlign w:val="center"/>
          </w:tcPr>
          <w:p w14:paraId="6A772F49" w14:textId="77777777" w:rsidR="00737DC2" w:rsidRPr="00737DC2" w:rsidRDefault="00737DC2" w:rsidP="00737DC2">
            <w:pPr>
              <w:spacing w:line="240" w:lineRule="exact"/>
              <w:jc w:val="center"/>
              <w:rPr>
                <w:rFonts w:cs="Arial"/>
                <w:b/>
                <w:bCs/>
                <w:color w:val="000000"/>
                <w:sz w:val="16"/>
                <w:szCs w:val="16"/>
              </w:rPr>
            </w:pPr>
            <w:r w:rsidRPr="00737DC2">
              <w:rPr>
                <w:rFonts w:cs="Arial"/>
                <w:b/>
                <w:bCs/>
                <w:color w:val="000000"/>
                <w:sz w:val="16"/>
                <w:szCs w:val="16"/>
              </w:rPr>
              <w:t>2025</w:t>
            </w:r>
          </w:p>
        </w:tc>
        <w:tc>
          <w:tcPr>
            <w:tcW w:w="1106" w:type="dxa"/>
            <w:tcBorders>
              <w:top w:val="none" w:sz="4" w:space="0" w:color="000000"/>
              <w:left w:val="none" w:sz="4" w:space="0" w:color="000000"/>
              <w:bottom w:val="single" w:sz="8" w:space="0" w:color="auto"/>
              <w:right w:val="none" w:sz="4" w:space="0" w:color="000000"/>
            </w:tcBorders>
            <w:shd w:val="clear" w:color="auto" w:fill="DAE9F7"/>
            <w:noWrap/>
            <w:vAlign w:val="center"/>
          </w:tcPr>
          <w:p w14:paraId="795E02F8" w14:textId="77777777" w:rsidR="00737DC2" w:rsidRPr="00737DC2" w:rsidRDefault="00737DC2" w:rsidP="00737DC2">
            <w:pPr>
              <w:spacing w:line="240" w:lineRule="exact"/>
              <w:jc w:val="center"/>
              <w:rPr>
                <w:rFonts w:cs="Arial"/>
                <w:b/>
                <w:bCs/>
                <w:color w:val="000000"/>
                <w:sz w:val="16"/>
                <w:szCs w:val="16"/>
              </w:rPr>
            </w:pPr>
            <w:r w:rsidRPr="00737DC2">
              <w:rPr>
                <w:rFonts w:cs="Arial"/>
                <w:b/>
                <w:bCs/>
                <w:color w:val="000000"/>
                <w:sz w:val="16"/>
                <w:szCs w:val="16"/>
              </w:rPr>
              <w:t>2024</w:t>
            </w:r>
          </w:p>
        </w:tc>
        <w:tc>
          <w:tcPr>
            <w:tcW w:w="1360" w:type="dxa"/>
            <w:tcBorders>
              <w:top w:val="none" w:sz="4" w:space="0" w:color="000000"/>
              <w:left w:val="none" w:sz="4" w:space="0" w:color="000000"/>
              <w:bottom w:val="single" w:sz="8" w:space="0" w:color="auto"/>
              <w:right w:val="none" w:sz="4" w:space="0" w:color="000000"/>
            </w:tcBorders>
            <w:shd w:val="clear" w:color="auto" w:fill="DAE9F7"/>
            <w:noWrap/>
            <w:vAlign w:val="center"/>
          </w:tcPr>
          <w:p w14:paraId="26A4E32D" w14:textId="77777777" w:rsidR="00737DC2" w:rsidRPr="00737DC2" w:rsidRDefault="00737DC2" w:rsidP="00737DC2">
            <w:pPr>
              <w:spacing w:line="240" w:lineRule="exact"/>
              <w:jc w:val="center"/>
              <w:rPr>
                <w:rFonts w:cs="Arial"/>
                <w:b/>
                <w:bCs/>
                <w:color w:val="000000"/>
                <w:sz w:val="16"/>
                <w:szCs w:val="16"/>
              </w:rPr>
            </w:pPr>
            <w:r w:rsidRPr="00737DC2">
              <w:rPr>
                <w:rFonts w:cs="Arial"/>
                <w:b/>
                <w:bCs/>
                <w:color w:val="000000"/>
                <w:sz w:val="16"/>
                <w:szCs w:val="16"/>
              </w:rPr>
              <w:t xml:space="preserve">2023 </w:t>
            </w:r>
          </w:p>
        </w:tc>
        <w:tc>
          <w:tcPr>
            <w:tcW w:w="1121" w:type="dxa"/>
            <w:tcBorders>
              <w:top w:val="none" w:sz="4" w:space="0" w:color="000000"/>
              <w:left w:val="none" w:sz="4" w:space="0" w:color="000000"/>
              <w:bottom w:val="single" w:sz="8" w:space="0" w:color="auto"/>
              <w:right w:val="none" w:sz="4" w:space="0" w:color="000000"/>
            </w:tcBorders>
            <w:shd w:val="clear" w:color="auto" w:fill="DAE9F7"/>
            <w:noWrap/>
            <w:vAlign w:val="center"/>
          </w:tcPr>
          <w:p w14:paraId="1EABEB39" w14:textId="77777777" w:rsidR="00737DC2" w:rsidRPr="00737DC2" w:rsidRDefault="00737DC2" w:rsidP="00737DC2">
            <w:pPr>
              <w:spacing w:line="240" w:lineRule="exact"/>
              <w:jc w:val="center"/>
              <w:rPr>
                <w:rFonts w:cs="Arial"/>
                <w:b/>
                <w:bCs/>
                <w:color w:val="000000"/>
                <w:sz w:val="16"/>
                <w:szCs w:val="16"/>
              </w:rPr>
            </w:pPr>
            <w:r w:rsidRPr="00737DC2">
              <w:rPr>
                <w:rFonts w:cs="Arial"/>
                <w:b/>
                <w:bCs/>
                <w:color w:val="000000"/>
                <w:sz w:val="16"/>
                <w:szCs w:val="16"/>
              </w:rPr>
              <w:t xml:space="preserve">2022 </w:t>
            </w:r>
          </w:p>
        </w:tc>
        <w:tc>
          <w:tcPr>
            <w:tcW w:w="954" w:type="dxa"/>
            <w:tcBorders>
              <w:top w:val="none" w:sz="4" w:space="0" w:color="000000"/>
              <w:left w:val="none" w:sz="4" w:space="0" w:color="000000"/>
              <w:bottom w:val="single" w:sz="8" w:space="0" w:color="auto"/>
              <w:right w:val="single" w:sz="4" w:space="0" w:color="auto"/>
            </w:tcBorders>
            <w:shd w:val="clear" w:color="auto" w:fill="DAE9F7"/>
            <w:noWrap/>
            <w:vAlign w:val="center"/>
          </w:tcPr>
          <w:p w14:paraId="446BB430" w14:textId="77777777" w:rsidR="00737DC2" w:rsidRPr="00737DC2" w:rsidRDefault="00737DC2" w:rsidP="00737DC2">
            <w:pPr>
              <w:spacing w:line="240" w:lineRule="exact"/>
              <w:jc w:val="center"/>
              <w:rPr>
                <w:rFonts w:cs="Arial"/>
                <w:b/>
                <w:bCs/>
                <w:color w:val="000000"/>
                <w:sz w:val="16"/>
                <w:szCs w:val="16"/>
              </w:rPr>
            </w:pPr>
            <w:r w:rsidRPr="00737DC2">
              <w:rPr>
                <w:rFonts w:cs="Arial"/>
                <w:b/>
                <w:bCs/>
                <w:color w:val="000000"/>
                <w:sz w:val="16"/>
                <w:szCs w:val="16"/>
              </w:rPr>
              <w:t>2021</w:t>
            </w:r>
          </w:p>
        </w:tc>
      </w:tr>
      <w:tr w:rsidR="00737DC2" w:rsidRPr="00737DC2" w14:paraId="5A040290" w14:textId="77777777" w:rsidTr="00BD760D">
        <w:trPr>
          <w:trHeight w:val="20"/>
        </w:trPr>
        <w:tc>
          <w:tcPr>
            <w:tcW w:w="2995" w:type="dxa"/>
            <w:tcBorders>
              <w:top w:val="single" w:sz="8" w:space="0" w:color="auto"/>
              <w:left w:val="single" w:sz="4" w:space="0" w:color="auto"/>
              <w:bottom w:val="none" w:sz="4" w:space="0" w:color="000000"/>
              <w:right w:val="none" w:sz="4" w:space="0" w:color="000000"/>
            </w:tcBorders>
            <w:vAlign w:val="center"/>
          </w:tcPr>
          <w:p w14:paraId="70E0A635" w14:textId="77777777" w:rsidR="00737DC2" w:rsidRPr="00737DC2" w:rsidRDefault="00737DC2" w:rsidP="00737DC2">
            <w:pPr>
              <w:spacing w:line="240" w:lineRule="exact"/>
              <w:jc w:val="left"/>
              <w:rPr>
                <w:rFonts w:cs="Arial"/>
                <w:b/>
                <w:bCs/>
                <w:color w:val="000000"/>
                <w:sz w:val="16"/>
                <w:szCs w:val="16"/>
              </w:rPr>
            </w:pPr>
            <w:r w:rsidRPr="00737DC2">
              <w:rPr>
                <w:rFonts w:cs="Arial"/>
                <w:b/>
                <w:bCs/>
                <w:color w:val="000000"/>
                <w:sz w:val="16"/>
                <w:szCs w:val="16"/>
              </w:rPr>
              <w:t>Current ratio</w:t>
            </w:r>
            <w:r w:rsidRPr="00737DC2">
              <w:rPr>
                <w:rFonts w:cs="Arial"/>
                <w:b/>
                <w:bCs/>
                <w:color w:val="000000"/>
                <w:sz w:val="16"/>
                <w:szCs w:val="16"/>
                <w:vertAlign w:val="superscript"/>
              </w:rPr>
              <w:t>1</w:t>
            </w:r>
          </w:p>
        </w:tc>
        <w:tc>
          <w:tcPr>
            <w:tcW w:w="1106" w:type="dxa"/>
            <w:tcBorders>
              <w:top w:val="single" w:sz="8" w:space="0" w:color="auto"/>
              <w:left w:val="none" w:sz="4" w:space="0" w:color="000000"/>
              <w:bottom w:val="none" w:sz="4" w:space="0" w:color="000000"/>
              <w:right w:val="none" w:sz="4" w:space="0" w:color="000000"/>
            </w:tcBorders>
            <w:vAlign w:val="center"/>
          </w:tcPr>
          <w:p w14:paraId="755533C4" w14:textId="77777777" w:rsidR="00737DC2" w:rsidRPr="00737DC2" w:rsidRDefault="00737DC2" w:rsidP="00737DC2">
            <w:pPr>
              <w:spacing w:line="240" w:lineRule="exact"/>
              <w:jc w:val="left"/>
              <w:rPr>
                <w:rFonts w:cs="Arial"/>
                <w:b/>
                <w:bCs/>
                <w:color w:val="000000"/>
                <w:sz w:val="16"/>
                <w:szCs w:val="16"/>
              </w:rPr>
            </w:pPr>
          </w:p>
        </w:tc>
        <w:tc>
          <w:tcPr>
            <w:tcW w:w="1106" w:type="dxa"/>
            <w:tcBorders>
              <w:top w:val="single" w:sz="8" w:space="0" w:color="auto"/>
              <w:left w:val="none" w:sz="4" w:space="0" w:color="000000"/>
              <w:bottom w:val="none" w:sz="4" w:space="0" w:color="000000"/>
              <w:right w:val="none" w:sz="4" w:space="0" w:color="000000"/>
            </w:tcBorders>
            <w:noWrap/>
            <w:vAlign w:val="center"/>
          </w:tcPr>
          <w:p w14:paraId="60AFD16D" w14:textId="77777777" w:rsidR="00737DC2" w:rsidRPr="00737DC2" w:rsidRDefault="00737DC2" w:rsidP="00737DC2">
            <w:pPr>
              <w:spacing w:line="240" w:lineRule="exact"/>
              <w:jc w:val="left"/>
              <w:rPr>
                <w:rFonts w:cs="Arial"/>
                <w:sz w:val="16"/>
                <w:szCs w:val="16"/>
              </w:rPr>
            </w:pPr>
          </w:p>
        </w:tc>
        <w:tc>
          <w:tcPr>
            <w:tcW w:w="1360" w:type="dxa"/>
            <w:tcBorders>
              <w:top w:val="single" w:sz="8" w:space="0" w:color="auto"/>
              <w:left w:val="none" w:sz="4" w:space="0" w:color="000000"/>
              <w:bottom w:val="none" w:sz="4" w:space="0" w:color="000000"/>
              <w:right w:val="none" w:sz="4" w:space="0" w:color="000000"/>
            </w:tcBorders>
            <w:noWrap/>
            <w:vAlign w:val="center"/>
          </w:tcPr>
          <w:p w14:paraId="540219BD" w14:textId="77777777" w:rsidR="00737DC2" w:rsidRPr="00737DC2" w:rsidRDefault="00737DC2" w:rsidP="00737DC2">
            <w:pPr>
              <w:spacing w:line="240" w:lineRule="exact"/>
              <w:jc w:val="left"/>
              <w:rPr>
                <w:rFonts w:cs="Arial"/>
                <w:sz w:val="16"/>
                <w:szCs w:val="16"/>
              </w:rPr>
            </w:pPr>
          </w:p>
        </w:tc>
        <w:tc>
          <w:tcPr>
            <w:tcW w:w="1121" w:type="dxa"/>
            <w:tcBorders>
              <w:top w:val="single" w:sz="8" w:space="0" w:color="auto"/>
              <w:left w:val="none" w:sz="4" w:space="0" w:color="000000"/>
              <w:bottom w:val="none" w:sz="4" w:space="0" w:color="000000"/>
              <w:right w:val="none" w:sz="4" w:space="0" w:color="000000"/>
            </w:tcBorders>
            <w:noWrap/>
            <w:vAlign w:val="center"/>
          </w:tcPr>
          <w:p w14:paraId="6FA24B03" w14:textId="77777777" w:rsidR="00737DC2" w:rsidRPr="00737DC2" w:rsidRDefault="00737DC2" w:rsidP="00737DC2">
            <w:pPr>
              <w:spacing w:line="240" w:lineRule="exact"/>
              <w:jc w:val="left"/>
              <w:rPr>
                <w:rFonts w:cs="Arial"/>
                <w:sz w:val="16"/>
                <w:szCs w:val="16"/>
              </w:rPr>
            </w:pPr>
          </w:p>
        </w:tc>
        <w:tc>
          <w:tcPr>
            <w:tcW w:w="954" w:type="dxa"/>
            <w:tcBorders>
              <w:top w:val="single" w:sz="8" w:space="0" w:color="auto"/>
              <w:left w:val="none" w:sz="4" w:space="0" w:color="000000"/>
              <w:bottom w:val="none" w:sz="4" w:space="0" w:color="000000"/>
              <w:right w:val="single" w:sz="4" w:space="0" w:color="auto"/>
            </w:tcBorders>
            <w:noWrap/>
            <w:vAlign w:val="center"/>
          </w:tcPr>
          <w:p w14:paraId="4024ACBF" w14:textId="77777777" w:rsidR="00737DC2" w:rsidRPr="00737DC2" w:rsidRDefault="00737DC2" w:rsidP="00737DC2">
            <w:pPr>
              <w:spacing w:line="240" w:lineRule="exact"/>
              <w:jc w:val="left"/>
              <w:rPr>
                <w:rFonts w:cs="Arial"/>
                <w:sz w:val="16"/>
                <w:szCs w:val="16"/>
              </w:rPr>
            </w:pPr>
          </w:p>
        </w:tc>
      </w:tr>
      <w:tr w:rsidR="00737DC2" w:rsidRPr="00737DC2" w14:paraId="0CD66D7B" w14:textId="77777777" w:rsidTr="00BD760D">
        <w:trPr>
          <w:trHeight w:val="20"/>
        </w:trPr>
        <w:tc>
          <w:tcPr>
            <w:tcW w:w="2995" w:type="dxa"/>
            <w:tcBorders>
              <w:top w:val="none" w:sz="4" w:space="0" w:color="000000"/>
              <w:left w:val="single" w:sz="4" w:space="0" w:color="auto"/>
              <w:bottom w:val="single" w:sz="4" w:space="0" w:color="auto"/>
              <w:right w:val="none" w:sz="4" w:space="0" w:color="000000"/>
            </w:tcBorders>
            <w:vAlign w:val="center"/>
          </w:tcPr>
          <w:p w14:paraId="66E32CB8" w14:textId="77777777" w:rsidR="00737DC2" w:rsidRPr="00737DC2" w:rsidRDefault="00737DC2" w:rsidP="00737DC2">
            <w:pPr>
              <w:spacing w:line="240" w:lineRule="exact"/>
              <w:jc w:val="left"/>
              <w:rPr>
                <w:rFonts w:cs="Arial"/>
                <w:color w:val="000000"/>
                <w:sz w:val="16"/>
                <w:szCs w:val="16"/>
              </w:rPr>
            </w:pPr>
            <w:r w:rsidRPr="00737DC2">
              <w:rPr>
                <w:rFonts w:cs="Arial"/>
                <w:color w:val="000000"/>
                <w:sz w:val="16"/>
                <w:szCs w:val="16"/>
              </w:rPr>
              <w:t>Current assets : Current liabilities</w:t>
            </w:r>
          </w:p>
        </w:tc>
        <w:tc>
          <w:tcPr>
            <w:tcW w:w="1106" w:type="dxa"/>
            <w:tcBorders>
              <w:top w:val="none" w:sz="4" w:space="0" w:color="000000"/>
              <w:left w:val="none" w:sz="4" w:space="0" w:color="000000"/>
              <w:bottom w:val="single" w:sz="4" w:space="0" w:color="auto"/>
              <w:right w:val="none" w:sz="4" w:space="0" w:color="000000"/>
            </w:tcBorders>
            <w:vAlign w:val="center"/>
          </w:tcPr>
          <w:p w14:paraId="343789F4" w14:textId="77777777" w:rsidR="00737DC2" w:rsidRPr="00737DC2" w:rsidRDefault="00737DC2" w:rsidP="00737DC2">
            <w:pPr>
              <w:spacing w:line="240" w:lineRule="exact"/>
              <w:jc w:val="center"/>
              <w:rPr>
                <w:rFonts w:cs="Arial"/>
                <w:color w:val="000000"/>
                <w:sz w:val="16"/>
                <w:szCs w:val="16"/>
              </w:rPr>
            </w:pPr>
            <w:r w:rsidRPr="00737DC2">
              <w:rPr>
                <w:rFonts w:eastAsia="Calibri" w:cs="Arial"/>
                <w:sz w:val="16"/>
                <w:szCs w:val="16"/>
              </w:rPr>
              <w:t>2.41</w:t>
            </w:r>
          </w:p>
        </w:tc>
        <w:tc>
          <w:tcPr>
            <w:tcW w:w="1106" w:type="dxa"/>
            <w:tcBorders>
              <w:top w:val="none" w:sz="4" w:space="0" w:color="000000"/>
              <w:left w:val="none" w:sz="4" w:space="0" w:color="000000"/>
              <w:bottom w:val="single" w:sz="4" w:space="0" w:color="auto"/>
              <w:right w:val="none" w:sz="4" w:space="0" w:color="000000"/>
            </w:tcBorders>
            <w:noWrap/>
            <w:vAlign w:val="center"/>
          </w:tcPr>
          <w:p w14:paraId="51B419D3" w14:textId="77777777" w:rsidR="00737DC2" w:rsidRPr="00737DC2" w:rsidRDefault="00737DC2" w:rsidP="00737DC2">
            <w:pPr>
              <w:spacing w:line="240" w:lineRule="exact"/>
              <w:jc w:val="center"/>
              <w:rPr>
                <w:rFonts w:cs="Arial"/>
                <w:color w:val="000000"/>
                <w:sz w:val="16"/>
                <w:szCs w:val="16"/>
              </w:rPr>
            </w:pPr>
            <w:r w:rsidRPr="00737DC2">
              <w:rPr>
                <w:rFonts w:eastAsia="Calibri" w:cs="Arial"/>
                <w:sz w:val="16"/>
                <w:szCs w:val="16"/>
              </w:rPr>
              <w:t>3.44</w:t>
            </w:r>
          </w:p>
        </w:tc>
        <w:tc>
          <w:tcPr>
            <w:tcW w:w="1360" w:type="dxa"/>
            <w:tcBorders>
              <w:top w:val="none" w:sz="4" w:space="0" w:color="000000"/>
              <w:left w:val="none" w:sz="4" w:space="0" w:color="000000"/>
              <w:bottom w:val="single" w:sz="4" w:space="0" w:color="auto"/>
              <w:right w:val="none" w:sz="4" w:space="0" w:color="000000"/>
            </w:tcBorders>
            <w:noWrap/>
            <w:vAlign w:val="center"/>
          </w:tcPr>
          <w:p w14:paraId="054F98BC" w14:textId="77777777" w:rsidR="00737DC2" w:rsidRPr="00737DC2" w:rsidRDefault="00737DC2" w:rsidP="00737DC2">
            <w:pPr>
              <w:spacing w:line="240" w:lineRule="exact"/>
              <w:jc w:val="center"/>
              <w:rPr>
                <w:rFonts w:cs="Arial"/>
                <w:color w:val="000000"/>
                <w:sz w:val="16"/>
                <w:szCs w:val="16"/>
              </w:rPr>
            </w:pPr>
            <w:r w:rsidRPr="00737DC2">
              <w:rPr>
                <w:rFonts w:eastAsia="Calibri" w:cs="Arial"/>
                <w:sz w:val="16"/>
                <w:szCs w:val="16"/>
              </w:rPr>
              <w:t>3.50</w:t>
            </w:r>
          </w:p>
        </w:tc>
        <w:tc>
          <w:tcPr>
            <w:tcW w:w="1121" w:type="dxa"/>
            <w:tcBorders>
              <w:top w:val="none" w:sz="4" w:space="0" w:color="000000"/>
              <w:left w:val="none" w:sz="4" w:space="0" w:color="000000"/>
              <w:bottom w:val="single" w:sz="4" w:space="0" w:color="auto"/>
              <w:right w:val="none" w:sz="4" w:space="0" w:color="000000"/>
            </w:tcBorders>
            <w:noWrap/>
            <w:vAlign w:val="center"/>
          </w:tcPr>
          <w:p w14:paraId="59A3190C" w14:textId="77777777" w:rsidR="00737DC2" w:rsidRPr="00737DC2" w:rsidRDefault="00737DC2" w:rsidP="00737DC2">
            <w:pPr>
              <w:spacing w:line="240" w:lineRule="exact"/>
              <w:jc w:val="center"/>
              <w:rPr>
                <w:rFonts w:cs="Arial"/>
                <w:color w:val="000000"/>
                <w:sz w:val="16"/>
                <w:szCs w:val="16"/>
              </w:rPr>
            </w:pPr>
            <w:r w:rsidRPr="00737DC2">
              <w:rPr>
                <w:rFonts w:eastAsia="Calibri" w:cs="Arial"/>
                <w:sz w:val="16"/>
                <w:szCs w:val="16"/>
              </w:rPr>
              <w:t>3.42</w:t>
            </w:r>
          </w:p>
        </w:tc>
        <w:tc>
          <w:tcPr>
            <w:tcW w:w="954" w:type="dxa"/>
            <w:tcBorders>
              <w:top w:val="none" w:sz="4" w:space="0" w:color="000000"/>
              <w:left w:val="none" w:sz="4" w:space="0" w:color="000000"/>
              <w:bottom w:val="single" w:sz="4" w:space="0" w:color="auto"/>
              <w:right w:val="single" w:sz="4" w:space="0" w:color="auto"/>
            </w:tcBorders>
            <w:noWrap/>
            <w:vAlign w:val="center"/>
          </w:tcPr>
          <w:p w14:paraId="6104B667" w14:textId="77777777" w:rsidR="00737DC2" w:rsidRPr="00737DC2" w:rsidRDefault="00737DC2" w:rsidP="00737DC2">
            <w:pPr>
              <w:spacing w:line="240" w:lineRule="exact"/>
              <w:jc w:val="center"/>
              <w:rPr>
                <w:rFonts w:cs="Arial"/>
                <w:color w:val="000000"/>
                <w:sz w:val="16"/>
                <w:szCs w:val="16"/>
              </w:rPr>
            </w:pPr>
            <w:r w:rsidRPr="00737DC2">
              <w:rPr>
                <w:rFonts w:eastAsia="Calibri" w:cs="Arial"/>
                <w:sz w:val="16"/>
                <w:szCs w:val="16"/>
              </w:rPr>
              <w:t>3.35</w:t>
            </w:r>
          </w:p>
        </w:tc>
      </w:tr>
      <w:tr w:rsidR="00737DC2" w:rsidRPr="00737DC2" w14:paraId="1A791471" w14:textId="77777777" w:rsidTr="00BD760D">
        <w:trPr>
          <w:trHeight w:val="20"/>
        </w:trPr>
        <w:tc>
          <w:tcPr>
            <w:tcW w:w="2995" w:type="dxa"/>
            <w:tcBorders>
              <w:top w:val="single" w:sz="4" w:space="0" w:color="auto"/>
              <w:left w:val="single" w:sz="4" w:space="0" w:color="auto"/>
              <w:bottom w:val="none" w:sz="4" w:space="0" w:color="000000"/>
              <w:right w:val="none" w:sz="4" w:space="0" w:color="000000"/>
            </w:tcBorders>
            <w:vAlign w:val="center"/>
          </w:tcPr>
          <w:p w14:paraId="1932B5EB" w14:textId="77777777" w:rsidR="00737DC2" w:rsidRPr="00737DC2" w:rsidRDefault="00737DC2" w:rsidP="00737DC2">
            <w:pPr>
              <w:spacing w:line="240" w:lineRule="exact"/>
              <w:jc w:val="left"/>
              <w:rPr>
                <w:rFonts w:cs="Arial"/>
                <w:b/>
                <w:bCs/>
                <w:color w:val="000000"/>
                <w:sz w:val="16"/>
                <w:szCs w:val="16"/>
              </w:rPr>
            </w:pPr>
            <w:r w:rsidRPr="00737DC2">
              <w:rPr>
                <w:rFonts w:cs="Arial"/>
                <w:b/>
                <w:bCs/>
                <w:color w:val="000000"/>
                <w:sz w:val="16"/>
                <w:szCs w:val="16"/>
              </w:rPr>
              <w:t>Total assets : Total liabilities</w:t>
            </w:r>
            <w:r w:rsidRPr="00737DC2">
              <w:rPr>
                <w:rFonts w:cs="Arial"/>
                <w:b/>
                <w:bCs/>
                <w:color w:val="000000"/>
                <w:sz w:val="16"/>
                <w:szCs w:val="16"/>
                <w:vertAlign w:val="superscript"/>
              </w:rPr>
              <w:t>2</w:t>
            </w:r>
          </w:p>
        </w:tc>
        <w:tc>
          <w:tcPr>
            <w:tcW w:w="1106" w:type="dxa"/>
            <w:tcBorders>
              <w:top w:val="none" w:sz="4" w:space="0" w:color="000000"/>
              <w:left w:val="none" w:sz="4" w:space="0" w:color="000000"/>
              <w:bottom w:val="none" w:sz="4" w:space="0" w:color="000000"/>
              <w:right w:val="none" w:sz="4" w:space="0" w:color="000000"/>
            </w:tcBorders>
            <w:vAlign w:val="center"/>
          </w:tcPr>
          <w:p w14:paraId="4979AE9E" w14:textId="77777777" w:rsidR="00737DC2" w:rsidRPr="00737DC2" w:rsidRDefault="00737DC2" w:rsidP="00737DC2">
            <w:pPr>
              <w:spacing w:line="240" w:lineRule="exact"/>
              <w:jc w:val="center"/>
              <w:rPr>
                <w:rFonts w:cs="Arial"/>
                <w:b/>
                <w:bCs/>
                <w:color w:val="000000"/>
                <w:sz w:val="16"/>
                <w:szCs w:val="16"/>
              </w:rPr>
            </w:pPr>
          </w:p>
        </w:tc>
        <w:tc>
          <w:tcPr>
            <w:tcW w:w="1106" w:type="dxa"/>
            <w:tcBorders>
              <w:top w:val="none" w:sz="4" w:space="0" w:color="000000"/>
              <w:left w:val="none" w:sz="4" w:space="0" w:color="000000"/>
              <w:bottom w:val="none" w:sz="4" w:space="0" w:color="000000"/>
              <w:right w:val="none" w:sz="4" w:space="0" w:color="000000"/>
            </w:tcBorders>
            <w:noWrap/>
            <w:vAlign w:val="center"/>
          </w:tcPr>
          <w:p w14:paraId="5C2CD0B8" w14:textId="77777777" w:rsidR="00737DC2" w:rsidRPr="00737DC2" w:rsidRDefault="00737DC2" w:rsidP="00737DC2">
            <w:pPr>
              <w:spacing w:line="240" w:lineRule="exact"/>
              <w:jc w:val="center"/>
              <w:rPr>
                <w:rFonts w:cs="Arial"/>
                <w:color w:val="000000"/>
                <w:sz w:val="16"/>
                <w:szCs w:val="16"/>
              </w:rPr>
            </w:pPr>
          </w:p>
        </w:tc>
        <w:tc>
          <w:tcPr>
            <w:tcW w:w="1360" w:type="dxa"/>
            <w:tcBorders>
              <w:top w:val="none" w:sz="4" w:space="0" w:color="000000"/>
              <w:left w:val="none" w:sz="4" w:space="0" w:color="000000"/>
              <w:bottom w:val="none" w:sz="4" w:space="0" w:color="000000"/>
              <w:right w:val="none" w:sz="4" w:space="0" w:color="000000"/>
            </w:tcBorders>
            <w:noWrap/>
            <w:vAlign w:val="center"/>
          </w:tcPr>
          <w:p w14:paraId="3E4FFD35" w14:textId="77777777" w:rsidR="00737DC2" w:rsidRPr="00737DC2" w:rsidRDefault="00737DC2" w:rsidP="00737DC2">
            <w:pPr>
              <w:spacing w:line="240" w:lineRule="exact"/>
              <w:jc w:val="center"/>
              <w:rPr>
                <w:rFonts w:cs="Arial"/>
                <w:color w:val="000000"/>
                <w:sz w:val="16"/>
                <w:szCs w:val="16"/>
              </w:rPr>
            </w:pPr>
          </w:p>
        </w:tc>
        <w:tc>
          <w:tcPr>
            <w:tcW w:w="1121" w:type="dxa"/>
            <w:tcBorders>
              <w:top w:val="none" w:sz="4" w:space="0" w:color="000000"/>
              <w:left w:val="none" w:sz="4" w:space="0" w:color="000000"/>
              <w:bottom w:val="none" w:sz="4" w:space="0" w:color="000000"/>
              <w:right w:val="none" w:sz="4" w:space="0" w:color="000000"/>
            </w:tcBorders>
            <w:noWrap/>
            <w:vAlign w:val="center"/>
          </w:tcPr>
          <w:p w14:paraId="1DB1B658" w14:textId="77777777" w:rsidR="00737DC2" w:rsidRPr="00737DC2" w:rsidRDefault="00737DC2" w:rsidP="00737DC2">
            <w:pPr>
              <w:spacing w:line="240" w:lineRule="exact"/>
              <w:jc w:val="center"/>
              <w:rPr>
                <w:rFonts w:cs="Arial"/>
                <w:color w:val="000000"/>
                <w:sz w:val="16"/>
                <w:szCs w:val="16"/>
              </w:rPr>
            </w:pPr>
          </w:p>
        </w:tc>
        <w:tc>
          <w:tcPr>
            <w:tcW w:w="954" w:type="dxa"/>
            <w:tcBorders>
              <w:top w:val="none" w:sz="4" w:space="0" w:color="000000"/>
              <w:left w:val="none" w:sz="4" w:space="0" w:color="000000"/>
              <w:bottom w:val="none" w:sz="4" w:space="0" w:color="000000"/>
              <w:right w:val="single" w:sz="4" w:space="0" w:color="auto"/>
            </w:tcBorders>
            <w:noWrap/>
            <w:vAlign w:val="center"/>
          </w:tcPr>
          <w:p w14:paraId="45AD0A83" w14:textId="77777777" w:rsidR="00737DC2" w:rsidRPr="00737DC2" w:rsidRDefault="00737DC2" w:rsidP="00737DC2">
            <w:pPr>
              <w:spacing w:line="240" w:lineRule="exact"/>
              <w:jc w:val="center"/>
              <w:rPr>
                <w:rFonts w:cs="Arial"/>
                <w:color w:val="000000"/>
                <w:sz w:val="16"/>
                <w:szCs w:val="16"/>
              </w:rPr>
            </w:pPr>
          </w:p>
        </w:tc>
      </w:tr>
      <w:tr w:rsidR="00737DC2" w:rsidRPr="00737DC2" w14:paraId="0B9B7AA9" w14:textId="77777777" w:rsidTr="00BD760D">
        <w:trPr>
          <w:trHeight w:val="20"/>
        </w:trPr>
        <w:tc>
          <w:tcPr>
            <w:tcW w:w="2995" w:type="dxa"/>
            <w:tcBorders>
              <w:top w:val="none" w:sz="4" w:space="0" w:color="000000"/>
              <w:left w:val="single" w:sz="4" w:space="0" w:color="auto"/>
              <w:bottom w:val="single" w:sz="4" w:space="0" w:color="auto"/>
              <w:right w:val="none" w:sz="4" w:space="0" w:color="000000"/>
            </w:tcBorders>
            <w:vAlign w:val="center"/>
          </w:tcPr>
          <w:p w14:paraId="3211E627" w14:textId="77777777" w:rsidR="00737DC2" w:rsidRPr="00737DC2" w:rsidRDefault="00737DC2" w:rsidP="00737DC2">
            <w:pPr>
              <w:spacing w:line="240" w:lineRule="exact"/>
              <w:jc w:val="left"/>
              <w:rPr>
                <w:rFonts w:cs="Arial"/>
                <w:color w:val="000000"/>
                <w:sz w:val="16"/>
                <w:szCs w:val="16"/>
              </w:rPr>
            </w:pPr>
            <w:r w:rsidRPr="00737DC2">
              <w:rPr>
                <w:rFonts w:cs="Arial"/>
                <w:color w:val="000000"/>
                <w:sz w:val="16"/>
                <w:szCs w:val="16"/>
              </w:rPr>
              <w:t>Assets : Liabilities</w:t>
            </w:r>
          </w:p>
        </w:tc>
        <w:tc>
          <w:tcPr>
            <w:tcW w:w="1106" w:type="dxa"/>
            <w:tcBorders>
              <w:top w:val="none" w:sz="4" w:space="0" w:color="000000"/>
              <w:left w:val="none" w:sz="4" w:space="0" w:color="000000"/>
              <w:bottom w:val="single" w:sz="4" w:space="0" w:color="auto"/>
              <w:right w:val="none" w:sz="4" w:space="0" w:color="000000"/>
            </w:tcBorders>
            <w:vAlign w:val="center"/>
          </w:tcPr>
          <w:p w14:paraId="73B73B5C" w14:textId="77777777" w:rsidR="00737DC2" w:rsidRPr="00737DC2" w:rsidRDefault="00737DC2" w:rsidP="00737DC2">
            <w:pPr>
              <w:spacing w:line="240" w:lineRule="exact"/>
              <w:jc w:val="center"/>
              <w:rPr>
                <w:rFonts w:cs="Arial"/>
                <w:color w:val="000000"/>
                <w:sz w:val="16"/>
                <w:szCs w:val="16"/>
              </w:rPr>
            </w:pPr>
            <w:r w:rsidRPr="00737DC2">
              <w:rPr>
                <w:rFonts w:eastAsia="Calibri" w:cs="Arial"/>
                <w:sz w:val="16"/>
                <w:szCs w:val="16"/>
              </w:rPr>
              <w:t>0.90</w:t>
            </w:r>
          </w:p>
        </w:tc>
        <w:tc>
          <w:tcPr>
            <w:tcW w:w="1106" w:type="dxa"/>
            <w:tcBorders>
              <w:top w:val="none" w:sz="4" w:space="0" w:color="000000"/>
              <w:left w:val="none" w:sz="4" w:space="0" w:color="000000"/>
              <w:bottom w:val="single" w:sz="4" w:space="0" w:color="auto"/>
              <w:right w:val="none" w:sz="4" w:space="0" w:color="000000"/>
            </w:tcBorders>
            <w:noWrap/>
            <w:vAlign w:val="center"/>
          </w:tcPr>
          <w:p w14:paraId="576D266A" w14:textId="77777777" w:rsidR="00737DC2" w:rsidRPr="00737DC2" w:rsidRDefault="00737DC2" w:rsidP="00737DC2">
            <w:pPr>
              <w:spacing w:line="240" w:lineRule="exact"/>
              <w:jc w:val="center"/>
              <w:rPr>
                <w:rFonts w:cs="Arial"/>
                <w:color w:val="000000"/>
                <w:sz w:val="16"/>
                <w:szCs w:val="16"/>
              </w:rPr>
            </w:pPr>
            <w:r w:rsidRPr="00737DC2">
              <w:rPr>
                <w:rFonts w:eastAsia="Calibri" w:cs="Arial"/>
                <w:sz w:val="16"/>
                <w:szCs w:val="16"/>
              </w:rPr>
              <w:t>0.84</w:t>
            </w:r>
          </w:p>
        </w:tc>
        <w:tc>
          <w:tcPr>
            <w:tcW w:w="1360" w:type="dxa"/>
            <w:tcBorders>
              <w:top w:val="none" w:sz="4" w:space="0" w:color="000000"/>
              <w:left w:val="none" w:sz="4" w:space="0" w:color="000000"/>
              <w:bottom w:val="single" w:sz="4" w:space="0" w:color="auto"/>
              <w:right w:val="none" w:sz="4" w:space="0" w:color="000000"/>
            </w:tcBorders>
            <w:noWrap/>
            <w:vAlign w:val="center"/>
          </w:tcPr>
          <w:p w14:paraId="1167A33A" w14:textId="77777777" w:rsidR="00737DC2" w:rsidRPr="00737DC2" w:rsidRDefault="00737DC2" w:rsidP="00737DC2">
            <w:pPr>
              <w:spacing w:line="240" w:lineRule="exact"/>
              <w:jc w:val="center"/>
              <w:rPr>
                <w:rFonts w:cs="Arial"/>
                <w:color w:val="000000"/>
                <w:sz w:val="16"/>
                <w:szCs w:val="16"/>
              </w:rPr>
            </w:pPr>
            <w:r w:rsidRPr="00737DC2">
              <w:rPr>
                <w:rFonts w:eastAsia="Calibri" w:cs="Arial"/>
                <w:sz w:val="16"/>
                <w:szCs w:val="16"/>
              </w:rPr>
              <w:t>0.99</w:t>
            </w:r>
          </w:p>
        </w:tc>
        <w:tc>
          <w:tcPr>
            <w:tcW w:w="1121" w:type="dxa"/>
            <w:tcBorders>
              <w:top w:val="none" w:sz="4" w:space="0" w:color="000000"/>
              <w:left w:val="none" w:sz="4" w:space="0" w:color="000000"/>
              <w:bottom w:val="single" w:sz="4" w:space="0" w:color="auto"/>
              <w:right w:val="none" w:sz="4" w:space="0" w:color="000000"/>
            </w:tcBorders>
            <w:noWrap/>
            <w:vAlign w:val="center"/>
          </w:tcPr>
          <w:p w14:paraId="4FED9F11" w14:textId="77777777" w:rsidR="00737DC2" w:rsidRPr="00737DC2" w:rsidRDefault="00737DC2" w:rsidP="00737DC2">
            <w:pPr>
              <w:spacing w:line="240" w:lineRule="exact"/>
              <w:jc w:val="center"/>
              <w:rPr>
                <w:rFonts w:cs="Arial"/>
                <w:color w:val="000000"/>
                <w:sz w:val="16"/>
                <w:szCs w:val="16"/>
              </w:rPr>
            </w:pPr>
            <w:r w:rsidRPr="00737DC2">
              <w:rPr>
                <w:rFonts w:cs="Arial"/>
                <w:color w:val="000000"/>
                <w:sz w:val="16"/>
                <w:szCs w:val="16"/>
              </w:rPr>
              <w:t>1.06</w:t>
            </w:r>
          </w:p>
        </w:tc>
        <w:tc>
          <w:tcPr>
            <w:tcW w:w="954" w:type="dxa"/>
            <w:tcBorders>
              <w:top w:val="none" w:sz="4" w:space="0" w:color="000000"/>
              <w:left w:val="none" w:sz="4" w:space="0" w:color="000000"/>
              <w:bottom w:val="single" w:sz="4" w:space="0" w:color="auto"/>
              <w:right w:val="single" w:sz="4" w:space="0" w:color="auto"/>
            </w:tcBorders>
            <w:noWrap/>
            <w:vAlign w:val="center"/>
          </w:tcPr>
          <w:p w14:paraId="69FC3573" w14:textId="77777777" w:rsidR="00737DC2" w:rsidRPr="00737DC2" w:rsidRDefault="00737DC2" w:rsidP="00737DC2">
            <w:pPr>
              <w:spacing w:line="240" w:lineRule="exact"/>
              <w:jc w:val="center"/>
              <w:rPr>
                <w:rFonts w:cs="Arial"/>
                <w:color w:val="000000"/>
                <w:sz w:val="16"/>
                <w:szCs w:val="16"/>
              </w:rPr>
            </w:pPr>
            <w:r w:rsidRPr="00737DC2">
              <w:rPr>
                <w:rFonts w:eastAsia="Calibri" w:cs="Arial"/>
                <w:sz w:val="16"/>
                <w:szCs w:val="16"/>
              </w:rPr>
              <w:t>0.89</w:t>
            </w:r>
          </w:p>
        </w:tc>
      </w:tr>
      <w:tr w:rsidR="00737DC2" w:rsidRPr="00737DC2" w14:paraId="62DCFDE1" w14:textId="77777777" w:rsidTr="00BD760D">
        <w:trPr>
          <w:trHeight w:val="20"/>
        </w:trPr>
        <w:tc>
          <w:tcPr>
            <w:tcW w:w="2995" w:type="dxa"/>
            <w:tcBorders>
              <w:top w:val="single" w:sz="4" w:space="0" w:color="auto"/>
              <w:left w:val="single" w:sz="4" w:space="0" w:color="auto"/>
              <w:bottom w:val="none" w:sz="4" w:space="0" w:color="000000"/>
              <w:right w:val="none" w:sz="4" w:space="0" w:color="000000"/>
            </w:tcBorders>
            <w:vAlign w:val="center"/>
          </w:tcPr>
          <w:p w14:paraId="66BD5EDD" w14:textId="77777777" w:rsidR="00737DC2" w:rsidRPr="00737DC2" w:rsidRDefault="00737DC2" w:rsidP="00737DC2">
            <w:pPr>
              <w:spacing w:line="240" w:lineRule="exact"/>
              <w:jc w:val="left"/>
              <w:rPr>
                <w:rFonts w:cs="Arial"/>
                <w:b/>
                <w:bCs/>
                <w:color w:val="000000"/>
                <w:sz w:val="16"/>
                <w:szCs w:val="16"/>
              </w:rPr>
            </w:pPr>
            <w:r w:rsidRPr="00737DC2">
              <w:rPr>
                <w:rFonts w:cs="Arial"/>
                <w:b/>
                <w:bCs/>
                <w:color w:val="000000"/>
                <w:sz w:val="16"/>
                <w:szCs w:val="16"/>
              </w:rPr>
              <w:t>Cash ratio</w:t>
            </w:r>
            <w:r w:rsidRPr="00737DC2">
              <w:rPr>
                <w:rFonts w:cs="Arial"/>
                <w:b/>
                <w:bCs/>
                <w:color w:val="000000"/>
                <w:sz w:val="16"/>
                <w:szCs w:val="16"/>
                <w:vertAlign w:val="superscript"/>
              </w:rPr>
              <w:t>3</w:t>
            </w:r>
          </w:p>
        </w:tc>
        <w:tc>
          <w:tcPr>
            <w:tcW w:w="1106" w:type="dxa"/>
            <w:tcBorders>
              <w:top w:val="none" w:sz="4" w:space="0" w:color="000000"/>
              <w:left w:val="none" w:sz="4" w:space="0" w:color="000000"/>
              <w:bottom w:val="none" w:sz="4" w:space="0" w:color="000000"/>
              <w:right w:val="none" w:sz="4" w:space="0" w:color="000000"/>
            </w:tcBorders>
            <w:vAlign w:val="center"/>
          </w:tcPr>
          <w:p w14:paraId="09ED2A57" w14:textId="77777777" w:rsidR="00737DC2" w:rsidRPr="00737DC2" w:rsidRDefault="00737DC2" w:rsidP="00737DC2">
            <w:pPr>
              <w:spacing w:line="240" w:lineRule="exact"/>
              <w:jc w:val="center"/>
              <w:rPr>
                <w:rFonts w:cs="Arial"/>
                <w:b/>
                <w:bCs/>
                <w:color w:val="000000"/>
                <w:sz w:val="16"/>
                <w:szCs w:val="16"/>
              </w:rPr>
            </w:pPr>
          </w:p>
        </w:tc>
        <w:tc>
          <w:tcPr>
            <w:tcW w:w="1106" w:type="dxa"/>
            <w:tcBorders>
              <w:top w:val="none" w:sz="4" w:space="0" w:color="000000"/>
              <w:left w:val="none" w:sz="4" w:space="0" w:color="000000"/>
              <w:bottom w:val="none" w:sz="4" w:space="0" w:color="000000"/>
              <w:right w:val="none" w:sz="4" w:space="0" w:color="000000"/>
            </w:tcBorders>
            <w:noWrap/>
            <w:vAlign w:val="center"/>
          </w:tcPr>
          <w:p w14:paraId="6A7E0E37" w14:textId="77777777" w:rsidR="00737DC2" w:rsidRPr="00737DC2" w:rsidRDefault="00737DC2" w:rsidP="00737DC2">
            <w:pPr>
              <w:spacing w:line="240" w:lineRule="exact"/>
              <w:jc w:val="center"/>
              <w:rPr>
                <w:rFonts w:cs="Arial"/>
                <w:color w:val="000000"/>
                <w:sz w:val="16"/>
                <w:szCs w:val="16"/>
              </w:rPr>
            </w:pPr>
          </w:p>
        </w:tc>
        <w:tc>
          <w:tcPr>
            <w:tcW w:w="1360" w:type="dxa"/>
            <w:tcBorders>
              <w:top w:val="none" w:sz="4" w:space="0" w:color="000000"/>
              <w:left w:val="none" w:sz="4" w:space="0" w:color="000000"/>
              <w:bottom w:val="none" w:sz="4" w:space="0" w:color="000000"/>
              <w:right w:val="none" w:sz="4" w:space="0" w:color="000000"/>
            </w:tcBorders>
            <w:noWrap/>
            <w:vAlign w:val="center"/>
          </w:tcPr>
          <w:p w14:paraId="00F4402E" w14:textId="77777777" w:rsidR="00737DC2" w:rsidRPr="00737DC2" w:rsidRDefault="00737DC2" w:rsidP="00737DC2">
            <w:pPr>
              <w:spacing w:line="240" w:lineRule="exact"/>
              <w:jc w:val="center"/>
              <w:rPr>
                <w:rFonts w:cs="Arial"/>
                <w:color w:val="000000"/>
                <w:sz w:val="16"/>
                <w:szCs w:val="16"/>
              </w:rPr>
            </w:pPr>
          </w:p>
        </w:tc>
        <w:tc>
          <w:tcPr>
            <w:tcW w:w="1121" w:type="dxa"/>
            <w:tcBorders>
              <w:top w:val="none" w:sz="4" w:space="0" w:color="000000"/>
              <w:left w:val="none" w:sz="4" w:space="0" w:color="000000"/>
              <w:bottom w:val="none" w:sz="4" w:space="0" w:color="000000"/>
              <w:right w:val="none" w:sz="4" w:space="0" w:color="000000"/>
            </w:tcBorders>
            <w:noWrap/>
            <w:vAlign w:val="center"/>
          </w:tcPr>
          <w:p w14:paraId="354EE347" w14:textId="77777777" w:rsidR="00737DC2" w:rsidRPr="00737DC2" w:rsidRDefault="00737DC2" w:rsidP="00737DC2">
            <w:pPr>
              <w:spacing w:line="240" w:lineRule="exact"/>
              <w:jc w:val="center"/>
              <w:rPr>
                <w:rFonts w:cs="Arial"/>
                <w:color w:val="000000"/>
                <w:sz w:val="16"/>
                <w:szCs w:val="16"/>
              </w:rPr>
            </w:pPr>
          </w:p>
        </w:tc>
        <w:tc>
          <w:tcPr>
            <w:tcW w:w="954" w:type="dxa"/>
            <w:tcBorders>
              <w:top w:val="none" w:sz="4" w:space="0" w:color="000000"/>
              <w:left w:val="none" w:sz="4" w:space="0" w:color="000000"/>
              <w:bottom w:val="none" w:sz="4" w:space="0" w:color="000000"/>
              <w:right w:val="single" w:sz="4" w:space="0" w:color="auto"/>
            </w:tcBorders>
            <w:noWrap/>
            <w:vAlign w:val="center"/>
          </w:tcPr>
          <w:p w14:paraId="2E71E7F9" w14:textId="77777777" w:rsidR="00737DC2" w:rsidRPr="00737DC2" w:rsidRDefault="00737DC2" w:rsidP="00737DC2">
            <w:pPr>
              <w:spacing w:line="240" w:lineRule="exact"/>
              <w:jc w:val="center"/>
              <w:rPr>
                <w:rFonts w:cs="Arial"/>
                <w:color w:val="000000"/>
                <w:sz w:val="16"/>
                <w:szCs w:val="16"/>
              </w:rPr>
            </w:pPr>
          </w:p>
        </w:tc>
      </w:tr>
      <w:tr w:rsidR="00737DC2" w:rsidRPr="00737DC2" w14:paraId="0021B8AA" w14:textId="77777777" w:rsidTr="00BD760D">
        <w:trPr>
          <w:trHeight w:val="20"/>
        </w:trPr>
        <w:tc>
          <w:tcPr>
            <w:tcW w:w="2995" w:type="dxa"/>
            <w:tcBorders>
              <w:top w:val="none" w:sz="4" w:space="0" w:color="000000"/>
              <w:left w:val="single" w:sz="4" w:space="0" w:color="auto"/>
              <w:bottom w:val="single" w:sz="4" w:space="0" w:color="auto"/>
              <w:right w:val="none" w:sz="4" w:space="0" w:color="000000"/>
            </w:tcBorders>
            <w:vAlign w:val="center"/>
          </w:tcPr>
          <w:p w14:paraId="53048EB2" w14:textId="77777777" w:rsidR="00737DC2" w:rsidRPr="00737DC2" w:rsidRDefault="00737DC2" w:rsidP="00737DC2">
            <w:pPr>
              <w:spacing w:line="240" w:lineRule="exact"/>
              <w:jc w:val="left"/>
              <w:rPr>
                <w:rFonts w:cs="Arial"/>
                <w:color w:val="000000"/>
                <w:sz w:val="16"/>
                <w:szCs w:val="16"/>
              </w:rPr>
            </w:pPr>
            <w:r w:rsidRPr="00737DC2">
              <w:rPr>
                <w:rFonts w:cs="Arial"/>
                <w:color w:val="000000"/>
                <w:sz w:val="16"/>
                <w:szCs w:val="16"/>
              </w:rPr>
              <w:t>Cash plus Short-term investments: Current liabilities</w:t>
            </w:r>
          </w:p>
        </w:tc>
        <w:tc>
          <w:tcPr>
            <w:tcW w:w="1106" w:type="dxa"/>
            <w:tcBorders>
              <w:top w:val="none" w:sz="4" w:space="0" w:color="000000"/>
              <w:left w:val="none" w:sz="4" w:space="0" w:color="000000"/>
              <w:bottom w:val="single" w:sz="4" w:space="0" w:color="auto"/>
              <w:right w:val="none" w:sz="4" w:space="0" w:color="000000"/>
            </w:tcBorders>
            <w:vAlign w:val="center"/>
          </w:tcPr>
          <w:p w14:paraId="70E31EAC" w14:textId="77777777" w:rsidR="00737DC2" w:rsidRPr="00737DC2" w:rsidRDefault="00737DC2" w:rsidP="00737DC2">
            <w:pPr>
              <w:spacing w:line="240" w:lineRule="exact"/>
              <w:jc w:val="center"/>
              <w:rPr>
                <w:rFonts w:cs="Arial"/>
                <w:color w:val="000000"/>
                <w:sz w:val="16"/>
                <w:szCs w:val="16"/>
              </w:rPr>
            </w:pPr>
            <w:r w:rsidRPr="00737DC2">
              <w:rPr>
                <w:rFonts w:eastAsia="Calibri" w:cs="Arial"/>
                <w:sz w:val="16"/>
                <w:szCs w:val="16"/>
              </w:rPr>
              <w:t>2.32</w:t>
            </w:r>
          </w:p>
        </w:tc>
        <w:tc>
          <w:tcPr>
            <w:tcW w:w="1106" w:type="dxa"/>
            <w:tcBorders>
              <w:top w:val="none" w:sz="4" w:space="0" w:color="000000"/>
              <w:left w:val="none" w:sz="4" w:space="0" w:color="000000"/>
              <w:bottom w:val="single" w:sz="4" w:space="0" w:color="auto"/>
              <w:right w:val="none" w:sz="4" w:space="0" w:color="000000"/>
            </w:tcBorders>
            <w:noWrap/>
            <w:vAlign w:val="center"/>
          </w:tcPr>
          <w:p w14:paraId="541CAEC9" w14:textId="77777777" w:rsidR="00737DC2" w:rsidRPr="00737DC2" w:rsidRDefault="00737DC2" w:rsidP="00737DC2">
            <w:pPr>
              <w:spacing w:line="240" w:lineRule="exact"/>
              <w:jc w:val="center"/>
              <w:rPr>
                <w:rFonts w:cs="Arial"/>
                <w:color w:val="000000"/>
                <w:sz w:val="16"/>
                <w:szCs w:val="16"/>
              </w:rPr>
            </w:pPr>
            <w:r w:rsidRPr="00737DC2">
              <w:rPr>
                <w:rFonts w:eastAsia="Calibri" w:cs="Arial"/>
                <w:sz w:val="16"/>
                <w:szCs w:val="16"/>
              </w:rPr>
              <w:t>3.38</w:t>
            </w:r>
          </w:p>
        </w:tc>
        <w:tc>
          <w:tcPr>
            <w:tcW w:w="1360" w:type="dxa"/>
            <w:tcBorders>
              <w:top w:val="none" w:sz="4" w:space="0" w:color="000000"/>
              <w:left w:val="none" w:sz="4" w:space="0" w:color="000000"/>
              <w:bottom w:val="single" w:sz="4" w:space="0" w:color="auto"/>
              <w:right w:val="none" w:sz="4" w:space="0" w:color="000000"/>
            </w:tcBorders>
            <w:noWrap/>
            <w:vAlign w:val="center"/>
          </w:tcPr>
          <w:p w14:paraId="6B6A2A10" w14:textId="77777777" w:rsidR="00737DC2" w:rsidRPr="00737DC2" w:rsidRDefault="00737DC2" w:rsidP="00737DC2">
            <w:pPr>
              <w:spacing w:line="240" w:lineRule="exact"/>
              <w:jc w:val="center"/>
              <w:rPr>
                <w:rFonts w:cs="Arial"/>
                <w:color w:val="000000"/>
                <w:sz w:val="16"/>
                <w:szCs w:val="16"/>
              </w:rPr>
            </w:pPr>
            <w:r w:rsidRPr="00737DC2">
              <w:rPr>
                <w:rFonts w:eastAsia="Calibri" w:cs="Arial"/>
                <w:sz w:val="16"/>
                <w:szCs w:val="16"/>
              </w:rPr>
              <w:t>3.38</w:t>
            </w:r>
          </w:p>
        </w:tc>
        <w:tc>
          <w:tcPr>
            <w:tcW w:w="1121" w:type="dxa"/>
            <w:tcBorders>
              <w:top w:val="none" w:sz="4" w:space="0" w:color="000000"/>
              <w:left w:val="none" w:sz="4" w:space="0" w:color="000000"/>
              <w:bottom w:val="single" w:sz="4" w:space="0" w:color="auto"/>
              <w:right w:val="none" w:sz="4" w:space="0" w:color="000000"/>
            </w:tcBorders>
            <w:noWrap/>
            <w:vAlign w:val="center"/>
          </w:tcPr>
          <w:p w14:paraId="62DC87DE" w14:textId="77777777" w:rsidR="00737DC2" w:rsidRPr="00737DC2" w:rsidRDefault="00737DC2" w:rsidP="00737DC2">
            <w:pPr>
              <w:spacing w:line="240" w:lineRule="exact"/>
              <w:jc w:val="center"/>
              <w:rPr>
                <w:rFonts w:cs="Arial"/>
                <w:color w:val="000000"/>
                <w:sz w:val="16"/>
                <w:szCs w:val="16"/>
              </w:rPr>
            </w:pPr>
            <w:r w:rsidRPr="00737DC2">
              <w:rPr>
                <w:rFonts w:eastAsia="Calibri" w:cs="Arial"/>
                <w:sz w:val="16"/>
                <w:szCs w:val="16"/>
              </w:rPr>
              <w:t>3.35</w:t>
            </w:r>
          </w:p>
        </w:tc>
        <w:tc>
          <w:tcPr>
            <w:tcW w:w="954" w:type="dxa"/>
            <w:tcBorders>
              <w:top w:val="none" w:sz="4" w:space="0" w:color="000000"/>
              <w:left w:val="none" w:sz="4" w:space="0" w:color="000000"/>
              <w:bottom w:val="single" w:sz="4" w:space="0" w:color="auto"/>
              <w:right w:val="single" w:sz="4" w:space="0" w:color="auto"/>
            </w:tcBorders>
            <w:noWrap/>
            <w:vAlign w:val="center"/>
          </w:tcPr>
          <w:p w14:paraId="41554AC2" w14:textId="77777777" w:rsidR="00737DC2" w:rsidRPr="00737DC2" w:rsidRDefault="00737DC2" w:rsidP="00737DC2">
            <w:pPr>
              <w:spacing w:line="240" w:lineRule="exact"/>
              <w:jc w:val="center"/>
              <w:rPr>
                <w:rFonts w:cs="Arial"/>
                <w:color w:val="000000"/>
                <w:sz w:val="16"/>
                <w:szCs w:val="16"/>
              </w:rPr>
            </w:pPr>
            <w:r w:rsidRPr="00737DC2">
              <w:rPr>
                <w:rFonts w:eastAsia="Calibri" w:cs="Arial"/>
                <w:sz w:val="16"/>
                <w:szCs w:val="16"/>
              </w:rPr>
              <w:t>3.28</w:t>
            </w:r>
          </w:p>
        </w:tc>
      </w:tr>
      <w:tr w:rsidR="00737DC2" w:rsidRPr="00737DC2" w14:paraId="2C1CB953" w14:textId="77777777" w:rsidTr="00BD760D">
        <w:trPr>
          <w:trHeight w:val="20"/>
        </w:trPr>
        <w:tc>
          <w:tcPr>
            <w:tcW w:w="2995" w:type="dxa"/>
            <w:tcBorders>
              <w:top w:val="single" w:sz="4" w:space="0" w:color="auto"/>
              <w:left w:val="single" w:sz="4" w:space="0" w:color="auto"/>
              <w:right w:val="none" w:sz="4" w:space="0" w:color="000000"/>
            </w:tcBorders>
            <w:vAlign w:val="center"/>
          </w:tcPr>
          <w:p w14:paraId="28B61079" w14:textId="77777777" w:rsidR="00737DC2" w:rsidRPr="00737DC2" w:rsidRDefault="00737DC2" w:rsidP="00737DC2">
            <w:pPr>
              <w:spacing w:line="240" w:lineRule="exact"/>
              <w:jc w:val="left"/>
              <w:rPr>
                <w:rFonts w:cs="Arial"/>
                <w:b/>
                <w:bCs/>
                <w:color w:val="000000"/>
                <w:sz w:val="16"/>
                <w:szCs w:val="16"/>
              </w:rPr>
            </w:pPr>
            <w:r w:rsidRPr="00737DC2">
              <w:rPr>
                <w:rFonts w:cs="Arial"/>
                <w:b/>
                <w:bCs/>
                <w:color w:val="000000"/>
                <w:sz w:val="16"/>
                <w:szCs w:val="16"/>
              </w:rPr>
              <w:t>Days cash on hand</w:t>
            </w:r>
            <w:r w:rsidRPr="00737DC2">
              <w:rPr>
                <w:rFonts w:cs="Arial"/>
                <w:b/>
                <w:bCs/>
                <w:color w:val="000000"/>
                <w:sz w:val="16"/>
                <w:szCs w:val="16"/>
                <w:vertAlign w:val="superscript"/>
              </w:rPr>
              <w:t>4</w:t>
            </w:r>
          </w:p>
        </w:tc>
        <w:tc>
          <w:tcPr>
            <w:tcW w:w="1106" w:type="dxa"/>
            <w:tcBorders>
              <w:top w:val="none" w:sz="4" w:space="0" w:color="000000"/>
              <w:left w:val="none" w:sz="4" w:space="0" w:color="000000"/>
              <w:right w:val="none" w:sz="4" w:space="0" w:color="000000"/>
            </w:tcBorders>
            <w:noWrap/>
            <w:vAlign w:val="center"/>
          </w:tcPr>
          <w:p w14:paraId="6BA2CD12" w14:textId="77777777" w:rsidR="00737DC2" w:rsidRPr="00737DC2" w:rsidRDefault="00737DC2" w:rsidP="00737DC2">
            <w:pPr>
              <w:spacing w:line="240" w:lineRule="exact"/>
              <w:jc w:val="center"/>
              <w:rPr>
                <w:rFonts w:cs="Arial"/>
                <w:b/>
                <w:bCs/>
                <w:color w:val="000000"/>
                <w:sz w:val="16"/>
                <w:szCs w:val="16"/>
              </w:rPr>
            </w:pPr>
          </w:p>
        </w:tc>
        <w:tc>
          <w:tcPr>
            <w:tcW w:w="1106" w:type="dxa"/>
            <w:tcBorders>
              <w:top w:val="none" w:sz="4" w:space="0" w:color="000000"/>
              <w:left w:val="none" w:sz="4" w:space="0" w:color="000000"/>
              <w:right w:val="none" w:sz="4" w:space="0" w:color="000000"/>
            </w:tcBorders>
            <w:noWrap/>
            <w:vAlign w:val="center"/>
          </w:tcPr>
          <w:p w14:paraId="5FA20EF8" w14:textId="77777777" w:rsidR="00737DC2" w:rsidRPr="00737DC2" w:rsidRDefault="00737DC2" w:rsidP="00737DC2">
            <w:pPr>
              <w:spacing w:line="240" w:lineRule="exact"/>
              <w:jc w:val="center"/>
              <w:rPr>
                <w:rFonts w:cs="Arial"/>
                <w:color w:val="000000"/>
                <w:sz w:val="16"/>
                <w:szCs w:val="16"/>
              </w:rPr>
            </w:pPr>
          </w:p>
        </w:tc>
        <w:tc>
          <w:tcPr>
            <w:tcW w:w="1360" w:type="dxa"/>
            <w:tcBorders>
              <w:top w:val="none" w:sz="4" w:space="0" w:color="000000"/>
              <w:left w:val="none" w:sz="4" w:space="0" w:color="000000"/>
              <w:right w:val="none" w:sz="4" w:space="0" w:color="000000"/>
            </w:tcBorders>
            <w:noWrap/>
            <w:vAlign w:val="center"/>
          </w:tcPr>
          <w:p w14:paraId="67251B6E" w14:textId="77777777" w:rsidR="00737DC2" w:rsidRPr="00737DC2" w:rsidRDefault="00737DC2" w:rsidP="00737DC2">
            <w:pPr>
              <w:spacing w:line="240" w:lineRule="exact"/>
              <w:jc w:val="center"/>
              <w:rPr>
                <w:rFonts w:cs="Arial"/>
                <w:color w:val="000000"/>
                <w:sz w:val="16"/>
                <w:szCs w:val="16"/>
              </w:rPr>
            </w:pPr>
          </w:p>
        </w:tc>
        <w:tc>
          <w:tcPr>
            <w:tcW w:w="1121" w:type="dxa"/>
            <w:tcBorders>
              <w:top w:val="none" w:sz="4" w:space="0" w:color="000000"/>
              <w:left w:val="none" w:sz="4" w:space="0" w:color="000000"/>
              <w:right w:val="none" w:sz="4" w:space="0" w:color="000000"/>
            </w:tcBorders>
            <w:noWrap/>
            <w:vAlign w:val="center"/>
          </w:tcPr>
          <w:p w14:paraId="159A34EA" w14:textId="77777777" w:rsidR="00737DC2" w:rsidRPr="00737DC2" w:rsidRDefault="00737DC2" w:rsidP="00737DC2">
            <w:pPr>
              <w:spacing w:line="240" w:lineRule="exact"/>
              <w:jc w:val="center"/>
              <w:rPr>
                <w:rFonts w:cs="Arial"/>
                <w:color w:val="000000"/>
                <w:sz w:val="16"/>
                <w:szCs w:val="16"/>
              </w:rPr>
            </w:pPr>
          </w:p>
        </w:tc>
        <w:tc>
          <w:tcPr>
            <w:tcW w:w="954" w:type="dxa"/>
            <w:tcBorders>
              <w:top w:val="none" w:sz="4" w:space="0" w:color="000000"/>
              <w:left w:val="none" w:sz="4" w:space="0" w:color="000000"/>
              <w:right w:val="single" w:sz="4" w:space="0" w:color="auto"/>
            </w:tcBorders>
            <w:noWrap/>
            <w:vAlign w:val="center"/>
          </w:tcPr>
          <w:p w14:paraId="57ECA257" w14:textId="77777777" w:rsidR="00737DC2" w:rsidRPr="00737DC2" w:rsidRDefault="00737DC2" w:rsidP="00737DC2">
            <w:pPr>
              <w:spacing w:line="240" w:lineRule="exact"/>
              <w:jc w:val="center"/>
              <w:rPr>
                <w:rFonts w:cs="Arial"/>
                <w:color w:val="000000"/>
                <w:sz w:val="16"/>
                <w:szCs w:val="16"/>
              </w:rPr>
            </w:pPr>
          </w:p>
        </w:tc>
      </w:tr>
      <w:tr w:rsidR="00737DC2" w:rsidRPr="00737DC2" w14:paraId="5AA879FB" w14:textId="77777777" w:rsidTr="00BD760D">
        <w:trPr>
          <w:trHeight w:val="20"/>
        </w:trPr>
        <w:tc>
          <w:tcPr>
            <w:tcW w:w="2995" w:type="dxa"/>
            <w:tcBorders>
              <w:top w:val="none" w:sz="4" w:space="0" w:color="000000"/>
              <w:left w:val="single" w:sz="4" w:space="0" w:color="auto"/>
              <w:bottom w:val="single" w:sz="4" w:space="0" w:color="auto"/>
              <w:right w:val="none" w:sz="4" w:space="0" w:color="000000"/>
            </w:tcBorders>
            <w:vAlign w:val="center"/>
          </w:tcPr>
          <w:p w14:paraId="64FE7732" w14:textId="77777777" w:rsidR="00737DC2" w:rsidRPr="00737DC2" w:rsidRDefault="00737DC2" w:rsidP="00737DC2">
            <w:pPr>
              <w:spacing w:line="240" w:lineRule="exact"/>
              <w:jc w:val="left"/>
              <w:rPr>
                <w:rFonts w:cs="Arial"/>
                <w:color w:val="000000"/>
                <w:sz w:val="16"/>
                <w:szCs w:val="16"/>
              </w:rPr>
            </w:pPr>
            <w:r w:rsidRPr="00737DC2">
              <w:rPr>
                <w:rFonts w:cs="Arial"/>
                <w:color w:val="000000"/>
                <w:sz w:val="16"/>
                <w:szCs w:val="16"/>
              </w:rPr>
              <w:t xml:space="preserve">Cash and cash equivalents: </w:t>
            </w:r>
          </w:p>
          <w:p w14:paraId="112FB566" w14:textId="77777777" w:rsidR="00737DC2" w:rsidRPr="00737DC2" w:rsidRDefault="00737DC2" w:rsidP="00737DC2">
            <w:pPr>
              <w:spacing w:line="240" w:lineRule="exact"/>
              <w:jc w:val="left"/>
              <w:rPr>
                <w:rFonts w:cs="Arial"/>
                <w:color w:val="000000"/>
                <w:sz w:val="16"/>
                <w:szCs w:val="16"/>
              </w:rPr>
            </w:pPr>
            <w:r w:rsidRPr="00737DC2">
              <w:rPr>
                <w:rFonts w:cs="Arial"/>
                <w:color w:val="000000"/>
                <w:sz w:val="16"/>
                <w:szCs w:val="16"/>
              </w:rPr>
              <w:t>[(Total expenses – (Depreciation/impairment expenses) : 365 days]</w:t>
            </w:r>
          </w:p>
        </w:tc>
        <w:tc>
          <w:tcPr>
            <w:tcW w:w="1106" w:type="dxa"/>
            <w:tcBorders>
              <w:top w:val="none" w:sz="4" w:space="0" w:color="000000"/>
              <w:left w:val="none" w:sz="4" w:space="0" w:color="000000"/>
              <w:bottom w:val="single" w:sz="4" w:space="0" w:color="auto"/>
              <w:right w:val="none" w:sz="4" w:space="0" w:color="000000"/>
            </w:tcBorders>
            <w:vAlign w:val="center"/>
          </w:tcPr>
          <w:p w14:paraId="6E4EC3AC" w14:textId="77777777" w:rsidR="00737DC2" w:rsidRPr="00737DC2" w:rsidRDefault="00737DC2" w:rsidP="00737DC2">
            <w:pPr>
              <w:spacing w:line="240" w:lineRule="exact"/>
              <w:jc w:val="center"/>
              <w:rPr>
                <w:rFonts w:cs="Arial"/>
                <w:color w:val="000000"/>
                <w:sz w:val="16"/>
                <w:szCs w:val="16"/>
              </w:rPr>
            </w:pPr>
            <w:r w:rsidRPr="00737DC2">
              <w:rPr>
                <w:rFonts w:eastAsia="Calibri" w:cs="Arial"/>
                <w:sz w:val="16"/>
                <w:szCs w:val="16"/>
              </w:rPr>
              <w:t>443</w:t>
            </w:r>
          </w:p>
        </w:tc>
        <w:tc>
          <w:tcPr>
            <w:tcW w:w="1106" w:type="dxa"/>
            <w:tcBorders>
              <w:top w:val="none" w:sz="4" w:space="0" w:color="000000"/>
              <w:left w:val="none" w:sz="4" w:space="0" w:color="000000"/>
              <w:bottom w:val="single" w:sz="4" w:space="0" w:color="auto"/>
              <w:right w:val="none" w:sz="4" w:space="0" w:color="000000"/>
            </w:tcBorders>
            <w:noWrap/>
            <w:vAlign w:val="center"/>
          </w:tcPr>
          <w:p w14:paraId="5EB59179" w14:textId="77777777" w:rsidR="00737DC2" w:rsidRPr="00737DC2" w:rsidRDefault="00737DC2" w:rsidP="00737DC2">
            <w:pPr>
              <w:spacing w:line="240" w:lineRule="exact"/>
              <w:jc w:val="center"/>
              <w:rPr>
                <w:rFonts w:cs="Arial"/>
                <w:color w:val="000000"/>
                <w:sz w:val="16"/>
                <w:szCs w:val="16"/>
              </w:rPr>
            </w:pPr>
            <w:r w:rsidRPr="00737DC2">
              <w:rPr>
                <w:rFonts w:eastAsia="Calibri" w:cs="Arial"/>
                <w:sz w:val="16"/>
                <w:szCs w:val="16"/>
              </w:rPr>
              <w:t>538</w:t>
            </w:r>
          </w:p>
        </w:tc>
        <w:tc>
          <w:tcPr>
            <w:tcW w:w="1360" w:type="dxa"/>
            <w:tcBorders>
              <w:top w:val="none" w:sz="4" w:space="0" w:color="000000"/>
              <w:left w:val="none" w:sz="4" w:space="0" w:color="000000"/>
              <w:bottom w:val="single" w:sz="4" w:space="0" w:color="auto"/>
              <w:right w:val="none" w:sz="4" w:space="0" w:color="000000"/>
            </w:tcBorders>
            <w:noWrap/>
            <w:vAlign w:val="center"/>
          </w:tcPr>
          <w:p w14:paraId="769AAFB0" w14:textId="77777777" w:rsidR="00737DC2" w:rsidRPr="00737DC2" w:rsidRDefault="00737DC2" w:rsidP="00737DC2">
            <w:pPr>
              <w:spacing w:line="240" w:lineRule="exact"/>
              <w:jc w:val="center"/>
              <w:rPr>
                <w:rFonts w:cs="Arial"/>
                <w:color w:val="000000"/>
                <w:sz w:val="16"/>
                <w:szCs w:val="16"/>
              </w:rPr>
            </w:pPr>
            <w:r w:rsidRPr="00737DC2">
              <w:rPr>
                <w:rFonts w:eastAsia="Calibri" w:cs="Arial"/>
                <w:sz w:val="16"/>
                <w:szCs w:val="16"/>
              </w:rPr>
              <w:t>471</w:t>
            </w:r>
          </w:p>
        </w:tc>
        <w:tc>
          <w:tcPr>
            <w:tcW w:w="1121" w:type="dxa"/>
            <w:tcBorders>
              <w:top w:val="none" w:sz="4" w:space="0" w:color="000000"/>
              <w:left w:val="none" w:sz="4" w:space="0" w:color="000000"/>
              <w:bottom w:val="single" w:sz="4" w:space="0" w:color="auto"/>
              <w:right w:val="none" w:sz="4" w:space="0" w:color="000000"/>
            </w:tcBorders>
            <w:noWrap/>
            <w:vAlign w:val="center"/>
          </w:tcPr>
          <w:p w14:paraId="2752DFE3" w14:textId="77777777" w:rsidR="00737DC2" w:rsidRPr="00737DC2" w:rsidRDefault="00737DC2" w:rsidP="00737DC2">
            <w:pPr>
              <w:spacing w:line="240" w:lineRule="exact"/>
              <w:jc w:val="center"/>
              <w:rPr>
                <w:rFonts w:cs="Arial"/>
                <w:color w:val="000000"/>
                <w:sz w:val="16"/>
                <w:szCs w:val="16"/>
              </w:rPr>
            </w:pPr>
            <w:r w:rsidRPr="00737DC2">
              <w:rPr>
                <w:rFonts w:eastAsia="Calibri" w:cs="Arial"/>
                <w:sz w:val="16"/>
                <w:szCs w:val="16"/>
              </w:rPr>
              <w:t>471</w:t>
            </w:r>
          </w:p>
        </w:tc>
        <w:tc>
          <w:tcPr>
            <w:tcW w:w="954" w:type="dxa"/>
            <w:tcBorders>
              <w:top w:val="none" w:sz="4" w:space="0" w:color="000000"/>
              <w:left w:val="none" w:sz="4" w:space="0" w:color="000000"/>
              <w:bottom w:val="single" w:sz="4" w:space="0" w:color="auto"/>
              <w:right w:val="single" w:sz="4" w:space="0" w:color="auto"/>
            </w:tcBorders>
            <w:noWrap/>
            <w:vAlign w:val="center"/>
          </w:tcPr>
          <w:p w14:paraId="3163BF23" w14:textId="77777777" w:rsidR="00737DC2" w:rsidRPr="00737DC2" w:rsidRDefault="00737DC2" w:rsidP="00737DC2">
            <w:pPr>
              <w:spacing w:line="240" w:lineRule="exact"/>
              <w:jc w:val="center"/>
              <w:rPr>
                <w:rFonts w:cs="Arial"/>
                <w:color w:val="000000"/>
                <w:sz w:val="16"/>
                <w:szCs w:val="16"/>
              </w:rPr>
            </w:pPr>
            <w:r w:rsidRPr="00737DC2">
              <w:rPr>
                <w:rFonts w:eastAsia="Calibri" w:cs="Arial"/>
                <w:sz w:val="16"/>
                <w:szCs w:val="16"/>
              </w:rPr>
              <w:t>420</w:t>
            </w:r>
          </w:p>
        </w:tc>
      </w:tr>
      <w:tr w:rsidR="00737DC2" w:rsidRPr="00737DC2" w14:paraId="35DE7946" w14:textId="77777777" w:rsidTr="00BD760D">
        <w:trPr>
          <w:trHeight w:val="20"/>
        </w:trPr>
        <w:tc>
          <w:tcPr>
            <w:tcW w:w="2995" w:type="dxa"/>
            <w:tcBorders>
              <w:top w:val="none" w:sz="4" w:space="0" w:color="000000"/>
              <w:left w:val="single" w:sz="4" w:space="0" w:color="auto"/>
              <w:bottom w:val="single" w:sz="4" w:space="0" w:color="auto"/>
              <w:right w:val="none" w:sz="4" w:space="0" w:color="000000"/>
            </w:tcBorders>
            <w:vAlign w:val="center"/>
          </w:tcPr>
          <w:p w14:paraId="0C5C6AFA" w14:textId="77777777" w:rsidR="00737DC2" w:rsidRPr="00737DC2" w:rsidRDefault="00737DC2" w:rsidP="00737DC2">
            <w:pPr>
              <w:spacing w:line="240" w:lineRule="exact"/>
              <w:jc w:val="left"/>
              <w:rPr>
                <w:rFonts w:cs="Arial"/>
                <w:b/>
                <w:bCs/>
                <w:color w:val="000000"/>
                <w:sz w:val="16"/>
                <w:szCs w:val="16"/>
              </w:rPr>
            </w:pPr>
            <w:r w:rsidRPr="00737DC2">
              <w:rPr>
                <w:rFonts w:cs="Arial"/>
                <w:b/>
                <w:bCs/>
                <w:color w:val="000000"/>
                <w:sz w:val="16"/>
                <w:szCs w:val="16"/>
              </w:rPr>
              <w:t>Operating Ratio</w:t>
            </w:r>
            <w:r w:rsidRPr="00737DC2">
              <w:rPr>
                <w:rFonts w:cs="Arial"/>
                <w:b/>
                <w:bCs/>
                <w:color w:val="000000"/>
                <w:sz w:val="16"/>
                <w:szCs w:val="16"/>
                <w:vertAlign w:val="superscript"/>
              </w:rPr>
              <w:t>5</w:t>
            </w:r>
          </w:p>
          <w:p w14:paraId="5080B5A9" w14:textId="77777777" w:rsidR="00737DC2" w:rsidRPr="00737DC2" w:rsidRDefault="00737DC2" w:rsidP="00737DC2">
            <w:pPr>
              <w:spacing w:line="240" w:lineRule="exact"/>
              <w:jc w:val="left"/>
              <w:rPr>
                <w:rFonts w:cs="Arial"/>
                <w:b/>
                <w:bCs/>
                <w:color w:val="000000"/>
                <w:sz w:val="16"/>
                <w:szCs w:val="16"/>
              </w:rPr>
            </w:pPr>
            <w:r w:rsidRPr="00737DC2">
              <w:rPr>
                <w:rFonts w:cs="Arial"/>
                <w:color w:val="000000"/>
                <w:sz w:val="16"/>
                <w:szCs w:val="16"/>
              </w:rPr>
              <w:t>(Revenues – Expenses) : Total Expenses</w:t>
            </w:r>
          </w:p>
        </w:tc>
        <w:tc>
          <w:tcPr>
            <w:tcW w:w="1106" w:type="dxa"/>
            <w:tcBorders>
              <w:top w:val="none" w:sz="4" w:space="0" w:color="000000"/>
              <w:left w:val="none" w:sz="4" w:space="0" w:color="000000"/>
              <w:bottom w:val="single" w:sz="4" w:space="0" w:color="auto"/>
              <w:right w:val="none" w:sz="4" w:space="0" w:color="000000"/>
            </w:tcBorders>
            <w:vAlign w:val="center"/>
          </w:tcPr>
          <w:p w14:paraId="74C6011D" w14:textId="77777777" w:rsidR="00737DC2" w:rsidRPr="00737DC2" w:rsidRDefault="00737DC2" w:rsidP="00737DC2">
            <w:pPr>
              <w:spacing w:line="240" w:lineRule="exact"/>
              <w:jc w:val="center"/>
              <w:rPr>
                <w:rFonts w:cs="Arial"/>
                <w:b/>
                <w:bCs/>
                <w:color w:val="000000"/>
                <w:sz w:val="16"/>
                <w:szCs w:val="16"/>
              </w:rPr>
            </w:pPr>
            <w:r w:rsidRPr="00737DC2">
              <w:rPr>
                <w:rFonts w:eastAsia="Calibri" w:cs="Arial"/>
                <w:sz w:val="16"/>
                <w:szCs w:val="16"/>
              </w:rPr>
              <w:t>-0.03</w:t>
            </w:r>
          </w:p>
        </w:tc>
        <w:tc>
          <w:tcPr>
            <w:tcW w:w="1106" w:type="dxa"/>
            <w:tcBorders>
              <w:top w:val="none" w:sz="4" w:space="0" w:color="000000"/>
              <w:left w:val="none" w:sz="4" w:space="0" w:color="000000"/>
              <w:bottom w:val="single" w:sz="4" w:space="0" w:color="auto"/>
              <w:right w:val="none" w:sz="4" w:space="0" w:color="000000"/>
            </w:tcBorders>
            <w:noWrap/>
            <w:vAlign w:val="center"/>
          </w:tcPr>
          <w:p w14:paraId="6B25A4E0" w14:textId="77777777" w:rsidR="00737DC2" w:rsidRPr="00737DC2" w:rsidRDefault="00737DC2" w:rsidP="00737DC2">
            <w:pPr>
              <w:spacing w:line="240" w:lineRule="exact"/>
              <w:jc w:val="center"/>
              <w:rPr>
                <w:rFonts w:cs="Arial"/>
                <w:color w:val="000000"/>
                <w:sz w:val="16"/>
                <w:szCs w:val="16"/>
              </w:rPr>
            </w:pPr>
            <w:r w:rsidRPr="00737DC2">
              <w:rPr>
                <w:rFonts w:eastAsia="Calibri" w:cs="Arial"/>
                <w:sz w:val="16"/>
                <w:szCs w:val="16"/>
              </w:rPr>
              <w:t>0.07</w:t>
            </w:r>
          </w:p>
        </w:tc>
        <w:tc>
          <w:tcPr>
            <w:tcW w:w="1360" w:type="dxa"/>
            <w:tcBorders>
              <w:top w:val="none" w:sz="4" w:space="0" w:color="000000"/>
              <w:left w:val="none" w:sz="4" w:space="0" w:color="000000"/>
              <w:bottom w:val="single" w:sz="4" w:space="0" w:color="auto"/>
              <w:right w:val="none" w:sz="4" w:space="0" w:color="000000"/>
            </w:tcBorders>
            <w:noWrap/>
            <w:vAlign w:val="center"/>
          </w:tcPr>
          <w:p w14:paraId="1E332295" w14:textId="77777777" w:rsidR="00737DC2" w:rsidRPr="00737DC2" w:rsidRDefault="00737DC2" w:rsidP="00737DC2">
            <w:pPr>
              <w:spacing w:line="240" w:lineRule="exact"/>
              <w:jc w:val="center"/>
              <w:rPr>
                <w:rFonts w:cs="Arial"/>
                <w:color w:val="000000"/>
                <w:sz w:val="16"/>
                <w:szCs w:val="16"/>
              </w:rPr>
            </w:pPr>
            <w:r w:rsidRPr="00737DC2">
              <w:rPr>
                <w:rFonts w:eastAsia="Calibri" w:cs="Arial"/>
                <w:sz w:val="16"/>
                <w:szCs w:val="16"/>
              </w:rPr>
              <w:t>-0.01</w:t>
            </w:r>
          </w:p>
        </w:tc>
        <w:tc>
          <w:tcPr>
            <w:tcW w:w="1121" w:type="dxa"/>
            <w:tcBorders>
              <w:top w:val="none" w:sz="4" w:space="0" w:color="000000"/>
              <w:left w:val="none" w:sz="4" w:space="0" w:color="000000"/>
              <w:bottom w:val="single" w:sz="4" w:space="0" w:color="auto"/>
              <w:right w:val="none" w:sz="4" w:space="0" w:color="000000"/>
            </w:tcBorders>
            <w:noWrap/>
            <w:vAlign w:val="center"/>
          </w:tcPr>
          <w:p w14:paraId="2AC275B0" w14:textId="77777777" w:rsidR="00737DC2" w:rsidRPr="00737DC2" w:rsidRDefault="00737DC2" w:rsidP="00737DC2">
            <w:pPr>
              <w:spacing w:line="240" w:lineRule="exact"/>
              <w:jc w:val="center"/>
              <w:rPr>
                <w:rFonts w:cs="Arial"/>
                <w:color w:val="000000"/>
                <w:sz w:val="16"/>
                <w:szCs w:val="16"/>
              </w:rPr>
            </w:pPr>
            <w:r w:rsidRPr="00737DC2">
              <w:rPr>
                <w:rFonts w:eastAsia="Calibri" w:cs="Arial"/>
                <w:sz w:val="16"/>
                <w:szCs w:val="16"/>
              </w:rPr>
              <w:t>0.02</w:t>
            </w:r>
          </w:p>
        </w:tc>
        <w:tc>
          <w:tcPr>
            <w:tcW w:w="954" w:type="dxa"/>
            <w:tcBorders>
              <w:top w:val="none" w:sz="4" w:space="0" w:color="000000"/>
              <w:left w:val="none" w:sz="4" w:space="0" w:color="000000"/>
              <w:bottom w:val="single" w:sz="4" w:space="0" w:color="auto"/>
              <w:right w:val="single" w:sz="4" w:space="0" w:color="auto"/>
            </w:tcBorders>
            <w:noWrap/>
            <w:vAlign w:val="center"/>
          </w:tcPr>
          <w:p w14:paraId="0129A653" w14:textId="77777777" w:rsidR="00737DC2" w:rsidRPr="00737DC2" w:rsidRDefault="00737DC2" w:rsidP="00737DC2">
            <w:pPr>
              <w:spacing w:line="240" w:lineRule="exact"/>
              <w:jc w:val="center"/>
              <w:rPr>
                <w:rFonts w:cs="Arial"/>
                <w:color w:val="000000"/>
                <w:sz w:val="16"/>
                <w:szCs w:val="16"/>
              </w:rPr>
            </w:pPr>
            <w:r w:rsidRPr="00737DC2">
              <w:rPr>
                <w:rFonts w:eastAsia="Calibri" w:cs="Arial"/>
                <w:sz w:val="16"/>
                <w:szCs w:val="16"/>
              </w:rPr>
              <w:t>-0.06</w:t>
            </w:r>
          </w:p>
        </w:tc>
      </w:tr>
      <w:tr w:rsidR="00737DC2" w:rsidRPr="00737DC2" w14:paraId="433379C4" w14:textId="77777777" w:rsidTr="00BD760D">
        <w:trPr>
          <w:trHeight w:val="20"/>
        </w:trPr>
        <w:tc>
          <w:tcPr>
            <w:tcW w:w="8642" w:type="dxa"/>
            <w:gridSpan w:val="6"/>
            <w:tcBorders>
              <w:top w:val="single" w:sz="4" w:space="0" w:color="auto"/>
              <w:left w:val="none" w:sz="4" w:space="0" w:color="000000"/>
            </w:tcBorders>
            <w:vAlign w:val="center"/>
          </w:tcPr>
          <w:p w14:paraId="32DF31F9" w14:textId="77777777" w:rsidR="00737DC2" w:rsidRPr="00737DC2" w:rsidRDefault="00737DC2" w:rsidP="00737DC2">
            <w:pPr>
              <w:spacing w:line="240" w:lineRule="exact"/>
              <w:jc w:val="left"/>
              <w:rPr>
                <w:rFonts w:cs="Arial"/>
                <w:b/>
                <w:bCs/>
                <w:color w:val="000000"/>
                <w:sz w:val="16"/>
                <w:szCs w:val="16"/>
              </w:rPr>
            </w:pPr>
          </w:p>
          <w:p w14:paraId="378CDD99" w14:textId="77777777" w:rsidR="00737DC2" w:rsidRPr="00737DC2" w:rsidRDefault="00737DC2" w:rsidP="00737DC2">
            <w:pPr>
              <w:spacing w:line="240" w:lineRule="exact"/>
              <w:jc w:val="left"/>
              <w:rPr>
                <w:rFonts w:cs="Arial"/>
                <w:b/>
                <w:bCs/>
                <w:color w:val="000000"/>
                <w:sz w:val="16"/>
                <w:szCs w:val="16"/>
              </w:rPr>
            </w:pPr>
            <w:r w:rsidRPr="00737DC2">
              <w:rPr>
                <w:rFonts w:cs="Arial"/>
                <w:b/>
                <w:bCs/>
                <w:color w:val="000000"/>
                <w:sz w:val="16"/>
                <w:szCs w:val="16"/>
              </w:rPr>
              <w:t>Source: The Union’s financial statements</w:t>
            </w:r>
          </w:p>
          <w:p w14:paraId="321DFCA4" w14:textId="77777777" w:rsidR="00737DC2" w:rsidRPr="00737DC2" w:rsidRDefault="00737DC2" w:rsidP="00737DC2">
            <w:pPr>
              <w:numPr>
                <w:ilvl w:val="0"/>
                <w:numId w:val="4"/>
              </w:numPr>
              <w:spacing w:after="120" w:line="240" w:lineRule="exact"/>
              <w:ind w:left="338" w:hanging="338"/>
              <w:contextualSpacing/>
              <w:jc w:val="left"/>
              <w:rPr>
                <w:rFonts w:cs="Arial"/>
                <w:color w:val="000000"/>
                <w:sz w:val="16"/>
                <w:szCs w:val="16"/>
              </w:rPr>
            </w:pPr>
            <w:r w:rsidRPr="00737DC2">
              <w:rPr>
                <w:rFonts w:cs="Arial"/>
                <w:color w:val="000000"/>
                <w:sz w:val="16"/>
                <w:szCs w:val="16"/>
              </w:rPr>
              <w:t>A high ratio indicates the Union’s ability to pay off its current liabilities.</w:t>
            </w:r>
          </w:p>
          <w:p w14:paraId="4371F30C" w14:textId="77777777" w:rsidR="00737DC2" w:rsidRPr="00737DC2" w:rsidRDefault="00737DC2" w:rsidP="00737DC2">
            <w:pPr>
              <w:numPr>
                <w:ilvl w:val="0"/>
                <w:numId w:val="4"/>
              </w:numPr>
              <w:spacing w:after="120" w:line="240" w:lineRule="exact"/>
              <w:ind w:left="338" w:hanging="338"/>
              <w:contextualSpacing/>
              <w:jc w:val="left"/>
              <w:rPr>
                <w:rFonts w:cs="Arial"/>
                <w:color w:val="000000"/>
                <w:sz w:val="16"/>
                <w:szCs w:val="16"/>
              </w:rPr>
            </w:pPr>
            <w:r w:rsidRPr="00737DC2">
              <w:rPr>
                <w:rFonts w:cs="Arial"/>
                <w:color w:val="000000"/>
                <w:sz w:val="16"/>
                <w:szCs w:val="16"/>
              </w:rPr>
              <w:t>A high ratio is a good indicator of solvency.</w:t>
            </w:r>
          </w:p>
          <w:p w14:paraId="0585FA8A" w14:textId="77777777" w:rsidR="00737DC2" w:rsidRPr="00737DC2" w:rsidRDefault="00737DC2" w:rsidP="00737DC2">
            <w:pPr>
              <w:numPr>
                <w:ilvl w:val="0"/>
                <w:numId w:val="4"/>
              </w:numPr>
              <w:spacing w:after="120" w:line="240" w:lineRule="exact"/>
              <w:ind w:left="338" w:hanging="338"/>
              <w:contextualSpacing/>
              <w:jc w:val="left"/>
              <w:rPr>
                <w:rFonts w:cs="Arial"/>
                <w:color w:val="000000"/>
                <w:sz w:val="16"/>
                <w:szCs w:val="16"/>
              </w:rPr>
            </w:pPr>
            <w:r w:rsidRPr="00737DC2">
              <w:rPr>
                <w:rFonts w:cs="Arial"/>
                <w:color w:val="000000"/>
                <w:sz w:val="16"/>
                <w:szCs w:val="16"/>
              </w:rPr>
              <w:t>The cash ratio is an indicator of the Union’s liquidity. It measures the amount of cash and cash equivalents and short-term investments to cover current liabilities.</w:t>
            </w:r>
          </w:p>
          <w:p w14:paraId="7FE9382D" w14:textId="77777777" w:rsidR="00737DC2" w:rsidRPr="00737DC2" w:rsidRDefault="00737DC2" w:rsidP="00737DC2">
            <w:pPr>
              <w:numPr>
                <w:ilvl w:val="0"/>
                <w:numId w:val="4"/>
              </w:numPr>
              <w:spacing w:after="120" w:line="240" w:lineRule="exact"/>
              <w:ind w:left="338" w:hanging="338"/>
              <w:contextualSpacing/>
              <w:jc w:val="left"/>
              <w:rPr>
                <w:rFonts w:cs="Arial"/>
                <w:color w:val="000000"/>
                <w:sz w:val="16"/>
                <w:szCs w:val="16"/>
              </w:rPr>
            </w:pPr>
            <w:r w:rsidRPr="00737DC2">
              <w:rPr>
                <w:rFonts w:cs="Arial"/>
                <w:color w:val="000000"/>
                <w:sz w:val="16"/>
                <w:szCs w:val="16"/>
              </w:rPr>
              <w:t xml:space="preserve">Days cash on hand measures the number of days of expenses that can be covered from existing cash and cash equivalents. Generally, higher values indicate a stronger liquidity position, although there is both a benefit and an opportunity cost to </w:t>
            </w:r>
            <w:proofErr w:type="gramStart"/>
            <w:r w:rsidRPr="00737DC2">
              <w:rPr>
                <w:rFonts w:cs="Arial"/>
                <w:color w:val="000000"/>
                <w:sz w:val="16"/>
                <w:szCs w:val="16"/>
              </w:rPr>
              <w:t>holding</w:t>
            </w:r>
            <w:proofErr w:type="gramEnd"/>
            <w:r w:rsidRPr="00737DC2">
              <w:rPr>
                <w:rFonts w:cs="Arial"/>
                <w:color w:val="000000"/>
                <w:sz w:val="16"/>
                <w:szCs w:val="16"/>
              </w:rPr>
              <w:t xml:space="preserve"> cash reserves.</w:t>
            </w:r>
          </w:p>
          <w:p w14:paraId="311D1175" w14:textId="77777777" w:rsidR="00737DC2" w:rsidRPr="00737DC2" w:rsidRDefault="00737DC2" w:rsidP="00737DC2">
            <w:pPr>
              <w:numPr>
                <w:ilvl w:val="0"/>
                <w:numId w:val="4"/>
              </w:numPr>
              <w:spacing w:after="120" w:line="240" w:lineRule="exact"/>
              <w:ind w:left="338" w:hanging="338"/>
              <w:contextualSpacing/>
              <w:jc w:val="left"/>
              <w:rPr>
                <w:rFonts w:cs="Arial"/>
                <w:color w:val="000000"/>
                <w:sz w:val="16"/>
                <w:szCs w:val="16"/>
              </w:rPr>
            </w:pPr>
            <w:r w:rsidRPr="00737DC2">
              <w:rPr>
                <w:rFonts w:cs="Arial"/>
                <w:color w:val="000000"/>
                <w:sz w:val="16"/>
                <w:szCs w:val="16"/>
              </w:rPr>
              <w:t>The operating ratio measures the net revenues that are retained by the Union as a percentage of expenses. Generally, not-for-profit entities must maintain some surplus to replace existing facilities and extinguish debt. This ratio should be evaluated in the context of the anticipated needs of the Union.</w:t>
            </w:r>
          </w:p>
        </w:tc>
      </w:tr>
    </w:tbl>
    <w:p w14:paraId="28D319E3" w14:textId="77777777" w:rsidR="00737DC2" w:rsidRPr="00737DC2" w:rsidRDefault="00737DC2" w:rsidP="00BC6EC4">
      <w:pPr>
        <w:pStyle w:val="Heading5"/>
      </w:pPr>
      <w:bookmarkStart w:id="76" w:name="_Toc231446314"/>
      <w:bookmarkStart w:id="77" w:name="_Toc234409602"/>
      <w:bookmarkEnd w:id="75"/>
      <w:r w:rsidRPr="00737DC2">
        <w:t xml:space="preserve">Segment </w:t>
      </w:r>
      <w:bookmarkEnd w:id="76"/>
      <w:r w:rsidRPr="00737DC2">
        <w:t>reporting</w:t>
      </w:r>
      <w:bookmarkEnd w:id="77"/>
    </w:p>
    <w:p w14:paraId="4594F075" w14:textId="77777777" w:rsidR="00737DC2" w:rsidRPr="00737DC2" w:rsidRDefault="00737DC2" w:rsidP="00832B16">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Note 13 and 14 to the financial statements outlines the financial performance of revenue and expenditure by segments, which are the Regular Program and Budget and Funds in Trust. The Regular Program and Budget recorded total revenue of 3,752 thousand Swiss francs against total expenses of 3,884 thousand Swiss francs, resulting in a deficit of 132 thousand Swiss francs for 2025. The Funds in Trust segment, financed through voluntary contributions, recorded revenue of 298 thousand Swiss francs fully offset by equivalent expenditure, resulting in a nil net contribution to the Union's overall result.</w:t>
      </w:r>
    </w:p>
    <w:p w14:paraId="7DD98DEB" w14:textId="77777777" w:rsidR="00737DC2" w:rsidRPr="00737DC2" w:rsidRDefault="00737DC2" w:rsidP="00737DC2">
      <w:pPr>
        <w:spacing w:after="120" w:line="276" w:lineRule="auto"/>
        <w:ind w:left="349"/>
        <w:rPr>
          <w:rFonts w:ascii="Times New Roman" w:eastAsia="Calibri" w:hAnsi="Times New Roman"/>
          <w:sz w:val="22"/>
          <w:szCs w:val="22"/>
        </w:rPr>
      </w:pPr>
    </w:p>
    <w:p w14:paraId="1E267346" w14:textId="77777777" w:rsidR="00737DC2" w:rsidRPr="00737DC2" w:rsidRDefault="00737DC2" w:rsidP="00737DC2">
      <w:pPr>
        <w:spacing w:after="120" w:line="276" w:lineRule="auto"/>
        <w:ind w:left="349"/>
        <w:rPr>
          <w:rFonts w:ascii="Times New Roman" w:eastAsia="Calibri" w:hAnsi="Times New Roman"/>
          <w:sz w:val="22"/>
          <w:szCs w:val="22"/>
        </w:rPr>
      </w:pPr>
    </w:p>
    <w:p w14:paraId="4421047E" w14:textId="77777777" w:rsidR="00737DC2" w:rsidRPr="00737DC2" w:rsidRDefault="00737DC2" w:rsidP="00737DC2">
      <w:pPr>
        <w:spacing w:after="120" w:line="276" w:lineRule="auto"/>
        <w:ind w:left="349"/>
        <w:rPr>
          <w:rFonts w:ascii="Times New Roman" w:eastAsia="Calibri" w:hAnsi="Times New Roman"/>
          <w:sz w:val="22"/>
          <w:szCs w:val="22"/>
        </w:rPr>
      </w:pPr>
    </w:p>
    <w:p w14:paraId="41B63B3A" w14:textId="77777777" w:rsidR="00737DC2" w:rsidRPr="00737DC2" w:rsidRDefault="00737DC2" w:rsidP="006F49CE">
      <w:pPr>
        <w:pStyle w:val="Heading3"/>
      </w:pPr>
      <w:bookmarkStart w:id="78" w:name="_Toc234408428"/>
      <w:bookmarkStart w:id="79" w:name="_Toc234409603"/>
      <w:bookmarkStart w:id="80" w:name="_Toc234419089"/>
      <w:r w:rsidRPr="00737DC2">
        <w:lastRenderedPageBreak/>
        <w:t>Follow-up on previous recommendations</w:t>
      </w:r>
      <w:bookmarkEnd w:id="78"/>
      <w:bookmarkEnd w:id="79"/>
      <w:bookmarkEnd w:id="80"/>
    </w:p>
    <w:p w14:paraId="070AF7AA" w14:textId="77777777" w:rsidR="00737DC2" w:rsidRPr="00737DC2" w:rsidRDefault="00737DC2" w:rsidP="00737DC2">
      <w:pPr>
        <w:numPr>
          <w:ilvl w:val="0"/>
          <w:numId w:val="3"/>
        </w:numPr>
        <w:spacing w:after="120" w:line="276" w:lineRule="auto"/>
        <w:ind w:left="709"/>
        <w:jc w:val="left"/>
        <w:rPr>
          <w:rFonts w:ascii="Times New Roman" w:eastAsia="Calibri" w:hAnsi="Times New Roman"/>
          <w:sz w:val="22"/>
          <w:szCs w:val="22"/>
        </w:rPr>
      </w:pPr>
      <w:r w:rsidRPr="00737DC2">
        <w:rPr>
          <w:rFonts w:ascii="Times New Roman" w:eastAsia="Calibri" w:hAnsi="Times New Roman"/>
          <w:sz w:val="22"/>
          <w:szCs w:val="22"/>
        </w:rPr>
        <w:t>As part of the audit, BPK reviewed the status of recommendations from prior audit periods. There were no outstanding recommendations from previous external audit reports. All prior recommendations have been fully implemented and closed.</w:t>
      </w:r>
    </w:p>
    <w:p w14:paraId="4ACBF532" w14:textId="77777777" w:rsidR="00737DC2" w:rsidRPr="00737DC2" w:rsidRDefault="00737DC2" w:rsidP="006F49CE">
      <w:pPr>
        <w:pStyle w:val="Heading3"/>
      </w:pPr>
      <w:bookmarkStart w:id="81" w:name="_Toc234408429"/>
      <w:bookmarkStart w:id="82" w:name="_Toc234409604"/>
      <w:bookmarkStart w:id="83" w:name="_Toc234419090"/>
      <w:r w:rsidRPr="00737DC2">
        <w:t xml:space="preserve">Audit conclusion, </w:t>
      </w:r>
      <w:proofErr w:type="gramStart"/>
      <w:r w:rsidRPr="00737DC2">
        <w:t>finding</w:t>
      </w:r>
      <w:proofErr w:type="gramEnd"/>
      <w:r w:rsidRPr="00737DC2">
        <w:t>, and recommendations</w:t>
      </w:r>
      <w:bookmarkEnd w:id="81"/>
      <w:bookmarkEnd w:id="82"/>
      <w:bookmarkEnd w:id="83"/>
    </w:p>
    <w:p w14:paraId="0D8A6119" w14:textId="77777777" w:rsidR="00737DC2" w:rsidRPr="006F49CE" w:rsidRDefault="00737DC2" w:rsidP="00BC6EC4">
      <w:pPr>
        <w:pStyle w:val="Heading4"/>
      </w:pPr>
      <w:bookmarkStart w:id="84" w:name="_Toc234408430"/>
      <w:bookmarkStart w:id="85" w:name="_Toc234409605"/>
      <w:bookmarkStart w:id="86" w:name="_Toc234419091"/>
      <w:r w:rsidRPr="006F49CE">
        <w:t>Audit conclusion</w:t>
      </w:r>
      <w:bookmarkEnd w:id="84"/>
      <w:bookmarkEnd w:id="85"/>
      <w:bookmarkEnd w:id="86"/>
    </w:p>
    <w:p w14:paraId="10BBBF12" w14:textId="77777777" w:rsidR="00737DC2" w:rsidRPr="00737DC2" w:rsidRDefault="00737DC2" w:rsidP="00C02C8D">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 xml:space="preserve">BPK has audited the Union financial statements for the year ended 31 December 2025, comprising the statement of financial position, the statement of financial performance, the statement of changes in net assets, the statement of cash flows, the comparison of budget and actual amounts, and notes to the financial statements, which presented fairly, in all material respects, in accordance with IPSAS. Furthermore, all underlying transactions complied with the FRR. </w:t>
      </w:r>
    </w:p>
    <w:p w14:paraId="0D9DD7DB" w14:textId="77777777" w:rsidR="00737DC2" w:rsidRPr="00737DC2" w:rsidRDefault="00737DC2" w:rsidP="00C02C8D">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 xml:space="preserve">The Union has applied the initial application of IPSAS 47 </w:t>
      </w:r>
      <w:r w:rsidRPr="00737DC2">
        <w:rPr>
          <w:rFonts w:ascii="Times New Roman" w:eastAsia="Calibri" w:hAnsi="Times New Roman"/>
          <w:i/>
          <w:iCs/>
          <w:sz w:val="22"/>
          <w:szCs w:val="22"/>
        </w:rPr>
        <w:t>Revenue</w:t>
      </w:r>
      <w:r w:rsidRPr="00737DC2">
        <w:rPr>
          <w:rFonts w:ascii="Times New Roman" w:eastAsia="Calibri" w:hAnsi="Times New Roman"/>
          <w:sz w:val="22"/>
          <w:szCs w:val="22"/>
        </w:rPr>
        <w:t xml:space="preserve"> and IPSAS 48 </w:t>
      </w:r>
      <w:r w:rsidRPr="00737DC2">
        <w:rPr>
          <w:rFonts w:ascii="Times New Roman" w:eastAsia="Calibri" w:hAnsi="Times New Roman"/>
          <w:i/>
          <w:iCs/>
          <w:sz w:val="22"/>
          <w:szCs w:val="22"/>
        </w:rPr>
        <w:t>Transfer Expenses</w:t>
      </w:r>
      <w:r w:rsidRPr="00737DC2">
        <w:rPr>
          <w:rFonts w:ascii="Times New Roman" w:eastAsia="Calibri" w:hAnsi="Times New Roman"/>
          <w:sz w:val="22"/>
          <w:szCs w:val="22"/>
        </w:rPr>
        <w:t xml:space="preserve"> earlier than their mandatory effective date, 1 January 2026. The implementation of these standards has been updated in the Union Notes to Significant Accounting Policies.</w:t>
      </w:r>
    </w:p>
    <w:p w14:paraId="7B6E9684" w14:textId="77777777" w:rsidR="00737DC2" w:rsidRPr="00737DC2" w:rsidRDefault="00737DC2" w:rsidP="00BC6EC4">
      <w:pPr>
        <w:pStyle w:val="Heading4"/>
      </w:pPr>
      <w:bookmarkStart w:id="87" w:name="_Toc234408431"/>
      <w:bookmarkStart w:id="88" w:name="_Toc234409606"/>
      <w:bookmarkStart w:id="89" w:name="_Toc234419092"/>
      <w:r w:rsidRPr="00737DC2">
        <w:t>Finding and recommendation</w:t>
      </w:r>
      <w:bookmarkEnd w:id="87"/>
      <w:bookmarkEnd w:id="88"/>
      <w:bookmarkEnd w:id="89"/>
    </w:p>
    <w:p w14:paraId="5C913B5D" w14:textId="77777777" w:rsidR="00737DC2" w:rsidRPr="00737DC2" w:rsidRDefault="00737DC2" w:rsidP="00C02C8D">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The Union has demonstrated sound governance in managing its inter-organizational relationship with WIPO. The WIPO/UPOV Agreement of 1982 provides a framework governing the provision of administrative services and has served as a stable operational foundation for the Union’s financial management. While acknowledging the effectiveness of this arrangement, BPK believes there are opportunities to enhance current practices and therefore provides the following recommendation to further strengthen existing processes.</w:t>
      </w:r>
    </w:p>
    <w:p w14:paraId="4A9F50E7" w14:textId="77777777" w:rsidR="00737DC2" w:rsidRPr="00737DC2" w:rsidRDefault="00737DC2" w:rsidP="00BC6EC4">
      <w:pPr>
        <w:pStyle w:val="Heading5"/>
      </w:pPr>
      <w:bookmarkStart w:id="90" w:name="_Toc234409607"/>
      <w:r w:rsidRPr="00737DC2">
        <w:t>Optimizing the reimbursement cycle between the Union and WIPO</w:t>
      </w:r>
      <w:bookmarkEnd w:id="90"/>
    </w:p>
    <w:p w14:paraId="5CEF79E5" w14:textId="77777777" w:rsidR="00737DC2" w:rsidRPr="00737DC2" w:rsidRDefault="00737DC2" w:rsidP="00C02C8D">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The Union’s financial operations are conducted within a service arrangement with WIPO. Under the WIPO/UPOV Agreement signed in 1982, WIPO provides administrative services to the Union, including office space, personnel administration, financial administration, and procurement services.</w:t>
      </w:r>
    </w:p>
    <w:p w14:paraId="6A242712" w14:textId="77777777" w:rsidR="00737DC2" w:rsidRPr="00737DC2" w:rsidRDefault="00737DC2" w:rsidP="00C02C8D">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Under the WIPO/UPOV Agreement, WIPO’s treasury and finance units manage routine financial transactions on behalf of the Union. UPOV members’ contributions flow into the Union’s bank accounts, while WIPO advances payment for the Union’s obligations (payroll, suppliers, contractors, and other operating costs) from WIPO’s own resources throughout the year. The WIPO financial reporting team subsequently performs a reconciliation and instructs Treasury to execute the reimbursement transfer from the Union’s bank account to WIPO.</w:t>
      </w:r>
    </w:p>
    <w:p w14:paraId="07FBD86D" w14:textId="77777777" w:rsidR="00737DC2" w:rsidRPr="00737DC2" w:rsidRDefault="00737DC2" w:rsidP="00C02C8D">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While minor interim settlements occur during the year, our analysis confirms that the majority of the Union’s outgoing bank movements, by value, occurred in December 2025. The reimbursement cycle is, therefore, in substance, annual.</w:t>
      </w:r>
    </w:p>
    <w:p w14:paraId="63AA7CE0" w14:textId="77777777" w:rsidR="00737DC2" w:rsidRPr="00737DC2" w:rsidRDefault="00737DC2" w:rsidP="00C02C8D">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The annual reimbursement cycle means that, for most of the financial year, the Union’s intra-year financial reporting does not reflect a precise view of its true net cash position. The Union’s bank accounts reflect contribution receipts accumulated throughout the year but do not reflect the growing liability to WIPO until the year-end reimbursement is processed. The reported cash availability during the year may therefore not fully reflect the Union’s true disposable cash position.</w:t>
      </w:r>
    </w:p>
    <w:p w14:paraId="1E858ED2" w14:textId="77777777" w:rsidR="00737DC2" w:rsidRPr="00737DC2" w:rsidRDefault="00737DC2" w:rsidP="00C02C8D">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lastRenderedPageBreak/>
        <w:t>There is no formal agreement, policy, or procedural requirement that mandates this frequency. The current annual cycle is a matter of practice rather than policy. More frequent settlement of the Union’s obligations would better ensure that its reported cash position remains accurate and reliable throughout the financial year.</w:t>
      </w:r>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22"/>
      </w:tblGrid>
      <w:tr w:rsidR="00737DC2" w:rsidRPr="00737DC2" w14:paraId="1927378C" w14:textId="77777777" w:rsidTr="00737DC2">
        <w:tc>
          <w:tcPr>
            <w:tcW w:w="8222" w:type="dxa"/>
            <w:shd w:val="clear" w:color="auto" w:fill="DAE9F7"/>
            <w:tcMar>
              <w:top w:w="40" w:type="dxa"/>
              <w:left w:w="80" w:type="dxa"/>
              <w:bottom w:w="40" w:type="dxa"/>
              <w:right w:w="80" w:type="dxa"/>
            </w:tcMar>
          </w:tcPr>
          <w:p w14:paraId="04C4C1EB" w14:textId="77777777" w:rsidR="00737DC2" w:rsidRPr="00737DC2" w:rsidRDefault="00737DC2" w:rsidP="00737DC2">
            <w:pPr>
              <w:spacing w:after="120" w:line="276" w:lineRule="auto"/>
              <w:rPr>
                <w:rFonts w:ascii="Times New Roman" w:eastAsia="Calibri" w:hAnsi="Times New Roman"/>
                <w:b/>
                <w:bCs/>
                <w:sz w:val="22"/>
                <w:szCs w:val="22"/>
              </w:rPr>
            </w:pPr>
            <w:r w:rsidRPr="00737DC2">
              <w:rPr>
                <w:rFonts w:ascii="Times New Roman" w:eastAsia="Calibri" w:hAnsi="Times New Roman"/>
                <w:b/>
                <w:bCs/>
                <w:sz w:val="22"/>
                <w:szCs w:val="22"/>
              </w:rPr>
              <w:t>Recommendation 1</w:t>
            </w:r>
          </w:p>
          <w:p w14:paraId="0B500D9F" w14:textId="77777777" w:rsidR="00737DC2" w:rsidRPr="00737DC2" w:rsidRDefault="00737DC2" w:rsidP="00737DC2">
            <w:pPr>
              <w:spacing w:after="120" w:line="276" w:lineRule="auto"/>
              <w:rPr>
                <w:rFonts w:ascii="Times New Roman" w:eastAsia="Calibri" w:hAnsi="Times New Roman"/>
                <w:sz w:val="22"/>
                <w:szCs w:val="22"/>
              </w:rPr>
            </w:pPr>
            <w:r w:rsidRPr="00737DC2">
              <w:rPr>
                <w:rFonts w:ascii="Times New Roman" w:eastAsia="Calibri" w:hAnsi="Times New Roman"/>
                <w:sz w:val="22"/>
                <w:szCs w:val="22"/>
              </w:rPr>
              <w:t>BPK recommends that the Union management engage with WIPO to establish a formally agreed, more frequent reimbursement cycle (e.g., quarterly or semi-annual) to ensure the Union’s reported cash position more accurately reflects its disposable funds throughout the year.</w:t>
            </w:r>
          </w:p>
        </w:tc>
      </w:tr>
      <w:tr w:rsidR="00737DC2" w:rsidRPr="00737DC2" w14:paraId="4DD3CD45" w14:textId="77777777" w:rsidTr="00737DC2">
        <w:tc>
          <w:tcPr>
            <w:tcW w:w="8222" w:type="dxa"/>
            <w:shd w:val="clear" w:color="auto" w:fill="DAE9F7"/>
            <w:tcMar>
              <w:top w:w="40" w:type="dxa"/>
              <w:left w:w="80" w:type="dxa"/>
              <w:bottom w:w="40" w:type="dxa"/>
              <w:right w:w="80" w:type="dxa"/>
            </w:tcMar>
          </w:tcPr>
          <w:p w14:paraId="108AC4D6" w14:textId="77777777" w:rsidR="00737DC2" w:rsidRPr="00737DC2" w:rsidRDefault="00737DC2" w:rsidP="00737DC2">
            <w:pPr>
              <w:spacing w:after="120" w:line="276" w:lineRule="auto"/>
              <w:rPr>
                <w:rFonts w:ascii="Times New Roman" w:eastAsia="Calibri" w:hAnsi="Times New Roman"/>
                <w:b/>
                <w:bCs/>
                <w:sz w:val="22"/>
                <w:szCs w:val="22"/>
              </w:rPr>
            </w:pPr>
            <w:r w:rsidRPr="00737DC2">
              <w:rPr>
                <w:rFonts w:ascii="Times New Roman" w:eastAsia="Calibri" w:hAnsi="Times New Roman"/>
                <w:b/>
                <w:bCs/>
                <w:sz w:val="22"/>
                <w:szCs w:val="22"/>
              </w:rPr>
              <w:t>Management’s response:</w:t>
            </w:r>
          </w:p>
          <w:p w14:paraId="36AE0A74" w14:textId="77777777" w:rsidR="00737DC2" w:rsidRPr="00737DC2" w:rsidRDefault="00737DC2" w:rsidP="00737DC2">
            <w:pPr>
              <w:spacing w:after="120" w:line="276" w:lineRule="auto"/>
              <w:rPr>
                <w:rFonts w:ascii="Times New Roman" w:eastAsia="Calibri" w:hAnsi="Times New Roman"/>
                <w:b/>
                <w:bCs/>
                <w:sz w:val="22"/>
                <w:szCs w:val="22"/>
              </w:rPr>
            </w:pPr>
            <w:r w:rsidRPr="00737DC2">
              <w:rPr>
                <w:rFonts w:ascii="Times New Roman" w:eastAsia="Calibri" w:hAnsi="Times New Roman"/>
                <w:sz w:val="22"/>
                <w:szCs w:val="22"/>
              </w:rPr>
              <w:t xml:space="preserve">The Union’s management agreed with the recommendation and will </w:t>
            </w:r>
            <w:proofErr w:type="gramStart"/>
            <w:r w:rsidRPr="00737DC2">
              <w:rPr>
                <w:rFonts w:ascii="Times New Roman" w:eastAsia="Calibri" w:hAnsi="Times New Roman"/>
                <w:sz w:val="22"/>
                <w:szCs w:val="22"/>
              </w:rPr>
              <w:t>engage with</w:t>
            </w:r>
            <w:proofErr w:type="gramEnd"/>
            <w:r w:rsidRPr="00737DC2">
              <w:rPr>
                <w:rFonts w:ascii="Times New Roman" w:eastAsia="Calibri" w:hAnsi="Times New Roman"/>
                <w:sz w:val="22"/>
                <w:szCs w:val="22"/>
              </w:rPr>
              <w:t xml:space="preserve"> WIPO management on a more formal and frequent reimbursement cycle.</w:t>
            </w:r>
          </w:p>
        </w:tc>
      </w:tr>
    </w:tbl>
    <w:p w14:paraId="5176B4B2" w14:textId="77777777" w:rsidR="00737DC2" w:rsidRPr="00737DC2" w:rsidRDefault="00737DC2" w:rsidP="00BC6EC4">
      <w:pPr>
        <w:pStyle w:val="Heading3"/>
        <w:ind w:left="364" w:hanging="364"/>
      </w:pPr>
      <w:bookmarkStart w:id="91" w:name="_Toc234408432"/>
      <w:bookmarkStart w:id="92" w:name="_Toc234409608"/>
      <w:bookmarkStart w:id="93" w:name="_Toc234419093"/>
      <w:r w:rsidRPr="00737DC2">
        <w:t>Transmissions of information by management</w:t>
      </w:r>
      <w:bookmarkEnd w:id="91"/>
      <w:bookmarkEnd w:id="92"/>
      <w:bookmarkEnd w:id="93"/>
    </w:p>
    <w:p w14:paraId="51FEE854" w14:textId="77777777" w:rsidR="00737DC2" w:rsidRPr="00737DC2" w:rsidRDefault="00737DC2" w:rsidP="00BC6EC4">
      <w:pPr>
        <w:pStyle w:val="Heading4"/>
        <w:numPr>
          <w:ilvl w:val="0"/>
          <w:numId w:val="8"/>
        </w:numPr>
      </w:pPr>
      <w:bookmarkStart w:id="94" w:name="_Toc234408433"/>
      <w:bookmarkStart w:id="95" w:name="_Toc234409609"/>
      <w:bookmarkStart w:id="96" w:name="_Toc234419094"/>
      <w:r w:rsidRPr="00737DC2">
        <w:t>Write-offs and losses of cash and other assets</w:t>
      </w:r>
      <w:bookmarkEnd w:id="94"/>
      <w:bookmarkEnd w:id="95"/>
      <w:bookmarkEnd w:id="96"/>
    </w:p>
    <w:p w14:paraId="3B23CC49" w14:textId="77777777" w:rsidR="00737DC2" w:rsidRPr="00737DC2" w:rsidRDefault="00737DC2" w:rsidP="00C02C8D">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There were no write-offs of cash, or other losses during the financial year ended 31 December 2025. The Union does not hold property, plant, or equipment in its own right.</w:t>
      </w:r>
    </w:p>
    <w:p w14:paraId="6760EA54" w14:textId="77777777" w:rsidR="00737DC2" w:rsidRPr="00737DC2" w:rsidRDefault="00737DC2" w:rsidP="00582AB1">
      <w:pPr>
        <w:pStyle w:val="Heading4"/>
        <w:numPr>
          <w:ilvl w:val="0"/>
          <w:numId w:val="8"/>
        </w:numPr>
      </w:pPr>
      <w:bookmarkStart w:id="97" w:name="_Toc234408434"/>
      <w:bookmarkStart w:id="98" w:name="_Toc234409610"/>
      <w:bookmarkStart w:id="99" w:name="_Toc234419095"/>
      <w:r w:rsidRPr="00737DC2">
        <w:t>Ex-gratia payments</w:t>
      </w:r>
      <w:bookmarkEnd w:id="97"/>
      <w:bookmarkEnd w:id="98"/>
      <w:bookmarkEnd w:id="99"/>
    </w:p>
    <w:p w14:paraId="0C0A823E" w14:textId="77777777" w:rsidR="00737DC2" w:rsidRPr="00737DC2" w:rsidRDefault="00737DC2" w:rsidP="00C02C8D">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There were no cases of ex-gratia payments made by the Union during 2025.</w:t>
      </w:r>
    </w:p>
    <w:p w14:paraId="0A334351" w14:textId="77777777" w:rsidR="00737DC2" w:rsidRPr="00737DC2" w:rsidRDefault="00737DC2" w:rsidP="00582AB1">
      <w:pPr>
        <w:pStyle w:val="Heading4"/>
        <w:numPr>
          <w:ilvl w:val="0"/>
          <w:numId w:val="8"/>
        </w:numPr>
      </w:pPr>
      <w:bookmarkStart w:id="100" w:name="_Toc234408435"/>
      <w:bookmarkStart w:id="101" w:name="_Toc234409611"/>
      <w:bookmarkStart w:id="102" w:name="_Toc234419096"/>
      <w:r w:rsidRPr="00737DC2">
        <w:t>Cases of fraud and presumptive fraud</w:t>
      </w:r>
      <w:bookmarkEnd w:id="100"/>
      <w:bookmarkEnd w:id="101"/>
      <w:bookmarkEnd w:id="102"/>
    </w:p>
    <w:p w14:paraId="6BAA3624" w14:textId="77777777" w:rsidR="00737DC2" w:rsidRPr="00737DC2" w:rsidRDefault="00737DC2" w:rsidP="00C02C8D">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 xml:space="preserve">In accordance with ISA 240 (Revised) </w:t>
      </w:r>
      <w:r w:rsidRPr="00737DC2">
        <w:rPr>
          <w:rFonts w:ascii="Times New Roman" w:eastAsia="Calibri" w:hAnsi="Times New Roman"/>
          <w:i/>
          <w:iCs/>
          <w:sz w:val="22"/>
          <w:szCs w:val="22"/>
        </w:rPr>
        <w:t>The Auditor’s Responsibilities Relating to Fraud in an Audit of Financial Statements,</w:t>
      </w:r>
      <w:r w:rsidRPr="00737DC2">
        <w:rPr>
          <w:rFonts w:ascii="Times New Roman" w:eastAsia="Calibri" w:hAnsi="Times New Roman"/>
          <w:sz w:val="22"/>
          <w:szCs w:val="22"/>
        </w:rPr>
        <w:t xml:space="preserve"> BPK planned its audits of the financial statements so that it has a reasonable expectation of identifying material misstatements and irregularity (including those resulting from fraud). Our audit should not, however, be relied upon to identify all misstatements or irregularities. The primary responsibility for preventing and detecting fraud rests with Management.  </w:t>
      </w:r>
    </w:p>
    <w:p w14:paraId="7BEBFA5C" w14:textId="77777777" w:rsidR="00737DC2" w:rsidRPr="00737DC2" w:rsidRDefault="00737DC2" w:rsidP="00C02C8D">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 xml:space="preserve">During the audit, BPK made inquiries to the Management regarding its oversight responsibility for assessing the risks of material fraud and the processes in place for identifying and responding to those risks, including any specific risks that Management has identified, or that have been brought to its attention. BPK also inquired as to whether the Management had any knowledge of any actual, suspected or alleged fraud. BPK identified no instances of fraud in its audit, and no cases came to our attention through our testing. </w:t>
      </w:r>
    </w:p>
    <w:p w14:paraId="26F0A238" w14:textId="77777777" w:rsidR="00737DC2" w:rsidRPr="00737DC2" w:rsidRDefault="00737DC2" w:rsidP="00C02C8D">
      <w:pPr>
        <w:numPr>
          <w:ilvl w:val="0"/>
          <w:numId w:val="3"/>
        </w:numPr>
        <w:spacing w:after="120" w:line="276" w:lineRule="auto"/>
        <w:rPr>
          <w:rFonts w:ascii="Times New Roman" w:eastAsia="Calibri" w:hAnsi="Times New Roman"/>
          <w:sz w:val="22"/>
          <w:szCs w:val="22"/>
        </w:rPr>
      </w:pPr>
      <w:r w:rsidRPr="00737DC2">
        <w:rPr>
          <w:rFonts w:ascii="Times New Roman" w:eastAsia="Calibri" w:hAnsi="Times New Roman"/>
          <w:sz w:val="22"/>
          <w:szCs w:val="22"/>
        </w:rPr>
        <w:t xml:space="preserve">The Management reported no cases of fraud or presumptive fraud within the Union during 2025. </w:t>
      </w:r>
    </w:p>
    <w:p w14:paraId="788C0F7D" w14:textId="77777777" w:rsidR="00737DC2" w:rsidRPr="00737DC2" w:rsidRDefault="00737DC2" w:rsidP="00A624FB">
      <w:pPr>
        <w:pStyle w:val="Heading3"/>
        <w:ind w:left="364" w:hanging="364"/>
      </w:pPr>
      <w:bookmarkStart w:id="103" w:name="_Toc234408436"/>
      <w:bookmarkStart w:id="104" w:name="_Toc234409612"/>
      <w:bookmarkStart w:id="105" w:name="_Toc234419097"/>
      <w:r w:rsidRPr="00737DC2">
        <w:t>Audit handover</w:t>
      </w:r>
      <w:bookmarkEnd w:id="103"/>
      <w:bookmarkEnd w:id="104"/>
      <w:bookmarkEnd w:id="105"/>
    </w:p>
    <w:p w14:paraId="303B23C0" w14:textId="77777777" w:rsidR="00737DC2" w:rsidRPr="00737DC2" w:rsidRDefault="00737DC2" w:rsidP="00C02C8D">
      <w:pPr>
        <w:numPr>
          <w:ilvl w:val="0"/>
          <w:numId w:val="3"/>
        </w:numPr>
        <w:spacing w:after="120" w:line="276" w:lineRule="auto"/>
        <w:ind w:left="709"/>
        <w:rPr>
          <w:rFonts w:ascii="Times New Roman" w:eastAsia="Calibri" w:hAnsi="Times New Roman"/>
          <w:b/>
          <w:bCs/>
          <w:color w:val="000000"/>
          <w:sz w:val="22"/>
          <w:szCs w:val="22"/>
        </w:rPr>
      </w:pPr>
      <w:r w:rsidRPr="00737DC2">
        <w:rPr>
          <w:rFonts w:ascii="Times New Roman" w:eastAsia="Calibri" w:hAnsi="Times New Roman"/>
          <w:sz w:val="22"/>
          <w:szCs w:val="22"/>
        </w:rPr>
        <w:t>BPK expresses its gratitude to the SFAO, the predecessor external auditor, for facilitating effective audit handover. Their assistance during the handover contributed to a better understanding of the Union’s internal controls and governance framework, which was aligned with auditing standards and the United Nations Panel of External Auditor Framework, which highlights the importance of a comprehensive audit handover in the initial audit.</w:t>
      </w:r>
      <w:r w:rsidRPr="00737DC2">
        <w:rPr>
          <w:rFonts w:ascii="Times New Roman" w:eastAsia="Calibri" w:hAnsi="Times New Roman"/>
          <w:color w:val="000000"/>
          <w:sz w:val="22"/>
          <w:szCs w:val="22"/>
        </w:rPr>
        <w:br w:type="page" w:clear="all"/>
      </w:r>
    </w:p>
    <w:p w14:paraId="67D7419B" w14:textId="77777777" w:rsidR="00737DC2" w:rsidRPr="00737DC2" w:rsidRDefault="00737DC2" w:rsidP="00A624FB">
      <w:pPr>
        <w:pStyle w:val="Heading3"/>
        <w:ind w:left="364" w:hanging="364"/>
      </w:pPr>
      <w:bookmarkStart w:id="106" w:name="_Toc234408437"/>
      <w:bookmarkStart w:id="107" w:name="_Toc234409613"/>
      <w:bookmarkStart w:id="108" w:name="_Toc234419098"/>
      <w:r w:rsidRPr="00737DC2">
        <w:lastRenderedPageBreak/>
        <w:t>Acknowledgement</w:t>
      </w:r>
      <w:bookmarkEnd w:id="106"/>
      <w:bookmarkEnd w:id="107"/>
      <w:bookmarkEnd w:id="108"/>
    </w:p>
    <w:p w14:paraId="47FCD4BD" w14:textId="77777777" w:rsidR="00737DC2" w:rsidRPr="00737DC2" w:rsidRDefault="00737DC2" w:rsidP="00C02C8D">
      <w:pPr>
        <w:numPr>
          <w:ilvl w:val="0"/>
          <w:numId w:val="3"/>
        </w:numPr>
        <w:spacing w:after="120" w:line="276" w:lineRule="auto"/>
        <w:ind w:left="709"/>
        <w:rPr>
          <w:rFonts w:ascii="Times New Roman" w:eastAsia="Calibri" w:hAnsi="Times New Roman"/>
          <w:sz w:val="22"/>
          <w:szCs w:val="22"/>
        </w:rPr>
      </w:pPr>
      <w:r w:rsidRPr="00737DC2">
        <w:rPr>
          <w:rFonts w:ascii="Times New Roman" w:eastAsia="Calibri" w:hAnsi="Times New Roman"/>
          <w:sz w:val="22"/>
          <w:szCs w:val="22"/>
        </w:rPr>
        <w:t>BPK wishes to express its appreciation to the Secretary General and staff of the Union, and to the WIPO personnel providing administrative services under the WIPO/UPOV Agreement, for their continued cooperation and assistance throughout the audit engagement. BPK is also deeply honored by the trust placed in its appointment as External Auditor by UPOV members. It is anticipated that this audit engagement will further strengthen the constructive partnership in providing and promoting an effective system of plant variety protection.</w:t>
      </w:r>
    </w:p>
    <w:tbl>
      <w:tblPr>
        <w:tblStyle w:val="TableGrid1"/>
        <w:tblW w:w="836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378"/>
      </w:tblGrid>
      <w:tr w:rsidR="00737DC2" w:rsidRPr="00326A74" w14:paraId="12EF5CEE" w14:textId="77777777" w:rsidTr="00BD760D">
        <w:tc>
          <w:tcPr>
            <w:tcW w:w="1985" w:type="dxa"/>
          </w:tcPr>
          <w:p w14:paraId="497A330C" w14:textId="77777777" w:rsidR="00737DC2" w:rsidRPr="00737DC2" w:rsidRDefault="00737DC2" w:rsidP="00737DC2">
            <w:pPr>
              <w:rPr>
                <w:rFonts w:ascii="Times New Roman" w:hAnsi="Times New Roman"/>
              </w:rPr>
            </w:pPr>
          </w:p>
        </w:tc>
        <w:tc>
          <w:tcPr>
            <w:tcW w:w="6378" w:type="dxa"/>
          </w:tcPr>
          <w:p w14:paraId="70052BC6" w14:textId="77777777" w:rsidR="00737DC2" w:rsidRPr="00737DC2" w:rsidRDefault="00737DC2" w:rsidP="00737DC2">
            <w:pPr>
              <w:spacing w:line="280" w:lineRule="exact"/>
              <w:jc w:val="left"/>
              <w:rPr>
                <w:rFonts w:ascii="Times New Roman" w:hAnsi="Times New Roman"/>
                <w:b/>
                <w:bCs/>
                <w:color w:val="000000"/>
              </w:rPr>
            </w:pPr>
          </w:p>
          <w:p w14:paraId="116D31A9" w14:textId="77777777" w:rsidR="00737DC2" w:rsidRPr="00737DC2" w:rsidRDefault="00737DC2" w:rsidP="00737DC2">
            <w:pPr>
              <w:spacing w:line="280" w:lineRule="exact"/>
              <w:jc w:val="center"/>
              <w:rPr>
                <w:rFonts w:ascii="Times New Roman" w:hAnsi="Times New Roman"/>
                <w:b/>
                <w:bCs/>
                <w:color w:val="000000"/>
              </w:rPr>
            </w:pPr>
          </w:p>
          <w:p w14:paraId="2516D512" w14:textId="77777777" w:rsidR="00737DC2" w:rsidRPr="00737DC2" w:rsidRDefault="00737DC2" w:rsidP="00737DC2">
            <w:pPr>
              <w:spacing w:line="280" w:lineRule="exact"/>
              <w:jc w:val="center"/>
              <w:rPr>
                <w:rFonts w:ascii="Times New Roman" w:hAnsi="Times New Roman"/>
                <w:b/>
                <w:bCs/>
                <w:color w:val="000000"/>
              </w:rPr>
            </w:pPr>
          </w:p>
          <w:p w14:paraId="77F8E19C" w14:textId="77777777" w:rsidR="00737DC2" w:rsidRPr="00737DC2" w:rsidRDefault="00737DC2" w:rsidP="00737DC2">
            <w:pPr>
              <w:spacing w:line="280" w:lineRule="exact"/>
              <w:jc w:val="center"/>
              <w:rPr>
                <w:rFonts w:ascii="Times New Roman" w:hAnsi="Times New Roman"/>
                <w:b/>
                <w:bCs/>
                <w:color w:val="000000"/>
              </w:rPr>
            </w:pPr>
          </w:p>
          <w:p w14:paraId="21F42837" w14:textId="35192182" w:rsidR="00737DC2" w:rsidRPr="00BE268F" w:rsidRDefault="00C02C8D" w:rsidP="00737DC2">
            <w:pPr>
              <w:spacing w:line="280" w:lineRule="exact"/>
              <w:jc w:val="center"/>
              <w:rPr>
                <w:rFonts w:ascii="Times New Roman" w:hAnsi="Times New Roman"/>
                <w:color w:val="000000"/>
                <w:lang w:val="es-ES_tradnl"/>
              </w:rPr>
            </w:pPr>
            <w:r w:rsidRPr="00BE268F">
              <w:rPr>
                <w:rFonts w:ascii="Times New Roman" w:hAnsi="Times New Roman"/>
                <w:color w:val="000000"/>
                <w:lang w:val="es-ES_tradnl"/>
              </w:rPr>
              <w:t>[signed]</w:t>
            </w:r>
          </w:p>
          <w:p w14:paraId="2EB79A47" w14:textId="77777777" w:rsidR="00737DC2" w:rsidRPr="00BE268F" w:rsidRDefault="00737DC2" w:rsidP="00737DC2">
            <w:pPr>
              <w:spacing w:line="280" w:lineRule="exact"/>
              <w:jc w:val="center"/>
              <w:rPr>
                <w:rFonts w:ascii="Times New Roman" w:hAnsi="Times New Roman"/>
                <w:b/>
                <w:bCs/>
                <w:color w:val="000000"/>
                <w:lang w:val="es-ES_tradnl"/>
              </w:rPr>
            </w:pPr>
          </w:p>
          <w:p w14:paraId="54A65688" w14:textId="77777777" w:rsidR="00737DC2" w:rsidRPr="00BE268F" w:rsidRDefault="00737DC2" w:rsidP="00737DC2">
            <w:pPr>
              <w:spacing w:line="280" w:lineRule="exact"/>
              <w:jc w:val="left"/>
              <w:rPr>
                <w:rFonts w:ascii="Times New Roman" w:hAnsi="Times New Roman"/>
                <w:b/>
                <w:bCs/>
                <w:color w:val="000000"/>
                <w:lang w:val="es-ES_tradnl"/>
              </w:rPr>
            </w:pPr>
          </w:p>
          <w:p w14:paraId="0C5276DA" w14:textId="77777777" w:rsidR="00737DC2" w:rsidRPr="00BE268F" w:rsidRDefault="00737DC2" w:rsidP="00737DC2">
            <w:pPr>
              <w:spacing w:line="280" w:lineRule="exact"/>
              <w:jc w:val="left"/>
              <w:rPr>
                <w:rFonts w:ascii="Times New Roman" w:hAnsi="Times New Roman"/>
                <w:b/>
                <w:bCs/>
                <w:color w:val="000000"/>
                <w:lang w:val="es-ES_tradnl"/>
              </w:rPr>
            </w:pPr>
          </w:p>
          <w:p w14:paraId="52A63BB2" w14:textId="77777777" w:rsidR="00737DC2" w:rsidRPr="00326A74" w:rsidRDefault="00737DC2" w:rsidP="00737DC2">
            <w:pPr>
              <w:jc w:val="center"/>
              <w:rPr>
                <w:rFonts w:ascii="Times New Roman" w:hAnsi="Times New Roman"/>
                <w:b/>
                <w:bCs/>
                <w:color w:val="000000"/>
              </w:rPr>
            </w:pPr>
            <w:r w:rsidRPr="00BE268F">
              <w:rPr>
                <w:rFonts w:ascii="Times New Roman" w:hAnsi="Times New Roman"/>
                <w:b/>
                <w:bCs/>
                <w:color w:val="000000"/>
                <w:lang w:val="es-ES_tradnl"/>
              </w:rPr>
              <w:t xml:space="preserve">                  </w:t>
            </w:r>
            <w:r w:rsidRPr="00326A74">
              <w:rPr>
                <w:rFonts w:ascii="Times New Roman" w:hAnsi="Times New Roman"/>
                <w:b/>
                <w:bCs/>
                <w:color w:val="000000"/>
              </w:rPr>
              <w:t xml:space="preserve">Dr. Isma </w:t>
            </w:r>
            <w:proofErr w:type="spellStart"/>
            <w:r w:rsidRPr="00326A74">
              <w:rPr>
                <w:rFonts w:ascii="Times New Roman" w:hAnsi="Times New Roman"/>
                <w:b/>
                <w:bCs/>
                <w:color w:val="000000"/>
              </w:rPr>
              <w:t>Yatun</w:t>
            </w:r>
            <w:proofErr w:type="spellEnd"/>
            <w:r w:rsidRPr="00326A74">
              <w:rPr>
                <w:rFonts w:ascii="Times New Roman" w:hAnsi="Times New Roman"/>
                <w:b/>
                <w:bCs/>
                <w:color w:val="000000"/>
              </w:rPr>
              <w:t xml:space="preserve">, CSFA., </w:t>
            </w:r>
            <w:proofErr w:type="spellStart"/>
            <w:r w:rsidRPr="00326A74">
              <w:rPr>
                <w:rFonts w:ascii="Times New Roman" w:hAnsi="Times New Roman"/>
                <w:b/>
                <w:bCs/>
                <w:color w:val="000000"/>
              </w:rPr>
              <w:t>CFrA</w:t>
            </w:r>
            <w:proofErr w:type="spellEnd"/>
            <w:r w:rsidRPr="00326A74">
              <w:rPr>
                <w:rFonts w:ascii="Times New Roman" w:hAnsi="Times New Roman"/>
                <w:b/>
                <w:bCs/>
                <w:color w:val="000000"/>
              </w:rPr>
              <w:t xml:space="preserve">. </w:t>
            </w:r>
          </w:p>
          <w:p w14:paraId="4E4D05D6" w14:textId="77777777" w:rsidR="00737DC2" w:rsidRPr="00737DC2" w:rsidRDefault="00737DC2" w:rsidP="00737DC2">
            <w:pPr>
              <w:jc w:val="right"/>
              <w:rPr>
                <w:rFonts w:ascii="Times New Roman" w:hAnsi="Times New Roman"/>
                <w:b/>
                <w:bCs/>
                <w:color w:val="000000"/>
              </w:rPr>
            </w:pPr>
            <w:r w:rsidRPr="00737DC2">
              <w:rPr>
                <w:rFonts w:ascii="Times New Roman" w:hAnsi="Times New Roman"/>
                <w:b/>
                <w:bCs/>
                <w:color w:val="000000"/>
              </w:rPr>
              <w:t>Chair of the Audit Board of the Republic of Indonesia</w:t>
            </w:r>
          </w:p>
          <w:p w14:paraId="7BE5CB57" w14:textId="77777777" w:rsidR="00737DC2" w:rsidRPr="00737DC2" w:rsidRDefault="00737DC2" w:rsidP="00737DC2">
            <w:pPr>
              <w:jc w:val="center"/>
              <w:rPr>
                <w:rFonts w:ascii="Times New Roman" w:hAnsi="Times New Roman"/>
                <w:b/>
                <w:bCs/>
                <w:color w:val="000000"/>
                <w:lang w:val="pt-PT"/>
              </w:rPr>
            </w:pPr>
            <w:r w:rsidRPr="00737DC2">
              <w:rPr>
                <w:rFonts w:ascii="Times New Roman" w:hAnsi="Times New Roman"/>
                <w:b/>
                <w:bCs/>
                <w:color w:val="000000"/>
              </w:rPr>
              <w:t xml:space="preserve">                </w:t>
            </w:r>
            <w:r w:rsidRPr="00737DC2">
              <w:rPr>
                <w:rFonts w:ascii="Times New Roman" w:hAnsi="Times New Roman"/>
                <w:b/>
                <w:bCs/>
                <w:color w:val="000000"/>
                <w:lang w:val="pt-PT"/>
              </w:rPr>
              <w:t>External Auditor</w:t>
            </w:r>
          </w:p>
          <w:p w14:paraId="39B6B853" w14:textId="77777777" w:rsidR="00737DC2" w:rsidRPr="00737DC2" w:rsidRDefault="00737DC2" w:rsidP="00737DC2">
            <w:pPr>
              <w:jc w:val="left"/>
              <w:rPr>
                <w:rFonts w:ascii="Times New Roman" w:hAnsi="Times New Roman"/>
                <w:shd w:val="clear" w:color="auto" w:fill="FFFFFF"/>
                <w:lang w:val="pt-PT"/>
              </w:rPr>
            </w:pPr>
          </w:p>
          <w:p w14:paraId="31CA1B66" w14:textId="77777777" w:rsidR="00737DC2" w:rsidRPr="00737DC2" w:rsidRDefault="00737DC2" w:rsidP="00737DC2">
            <w:pPr>
              <w:jc w:val="center"/>
              <w:rPr>
                <w:rFonts w:ascii="Times New Roman" w:hAnsi="Times New Roman"/>
                <w:b/>
                <w:bCs/>
                <w:color w:val="000000"/>
                <w:lang w:val="pt-PT"/>
              </w:rPr>
            </w:pPr>
            <w:r w:rsidRPr="00737DC2">
              <w:rPr>
                <w:rFonts w:ascii="Times New Roman" w:hAnsi="Times New Roman"/>
                <w:b/>
                <w:bCs/>
                <w:color w:val="000000"/>
                <w:lang w:val="pt-PT"/>
              </w:rPr>
              <w:t xml:space="preserve">                 Jakarta, Indonesia</w:t>
            </w:r>
          </w:p>
          <w:p w14:paraId="3189EA54" w14:textId="77777777" w:rsidR="00737DC2" w:rsidRPr="00737DC2" w:rsidRDefault="00737DC2" w:rsidP="00737DC2">
            <w:pPr>
              <w:jc w:val="center"/>
              <w:rPr>
                <w:rFonts w:ascii="Aptos" w:hAnsi="Aptos"/>
                <w:lang w:val="pt-PT"/>
              </w:rPr>
            </w:pPr>
            <w:r w:rsidRPr="00737DC2">
              <w:rPr>
                <w:rFonts w:ascii="Times New Roman" w:hAnsi="Times New Roman"/>
                <w:b/>
                <w:bCs/>
                <w:color w:val="000000"/>
                <w:lang w:val="pt-PT"/>
              </w:rPr>
              <w:t xml:space="preserve">                    3 July 2026</w:t>
            </w:r>
          </w:p>
        </w:tc>
      </w:tr>
    </w:tbl>
    <w:p w14:paraId="03CCC3B9" w14:textId="77777777" w:rsidR="00737DC2" w:rsidRPr="00737DC2" w:rsidRDefault="00737DC2" w:rsidP="00737DC2">
      <w:pPr>
        <w:spacing w:after="120" w:line="276" w:lineRule="auto"/>
        <w:rPr>
          <w:rFonts w:ascii="Times New Roman" w:eastAsia="Calibri" w:hAnsi="Times New Roman"/>
          <w:color w:val="000000"/>
          <w:sz w:val="22"/>
          <w:szCs w:val="22"/>
          <w:lang w:val="pt-PT"/>
        </w:rPr>
        <w:sectPr w:rsidR="00737DC2" w:rsidRPr="00737DC2" w:rsidSect="00832B16">
          <w:footerReference w:type="default" r:id="rId22"/>
          <w:pgSz w:w="11906" w:h="16838" w:code="9"/>
          <w:pgMar w:top="510" w:right="1440" w:bottom="1440" w:left="1418" w:header="510" w:footer="709" w:gutter="0"/>
          <w:cols w:space="720"/>
        </w:sectPr>
      </w:pPr>
    </w:p>
    <w:p w14:paraId="617D3897" w14:textId="77777777" w:rsidR="00737DC2" w:rsidRDefault="00737DC2" w:rsidP="00A624FB">
      <w:pPr>
        <w:pStyle w:val="Heading1"/>
        <w:jc w:val="center"/>
      </w:pPr>
      <w:bookmarkStart w:id="109" w:name="_Toc234408438"/>
      <w:bookmarkStart w:id="110" w:name="_Toc234409614"/>
      <w:bookmarkStart w:id="111" w:name="_Toc234419099"/>
      <w:r w:rsidRPr="00737DC2">
        <w:lastRenderedPageBreak/>
        <w:t>Annex 1: List of acronyms</w:t>
      </w:r>
      <w:bookmarkEnd w:id="109"/>
      <w:bookmarkEnd w:id="110"/>
      <w:bookmarkEnd w:id="111"/>
    </w:p>
    <w:p w14:paraId="6654945B" w14:textId="77777777" w:rsidR="00A624FB" w:rsidRPr="00A624FB" w:rsidRDefault="00A624FB" w:rsidP="00A624FB">
      <w:pPr>
        <w:rPr>
          <w:rFonts w:eastAsia="Calibri"/>
          <w:lang w:val="en-ID"/>
        </w:rPr>
      </w:pPr>
    </w:p>
    <w:tbl>
      <w:tblPr>
        <w:tblW w:w="9335" w:type="dxa"/>
        <w:tblLook w:val="04A0" w:firstRow="1" w:lastRow="0" w:firstColumn="1" w:lastColumn="0" w:noHBand="0" w:noVBand="1"/>
      </w:tblPr>
      <w:tblGrid>
        <w:gridCol w:w="1998"/>
        <w:gridCol w:w="278"/>
        <w:gridCol w:w="7059"/>
      </w:tblGrid>
      <w:tr w:rsidR="00737DC2" w:rsidRPr="00737DC2" w14:paraId="7E3776F4" w14:textId="77777777" w:rsidTr="00BD760D">
        <w:trPr>
          <w:trHeight w:val="454"/>
        </w:trPr>
        <w:tc>
          <w:tcPr>
            <w:tcW w:w="1998" w:type="dxa"/>
            <w:vAlign w:val="center"/>
          </w:tcPr>
          <w:p w14:paraId="1BF0F564" w14:textId="77777777" w:rsidR="00737DC2" w:rsidRPr="00737DC2" w:rsidRDefault="00737DC2" w:rsidP="00737DC2">
            <w:pPr>
              <w:jc w:val="left"/>
              <w:rPr>
                <w:rFonts w:ascii="Times New Roman" w:eastAsia="Calibri" w:hAnsi="Times New Roman"/>
                <w:sz w:val="22"/>
                <w:szCs w:val="22"/>
              </w:rPr>
            </w:pPr>
            <w:r w:rsidRPr="00737DC2">
              <w:rPr>
                <w:rFonts w:ascii="Times New Roman" w:eastAsia="Calibri" w:hAnsi="Times New Roman"/>
                <w:sz w:val="22"/>
                <w:szCs w:val="22"/>
              </w:rPr>
              <w:t>ASHI</w:t>
            </w:r>
          </w:p>
        </w:tc>
        <w:tc>
          <w:tcPr>
            <w:tcW w:w="278" w:type="dxa"/>
            <w:vAlign w:val="center"/>
          </w:tcPr>
          <w:p w14:paraId="0602AC76" w14:textId="77777777" w:rsidR="00737DC2" w:rsidRPr="00737DC2" w:rsidRDefault="00737DC2" w:rsidP="00737DC2">
            <w:pPr>
              <w:jc w:val="left"/>
              <w:rPr>
                <w:rFonts w:ascii="Times New Roman" w:eastAsia="Calibri" w:hAnsi="Times New Roman"/>
                <w:sz w:val="22"/>
                <w:szCs w:val="22"/>
              </w:rPr>
            </w:pPr>
            <w:r w:rsidRPr="00737DC2">
              <w:rPr>
                <w:rFonts w:ascii="Times New Roman" w:eastAsia="Calibri" w:hAnsi="Times New Roman"/>
                <w:sz w:val="22"/>
                <w:szCs w:val="22"/>
              </w:rPr>
              <w:t>:</w:t>
            </w:r>
          </w:p>
        </w:tc>
        <w:tc>
          <w:tcPr>
            <w:tcW w:w="7059" w:type="dxa"/>
            <w:vAlign w:val="center"/>
          </w:tcPr>
          <w:p w14:paraId="2F9EE803" w14:textId="77777777" w:rsidR="00737DC2" w:rsidRPr="00737DC2" w:rsidRDefault="00737DC2" w:rsidP="00737DC2">
            <w:pPr>
              <w:jc w:val="left"/>
              <w:rPr>
                <w:rFonts w:ascii="Times New Roman" w:eastAsia="Calibri" w:hAnsi="Times New Roman"/>
                <w:sz w:val="22"/>
                <w:szCs w:val="22"/>
              </w:rPr>
            </w:pPr>
            <w:r w:rsidRPr="00737DC2">
              <w:rPr>
                <w:rFonts w:ascii="Times New Roman" w:eastAsia="Calibri" w:hAnsi="Times New Roman"/>
                <w:sz w:val="22"/>
                <w:szCs w:val="22"/>
              </w:rPr>
              <w:t>After-Service Health Insurance</w:t>
            </w:r>
          </w:p>
        </w:tc>
      </w:tr>
      <w:tr w:rsidR="00737DC2" w:rsidRPr="00737DC2" w14:paraId="6E9CF755" w14:textId="77777777" w:rsidTr="00BD760D">
        <w:trPr>
          <w:trHeight w:val="454"/>
        </w:trPr>
        <w:tc>
          <w:tcPr>
            <w:tcW w:w="1998" w:type="dxa"/>
            <w:vAlign w:val="center"/>
          </w:tcPr>
          <w:p w14:paraId="30DB73DD" w14:textId="77777777" w:rsidR="00737DC2" w:rsidRPr="00737DC2" w:rsidRDefault="00737DC2" w:rsidP="00737DC2">
            <w:pPr>
              <w:jc w:val="left"/>
              <w:rPr>
                <w:rFonts w:ascii="Times New Roman" w:eastAsia="Calibri" w:hAnsi="Times New Roman"/>
                <w:sz w:val="22"/>
                <w:szCs w:val="22"/>
              </w:rPr>
            </w:pPr>
            <w:r w:rsidRPr="00737DC2">
              <w:rPr>
                <w:rFonts w:ascii="Times New Roman" w:eastAsia="Calibri" w:hAnsi="Times New Roman"/>
                <w:sz w:val="22"/>
                <w:szCs w:val="22"/>
              </w:rPr>
              <w:t>BPK</w:t>
            </w:r>
          </w:p>
        </w:tc>
        <w:tc>
          <w:tcPr>
            <w:tcW w:w="278" w:type="dxa"/>
            <w:vAlign w:val="center"/>
          </w:tcPr>
          <w:p w14:paraId="6DF8BDA0" w14:textId="77777777" w:rsidR="00737DC2" w:rsidRPr="00737DC2" w:rsidRDefault="00737DC2" w:rsidP="00737DC2">
            <w:pPr>
              <w:jc w:val="left"/>
              <w:rPr>
                <w:rFonts w:ascii="Times New Roman" w:eastAsia="Calibri" w:hAnsi="Times New Roman"/>
                <w:sz w:val="22"/>
                <w:szCs w:val="22"/>
              </w:rPr>
            </w:pPr>
            <w:r w:rsidRPr="00737DC2">
              <w:rPr>
                <w:rFonts w:ascii="Times New Roman" w:eastAsia="Calibri" w:hAnsi="Times New Roman"/>
                <w:sz w:val="22"/>
                <w:szCs w:val="22"/>
              </w:rPr>
              <w:t>:</w:t>
            </w:r>
          </w:p>
        </w:tc>
        <w:tc>
          <w:tcPr>
            <w:tcW w:w="7059" w:type="dxa"/>
            <w:vAlign w:val="center"/>
          </w:tcPr>
          <w:p w14:paraId="7A8F82E1" w14:textId="77777777" w:rsidR="00737DC2" w:rsidRPr="00737DC2" w:rsidRDefault="00737DC2" w:rsidP="00737DC2">
            <w:pPr>
              <w:jc w:val="left"/>
              <w:rPr>
                <w:rFonts w:ascii="Times New Roman" w:eastAsia="Calibri" w:hAnsi="Times New Roman"/>
                <w:sz w:val="22"/>
                <w:szCs w:val="22"/>
              </w:rPr>
            </w:pPr>
            <w:r w:rsidRPr="00737DC2">
              <w:rPr>
                <w:rFonts w:ascii="Times New Roman" w:eastAsia="Calibri" w:hAnsi="Times New Roman"/>
                <w:sz w:val="22"/>
                <w:szCs w:val="22"/>
              </w:rPr>
              <w:t xml:space="preserve">Badan </w:t>
            </w:r>
            <w:proofErr w:type="spellStart"/>
            <w:r w:rsidRPr="00737DC2">
              <w:rPr>
                <w:rFonts w:ascii="Times New Roman" w:eastAsia="Calibri" w:hAnsi="Times New Roman"/>
                <w:sz w:val="22"/>
                <w:szCs w:val="22"/>
              </w:rPr>
              <w:t>Pemeriksa</w:t>
            </w:r>
            <w:proofErr w:type="spellEnd"/>
            <w:r w:rsidRPr="00737DC2">
              <w:rPr>
                <w:rFonts w:ascii="Times New Roman" w:eastAsia="Calibri" w:hAnsi="Times New Roman"/>
                <w:sz w:val="22"/>
                <w:szCs w:val="22"/>
              </w:rPr>
              <w:t xml:space="preserve"> Keuangan (The Audit Board of the Republic of Indonesia)</w:t>
            </w:r>
          </w:p>
        </w:tc>
      </w:tr>
      <w:tr w:rsidR="00737DC2" w:rsidRPr="00737DC2" w14:paraId="313D181D" w14:textId="77777777" w:rsidTr="00BD760D">
        <w:trPr>
          <w:trHeight w:val="454"/>
        </w:trPr>
        <w:tc>
          <w:tcPr>
            <w:tcW w:w="1998" w:type="dxa"/>
            <w:vAlign w:val="center"/>
          </w:tcPr>
          <w:p w14:paraId="16C972FD" w14:textId="77777777" w:rsidR="00737DC2" w:rsidRPr="00737DC2" w:rsidRDefault="00737DC2" w:rsidP="00737DC2">
            <w:pPr>
              <w:jc w:val="left"/>
              <w:rPr>
                <w:rFonts w:ascii="Times New Roman" w:eastAsia="Calibri" w:hAnsi="Times New Roman"/>
                <w:sz w:val="22"/>
                <w:szCs w:val="22"/>
              </w:rPr>
            </w:pPr>
            <w:r w:rsidRPr="00737DC2">
              <w:rPr>
                <w:rFonts w:ascii="Times New Roman" w:eastAsia="Calibri" w:hAnsi="Times New Roman"/>
                <w:sz w:val="22"/>
                <w:szCs w:val="22"/>
              </w:rPr>
              <w:t>FRR</w:t>
            </w:r>
          </w:p>
        </w:tc>
        <w:tc>
          <w:tcPr>
            <w:tcW w:w="278" w:type="dxa"/>
            <w:vAlign w:val="center"/>
          </w:tcPr>
          <w:p w14:paraId="494D182B" w14:textId="77777777" w:rsidR="00737DC2" w:rsidRPr="00737DC2" w:rsidRDefault="00737DC2" w:rsidP="00737DC2">
            <w:pPr>
              <w:jc w:val="left"/>
              <w:rPr>
                <w:rFonts w:ascii="Times New Roman" w:eastAsia="Calibri" w:hAnsi="Times New Roman"/>
                <w:sz w:val="22"/>
                <w:szCs w:val="22"/>
              </w:rPr>
            </w:pPr>
            <w:r w:rsidRPr="00737DC2">
              <w:rPr>
                <w:rFonts w:ascii="Times New Roman" w:eastAsia="Calibri" w:hAnsi="Times New Roman"/>
                <w:sz w:val="22"/>
                <w:szCs w:val="22"/>
              </w:rPr>
              <w:t>:</w:t>
            </w:r>
          </w:p>
        </w:tc>
        <w:tc>
          <w:tcPr>
            <w:tcW w:w="7059" w:type="dxa"/>
            <w:vAlign w:val="center"/>
          </w:tcPr>
          <w:p w14:paraId="2DA515AB" w14:textId="77777777" w:rsidR="00737DC2" w:rsidRPr="00737DC2" w:rsidRDefault="00737DC2" w:rsidP="00737DC2">
            <w:pPr>
              <w:jc w:val="left"/>
              <w:rPr>
                <w:rFonts w:ascii="Times New Roman" w:eastAsia="Calibri" w:hAnsi="Times New Roman"/>
                <w:sz w:val="22"/>
                <w:szCs w:val="22"/>
              </w:rPr>
            </w:pPr>
            <w:r w:rsidRPr="00737DC2">
              <w:rPr>
                <w:rFonts w:ascii="Times New Roman" w:eastAsia="Calibri" w:hAnsi="Times New Roman"/>
                <w:sz w:val="22"/>
                <w:szCs w:val="22"/>
              </w:rPr>
              <w:t>Financial Regulations and Rules</w:t>
            </w:r>
          </w:p>
        </w:tc>
      </w:tr>
      <w:tr w:rsidR="00737DC2" w:rsidRPr="00737DC2" w14:paraId="56F05383" w14:textId="77777777" w:rsidTr="00BD760D">
        <w:trPr>
          <w:trHeight w:val="454"/>
        </w:trPr>
        <w:tc>
          <w:tcPr>
            <w:tcW w:w="1998" w:type="dxa"/>
            <w:vAlign w:val="center"/>
          </w:tcPr>
          <w:p w14:paraId="0FD2E5F5" w14:textId="77777777" w:rsidR="00737DC2" w:rsidRPr="00737DC2" w:rsidRDefault="00737DC2" w:rsidP="00737DC2">
            <w:pPr>
              <w:jc w:val="left"/>
              <w:rPr>
                <w:rFonts w:ascii="Times New Roman" w:eastAsia="Calibri" w:hAnsi="Times New Roman"/>
                <w:sz w:val="22"/>
                <w:szCs w:val="22"/>
              </w:rPr>
            </w:pPr>
            <w:r w:rsidRPr="00737DC2">
              <w:rPr>
                <w:rFonts w:ascii="Times New Roman" w:eastAsia="Calibri" w:hAnsi="Times New Roman"/>
                <w:sz w:val="22"/>
                <w:szCs w:val="22"/>
              </w:rPr>
              <w:t>IPSAS</w:t>
            </w:r>
          </w:p>
        </w:tc>
        <w:tc>
          <w:tcPr>
            <w:tcW w:w="278" w:type="dxa"/>
            <w:vAlign w:val="center"/>
          </w:tcPr>
          <w:p w14:paraId="28CC9E2E" w14:textId="77777777" w:rsidR="00737DC2" w:rsidRPr="00737DC2" w:rsidRDefault="00737DC2" w:rsidP="00737DC2">
            <w:pPr>
              <w:jc w:val="left"/>
              <w:rPr>
                <w:rFonts w:ascii="Times New Roman" w:eastAsia="Calibri" w:hAnsi="Times New Roman"/>
                <w:sz w:val="22"/>
                <w:szCs w:val="22"/>
              </w:rPr>
            </w:pPr>
            <w:r w:rsidRPr="00737DC2">
              <w:rPr>
                <w:rFonts w:ascii="Times New Roman" w:eastAsia="Calibri" w:hAnsi="Times New Roman"/>
                <w:sz w:val="22"/>
                <w:szCs w:val="22"/>
              </w:rPr>
              <w:t>:</w:t>
            </w:r>
          </w:p>
        </w:tc>
        <w:tc>
          <w:tcPr>
            <w:tcW w:w="7059" w:type="dxa"/>
            <w:vAlign w:val="center"/>
          </w:tcPr>
          <w:p w14:paraId="4CDD0AB3" w14:textId="77777777" w:rsidR="00737DC2" w:rsidRPr="00737DC2" w:rsidRDefault="00737DC2" w:rsidP="00737DC2">
            <w:pPr>
              <w:jc w:val="left"/>
              <w:rPr>
                <w:rFonts w:ascii="Times New Roman" w:eastAsia="Calibri" w:hAnsi="Times New Roman"/>
                <w:sz w:val="22"/>
                <w:szCs w:val="22"/>
              </w:rPr>
            </w:pPr>
            <w:r w:rsidRPr="00737DC2">
              <w:rPr>
                <w:rFonts w:ascii="Times New Roman" w:eastAsia="Calibri" w:hAnsi="Times New Roman"/>
                <w:sz w:val="22"/>
                <w:szCs w:val="22"/>
              </w:rPr>
              <w:t>International Public Sector Accounting Standards</w:t>
            </w:r>
          </w:p>
        </w:tc>
      </w:tr>
      <w:tr w:rsidR="00737DC2" w:rsidRPr="00737DC2" w14:paraId="7FF42CD0" w14:textId="77777777" w:rsidTr="00BD760D">
        <w:trPr>
          <w:trHeight w:val="454"/>
        </w:trPr>
        <w:tc>
          <w:tcPr>
            <w:tcW w:w="1998" w:type="dxa"/>
            <w:vAlign w:val="center"/>
          </w:tcPr>
          <w:p w14:paraId="5CC0A44D" w14:textId="77777777" w:rsidR="00737DC2" w:rsidRPr="00737DC2" w:rsidRDefault="00737DC2" w:rsidP="00737DC2">
            <w:pPr>
              <w:jc w:val="left"/>
              <w:rPr>
                <w:rFonts w:ascii="Times New Roman" w:eastAsia="Calibri" w:hAnsi="Times New Roman"/>
                <w:sz w:val="22"/>
                <w:szCs w:val="22"/>
              </w:rPr>
            </w:pPr>
            <w:r w:rsidRPr="00737DC2">
              <w:rPr>
                <w:rFonts w:ascii="Times New Roman" w:eastAsia="Calibri" w:hAnsi="Times New Roman"/>
                <w:sz w:val="22"/>
                <w:szCs w:val="22"/>
              </w:rPr>
              <w:t>ISAs</w:t>
            </w:r>
          </w:p>
        </w:tc>
        <w:tc>
          <w:tcPr>
            <w:tcW w:w="278" w:type="dxa"/>
            <w:vAlign w:val="center"/>
          </w:tcPr>
          <w:p w14:paraId="656C0466" w14:textId="77777777" w:rsidR="00737DC2" w:rsidRPr="00737DC2" w:rsidRDefault="00737DC2" w:rsidP="00737DC2">
            <w:pPr>
              <w:jc w:val="left"/>
              <w:rPr>
                <w:rFonts w:ascii="Times New Roman" w:eastAsia="Calibri" w:hAnsi="Times New Roman"/>
                <w:sz w:val="22"/>
                <w:szCs w:val="22"/>
              </w:rPr>
            </w:pPr>
            <w:r w:rsidRPr="00737DC2">
              <w:rPr>
                <w:rFonts w:ascii="Times New Roman" w:eastAsia="Calibri" w:hAnsi="Times New Roman"/>
                <w:sz w:val="22"/>
                <w:szCs w:val="22"/>
              </w:rPr>
              <w:t>:</w:t>
            </w:r>
          </w:p>
        </w:tc>
        <w:tc>
          <w:tcPr>
            <w:tcW w:w="7059" w:type="dxa"/>
            <w:vAlign w:val="center"/>
          </w:tcPr>
          <w:p w14:paraId="7BF1A281" w14:textId="77777777" w:rsidR="00737DC2" w:rsidRPr="00737DC2" w:rsidRDefault="00737DC2" w:rsidP="00737DC2">
            <w:pPr>
              <w:jc w:val="left"/>
              <w:rPr>
                <w:rFonts w:ascii="Times New Roman" w:eastAsia="Calibri" w:hAnsi="Times New Roman"/>
                <w:sz w:val="22"/>
                <w:szCs w:val="22"/>
              </w:rPr>
            </w:pPr>
            <w:r w:rsidRPr="00737DC2">
              <w:rPr>
                <w:rFonts w:ascii="Times New Roman" w:eastAsia="Calibri" w:hAnsi="Times New Roman"/>
                <w:sz w:val="22"/>
                <w:szCs w:val="22"/>
              </w:rPr>
              <w:t>International Standards on Auditing</w:t>
            </w:r>
          </w:p>
        </w:tc>
      </w:tr>
      <w:tr w:rsidR="00737DC2" w:rsidRPr="00737DC2" w14:paraId="02F80F9B" w14:textId="77777777" w:rsidTr="00BD760D">
        <w:trPr>
          <w:trHeight w:val="454"/>
        </w:trPr>
        <w:tc>
          <w:tcPr>
            <w:tcW w:w="1998" w:type="dxa"/>
            <w:vAlign w:val="center"/>
          </w:tcPr>
          <w:p w14:paraId="556834CD" w14:textId="77777777" w:rsidR="00737DC2" w:rsidRPr="00737DC2" w:rsidRDefault="00737DC2" w:rsidP="00737DC2">
            <w:pPr>
              <w:jc w:val="left"/>
              <w:rPr>
                <w:rFonts w:ascii="Times New Roman" w:eastAsia="Calibri" w:hAnsi="Times New Roman"/>
                <w:sz w:val="22"/>
                <w:szCs w:val="22"/>
              </w:rPr>
            </w:pPr>
            <w:r w:rsidRPr="00737DC2">
              <w:rPr>
                <w:rFonts w:ascii="Times New Roman" w:eastAsia="Calibri" w:hAnsi="Times New Roman"/>
                <w:sz w:val="22"/>
                <w:szCs w:val="22"/>
              </w:rPr>
              <w:t>SFAO</w:t>
            </w:r>
          </w:p>
        </w:tc>
        <w:tc>
          <w:tcPr>
            <w:tcW w:w="278" w:type="dxa"/>
            <w:vAlign w:val="center"/>
          </w:tcPr>
          <w:p w14:paraId="19BE8573" w14:textId="77777777" w:rsidR="00737DC2" w:rsidRPr="00737DC2" w:rsidRDefault="00737DC2" w:rsidP="00737DC2">
            <w:pPr>
              <w:jc w:val="left"/>
              <w:rPr>
                <w:rFonts w:ascii="Times New Roman" w:eastAsia="Calibri" w:hAnsi="Times New Roman"/>
                <w:sz w:val="22"/>
                <w:szCs w:val="22"/>
              </w:rPr>
            </w:pPr>
            <w:r w:rsidRPr="00737DC2">
              <w:rPr>
                <w:rFonts w:ascii="Times New Roman" w:eastAsia="Calibri" w:hAnsi="Times New Roman"/>
                <w:sz w:val="22"/>
                <w:szCs w:val="22"/>
              </w:rPr>
              <w:t>:</w:t>
            </w:r>
          </w:p>
        </w:tc>
        <w:tc>
          <w:tcPr>
            <w:tcW w:w="7059" w:type="dxa"/>
            <w:vAlign w:val="center"/>
          </w:tcPr>
          <w:p w14:paraId="3D12529C" w14:textId="77777777" w:rsidR="00737DC2" w:rsidRPr="00737DC2" w:rsidRDefault="00737DC2" w:rsidP="00737DC2">
            <w:pPr>
              <w:jc w:val="left"/>
              <w:rPr>
                <w:rFonts w:ascii="Times New Roman" w:eastAsia="Calibri" w:hAnsi="Times New Roman"/>
                <w:sz w:val="22"/>
                <w:szCs w:val="22"/>
              </w:rPr>
            </w:pPr>
            <w:r w:rsidRPr="00737DC2">
              <w:rPr>
                <w:rFonts w:ascii="Times New Roman" w:eastAsia="Calibri" w:hAnsi="Times New Roman"/>
                <w:sz w:val="22"/>
                <w:szCs w:val="22"/>
              </w:rPr>
              <w:t>Swiss Federal Audit Office</w:t>
            </w:r>
          </w:p>
        </w:tc>
      </w:tr>
      <w:tr w:rsidR="00737DC2" w:rsidRPr="00737DC2" w14:paraId="48EF7416" w14:textId="77777777" w:rsidTr="00BD760D">
        <w:trPr>
          <w:trHeight w:val="454"/>
        </w:trPr>
        <w:tc>
          <w:tcPr>
            <w:tcW w:w="1998" w:type="dxa"/>
            <w:vAlign w:val="center"/>
          </w:tcPr>
          <w:p w14:paraId="017B5420" w14:textId="77777777" w:rsidR="00737DC2" w:rsidRPr="00737DC2" w:rsidRDefault="00737DC2" w:rsidP="00737DC2">
            <w:pPr>
              <w:jc w:val="left"/>
              <w:rPr>
                <w:rFonts w:ascii="Times New Roman" w:eastAsia="Calibri" w:hAnsi="Times New Roman"/>
                <w:sz w:val="22"/>
                <w:szCs w:val="22"/>
              </w:rPr>
            </w:pPr>
            <w:r w:rsidRPr="00737DC2">
              <w:rPr>
                <w:rFonts w:ascii="Times New Roman" w:eastAsia="Calibri" w:hAnsi="Times New Roman"/>
                <w:sz w:val="22"/>
                <w:szCs w:val="22"/>
              </w:rPr>
              <w:t>UPOV</w:t>
            </w:r>
          </w:p>
        </w:tc>
        <w:tc>
          <w:tcPr>
            <w:tcW w:w="278" w:type="dxa"/>
            <w:vAlign w:val="center"/>
          </w:tcPr>
          <w:p w14:paraId="7357068C" w14:textId="77777777" w:rsidR="00737DC2" w:rsidRPr="00737DC2" w:rsidRDefault="00737DC2" w:rsidP="00737DC2">
            <w:pPr>
              <w:jc w:val="left"/>
              <w:rPr>
                <w:rFonts w:ascii="Times New Roman" w:eastAsia="Calibri" w:hAnsi="Times New Roman"/>
                <w:sz w:val="22"/>
                <w:szCs w:val="22"/>
              </w:rPr>
            </w:pPr>
            <w:r w:rsidRPr="00737DC2">
              <w:rPr>
                <w:rFonts w:ascii="Times New Roman" w:eastAsia="Calibri" w:hAnsi="Times New Roman"/>
                <w:sz w:val="22"/>
                <w:szCs w:val="22"/>
              </w:rPr>
              <w:t>:</w:t>
            </w:r>
          </w:p>
        </w:tc>
        <w:tc>
          <w:tcPr>
            <w:tcW w:w="7059" w:type="dxa"/>
            <w:vAlign w:val="center"/>
          </w:tcPr>
          <w:p w14:paraId="6CA31F2A" w14:textId="77777777" w:rsidR="00737DC2" w:rsidRPr="00737DC2" w:rsidRDefault="00737DC2" w:rsidP="00737DC2">
            <w:pPr>
              <w:jc w:val="left"/>
              <w:rPr>
                <w:rFonts w:ascii="Times New Roman" w:eastAsia="Calibri" w:hAnsi="Times New Roman"/>
                <w:sz w:val="22"/>
                <w:szCs w:val="22"/>
              </w:rPr>
            </w:pPr>
            <w:r w:rsidRPr="00737DC2">
              <w:rPr>
                <w:rFonts w:ascii="Times New Roman" w:eastAsia="Calibri" w:hAnsi="Times New Roman"/>
                <w:sz w:val="22"/>
                <w:szCs w:val="22"/>
              </w:rPr>
              <w:t>International Union for the Protection of New Varieties of Plants</w:t>
            </w:r>
          </w:p>
        </w:tc>
      </w:tr>
      <w:tr w:rsidR="00737DC2" w:rsidRPr="00737DC2" w14:paraId="0E1D456E" w14:textId="77777777" w:rsidTr="00BD760D">
        <w:trPr>
          <w:trHeight w:val="454"/>
        </w:trPr>
        <w:tc>
          <w:tcPr>
            <w:tcW w:w="1998" w:type="dxa"/>
            <w:vAlign w:val="center"/>
          </w:tcPr>
          <w:p w14:paraId="25454423" w14:textId="77777777" w:rsidR="00737DC2" w:rsidRPr="00737DC2" w:rsidRDefault="00737DC2" w:rsidP="00737DC2">
            <w:pPr>
              <w:jc w:val="left"/>
              <w:rPr>
                <w:rFonts w:ascii="Times New Roman" w:eastAsia="Calibri" w:hAnsi="Times New Roman"/>
                <w:sz w:val="22"/>
                <w:szCs w:val="22"/>
              </w:rPr>
            </w:pPr>
            <w:r w:rsidRPr="00737DC2">
              <w:rPr>
                <w:rFonts w:ascii="Times New Roman" w:eastAsia="Calibri" w:hAnsi="Times New Roman"/>
                <w:sz w:val="22"/>
                <w:szCs w:val="22"/>
              </w:rPr>
              <w:t>WIPO</w:t>
            </w:r>
          </w:p>
        </w:tc>
        <w:tc>
          <w:tcPr>
            <w:tcW w:w="278" w:type="dxa"/>
            <w:vAlign w:val="center"/>
          </w:tcPr>
          <w:p w14:paraId="6D53CBE1" w14:textId="77777777" w:rsidR="00737DC2" w:rsidRPr="00737DC2" w:rsidRDefault="00737DC2" w:rsidP="00737DC2">
            <w:pPr>
              <w:jc w:val="left"/>
              <w:rPr>
                <w:rFonts w:ascii="Times New Roman" w:eastAsia="Calibri" w:hAnsi="Times New Roman"/>
                <w:sz w:val="22"/>
                <w:szCs w:val="22"/>
              </w:rPr>
            </w:pPr>
            <w:r w:rsidRPr="00737DC2">
              <w:rPr>
                <w:rFonts w:ascii="Times New Roman" w:eastAsia="Calibri" w:hAnsi="Times New Roman"/>
                <w:sz w:val="22"/>
                <w:szCs w:val="22"/>
              </w:rPr>
              <w:t>:</w:t>
            </w:r>
          </w:p>
        </w:tc>
        <w:tc>
          <w:tcPr>
            <w:tcW w:w="7059" w:type="dxa"/>
            <w:vAlign w:val="center"/>
          </w:tcPr>
          <w:p w14:paraId="42C1566C" w14:textId="77777777" w:rsidR="00737DC2" w:rsidRPr="00737DC2" w:rsidRDefault="00737DC2" w:rsidP="00737DC2">
            <w:pPr>
              <w:jc w:val="left"/>
              <w:rPr>
                <w:rFonts w:ascii="Times New Roman" w:eastAsia="Calibri" w:hAnsi="Times New Roman"/>
                <w:sz w:val="22"/>
                <w:szCs w:val="22"/>
              </w:rPr>
            </w:pPr>
            <w:r w:rsidRPr="00737DC2">
              <w:rPr>
                <w:rFonts w:ascii="Times New Roman" w:eastAsia="Calibri" w:hAnsi="Times New Roman"/>
                <w:sz w:val="22"/>
                <w:szCs w:val="22"/>
              </w:rPr>
              <w:t>World Intellectual Property Organization</w:t>
            </w:r>
          </w:p>
        </w:tc>
      </w:tr>
    </w:tbl>
    <w:p w14:paraId="13FD386C" w14:textId="77777777" w:rsidR="00737DC2" w:rsidRPr="00737DC2" w:rsidRDefault="00737DC2" w:rsidP="00737DC2">
      <w:pPr>
        <w:spacing w:after="120" w:line="276" w:lineRule="auto"/>
        <w:rPr>
          <w:rFonts w:ascii="Times New Roman" w:eastAsia="Calibri" w:hAnsi="Times New Roman"/>
          <w:color w:val="000000"/>
          <w:sz w:val="22"/>
          <w:szCs w:val="22"/>
        </w:rPr>
      </w:pPr>
    </w:p>
    <w:p w14:paraId="42750214" w14:textId="77777777" w:rsidR="00050E16" w:rsidRDefault="00050E16" w:rsidP="007D2DA5"/>
    <w:p w14:paraId="69A0288C" w14:textId="77777777" w:rsidR="003A22FC" w:rsidRDefault="003A22FC" w:rsidP="007D2DA5"/>
    <w:p w14:paraId="04F0FA00" w14:textId="567ACFAF" w:rsidR="003A22FC" w:rsidRPr="00C5280D" w:rsidRDefault="003A22FC" w:rsidP="003A22FC">
      <w:pPr>
        <w:jc w:val="right"/>
      </w:pPr>
      <w:r>
        <w:t>[End of Annex and of document]</w:t>
      </w:r>
    </w:p>
    <w:sectPr w:rsidR="003A22FC" w:rsidRPr="00C5280D" w:rsidSect="00DB50E5">
      <w:pgSz w:w="11907" w:h="16840" w:code="9"/>
      <w:pgMar w:top="510" w:right="1134" w:bottom="1134" w:left="1134" w:header="510" w:footer="68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1C49C" w14:textId="77777777" w:rsidR="00CF08BD" w:rsidRDefault="00CF08BD" w:rsidP="006655D3">
      <w:r>
        <w:separator/>
      </w:r>
    </w:p>
    <w:p w14:paraId="63907926" w14:textId="77777777" w:rsidR="00CF08BD" w:rsidRDefault="00CF08BD" w:rsidP="006655D3"/>
    <w:p w14:paraId="388496F9" w14:textId="77777777" w:rsidR="00CF08BD" w:rsidRDefault="00CF08BD" w:rsidP="006655D3"/>
  </w:endnote>
  <w:endnote w:type="continuationSeparator" w:id="0">
    <w:p w14:paraId="1AE9A2D8" w14:textId="77777777" w:rsidR="00CF08BD" w:rsidRDefault="00CF08BD" w:rsidP="006655D3">
      <w:r>
        <w:separator/>
      </w:r>
    </w:p>
    <w:p w14:paraId="10190340" w14:textId="77777777" w:rsidR="00CF08BD" w:rsidRPr="00294751" w:rsidRDefault="00CF08BD">
      <w:pPr>
        <w:pStyle w:val="Footer"/>
        <w:spacing w:after="60"/>
        <w:rPr>
          <w:sz w:val="18"/>
          <w:lang w:val="fr-FR"/>
        </w:rPr>
      </w:pPr>
      <w:r w:rsidRPr="00294751">
        <w:rPr>
          <w:sz w:val="18"/>
          <w:lang w:val="fr-FR"/>
        </w:rPr>
        <w:t>[Suite de la note de la page précédente]</w:t>
      </w:r>
    </w:p>
    <w:p w14:paraId="2A9E6C5E" w14:textId="77777777" w:rsidR="00CF08BD" w:rsidRPr="00294751" w:rsidRDefault="00CF08BD" w:rsidP="006655D3">
      <w:pPr>
        <w:rPr>
          <w:lang w:val="fr-FR"/>
        </w:rPr>
      </w:pPr>
    </w:p>
    <w:p w14:paraId="1AB01BE1" w14:textId="77777777" w:rsidR="00CF08BD" w:rsidRPr="00294751" w:rsidRDefault="00CF08BD" w:rsidP="006655D3">
      <w:pPr>
        <w:rPr>
          <w:lang w:val="fr-FR"/>
        </w:rPr>
      </w:pPr>
    </w:p>
  </w:endnote>
  <w:endnote w:type="continuationNotice" w:id="1">
    <w:p w14:paraId="0040F108" w14:textId="77777777" w:rsidR="00CF08BD" w:rsidRPr="00294751" w:rsidRDefault="00CF08BD" w:rsidP="006655D3">
      <w:pPr>
        <w:rPr>
          <w:lang w:val="fr-FR"/>
        </w:rPr>
      </w:pPr>
      <w:r w:rsidRPr="00294751">
        <w:rPr>
          <w:lang w:val="fr-FR"/>
        </w:rPr>
        <w:t>[Suite de la note page suivante]</w:t>
      </w:r>
    </w:p>
    <w:p w14:paraId="566B6418" w14:textId="77777777" w:rsidR="00CF08BD" w:rsidRPr="00294751" w:rsidRDefault="00CF08BD" w:rsidP="006655D3">
      <w:pPr>
        <w:rPr>
          <w:lang w:val="fr-FR"/>
        </w:rPr>
      </w:pPr>
    </w:p>
    <w:p w14:paraId="70EBE2A8" w14:textId="77777777" w:rsidR="00CF08BD" w:rsidRPr="00294751" w:rsidRDefault="00CF08BD" w:rsidP="006655D3">
      <w:pPr>
        <w:rPr>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57B63" w14:textId="6F136547" w:rsidR="00326A74" w:rsidRDefault="00326A74">
    <w:pPr>
      <w:pStyle w:val="Footer"/>
    </w:pPr>
    <w:r>
      <w:rPr>
        <w:noProof/>
      </w:rPr>
      <mc:AlternateContent>
        <mc:Choice Requires="wps">
          <w:drawing>
            <wp:anchor distT="0" distB="0" distL="0" distR="0" simplePos="0" relativeHeight="251658240" behindDoc="0" locked="0" layoutInCell="1" allowOverlap="1" wp14:anchorId="562149C1" wp14:editId="34AF083B">
              <wp:simplePos x="635" y="635"/>
              <wp:positionH relativeFrom="page">
                <wp:align>center</wp:align>
              </wp:positionH>
              <wp:positionV relativeFrom="page">
                <wp:align>bottom</wp:align>
              </wp:positionV>
              <wp:extent cx="2105660" cy="345440"/>
              <wp:effectExtent l="0" t="0" r="8890" b="0"/>
              <wp:wrapNone/>
              <wp:docPr id="271567418" name="Text Box 13" descr="WIPO PERSONAL AND CONFIDENT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05660" cy="345440"/>
                      </a:xfrm>
                      <a:prstGeom prst="rect">
                        <a:avLst/>
                      </a:prstGeom>
                      <a:noFill/>
                      <a:ln>
                        <a:noFill/>
                      </a:ln>
                    </wps:spPr>
                    <wps:txbx>
                      <w:txbxContent>
                        <w:p w14:paraId="10F7880F" w14:textId="032B6ABD" w:rsidR="00326A74" w:rsidRPr="00326A74" w:rsidRDefault="00326A74" w:rsidP="00326A74">
                          <w:pPr>
                            <w:rPr>
                              <w:rFonts w:ascii="Aptos" w:eastAsia="Aptos" w:hAnsi="Aptos" w:cs="Aptos"/>
                              <w:noProof/>
                              <w:color w:val="FF0000"/>
                            </w:rPr>
                          </w:pPr>
                          <w:r w:rsidRPr="00326A74">
                            <w:rPr>
                              <w:rFonts w:ascii="Aptos" w:eastAsia="Aptos" w:hAnsi="Aptos" w:cs="Aptos"/>
                              <w:noProof/>
                              <w:color w:val="FF0000"/>
                            </w:rPr>
                            <w:t xml:space="preserve">WIPO PERSONAL AND CONFIDENTIAL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2149C1" id="_x0000_t202" coordsize="21600,21600" o:spt="202" path="m,l,21600r21600,l21600,xe">
              <v:stroke joinstyle="miter"/>
              <v:path gradientshapeok="t" o:connecttype="rect"/>
            </v:shapetype>
            <v:shape id="Text Box 13" o:spid="_x0000_s1037" type="#_x0000_t202" alt="WIPO PERSONAL AND CONFIDENTIAL " style="position:absolute;left:0;text-align:left;margin-left:0;margin-top:0;width:165.8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" filled="f" stroked="f">
              <v:textbox style="mso-fit-shape-to-text:t" inset="0,0,0,15pt">
                <w:txbxContent>
                  <w:p w14:paraId="10F7880F" w14:textId="032B6ABD" w:rsidR="00326A74" w:rsidRPr="00326A74" w:rsidRDefault="00326A74" w:rsidP="00326A74">
                    <w:pPr>
                      <w:rPr>
                        <w:rFonts w:ascii="Aptos" w:eastAsia="Aptos" w:hAnsi="Aptos" w:cs="Aptos"/>
                        <w:noProof/>
                        <w:color w:val="FF0000"/>
                      </w:rPr>
                    </w:pPr>
                    <w:r w:rsidRPr="00326A74">
                      <w:rPr>
                        <w:rFonts w:ascii="Aptos" w:eastAsia="Aptos" w:hAnsi="Aptos" w:cs="Aptos"/>
                        <w:noProof/>
                        <w:color w:val="FF0000"/>
                      </w:rPr>
                      <w:t xml:space="preserve">WIPO PERSONAL AND CONFIDENTIAL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4832" w14:textId="24CA913D" w:rsidR="00737DC2" w:rsidRPr="00F036E2" w:rsidRDefault="00737DC2" w:rsidP="00F036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1B97C" w14:textId="0A32980C" w:rsidR="00737DC2" w:rsidRPr="00F036E2" w:rsidRDefault="00737DC2" w:rsidP="00F036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D6E8E" w14:textId="6DFD775B" w:rsidR="00737DC2" w:rsidRPr="00F036E2" w:rsidRDefault="00737DC2" w:rsidP="00F036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4DCCE" w14:textId="77777777" w:rsidR="00CF08BD" w:rsidRDefault="00CF08BD" w:rsidP="006655D3">
      <w:r>
        <w:separator/>
      </w:r>
    </w:p>
  </w:footnote>
  <w:footnote w:type="continuationSeparator" w:id="0">
    <w:p w14:paraId="46D2E8F4" w14:textId="77777777" w:rsidR="00CF08BD" w:rsidRDefault="00CF08BD" w:rsidP="006655D3">
      <w:r>
        <w:separator/>
      </w:r>
    </w:p>
  </w:footnote>
  <w:footnote w:type="continuationNotice" w:id="1">
    <w:p w14:paraId="3847C608" w14:textId="77777777" w:rsidR="00CF08BD" w:rsidRPr="00AB530F" w:rsidRDefault="00CF08BD" w:rsidP="00AB530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C3834" w14:textId="273E625C" w:rsidR="00182B99" w:rsidRPr="00C5280D" w:rsidRDefault="00B451A8" w:rsidP="00EB048E">
    <w:pPr>
      <w:pStyle w:val="Header"/>
      <w:rPr>
        <w:rStyle w:val="PageNumber"/>
        <w:lang w:val="en-US"/>
      </w:rPr>
    </w:pPr>
    <w:r>
      <w:rPr>
        <w:rStyle w:val="PageNumber"/>
        <w:lang w:val="en-US"/>
      </w:rPr>
      <w:t>C/</w:t>
    </w:r>
    <w:r w:rsidR="009A36D8">
      <w:rPr>
        <w:rStyle w:val="PageNumber"/>
        <w:lang w:val="en-US"/>
      </w:rPr>
      <w:t>60/10</w:t>
    </w:r>
  </w:p>
  <w:p w14:paraId="3C352E08" w14:textId="77777777" w:rsidR="00182B99" w:rsidRPr="00C5280D" w:rsidRDefault="00182B99" w:rsidP="00EB048E">
    <w:pPr>
      <w:pStyle w:val="Header"/>
      <w:rPr>
        <w:lang w:val="en-US"/>
      </w:rPr>
    </w:pPr>
    <w:r w:rsidRPr="00C5280D">
      <w:rPr>
        <w:lang w:val="en-US"/>
      </w:rPr>
      <w:t xml:space="preserve">page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sidR="00903264">
      <w:rPr>
        <w:rStyle w:val="PageNumber"/>
        <w:noProof/>
        <w:lang w:val="en-US"/>
      </w:rPr>
      <w:t>2</w:t>
    </w:r>
    <w:r w:rsidRPr="00C5280D">
      <w:rPr>
        <w:rStyle w:val="PageNumber"/>
        <w:lang w:val="en-US"/>
      </w:rPr>
      <w:fldChar w:fldCharType="end"/>
    </w:r>
  </w:p>
  <w:p w14:paraId="5F33CE95" w14:textId="77777777" w:rsidR="00182B99" w:rsidRPr="00C5280D" w:rsidRDefault="00182B99" w:rsidP="006655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F2FDE" w14:textId="77777777" w:rsidR="00737DC2" w:rsidRPr="00C5280D" w:rsidRDefault="00737DC2" w:rsidP="00EB048E">
    <w:pPr>
      <w:pStyle w:val="Header"/>
      <w:rPr>
        <w:rStyle w:val="PageNumber"/>
        <w:lang w:val="en-US"/>
      </w:rPr>
    </w:pPr>
    <w:r>
      <w:rPr>
        <w:rStyle w:val="PageNumber"/>
        <w:lang w:val="en-US"/>
      </w:rPr>
      <w:t>C/60/10</w:t>
    </w:r>
  </w:p>
  <w:p w14:paraId="15DDF1C1" w14:textId="68F367FE" w:rsidR="00737DC2" w:rsidRDefault="00737DC2" w:rsidP="00737DC2">
    <w:pPr>
      <w:jc w:val="center"/>
      <w:rPr>
        <w:noProof/>
      </w:rPr>
    </w:pPr>
    <w:r>
      <w:t xml:space="preserve">Annex, page </w:t>
    </w:r>
    <w:r>
      <w:fldChar w:fldCharType="begin"/>
    </w:r>
    <w:r>
      <w:instrText xml:space="preserve"> PAGE   \* MERGEFORMAT </w:instrText>
    </w:r>
    <w:r>
      <w:fldChar w:fldCharType="separate"/>
    </w:r>
    <w:r>
      <w:rPr>
        <w:noProof/>
      </w:rPr>
      <w:t>1</w:t>
    </w:r>
    <w:r>
      <w:rPr>
        <w:noProof/>
      </w:rPr>
      <w:fldChar w:fldCharType="end"/>
    </w:r>
  </w:p>
  <w:p w14:paraId="0F3C6E2F" w14:textId="77777777" w:rsidR="00DB50E5" w:rsidRPr="00C5280D" w:rsidRDefault="00DB50E5" w:rsidP="00737DC2">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27462" w14:textId="77777777" w:rsidR="00737DC2" w:rsidRPr="00C5280D" w:rsidRDefault="00737DC2" w:rsidP="00737DC2">
    <w:pPr>
      <w:pStyle w:val="Header"/>
      <w:rPr>
        <w:rStyle w:val="PageNumber"/>
        <w:lang w:val="en-US"/>
      </w:rPr>
    </w:pPr>
    <w:r>
      <w:rPr>
        <w:rStyle w:val="PageNumber"/>
        <w:lang w:val="en-US"/>
      </w:rPr>
      <w:t>C/60/10</w:t>
    </w:r>
  </w:p>
  <w:p w14:paraId="27A78BCD" w14:textId="77777777" w:rsidR="00737DC2" w:rsidRDefault="00737DC2" w:rsidP="00737DC2"/>
  <w:p w14:paraId="09DDE8A3" w14:textId="76576EB0" w:rsidR="00737DC2" w:rsidRDefault="00737DC2" w:rsidP="00737DC2">
    <w:pPr>
      <w:jc w:val="center"/>
    </w:pPr>
    <w:r>
      <w:t>ANNEX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E22A5"/>
    <w:multiLevelType w:val="multilevel"/>
    <w:tmpl w:val="5448B97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3E690EFF"/>
    <w:multiLevelType w:val="multilevel"/>
    <w:tmpl w:val="8CC60974"/>
    <w:lvl w:ilvl="0">
      <w:start w:val="1"/>
      <w:numFmt w:val="bullet"/>
      <w:lvlText w:val="•"/>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3857DC7"/>
    <w:multiLevelType w:val="multilevel"/>
    <w:tmpl w:val="76F295F2"/>
    <w:lvl w:ilvl="0">
      <w:start w:val="1"/>
      <w:numFmt w:val="upperLetter"/>
      <w:pStyle w:val="Heading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DBE3DE3"/>
    <w:multiLevelType w:val="multilevel"/>
    <w:tmpl w:val="CF5C833A"/>
    <w:lvl w:ilvl="0">
      <w:start w:val="1"/>
      <w:numFmt w:val="decimal"/>
      <w:lvlText w:val="%1."/>
      <w:lvlJc w:val="left"/>
      <w:pPr>
        <w:ind w:left="607" w:hanging="360"/>
      </w:pPr>
      <w:rPr>
        <w:b w:val="0"/>
      </w:rPr>
    </w:lvl>
    <w:lvl w:ilvl="1">
      <w:start w:val="1"/>
      <w:numFmt w:val="lowerLetter"/>
      <w:lvlText w:val="%2."/>
      <w:lvlJc w:val="left"/>
      <w:pPr>
        <w:ind w:left="1327" w:hanging="360"/>
      </w:pPr>
      <w:rPr>
        <w:rFonts w:hint="default"/>
        <w:b/>
      </w:rPr>
    </w:lvl>
    <w:lvl w:ilvl="2">
      <w:start w:val="1"/>
      <w:numFmt w:val="lowerRoman"/>
      <w:lvlText w:val="%3."/>
      <w:lvlJc w:val="right"/>
      <w:pPr>
        <w:ind w:left="2047" w:hanging="180"/>
      </w:pPr>
    </w:lvl>
    <w:lvl w:ilvl="3">
      <w:start w:val="1"/>
      <w:numFmt w:val="decimal"/>
      <w:lvlText w:val="%4."/>
      <w:lvlJc w:val="left"/>
      <w:pPr>
        <w:ind w:left="2767" w:hanging="360"/>
      </w:pPr>
    </w:lvl>
    <w:lvl w:ilvl="4">
      <w:start w:val="1"/>
      <w:numFmt w:val="lowerLetter"/>
      <w:lvlText w:val="%5."/>
      <w:lvlJc w:val="left"/>
      <w:pPr>
        <w:ind w:left="3487" w:hanging="360"/>
      </w:pPr>
    </w:lvl>
    <w:lvl w:ilvl="5">
      <w:start w:val="1"/>
      <w:numFmt w:val="lowerRoman"/>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4" w15:restartNumberingAfterBreak="0">
    <w:nsid w:val="5322163C"/>
    <w:multiLevelType w:val="hybridMultilevel"/>
    <w:tmpl w:val="214A8426"/>
    <w:lvl w:ilvl="0" w:tplc="1592FD9A">
      <w:start w:val="1"/>
      <w:numFmt w:val="decimal"/>
      <w:pStyle w:val="Heading4"/>
      <w:lvlText w:val="%1."/>
      <w:lvlJc w:val="left"/>
      <w:pPr>
        <w:ind w:left="1084" w:hanging="360"/>
      </w:pPr>
      <w:rPr>
        <w:rFonts w:hint="default"/>
        <w:b/>
        <w:i w:val="0"/>
        <w:sz w:val="20"/>
      </w:rPr>
    </w:lvl>
    <w:lvl w:ilvl="1" w:tplc="08090019" w:tentative="1">
      <w:start w:val="1"/>
      <w:numFmt w:val="lowerLetter"/>
      <w:lvlText w:val="%2."/>
      <w:lvlJc w:val="left"/>
      <w:pPr>
        <w:ind w:left="1804" w:hanging="360"/>
      </w:pPr>
    </w:lvl>
    <w:lvl w:ilvl="2" w:tplc="0809001B" w:tentative="1">
      <w:start w:val="1"/>
      <w:numFmt w:val="lowerRoman"/>
      <w:lvlText w:val="%3."/>
      <w:lvlJc w:val="right"/>
      <w:pPr>
        <w:ind w:left="2524" w:hanging="180"/>
      </w:pPr>
    </w:lvl>
    <w:lvl w:ilvl="3" w:tplc="0809000F" w:tentative="1">
      <w:start w:val="1"/>
      <w:numFmt w:val="decimal"/>
      <w:lvlText w:val="%4."/>
      <w:lvlJc w:val="left"/>
      <w:pPr>
        <w:ind w:left="3244" w:hanging="360"/>
      </w:pPr>
    </w:lvl>
    <w:lvl w:ilvl="4" w:tplc="08090019" w:tentative="1">
      <w:start w:val="1"/>
      <w:numFmt w:val="lowerLetter"/>
      <w:lvlText w:val="%5."/>
      <w:lvlJc w:val="left"/>
      <w:pPr>
        <w:ind w:left="3964" w:hanging="360"/>
      </w:pPr>
    </w:lvl>
    <w:lvl w:ilvl="5" w:tplc="0809001B" w:tentative="1">
      <w:start w:val="1"/>
      <w:numFmt w:val="lowerRoman"/>
      <w:lvlText w:val="%6."/>
      <w:lvlJc w:val="right"/>
      <w:pPr>
        <w:ind w:left="4684" w:hanging="180"/>
      </w:pPr>
    </w:lvl>
    <w:lvl w:ilvl="6" w:tplc="0809000F" w:tentative="1">
      <w:start w:val="1"/>
      <w:numFmt w:val="decimal"/>
      <w:lvlText w:val="%7."/>
      <w:lvlJc w:val="left"/>
      <w:pPr>
        <w:ind w:left="5404" w:hanging="360"/>
      </w:pPr>
    </w:lvl>
    <w:lvl w:ilvl="7" w:tplc="08090019" w:tentative="1">
      <w:start w:val="1"/>
      <w:numFmt w:val="lowerLetter"/>
      <w:lvlText w:val="%8."/>
      <w:lvlJc w:val="left"/>
      <w:pPr>
        <w:ind w:left="6124" w:hanging="360"/>
      </w:pPr>
    </w:lvl>
    <w:lvl w:ilvl="8" w:tplc="0809001B" w:tentative="1">
      <w:start w:val="1"/>
      <w:numFmt w:val="lowerRoman"/>
      <w:lvlText w:val="%9."/>
      <w:lvlJc w:val="right"/>
      <w:pPr>
        <w:ind w:left="6844" w:hanging="180"/>
      </w:pPr>
    </w:lvl>
  </w:abstractNum>
  <w:abstractNum w:abstractNumId="5" w15:restartNumberingAfterBreak="0">
    <w:nsid w:val="5604284F"/>
    <w:multiLevelType w:val="multilevel"/>
    <w:tmpl w:val="0CF460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58655747">
    <w:abstractNumId w:val="1"/>
    <w:lvlOverride w:ilvl="0">
      <w:startOverride w:val="1"/>
    </w:lvlOverride>
  </w:num>
  <w:num w:numId="2" w16cid:durableId="1427652305">
    <w:abstractNumId w:val="2"/>
  </w:num>
  <w:num w:numId="3" w16cid:durableId="1365251807">
    <w:abstractNumId w:val="3"/>
  </w:num>
  <w:num w:numId="4" w16cid:durableId="1666586790">
    <w:abstractNumId w:val="5"/>
  </w:num>
  <w:num w:numId="5" w16cid:durableId="1060834168">
    <w:abstractNumId w:val="0"/>
  </w:num>
  <w:num w:numId="6" w16cid:durableId="254483963">
    <w:abstractNumId w:val="4"/>
  </w:num>
  <w:num w:numId="7" w16cid:durableId="1856262447">
    <w:abstractNumId w:val="2"/>
  </w:num>
  <w:num w:numId="8" w16cid:durableId="717122894">
    <w:abstractNumId w:val="4"/>
    <w:lvlOverride w:ilvl="0">
      <w:startOverride w:val="1"/>
    </w:lvlOverride>
  </w:num>
  <w:num w:numId="9" w16cid:durableId="477723110">
    <w:abstractNumId w:val="4"/>
  </w:num>
  <w:num w:numId="10" w16cid:durableId="1222594122">
    <w:abstractNumId w:val="4"/>
  </w:num>
  <w:num w:numId="11" w16cid:durableId="1902710547">
    <w:abstractNumId w:val="2"/>
  </w:num>
  <w:num w:numId="12" w16cid:durableId="1562718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6D8"/>
    <w:rsid w:val="00010CF3"/>
    <w:rsid w:val="00011E27"/>
    <w:rsid w:val="000148BC"/>
    <w:rsid w:val="00024AB8"/>
    <w:rsid w:val="00030854"/>
    <w:rsid w:val="00036028"/>
    <w:rsid w:val="00044642"/>
    <w:rsid w:val="000446B9"/>
    <w:rsid w:val="00047610"/>
    <w:rsid w:val="00047E21"/>
    <w:rsid w:val="00050E16"/>
    <w:rsid w:val="000765FD"/>
    <w:rsid w:val="00085505"/>
    <w:rsid w:val="000C4E25"/>
    <w:rsid w:val="000C7021"/>
    <w:rsid w:val="000D6BBC"/>
    <w:rsid w:val="000D7780"/>
    <w:rsid w:val="000E636A"/>
    <w:rsid w:val="000F2F11"/>
    <w:rsid w:val="000F77B3"/>
    <w:rsid w:val="00105929"/>
    <w:rsid w:val="00110C36"/>
    <w:rsid w:val="001131D5"/>
    <w:rsid w:val="00141DB8"/>
    <w:rsid w:val="00172084"/>
    <w:rsid w:val="0017474A"/>
    <w:rsid w:val="001758C6"/>
    <w:rsid w:val="00182B99"/>
    <w:rsid w:val="001C1525"/>
    <w:rsid w:val="001D1460"/>
    <w:rsid w:val="001E3732"/>
    <w:rsid w:val="0020304B"/>
    <w:rsid w:val="0021332C"/>
    <w:rsid w:val="00213982"/>
    <w:rsid w:val="00214C72"/>
    <w:rsid w:val="00225471"/>
    <w:rsid w:val="0024416D"/>
    <w:rsid w:val="00256BFA"/>
    <w:rsid w:val="00264A1A"/>
    <w:rsid w:val="00271911"/>
    <w:rsid w:val="002800A0"/>
    <w:rsid w:val="002801B3"/>
    <w:rsid w:val="00281060"/>
    <w:rsid w:val="0028575F"/>
    <w:rsid w:val="002940E8"/>
    <w:rsid w:val="00294751"/>
    <w:rsid w:val="002A0420"/>
    <w:rsid w:val="002A5AFA"/>
    <w:rsid w:val="002A6E50"/>
    <w:rsid w:val="002B4298"/>
    <w:rsid w:val="002C256A"/>
    <w:rsid w:val="00305A7F"/>
    <w:rsid w:val="003152FE"/>
    <w:rsid w:val="00326A74"/>
    <w:rsid w:val="00327436"/>
    <w:rsid w:val="00344BD6"/>
    <w:rsid w:val="0035528D"/>
    <w:rsid w:val="00361821"/>
    <w:rsid w:val="00361E9E"/>
    <w:rsid w:val="00380C37"/>
    <w:rsid w:val="003900D5"/>
    <w:rsid w:val="0039633A"/>
    <w:rsid w:val="003A22FC"/>
    <w:rsid w:val="003B2BBC"/>
    <w:rsid w:val="003C7FBE"/>
    <w:rsid w:val="003D227C"/>
    <w:rsid w:val="003D2B4D"/>
    <w:rsid w:val="003E0CAD"/>
    <w:rsid w:val="003F5F2B"/>
    <w:rsid w:val="00444A88"/>
    <w:rsid w:val="00474DA4"/>
    <w:rsid w:val="00476B4D"/>
    <w:rsid w:val="004805FA"/>
    <w:rsid w:val="004935D2"/>
    <w:rsid w:val="004B1215"/>
    <w:rsid w:val="004D047D"/>
    <w:rsid w:val="004F1E9E"/>
    <w:rsid w:val="004F305A"/>
    <w:rsid w:val="00512164"/>
    <w:rsid w:val="0051361E"/>
    <w:rsid w:val="00520297"/>
    <w:rsid w:val="005338F9"/>
    <w:rsid w:val="0054281C"/>
    <w:rsid w:val="00544581"/>
    <w:rsid w:val="00547FCF"/>
    <w:rsid w:val="0055268D"/>
    <w:rsid w:val="00576BE4"/>
    <w:rsid w:val="00582AB1"/>
    <w:rsid w:val="005A400A"/>
    <w:rsid w:val="005B7A61"/>
    <w:rsid w:val="005F7B92"/>
    <w:rsid w:val="00602766"/>
    <w:rsid w:val="00612379"/>
    <w:rsid w:val="006153B6"/>
    <w:rsid w:val="0061555F"/>
    <w:rsid w:val="00636CA6"/>
    <w:rsid w:val="00641200"/>
    <w:rsid w:val="00645CA8"/>
    <w:rsid w:val="00662B4B"/>
    <w:rsid w:val="006655D3"/>
    <w:rsid w:val="00667404"/>
    <w:rsid w:val="00687EB4"/>
    <w:rsid w:val="00695C56"/>
    <w:rsid w:val="006A5CDE"/>
    <w:rsid w:val="006A644A"/>
    <w:rsid w:val="006B17D2"/>
    <w:rsid w:val="006C224E"/>
    <w:rsid w:val="006D780A"/>
    <w:rsid w:val="006F49CE"/>
    <w:rsid w:val="0071271E"/>
    <w:rsid w:val="00732DEC"/>
    <w:rsid w:val="00735BD5"/>
    <w:rsid w:val="00737DC2"/>
    <w:rsid w:val="007451EC"/>
    <w:rsid w:val="00751613"/>
    <w:rsid w:val="007556F6"/>
    <w:rsid w:val="00760EEF"/>
    <w:rsid w:val="00777EE5"/>
    <w:rsid w:val="00782255"/>
    <w:rsid w:val="00784836"/>
    <w:rsid w:val="0079023E"/>
    <w:rsid w:val="007A2854"/>
    <w:rsid w:val="007A5A83"/>
    <w:rsid w:val="007C1D92"/>
    <w:rsid w:val="007C3C19"/>
    <w:rsid w:val="007C4CB9"/>
    <w:rsid w:val="007D0B9D"/>
    <w:rsid w:val="007D19B0"/>
    <w:rsid w:val="007D2DA5"/>
    <w:rsid w:val="007D4635"/>
    <w:rsid w:val="007F498F"/>
    <w:rsid w:val="0080679D"/>
    <w:rsid w:val="008108B0"/>
    <w:rsid w:val="00811B20"/>
    <w:rsid w:val="008211B5"/>
    <w:rsid w:val="0082296E"/>
    <w:rsid w:val="00824099"/>
    <w:rsid w:val="00832B16"/>
    <w:rsid w:val="0083359E"/>
    <w:rsid w:val="00843998"/>
    <w:rsid w:val="00846D7C"/>
    <w:rsid w:val="00867AC1"/>
    <w:rsid w:val="00890DF8"/>
    <w:rsid w:val="008A743F"/>
    <w:rsid w:val="008C0970"/>
    <w:rsid w:val="008D0BC5"/>
    <w:rsid w:val="008D2CF7"/>
    <w:rsid w:val="00900C26"/>
    <w:rsid w:val="0090197F"/>
    <w:rsid w:val="00903264"/>
    <w:rsid w:val="00906DDC"/>
    <w:rsid w:val="00934E09"/>
    <w:rsid w:val="00936253"/>
    <w:rsid w:val="0093631D"/>
    <w:rsid w:val="00940D46"/>
    <w:rsid w:val="00952DD4"/>
    <w:rsid w:val="00965AE7"/>
    <w:rsid w:val="00970FED"/>
    <w:rsid w:val="009830C3"/>
    <w:rsid w:val="00987CB1"/>
    <w:rsid w:val="00992D82"/>
    <w:rsid w:val="00997029"/>
    <w:rsid w:val="009A36D8"/>
    <w:rsid w:val="009A7339"/>
    <w:rsid w:val="009B440E"/>
    <w:rsid w:val="009D690D"/>
    <w:rsid w:val="009E65B6"/>
    <w:rsid w:val="009F77CF"/>
    <w:rsid w:val="00A24C10"/>
    <w:rsid w:val="00A3365A"/>
    <w:rsid w:val="00A42AC3"/>
    <w:rsid w:val="00A430CF"/>
    <w:rsid w:val="00A54309"/>
    <w:rsid w:val="00A624FB"/>
    <w:rsid w:val="00A71DA4"/>
    <w:rsid w:val="00AB2B93"/>
    <w:rsid w:val="00AB530F"/>
    <w:rsid w:val="00AB7E5B"/>
    <w:rsid w:val="00AC2883"/>
    <w:rsid w:val="00AE0EF1"/>
    <w:rsid w:val="00AE2937"/>
    <w:rsid w:val="00AF0AF1"/>
    <w:rsid w:val="00B07301"/>
    <w:rsid w:val="00B11F3E"/>
    <w:rsid w:val="00B224DE"/>
    <w:rsid w:val="00B24CA7"/>
    <w:rsid w:val="00B324D4"/>
    <w:rsid w:val="00B451A8"/>
    <w:rsid w:val="00B46575"/>
    <w:rsid w:val="00B61777"/>
    <w:rsid w:val="00B673AB"/>
    <w:rsid w:val="00B84BBD"/>
    <w:rsid w:val="00BA43FB"/>
    <w:rsid w:val="00BC127D"/>
    <w:rsid w:val="00BC1FE6"/>
    <w:rsid w:val="00BC6EC4"/>
    <w:rsid w:val="00BE268F"/>
    <w:rsid w:val="00BF7378"/>
    <w:rsid w:val="00C00377"/>
    <w:rsid w:val="00C02C8D"/>
    <w:rsid w:val="00C0361E"/>
    <w:rsid w:val="00C061B6"/>
    <w:rsid w:val="00C2446C"/>
    <w:rsid w:val="00C36AE5"/>
    <w:rsid w:val="00C41F17"/>
    <w:rsid w:val="00C50A12"/>
    <w:rsid w:val="00C527FA"/>
    <w:rsid w:val="00C5280D"/>
    <w:rsid w:val="00C53EB3"/>
    <w:rsid w:val="00C5791C"/>
    <w:rsid w:val="00C66290"/>
    <w:rsid w:val="00C72B7A"/>
    <w:rsid w:val="00C75A58"/>
    <w:rsid w:val="00C77B8C"/>
    <w:rsid w:val="00C90D32"/>
    <w:rsid w:val="00C92046"/>
    <w:rsid w:val="00C973F2"/>
    <w:rsid w:val="00CA2147"/>
    <w:rsid w:val="00CA304C"/>
    <w:rsid w:val="00CA774A"/>
    <w:rsid w:val="00CA7BA1"/>
    <w:rsid w:val="00CC11B0"/>
    <w:rsid w:val="00CC2841"/>
    <w:rsid w:val="00CF08BD"/>
    <w:rsid w:val="00CF1330"/>
    <w:rsid w:val="00CF7E36"/>
    <w:rsid w:val="00D32AC0"/>
    <w:rsid w:val="00D3708D"/>
    <w:rsid w:val="00D40426"/>
    <w:rsid w:val="00D51C01"/>
    <w:rsid w:val="00D57C96"/>
    <w:rsid w:val="00D57D18"/>
    <w:rsid w:val="00D66211"/>
    <w:rsid w:val="00D76A6E"/>
    <w:rsid w:val="00D8099D"/>
    <w:rsid w:val="00D91203"/>
    <w:rsid w:val="00D95174"/>
    <w:rsid w:val="00DA4973"/>
    <w:rsid w:val="00DA6F36"/>
    <w:rsid w:val="00DB3105"/>
    <w:rsid w:val="00DB323D"/>
    <w:rsid w:val="00DB50E5"/>
    <w:rsid w:val="00DB596E"/>
    <w:rsid w:val="00DB7773"/>
    <w:rsid w:val="00DC00EA"/>
    <w:rsid w:val="00DC3802"/>
    <w:rsid w:val="00DC6F4A"/>
    <w:rsid w:val="00E0118D"/>
    <w:rsid w:val="00E07D87"/>
    <w:rsid w:val="00E32F7E"/>
    <w:rsid w:val="00E364BF"/>
    <w:rsid w:val="00E5267B"/>
    <w:rsid w:val="00E63C0E"/>
    <w:rsid w:val="00E672CE"/>
    <w:rsid w:val="00E72D49"/>
    <w:rsid w:val="00E7593C"/>
    <w:rsid w:val="00E7678A"/>
    <w:rsid w:val="00E7700E"/>
    <w:rsid w:val="00E935F1"/>
    <w:rsid w:val="00E948F9"/>
    <w:rsid w:val="00E94A81"/>
    <w:rsid w:val="00EA1FFB"/>
    <w:rsid w:val="00EB048E"/>
    <w:rsid w:val="00EB4E9C"/>
    <w:rsid w:val="00EE1969"/>
    <w:rsid w:val="00EE34DF"/>
    <w:rsid w:val="00EF2F89"/>
    <w:rsid w:val="00F036E2"/>
    <w:rsid w:val="00F03E98"/>
    <w:rsid w:val="00F1237A"/>
    <w:rsid w:val="00F21091"/>
    <w:rsid w:val="00F22CBD"/>
    <w:rsid w:val="00F272F1"/>
    <w:rsid w:val="00F45372"/>
    <w:rsid w:val="00F560F7"/>
    <w:rsid w:val="00F6334D"/>
    <w:rsid w:val="00F63599"/>
    <w:rsid w:val="00FA49AB"/>
    <w:rsid w:val="00FE0CBD"/>
    <w:rsid w:val="00FE39C7"/>
    <w:rsid w:val="00FF4D07"/>
    <w:rsid w:val="00FF55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25D54D"/>
  <w15:docId w15:val="{94F21D9F-AF0A-46EE-8C9C-1F23CD0E1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5471"/>
    <w:pPr>
      <w:jc w:val="both"/>
    </w:pPr>
    <w:rPr>
      <w:rFonts w:ascii="Arial" w:hAnsi="Arial"/>
    </w:rPr>
  </w:style>
  <w:style w:type="paragraph" w:styleId="Heading1">
    <w:name w:val="heading 1"/>
    <w:basedOn w:val="TOC1"/>
    <w:next w:val="Normal"/>
    <w:qFormat/>
    <w:rsid w:val="00DB50E5"/>
    <w:pPr>
      <w:outlineLvl w:val="0"/>
    </w:pPr>
    <w:rPr>
      <w:b/>
    </w:rPr>
  </w:style>
  <w:style w:type="paragraph" w:styleId="Heading2">
    <w:name w:val="heading 2"/>
    <w:basedOn w:val="Normal"/>
    <w:next w:val="Normal"/>
    <w:autoRedefine/>
    <w:qFormat/>
    <w:rsid w:val="00E7700E"/>
    <w:pPr>
      <w:spacing w:after="120" w:line="280" w:lineRule="exact"/>
      <w:ind w:left="-567"/>
      <w:outlineLvl w:val="1"/>
    </w:pPr>
    <w:rPr>
      <w:rFonts w:ascii="Times New Roman" w:eastAsia="Calibri" w:hAnsi="Times New Roman"/>
      <w:b/>
      <w:bCs/>
      <w:color w:val="000000"/>
      <w:sz w:val="22"/>
      <w:szCs w:val="22"/>
    </w:rPr>
  </w:style>
  <w:style w:type="paragraph" w:styleId="Heading3">
    <w:name w:val="heading 3"/>
    <w:basedOn w:val="Normal"/>
    <w:next w:val="Normal"/>
    <w:autoRedefine/>
    <w:uiPriority w:val="9"/>
    <w:qFormat/>
    <w:rsid w:val="00225471"/>
    <w:pPr>
      <w:numPr>
        <w:numId w:val="2"/>
      </w:numPr>
      <w:spacing w:before="240" w:after="200" w:line="276" w:lineRule="auto"/>
      <w:jc w:val="left"/>
      <w:outlineLvl w:val="2"/>
    </w:pPr>
    <w:rPr>
      <w:rFonts w:ascii="Times New Roman" w:eastAsia="Calibri" w:hAnsi="Times New Roman"/>
      <w:b/>
      <w:bCs/>
      <w:color w:val="000000"/>
      <w:sz w:val="22"/>
      <w:szCs w:val="22"/>
    </w:rPr>
  </w:style>
  <w:style w:type="paragraph" w:styleId="Heading4">
    <w:name w:val="heading 4"/>
    <w:basedOn w:val="ListParagraph"/>
    <w:next w:val="Normal"/>
    <w:autoRedefine/>
    <w:qFormat/>
    <w:rsid w:val="00BC6EC4"/>
    <w:pPr>
      <w:numPr>
        <w:numId w:val="6"/>
      </w:numPr>
      <w:spacing w:before="200" w:after="160" w:line="276" w:lineRule="auto"/>
      <w:outlineLvl w:val="3"/>
    </w:pPr>
    <w:rPr>
      <w:rFonts w:ascii="Times New Roman" w:eastAsia="Calibri" w:hAnsi="Times New Roman"/>
      <w:b/>
      <w:bCs/>
      <w:color w:val="000000"/>
      <w:sz w:val="22"/>
      <w:szCs w:val="22"/>
    </w:rPr>
  </w:style>
  <w:style w:type="paragraph" w:styleId="Heading5">
    <w:name w:val="heading 5"/>
    <w:basedOn w:val="Normal"/>
    <w:next w:val="Normal"/>
    <w:autoRedefine/>
    <w:qFormat/>
    <w:rsid w:val="00BC6EC4"/>
    <w:pPr>
      <w:spacing w:before="200" w:after="160" w:line="276" w:lineRule="auto"/>
      <w:ind w:firstLine="378"/>
      <w:outlineLvl w:val="4"/>
    </w:pPr>
    <w:rPr>
      <w:rFonts w:ascii="Times New Roman" w:eastAsia="Calibri" w:hAnsi="Times New Roman"/>
      <w:b/>
      <w:bCs/>
      <w:color w:val="000000"/>
      <w:sz w:val="22"/>
      <w:szCs w:val="22"/>
    </w:rPr>
  </w:style>
  <w:style w:type="paragraph" w:styleId="Heading9">
    <w:name w:val="heading 9"/>
    <w:basedOn w:val="Normal"/>
    <w:next w:val="Normal"/>
    <w:qFormat/>
    <w:rsid w:val="00D3708D"/>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AE2937"/>
    <w:pPr>
      <w:jc w:val="center"/>
    </w:pPr>
    <w:rPr>
      <w:rFonts w:ascii="Arial" w:hAnsi="Arial"/>
      <w:lang w:val="fr-FR"/>
    </w:rPr>
  </w:style>
  <w:style w:type="paragraph" w:styleId="Footer">
    <w:name w:val="footer"/>
    <w:aliases w:val="doc_path_name"/>
    <w:autoRedefine/>
    <w:rsid w:val="009D690D"/>
    <w:pPr>
      <w:jc w:val="both"/>
    </w:pPr>
    <w:rPr>
      <w:rFonts w:ascii="Arial" w:hAnsi="Arial"/>
      <w:sz w:val="14"/>
    </w:rPr>
  </w:style>
  <w:style w:type="character" w:styleId="PageNumber">
    <w:name w:val="page number"/>
    <w:basedOn w:val="DefaultParagraphFont"/>
    <w:rsid w:val="00D3708D"/>
    <w:rPr>
      <w:rFonts w:ascii="Arial" w:hAnsi="Arial"/>
      <w:sz w:val="20"/>
    </w:rPr>
  </w:style>
  <w:style w:type="paragraph" w:styleId="Title">
    <w:name w:val="Title"/>
    <w:basedOn w:val="Normal"/>
    <w:qFormat/>
    <w:rsid w:val="00D3708D"/>
    <w:pPr>
      <w:spacing w:after="300"/>
      <w:jc w:val="center"/>
    </w:pPr>
    <w:rPr>
      <w:b/>
      <w:caps/>
      <w:kern w:val="28"/>
      <w:sz w:val="30"/>
    </w:rPr>
  </w:style>
  <w:style w:type="paragraph" w:customStyle="1" w:styleId="preparedby">
    <w:name w:val="preparedby"/>
    <w:basedOn w:val="Normal"/>
    <w:next w:val="Normal"/>
    <w:semiHidden/>
    <w:rsid w:val="00D3708D"/>
    <w:pPr>
      <w:spacing w:after="600"/>
      <w:jc w:val="center"/>
    </w:pPr>
    <w:rPr>
      <w:i/>
    </w:rPr>
  </w:style>
  <w:style w:type="paragraph" w:customStyle="1" w:styleId="Docoriginal">
    <w:name w:val="Doc_original"/>
    <w:basedOn w:val="Code"/>
    <w:link w:val="DocoriginalChar"/>
    <w:rsid w:val="003C7FBE"/>
    <w:pPr>
      <w:spacing w:before="240" w:line="240" w:lineRule="exact"/>
      <w:ind w:left="0"/>
      <w:contextualSpacing/>
      <w:jc w:val="left"/>
    </w:pPr>
    <w:rPr>
      <w:sz w:val="18"/>
    </w:rPr>
  </w:style>
  <w:style w:type="paragraph" w:customStyle="1" w:styleId="DecisionParagraphs">
    <w:name w:val="DecisionParagraphs"/>
    <w:basedOn w:val="Normal"/>
    <w:rsid w:val="00214C72"/>
    <w:pPr>
      <w:tabs>
        <w:tab w:val="left" w:pos="5387"/>
        <w:tab w:val="left" w:pos="5954"/>
      </w:tabs>
      <w:ind w:left="4820"/>
    </w:pPr>
    <w:rPr>
      <w:i/>
    </w:rPr>
  </w:style>
  <w:style w:type="paragraph" w:styleId="FootnoteText">
    <w:name w:val="footnote text"/>
    <w:autoRedefine/>
    <w:rsid w:val="009D690D"/>
    <w:pPr>
      <w:spacing w:before="60"/>
      <w:ind w:left="567" w:hanging="567"/>
      <w:jc w:val="both"/>
    </w:pPr>
    <w:rPr>
      <w:rFonts w:ascii="Arial" w:hAnsi="Arial"/>
      <w:sz w:val="16"/>
    </w:rPr>
  </w:style>
  <w:style w:type="character" w:styleId="FootnoteReference">
    <w:name w:val="footnote reference"/>
    <w:basedOn w:val="DefaultParagraphFont"/>
    <w:semiHidden/>
    <w:rsid w:val="00D3708D"/>
    <w:rPr>
      <w:vertAlign w:val="superscript"/>
    </w:rPr>
  </w:style>
  <w:style w:type="paragraph" w:styleId="Closing">
    <w:name w:val="Closing"/>
    <w:basedOn w:val="Normal"/>
    <w:rsid w:val="00D3708D"/>
    <w:pPr>
      <w:ind w:left="4536"/>
      <w:jc w:val="center"/>
    </w:pPr>
  </w:style>
  <w:style w:type="paragraph" w:styleId="Index1">
    <w:name w:val="index 1"/>
    <w:basedOn w:val="Normal"/>
    <w:next w:val="Normal"/>
    <w:semiHidden/>
    <w:rsid w:val="00D3708D"/>
    <w:pPr>
      <w:tabs>
        <w:tab w:val="right" w:leader="dot" w:pos="9071"/>
      </w:tabs>
      <w:ind w:left="284" w:hanging="284"/>
    </w:pPr>
    <w:rPr>
      <w:sz w:val="24"/>
    </w:rPr>
  </w:style>
  <w:style w:type="paragraph" w:styleId="Index2">
    <w:name w:val="index 2"/>
    <w:basedOn w:val="Normal"/>
    <w:next w:val="Normal"/>
    <w:semiHidden/>
    <w:rsid w:val="00D3708D"/>
    <w:pPr>
      <w:tabs>
        <w:tab w:val="right" w:leader="dot" w:pos="9071"/>
      </w:tabs>
      <w:ind w:left="568" w:hanging="284"/>
    </w:pPr>
    <w:rPr>
      <w:sz w:val="24"/>
    </w:rPr>
  </w:style>
  <w:style w:type="paragraph" w:styleId="Index3">
    <w:name w:val="index 3"/>
    <w:basedOn w:val="Normal"/>
    <w:next w:val="Normal"/>
    <w:semiHidden/>
    <w:rsid w:val="00D3708D"/>
    <w:pPr>
      <w:tabs>
        <w:tab w:val="right" w:leader="dot" w:pos="9071"/>
      </w:tabs>
      <w:ind w:left="851" w:hanging="284"/>
    </w:pPr>
    <w:rPr>
      <w:sz w:val="24"/>
    </w:rPr>
  </w:style>
  <w:style w:type="paragraph" w:styleId="MacroText">
    <w:name w:val="macro"/>
    <w:semiHidden/>
    <w:rsid w:val="00D3708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D3708D"/>
    <w:pPr>
      <w:ind w:left="4536"/>
      <w:jc w:val="center"/>
    </w:pPr>
  </w:style>
  <w:style w:type="character" w:customStyle="1" w:styleId="Doclang">
    <w:name w:val="Doc_lang"/>
    <w:basedOn w:val="DefaultParagraphFont"/>
    <w:rsid w:val="00D3708D"/>
    <w:rPr>
      <w:rFonts w:ascii="Arial" w:hAnsi="Arial"/>
      <w:sz w:val="20"/>
      <w:lang w:val="en-US"/>
    </w:rPr>
  </w:style>
  <w:style w:type="paragraph" w:customStyle="1" w:styleId="Session">
    <w:name w:val="Session"/>
    <w:basedOn w:val="Normal"/>
    <w:semiHidden/>
    <w:rsid w:val="00D3708D"/>
    <w:pPr>
      <w:spacing w:before="60"/>
      <w:jc w:val="center"/>
    </w:pPr>
    <w:rPr>
      <w:b/>
    </w:rPr>
  </w:style>
  <w:style w:type="paragraph" w:customStyle="1" w:styleId="Organizer">
    <w:name w:val="Organizer"/>
    <w:basedOn w:val="Normal"/>
    <w:semiHidden/>
    <w:rsid w:val="00D3708D"/>
    <w:pPr>
      <w:spacing w:after="600"/>
      <w:ind w:left="-993" w:right="-994"/>
      <w:jc w:val="center"/>
    </w:pPr>
    <w:rPr>
      <w:b/>
      <w:caps/>
      <w:kern w:val="26"/>
      <w:sz w:val="26"/>
    </w:rPr>
  </w:style>
  <w:style w:type="paragraph" w:styleId="BodyText">
    <w:name w:val="Body Text"/>
    <w:basedOn w:val="Normal"/>
    <w:rsid w:val="00D3708D"/>
  </w:style>
  <w:style w:type="paragraph" w:customStyle="1" w:styleId="Disclaimer">
    <w:name w:val="Disclaimer"/>
    <w:next w:val="Normal"/>
    <w:qFormat/>
    <w:rsid w:val="007451EC"/>
    <w:pPr>
      <w:spacing w:after="600"/>
    </w:pPr>
    <w:rPr>
      <w:rFonts w:ascii="Arial" w:hAnsi="Arial"/>
      <w:i/>
      <w:iCs/>
      <w:color w:val="A6A6A6" w:themeColor="background1" w:themeShade="A6"/>
    </w:rPr>
  </w:style>
  <w:style w:type="paragraph" w:customStyle="1" w:styleId="upove">
    <w:name w:val="upov_e"/>
    <w:basedOn w:val="Normal"/>
    <w:rsid w:val="00AC2883"/>
    <w:pPr>
      <w:spacing w:before="120"/>
    </w:pPr>
    <w:rPr>
      <w:sz w:val="16"/>
    </w:rPr>
  </w:style>
  <w:style w:type="paragraph" w:customStyle="1" w:styleId="TitleofDoc">
    <w:name w:val="Title of Doc"/>
    <w:basedOn w:val="Normal"/>
    <w:semiHidden/>
    <w:rsid w:val="00D3708D"/>
    <w:pPr>
      <w:spacing w:before="1200"/>
      <w:jc w:val="center"/>
    </w:pPr>
    <w:rPr>
      <w:caps/>
    </w:rPr>
  </w:style>
  <w:style w:type="paragraph" w:customStyle="1" w:styleId="preparedby0">
    <w:name w:val="prepared by"/>
    <w:basedOn w:val="Normal"/>
    <w:semiHidden/>
    <w:rsid w:val="00D3708D"/>
    <w:pPr>
      <w:spacing w:before="600" w:after="600"/>
      <w:jc w:val="center"/>
    </w:pPr>
    <w:rPr>
      <w:i/>
    </w:rPr>
  </w:style>
  <w:style w:type="paragraph" w:customStyle="1" w:styleId="PlaceAndDate">
    <w:name w:val="PlaceAndDate"/>
    <w:basedOn w:val="Session"/>
    <w:semiHidden/>
    <w:rsid w:val="00D3708D"/>
  </w:style>
  <w:style w:type="paragraph" w:styleId="EndnoteText">
    <w:name w:val="endnote text"/>
    <w:basedOn w:val="Normal"/>
    <w:semiHidden/>
    <w:rsid w:val="00D3708D"/>
  </w:style>
  <w:style w:type="character" w:styleId="EndnoteReference">
    <w:name w:val="endnote reference"/>
    <w:basedOn w:val="DefaultParagraphFont"/>
    <w:semiHidden/>
    <w:rsid w:val="00D3708D"/>
    <w:rPr>
      <w:vertAlign w:val="superscript"/>
    </w:rPr>
  </w:style>
  <w:style w:type="paragraph" w:customStyle="1" w:styleId="SessionMeetingPlace">
    <w:name w:val="Session_MeetingPlace"/>
    <w:basedOn w:val="Normal"/>
    <w:semiHidden/>
    <w:rsid w:val="00D3708D"/>
    <w:pPr>
      <w:spacing w:before="480"/>
      <w:jc w:val="center"/>
    </w:pPr>
    <w:rPr>
      <w:b/>
      <w:bCs/>
      <w:kern w:val="28"/>
      <w:sz w:val="24"/>
    </w:rPr>
  </w:style>
  <w:style w:type="paragraph" w:customStyle="1" w:styleId="Original">
    <w:name w:val="Original"/>
    <w:basedOn w:val="Normal"/>
    <w:semiHidden/>
    <w:rsid w:val="00D3708D"/>
    <w:pPr>
      <w:spacing w:before="60"/>
      <w:ind w:left="1276"/>
    </w:pPr>
    <w:rPr>
      <w:b/>
      <w:sz w:val="22"/>
    </w:rPr>
  </w:style>
  <w:style w:type="paragraph" w:styleId="Date">
    <w:name w:val="Date"/>
    <w:basedOn w:val="Normal"/>
    <w:semiHidden/>
    <w:rsid w:val="00D3708D"/>
    <w:pPr>
      <w:spacing w:line="340" w:lineRule="exact"/>
      <w:ind w:left="1276"/>
    </w:pPr>
    <w:rPr>
      <w:b/>
      <w:sz w:val="22"/>
    </w:rPr>
  </w:style>
  <w:style w:type="paragraph" w:customStyle="1" w:styleId="Code">
    <w:name w:val="Code"/>
    <w:basedOn w:val="Normal"/>
    <w:link w:val="CodeChar"/>
    <w:semiHidden/>
    <w:rsid w:val="00D3708D"/>
    <w:pPr>
      <w:spacing w:line="340" w:lineRule="atLeast"/>
      <w:ind w:left="1276"/>
    </w:pPr>
    <w:rPr>
      <w:b/>
      <w:bCs/>
      <w:spacing w:val="10"/>
    </w:rPr>
  </w:style>
  <w:style w:type="paragraph" w:customStyle="1" w:styleId="Country">
    <w:name w:val="Country"/>
    <w:basedOn w:val="Normal"/>
    <w:semiHidden/>
    <w:rsid w:val="00D3708D"/>
    <w:pPr>
      <w:spacing w:before="60" w:after="480"/>
      <w:jc w:val="center"/>
    </w:pPr>
  </w:style>
  <w:style w:type="paragraph" w:customStyle="1" w:styleId="Lettrine">
    <w:name w:val="Lettrine"/>
    <w:basedOn w:val="Normal"/>
    <w:rsid w:val="00AC2883"/>
    <w:pPr>
      <w:spacing w:line="340" w:lineRule="atLeast"/>
      <w:jc w:val="right"/>
    </w:pPr>
    <w:rPr>
      <w:b/>
      <w:bCs/>
      <w:sz w:val="36"/>
    </w:rPr>
  </w:style>
  <w:style w:type="paragraph" w:customStyle="1" w:styleId="LogoUPOV">
    <w:name w:val="LogoUPOV"/>
    <w:basedOn w:val="Normal"/>
    <w:rsid w:val="00CF1330"/>
    <w:pPr>
      <w:spacing w:before="600" w:after="80"/>
      <w:jc w:val="center"/>
    </w:pPr>
    <w:rPr>
      <w:snapToGrid w:val="0"/>
    </w:rPr>
  </w:style>
  <w:style w:type="paragraph" w:customStyle="1" w:styleId="Sessiontc">
    <w:name w:val="Session_tc"/>
    <w:basedOn w:val="StyleSessionAllcaps"/>
    <w:rsid w:val="00AC2883"/>
    <w:pPr>
      <w:spacing w:before="0" w:line="280" w:lineRule="exact"/>
      <w:jc w:val="left"/>
    </w:pPr>
    <w:rPr>
      <w:caps w:val="0"/>
      <w:sz w:val="20"/>
    </w:rPr>
  </w:style>
  <w:style w:type="paragraph" w:customStyle="1" w:styleId="TitreUpov">
    <w:name w:val="TitreUpov"/>
    <w:basedOn w:val="Normal"/>
    <w:semiHidden/>
    <w:rsid w:val="00D3708D"/>
    <w:pPr>
      <w:spacing w:before="60"/>
      <w:jc w:val="center"/>
    </w:pPr>
    <w:rPr>
      <w:b/>
      <w:sz w:val="24"/>
    </w:rPr>
  </w:style>
  <w:style w:type="paragraph" w:customStyle="1" w:styleId="StyleSessionAllcaps">
    <w:name w:val="Style Session + All caps"/>
    <w:basedOn w:val="Session"/>
    <w:semiHidden/>
    <w:rsid w:val="00D3708D"/>
    <w:pPr>
      <w:spacing w:before="480"/>
    </w:pPr>
    <w:rPr>
      <w:bCs/>
      <w:caps/>
      <w:kern w:val="28"/>
      <w:sz w:val="24"/>
    </w:rPr>
  </w:style>
  <w:style w:type="paragraph" w:customStyle="1" w:styleId="plcountry">
    <w:name w:val="plcountry"/>
    <w:basedOn w:val="Normal"/>
    <w:rsid w:val="00AB530F"/>
    <w:pPr>
      <w:keepNext/>
      <w:keepLines/>
      <w:spacing w:before="180" w:after="120"/>
      <w:jc w:val="left"/>
    </w:pPr>
    <w:rPr>
      <w:caps/>
      <w:noProof/>
      <w:snapToGrid w:val="0"/>
      <w:u w:val="single"/>
    </w:rPr>
  </w:style>
  <w:style w:type="paragraph" w:customStyle="1" w:styleId="pldetails">
    <w:name w:val="pldetails"/>
    <w:basedOn w:val="Normal"/>
    <w:rsid w:val="00AB530F"/>
    <w:pPr>
      <w:keepLines/>
      <w:spacing w:before="60" w:after="60"/>
      <w:jc w:val="left"/>
    </w:pPr>
    <w:rPr>
      <w:noProof/>
      <w:snapToGrid w:val="0"/>
    </w:rPr>
  </w:style>
  <w:style w:type="paragraph" w:customStyle="1" w:styleId="plheading">
    <w:name w:val="plheading"/>
    <w:basedOn w:val="Normal"/>
    <w:rsid w:val="00AB530F"/>
    <w:pPr>
      <w:keepNext/>
      <w:spacing w:before="480" w:after="120"/>
      <w:jc w:val="center"/>
    </w:pPr>
    <w:rPr>
      <w:caps/>
      <w:snapToGrid w:val="0"/>
      <w:u w:val="single"/>
    </w:rPr>
  </w:style>
  <w:style w:type="paragraph" w:customStyle="1" w:styleId="Sessiontcplacedate">
    <w:name w:val="Session_tc_place_date"/>
    <w:basedOn w:val="SessionMeetingPlace"/>
    <w:rsid w:val="00AC2883"/>
    <w:pPr>
      <w:spacing w:before="240"/>
      <w:contextualSpacing/>
      <w:jc w:val="left"/>
    </w:pPr>
    <w:rPr>
      <w:sz w:val="20"/>
    </w:rPr>
  </w:style>
  <w:style w:type="paragraph" w:customStyle="1" w:styleId="Titleofdoc0">
    <w:name w:val="Title_of_doc"/>
    <w:basedOn w:val="TitleofDoc"/>
    <w:rsid w:val="007451EC"/>
    <w:pPr>
      <w:spacing w:before="600" w:after="240"/>
      <w:jc w:val="left"/>
    </w:pPr>
    <w:rPr>
      <w:b/>
    </w:rPr>
  </w:style>
  <w:style w:type="paragraph" w:customStyle="1" w:styleId="preparedby1">
    <w:name w:val="prepared_by"/>
    <w:basedOn w:val="preparedby0"/>
    <w:rsid w:val="006A644A"/>
    <w:pPr>
      <w:spacing w:before="0" w:after="240"/>
    </w:pPr>
    <w:rPr>
      <w:iCs/>
    </w:rPr>
  </w:style>
  <w:style w:type="character" w:customStyle="1" w:styleId="CodeChar">
    <w:name w:val="Code Char"/>
    <w:basedOn w:val="DefaultParagraphFont"/>
    <w:link w:val="Code"/>
    <w:rsid w:val="00D3708D"/>
    <w:rPr>
      <w:rFonts w:ascii="Arial" w:hAnsi="Arial"/>
      <w:b/>
      <w:bCs/>
      <w:spacing w:val="10"/>
      <w:lang w:val="fr-FR" w:eastAsia="en-US" w:bidi="ar-SA"/>
    </w:rPr>
  </w:style>
  <w:style w:type="paragraph" w:customStyle="1" w:styleId="endofdoc">
    <w:name w:val="end_of_doc"/>
    <w:next w:val="Header"/>
    <w:autoRedefine/>
    <w:rsid w:val="00E32F7E"/>
    <w:pPr>
      <w:spacing w:before="480"/>
      <w:ind w:left="567" w:hanging="567"/>
      <w:jc w:val="right"/>
    </w:pPr>
    <w:rPr>
      <w:rFonts w:ascii="Arial" w:hAnsi="Arial"/>
    </w:rPr>
  </w:style>
  <w:style w:type="character" w:customStyle="1" w:styleId="DocoriginalChar">
    <w:name w:val="Doc_original Char"/>
    <w:basedOn w:val="CodeChar"/>
    <w:link w:val="Docoriginal"/>
    <w:rsid w:val="003C7FBE"/>
    <w:rPr>
      <w:rFonts w:ascii="Arial" w:hAnsi="Arial"/>
      <w:b/>
      <w:bCs/>
      <w:spacing w:val="10"/>
      <w:sz w:val="18"/>
      <w:lang w:val="fr-FR" w:eastAsia="en-US" w:bidi="ar-SA"/>
    </w:rPr>
  </w:style>
  <w:style w:type="paragraph" w:styleId="TOC2">
    <w:name w:val="toc 2"/>
    <w:basedOn w:val="Normal"/>
    <w:next w:val="Normal"/>
    <w:uiPriority w:val="39"/>
    <w:unhideWhenUsed/>
    <w:rsid w:val="006F49CE"/>
    <w:pPr>
      <w:tabs>
        <w:tab w:val="right" w:leader="dot" w:pos="9038"/>
      </w:tabs>
      <w:spacing w:after="120" w:line="280" w:lineRule="exact"/>
      <w:ind w:left="425" w:hanging="425"/>
      <w:jc w:val="left"/>
    </w:pPr>
    <w:rPr>
      <w:rFonts w:ascii="Times New Roman" w:eastAsiaTheme="minorEastAsia" w:hAnsi="Times New Roman" w:cstheme="minorBidi"/>
      <w:noProof/>
      <w:kern w:val="2"/>
      <w:sz w:val="22"/>
      <w:szCs w:val="24"/>
      <w:lang w:val="en-GB" w:eastAsia="zh-CN"/>
      <w14:ligatures w14:val="standardContextual"/>
    </w:rPr>
  </w:style>
  <w:style w:type="paragraph" w:styleId="TOC3">
    <w:name w:val="toc 3"/>
    <w:basedOn w:val="Normal"/>
    <w:next w:val="Normal"/>
    <w:uiPriority w:val="39"/>
    <w:unhideWhenUsed/>
    <w:rsid w:val="00225471"/>
    <w:pPr>
      <w:tabs>
        <w:tab w:val="right" w:leader="dot" w:pos="9038"/>
      </w:tabs>
      <w:spacing w:after="120" w:line="280" w:lineRule="exact"/>
      <w:ind w:left="993" w:hanging="426"/>
      <w:jc w:val="left"/>
    </w:pPr>
    <w:rPr>
      <w:rFonts w:ascii="Times New Roman" w:eastAsiaTheme="minorEastAsia" w:hAnsi="Times New Roman" w:cstheme="minorBidi"/>
      <w:noProof/>
      <w:kern w:val="2"/>
      <w:sz w:val="22"/>
      <w:szCs w:val="24"/>
      <w:lang w:val="en-GB" w:eastAsia="zh-CN"/>
      <w14:ligatures w14:val="standardContextual"/>
    </w:rPr>
  </w:style>
  <w:style w:type="character" w:styleId="Hyperlink">
    <w:name w:val="Hyperlink"/>
    <w:basedOn w:val="DefaultParagraphFont"/>
    <w:uiPriority w:val="99"/>
    <w:rsid w:val="00AB530F"/>
    <w:rPr>
      <w:rFonts w:ascii="Arial" w:hAnsi="Arial"/>
      <w:color w:val="0000FF"/>
      <w:u w:val="single"/>
    </w:rPr>
  </w:style>
  <w:style w:type="paragraph" w:styleId="TOC4">
    <w:name w:val="toc 4"/>
    <w:next w:val="Normal"/>
    <w:autoRedefine/>
    <w:uiPriority w:val="39"/>
    <w:rsid w:val="00BC6EC4"/>
    <w:pPr>
      <w:tabs>
        <w:tab w:val="right" w:leader="dot" w:pos="9072"/>
      </w:tabs>
      <w:spacing w:after="120"/>
      <w:ind w:left="1276" w:right="-23" w:hanging="284"/>
    </w:pPr>
    <w:rPr>
      <w:iCs/>
      <w:noProof/>
      <w:sz w:val="22"/>
      <w:szCs w:val="24"/>
      <w:lang w:val="fr-FR"/>
    </w:rPr>
  </w:style>
  <w:style w:type="paragraph" w:styleId="TOC1">
    <w:name w:val="toc 1"/>
    <w:basedOn w:val="Normal"/>
    <w:next w:val="Normal"/>
    <w:uiPriority w:val="39"/>
    <w:unhideWhenUsed/>
    <w:rsid w:val="00BF7378"/>
    <w:pPr>
      <w:tabs>
        <w:tab w:val="right" w:leader="dot" w:pos="9038"/>
      </w:tabs>
      <w:spacing w:after="120" w:line="280" w:lineRule="exact"/>
      <w:ind w:left="426" w:hanging="426"/>
      <w:jc w:val="left"/>
    </w:pPr>
    <w:rPr>
      <w:rFonts w:ascii="Times New Roman" w:eastAsia="Calibri" w:hAnsi="Times New Roman"/>
      <w:bCs/>
      <w:noProof/>
      <w:sz w:val="22"/>
      <w:szCs w:val="22"/>
      <w:lang w:val="en-ID"/>
    </w:rPr>
  </w:style>
  <w:style w:type="paragraph" w:styleId="TOC5">
    <w:name w:val="toc 5"/>
    <w:next w:val="Normal"/>
    <w:autoRedefine/>
    <w:rsid w:val="003F5F2B"/>
    <w:pPr>
      <w:tabs>
        <w:tab w:val="right" w:leader="dot" w:pos="9639"/>
      </w:tabs>
      <w:spacing w:after="120"/>
      <w:ind w:left="567" w:right="851" w:firstLine="284"/>
      <w:jc w:val="both"/>
    </w:pPr>
    <w:rPr>
      <w:rFonts w:ascii="Arial" w:hAnsi="Arial"/>
      <w:sz w:val="16"/>
      <w:lang w:val="fr-FR"/>
    </w:rPr>
  </w:style>
  <w:style w:type="paragraph" w:styleId="BalloonText">
    <w:name w:val="Balloon Text"/>
    <w:basedOn w:val="Normal"/>
    <w:link w:val="BalloonTextChar"/>
    <w:rsid w:val="00271911"/>
    <w:rPr>
      <w:rFonts w:ascii="Tahoma" w:hAnsi="Tahoma" w:cs="Tahoma"/>
      <w:sz w:val="16"/>
      <w:szCs w:val="16"/>
    </w:rPr>
  </w:style>
  <w:style w:type="character" w:customStyle="1" w:styleId="BalloonTextChar">
    <w:name w:val="Balloon Text Char"/>
    <w:basedOn w:val="DefaultParagraphFont"/>
    <w:link w:val="BalloonText"/>
    <w:rsid w:val="00271911"/>
    <w:rPr>
      <w:rFonts w:ascii="Tahoma" w:hAnsi="Tahoma" w:cs="Tahoma"/>
      <w:sz w:val="16"/>
      <w:szCs w:val="16"/>
    </w:rPr>
  </w:style>
  <w:style w:type="paragraph" w:customStyle="1" w:styleId="Doccode">
    <w:name w:val="Doc_code"/>
    <w:qFormat/>
    <w:rsid w:val="003C7FBE"/>
    <w:rPr>
      <w:rFonts w:ascii="Arial" w:hAnsi="Arial"/>
      <w:b/>
      <w:bCs/>
      <w:spacing w:val="10"/>
      <w:sz w:val="18"/>
    </w:rPr>
  </w:style>
  <w:style w:type="table" w:customStyle="1" w:styleId="TableGrid1">
    <w:name w:val="Table Grid1"/>
    <w:basedOn w:val="TableNormal"/>
    <w:next w:val="TableGrid"/>
    <w:uiPriority w:val="59"/>
    <w:rsid w:val="00737DC2"/>
    <w:rPr>
      <w:rFonts w:ascii="Aptos" w:eastAsia="Aptos" w:hAnsi="Aptos"/>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rsid w:val="00737D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BC6EC4"/>
    <w:pPr>
      <w:keepNext/>
      <w:jc w:val="center"/>
    </w:pPr>
    <w:rPr>
      <w:rFonts w:eastAsia="Calibri" w:cs="Arial"/>
      <w:b/>
      <w:bCs/>
      <w:color w:val="000000"/>
      <w:sz w:val="18"/>
      <w:szCs w:val="18"/>
    </w:rPr>
  </w:style>
  <w:style w:type="paragraph" w:styleId="ListParagraph">
    <w:name w:val="List Paragraph"/>
    <w:basedOn w:val="Normal"/>
    <w:uiPriority w:val="34"/>
    <w:qFormat/>
    <w:rsid w:val="006F49CE"/>
    <w:pPr>
      <w:ind w:left="720"/>
      <w:contextualSpacing/>
    </w:pPr>
  </w:style>
  <w:style w:type="paragraph" w:styleId="Revision">
    <w:name w:val="Revision"/>
    <w:hidden/>
    <w:uiPriority w:val="99"/>
    <w:semiHidden/>
    <w:rsid w:val="00326A7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4</Value>
      <Value>3</Value>
      <Value>1</Value>
      <Value>721</Value>
    </TaxCatchAll>
    <o4d93e62121143bf84483d4ca23a7ecb xmlns="56500874-bba0-4b48-9090-b201492e8473">
      <Terms xmlns="http://schemas.microsoft.com/office/infopath/2007/PartnerControls"/>
    </o4d93e62121143bf84483d4ca23a7ec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Bodies:600 Governing Bodies:05 Council Files</TermName>
          <TermId xmlns="http://schemas.microsoft.com/office/infopath/2007/PartnerControls">f66873ab-ffac-475e-a6ed-408252eb2ce6</TermId>
        </TermInfo>
      </Terms>
    </oec7080f59824b85bfab9bab42c36e68>
    <Excluded xmlns="56500874-bba0-4b48-9090-b201492e8473" xsi:nil="true"/>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documentManagement>
</p:properties>
</file>

<file path=customXml/item3.xml><?xml version="1.0" encoding="utf-8"?>
<?mso-contentType ?>
<SharedContentType xmlns="Microsoft.SharePoint.Taxonomy.ContentTypeSync" SourceId="f7a99264-aac8-44dd-b14f-8017e78a225a" ContentTypeId="0x01010055C8466DB2DC0041BD825C52736E99FC" PreviousValue="false"/>
</file>

<file path=customXml/item4.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72E5C03EAB2E14A994A310B525C07E7" ma:contentTypeVersion="143" ma:contentTypeDescription="" ma:contentTypeScope="" ma:versionID="c855395346270e3a50a7e96fd77e367d">
  <xsd:schema xmlns:xsd="http://www.w3.org/2001/XMLSchema" xmlns:xs="http://www.w3.org/2001/XMLSchema" xmlns:p="http://schemas.microsoft.com/office/2006/metadata/properties" xmlns:ns2="0d6abe56-55ad-41de-8124-44420a0ee71d" xmlns:ns3="56500874-bba0-4b48-9090-b201492e8473" targetNamespace="http://schemas.microsoft.com/office/2006/metadata/properties" ma:root="true" ma:fieldsID="763060ac44d49cb73e5ade66a1e757c9" ns2:_="" ns3:_="">
    <xsd:import namespace="0d6abe56-55ad-41de-8124-44420a0ee71d"/>
    <xsd:import namespace="56500874-bba0-4b48-9090-b201492e8473"/>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indexed="true"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063172-58DD-442B-8E7B-B86701FD8272}">
  <ds:schemaRefs>
    <ds:schemaRef ds:uri="http://schemas.openxmlformats.org/officeDocument/2006/bibliography"/>
  </ds:schemaRefs>
</ds:datastoreItem>
</file>

<file path=customXml/itemProps2.xml><?xml version="1.0" encoding="utf-8"?>
<ds:datastoreItem xmlns:ds="http://schemas.openxmlformats.org/officeDocument/2006/customXml" ds:itemID="{D8B99D12-EDE7-4603-B692-D73333FF6DC6}">
  <ds:schemaRefs>
    <ds:schemaRef ds:uri="http://schemas.microsoft.com/office/2006/metadata/properties"/>
    <ds:schemaRef ds:uri="http://schemas.microsoft.com/office/infopath/2007/PartnerControls"/>
    <ds:schemaRef ds:uri="56500874-bba0-4b48-9090-b201492e8473"/>
    <ds:schemaRef ds:uri="0d6abe56-55ad-41de-8124-44420a0ee71d"/>
  </ds:schemaRefs>
</ds:datastoreItem>
</file>

<file path=customXml/itemProps3.xml><?xml version="1.0" encoding="utf-8"?>
<ds:datastoreItem xmlns:ds="http://schemas.openxmlformats.org/officeDocument/2006/customXml" ds:itemID="{01EC0F78-CFFF-4776-87DC-94D2C48A0315}">
  <ds:schemaRefs>
    <ds:schemaRef ds:uri="Microsoft.SharePoint.Taxonomy.ContentTypeSync"/>
  </ds:schemaRefs>
</ds:datastoreItem>
</file>

<file path=customXml/itemProps4.xml><?xml version="1.0" encoding="utf-8"?>
<ds:datastoreItem xmlns:ds="http://schemas.openxmlformats.org/officeDocument/2006/customXml" ds:itemID="{7C04E999-234A-40A4-8D87-A342D86D76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818ECD3-1A8E-44CC-B964-D9B46BF8CAA7}">
  <ds:schemaRefs>
    <ds:schemaRef ds:uri="http://schemas.microsoft.com/sharepoint/events"/>
  </ds:schemaRefs>
</ds:datastoreItem>
</file>

<file path=customXml/itemProps6.xml><?xml version="1.0" encoding="utf-8"?>
<ds:datastoreItem xmlns:ds="http://schemas.openxmlformats.org/officeDocument/2006/customXml" ds:itemID="{99125570-890A-4B49-BBBB-3ECACD3ABE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17</Pages>
  <Words>4018</Words>
  <Characters>28129</Characters>
  <Application>Microsoft Office Word</Application>
  <DocSecurity>0</DocSecurity>
  <Lines>574</Lines>
  <Paragraphs>148</Paragraphs>
  <ScaleCrop>false</ScaleCrop>
  <HeadingPairs>
    <vt:vector size="2" baseType="variant">
      <vt:variant>
        <vt:lpstr>Title</vt:lpstr>
      </vt:variant>
      <vt:variant>
        <vt:i4>1</vt:i4>
      </vt:variant>
    </vt:vector>
  </HeadingPairs>
  <TitlesOfParts>
    <vt:vector size="1" baseType="lpstr">
      <vt:lpstr>C/60/10</vt:lpstr>
    </vt:vector>
  </TitlesOfParts>
  <Company>UPOV</Company>
  <LinksUpToDate>false</LinksUpToDate>
  <CharactersWithSpaces>31999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C/60/10</dc:title>
  <dc:creator>UPOV</dc:creator>
  <cp:lastModifiedBy>SANCHEZ VIZCAINO GOMEZ Rosa Maria</cp:lastModifiedBy>
  <cp:revision>7</cp:revision>
  <cp:lastPrinted>2016-11-22T15:41:00Z</cp:lastPrinted>
  <dcterms:created xsi:type="dcterms:W3CDTF">2026-08-06T13:36:00Z</dcterms:created>
  <dcterms:modified xsi:type="dcterms:W3CDTF">2026-08-12T10:03:00Z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0x01010055C8466DB2DC0041BD825C52736E99FC00472E5C03EAB2E14A994A310B525C07E7</vt:lpwstr>
  </property>
  <property fmtid="{D5CDD505-2E9C-101B-9397-08002B2CF9AE}" pid="3" name="m4535404f5974080b635c68c1acaf1ab">
    <vt:lpwstr/>
  </property>
  <property fmtid="{D5CDD505-2E9C-101B-9397-08002B2CF9AE}" pid="4" name="BusinessUnit">
    <vt:lpwstr>3;#International Union for the Protection of New Varieties of Plants|b5148cec-dea8-4a3e-91f7-349f7e3ddab8</vt:lpwstr>
  </property>
  <property fmtid="{D5CDD505-2E9C-101B-9397-08002B2CF9AE}" pid="5" name="MediaServiceImageTags">
    <vt:lpwstr/>
  </property>
  <property fmtid="{D5CDD505-2E9C-101B-9397-08002B2CF9AE}" pid="6" name="RMClassification">
    <vt:lpwstr>4</vt:lpwstr>
  </property>
  <property fmtid="{D5CDD505-2E9C-101B-9397-08002B2CF9AE}" pid="7" name="lcf76f155ced4ddcb4097134ff3c332f">
    <vt:lpwstr/>
  </property>
  <property fmtid="{D5CDD505-2E9C-101B-9397-08002B2CF9AE}" pid="8" name="Languages">
    <vt:lpwstr>1;#English|950e6fa2-2df0-4983-a604-54e57c7a6d93</vt:lpwstr>
  </property>
  <property fmtid="{D5CDD505-2E9C-101B-9397-08002B2CF9AE}" pid="9" name="UPOVTopics">
    <vt:lpwstr/>
  </property>
  <property fmtid="{D5CDD505-2E9C-101B-9397-08002B2CF9AE}" pid="10" name="_dlc_DocIdItemGuid">
    <vt:lpwstr>0e4db8d3-56f2-4561-91af-363c4a743fc2</vt:lpwstr>
  </property>
  <property fmtid="{D5CDD505-2E9C-101B-9397-08002B2CF9AE}" pid="11" name="IP System">
    <vt:lpwstr/>
  </property>
  <property fmtid="{D5CDD505-2E9C-101B-9397-08002B2CF9AE}" pid="12" name="DocumentSetDescription">
    <vt:lpwstr/>
  </property>
  <property fmtid="{D5CDD505-2E9C-101B-9397-08002B2CF9AE}" pid="13" name="RoutingRuleDescription">
    <vt:lpwstr/>
  </property>
  <property fmtid="{D5CDD505-2E9C-101B-9397-08002B2CF9AE}" pid="14" name="_ExtendedDescription">
    <vt:lpwstr/>
  </property>
  <property fmtid="{D5CDD505-2E9C-101B-9397-08002B2CF9AE}" pid="15" name="PolicyFileOldType">
    <vt:lpwstr/>
  </property>
  <property fmtid="{D5CDD505-2E9C-101B-9397-08002B2CF9AE}" pid="16" name="_docset_NoMedatataSyncRequired">
    <vt:lpwstr>False</vt:lpwstr>
  </property>
  <property fmtid="{D5CDD505-2E9C-101B-9397-08002B2CF9AE}" pid="17" name="ECCM_Year">
    <vt:lpwstr>721</vt:lpwstr>
  </property>
  <property fmtid="{D5CDD505-2E9C-101B-9397-08002B2CF9AE}" pid="18" name="_dlc_DocId">
    <vt:lpwstr>UPOVBFP-899189165-17258</vt:lpwstr>
  </property>
  <property fmtid="{D5CDD505-2E9C-101B-9397-08002B2CF9AE}" pid="19" name="_dlc_DocIdUrl">
    <vt:lpwstr>https://wipoprod.sharepoint.com/sites/SPS-INT-BFP-UPOV-MeetEven/_layouts/15/DocIdRedir.aspx?ID=UPOVBFP-899189165-17258, UPOVBFP-899189165-17258</vt:lpwstr>
  </property>
  <property fmtid="{D5CDD505-2E9C-101B-9397-08002B2CF9AE}" pid="20" name="ClassificationContentMarkingFooterShapeIds">
    <vt:lpwstr>59d67068,102fca3a,566814f5,33526e54,23910f7a,13db5263</vt:lpwstr>
  </property>
  <property fmtid="{D5CDD505-2E9C-101B-9397-08002B2CF9AE}" pid="21" name="ClassificationContentMarkingFooterFontProps">
    <vt:lpwstr>#ff0000,10,Aptos</vt:lpwstr>
  </property>
  <property fmtid="{D5CDD505-2E9C-101B-9397-08002B2CF9AE}" pid="22" name="ClassificationContentMarkingFooterText">
    <vt:lpwstr>WIPO PERSONAL AND CONFIDENTIAL </vt:lpwstr>
  </property>
  <property fmtid="{D5CDD505-2E9C-101B-9397-08002B2CF9AE}" pid="23" name="MSIP_Label_7f67ef74-ebea-48bf-9eae-94417d17ac62_Enabled">
    <vt:lpwstr>true</vt:lpwstr>
  </property>
  <property fmtid="{D5CDD505-2E9C-101B-9397-08002B2CF9AE}" pid="24" name="MSIP_Label_7f67ef74-ebea-48bf-9eae-94417d17ac62_SetDate">
    <vt:lpwstr>2026-07-27T10:59:34Z</vt:lpwstr>
  </property>
  <property fmtid="{D5CDD505-2E9C-101B-9397-08002B2CF9AE}" pid="25" name="MSIP_Label_7f67ef74-ebea-48bf-9eae-94417d17ac62_Method">
    <vt:lpwstr>Standard</vt:lpwstr>
  </property>
  <property fmtid="{D5CDD505-2E9C-101B-9397-08002B2CF9AE}" pid="26" name="MSIP_Label_7f67ef74-ebea-48bf-9eae-94417d17ac62_Name">
    <vt:lpwstr>POC Confidential Personal</vt:lpwstr>
  </property>
  <property fmtid="{D5CDD505-2E9C-101B-9397-08002B2CF9AE}" pid="27" name="MSIP_Label_7f67ef74-ebea-48bf-9eae-94417d17ac62_SiteId">
    <vt:lpwstr>faa31b06-8ccc-48c9-867f-f7510dd11c02</vt:lpwstr>
  </property>
  <property fmtid="{D5CDD505-2E9C-101B-9397-08002B2CF9AE}" pid="28" name="MSIP_Label_7f67ef74-ebea-48bf-9eae-94417d17ac62_ActionId">
    <vt:lpwstr>ac38ddb4-e227-4ba7-99f6-4c835407c383</vt:lpwstr>
  </property>
  <property fmtid="{D5CDD505-2E9C-101B-9397-08002B2CF9AE}" pid="29" name="MSIP_Label_7f67ef74-ebea-48bf-9eae-94417d17ac62_ContentBits">
    <vt:lpwstr>3</vt:lpwstr>
  </property>
  <property fmtid="{D5CDD505-2E9C-101B-9397-08002B2CF9AE}" pid="30" name="MSIP_Label_7f67ef74-ebea-48bf-9eae-94417d17ac62_Tag">
    <vt:lpwstr>10, 1, 2, 1</vt:lpwstr>
  </property>
</Properties>
</file>