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2E06CD" w:rsidRPr="00815738" w14:paraId="11CF4858" w14:textId="77777777" w:rsidTr="009F0F3B">
        <w:tc>
          <w:tcPr>
            <w:tcW w:w="6522" w:type="dxa"/>
          </w:tcPr>
          <w:p w14:paraId="2906544B" w14:textId="5F0D0374" w:rsidR="002E06CD" w:rsidRPr="00AC2883" w:rsidRDefault="00946011" w:rsidP="009F0F3B">
            <w:r>
              <w:rPr>
                <w:noProof/>
              </w:rPr>
              <w:drawing>
                <wp:inline distT="0" distB="0" distL="0" distR="0" wp14:anchorId="114A70F4" wp14:editId="6FDC051F">
                  <wp:extent cx="932815" cy="266065"/>
                  <wp:effectExtent l="0" t="0" r="635" b="635"/>
                  <wp:docPr id="545658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658607"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932815" cy="266065"/>
                          </a:xfrm>
                          <a:prstGeom prst="rect">
                            <a:avLst/>
                          </a:prstGeom>
                        </pic:spPr>
                      </pic:pic>
                    </a:graphicData>
                  </a:graphic>
                </wp:inline>
              </w:drawing>
            </w:r>
          </w:p>
        </w:tc>
        <w:tc>
          <w:tcPr>
            <w:tcW w:w="3117" w:type="dxa"/>
          </w:tcPr>
          <w:p w14:paraId="72DC8B0C" w14:textId="77777777" w:rsidR="002E06CD" w:rsidRPr="007C1D92" w:rsidRDefault="002E06CD" w:rsidP="009F0F3B">
            <w:pPr>
              <w:pStyle w:val="Lettrine"/>
            </w:pPr>
            <w:r w:rsidRPr="00172084">
              <w:t>E</w:t>
            </w:r>
          </w:p>
        </w:tc>
      </w:tr>
      <w:tr w:rsidR="002E06CD" w:rsidRPr="00DA4973" w14:paraId="1C20BCB2" w14:textId="77777777" w:rsidTr="009F0F3B">
        <w:trPr>
          <w:trHeight w:val="219"/>
        </w:trPr>
        <w:tc>
          <w:tcPr>
            <w:tcW w:w="6522" w:type="dxa"/>
          </w:tcPr>
          <w:p w14:paraId="58170A8B" w14:textId="77777777" w:rsidR="002E06CD" w:rsidRPr="00AC2883" w:rsidRDefault="002E06CD" w:rsidP="009F0F3B">
            <w:pPr>
              <w:pStyle w:val="upove"/>
            </w:pPr>
            <w:r w:rsidRPr="00AC2883">
              <w:t>International Union for the Protection of New Varieties of Plants</w:t>
            </w:r>
          </w:p>
        </w:tc>
        <w:tc>
          <w:tcPr>
            <w:tcW w:w="3117" w:type="dxa"/>
          </w:tcPr>
          <w:p w14:paraId="06FC67A4" w14:textId="77777777" w:rsidR="002E06CD" w:rsidRPr="00DA4973" w:rsidRDefault="002E06CD" w:rsidP="009F0F3B"/>
        </w:tc>
      </w:tr>
    </w:tbl>
    <w:p w14:paraId="2EF3C265" w14:textId="77777777" w:rsidR="002E06CD" w:rsidRDefault="002E06CD" w:rsidP="002E06CD"/>
    <w:p w14:paraId="58756C57" w14:textId="77777777" w:rsidR="002E06CD" w:rsidRPr="00365DC1" w:rsidRDefault="002E06CD" w:rsidP="002E06CD"/>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2E06CD" w:rsidRPr="00C5280D" w14:paraId="06D30106" w14:textId="77777777" w:rsidTr="009F0F3B">
        <w:tc>
          <w:tcPr>
            <w:tcW w:w="6512" w:type="dxa"/>
          </w:tcPr>
          <w:p w14:paraId="2BCA22AB" w14:textId="77777777" w:rsidR="002E06CD" w:rsidRPr="009800DC" w:rsidRDefault="002E06CD" w:rsidP="009F0F3B">
            <w:pPr>
              <w:pStyle w:val="Sessiontc"/>
              <w:spacing w:line="240" w:lineRule="auto"/>
            </w:pPr>
            <w:r w:rsidRPr="009800DC">
              <w:t>Council</w:t>
            </w:r>
          </w:p>
          <w:p w14:paraId="04A0C487" w14:textId="77777777" w:rsidR="002E06CD" w:rsidRPr="009800DC" w:rsidRDefault="002E06CD" w:rsidP="009F0F3B">
            <w:pPr>
              <w:pStyle w:val="Sessiontcplacedate"/>
            </w:pPr>
            <w:r w:rsidRPr="009800DC">
              <w:t>Fifty-Ninth Ordinary Session</w:t>
            </w:r>
          </w:p>
          <w:p w14:paraId="26A030AF" w14:textId="77777777" w:rsidR="002E06CD" w:rsidRPr="009800DC" w:rsidRDefault="002E06CD" w:rsidP="009F0F3B">
            <w:pPr>
              <w:pStyle w:val="Sessiontcplacedate"/>
              <w:rPr>
                <w:sz w:val="22"/>
              </w:rPr>
            </w:pPr>
            <w:r w:rsidRPr="009800DC">
              <w:t>Geneva, October 24, 2025</w:t>
            </w:r>
          </w:p>
        </w:tc>
        <w:tc>
          <w:tcPr>
            <w:tcW w:w="3127" w:type="dxa"/>
          </w:tcPr>
          <w:p w14:paraId="6A78618B" w14:textId="5D0BA9A0" w:rsidR="002E06CD" w:rsidRPr="009800DC" w:rsidRDefault="002E06CD" w:rsidP="009F0F3B">
            <w:pPr>
              <w:pStyle w:val="Doccode"/>
            </w:pPr>
            <w:r w:rsidRPr="009800DC">
              <w:t>C/59/9</w:t>
            </w:r>
          </w:p>
          <w:p w14:paraId="274305A3" w14:textId="77777777" w:rsidR="002E06CD" w:rsidRPr="009800DC" w:rsidRDefault="002E06CD" w:rsidP="009F0F3B">
            <w:pPr>
              <w:pStyle w:val="Docoriginal"/>
            </w:pPr>
            <w:r w:rsidRPr="009800DC">
              <w:t>Original:</w:t>
            </w:r>
            <w:r w:rsidRPr="009800DC">
              <w:rPr>
                <w:b w:val="0"/>
                <w:spacing w:val="0"/>
              </w:rPr>
              <w:t xml:space="preserve">  English</w:t>
            </w:r>
          </w:p>
          <w:p w14:paraId="513C0685" w14:textId="115BD2C2" w:rsidR="002E06CD" w:rsidRPr="007C1D92" w:rsidRDefault="002E06CD" w:rsidP="009F0F3B">
            <w:pPr>
              <w:pStyle w:val="Docoriginal"/>
            </w:pPr>
            <w:r w:rsidRPr="009800DC">
              <w:t>Date:</w:t>
            </w:r>
            <w:r w:rsidRPr="009800DC">
              <w:rPr>
                <w:b w:val="0"/>
                <w:spacing w:val="0"/>
              </w:rPr>
              <w:t xml:space="preserve">  </w:t>
            </w:r>
            <w:r w:rsidR="009800DC" w:rsidRPr="009800DC">
              <w:rPr>
                <w:b w:val="0"/>
                <w:spacing w:val="0"/>
              </w:rPr>
              <w:t>August 29</w:t>
            </w:r>
            <w:r w:rsidRPr="009800DC">
              <w:rPr>
                <w:b w:val="0"/>
                <w:spacing w:val="0"/>
              </w:rPr>
              <w:t>, 2025</w:t>
            </w:r>
          </w:p>
        </w:tc>
      </w:tr>
    </w:tbl>
    <w:p w14:paraId="3C4738FD" w14:textId="77777777" w:rsidR="002E06CD" w:rsidRPr="007C4A37" w:rsidRDefault="002E06CD" w:rsidP="002E06CD">
      <w:pPr>
        <w:pStyle w:val="Titleofdoc0"/>
        <w:rPr>
          <w:rFonts w:cs="Arial"/>
        </w:rPr>
      </w:pPr>
      <w:r w:rsidRPr="007C4A37">
        <w:rPr>
          <w:rFonts w:cs="Arial"/>
        </w:rPr>
        <w:t>Financial statements for 202</w:t>
      </w:r>
      <w:r>
        <w:rPr>
          <w:rFonts w:cs="Arial"/>
        </w:rPr>
        <w:t>4</w:t>
      </w:r>
    </w:p>
    <w:p w14:paraId="56ED546D" w14:textId="77777777" w:rsidR="002E06CD" w:rsidRPr="006A644A" w:rsidRDefault="002E06CD" w:rsidP="002E06CD">
      <w:pPr>
        <w:pStyle w:val="preparedby1"/>
        <w:jc w:val="left"/>
      </w:pPr>
      <w:r w:rsidRPr="000C4E25">
        <w:t>Document prepared by the Office of the Union</w:t>
      </w:r>
    </w:p>
    <w:p w14:paraId="69CCB7C8" w14:textId="77777777" w:rsidR="002E06CD" w:rsidRPr="006A644A" w:rsidRDefault="002E06CD" w:rsidP="002E06CD">
      <w:pPr>
        <w:pStyle w:val="Disclaimer"/>
      </w:pPr>
      <w:r w:rsidRPr="006A644A">
        <w:t>Disclaimer:  this document does not represent UPOV policies or guidance</w:t>
      </w:r>
    </w:p>
    <w:p w14:paraId="164007CB" w14:textId="7EC31ED1" w:rsidR="008D5067" w:rsidRPr="007C4A37" w:rsidRDefault="008D5067" w:rsidP="008D5067">
      <w:pPr>
        <w:rPr>
          <w:rFonts w:cs="Arial"/>
        </w:rPr>
      </w:pPr>
      <w:r w:rsidRPr="007C4A37">
        <w:rPr>
          <w:rFonts w:cs="Arial"/>
        </w:rPr>
        <w:fldChar w:fldCharType="begin"/>
      </w:r>
      <w:r w:rsidRPr="007C4A37">
        <w:rPr>
          <w:rFonts w:cs="Arial"/>
        </w:rPr>
        <w:instrText xml:space="preserve"> AUTONUM  </w:instrText>
      </w:r>
      <w:r w:rsidRPr="007C4A37">
        <w:rPr>
          <w:rFonts w:cs="Arial"/>
        </w:rPr>
        <w:fldChar w:fldCharType="end"/>
      </w:r>
      <w:r w:rsidRPr="007B443E">
        <w:rPr>
          <w:rFonts w:cs="Arial"/>
        </w:rPr>
        <w:tab/>
        <w:t xml:space="preserve">The Financial Statements of UPOV for </w:t>
      </w:r>
      <w:r w:rsidR="00080A4B" w:rsidRPr="007B443E">
        <w:rPr>
          <w:rFonts w:cs="Arial"/>
        </w:rPr>
        <w:t xml:space="preserve">the year ended December 31, </w:t>
      </w:r>
      <w:proofErr w:type="gramStart"/>
      <w:r w:rsidR="00080A4B" w:rsidRPr="007B443E">
        <w:rPr>
          <w:rFonts w:cs="Arial"/>
        </w:rPr>
        <w:t>20</w:t>
      </w:r>
      <w:r w:rsidR="003278ED" w:rsidRPr="0098522D">
        <w:rPr>
          <w:rFonts w:cs="Arial"/>
        </w:rPr>
        <w:t>2</w:t>
      </w:r>
      <w:r w:rsidR="0063681F">
        <w:rPr>
          <w:rFonts w:cs="Arial"/>
        </w:rPr>
        <w:t>4</w:t>
      </w:r>
      <w:proofErr w:type="gramEnd"/>
      <w:r w:rsidRPr="0098522D">
        <w:rPr>
          <w:rFonts w:cs="Arial"/>
        </w:rPr>
        <w:t xml:space="preserve"> are transmitted to </w:t>
      </w:r>
      <w:r w:rsidRPr="0098522D">
        <w:rPr>
          <w:rFonts w:cs="Arial"/>
        </w:rPr>
        <w:br/>
        <w:t>the Council in accordance with Regulation 6.5 of the Financial Regulations and</w:t>
      </w:r>
      <w:r w:rsidRPr="007C4A37">
        <w:rPr>
          <w:rFonts w:cs="Arial"/>
        </w:rPr>
        <w:t xml:space="preserve"> Rules of UPOV (document </w:t>
      </w:r>
      <w:r w:rsidR="00F00C2D" w:rsidRPr="007C4A37">
        <w:rPr>
          <w:rFonts w:cs="Arial"/>
        </w:rPr>
        <w:t>UPOV/INF/4/</w:t>
      </w:r>
      <w:r w:rsidR="00112FC7" w:rsidRPr="007C4A37">
        <w:rPr>
          <w:rFonts w:cs="Arial"/>
        </w:rPr>
        <w:t>6</w:t>
      </w:r>
      <w:r w:rsidRPr="007C4A37">
        <w:rPr>
          <w:rFonts w:cs="Arial"/>
        </w:rPr>
        <w:t xml:space="preserve">), which requires that the Council </w:t>
      </w:r>
      <w:r w:rsidRPr="00DC593A">
        <w:rPr>
          <w:rFonts w:cs="Arial"/>
        </w:rPr>
        <w:t>examines and approves the financial statements.  T</w:t>
      </w:r>
      <w:r w:rsidR="00080A4B" w:rsidRPr="00DC593A">
        <w:rPr>
          <w:rFonts w:cs="Arial"/>
        </w:rPr>
        <w:t>he Financial Statements for 20</w:t>
      </w:r>
      <w:r w:rsidR="003278ED" w:rsidRPr="00DC593A">
        <w:rPr>
          <w:rFonts w:cs="Arial"/>
        </w:rPr>
        <w:t>2</w:t>
      </w:r>
      <w:r w:rsidR="0063681F">
        <w:rPr>
          <w:rFonts w:cs="Arial"/>
        </w:rPr>
        <w:t>4</w:t>
      </w:r>
      <w:r w:rsidRPr="00DC593A">
        <w:rPr>
          <w:rFonts w:cs="Arial"/>
        </w:rPr>
        <w:t xml:space="preserve"> are presented in the Annex </w:t>
      </w:r>
      <w:r w:rsidR="00ED7558" w:rsidRPr="00DC593A">
        <w:rPr>
          <w:rFonts w:cs="Arial"/>
        </w:rPr>
        <w:t xml:space="preserve">to this document. </w:t>
      </w:r>
      <w:r w:rsidR="00ED7558" w:rsidRPr="005D7523">
        <w:rPr>
          <w:rFonts w:cs="Arial"/>
        </w:rPr>
        <w:t>The Annex also includes UPOV's Statement on Internal Control signed by the Secretary-</w:t>
      </w:r>
      <w:r w:rsidR="00ED7558" w:rsidRPr="0055501B">
        <w:rPr>
          <w:rFonts w:cs="Arial"/>
        </w:rPr>
        <w:t xml:space="preserve">General. </w:t>
      </w:r>
      <w:r w:rsidR="002E06CD">
        <w:rPr>
          <w:rFonts w:cs="Arial"/>
        </w:rPr>
        <w:t xml:space="preserve"> </w:t>
      </w:r>
      <w:r w:rsidR="00080A4B" w:rsidRPr="0055501B">
        <w:rPr>
          <w:rFonts w:cs="Arial"/>
        </w:rPr>
        <w:t>Document C/5</w:t>
      </w:r>
      <w:r w:rsidR="002E06CD">
        <w:rPr>
          <w:rFonts w:cs="Arial"/>
        </w:rPr>
        <w:t>9</w:t>
      </w:r>
      <w:r w:rsidR="00DC593A" w:rsidRPr="0055501B">
        <w:rPr>
          <w:rFonts w:cs="Arial"/>
        </w:rPr>
        <w:t>/</w:t>
      </w:r>
      <w:r w:rsidR="00CB29BD" w:rsidRPr="0055501B">
        <w:rPr>
          <w:rFonts w:cs="Arial"/>
        </w:rPr>
        <w:t>10</w:t>
      </w:r>
      <w:r w:rsidRPr="0055501B">
        <w:rPr>
          <w:rFonts w:cs="Arial"/>
        </w:rPr>
        <w:t xml:space="preserve"> contains</w:t>
      </w:r>
      <w:r w:rsidRPr="005D7523">
        <w:rPr>
          <w:rFonts w:cs="Arial"/>
        </w:rPr>
        <w:t xml:space="preserve"> the audit report of the External Auditor.</w:t>
      </w:r>
    </w:p>
    <w:p w14:paraId="3177BD54" w14:textId="77777777" w:rsidR="008D5067" w:rsidRPr="007C4A37" w:rsidRDefault="008D5067" w:rsidP="008D5067">
      <w:pPr>
        <w:rPr>
          <w:rFonts w:cs="Arial"/>
        </w:rPr>
      </w:pPr>
    </w:p>
    <w:p w14:paraId="59A71D66" w14:textId="7A1E8F36" w:rsidR="008D5067" w:rsidRPr="007C4A37" w:rsidRDefault="008D5067" w:rsidP="008D5067">
      <w:pPr>
        <w:rPr>
          <w:rFonts w:cs="Arial"/>
        </w:rPr>
      </w:pPr>
      <w:r w:rsidRPr="007C4A37">
        <w:rPr>
          <w:rFonts w:cs="Arial"/>
        </w:rPr>
        <w:fldChar w:fldCharType="begin"/>
      </w:r>
      <w:r w:rsidRPr="007C4A37">
        <w:rPr>
          <w:rFonts w:cs="Arial"/>
        </w:rPr>
        <w:instrText xml:space="preserve"> AUTONUM  </w:instrText>
      </w:r>
      <w:r w:rsidRPr="007C4A37">
        <w:rPr>
          <w:rFonts w:cs="Arial"/>
        </w:rPr>
        <w:fldChar w:fldCharType="end"/>
      </w:r>
      <w:r w:rsidRPr="007B443E">
        <w:rPr>
          <w:rFonts w:cs="Arial"/>
        </w:rPr>
        <w:tab/>
        <w:t>T</w:t>
      </w:r>
      <w:r w:rsidR="00080A4B" w:rsidRPr="007B443E">
        <w:rPr>
          <w:rFonts w:cs="Arial"/>
        </w:rPr>
        <w:t>he Financial Statements for 20</w:t>
      </w:r>
      <w:r w:rsidR="003278ED" w:rsidRPr="0098522D">
        <w:rPr>
          <w:rFonts w:cs="Arial"/>
        </w:rPr>
        <w:t>2</w:t>
      </w:r>
      <w:r w:rsidR="004B258C">
        <w:rPr>
          <w:rFonts w:cs="Arial"/>
        </w:rPr>
        <w:t>4</w:t>
      </w:r>
      <w:r w:rsidRPr="0098522D">
        <w:rPr>
          <w:rFonts w:cs="Arial"/>
        </w:rPr>
        <w:t xml:space="preserve"> have been prepared in accordance with International Public Sector Accounting Standards (IPSAS).  At it</w:t>
      </w:r>
      <w:r w:rsidRPr="007C4A37">
        <w:rPr>
          <w:rFonts w:cs="Arial"/>
        </w:rPr>
        <w:t>s forty-fifth ordinary session, held in Geneva on October 20, 2011, the Council agreed to the adoption of IPSAS by UPOV, beginning with the financial period starting in 2012 (see document C/45</w:t>
      </w:r>
      <w:r w:rsidR="001C7937" w:rsidRPr="007C4A37">
        <w:rPr>
          <w:rFonts w:cs="Arial"/>
        </w:rPr>
        <w:t xml:space="preserve">/18 “Report”, paragraph 9(b)). </w:t>
      </w:r>
    </w:p>
    <w:p w14:paraId="7B1FC2BE" w14:textId="77777777" w:rsidR="001C7937" w:rsidRPr="007C4A37" w:rsidRDefault="001C7937" w:rsidP="008D5067">
      <w:pPr>
        <w:rPr>
          <w:rFonts w:cs="Arial"/>
        </w:rPr>
      </w:pPr>
    </w:p>
    <w:p w14:paraId="0C7EFA6C" w14:textId="0168F4A5" w:rsidR="008D5067" w:rsidRPr="007C4A37" w:rsidRDefault="008D5067" w:rsidP="008D5067">
      <w:pPr>
        <w:pStyle w:val="DecisionParagraphs"/>
        <w:rPr>
          <w:rFonts w:cs="Arial"/>
        </w:rPr>
      </w:pPr>
      <w:r w:rsidRPr="007C4A37">
        <w:rPr>
          <w:rFonts w:cs="Arial"/>
        </w:rPr>
        <w:fldChar w:fldCharType="begin"/>
      </w:r>
      <w:r w:rsidRPr="007C4A37">
        <w:rPr>
          <w:rFonts w:cs="Arial"/>
        </w:rPr>
        <w:instrText xml:space="preserve"> AUTONUM  </w:instrText>
      </w:r>
      <w:r w:rsidRPr="007C4A37">
        <w:rPr>
          <w:rFonts w:cs="Arial"/>
        </w:rPr>
        <w:fldChar w:fldCharType="end"/>
      </w:r>
      <w:r w:rsidRPr="007B443E">
        <w:rPr>
          <w:rFonts w:cs="Arial"/>
        </w:rPr>
        <w:tab/>
      </w:r>
      <w:r w:rsidR="00EE0702" w:rsidRPr="007B443E">
        <w:rPr>
          <w:rFonts w:cs="Arial"/>
        </w:rPr>
        <w:t xml:space="preserve">The Council is </w:t>
      </w:r>
      <w:r w:rsidRPr="007B443E">
        <w:rPr>
          <w:rFonts w:cs="Arial"/>
        </w:rPr>
        <w:t>inv</w:t>
      </w:r>
      <w:r w:rsidRPr="0098522D">
        <w:rPr>
          <w:rFonts w:cs="Arial"/>
        </w:rPr>
        <w:t>ited to examine and approve t</w:t>
      </w:r>
      <w:r w:rsidR="00820978" w:rsidRPr="007C4A37">
        <w:rPr>
          <w:rFonts w:cs="Arial"/>
        </w:rPr>
        <w:t xml:space="preserve">he Financial Statements for </w:t>
      </w:r>
      <w:r w:rsidR="00933990" w:rsidRPr="007C4A37">
        <w:rPr>
          <w:rFonts w:cs="Arial"/>
        </w:rPr>
        <w:t>202</w:t>
      </w:r>
      <w:r w:rsidR="004B258C">
        <w:rPr>
          <w:rFonts w:cs="Arial"/>
        </w:rPr>
        <w:t>4</w:t>
      </w:r>
      <w:r w:rsidRPr="007C4A37">
        <w:rPr>
          <w:rFonts w:cs="Arial"/>
        </w:rPr>
        <w:t>.</w:t>
      </w:r>
    </w:p>
    <w:p w14:paraId="7E59BD66" w14:textId="77777777" w:rsidR="00050E16" w:rsidRPr="00F76236" w:rsidRDefault="00050E16" w:rsidP="004B1215">
      <w:pPr>
        <w:rPr>
          <w:rFonts w:cs="Arial"/>
        </w:rPr>
      </w:pPr>
    </w:p>
    <w:p w14:paraId="53C3ECC9" w14:textId="77777777" w:rsidR="00050E16" w:rsidRPr="005976F2" w:rsidRDefault="00050E16" w:rsidP="00050E16">
      <w:pPr>
        <w:rPr>
          <w:rFonts w:cs="Arial"/>
        </w:rPr>
      </w:pPr>
    </w:p>
    <w:p w14:paraId="1E5FC93E" w14:textId="77777777" w:rsidR="00544581" w:rsidRPr="00855138" w:rsidRDefault="00544581">
      <w:pPr>
        <w:jc w:val="left"/>
        <w:rPr>
          <w:rFonts w:cs="Arial"/>
        </w:rPr>
      </w:pPr>
    </w:p>
    <w:p w14:paraId="5BB80A6A" w14:textId="77777777" w:rsidR="009B440E" w:rsidRPr="00352498" w:rsidRDefault="00050E16" w:rsidP="00050E16">
      <w:pPr>
        <w:jc w:val="right"/>
        <w:rPr>
          <w:rFonts w:cs="Arial"/>
        </w:rPr>
      </w:pPr>
      <w:r w:rsidRPr="00352498">
        <w:rPr>
          <w:rFonts w:cs="Arial"/>
        </w:rPr>
        <w:t>[</w:t>
      </w:r>
      <w:r w:rsidR="008D5067" w:rsidRPr="00352498">
        <w:rPr>
          <w:rFonts w:cs="Arial"/>
        </w:rPr>
        <w:t>Annex follows</w:t>
      </w:r>
      <w:r w:rsidRPr="00352498">
        <w:rPr>
          <w:rFonts w:cs="Arial"/>
        </w:rPr>
        <w:t>]</w:t>
      </w:r>
    </w:p>
    <w:p w14:paraId="3E747BDE" w14:textId="77777777" w:rsidR="008D5067" w:rsidRPr="009B78B3" w:rsidRDefault="008D5067">
      <w:pPr>
        <w:jc w:val="left"/>
        <w:rPr>
          <w:rFonts w:cs="Arial"/>
        </w:rPr>
        <w:sectPr w:rsidR="008D5067" w:rsidRPr="009B78B3" w:rsidSect="001C7937">
          <w:headerReference w:type="even" r:id="rId9"/>
          <w:headerReference w:type="default" r:id="rId10"/>
          <w:pgSz w:w="11907" w:h="16840" w:code="9"/>
          <w:pgMar w:top="510" w:right="1134" w:bottom="1134" w:left="1134" w:header="510" w:footer="680" w:gutter="0"/>
          <w:cols w:space="720"/>
          <w:titlePg/>
          <w:docGrid w:linePitch="272"/>
        </w:sectPr>
      </w:pPr>
    </w:p>
    <w:p w14:paraId="15C0DB0D" w14:textId="77777777" w:rsidR="00A824AF" w:rsidRPr="009B78B3" w:rsidRDefault="00A824AF" w:rsidP="00A824AF">
      <w:pPr>
        <w:jc w:val="center"/>
        <w:rPr>
          <w:rFonts w:cs="Arial"/>
          <w:b/>
          <w:bCs/>
          <w:snapToGrid w:val="0"/>
          <w:spacing w:val="8"/>
        </w:rPr>
      </w:pPr>
      <w:r w:rsidRPr="009B78B3">
        <w:rPr>
          <w:rFonts w:cs="Arial"/>
          <w:b/>
          <w:bCs/>
          <w:snapToGrid w:val="0"/>
          <w:spacing w:val="8"/>
        </w:rPr>
        <w:lastRenderedPageBreak/>
        <w:t>INTERNATIONAL UNION FOR THE PROTECTION OF NEW VARIETIES OF PLANTS</w:t>
      </w:r>
    </w:p>
    <w:p w14:paraId="22A04EAD" w14:textId="77777777" w:rsidR="00A824AF" w:rsidRPr="009B78B3" w:rsidRDefault="00A824AF" w:rsidP="00A824AF">
      <w:pPr>
        <w:jc w:val="center"/>
        <w:rPr>
          <w:rFonts w:cs="Arial"/>
          <w:b/>
          <w:bCs/>
          <w:snapToGrid w:val="0"/>
          <w:spacing w:val="8"/>
        </w:rPr>
      </w:pPr>
    </w:p>
    <w:p w14:paraId="7AF70B3A" w14:textId="299185FE" w:rsidR="00A824AF" w:rsidRPr="009B78B3" w:rsidRDefault="00A824AF" w:rsidP="00A824AF">
      <w:pPr>
        <w:jc w:val="center"/>
        <w:rPr>
          <w:rFonts w:cs="Arial"/>
        </w:rPr>
      </w:pPr>
      <w:r w:rsidRPr="009B78B3">
        <w:rPr>
          <w:rFonts w:cs="Arial"/>
        </w:rPr>
        <w:t xml:space="preserve">Financial Statements for </w:t>
      </w:r>
      <w:r w:rsidR="00D54E11" w:rsidRPr="009B78B3">
        <w:rPr>
          <w:rFonts w:cs="Arial"/>
        </w:rPr>
        <w:t>the year ended December 31, 20</w:t>
      </w:r>
      <w:r w:rsidR="003278ED" w:rsidRPr="009B78B3">
        <w:rPr>
          <w:rFonts w:cs="Arial"/>
        </w:rPr>
        <w:t>2</w:t>
      </w:r>
      <w:r w:rsidR="00531FE8">
        <w:rPr>
          <w:rFonts w:cs="Arial"/>
        </w:rPr>
        <w:t>4</w:t>
      </w:r>
    </w:p>
    <w:p w14:paraId="72769BBD" w14:textId="77777777" w:rsidR="00024115" w:rsidRPr="009B78B3" w:rsidRDefault="00024115" w:rsidP="00DE3D35">
      <w:pPr>
        <w:tabs>
          <w:tab w:val="right" w:pos="9639"/>
        </w:tabs>
        <w:rPr>
          <w:rFonts w:cs="Arial"/>
        </w:rPr>
      </w:pPr>
    </w:p>
    <w:p w14:paraId="4B41A29D" w14:textId="77777777" w:rsidR="000357D6" w:rsidRPr="009B78B3" w:rsidRDefault="000357D6" w:rsidP="00DB2733">
      <w:pPr>
        <w:pStyle w:val="Heading1"/>
        <w:rPr>
          <w:rFonts w:cs="Arial"/>
        </w:rPr>
      </w:pPr>
    </w:p>
    <w:sdt>
      <w:sdtPr>
        <w:rPr>
          <w:rFonts w:ascii="Arial" w:eastAsia="Times New Roman" w:hAnsi="Arial" w:cs="Arial"/>
          <w:color w:val="auto"/>
          <w:sz w:val="20"/>
          <w:szCs w:val="20"/>
        </w:rPr>
        <w:id w:val="881980883"/>
        <w:docPartObj>
          <w:docPartGallery w:val="Table of Contents"/>
          <w:docPartUnique/>
        </w:docPartObj>
      </w:sdtPr>
      <w:sdtEndPr>
        <w:rPr>
          <w:b/>
          <w:bCs/>
          <w:noProof/>
        </w:rPr>
      </w:sdtEndPr>
      <w:sdtContent>
        <w:p w14:paraId="30082BBD" w14:textId="77777777" w:rsidR="000357D6" w:rsidRPr="005D7523" w:rsidRDefault="000357D6">
          <w:pPr>
            <w:pStyle w:val="TOCHeading"/>
            <w:rPr>
              <w:rFonts w:ascii="Arial" w:hAnsi="Arial" w:cs="Arial"/>
              <w:color w:val="auto"/>
              <w:sz w:val="20"/>
              <w:szCs w:val="20"/>
            </w:rPr>
          </w:pPr>
          <w:r w:rsidRPr="005D7523">
            <w:rPr>
              <w:rFonts w:ascii="Arial" w:hAnsi="Arial" w:cs="Arial"/>
              <w:color w:val="auto"/>
              <w:sz w:val="20"/>
              <w:szCs w:val="20"/>
            </w:rPr>
            <w:t>Contents</w:t>
          </w:r>
        </w:p>
        <w:p w14:paraId="7ABBE643" w14:textId="1F5BA1B2" w:rsidR="002E06CD" w:rsidRDefault="000357D6">
          <w:pPr>
            <w:pStyle w:val="TOC1"/>
            <w:rPr>
              <w:rFonts w:asciiTheme="minorHAnsi" w:eastAsiaTheme="minorEastAsia" w:hAnsiTheme="minorHAnsi" w:cstheme="minorBidi"/>
              <w:caps w:val="0"/>
              <w:kern w:val="2"/>
              <w:sz w:val="24"/>
              <w:szCs w:val="24"/>
              <w:lang w:val="en-GB" w:eastAsia="en-GB"/>
              <w14:ligatures w14:val="standardContextual"/>
            </w:rPr>
          </w:pPr>
          <w:r w:rsidRPr="007B443E">
            <w:rPr>
              <w:rFonts w:cs="Arial"/>
            </w:rPr>
            <w:fldChar w:fldCharType="begin"/>
          </w:r>
          <w:r w:rsidRPr="009B78B3">
            <w:rPr>
              <w:rFonts w:cs="Arial"/>
            </w:rPr>
            <w:instrText xml:space="preserve"> TOC \o "1-3" \h \z \u </w:instrText>
          </w:r>
          <w:r w:rsidRPr="007B443E">
            <w:rPr>
              <w:rFonts w:cs="Arial"/>
            </w:rPr>
            <w:fldChar w:fldCharType="separate"/>
          </w:r>
          <w:hyperlink w:anchor="_Toc198653924" w:history="1">
            <w:r w:rsidR="002E06CD" w:rsidRPr="00C31352">
              <w:rPr>
                <w:rStyle w:val="Hyperlink"/>
                <w:rFonts w:cs="Arial"/>
              </w:rPr>
              <w:t>Introduction</w:t>
            </w:r>
            <w:r w:rsidR="002E06CD">
              <w:rPr>
                <w:webHidden/>
              </w:rPr>
              <w:tab/>
            </w:r>
            <w:r w:rsidR="002E06CD">
              <w:rPr>
                <w:webHidden/>
              </w:rPr>
              <w:fldChar w:fldCharType="begin"/>
            </w:r>
            <w:r w:rsidR="002E06CD">
              <w:rPr>
                <w:webHidden/>
              </w:rPr>
              <w:instrText xml:space="preserve"> PAGEREF _Toc198653924 \h </w:instrText>
            </w:r>
            <w:r w:rsidR="002E06CD">
              <w:rPr>
                <w:webHidden/>
              </w:rPr>
            </w:r>
            <w:r w:rsidR="002E06CD">
              <w:rPr>
                <w:webHidden/>
              </w:rPr>
              <w:fldChar w:fldCharType="separate"/>
            </w:r>
            <w:r w:rsidR="002E06CD">
              <w:rPr>
                <w:webHidden/>
              </w:rPr>
              <w:t>2</w:t>
            </w:r>
            <w:r w:rsidR="002E06CD">
              <w:rPr>
                <w:webHidden/>
              </w:rPr>
              <w:fldChar w:fldCharType="end"/>
            </w:r>
          </w:hyperlink>
        </w:p>
        <w:p w14:paraId="157D8FB4" w14:textId="1B39C460" w:rsidR="002E06CD" w:rsidRDefault="002E06CD">
          <w:pPr>
            <w:pStyle w:val="TOC1"/>
            <w:rPr>
              <w:rFonts w:asciiTheme="minorHAnsi" w:eastAsiaTheme="minorEastAsia" w:hAnsiTheme="minorHAnsi" w:cstheme="minorBidi"/>
              <w:caps w:val="0"/>
              <w:kern w:val="2"/>
              <w:sz w:val="24"/>
              <w:szCs w:val="24"/>
              <w:lang w:val="en-GB" w:eastAsia="en-GB"/>
              <w14:ligatures w14:val="standardContextual"/>
            </w:rPr>
          </w:pPr>
          <w:hyperlink w:anchor="_Toc198653925" w:history="1">
            <w:r w:rsidRPr="00C31352">
              <w:rPr>
                <w:rStyle w:val="Hyperlink"/>
                <w:rFonts w:cs="Arial"/>
              </w:rPr>
              <w:t>Financial results for the year ENDED DECEMBER 31, 2024</w:t>
            </w:r>
            <w:r>
              <w:rPr>
                <w:webHidden/>
              </w:rPr>
              <w:tab/>
            </w:r>
            <w:r>
              <w:rPr>
                <w:webHidden/>
              </w:rPr>
              <w:fldChar w:fldCharType="begin"/>
            </w:r>
            <w:r>
              <w:rPr>
                <w:webHidden/>
              </w:rPr>
              <w:instrText xml:space="preserve"> PAGEREF _Toc198653925 \h </w:instrText>
            </w:r>
            <w:r>
              <w:rPr>
                <w:webHidden/>
              </w:rPr>
            </w:r>
            <w:r>
              <w:rPr>
                <w:webHidden/>
              </w:rPr>
              <w:fldChar w:fldCharType="separate"/>
            </w:r>
            <w:r>
              <w:rPr>
                <w:webHidden/>
              </w:rPr>
              <w:t>2</w:t>
            </w:r>
            <w:r>
              <w:rPr>
                <w:webHidden/>
              </w:rPr>
              <w:fldChar w:fldCharType="end"/>
            </w:r>
          </w:hyperlink>
        </w:p>
        <w:p w14:paraId="0CFEAD82" w14:textId="183CF599" w:rsidR="002E06CD" w:rsidRDefault="002E06CD" w:rsidP="001343BA">
          <w:pPr>
            <w:pStyle w:val="TOC2"/>
            <w:rPr>
              <w:rFonts w:asciiTheme="minorHAnsi" w:eastAsiaTheme="minorEastAsia" w:hAnsiTheme="minorHAnsi" w:cstheme="minorBidi"/>
              <w:kern w:val="2"/>
              <w:sz w:val="24"/>
              <w:szCs w:val="24"/>
              <w:lang w:val="en-GB" w:eastAsia="en-GB"/>
              <w14:ligatures w14:val="standardContextual"/>
            </w:rPr>
          </w:pPr>
          <w:hyperlink w:anchor="_Toc198653926" w:history="1">
            <w:r w:rsidRPr="00C31352">
              <w:rPr>
                <w:rStyle w:val="Hyperlink"/>
                <w:rFonts w:cs="Arial"/>
              </w:rPr>
              <w:t>Preparation of the Financial Statements under IPSAS</w:t>
            </w:r>
            <w:r>
              <w:rPr>
                <w:webHidden/>
              </w:rPr>
              <w:tab/>
            </w:r>
            <w:r>
              <w:rPr>
                <w:webHidden/>
              </w:rPr>
              <w:fldChar w:fldCharType="begin"/>
            </w:r>
            <w:r>
              <w:rPr>
                <w:webHidden/>
              </w:rPr>
              <w:instrText xml:space="preserve"> PAGEREF _Toc198653926 \h </w:instrText>
            </w:r>
            <w:r>
              <w:rPr>
                <w:webHidden/>
              </w:rPr>
            </w:r>
            <w:r>
              <w:rPr>
                <w:webHidden/>
              </w:rPr>
              <w:fldChar w:fldCharType="separate"/>
            </w:r>
            <w:r>
              <w:rPr>
                <w:webHidden/>
              </w:rPr>
              <w:t>2</w:t>
            </w:r>
            <w:r>
              <w:rPr>
                <w:webHidden/>
              </w:rPr>
              <w:fldChar w:fldCharType="end"/>
            </w:r>
          </w:hyperlink>
        </w:p>
        <w:p w14:paraId="215301C9" w14:textId="40651EFC" w:rsidR="002E06CD" w:rsidRDefault="002E06CD" w:rsidP="001343BA">
          <w:pPr>
            <w:pStyle w:val="TOC2"/>
            <w:rPr>
              <w:rFonts w:asciiTheme="minorHAnsi" w:eastAsiaTheme="minorEastAsia" w:hAnsiTheme="minorHAnsi" w:cstheme="minorBidi"/>
              <w:kern w:val="2"/>
              <w:sz w:val="24"/>
              <w:szCs w:val="24"/>
              <w:lang w:val="en-GB" w:eastAsia="en-GB"/>
              <w14:ligatures w14:val="standardContextual"/>
            </w:rPr>
          </w:pPr>
          <w:hyperlink w:anchor="_Toc198653927" w:history="1">
            <w:r w:rsidRPr="00C31352">
              <w:rPr>
                <w:rStyle w:val="Hyperlink"/>
                <w:rFonts w:cs="Arial"/>
              </w:rPr>
              <w:t>Financial Performance</w:t>
            </w:r>
            <w:r>
              <w:rPr>
                <w:webHidden/>
              </w:rPr>
              <w:tab/>
            </w:r>
            <w:r>
              <w:rPr>
                <w:webHidden/>
              </w:rPr>
              <w:fldChar w:fldCharType="begin"/>
            </w:r>
            <w:r>
              <w:rPr>
                <w:webHidden/>
              </w:rPr>
              <w:instrText xml:space="preserve"> PAGEREF _Toc198653927 \h </w:instrText>
            </w:r>
            <w:r>
              <w:rPr>
                <w:webHidden/>
              </w:rPr>
            </w:r>
            <w:r>
              <w:rPr>
                <w:webHidden/>
              </w:rPr>
              <w:fldChar w:fldCharType="separate"/>
            </w:r>
            <w:r>
              <w:rPr>
                <w:webHidden/>
              </w:rPr>
              <w:t>3</w:t>
            </w:r>
            <w:r>
              <w:rPr>
                <w:webHidden/>
              </w:rPr>
              <w:fldChar w:fldCharType="end"/>
            </w:r>
          </w:hyperlink>
        </w:p>
        <w:p w14:paraId="08784048" w14:textId="61DFAD28" w:rsidR="002E06CD" w:rsidRDefault="002E06CD" w:rsidP="001343BA">
          <w:pPr>
            <w:pStyle w:val="TOC2"/>
            <w:rPr>
              <w:rFonts w:asciiTheme="minorHAnsi" w:eastAsiaTheme="minorEastAsia" w:hAnsiTheme="minorHAnsi" w:cstheme="minorBidi"/>
              <w:kern w:val="2"/>
              <w:sz w:val="24"/>
              <w:szCs w:val="24"/>
              <w:lang w:val="en-GB" w:eastAsia="en-GB"/>
              <w14:ligatures w14:val="standardContextual"/>
            </w:rPr>
          </w:pPr>
          <w:hyperlink w:anchor="_Toc198653928" w:history="1">
            <w:r w:rsidRPr="00C31352">
              <w:rPr>
                <w:rStyle w:val="Hyperlink"/>
                <w:rFonts w:cs="Arial"/>
              </w:rPr>
              <w:t>Financial Position</w:t>
            </w:r>
            <w:r>
              <w:rPr>
                <w:webHidden/>
              </w:rPr>
              <w:tab/>
            </w:r>
            <w:r>
              <w:rPr>
                <w:webHidden/>
              </w:rPr>
              <w:fldChar w:fldCharType="begin"/>
            </w:r>
            <w:r>
              <w:rPr>
                <w:webHidden/>
              </w:rPr>
              <w:instrText xml:space="preserve"> PAGEREF _Toc198653928 \h </w:instrText>
            </w:r>
            <w:r>
              <w:rPr>
                <w:webHidden/>
              </w:rPr>
            </w:r>
            <w:r>
              <w:rPr>
                <w:webHidden/>
              </w:rPr>
              <w:fldChar w:fldCharType="separate"/>
            </w:r>
            <w:r>
              <w:rPr>
                <w:webHidden/>
              </w:rPr>
              <w:t>4</w:t>
            </w:r>
            <w:r>
              <w:rPr>
                <w:webHidden/>
              </w:rPr>
              <w:fldChar w:fldCharType="end"/>
            </w:r>
          </w:hyperlink>
        </w:p>
        <w:p w14:paraId="0846CFD8" w14:textId="62E96D95" w:rsidR="002E06CD" w:rsidRDefault="002E06CD">
          <w:pPr>
            <w:pStyle w:val="TOC1"/>
            <w:rPr>
              <w:rFonts w:asciiTheme="minorHAnsi" w:eastAsiaTheme="minorEastAsia" w:hAnsiTheme="minorHAnsi" w:cstheme="minorBidi"/>
              <w:caps w:val="0"/>
              <w:kern w:val="2"/>
              <w:sz w:val="24"/>
              <w:szCs w:val="24"/>
              <w:lang w:val="en-GB" w:eastAsia="en-GB"/>
              <w14:ligatures w14:val="standardContextual"/>
            </w:rPr>
          </w:pPr>
          <w:hyperlink w:anchor="_Toc198653929" w:history="1">
            <w:r w:rsidRPr="00C31352">
              <w:rPr>
                <w:rStyle w:val="Hyperlink"/>
              </w:rPr>
              <w:t>STATEMENT ON INTERNAL CONTROL 2024</w:t>
            </w:r>
            <w:r>
              <w:rPr>
                <w:webHidden/>
              </w:rPr>
              <w:tab/>
            </w:r>
            <w:r>
              <w:rPr>
                <w:webHidden/>
              </w:rPr>
              <w:fldChar w:fldCharType="begin"/>
            </w:r>
            <w:r>
              <w:rPr>
                <w:webHidden/>
              </w:rPr>
              <w:instrText xml:space="preserve"> PAGEREF _Toc198653929 \h </w:instrText>
            </w:r>
            <w:r>
              <w:rPr>
                <w:webHidden/>
              </w:rPr>
            </w:r>
            <w:r>
              <w:rPr>
                <w:webHidden/>
              </w:rPr>
              <w:fldChar w:fldCharType="separate"/>
            </w:r>
            <w:r>
              <w:rPr>
                <w:webHidden/>
              </w:rPr>
              <w:t>6</w:t>
            </w:r>
            <w:r>
              <w:rPr>
                <w:webHidden/>
              </w:rPr>
              <w:fldChar w:fldCharType="end"/>
            </w:r>
          </w:hyperlink>
        </w:p>
        <w:p w14:paraId="1FA04219" w14:textId="3E8A9319" w:rsidR="002E06CD" w:rsidRDefault="002E06CD">
          <w:pPr>
            <w:pStyle w:val="TOC1"/>
            <w:rPr>
              <w:rFonts w:asciiTheme="minorHAnsi" w:eastAsiaTheme="minorEastAsia" w:hAnsiTheme="minorHAnsi" w:cstheme="minorBidi"/>
              <w:caps w:val="0"/>
              <w:kern w:val="2"/>
              <w:sz w:val="24"/>
              <w:szCs w:val="24"/>
              <w:lang w:val="en-GB" w:eastAsia="en-GB"/>
              <w14:ligatures w14:val="standardContextual"/>
            </w:rPr>
          </w:pPr>
          <w:hyperlink w:anchor="_Toc198653930" w:history="1">
            <w:r w:rsidRPr="00C31352">
              <w:rPr>
                <w:rStyle w:val="Hyperlink"/>
                <w:rFonts w:cs="Arial"/>
              </w:rPr>
              <w:t>Statement I:  statement of financial pOSITION</w:t>
            </w:r>
            <w:r>
              <w:rPr>
                <w:webHidden/>
              </w:rPr>
              <w:tab/>
            </w:r>
            <w:r>
              <w:rPr>
                <w:webHidden/>
              </w:rPr>
              <w:fldChar w:fldCharType="begin"/>
            </w:r>
            <w:r>
              <w:rPr>
                <w:webHidden/>
              </w:rPr>
              <w:instrText xml:space="preserve"> PAGEREF _Toc198653930 \h </w:instrText>
            </w:r>
            <w:r>
              <w:rPr>
                <w:webHidden/>
              </w:rPr>
            </w:r>
            <w:r>
              <w:rPr>
                <w:webHidden/>
              </w:rPr>
              <w:fldChar w:fldCharType="separate"/>
            </w:r>
            <w:r>
              <w:rPr>
                <w:webHidden/>
              </w:rPr>
              <w:t>11</w:t>
            </w:r>
            <w:r>
              <w:rPr>
                <w:webHidden/>
              </w:rPr>
              <w:fldChar w:fldCharType="end"/>
            </w:r>
          </w:hyperlink>
        </w:p>
        <w:p w14:paraId="62148E80" w14:textId="2566D7EA" w:rsidR="002E06CD" w:rsidRDefault="002E06CD">
          <w:pPr>
            <w:pStyle w:val="TOC1"/>
            <w:rPr>
              <w:rFonts w:asciiTheme="minorHAnsi" w:eastAsiaTheme="minorEastAsia" w:hAnsiTheme="minorHAnsi" w:cstheme="minorBidi"/>
              <w:caps w:val="0"/>
              <w:kern w:val="2"/>
              <w:sz w:val="24"/>
              <w:szCs w:val="24"/>
              <w:lang w:val="en-GB" w:eastAsia="en-GB"/>
              <w14:ligatures w14:val="standardContextual"/>
            </w:rPr>
          </w:pPr>
          <w:hyperlink w:anchor="_Toc198653931" w:history="1">
            <w:r w:rsidRPr="00C31352">
              <w:rPr>
                <w:rStyle w:val="Hyperlink"/>
                <w:rFonts w:cs="Arial"/>
              </w:rPr>
              <w:t>STATEMENT II: STATEMENT OF FINANCIAL PERFORMANCE</w:t>
            </w:r>
            <w:r>
              <w:rPr>
                <w:webHidden/>
              </w:rPr>
              <w:tab/>
            </w:r>
            <w:r>
              <w:rPr>
                <w:webHidden/>
              </w:rPr>
              <w:fldChar w:fldCharType="begin"/>
            </w:r>
            <w:r>
              <w:rPr>
                <w:webHidden/>
              </w:rPr>
              <w:instrText xml:space="preserve"> PAGEREF _Toc198653931 \h </w:instrText>
            </w:r>
            <w:r>
              <w:rPr>
                <w:webHidden/>
              </w:rPr>
            </w:r>
            <w:r>
              <w:rPr>
                <w:webHidden/>
              </w:rPr>
              <w:fldChar w:fldCharType="separate"/>
            </w:r>
            <w:r>
              <w:rPr>
                <w:webHidden/>
              </w:rPr>
              <w:t>12</w:t>
            </w:r>
            <w:r>
              <w:rPr>
                <w:webHidden/>
              </w:rPr>
              <w:fldChar w:fldCharType="end"/>
            </w:r>
          </w:hyperlink>
        </w:p>
        <w:p w14:paraId="49ABA109" w14:textId="08DD0329" w:rsidR="002E06CD" w:rsidRDefault="002E06CD">
          <w:pPr>
            <w:pStyle w:val="TOC1"/>
            <w:rPr>
              <w:rFonts w:asciiTheme="minorHAnsi" w:eastAsiaTheme="minorEastAsia" w:hAnsiTheme="minorHAnsi" w:cstheme="minorBidi"/>
              <w:caps w:val="0"/>
              <w:kern w:val="2"/>
              <w:sz w:val="24"/>
              <w:szCs w:val="24"/>
              <w:lang w:val="en-GB" w:eastAsia="en-GB"/>
              <w14:ligatures w14:val="standardContextual"/>
            </w:rPr>
          </w:pPr>
          <w:hyperlink w:anchor="_Toc198653932" w:history="1">
            <w:r w:rsidRPr="00C31352">
              <w:rPr>
                <w:rStyle w:val="Hyperlink"/>
                <w:rFonts w:cs="Arial"/>
              </w:rPr>
              <w:t>STATEMENT III: STATEMENT OF CHANGES IN NET ASSETS</w:t>
            </w:r>
            <w:r>
              <w:rPr>
                <w:webHidden/>
              </w:rPr>
              <w:tab/>
            </w:r>
            <w:r>
              <w:rPr>
                <w:webHidden/>
              </w:rPr>
              <w:fldChar w:fldCharType="begin"/>
            </w:r>
            <w:r>
              <w:rPr>
                <w:webHidden/>
              </w:rPr>
              <w:instrText xml:space="preserve"> PAGEREF _Toc198653932 \h </w:instrText>
            </w:r>
            <w:r>
              <w:rPr>
                <w:webHidden/>
              </w:rPr>
            </w:r>
            <w:r>
              <w:rPr>
                <w:webHidden/>
              </w:rPr>
              <w:fldChar w:fldCharType="separate"/>
            </w:r>
            <w:r>
              <w:rPr>
                <w:webHidden/>
              </w:rPr>
              <w:t>13</w:t>
            </w:r>
            <w:r>
              <w:rPr>
                <w:webHidden/>
              </w:rPr>
              <w:fldChar w:fldCharType="end"/>
            </w:r>
          </w:hyperlink>
        </w:p>
        <w:p w14:paraId="584DBC9F" w14:textId="14D69DF4" w:rsidR="002E06CD" w:rsidRDefault="002E06CD">
          <w:pPr>
            <w:pStyle w:val="TOC1"/>
            <w:rPr>
              <w:rFonts w:asciiTheme="minorHAnsi" w:eastAsiaTheme="minorEastAsia" w:hAnsiTheme="minorHAnsi" w:cstheme="minorBidi"/>
              <w:caps w:val="0"/>
              <w:kern w:val="2"/>
              <w:sz w:val="24"/>
              <w:szCs w:val="24"/>
              <w:lang w:val="en-GB" w:eastAsia="en-GB"/>
              <w14:ligatures w14:val="standardContextual"/>
            </w:rPr>
          </w:pPr>
          <w:hyperlink w:anchor="_Toc198653933" w:history="1">
            <w:r w:rsidRPr="00C31352">
              <w:rPr>
                <w:rStyle w:val="Hyperlink"/>
                <w:rFonts w:cs="Arial"/>
              </w:rPr>
              <w:t>Statement IV:  statement of cash flow</w:t>
            </w:r>
            <w:r>
              <w:rPr>
                <w:webHidden/>
              </w:rPr>
              <w:tab/>
            </w:r>
            <w:r>
              <w:rPr>
                <w:webHidden/>
              </w:rPr>
              <w:fldChar w:fldCharType="begin"/>
            </w:r>
            <w:r>
              <w:rPr>
                <w:webHidden/>
              </w:rPr>
              <w:instrText xml:space="preserve"> PAGEREF _Toc198653933 \h </w:instrText>
            </w:r>
            <w:r>
              <w:rPr>
                <w:webHidden/>
              </w:rPr>
            </w:r>
            <w:r>
              <w:rPr>
                <w:webHidden/>
              </w:rPr>
              <w:fldChar w:fldCharType="separate"/>
            </w:r>
            <w:r>
              <w:rPr>
                <w:webHidden/>
              </w:rPr>
              <w:t>14</w:t>
            </w:r>
            <w:r>
              <w:rPr>
                <w:webHidden/>
              </w:rPr>
              <w:fldChar w:fldCharType="end"/>
            </w:r>
          </w:hyperlink>
        </w:p>
        <w:p w14:paraId="3949FE3F" w14:textId="0E0C10D1" w:rsidR="002E06CD" w:rsidRDefault="002E06CD">
          <w:pPr>
            <w:pStyle w:val="TOC1"/>
            <w:rPr>
              <w:rFonts w:asciiTheme="minorHAnsi" w:eastAsiaTheme="minorEastAsia" w:hAnsiTheme="minorHAnsi" w:cstheme="minorBidi"/>
              <w:caps w:val="0"/>
              <w:kern w:val="2"/>
              <w:sz w:val="24"/>
              <w:szCs w:val="24"/>
              <w:lang w:val="en-GB" w:eastAsia="en-GB"/>
              <w14:ligatures w14:val="standardContextual"/>
            </w:rPr>
          </w:pPr>
          <w:hyperlink w:anchor="_Toc198653934" w:history="1">
            <w:r w:rsidRPr="00C31352">
              <w:rPr>
                <w:rStyle w:val="Hyperlink"/>
                <w:rFonts w:cs="Arial"/>
              </w:rPr>
              <w:t>STATEMENT V: STATEMENT OF COMPARISON OF BUDGET AND ACTUAL AMOUNTS</w:t>
            </w:r>
            <w:r>
              <w:rPr>
                <w:webHidden/>
              </w:rPr>
              <w:tab/>
            </w:r>
            <w:r>
              <w:rPr>
                <w:webHidden/>
              </w:rPr>
              <w:fldChar w:fldCharType="begin"/>
            </w:r>
            <w:r>
              <w:rPr>
                <w:webHidden/>
              </w:rPr>
              <w:instrText xml:space="preserve"> PAGEREF _Toc198653934 \h </w:instrText>
            </w:r>
            <w:r>
              <w:rPr>
                <w:webHidden/>
              </w:rPr>
            </w:r>
            <w:r>
              <w:rPr>
                <w:webHidden/>
              </w:rPr>
              <w:fldChar w:fldCharType="separate"/>
            </w:r>
            <w:r>
              <w:rPr>
                <w:webHidden/>
              </w:rPr>
              <w:t>15</w:t>
            </w:r>
            <w:r>
              <w:rPr>
                <w:webHidden/>
              </w:rPr>
              <w:fldChar w:fldCharType="end"/>
            </w:r>
          </w:hyperlink>
        </w:p>
        <w:p w14:paraId="66AB9299" w14:textId="4BC08FA8" w:rsidR="002E06CD" w:rsidRDefault="002E06CD">
          <w:pPr>
            <w:pStyle w:val="TOC1"/>
            <w:rPr>
              <w:rFonts w:asciiTheme="minorHAnsi" w:eastAsiaTheme="minorEastAsia" w:hAnsiTheme="minorHAnsi" w:cstheme="minorBidi"/>
              <w:caps w:val="0"/>
              <w:kern w:val="2"/>
              <w:sz w:val="24"/>
              <w:szCs w:val="24"/>
              <w:lang w:val="en-GB" w:eastAsia="en-GB"/>
              <w14:ligatures w14:val="standardContextual"/>
            </w:rPr>
          </w:pPr>
          <w:hyperlink w:anchor="_Toc198653935" w:history="1">
            <w:r w:rsidRPr="00C31352">
              <w:rPr>
                <w:rStyle w:val="Hyperlink"/>
                <w:rFonts w:cs="Arial"/>
              </w:rPr>
              <w:t>Notes to the financial statements</w:t>
            </w:r>
            <w:r>
              <w:rPr>
                <w:webHidden/>
              </w:rPr>
              <w:tab/>
            </w:r>
            <w:r>
              <w:rPr>
                <w:webHidden/>
              </w:rPr>
              <w:fldChar w:fldCharType="begin"/>
            </w:r>
            <w:r>
              <w:rPr>
                <w:webHidden/>
              </w:rPr>
              <w:instrText xml:space="preserve"> PAGEREF _Toc198653935 \h </w:instrText>
            </w:r>
            <w:r>
              <w:rPr>
                <w:webHidden/>
              </w:rPr>
            </w:r>
            <w:r>
              <w:rPr>
                <w:webHidden/>
              </w:rPr>
              <w:fldChar w:fldCharType="separate"/>
            </w:r>
            <w:r>
              <w:rPr>
                <w:webHidden/>
              </w:rPr>
              <w:t>16</w:t>
            </w:r>
            <w:r>
              <w:rPr>
                <w:webHidden/>
              </w:rPr>
              <w:fldChar w:fldCharType="end"/>
            </w:r>
          </w:hyperlink>
        </w:p>
        <w:p w14:paraId="5F23DE02" w14:textId="2BD83BE3" w:rsidR="002E06CD" w:rsidRDefault="002E06CD" w:rsidP="001343BA">
          <w:pPr>
            <w:pStyle w:val="TOC2"/>
            <w:rPr>
              <w:rFonts w:asciiTheme="minorHAnsi" w:eastAsiaTheme="minorEastAsia" w:hAnsiTheme="minorHAnsi" w:cstheme="minorBidi"/>
              <w:kern w:val="2"/>
              <w:sz w:val="24"/>
              <w:szCs w:val="24"/>
              <w:lang w:val="en-GB" w:eastAsia="en-GB"/>
              <w14:ligatures w14:val="standardContextual"/>
            </w:rPr>
          </w:pPr>
          <w:hyperlink w:anchor="_Toc198653936" w:history="1">
            <w:r w:rsidRPr="00C31352">
              <w:rPr>
                <w:rStyle w:val="Hyperlink"/>
                <w:rFonts w:cs="Arial"/>
              </w:rPr>
              <w:t>Note 1:</w:t>
            </w:r>
            <w:r>
              <w:rPr>
                <w:rFonts w:asciiTheme="minorHAnsi" w:eastAsiaTheme="minorEastAsia" w:hAnsiTheme="minorHAnsi" w:cstheme="minorBidi"/>
                <w:kern w:val="2"/>
                <w:sz w:val="24"/>
                <w:szCs w:val="24"/>
                <w:lang w:val="en-GB" w:eastAsia="en-GB"/>
                <w14:ligatures w14:val="standardContextual"/>
              </w:rPr>
              <w:tab/>
            </w:r>
            <w:r w:rsidRPr="00C31352">
              <w:rPr>
                <w:rStyle w:val="Hyperlink"/>
                <w:rFonts w:cs="Arial"/>
              </w:rPr>
              <w:t>Objectives, governance and budget of UPOV</w:t>
            </w:r>
            <w:r>
              <w:rPr>
                <w:webHidden/>
              </w:rPr>
              <w:tab/>
            </w:r>
            <w:r>
              <w:rPr>
                <w:webHidden/>
              </w:rPr>
              <w:fldChar w:fldCharType="begin"/>
            </w:r>
            <w:r>
              <w:rPr>
                <w:webHidden/>
              </w:rPr>
              <w:instrText xml:space="preserve"> PAGEREF _Toc198653936 \h </w:instrText>
            </w:r>
            <w:r>
              <w:rPr>
                <w:webHidden/>
              </w:rPr>
            </w:r>
            <w:r>
              <w:rPr>
                <w:webHidden/>
              </w:rPr>
              <w:fldChar w:fldCharType="separate"/>
            </w:r>
            <w:r>
              <w:rPr>
                <w:webHidden/>
              </w:rPr>
              <w:t>16</w:t>
            </w:r>
            <w:r>
              <w:rPr>
                <w:webHidden/>
              </w:rPr>
              <w:fldChar w:fldCharType="end"/>
            </w:r>
          </w:hyperlink>
        </w:p>
        <w:p w14:paraId="7E08D82D" w14:textId="3BC303AD" w:rsidR="002E06CD" w:rsidRDefault="002E06CD" w:rsidP="001343BA">
          <w:pPr>
            <w:pStyle w:val="TOC2"/>
            <w:rPr>
              <w:rFonts w:asciiTheme="minorHAnsi" w:eastAsiaTheme="minorEastAsia" w:hAnsiTheme="minorHAnsi" w:cstheme="minorBidi"/>
              <w:kern w:val="2"/>
              <w:sz w:val="24"/>
              <w:szCs w:val="24"/>
              <w:lang w:val="en-GB" w:eastAsia="en-GB"/>
              <w14:ligatures w14:val="standardContextual"/>
            </w:rPr>
          </w:pPr>
          <w:hyperlink w:anchor="_Toc198653937" w:history="1">
            <w:r w:rsidRPr="00C31352">
              <w:rPr>
                <w:rStyle w:val="Hyperlink"/>
                <w:rFonts w:cs="Arial"/>
              </w:rPr>
              <w:t>Note 2:</w:t>
            </w:r>
            <w:r>
              <w:rPr>
                <w:rFonts w:asciiTheme="minorHAnsi" w:eastAsiaTheme="minorEastAsia" w:hAnsiTheme="minorHAnsi" w:cstheme="minorBidi"/>
                <w:kern w:val="2"/>
                <w:sz w:val="24"/>
                <w:szCs w:val="24"/>
                <w:lang w:val="en-GB" w:eastAsia="en-GB"/>
                <w14:ligatures w14:val="standardContextual"/>
              </w:rPr>
              <w:tab/>
            </w:r>
            <w:r w:rsidRPr="00C31352">
              <w:rPr>
                <w:rStyle w:val="Hyperlink"/>
                <w:rFonts w:cs="Arial"/>
              </w:rPr>
              <w:t>Significant accounting policies</w:t>
            </w:r>
            <w:r>
              <w:rPr>
                <w:webHidden/>
              </w:rPr>
              <w:tab/>
            </w:r>
            <w:r>
              <w:rPr>
                <w:webHidden/>
              </w:rPr>
              <w:fldChar w:fldCharType="begin"/>
            </w:r>
            <w:r>
              <w:rPr>
                <w:webHidden/>
              </w:rPr>
              <w:instrText xml:space="preserve"> PAGEREF _Toc198653937 \h </w:instrText>
            </w:r>
            <w:r>
              <w:rPr>
                <w:webHidden/>
              </w:rPr>
            </w:r>
            <w:r>
              <w:rPr>
                <w:webHidden/>
              </w:rPr>
              <w:fldChar w:fldCharType="separate"/>
            </w:r>
            <w:r>
              <w:rPr>
                <w:webHidden/>
              </w:rPr>
              <w:t>17</w:t>
            </w:r>
            <w:r>
              <w:rPr>
                <w:webHidden/>
              </w:rPr>
              <w:fldChar w:fldCharType="end"/>
            </w:r>
          </w:hyperlink>
        </w:p>
        <w:p w14:paraId="345A344E" w14:textId="011B1FD5" w:rsidR="002E06CD" w:rsidRDefault="002E06CD" w:rsidP="001343BA">
          <w:pPr>
            <w:pStyle w:val="TOC2"/>
            <w:rPr>
              <w:rFonts w:asciiTheme="minorHAnsi" w:eastAsiaTheme="minorEastAsia" w:hAnsiTheme="minorHAnsi" w:cstheme="minorBidi"/>
              <w:kern w:val="2"/>
              <w:sz w:val="24"/>
              <w:szCs w:val="24"/>
              <w:lang w:val="en-GB" w:eastAsia="en-GB"/>
              <w14:ligatures w14:val="standardContextual"/>
            </w:rPr>
          </w:pPr>
          <w:hyperlink w:anchor="_Toc198653938" w:history="1">
            <w:r w:rsidRPr="00C31352">
              <w:rPr>
                <w:rStyle w:val="Hyperlink"/>
                <w:rFonts w:cs="Arial"/>
              </w:rPr>
              <w:t>Note 3:</w:t>
            </w:r>
            <w:r>
              <w:rPr>
                <w:rFonts w:asciiTheme="minorHAnsi" w:eastAsiaTheme="minorEastAsia" w:hAnsiTheme="minorHAnsi" w:cstheme="minorBidi"/>
                <w:kern w:val="2"/>
                <w:sz w:val="24"/>
                <w:szCs w:val="24"/>
                <w:lang w:val="en-GB" w:eastAsia="en-GB"/>
                <w14:ligatures w14:val="standardContextual"/>
              </w:rPr>
              <w:tab/>
            </w:r>
            <w:r w:rsidRPr="00C31352">
              <w:rPr>
                <w:rStyle w:val="Hyperlink"/>
                <w:rFonts w:cs="Arial"/>
              </w:rPr>
              <w:t>Cash and cash equivalents</w:t>
            </w:r>
            <w:r>
              <w:rPr>
                <w:webHidden/>
              </w:rPr>
              <w:tab/>
            </w:r>
            <w:r>
              <w:rPr>
                <w:webHidden/>
              </w:rPr>
              <w:fldChar w:fldCharType="begin"/>
            </w:r>
            <w:r>
              <w:rPr>
                <w:webHidden/>
              </w:rPr>
              <w:instrText xml:space="preserve"> PAGEREF _Toc198653938 \h </w:instrText>
            </w:r>
            <w:r>
              <w:rPr>
                <w:webHidden/>
              </w:rPr>
            </w:r>
            <w:r>
              <w:rPr>
                <w:webHidden/>
              </w:rPr>
              <w:fldChar w:fldCharType="separate"/>
            </w:r>
            <w:r>
              <w:rPr>
                <w:webHidden/>
              </w:rPr>
              <w:t>19</w:t>
            </w:r>
            <w:r>
              <w:rPr>
                <w:webHidden/>
              </w:rPr>
              <w:fldChar w:fldCharType="end"/>
            </w:r>
          </w:hyperlink>
        </w:p>
        <w:p w14:paraId="039554DA" w14:textId="2C0B621D" w:rsidR="002E06CD" w:rsidRDefault="002E06CD" w:rsidP="001343BA">
          <w:pPr>
            <w:pStyle w:val="TOC2"/>
            <w:rPr>
              <w:rFonts w:asciiTheme="minorHAnsi" w:eastAsiaTheme="minorEastAsia" w:hAnsiTheme="minorHAnsi" w:cstheme="minorBidi"/>
              <w:kern w:val="2"/>
              <w:sz w:val="24"/>
              <w:szCs w:val="24"/>
              <w:lang w:val="en-GB" w:eastAsia="en-GB"/>
              <w14:ligatures w14:val="standardContextual"/>
            </w:rPr>
          </w:pPr>
          <w:hyperlink w:anchor="_Toc198653939" w:history="1">
            <w:r w:rsidRPr="00C31352">
              <w:rPr>
                <w:rStyle w:val="Hyperlink"/>
                <w:rFonts w:cs="Arial"/>
              </w:rPr>
              <w:t>Note 4:</w:t>
            </w:r>
            <w:r>
              <w:rPr>
                <w:rFonts w:asciiTheme="minorHAnsi" w:eastAsiaTheme="minorEastAsia" w:hAnsiTheme="minorHAnsi" w:cstheme="minorBidi"/>
                <w:kern w:val="2"/>
                <w:sz w:val="24"/>
                <w:szCs w:val="24"/>
                <w:lang w:val="en-GB" w:eastAsia="en-GB"/>
                <w14:ligatures w14:val="standardContextual"/>
              </w:rPr>
              <w:tab/>
            </w:r>
            <w:r w:rsidRPr="00C31352">
              <w:rPr>
                <w:rStyle w:val="Hyperlink"/>
                <w:rFonts w:cs="Arial"/>
              </w:rPr>
              <w:t>Accounts receivable</w:t>
            </w:r>
            <w:r>
              <w:rPr>
                <w:webHidden/>
              </w:rPr>
              <w:tab/>
            </w:r>
            <w:r>
              <w:rPr>
                <w:webHidden/>
              </w:rPr>
              <w:fldChar w:fldCharType="begin"/>
            </w:r>
            <w:r>
              <w:rPr>
                <w:webHidden/>
              </w:rPr>
              <w:instrText xml:space="preserve"> PAGEREF _Toc198653939 \h </w:instrText>
            </w:r>
            <w:r>
              <w:rPr>
                <w:webHidden/>
              </w:rPr>
            </w:r>
            <w:r>
              <w:rPr>
                <w:webHidden/>
              </w:rPr>
              <w:fldChar w:fldCharType="separate"/>
            </w:r>
            <w:r>
              <w:rPr>
                <w:webHidden/>
              </w:rPr>
              <w:t>20</w:t>
            </w:r>
            <w:r>
              <w:rPr>
                <w:webHidden/>
              </w:rPr>
              <w:fldChar w:fldCharType="end"/>
            </w:r>
          </w:hyperlink>
        </w:p>
        <w:p w14:paraId="12E4F1BC" w14:textId="1C33F1C1" w:rsidR="002E06CD" w:rsidRDefault="002E06CD" w:rsidP="001343BA">
          <w:pPr>
            <w:pStyle w:val="TOC2"/>
            <w:rPr>
              <w:rFonts w:asciiTheme="minorHAnsi" w:eastAsiaTheme="minorEastAsia" w:hAnsiTheme="minorHAnsi" w:cstheme="minorBidi"/>
              <w:kern w:val="2"/>
              <w:sz w:val="24"/>
              <w:szCs w:val="24"/>
              <w:lang w:val="en-GB" w:eastAsia="en-GB"/>
              <w14:ligatures w14:val="standardContextual"/>
            </w:rPr>
          </w:pPr>
          <w:hyperlink w:anchor="_Toc198653940" w:history="1">
            <w:r w:rsidRPr="00C31352">
              <w:rPr>
                <w:rStyle w:val="Hyperlink"/>
                <w:rFonts w:cs="Arial"/>
              </w:rPr>
              <w:t>Note 5:</w:t>
            </w:r>
            <w:r>
              <w:rPr>
                <w:rFonts w:asciiTheme="minorHAnsi" w:eastAsiaTheme="minorEastAsia" w:hAnsiTheme="minorHAnsi" w:cstheme="minorBidi"/>
                <w:kern w:val="2"/>
                <w:sz w:val="24"/>
                <w:szCs w:val="24"/>
                <w:lang w:val="en-GB" w:eastAsia="en-GB"/>
                <w14:ligatures w14:val="standardContextual"/>
              </w:rPr>
              <w:tab/>
            </w:r>
            <w:r w:rsidRPr="00C31352">
              <w:rPr>
                <w:rStyle w:val="Hyperlink"/>
                <w:rFonts w:cs="Arial"/>
              </w:rPr>
              <w:t>Employee benefits</w:t>
            </w:r>
            <w:r>
              <w:rPr>
                <w:webHidden/>
              </w:rPr>
              <w:tab/>
            </w:r>
            <w:r>
              <w:rPr>
                <w:webHidden/>
              </w:rPr>
              <w:fldChar w:fldCharType="begin"/>
            </w:r>
            <w:r>
              <w:rPr>
                <w:webHidden/>
              </w:rPr>
              <w:instrText xml:space="preserve"> PAGEREF _Toc198653940 \h </w:instrText>
            </w:r>
            <w:r>
              <w:rPr>
                <w:webHidden/>
              </w:rPr>
            </w:r>
            <w:r>
              <w:rPr>
                <w:webHidden/>
              </w:rPr>
              <w:fldChar w:fldCharType="separate"/>
            </w:r>
            <w:r>
              <w:rPr>
                <w:webHidden/>
              </w:rPr>
              <w:t>21</w:t>
            </w:r>
            <w:r>
              <w:rPr>
                <w:webHidden/>
              </w:rPr>
              <w:fldChar w:fldCharType="end"/>
            </w:r>
          </w:hyperlink>
        </w:p>
        <w:p w14:paraId="741A7829" w14:textId="11B0A8B0" w:rsidR="002E06CD" w:rsidRDefault="002E06CD" w:rsidP="001343BA">
          <w:pPr>
            <w:pStyle w:val="TOC2"/>
            <w:rPr>
              <w:rFonts w:asciiTheme="minorHAnsi" w:eastAsiaTheme="minorEastAsia" w:hAnsiTheme="minorHAnsi" w:cstheme="minorBidi"/>
              <w:kern w:val="2"/>
              <w:sz w:val="24"/>
              <w:szCs w:val="24"/>
              <w:lang w:val="en-GB" w:eastAsia="en-GB"/>
              <w14:ligatures w14:val="standardContextual"/>
            </w:rPr>
          </w:pPr>
          <w:hyperlink w:anchor="_Toc198653941" w:history="1">
            <w:r w:rsidRPr="00C31352">
              <w:rPr>
                <w:rStyle w:val="Hyperlink"/>
                <w:rFonts w:cs="Arial"/>
              </w:rPr>
              <w:t>Note 6:</w:t>
            </w:r>
            <w:r>
              <w:rPr>
                <w:rFonts w:asciiTheme="minorHAnsi" w:eastAsiaTheme="minorEastAsia" w:hAnsiTheme="minorHAnsi" w:cstheme="minorBidi"/>
                <w:kern w:val="2"/>
                <w:sz w:val="24"/>
                <w:szCs w:val="24"/>
                <w:lang w:val="en-GB" w:eastAsia="en-GB"/>
                <w14:ligatures w14:val="standardContextual"/>
              </w:rPr>
              <w:tab/>
            </w:r>
            <w:r w:rsidRPr="00C31352">
              <w:rPr>
                <w:rStyle w:val="Hyperlink"/>
                <w:rFonts w:cs="Arial"/>
              </w:rPr>
              <w:t>Advance receipts</w:t>
            </w:r>
            <w:r>
              <w:rPr>
                <w:webHidden/>
              </w:rPr>
              <w:tab/>
            </w:r>
            <w:r>
              <w:rPr>
                <w:webHidden/>
              </w:rPr>
              <w:fldChar w:fldCharType="begin"/>
            </w:r>
            <w:r>
              <w:rPr>
                <w:webHidden/>
              </w:rPr>
              <w:instrText xml:space="preserve"> PAGEREF _Toc198653941 \h </w:instrText>
            </w:r>
            <w:r>
              <w:rPr>
                <w:webHidden/>
              </w:rPr>
            </w:r>
            <w:r>
              <w:rPr>
                <w:webHidden/>
              </w:rPr>
              <w:fldChar w:fldCharType="separate"/>
            </w:r>
            <w:r>
              <w:rPr>
                <w:webHidden/>
              </w:rPr>
              <w:t>25</w:t>
            </w:r>
            <w:r>
              <w:rPr>
                <w:webHidden/>
              </w:rPr>
              <w:fldChar w:fldCharType="end"/>
            </w:r>
          </w:hyperlink>
        </w:p>
        <w:p w14:paraId="3680A5F2" w14:textId="0246B932" w:rsidR="002E06CD" w:rsidRDefault="002E06CD" w:rsidP="001343BA">
          <w:pPr>
            <w:pStyle w:val="TOC2"/>
            <w:rPr>
              <w:rFonts w:asciiTheme="minorHAnsi" w:eastAsiaTheme="minorEastAsia" w:hAnsiTheme="minorHAnsi" w:cstheme="minorBidi"/>
              <w:kern w:val="2"/>
              <w:sz w:val="24"/>
              <w:szCs w:val="24"/>
              <w:lang w:val="en-GB" w:eastAsia="en-GB"/>
              <w14:ligatures w14:val="standardContextual"/>
            </w:rPr>
          </w:pPr>
          <w:hyperlink w:anchor="_Toc198653942" w:history="1">
            <w:r w:rsidRPr="00C31352">
              <w:rPr>
                <w:rStyle w:val="Hyperlink"/>
                <w:rFonts w:cs="Arial"/>
              </w:rPr>
              <w:t>Note 7:</w:t>
            </w:r>
            <w:r>
              <w:rPr>
                <w:rFonts w:asciiTheme="minorHAnsi" w:eastAsiaTheme="minorEastAsia" w:hAnsiTheme="minorHAnsi" w:cstheme="minorBidi"/>
                <w:kern w:val="2"/>
                <w:sz w:val="24"/>
                <w:szCs w:val="24"/>
                <w:lang w:val="en-GB" w:eastAsia="en-GB"/>
                <w14:ligatures w14:val="standardContextual"/>
              </w:rPr>
              <w:tab/>
            </w:r>
            <w:r w:rsidRPr="00C31352">
              <w:rPr>
                <w:rStyle w:val="Hyperlink"/>
                <w:rFonts w:cs="Arial"/>
              </w:rPr>
              <w:t>Other current liabilities</w:t>
            </w:r>
            <w:r>
              <w:rPr>
                <w:webHidden/>
              </w:rPr>
              <w:tab/>
            </w:r>
            <w:r>
              <w:rPr>
                <w:webHidden/>
              </w:rPr>
              <w:fldChar w:fldCharType="begin"/>
            </w:r>
            <w:r>
              <w:rPr>
                <w:webHidden/>
              </w:rPr>
              <w:instrText xml:space="preserve"> PAGEREF _Toc198653942 \h </w:instrText>
            </w:r>
            <w:r>
              <w:rPr>
                <w:webHidden/>
              </w:rPr>
            </w:r>
            <w:r>
              <w:rPr>
                <w:webHidden/>
              </w:rPr>
              <w:fldChar w:fldCharType="separate"/>
            </w:r>
            <w:r>
              <w:rPr>
                <w:webHidden/>
              </w:rPr>
              <w:t>25</w:t>
            </w:r>
            <w:r>
              <w:rPr>
                <w:webHidden/>
              </w:rPr>
              <w:fldChar w:fldCharType="end"/>
            </w:r>
          </w:hyperlink>
        </w:p>
        <w:p w14:paraId="006B01DF" w14:textId="5A4E5807" w:rsidR="002E06CD" w:rsidRDefault="002E06CD" w:rsidP="001343BA">
          <w:pPr>
            <w:pStyle w:val="TOC2"/>
            <w:rPr>
              <w:rFonts w:asciiTheme="minorHAnsi" w:eastAsiaTheme="minorEastAsia" w:hAnsiTheme="minorHAnsi" w:cstheme="minorBidi"/>
              <w:kern w:val="2"/>
              <w:sz w:val="24"/>
              <w:szCs w:val="24"/>
              <w:lang w:val="en-GB" w:eastAsia="en-GB"/>
              <w14:ligatures w14:val="standardContextual"/>
            </w:rPr>
          </w:pPr>
          <w:hyperlink w:anchor="_Toc198653943" w:history="1">
            <w:r w:rsidRPr="00C31352">
              <w:rPr>
                <w:rStyle w:val="Hyperlink"/>
              </w:rPr>
              <w:t>Note 8:</w:t>
            </w:r>
            <w:r>
              <w:rPr>
                <w:rFonts w:asciiTheme="minorHAnsi" w:eastAsiaTheme="minorEastAsia" w:hAnsiTheme="minorHAnsi" w:cstheme="minorBidi"/>
                <w:kern w:val="2"/>
                <w:sz w:val="24"/>
                <w:szCs w:val="24"/>
                <w:lang w:val="en-GB" w:eastAsia="en-GB"/>
                <w14:ligatures w14:val="standardContextual"/>
              </w:rPr>
              <w:tab/>
            </w:r>
            <w:r w:rsidRPr="00C31352">
              <w:rPr>
                <w:rStyle w:val="Hyperlink"/>
              </w:rPr>
              <w:t>Contingent liabilities</w:t>
            </w:r>
            <w:r>
              <w:rPr>
                <w:webHidden/>
              </w:rPr>
              <w:tab/>
            </w:r>
            <w:r>
              <w:rPr>
                <w:webHidden/>
              </w:rPr>
              <w:fldChar w:fldCharType="begin"/>
            </w:r>
            <w:r>
              <w:rPr>
                <w:webHidden/>
              </w:rPr>
              <w:instrText xml:space="preserve"> PAGEREF _Toc198653943 \h </w:instrText>
            </w:r>
            <w:r>
              <w:rPr>
                <w:webHidden/>
              </w:rPr>
            </w:r>
            <w:r>
              <w:rPr>
                <w:webHidden/>
              </w:rPr>
              <w:fldChar w:fldCharType="separate"/>
            </w:r>
            <w:r>
              <w:rPr>
                <w:webHidden/>
              </w:rPr>
              <w:t>25</w:t>
            </w:r>
            <w:r>
              <w:rPr>
                <w:webHidden/>
              </w:rPr>
              <w:fldChar w:fldCharType="end"/>
            </w:r>
          </w:hyperlink>
        </w:p>
        <w:p w14:paraId="24336A08" w14:textId="727E304C" w:rsidR="002E06CD" w:rsidRDefault="002E06CD" w:rsidP="001343BA">
          <w:pPr>
            <w:pStyle w:val="TOC2"/>
            <w:rPr>
              <w:rFonts w:asciiTheme="minorHAnsi" w:eastAsiaTheme="minorEastAsia" w:hAnsiTheme="minorHAnsi" w:cstheme="minorBidi"/>
              <w:kern w:val="2"/>
              <w:sz w:val="24"/>
              <w:szCs w:val="24"/>
              <w:lang w:val="en-GB" w:eastAsia="en-GB"/>
              <w14:ligatures w14:val="standardContextual"/>
            </w:rPr>
          </w:pPr>
          <w:hyperlink w:anchor="_Toc198653944" w:history="1">
            <w:r w:rsidRPr="00C31352">
              <w:rPr>
                <w:rStyle w:val="Hyperlink"/>
                <w:rFonts w:cs="Arial"/>
              </w:rPr>
              <w:t>Note 9:</w:t>
            </w:r>
            <w:r>
              <w:rPr>
                <w:rFonts w:asciiTheme="minorHAnsi" w:eastAsiaTheme="minorEastAsia" w:hAnsiTheme="minorHAnsi" w:cstheme="minorBidi"/>
                <w:kern w:val="2"/>
                <w:sz w:val="24"/>
                <w:szCs w:val="24"/>
                <w:lang w:val="en-GB" w:eastAsia="en-GB"/>
                <w14:ligatures w14:val="standardContextual"/>
              </w:rPr>
              <w:tab/>
            </w:r>
            <w:r w:rsidRPr="00C31352">
              <w:rPr>
                <w:rStyle w:val="Hyperlink"/>
                <w:rFonts w:cs="Arial"/>
              </w:rPr>
              <w:t>Related party transactions</w:t>
            </w:r>
            <w:r>
              <w:rPr>
                <w:webHidden/>
              </w:rPr>
              <w:tab/>
            </w:r>
            <w:r>
              <w:rPr>
                <w:webHidden/>
              </w:rPr>
              <w:fldChar w:fldCharType="begin"/>
            </w:r>
            <w:r>
              <w:rPr>
                <w:webHidden/>
              </w:rPr>
              <w:instrText xml:space="preserve"> PAGEREF _Toc198653944 \h </w:instrText>
            </w:r>
            <w:r>
              <w:rPr>
                <w:webHidden/>
              </w:rPr>
            </w:r>
            <w:r>
              <w:rPr>
                <w:webHidden/>
              </w:rPr>
              <w:fldChar w:fldCharType="separate"/>
            </w:r>
            <w:r>
              <w:rPr>
                <w:webHidden/>
              </w:rPr>
              <w:t>26</w:t>
            </w:r>
            <w:r>
              <w:rPr>
                <w:webHidden/>
              </w:rPr>
              <w:fldChar w:fldCharType="end"/>
            </w:r>
          </w:hyperlink>
        </w:p>
        <w:p w14:paraId="63777A37" w14:textId="240D1E4A" w:rsidR="002E06CD" w:rsidRDefault="002E06CD" w:rsidP="001343BA">
          <w:pPr>
            <w:pStyle w:val="TOC2"/>
            <w:rPr>
              <w:rFonts w:asciiTheme="minorHAnsi" w:eastAsiaTheme="minorEastAsia" w:hAnsiTheme="minorHAnsi" w:cstheme="minorBidi"/>
              <w:kern w:val="2"/>
              <w:sz w:val="24"/>
              <w:szCs w:val="24"/>
              <w:lang w:val="en-GB" w:eastAsia="en-GB"/>
              <w14:ligatures w14:val="standardContextual"/>
            </w:rPr>
          </w:pPr>
          <w:hyperlink w:anchor="_Toc198653945" w:history="1">
            <w:r w:rsidRPr="00C31352">
              <w:rPr>
                <w:rStyle w:val="Hyperlink"/>
                <w:rFonts w:cs="Arial"/>
              </w:rPr>
              <w:t>Note 10:</w:t>
            </w:r>
            <w:r>
              <w:rPr>
                <w:rFonts w:asciiTheme="minorHAnsi" w:eastAsiaTheme="minorEastAsia" w:hAnsiTheme="minorHAnsi" w:cstheme="minorBidi"/>
                <w:kern w:val="2"/>
                <w:sz w:val="24"/>
                <w:szCs w:val="24"/>
                <w:lang w:val="en-GB" w:eastAsia="en-GB"/>
                <w14:ligatures w14:val="standardContextual"/>
              </w:rPr>
              <w:tab/>
            </w:r>
            <w:r w:rsidRPr="00C31352">
              <w:rPr>
                <w:rStyle w:val="Hyperlink"/>
                <w:rFonts w:cs="Arial"/>
              </w:rPr>
              <w:t>Net assets</w:t>
            </w:r>
            <w:r>
              <w:rPr>
                <w:webHidden/>
              </w:rPr>
              <w:tab/>
            </w:r>
            <w:r>
              <w:rPr>
                <w:webHidden/>
              </w:rPr>
              <w:fldChar w:fldCharType="begin"/>
            </w:r>
            <w:r>
              <w:rPr>
                <w:webHidden/>
              </w:rPr>
              <w:instrText xml:space="preserve"> PAGEREF _Toc198653945 \h </w:instrText>
            </w:r>
            <w:r>
              <w:rPr>
                <w:webHidden/>
              </w:rPr>
            </w:r>
            <w:r>
              <w:rPr>
                <w:webHidden/>
              </w:rPr>
              <w:fldChar w:fldCharType="separate"/>
            </w:r>
            <w:r>
              <w:rPr>
                <w:webHidden/>
              </w:rPr>
              <w:t>27</w:t>
            </w:r>
            <w:r>
              <w:rPr>
                <w:webHidden/>
              </w:rPr>
              <w:fldChar w:fldCharType="end"/>
            </w:r>
          </w:hyperlink>
        </w:p>
        <w:p w14:paraId="799875FE" w14:textId="378D164E" w:rsidR="002E06CD" w:rsidRDefault="002E06CD" w:rsidP="001343BA">
          <w:pPr>
            <w:pStyle w:val="TOC2"/>
            <w:rPr>
              <w:rFonts w:asciiTheme="minorHAnsi" w:eastAsiaTheme="minorEastAsia" w:hAnsiTheme="minorHAnsi" w:cstheme="minorBidi"/>
              <w:kern w:val="2"/>
              <w:sz w:val="24"/>
              <w:szCs w:val="24"/>
              <w:lang w:val="en-GB" w:eastAsia="en-GB"/>
              <w14:ligatures w14:val="standardContextual"/>
            </w:rPr>
          </w:pPr>
          <w:hyperlink w:anchor="_Toc198653946" w:history="1">
            <w:r w:rsidRPr="00C31352">
              <w:rPr>
                <w:rStyle w:val="Hyperlink"/>
                <w:rFonts w:cs="Arial"/>
              </w:rPr>
              <w:t>Note 11:</w:t>
            </w:r>
            <w:r>
              <w:rPr>
                <w:rFonts w:asciiTheme="minorHAnsi" w:eastAsiaTheme="minorEastAsia" w:hAnsiTheme="minorHAnsi" w:cstheme="minorBidi"/>
                <w:kern w:val="2"/>
                <w:sz w:val="24"/>
                <w:szCs w:val="24"/>
                <w:lang w:val="en-GB" w:eastAsia="en-GB"/>
                <w14:ligatures w14:val="standardContextual"/>
              </w:rPr>
              <w:tab/>
            </w:r>
            <w:r w:rsidRPr="00C31352">
              <w:rPr>
                <w:rStyle w:val="Hyperlink"/>
                <w:rFonts w:cs="Arial"/>
              </w:rPr>
              <w:t>Reconciliation of Statement of budgetary comparison (Statement V) and Statement of financial performance (Statement II)</w:t>
            </w:r>
            <w:r>
              <w:rPr>
                <w:webHidden/>
              </w:rPr>
              <w:tab/>
            </w:r>
            <w:r>
              <w:rPr>
                <w:webHidden/>
              </w:rPr>
              <w:fldChar w:fldCharType="begin"/>
            </w:r>
            <w:r>
              <w:rPr>
                <w:webHidden/>
              </w:rPr>
              <w:instrText xml:space="preserve"> PAGEREF _Toc198653946 \h </w:instrText>
            </w:r>
            <w:r>
              <w:rPr>
                <w:webHidden/>
              </w:rPr>
            </w:r>
            <w:r>
              <w:rPr>
                <w:webHidden/>
              </w:rPr>
              <w:fldChar w:fldCharType="separate"/>
            </w:r>
            <w:r>
              <w:rPr>
                <w:webHidden/>
              </w:rPr>
              <w:t>28</w:t>
            </w:r>
            <w:r>
              <w:rPr>
                <w:webHidden/>
              </w:rPr>
              <w:fldChar w:fldCharType="end"/>
            </w:r>
          </w:hyperlink>
        </w:p>
        <w:p w14:paraId="68F389E8" w14:textId="39E2BE16" w:rsidR="002E06CD" w:rsidRDefault="002E06CD" w:rsidP="001343BA">
          <w:pPr>
            <w:pStyle w:val="TOC2"/>
            <w:rPr>
              <w:rFonts w:asciiTheme="minorHAnsi" w:eastAsiaTheme="minorEastAsia" w:hAnsiTheme="minorHAnsi" w:cstheme="minorBidi"/>
              <w:kern w:val="2"/>
              <w:sz w:val="24"/>
              <w:szCs w:val="24"/>
              <w:lang w:val="en-GB" w:eastAsia="en-GB"/>
              <w14:ligatures w14:val="standardContextual"/>
            </w:rPr>
          </w:pPr>
          <w:hyperlink w:anchor="_Toc198653947" w:history="1">
            <w:r w:rsidRPr="00C31352">
              <w:rPr>
                <w:rStyle w:val="Hyperlink"/>
                <w:rFonts w:cs="Arial"/>
              </w:rPr>
              <w:t>Note 12:</w:t>
            </w:r>
            <w:r>
              <w:rPr>
                <w:rFonts w:asciiTheme="minorHAnsi" w:eastAsiaTheme="minorEastAsia" w:hAnsiTheme="minorHAnsi" w:cstheme="minorBidi"/>
                <w:kern w:val="2"/>
                <w:sz w:val="24"/>
                <w:szCs w:val="24"/>
                <w:lang w:val="en-GB" w:eastAsia="en-GB"/>
                <w14:ligatures w14:val="standardContextual"/>
              </w:rPr>
              <w:tab/>
            </w:r>
            <w:r w:rsidRPr="00C31352">
              <w:rPr>
                <w:rStyle w:val="Hyperlink"/>
                <w:rFonts w:cs="Arial"/>
              </w:rPr>
              <w:t>Revenue</w:t>
            </w:r>
            <w:r>
              <w:rPr>
                <w:webHidden/>
              </w:rPr>
              <w:tab/>
            </w:r>
            <w:r>
              <w:rPr>
                <w:webHidden/>
              </w:rPr>
              <w:fldChar w:fldCharType="begin"/>
            </w:r>
            <w:r>
              <w:rPr>
                <w:webHidden/>
              </w:rPr>
              <w:instrText xml:space="preserve"> PAGEREF _Toc198653947 \h </w:instrText>
            </w:r>
            <w:r>
              <w:rPr>
                <w:webHidden/>
              </w:rPr>
            </w:r>
            <w:r>
              <w:rPr>
                <w:webHidden/>
              </w:rPr>
              <w:fldChar w:fldCharType="separate"/>
            </w:r>
            <w:r>
              <w:rPr>
                <w:webHidden/>
              </w:rPr>
              <w:t>29</w:t>
            </w:r>
            <w:r>
              <w:rPr>
                <w:webHidden/>
              </w:rPr>
              <w:fldChar w:fldCharType="end"/>
            </w:r>
          </w:hyperlink>
        </w:p>
        <w:p w14:paraId="61FE7434" w14:textId="155CB383" w:rsidR="002E06CD" w:rsidRDefault="002E06CD" w:rsidP="001343BA">
          <w:pPr>
            <w:pStyle w:val="TOC2"/>
            <w:rPr>
              <w:rFonts w:asciiTheme="minorHAnsi" w:eastAsiaTheme="minorEastAsia" w:hAnsiTheme="minorHAnsi" w:cstheme="minorBidi"/>
              <w:kern w:val="2"/>
              <w:sz w:val="24"/>
              <w:szCs w:val="24"/>
              <w:lang w:val="en-GB" w:eastAsia="en-GB"/>
              <w14:ligatures w14:val="standardContextual"/>
            </w:rPr>
          </w:pPr>
          <w:hyperlink w:anchor="_Toc198653948" w:history="1">
            <w:r w:rsidRPr="00C31352">
              <w:rPr>
                <w:rStyle w:val="Hyperlink"/>
                <w:rFonts w:cs="Arial"/>
              </w:rPr>
              <w:t>Note 13:</w:t>
            </w:r>
            <w:r>
              <w:rPr>
                <w:rFonts w:asciiTheme="minorHAnsi" w:eastAsiaTheme="minorEastAsia" w:hAnsiTheme="minorHAnsi" w:cstheme="minorBidi"/>
                <w:kern w:val="2"/>
                <w:sz w:val="24"/>
                <w:szCs w:val="24"/>
                <w:lang w:val="en-GB" w:eastAsia="en-GB"/>
                <w14:ligatures w14:val="standardContextual"/>
              </w:rPr>
              <w:tab/>
            </w:r>
            <w:r w:rsidRPr="00C31352">
              <w:rPr>
                <w:rStyle w:val="Hyperlink"/>
                <w:rFonts w:cs="Arial"/>
              </w:rPr>
              <w:t>Expenses</w:t>
            </w:r>
            <w:r>
              <w:rPr>
                <w:webHidden/>
              </w:rPr>
              <w:tab/>
            </w:r>
            <w:r>
              <w:rPr>
                <w:webHidden/>
              </w:rPr>
              <w:fldChar w:fldCharType="begin"/>
            </w:r>
            <w:r>
              <w:rPr>
                <w:webHidden/>
              </w:rPr>
              <w:instrText xml:space="preserve"> PAGEREF _Toc198653948 \h </w:instrText>
            </w:r>
            <w:r>
              <w:rPr>
                <w:webHidden/>
              </w:rPr>
            </w:r>
            <w:r>
              <w:rPr>
                <w:webHidden/>
              </w:rPr>
              <w:fldChar w:fldCharType="separate"/>
            </w:r>
            <w:r>
              <w:rPr>
                <w:webHidden/>
              </w:rPr>
              <w:t>29</w:t>
            </w:r>
            <w:r>
              <w:rPr>
                <w:webHidden/>
              </w:rPr>
              <w:fldChar w:fldCharType="end"/>
            </w:r>
          </w:hyperlink>
        </w:p>
        <w:p w14:paraId="79BCD072" w14:textId="132C711D" w:rsidR="002E06CD" w:rsidRDefault="002E06CD" w:rsidP="001343BA">
          <w:pPr>
            <w:pStyle w:val="TOC2"/>
            <w:rPr>
              <w:rFonts w:asciiTheme="minorHAnsi" w:eastAsiaTheme="minorEastAsia" w:hAnsiTheme="minorHAnsi" w:cstheme="minorBidi"/>
              <w:kern w:val="2"/>
              <w:sz w:val="24"/>
              <w:szCs w:val="24"/>
              <w:lang w:val="en-GB" w:eastAsia="en-GB"/>
              <w14:ligatures w14:val="standardContextual"/>
            </w:rPr>
          </w:pPr>
          <w:hyperlink w:anchor="_Toc198653949" w:history="1">
            <w:r w:rsidRPr="00C31352">
              <w:rPr>
                <w:rStyle w:val="Hyperlink"/>
                <w:rFonts w:cs="Arial"/>
              </w:rPr>
              <w:t>Note 14:</w:t>
            </w:r>
            <w:r>
              <w:rPr>
                <w:rFonts w:asciiTheme="minorHAnsi" w:eastAsiaTheme="minorEastAsia" w:hAnsiTheme="minorHAnsi" w:cstheme="minorBidi"/>
                <w:kern w:val="2"/>
                <w:sz w:val="24"/>
                <w:szCs w:val="24"/>
                <w:lang w:val="en-GB" w:eastAsia="en-GB"/>
                <w14:ligatures w14:val="standardContextual"/>
              </w:rPr>
              <w:tab/>
            </w:r>
            <w:r w:rsidRPr="00C31352">
              <w:rPr>
                <w:rStyle w:val="Hyperlink"/>
                <w:rFonts w:cs="Arial"/>
              </w:rPr>
              <w:t>Financial instruments</w:t>
            </w:r>
            <w:r>
              <w:rPr>
                <w:webHidden/>
              </w:rPr>
              <w:tab/>
            </w:r>
            <w:r>
              <w:rPr>
                <w:webHidden/>
              </w:rPr>
              <w:fldChar w:fldCharType="begin"/>
            </w:r>
            <w:r>
              <w:rPr>
                <w:webHidden/>
              </w:rPr>
              <w:instrText xml:space="preserve"> PAGEREF _Toc198653949 \h </w:instrText>
            </w:r>
            <w:r>
              <w:rPr>
                <w:webHidden/>
              </w:rPr>
            </w:r>
            <w:r>
              <w:rPr>
                <w:webHidden/>
              </w:rPr>
              <w:fldChar w:fldCharType="separate"/>
            </w:r>
            <w:r>
              <w:rPr>
                <w:webHidden/>
              </w:rPr>
              <w:t>30</w:t>
            </w:r>
            <w:r>
              <w:rPr>
                <w:webHidden/>
              </w:rPr>
              <w:fldChar w:fldCharType="end"/>
            </w:r>
          </w:hyperlink>
        </w:p>
        <w:p w14:paraId="5B959249" w14:textId="7E70378D" w:rsidR="002E06CD" w:rsidRDefault="002E06CD" w:rsidP="001343BA">
          <w:pPr>
            <w:pStyle w:val="TOC2"/>
            <w:rPr>
              <w:rFonts w:asciiTheme="minorHAnsi" w:eastAsiaTheme="minorEastAsia" w:hAnsiTheme="minorHAnsi" w:cstheme="minorBidi"/>
              <w:kern w:val="2"/>
              <w:sz w:val="24"/>
              <w:szCs w:val="24"/>
              <w:lang w:val="en-GB" w:eastAsia="en-GB"/>
              <w14:ligatures w14:val="standardContextual"/>
            </w:rPr>
          </w:pPr>
          <w:hyperlink w:anchor="_Toc198653950" w:history="1">
            <w:r w:rsidRPr="00C31352">
              <w:rPr>
                <w:rStyle w:val="Hyperlink"/>
                <w:rFonts w:cs="Arial"/>
              </w:rPr>
              <w:t>Note 15:</w:t>
            </w:r>
            <w:r>
              <w:rPr>
                <w:rFonts w:asciiTheme="minorHAnsi" w:eastAsiaTheme="minorEastAsia" w:hAnsiTheme="minorHAnsi" w:cstheme="minorBidi"/>
                <w:kern w:val="2"/>
                <w:sz w:val="24"/>
                <w:szCs w:val="24"/>
                <w:lang w:val="en-GB" w:eastAsia="en-GB"/>
                <w14:ligatures w14:val="standardContextual"/>
              </w:rPr>
              <w:tab/>
            </w:r>
            <w:r w:rsidRPr="00C31352">
              <w:rPr>
                <w:rStyle w:val="Hyperlink"/>
                <w:rFonts w:cs="Arial"/>
              </w:rPr>
              <w:t>Events after the reporting date</w:t>
            </w:r>
            <w:r>
              <w:rPr>
                <w:webHidden/>
              </w:rPr>
              <w:tab/>
            </w:r>
            <w:r>
              <w:rPr>
                <w:webHidden/>
              </w:rPr>
              <w:fldChar w:fldCharType="begin"/>
            </w:r>
            <w:r>
              <w:rPr>
                <w:webHidden/>
              </w:rPr>
              <w:instrText xml:space="preserve"> PAGEREF _Toc198653950 \h </w:instrText>
            </w:r>
            <w:r>
              <w:rPr>
                <w:webHidden/>
              </w:rPr>
            </w:r>
            <w:r>
              <w:rPr>
                <w:webHidden/>
              </w:rPr>
              <w:fldChar w:fldCharType="separate"/>
            </w:r>
            <w:r>
              <w:rPr>
                <w:webHidden/>
              </w:rPr>
              <w:t>31</w:t>
            </w:r>
            <w:r>
              <w:rPr>
                <w:webHidden/>
              </w:rPr>
              <w:fldChar w:fldCharType="end"/>
            </w:r>
          </w:hyperlink>
        </w:p>
        <w:p w14:paraId="76A3196C" w14:textId="1419D184" w:rsidR="000357D6" w:rsidRPr="007B443E" w:rsidRDefault="000357D6">
          <w:pPr>
            <w:rPr>
              <w:rFonts w:cs="Arial"/>
            </w:rPr>
          </w:pPr>
          <w:r w:rsidRPr="007B443E">
            <w:rPr>
              <w:rFonts w:cs="Arial"/>
              <w:b/>
              <w:bCs/>
              <w:noProof/>
            </w:rPr>
            <w:fldChar w:fldCharType="end"/>
          </w:r>
        </w:p>
      </w:sdtContent>
    </w:sdt>
    <w:p w14:paraId="1CB5D363" w14:textId="2F8D7CF3" w:rsidR="007704C6" w:rsidRDefault="007704C6">
      <w:pPr>
        <w:jc w:val="left"/>
        <w:rPr>
          <w:rFonts w:cs="Arial"/>
          <w:b/>
          <w:caps/>
        </w:rPr>
      </w:pPr>
      <w:bookmarkStart w:id="0" w:name="_Toc477872937"/>
      <w:bookmarkStart w:id="1" w:name="_Toc84329879"/>
      <w:r>
        <w:rPr>
          <w:rFonts w:cs="Arial"/>
        </w:rPr>
        <w:br w:type="page"/>
      </w:r>
    </w:p>
    <w:p w14:paraId="79A7133C" w14:textId="77777777" w:rsidR="00A824AF" w:rsidRPr="009B78B3" w:rsidRDefault="00A824AF" w:rsidP="000357D6">
      <w:pPr>
        <w:pStyle w:val="Heading1"/>
        <w:rPr>
          <w:rFonts w:cs="Arial"/>
        </w:rPr>
      </w:pPr>
      <w:bookmarkStart w:id="2" w:name="_Toc198653924"/>
      <w:r w:rsidRPr="009B78B3">
        <w:rPr>
          <w:rFonts w:cs="Arial"/>
        </w:rPr>
        <w:lastRenderedPageBreak/>
        <w:t>Introduction</w:t>
      </w:r>
      <w:bookmarkEnd w:id="0"/>
      <w:bookmarkEnd w:id="1"/>
      <w:bookmarkEnd w:id="2"/>
    </w:p>
    <w:p w14:paraId="1999D617" w14:textId="77777777" w:rsidR="00D67D80" w:rsidRPr="009B78B3" w:rsidRDefault="00D67D80" w:rsidP="00D67D80">
      <w:pPr>
        <w:rPr>
          <w:rFonts w:cs="Arial"/>
        </w:rPr>
      </w:pPr>
    </w:p>
    <w:p w14:paraId="3DB6FC68" w14:textId="04CD74E2" w:rsidR="00A824AF" w:rsidRPr="009B78B3" w:rsidRDefault="00A824AF" w:rsidP="00A824AF">
      <w:pPr>
        <w:numPr>
          <w:ilvl w:val="0"/>
          <w:numId w:val="12"/>
        </w:numPr>
        <w:tabs>
          <w:tab w:val="clear" w:pos="1080"/>
        </w:tabs>
        <w:ind w:left="550" w:hanging="550"/>
        <w:rPr>
          <w:rFonts w:cs="Arial"/>
        </w:rPr>
      </w:pPr>
      <w:r w:rsidRPr="009B78B3">
        <w:rPr>
          <w:rFonts w:cs="Arial"/>
        </w:rPr>
        <w:t>The financial statements of the International Union for the Protection of New Varieties of Plants (UPOV) for the year ended</w:t>
      </w:r>
      <w:r w:rsidR="00D54E11" w:rsidRPr="009B78B3">
        <w:rPr>
          <w:rFonts w:cs="Arial"/>
        </w:rPr>
        <w:t xml:space="preserve"> December 31, </w:t>
      </w:r>
      <w:proofErr w:type="gramStart"/>
      <w:r w:rsidR="00D54E11" w:rsidRPr="009B78B3">
        <w:rPr>
          <w:rFonts w:cs="Arial"/>
        </w:rPr>
        <w:t>20</w:t>
      </w:r>
      <w:r w:rsidR="003278ED" w:rsidRPr="009B78B3">
        <w:rPr>
          <w:rFonts w:cs="Arial"/>
        </w:rPr>
        <w:t>2</w:t>
      </w:r>
      <w:r w:rsidR="004B258C">
        <w:rPr>
          <w:rFonts w:cs="Arial"/>
        </w:rPr>
        <w:t>4</w:t>
      </w:r>
      <w:proofErr w:type="gramEnd"/>
      <w:r w:rsidRPr="009B78B3">
        <w:rPr>
          <w:rFonts w:cs="Arial"/>
        </w:rPr>
        <w:t xml:space="preserve"> are submitted to the Council of UPOV in accordance with Regulation 6.5 of the Financial Regulations and Rules of UPOV (document UPOV/INF/4/</w:t>
      </w:r>
      <w:r w:rsidR="00C41180" w:rsidRPr="009B78B3">
        <w:rPr>
          <w:rFonts w:cs="Arial"/>
        </w:rPr>
        <w:t>6</w:t>
      </w:r>
      <w:r w:rsidRPr="009B78B3">
        <w:rPr>
          <w:rFonts w:cs="Arial"/>
        </w:rPr>
        <w:t>):</w:t>
      </w:r>
    </w:p>
    <w:p w14:paraId="2FFE09A2" w14:textId="77777777" w:rsidR="00A824AF" w:rsidRPr="009B78B3" w:rsidRDefault="00A824AF" w:rsidP="00A824AF">
      <w:pPr>
        <w:rPr>
          <w:rFonts w:cs="Arial"/>
        </w:rPr>
      </w:pPr>
    </w:p>
    <w:p w14:paraId="3FC45C40" w14:textId="77777777" w:rsidR="00D67D80" w:rsidRPr="009B78B3" w:rsidRDefault="00D67D80" w:rsidP="00D67D80">
      <w:pPr>
        <w:spacing w:after="120"/>
        <w:ind w:left="550"/>
        <w:rPr>
          <w:rFonts w:cs="Arial"/>
          <w:b/>
        </w:rPr>
      </w:pPr>
      <w:r w:rsidRPr="009B78B3">
        <w:rPr>
          <w:rFonts w:cs="Arial"/>
          <w:b/>
        </w:rPr>
        <w:t>Regulation 6.5</w:t>
      </w:r>
    </w:p>
    <w:p w14:paraId="6B13D944" w14:textId="77777777" w:rsidR="00D67D80" w:rsidRPr="009B78B3" w:rsidRDefault="00D67D80" w:rsidP="00D67D80">
      <w:pPr>
        <w:spacing w:after="120"/>
        <w:ind w:left="550"/>
        <w:rPr>
          <w:rFonts w:cs="Arial"/>
        </w:rPr>
      </w:pPr>
      <w:r w:rsidRPr="009B78B3">
        <w:rPr>
          <w:rFonts w:cs="Arial"/>
        </w:rPr>
        <w:t>(1)</w:t>
      </w:r>
      <w:r w:rsidRPr="009B78B3">
        <w:rPr>
          <w:rFonts w:cs="Arial"/>
        </w:rPr>
        <w:tab/>
        <w:t>The annual financial statements for each calendar year of the financial period shall be submitted by the Secretary-General to the External Auditor no later than March 31 following the end of the calendar year to which they relate.</w:t>
      </w:r>
    </w:p>
    <w:p w14:paraId="7382F39F" w14:textId="77777777" w:rsidR="00D67D80" w:rsidRPr="007B443E" w:rsidRDefault="00D67D80" w:rsidP="00D67D80">
      <w:pPr>
        <w:spacing w:after="120"/>
        <w:ind w:left="550"/>
        <w:rPr>
          <w:rFonts w:cs="Arial"/>
        </w:rPr>
      </w:pPr>
      <w:r w:rsidRPr="009B78B3">
        <w:rPr>
          <w:rFonts w:cs="Arial"/>
        </w:rPr>
        <w:t>(2)</w:t>
      </w:r>
      <w:r w:rsidRPr="009B78B3">
        <w:rPr>
          <w:rFonts w:cs="Arial"/>
        </w:rPr>
        <w:tab/>
        <w:t xml:space="preserve">Within </w:t>
      </w:r>
      <w:r w:rsidRPr="00352498">
        <w:rPr>
          <w:rFonts w:cs="Arial"/>
        </w:rPr>
        <w:t xml:space="preserve">eight months </w:t>
      </w:r>
      <w:r w:rsidRPr="007B443E">
        <w:rPr>
          <w:rFonts w:cs="Arial"/>
        </w:rPr>
        <w:t>after the end of each calendar year the Secretary-General shall submit the annual financial statements and the audit report of the External Auditor to the Council.</w:t>
      </w:r>
    </w:p>
    <w:p w14:paraId="01C90696" w14:textId="77777777" w:rsidR="00D67D80" w:rsidRPr="0098522D" w:rsidRDefault="00D67D80" w:rsidP="00D67D80">
      <w:pPr>
        <w:spacing w:after="120"/>
        <w:ind w:left="550"/>
        <w:rPr>
          <w:rFonts w:cs="Arial"/>
        </w:rPr>
      </w:pPr>
      <w:r w:rsidRPr="0098522D">
        <w:rPr>
          <w:rFonts w:cs="Arial"/>
        </w:rPr>
        <w:t>(3)</w:t>
      </w:r>
      <w:r w:rsidRPr="0098522D">
        <w:rPr>
          <w:rFonts w:cs="Arial"/>
        </w:rPr>
        <w:tab/>
        <w:t>The Council shall examine the annual financial statements. It may identify adjustments to the share of UPOV in common expenditures, if it finds that this share has not been correctly estimated and assessed by the Secretary-General. In such a case, after having consulted the Coordination Committee of WIPO, the Council shall establish the final allocation.</w:t>
      </w:r>
    </w:p>
    <w:p w14:paraId="180E6AA8" w14:textId="77777777" w:rsidR="00D67D80" w:rsidRPr="007C4A37" w:rsidRDefault="00D67D80" w:rsidP="00D67D80">
      <w:pPr>
        <w:ind w:left="550"/>
        <w:rPr>
          <w:rFonts w:cs="Arial"/>
        </w:rPr>
      </w:pPr>
      <w:r w:rsidRPr="007C4A37">
        <w:rPr>
          <w:rFonts w:cs="Arial"/>
        </w:rPr>
        <w:t>(4)</w:t>
      </w:r>
      <w:r w:rsidRPr="007C4A37">
        <w:rPr>
          <w:rFonts w:cs="Arial"/>
        </w:rPr>
        <w:tab/>
        <w:t>The Council shall approve the annual financial statements, after they have been audited in accordance with Article 24 of the 1961 Convention, Article 25 of the 1978 Act and Article 29(6) of the 1991 Act.</w:t>
      </w:r>
    </w:p>
    <w:p w14:paraId="7C1E716B" w14:textId="77777777" w:rsidR="00A824AF" w:rsidRPr="00F76236" w:rsidRDefault="00A824AF" w:rsidP="00A824AF">
      <w:pPr>
        <w:rPr>
          <w:rFonts w:cs="Arial"/>
        </w:rPr>
      </w:pPr>
    </w:p>
    <w:p w14:paraId="36F2042B" w14:textId="6EECA31D" w:rsidR="00A824AF" w:rsidRPr="00855138" w:rsidRDefault="00A824AF" w:rsidP="00A824AF">
      <w:pPr>
        <w:ind w:left="550" w:hanging="550"/>
        <w:rPr>
          <w:rFonts w:cs="Arial"/>
        </w:rPr>
      </w:pPr>
      <w:r w:rsidRPr="005976F2">
        <w:rPr>
          <w:rFonts w:cs="Arial"/>
        </w:rPr>
        <w:t>2.</w:t>
      </w:r>
      <w:r w:rsidRPr="005976F2">
        <w:rPr>
          <w:rFonts w:cs="Arial"/>
        </w:rPr>
        <w:tab/>
        <w:t xml:space="preserve">The report of the External </w:t>
      </w:r>
      <w:r w:rsidR="00D54E11" w:rsidRPr="005976F2">
        <w:rPr>
          <w:rFonts w:cs="Arial"/>
        </w:rPr>
        <w:t>Auditor on the audit of the 20</w:t>
      </w:r>
      <w:r w:rsidR="00EA0425" w:rsidRPr="005976F2">
        <w:rPr>
          <w:rFonts w:cs="Arial"/>
        </w:rPr>
        <w:t>2</w:t>
      </w:r>
      <w:r w:rsidR="004B258C">
        <w:rPr>
          <w:rFonts w:cs="Arial"/>
        </w:rPr>
        <w:t>4</w:t>
      </w:r>
      <w:r w:rsidR="00603F86">
        <w:rPr>
          <w:rFonts w:cs="Arial"/>
        </w:rPr>
        <w:t xml:space="preserve">  </w:t>
      </w:r>
      <w:r w:rsidRPr="005976F2">
        <w:rPr>
          <w:rFonts w:cs="Arial"/>
        </w:rPr>
        <w:t xml:space="preserve">financial statements, together with </w:t>
      </w:r>
      <w:r w:rsidR="00142F20">
        <w:rPr>
          <w:rFonts w:cs="Arial"/>
        </w:rPr>
        <w:t>his</w:t>
      </w:r>
      <w:r w:rsidR="00142F20" w:rsidRPr="00855138">
        <w:rPr>
          <w:rFonts w:cs="Arial"/>
        </w:rPr>
        <w:t xml:space="preserve"> </w:t>
      </w:r>
      <w:r w:rsidRPr="00855138">
        <w:rPr>
          <w:rFonts w:cs="Arial"/>
        </w:rPr>
        <w:t>opinion on the financial statements, is also submitted to the Council of UPOV as prescribed under</w:t>
      </w:r>
      <w:r w:rsidR="00273506">
        <w:rPr>
          <w:rFonts w:cs="Arial"/>
        </w:rPr>
        <w:t xml:space="preserve">          </w:t>
      </w:r>
      <w:r w:rsidRPr="00855138">
        <w:rPr>
          <w:rFonts w:cs="Arial"/>
        </w:rPr>
        <w:t xml:space="preserve"> Regulation</w:t>
      </w:r>
      <w:r w:rsidR="00273506">
        <w:rPr>
          <w:rFonts w:cs="Arial"/>
        </w:rPr>
        <w:t xml:space="preserve"> </w:t>
      </w:r>
      <w:r w:rsidRPr="00855138">
        <w:rPr>
          <w:rFonts w:cs="Arial"/>
        </w:rPr>
        <w:t>6.5 and Annex II of the Financial Regulations and Rules of UPOV.</w:t>
      </w:r>
    </w:p>
    <w:p w14:paraId="7D96A77B" w14:textId="77777777" w:rsidR="00A824AF" w:rsidRPr="00352498" w:rsidRDefault="00A824AF" w:rsidP="00A824AF">
      <w:pPr>
        <w:ind w:left="720" w:hanging="720"/>
        <w:rPr>
          <w:rFonts w:cs="Arial"/>
        </w:rPr>
      </w:pPr>
    </w:p>
    <w:p w14:paraId="17A40CED" w14:textId="073A7EBC" w:rsidR="00A824AF" w:rsidRPr="009B78B3" w:rsidRDefault="00A824AF" w:rsidP="00A824AF">
      <w:pPr>
        <w:ind w:left="550" w:hanging="550"/>
        <w:rPr>
          <w:rFonts w:cs="Arial"/>
        </w:rPr>
      </w:pPr>
      <w:r w:rsidRPr="00BB2405">
        <w:rPr>
          <w:rFonts w:cs="Arial"/>
        </w:rPr>
        <w:t>3.</w:t>
      </w:r>
      <w:r w:rsidR="00EA0425" w:rsidRPr="00BB2405">
        <w:rPr>
          <w:rFonts w:cs="Arial"/>
        </w:rPr>
        <w:tab/>
        <w:t>The 202</w:t>
      </w:r>
      <w:r w:rsidR="004B258C">
        <w:rPr>
          <w:rFonts w:cs="Arial"/>
        </w:rPr>
        <w:t>4</w:t>
      </w:r>
      <w:r w:rsidRPr="00BB2405">
        <w:rPr>
          <w:rFonts w:cs="Arial"/>
        </w:rPr>
        <w:t xml:space="preserve"> financial statements have been prepared in accordance with International Public Sector A</w:t>
      </w:r>
      <w:r w:rsidRPr="009B78B3">
        <w:rPr>
          <w:rFonts w:cs="Arial"/>
        </w:rPr>
        <w:t xml:space="preserve">ccounting Standards (IPSAS).  </w:t>
      </w:r>
    </w:p>
    <w:p w14:paraId="0B90A1AA" w14:textId="77777777" w:rsidR="00A824AF" w:rsidRPr="009B78B3" w:rsidRDefault="00A824AF" w:rsidP="00A824AF">
      <w:pPr>
        <w:rPr>
          <w:rFonts w:cs="Arial"/>
        </w:rPr>
      </w:pPr>
    </w:p>
    <w:p w14:paraId="4696A7C3" w14:textId="77777777" w:rsidR="00332D7A" w:rsidRPr="009B78B3" w:rsidRDefault="00332D7A" w:rsidP="00D67D80">
      <w:pPr>
        <w:pStyle w:val="Heading1"/>
        <w:rPr>
          <w:rFonts w:cs="Arial"/>
        </w:rPr>
      </w:pPr>
      <w:bookmarkStart w:id="3" w:name="_Toc477872938"/>
    </w:p>
    <w:p w14:paraId="1CAEB5BD" w14:textId="0CEA7F38" w:rsidR="00A824AF" w:rsidRPr="009B78B3" w:rsidRDefault="00A824AF" w:rsidP="00D67D80">
      <w:pPr>
        <w:pStyle w:val="Heading1"/>
        <w:rPr>
          <w:rFonts w:cs="Arial"/>
        </w:rPr>
      </w:pPr>
      <w:bookmarkStart w:id="4" w:name="_Toc84329880"/>
      <w:bookmarkStart w:id="5" w:name="_Toc198653925"/>
      <w:r w:rsidRPr="009B78B3">
        <w:rPr>
          <w:rFonts w:cs="Arial"/>
        </w:rPr>
        <w:t>Financial results for the year</w:t>
      </w:r>
      <w:bookmarkEnd w:id="3"/>
      <w:r w:rsidR="005E0A71" w:rsidRPr="009B78B3">
        <w:rPr>
          <w:rFonts w:cs="Arial"/>
        </w:rPr>
        <w:t xml:space="preserve"> ENDED DECEMBER 31, 20</w:t>
      </w:r>
      <w:r w:rsidR="00F867B2" w:rsidRPr="009B78B3">
        <w:rPr>
          <w:rFonts w:cs="Arial"/>
        </w:rPr>
        <w:t>2</w:t>
      </w:r>
      <w:bookmarkEnd w:id="4"/>
      <w:r w:rsidR="004B258C">
        <w:rPr>
          <w:rFonts w:cs="Arial"/>
        </w:rPr>
        <w:t>4</w:t>
      </w:r>
      <w:bookmarkEnd w:id="5"/>
    </w:p>
    <w:p w14:paraId="757EDB97" w14:textId="77777777" w:rsidR="00D67D80" w:rsidRPr="009B78B3" w:rsidRDefault="00D67D80" w:rsidP="00D67D80">
      <w:pPr>
        <w:rPr>
          <w:rFonts w:cs="Arial"/>
        </w:rPr>
      </w:pPr>
    </w:p>
    <w:p w14:paraId="1EBB1815" w14:textId="77777777" w:rsidR="00A824AF" w:rsidRPr="005D7523" w:rsidRDefault="00A824AF" w:rsidP="000357D6">
      <w:pPr>
        <w:pStyle w:val="Heading2"/>
        <w:rPr>
          <w:rFonts w:ascii="Arial" w:hAnsi="Arial" w:cs="Arial"/>
        </w:rPr>
      </w:pPr>
      <w:bookmarkStart w:id="6" w:name="_Toc84329881"/>
      <w:bookmarkStart w:id="7" w:name="_Toc198653926"/>
      <w:r w:rsidRPr="005D7523">
        <w:rPr>
          <w:rFonts w:ascii="Arial" w:hAnsi="Arial" w:cs="Arial"/>
        </w:rPr>
        <w:t>Preparation of the Financial Statements under IPSAS</w:t>
      </w:r>
      <w:bookmarkEnd w:id="6"/>
      <w:bookmarkEnd w:id="7"/>
    </w:p>
    <w:p w14:paraId="0A97AA95" w14:textId="77777777" w:rsidR="00A824AF" w:rsidRPr="007B443E" w:rsidRDefault="00A824AF" w:rsidP="00A824AF">
      <w:pPr>
        <w:rPr>
          <w:rFonts w:cs="Arial"/>
        </w:rPr>
      </w:pPr>
    </w:p>
    <w:p w14:paraId="7777DE82" w14:textId="0876D546" w:rsidR="00A824AF" w:rsidRPr="007C4A37" w:rsidRDefault="00A824AF" w:rsidP="00A824AF">
      <w:pPr>
        <w:numPr>
          <w:ilvl w:val="0"/>
          <w:numId w:val="18"/>
        </w:numPr>
        <w:tabs>
          <w:tab w:val="num" w:pos="550"/>
        </w:tabs>
        <w:autoSpaceDE w:val="0"/>
        <w:autoSpaceDN w:val="0"/>
        <w:adjustRightInd w:val="0"/>
        <w:ind w:left="550" w:hanging="550"/>
        <w:rPr>
          <w:rFonts w:cs="Arial"/>
        </w:rPr>
      </w:pPr>
      <w:r w:rsidRPr="0098522D">
        <w:rPr>
          <w:rFonts w:cs="Arial"/>
        </w:rPr>
        <w:t xml:space="preserve">IPSAS requires the application of the full accrual basis of accounting. Accrual basis accounting means the recognition of transactions and events when they occur. As </w:t>
      </w:r>
      <w:r w:rsidR="007F0E66" w:rsidRPr="007C4A37">
        <w:rPr>
          <w:rFonts w:cs="Arial"/>
        </w:rPr>
        <w:t>such,</w:t>
      </w:r>
      <w:r w:rsidRPr="007C4A37">
        <w:rPr>
          <w:rFonts w:cs="Arial"/>
        </w:rPr>
        <w:t xml:space="preserve"> they are recorded in the accounting records and reported in the financial statements of the financial periods to which they relate, and not only when cash or its equivalent is received or paid.</w:t>
      </w:r>
    </w:p>
    <w:p w14:paraId="4CA00CE6" w14:textId="77777777" w:rsidR="00A824AF" w:rsidRPr="00F76236" w:rsidRDefault="00A824AF" w:rsidP="00A824AF">
      <w:pPr>
        <w:autoSpaceDE w:val="0"/>
        <w:autoSpaceDN w:val="0"/>
        <w:adjustRightInd w:val="0"/>
        <w:rPr>
          <w:rFonts w:cs="Arial"/>
        </w:rPr>
      </w:pPr>
    </w:p>
    <w:p w14:paraId="331BAE25" w14:textId="2902C77B" w:rsidR="00A824AF" w:rsidRPr="00EC3BA0" w:rsidRDefault="00A824AF">
      <w:pPr>
        <w:numPr>
          <w:ilvl w:val="0"/>
          <w:numId w:val="18"/>
        </w:numPr>
        <w:tabs>
          <w:tab w:val="num" w:pos="550"/>
        </w:tabs>
        <w:autoSpaceDE w:val="0"/>
        <w:autoSpaceDN w:val="0"/>
        <w:adjustRightInd w:val="0"/>
        <w:ind w:left="550" w:hanging="550"/>
        <w:rPr>
          <w:rFonts w:cs="Arial"/>
        </w:rPr>
      </w:pPr>
      <w:r w:rsidRPr="005976F2">
        <w:rPr>
          <w:rFonts w:cs="Arial"/>
        </w:rPr>
        <w:t xml:space="preserve">Under IPSAS, revenue for both contributions and extrabudgetary funds (funds in trust) is recognized when UPOV has a right to receive the contribution. </w:t>
      </w:r>
      <w:r w:rsidR="00EC3BA0">
        <w:rPr>
          <w:rFonts w:cs="Arial"/>
        </w:rPr>
        <w:t>W</w:t>
      </w:r>
      <w:r w:rsidR="00EC3BA0" w:rsidRPr="00512726">
        <w:rPr>
          <w:rFonts w:cs="Arial"/>
        </w:rPr>
        <w:t xml:space="preserve">here </w:t>
      </w:r>
      <w:r w:rsidR="00EC3BA0">
        <w:rPr>
          <w:rFonts w:cs="Arial"/>
        </w:rPr>
        <w:t>contributions due to UPOV</w:t>
      </w:r>
      <w:r w:rsidR="00616A61">
        <w:rPr>
          <w:rFonts w:cs="Arial"/>
        </w:rPr>
        <w:t xml:space="preserve"> from any member</w:t>
      </w:r>
      <w:r w:rsidR="00EC3BA0">
        <w:rPr>
          <w:rFonts w:cs="Arial"/>
        </w:rPr>
        <w:t xml:space="preserve"> are</w:t>
      </w:r>
      <w:r w:rsidR="00EC3BA0" w:rsidRPr="00512726">
        <w:rPr>
          <w:rFonts w:cs="Arial"/>
        </w:rPr>
        <w:t xml:space="preserve"> dated prior to the last biennium</w:t>
      </w:r>
      <w:r w:rsidRPr="005976F2">
        <w:rPr>
          <w:rFonts w:cs="Arial"/>
        </w:rPr>
        <w:t xml:space="preserve">, </w:t>
      </w:r>
      <w:r w:rsidR="00EC3BA0" w:rsidRPr="005F0DC6">
        <w:rPr>
          <w:rFonts w:cs="Arial"/>
        </w:rPr>
        <w:t xml:space="preserve">an allowance for </w:t>
      </w:r>
      <w:r w:rsidR="00616A61">
        <w:rPr>
          <w:rFonts w:cs="Arial"/>
        </w:rPr>
        <w:t xml:space="preserve">contributions </w:t>
      </w:r>
      <w:r w:rsidR="00EC3BA0" w:rsidRPr="005F0DC6">
        <w:rPr>
          <w:rFonts w:cs="Arial"/>
        </w:rPr>
        <w:t>receivable is made in full.</w:t>
      </w:r>
      <w:r w:rsidR="00EC3BA0">
        <w:rPr>
          <w:rFonts w:cs="Arial"/>
        </w:rPr>
        <w:t xml:space="preserve"> </w:t>
      </w:r>
      <w:r w:rsidRPr="00EC3BA0">
        <w:rPr>
          <w:rFonts w:cs="Arial"/>
        </w:rPr>
        <w:t xml:space="preserve">Extrabudgetary fund arrangements are analyzed to see if UPOV needs to meet performance conditions, and if these are present, revenue is only recognized when the conditions are fulfilled. </w:t>
      </w:r>
    </w:p>
    <w:p w14:paraId="47F48C12" w14:textId="77777777" w:rsidR="00A824AF" w:rsidRPr="0098522D" w:rsidRDefault="00A824AF" w:rsidP="00A824AF">
      <w:pPr>
        <w:rPr>
          <w:rFonts w:cs="Arial"/>
        </w:rPr>
      </w:pPr>
    </w:p>
    <w:p w14:paraId="0BAE6516" w14:textId="77777777" w:rsidR="00A824AF" w:rsidRPr="007C4A37" w:rsidRDefault="00A824AF" w:rsidP="00A824AF">
      <w:pPr>
        <w:numPr>
          <w:ilvl w:val="0"/>
          <w:numId w:val="18"/>
        </w:numPr>
        <w:tabs>
          <w:tab w:val="num" w:pos="550"/>
        </w:tabs>
        <w:ind w:left="550" w:hanging="550"/>
        <w:rPr>
          <w:rFonts w:cs="Arial"/>
        </w:rPr>
      </w:pPr>
      <w:r w:rsidRPr="007C4A37">
        <w:rPr>
          <w:rFonts w:cs="Arial"/>
        </w:rPr>
        <w:t xml:space="preserve">The value of future employee benefits (for example, accumulated annual leave, repatriation grants and After-Service Health Insurance (ASHI)) that UPOV staff have earned but not yet received is recorded to capture the full cost of employing staff. </w:t>
      </w:r>
    </w:p>
    <w:p w14:paraId="3C68A89A" w14:textId="77777777" w:rsidR="00A824AF" w:rsidRPr="00F76236" w:rsidRDefault="00A824AF" w:rsidP="00A824AF">
      <w:pPr>
        <w:rPr>
          <w:rFonts w:cs="Arial"/>
        </w:rPr>
      </w:pPr>
    </w:p>
    <w:p w14:paraId="1618EAD9" w14:textId="77777777" w:rsidR="00A824AF" w:rsidRPr="00352498" w:rsidRDefault="00A824AF" w:rsidP="00A824AF">
      <w:pPr>
        <w:numPr>
          <w:ilvl w:val="0"/>
          <w:numId w:val="18"/>
        </w:numPr>
        <w:tabs>
          <w:tab w:val="num" w:pos="550"/>
        </w:tabs>
        <w:ind w:left="550" w:hanging="550"/>
        <w:rPr>
          <w:rFonts w:cs="Arial"/>
        </w:rPr>
      </w:pPr>
      <w:r w:rsidRPr="005976F2">
        <w:rPr>
          <w:rFonts w:cs="Arial"/>
        </w:rPr>
        <w:t xml:space="preserve">The application of IPSAS does not currently impact the preparation of the Program and Budget, which is still </w:t>
      </w:r>
      <w:r w:rsidRPr="00855138">
        <w:rPr>
          <w:rFonts w:cs="Arial"/>
        </w:rPr>
        <w:t>presented on a modified accrual basis. As this basis differs from the full accrual basis applied to the financial statements, a reconciliation between the budget and the principal financial s</w:t>
      </w:r>
      <w:r w:rsidRPr="00352498">
        <w:rPr>
          <w:rFonts w:cs="Arial"/>
        </w:rPr>
        <w:t>tatements is provided in accordance with the requirements of IPSAS.</w:t>
      </w:r>
    </w:p>
    <w:p w14:paraId="54F64492" w14:textId="77777777" w:rsidR="00A824AF" w:rsidRPr="00BB2405" w:rsidRDefault="00A824AF" w:rsidP="00A824AF">
      <w:pPr>
        <w:rPr>
          <w:rFonts w:cs="Arial"/>
        </w:rPr>
      </w:pPr>
    </w:p>
    <w:p w14:paraId="06B188A8" w14:textId="77777777" w:rsidR="00B86F58" w:rsidRPr="0038775D" w:rsidRDefault="00A824AF" w:rsidP="00A406F8">
      <w:pPr>
        <w:pStyle w:val="ListParagraph"/>
        <w:numPr>
          <w:ilvl w:val="0"/>
          <w:numId w:val="18"/>
        </w:numPr>
        <w:jc w:val="both"/>
        <w:rPr>
          <w:sz w:val="20"/>
        </w:rPr>
      </w:pPr>
      <w:r w:rsidRPr="0038775D">
        <w:rPr>
          <w:sz w:val="20"/>
        </w:rPr>
        <w:t xml:space="preserve">IPSAS requires more detailed disclosures to be included in the notes to the financial statements in the interests of transparency. As such, UPOV provides information on the remuneration of key management personnel. </w:t>
      </w:r>
    </w:p>
    <w:p w14:paraId="63D452EC" w14:textId="77777777" w:rsidR="00147DA5" w:rsidRPr="0038775D" w:rsidRDefault="00147DA5" w:rsidP="006519FD">
      <w:pPr>
        <w:pStyle w:val="ListParagraph"/>
        <w:rPr>
          <w:sz w:val="20"/>
        </w:rPr>
      </w:pPr>
    </w:p>
    <w:p w14:paraId="637E02EC" w14:textId="77777777" w:rsidR="00147DA5" w:rsidRPr="00F76236" w:rsidRDefault="00147DA5" w:rsidP="00147DA5">
      <w:pPr>
        <w:rPr>
          <w:rFonts w:cs="Arial"/>
        </w:rPr>
      </w:pPr>
    </w:p>
    <w:p w14:paraId="5D522A4F" w14:textId="44D890A8" w:rsidR="004E3C52" w:rsidRDefault="003F61EC">
      <w:pPr>
        <w:jc w:val="left"/>
        <w:rPr>
          <w:rFonts w:cs="Arial"/>
          <w:b/>
        </w:rPr>
      </w:pPr>
      <w:bookmarkStart w:id="8" w:name="_Toc84329882"/>
      <w:r>
        <w:rPr>
          <w:rFonts w:cs="Arial"/>
        </w:rPr>
        <w:br w:type="page"/>
      </w:r>
      <w:bookmarkStart w:id="9" w:name="_Toc84329883"/>
      <w:bookmarkEnd w:id="8"/>
    </w:p>
    <w:p w14:paraId="0851FAD5" w14:textId="53181107" w:rsidR="00B86F58" w:rsidRDefault="00B86F58" w:rsidP="00B86F58">
      <w:pPr>
        <w:pStyle w:val="Heading2"/>
        <w:rPr>
          <w:rFonts w:ascii="Arial" w:hAnsi="Arial" w:cs="Arial"/>
        </w:rPr>
      </w:pPr>
      <w:bookmarkStart w:id="10" w:name="_Toc198653927"/>
      <w:r w:rsidRPr="005D7523">
        <w:rPr>
          <w:rFonts w:ascii="Arial" w:hAnsi="Arial" w:cs="Arial"/>
        </w:rPr>
        <w:lastRenderedPageBreak/>
        <w:t>Financial Performance</w:t>
      </w:r>
      <w:bookmarkEnd w:id="9"/>
      <w:bookmarkEnd w:id="10"/>
    </w:p>
    <w:p w14:paraId="1BB3ED28" w14:textId="77777777" w:rsidR="00CC7347" w:rsidRDefault="00CC7347" w:rsidP="00CC7347"/>
    <w:p w14:paraId="2E4D6D27" w14:textId="140CB637" w:rsidR="00A824AF" w:rsidRPr="00F01218" w:rsidRDefault="00A824AF" w:rsidP="00F73707">
      <w:pPr>
        <w:pStyle w:val="ListParagraph"/>
        <w:numPr>
          <w:ilvl w:val="0"/>
          <w:numId w:val="18"/>
        </w:numPr>
        <w:jc w:val="both"/>
        <w:rPr>
          <w:sz w:val="20"/>
        </w:rPr>
      </w:pPr>
      <w:r w:rsidRPr="00F01218">
        <w:rPr>
          <w:sz w:val="20"/>
        </w:rPr>
        <w:t xml:space="preserve">UPOV’s results showed a </w:t>
      </w:r>
      <w:r w:rsidR="00EA04B5">
        <w:rPr>
          <w:sz w:val="20"/>
        </w:rPr>
        <w:t>surplus</w:t>
      </w:r>
      <w:r w:rsidR="00B25E9D" w:rsidRPr="00F01218">
        <w:rPr>
          <w:sz w:val="20"/>
        </w:rPr>
        <w:t xml:space="preserve"> </w:t>
      </w:r>
      <w:r w:rsidRPr="00F01218">
        <w:rPr>
          <w:sz w:val="20"/>
        </w:rPr>
        <w:t xml:space="preserve">for the year of </w:t>
      </w:r>
      <w:r w:rsidR="00EA04B5">
        <w:rPr>
          <w:color w:val="000000" w:themeColor="text1"/>
          <w:sz w:val="20"/>
        </w:rPr>
        <w:t>260,4</w:t>
      </w:r>
      <w:r w:rsidR="00C13122">
        <w:rPr>
          <w:color w:val="000000" w:themeColor="text1"/>
          <w:sz w:val="20"/>
        </w:rPr>
        <w:t>3</w:t>
      </w:r>
      <w:r w:rsidR="00EA04B5">
        <w:rPr>
          <w:color w:val="000000" w:themeColor="text1"/>
          <w:sz w:val="20"/>
        </w:rPr>
        <w:t>3</w:t>
      </w:r>
      <w:r w:rsidR="00C43984" w:rsidRPr="00F01218">
        <w:rPr>
          <w:color w:val="000000" w:themeColor="text1"/>
          <w:sz w:val="20"/>
        </w:rPr>
        <w:t xml:space="preserve"> </w:t>
      </w:r>
      <w:r w:rsidRPr="00F01218">
        <w:rPr>
          <w:color w:val="000000" w:themeColor="text1"/>
          <w:sz w:val="20"/>
        </w:rPr>
        <w:t xml:space="preserve">Swiss francs, with </w:t>
      </w:r>
      <w:r w:rsidRPr="00F01218">
        <w:rPr>
          <w:sz w:val="20"/>
        </w:rPr>
        <w:t xml:space="preserve">total revenue of </w:t>
      </w:r>
      <w:r w:rsidR="00EA04B5">
        <w:rPr>
          <w:color w:val="000000" w:themeColor="text1"/>
          <w:sz w:val="20"/>
        </w:rPr>
        <w:t>4,210,</w:t>
      </w:r>
      <w:r w:rsidR="00F015B8">
        <w:rPr>
          <w:color w:val="000000" w:themeColor="text1"/>
          <w:sz w:val="20"/>
        </w:rPr>
        <w:t>087</w:t>
      </w:r>
      <w:r w:rsidR="00EA04B5">
        <w:rPr>
          <w:color w:val="000000" w:themeColor="text1"/>
          <w:sz w:val="20"/>
        </w:rPr>
        <w:t xml:space="preserve"> </w:t>
      </w:r>
      <w:r w:rsidRPr="00F01218">
        <w:rPr>
          <w:color w:val="000000" w:themeColor="text1"/>
          <w:sz w:val="20"/>
        </w:rPr>
        <w:t>Swiss francs and</w:t>
      </w:r>
      <w:r w:rsidRPr="00F01218">
        <w:rPr>
          <w:sz w:val="20"/>
        </w:rPr>
        <w:t xml:space="preserve"> total expenses of </w:t>
      </w:r>
      <w:r w:rsidR="00EA04B5">
        <w:rPr>
          <w:color w:val="000000" w:themeColor="text1"/>
          <w:sz w:val="20"/>
        </w:rPr>
        <w:t>3,949,654</w:t>
      </w:r>
      <w:r w:rsidR="009D4B57" w:rsidRPr="00F01218">
        <w:rPr>
          <w:color w:val="000000" w:themeColor="text1"/>
          <w:sz w:val="20"/>
        </w:rPr>
        <w:t xml:space="preserve"> </w:t>
      </w:r>
      <w:r w:rsidRPr="00F01218">
        <w:rPr>
          <w:color w:val="000000" w:themeColor="text1"/>
          <w:sz w:val="20"/>
        </w:rPr>
        <w:t>Swiss francs</w:t>
      </w:r>
      <w:r w:rsidR="005C1E9E" w:rsidRPr="00F01218">
        <w:rPr>
          <w:color w:val="000000" w:themeColor="text1"/>
          <w:sz w:val="20"/>
        </w:rPr>
        <w:t>,</w:t>
      </w:r>
      <w:r w:rsidRPr="00F01218">
        <w:rPr>
          <w:color w:val="000000" w:themeColor="text1"/>
          <w:sz w:val="20"/>
        </w:rPr>
        <w:t xml:space="preserve"> </w:t>
      </w:r>
      <w:r w:rsidR="00A45738" w:rsidRPr="00F01218">
        <w:rPr>
          <w:sz w:val="20"/>
        </w:rPr>
        <w:t xml:space="preserve">compared to a </w:t>
      </w:r>
      <w:r w:rsidR="00EA04B5">
        <w:rPr>
          <w:sz w:val="20"/>
        </w:rPr>
        <w:t>deficit</w:t>
      </w:r>
      <w:r w:rsidR="00B25E9D" w:rsidRPr="00F01218">
        <w:rPr>
          <w:sz w:val="20"/>
        </w:rPr>
        <w:t xml:space="preserve"> </w:t>
      </w:r>
      <w:r w:rsidR="00A45738" w:rsidRPr="00F01218">
        <w:rPr>
          <w:sz w:val="20"/>
        </w:rPr>
        <w:t xml:space="preserve">of </w:t>
      </w:r>
      <w:r w:rsidR="00EA04B5" w:rsidRPr="00CE6848">
        <w:rPr>
          <w:color w:val="000000" w:themeColor="text1"/>
          <w:sz w:val="20"/>
        </w:rPr>
        <w:t xml:space="preserve">22,883 </w:t>
      </w:r>
      <w:r w:rsidR="005B1DFB" w:rsidRPr="00F01218">
        <w:rPr>
          <w:sz w:val="20"/>
        </w:rPr>
        <w:t xml:space="preserve">Swiss francs </w:t>
      </w:r>
      <w:r w:rsidR="005C1E9E" w:rsidRPr="00F01218">
        <w:rPr>
          <w:sz w:val="20"/>
        </w:rPr>
        <w:t xml:space="preserve">in </w:t>
      </w:r>
      <w:r w:rsidR="005B1DFB" w:rsidRPr="00F01218">
        <w:rPr>
          <w:sz w:val="20"/>
        </w:rPr>
        <w:t>202</w:t>
      </w:r>
      <w:r w:rsidR="00EA04B5">
        <w:rPr>
          <w:sz w:val="20"/>
        </w:rPr>
        <w:t>3</w:t>
      </w:r>
      <w:r w:rsidR="005C1E9E" w:rsidRPr="00F01218">
        <w:rPr>
          <w:sz w:val="20"/>
        </w:rPr>
        <w:t>.</w:t>
      </w:r>
      <w:r w:rsidR="005B1DFB" w:rsidRPr="00F01218">
        <w:rPr>
          <w:sz w:val="20"/>
        </w:rPr>
        <w:t xml:space="preserve"> </w:t>
      </w:r>
      <w:r w:rsidR="005C1E9E" w:rsidRPr="00F01218">
        <w:rPr>
          <w:sz w:val="20"/>
        </w:rPr>
        <w:t xml:space="preserve">This difference in result is mainly due to </w:t>
      </w:r>
      <w:r w:rsidR="0060151C" w:rsidRPr="00F01218">
        <w:rPr>
          <w:sz w:val="20"/>
        </w:rPr>
        <w:t xml:space="preserve">a decrease in contractual services. </w:t>
      </w:r>
      <w:r w:rsidR="00281ADE" w:rsidRPr="00F01218">
        <w:rPr>
          <w:sz w:val="20"/>
        </w:rPr>
        <w:t xml:space="preserve">The financial performance of UPOV by source of funding </w:t>
      </w:r>
      <w:r w:rsidR="003F61EC" w:rsidRPr="00F01218">
        <w:rPr>
          <w:sz w:val="20"/>
        </w:rPr>
        <w:t xml:space="preserve">is </w:t>
      </w:r>
      <w:r w:rsidR="00281ADE" w:rsidRPr="00F01218">
        <w:rPr>
          <w:sz w:val="20"/>
        </w:rPr>
        <w:t>summarized as follows:</w:t>
      </w:r>
    </w:p>
    <w:p w14:paraId="6B6148AF" w14:textId="77777777" w:rsidR="00281ADE" w:rsidRPr="00F76236" w:rsidRDefault="00281ADE" w:rsidP="00281ADE">
      <w:pPr>
        <w:pStyle w:val="ListParagraph"/>
        <w:rPr>
          <w:sz w:val="20"/>
        </w:rPr>
      </w:pPr>
    </w:p>
    <w:p w14:paraId="1F9018E9" w14:textId="024051A4" w:rsidR="00974F61" w:rsidRPr="005976F2" w:rsidRDefault="00974F61">
      <w:pPr>
        <w:jc w:val="left"/>
        <w:rPr>
          <w:rFonts w:cs="Arial"/>
          <w:b/>
          <w:i/>
        </w:rPr>
      </w:pPr>
    </w:p>
    <w:p w14:paraId="447AF7B3" w14:textId="16E6909F" w:rsidR="00AD74C0" w:rsidRPr="00352498" w:rsidRDefault="00A824AF" w:rsidP="00A824AF">
      <w:pPr>
        <w:autoSpaceDE w:val="0"/>
        <w:autoSpaceDN w:val="0"/>
        <w:adjustRightInd w:val="0"/>
        <w:rPr>
          <w:rFonts w:cs="Arial"/>
          <w:b/>
          <w:i/>
        </w:rPr>
      </w:pPr>
      <w:r w:rsidRPr="00855138">
        <w:rPr>
          <w:rFonts w:cs="Arial"/>
          <w:b/>
          <w:i/>
        </w:rPr>
        <w:t xml:space="preserve">Table 1. Summary Financial Performance </w:t>
      </w:r>
      <w:r w:rsidR="00281ADE" w:rsidRPr="00352498">
        <w:rPr>
          <w:rFonts w:cs="Arial"/>
          <w:b/>
          <w:i/>
        </w:rPr>
        <w:t>by source of funding</w:t>
      </w:r>
    </w:p>
    <w:p w14:paraId="75CA1408" w14:textId="77777777" w:rsidR="006606EB" w:rsidRPr="005D7523" w:rsidRDefault="006606EB" w:rsidP="00D812DE">
      <w:pPr>
        <w:autoSpaceDE w:val="0"/>
        <w:autoSpaceDN w:val="0"/>
        <w:adjustRightInd w:val="0"/>
        <w:rPr>
          <w:rFonts w:cs="Arial"/>
        </w:rPr>
      </w:pPr>
    </w:p>
    <w:p w14:paraId="646F6DE4" w14:textId="63900599" w:rsidR="006606EB" w:rsidRPr="007B443E" w:rsidRDefault="00C13122" w:rsidP="00D812DE">
      <w:pPr>
        <w:autoSpaceDE w:val="0"/>
        <w:autoSpaceDN w:val="0"/>
        <w:adjustRightInd w:val="0"/>
        <w:rPr>
          <w:rFonts w:cs="Arial"/>
        </w:rPr>
      </w:pPr>
      <w:r w:rsidRPr="00C13122">
        <w:rPr>
          <w:noProof/>
        </w:rPr>
        <w:drawing>
          <wp:inline distT="0" distB="0" distL="0" distR="0" wp14:anchorId="3F1A62DE" wp14:editId="65A4AED2">
            <wp:extent cx="6011545" cy="2235200"/>
            <wp:effectExtent l="0" t="0" r="8255" b="0"/>
            <wp:docPr id="8879660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11545" cy="2235200"/>
                    </a:xfrm>
                    <a:prstGeom prst="rect">
                      <a:avLst/>
                    </a:prstGeom>
                    <a:noFill/>
                    <a:ln>
                      <a:noFill/>
                    </a:ln>
                  </pic:spPr>
                </pic:pic>
              </a:graphicData>
            </a:graphic>
          </wp:inline>
        </w:drawing>
      </w:r>
    </w:p>
    <w:p w14:paraId="0F31E8DD" w14:textId="77777777" w:rsidR="007C4A37" w:rsidRPr="0098522D" w:rsidRDefault="007C4A37" w:rsidP="00D812DE">
      <w:pPr>
        <w:autoSpaceDE w:val="0"/>
        <w:autoSpaceDN w:val="0"/>
        <w:adjustRightInd w:val="0"/>
        <w:rPr>
          <w:rFonts w:cs="Arial"/>
        </w:rPr>
      </w:pPr>
    </w:p>
    <w:p w14:paraId="235896EE" w14:textId="53607DE8" w:rsidR="00D561C8" w:rsidRPr="00492B31" w:rsidRDefault="00D561C8" w:rsidP="00F01218">
      <w:pPr>
        <w:pStyle w:val="ListParagraph"/>
        <w:numPr>
          <w:ilvl w:val="0"/>
          <w:numId w:val="18"/>
        </w:numPr>
        <w:autoSpaceDE w:val="0"/>
        <w:autoSpaceDN w:val="0"/>
        <w:adjustRightInd w:val="0"/>
        <w:jc w:val="both"/>
      </w:pPr>
      <w:r w:rsidRPr="00F01218">
        <w:rPr>
          <w:sz w:val="20"/>
        </w:rPr>
        <w:t xml:space="preserve">UPOV’s activities are financed mainly from three sources </w:t>
      </w:r>
      <w:r>
        <w:rPr>
          <w:sz w:val="20"/>
        </w:rPr>
        <w:t>–</w:t>
      </w:r>
      <w:r w:rsidRPr="00F01218">
        <w:rPr>
          <w:sz w:val="20"/>
        </w:rPr>
        <w:t xml:space="preserve"> contributions</w:t>
      </w:r>
      <w:r>
        <w:rPr>
          <w:sz w:val="20"/>
        </w:rPr>
        <w:t xml:space="preserve">, </w:t>
      </w:r>
      <w:r w:rsidRPr="00F01218">
        <w:rPr>
          <w:sz w:val="20"/>
        </w:rPr>
        <w:t xml:space="preserve">extrabudgetary funds (funds in trust) and UPOV PRISMA fee income. Contributions of 3,569,798, partially offset by an allowance of 42,912 Swiss francs, represent 83.8 per cent of UPOV’s total revenue for 2024. Contributions remained consistent with those of 2023. In 2024 UPOV received extrabudgetary funds from the Government of Japan for the promotion, development and maintenance of UPOV e-PVP services, as well as from the U.S. Patent and Trademark Office (USPTO) for </w:t>
      </w:r>
      <w:r w:rsidR="00A700F1">
        <w:rPr>
          <w:sz w:val="20"/>
        </w:rPr>
        <w:t xml:space="preserve">the </w:t>
      </w:r>
      <w:r w:rsidRPr="00F01218">
        <w:rPr>
          <w:sz w:val="20"/>
        </w:rPr>
        <w:t>“UPOV Executive Program on plant variety protection for the development of agricultures” and</w:t>
      </w:r>
      <w:r w:rsidR="00A700F1">
        <w:rPr>
          <w:sz w:val="20"/>
        </w:rPr>
        <w:t xml:space="preserve"> the</w:t>
      </w:r>
      <w:r w:rsidRPr="00F01218">
        <w:rPr>
          <w:sz w:val="20"/>
        </w:rPr>
        <w:t xml:space="preserve"> “Regional Workshop on Plant Variety Protection for ARIPO </w:t>
      </w:r>
      <w:r w:rsidR="00A700F1">
        <w:rPr>
          <w:sz w:val="20"/>
        </w:rPr>
        <w:t>M</w:t>
      </w:r>
      <w:r w:rsidRPr="00F01218">
        <w:rPr>
          <w:sz w:val="20"/>
        </w:rPr>
        <w:t>ember</w:t>
      </w:r>
      <w:r w:rsidR="00A700F1">
        <w:rPr>
          <w:sz w:val="20"/>
        </w:rPr>
        <w:t xml:space="preserve"> States</w:t>
      </w:r>
      <w:r w:rsidRPr="00F01218">
        <w:rPr>
          <w:sz w:val="20"/>
        </w:rPr>
        <w:t>”. Revenue recognized from extrabudgetary funds (funds in trust) totaled 509,393 Swiss francs for the year, representing 12.1 per cent of total revenue. Revenue from extrabudgetary funds increased by 6.72 per cent compared to 2023. UPOV also has balances of 625,543 Swiss francs relating to contributions received in advance. These balances increased by 20.15% compared to 2023. They are currently shown as liabilities and will be recorded as revenue in the year that the corresponding obligations have been satisfied</w:t>
      </w:r>
      <w:r>
        <w:rPr>
          <w:sz w:val="20"/>
        </w:rPr>
        <w:t>.</w:t>
      </w:r>
      <w:r w:rsidRPr="00F01218">
        <w:rPr>
          <w:sz w:val="20"/>
        </w:rPr>
        <w:t xml:space="preserve"> </w:t>
      </w:r>
    </w:p>
    <w:p w14:paraId="47D1E635" w14:textId="77777777" w:rsidR="00EB0BB6" w:rsidRPr="0098522D" w:rsidRDefault="00EB0BB6" w:rsidP="00EB0BB6">
      <w:pPr>
        <w:rPr>
          <w:rFonts w:cs="Arial"/>
        </w:rPr>
      </w:pPr>
    </w:p>
    <w:p w14:paraId="00A0E5AC" w14:textId="133F2A5F" w:rsidR="00B77147" w:rsidRPr="00492B31" w:rsidRDefault="00D561C8" w:rsidP="00F01218">
      <w:pPr>
        <w:pStyle w:val="ListParagraph"/>
        <w:numPr>
          <w:ilvl w:val="0"/>
          <w:numId w:val="18"/>
        </w:numPr>
        <w:jc w:val="both"/>
      </w:pPr>
      <w:r w:rsidRPr="00F01218">
        <w:rPr>
          <w:sz w:val="20"/>
        </w:rPr>
        <w:t>During 2017, UPOV launched the UPOV PRISMA PBR application tool. This online application tool enables applicants to submit application data to participating Plant Variety Protection Offices of members of the Union. The application tool was free of charge for an introductory period until December 31, 2019. At its fifty-third ordinary session, the Council decided to introduce a UPOV PRISMA fee per application of 90 Swiss Francs, starting in January 2020. The revenue recognized from UPOV PRISMA fees amounted to 134,190 Swiss francs for 2024 (125,100 Swiss francs for 2023), representing 3.2 per cent of UPOV’s total revenue for the year. The number of submissions via UPOV PRISMA increased by 4.9% in 2024 (1,964 applications in 2024 compared to 1,873 applications in 2023).</w:t>
      </w:r>
    </w:p>
    <w:p w14:paraId="085181A0" w14:textId="77777777" w:rsidR="00D90A24" w:rsidRPr="006F75BE" w:rsidRDefault="00D90A24" w:rsidP="00C21351">
      <w:pPr>
        <w:rPr>
          <w:rFonts w:cs="Arial"/>
        </w:rPr>
      </w:pPr>
    </w:p>
    <w:p w14:paraId="456E8839" w14:textId="3B6EA594" w:rsidR="008D084A" w:rsidRPr="00F01218" w:rsidRDefault="00A824AF" w:rsidP="00F01218">
      <w:pPr>
        <w:pStyle w:val="ListParagraph"/>
        <w:numPr>
          <w:ilvl w:val="0"/>
          <w:numId w:val="18"/>
        </w:numPr>
        <w:jc w:val="both"/>
        <w:rPr>
          <w:sz w:val="20"/>
        </w:rPr>
      </w:pPr>
      <w:r w:rsidRPr="008D084A">
        <w:rPr>
          <w:sz w:val="20"/>
        </w:rPr>
        <w:t>Personnel expenditure</w:t>
      </w:r>
      <w:r w:rsidR="009928A0" w:rsidRPr="008D084A">
        <w:rPr>
          <w:rFonts w:cs="Times New Roman"/>
          <w:sz w:val="20"/>
        </w:rPr>
        <w:t xml:space="preserve"> of</w:t>
      </w:r>
      <w:r w:rsidRPr="008D084A">
        <w:rPr>
          <w:rFonts w:cs="Times New Roman"/>
          <w:sz w:val="20"/>
        </w:rPr>
        <w:t xml:space="preserve"> </w:t>
      </w:r>
      <w:r w:rsidR="00B508EF">
        <w:rPr>
          <w:rFonts w:cs="Times New Roman"/>
          <w:sz w:val="20"/>
        </w:rPr>
        <w:t>2,299,485</w:t>
      </w:r>
      <w:r w:rsidRPr="008D084A">
        <w:rPr>
          <w:sz w:val="20"/>
        </w:rPr>
        <w:t xml:space="preserve"> Swiss francs represents </w:t>
      </w:r>
      <w:r w:rsidR="00B7612D" w:rsidRPr="008D084A">
        <w:rPr>
          <w:sz w:val="20"/>
        </w:rPr>
        <w:t>5</w:t>
      </w:r>
      <w:r w:rsidR="00B508EF">
        <w:rPr>
          <w:sz w:val="20"/>
        </w:rPr>
        <w:t>8</w:t>
      </w:r>
      <w:r w:rsidR="00B7612D" w:rsidRPr="008D084A">
        <w:rPr>
          <w:sz w:val="20"/>
        </w:rPr>
        <w:t>.</w:t>
      </w:r>
      <w:r w:rsidR="00B508EF">
        <w:rPr>
          <w:sz w:val="20"/>
        </w:rPr>
        <w:t>2</w:t>
      </w:r>
      <w:r w:rsidRPr="008D084A">
        <w:rPr>
          <w:sz w:val="20"/>
        </w:rPr>
        <w:t xml:space="preserve"> per cent of </w:t>
      </w:r>
      <w:r w:rsidR="00C75FFB" w:rsidRPr="008D084A">
        <w:rPr>
          <w:sz w:val="20"/>
        </w:rPr>
        <w:t xml:space="preserve">the </w:t>
      </w:r>
      <w:r w:rsidRPr="008D084A">
        <w:rPr>
          <w:sz w:val="20"/>
        </w:rPr>
        <w:t xml:space="preserve">total expenses of </w:t>
      </w:r>
      <w:r w:rsidR="00B508EF">
        <w:rPr>
          <w:sz w:val="20"/>
        </w:rPr>
        <w:t>3,949,654</w:t>
      </w:r>
      <w:r w:rsidR="0021673C" w:rsidRPr="008D084A">
        <w:rPr>
          <w:sz w:val="20"/>
        </w:rPr>
        <w:t xml:space="preserve"> </w:t>
      </w:r>
      <w:r w:rsidRPr="008D084A">
        <w:rPr>
          <w:sz w:val="20"/>
        </w:rPr>
        <w:t xml:space="preserve">Swiss francs </w:t>
      </w:r>
      <w:r w:rsidR="00046978" w:rsidRPr="008D084A">
        <w:rPr>
          <w:sz w:val="20"/>
        </w:rPr>
        <w:t>for the year 20</w:t>
      </w:r>
      <w:r w:rsidR="0021673C" w:rsidRPr="008D084A">
        <w:rPr>
          <w:sz w:val="20"/>
        </w:rPr>
        <w:t>2</w:t>
      </w:r>
      <w:r w:rsidR="00B508EF">
        <w:rPr>
          <w:sz w:val="20"/>
        </w:rPr>
        <w:t>4</w:t>
      </w:r>
      <w:r w:rsidRPr="008D084A">
        <w:rPr>
          <w:sz w:val="20"/>
        </w:rPr>
        <w:t xml:space="preserve">. </w:t>
      </w:r>
      <w:r w:rsidR="008D084A">
        <w:rPr>
          <w:sz w:val="20"/>
        </w:rPr>
        <w:t>This</w:t>
      </w:r>
      <w:r w:rsidR="008D084A" w:rsidRPr="008D084A">
        <w:rPr>
          <w:sz w:val="20"/>
        </w:rPr>
        <w:t xml:space="preserve"> </w:t>
      </w:r>
      <w:r w:rsidR="00EE6B95" w:rsidRPr="008D084A">
        <w:rPr>
          <w:sz w:val="20"/>
        </w:rPr>
        <w:t xml:space="preserve">expenditure </w:t>
      </w:r>
      <w:r w:rsidR="008D084A">
        <w:rPr>
          <w:sz w:val="20"/>
        </w:rPr>
        <w:t xml:space="preserve">remained stable, with a </w:t>
      </w:r>
      <w:r w:rsidR="003C1E76" w:rsidRPr="008D084A">
        <w:rPr>
          <w:sz w:val="20"/>
        </w:rPr>
        <w:t>decreas</w:t>
      </w:r>
      <w:r w:rsidR="008D084A">
        <w:rPr>
          <w:sz w:val="20"/>
        </w:rPr>
        <w:t>e of only</w:t>
      </w:r>
      <w:r w:rsidR="00EE6B95" w:rsidRPr="008D084A">
        <w:rPr>
          <w:sz w:val="20"/>
        </w:rPr>
        <w:t xml:space="preserve"> </w:t>
      </w:r>
      <w:r w:rsidR="00F069D3">
        <w:rPr>
          <w:sz w:val="20"/>
        </w:rPr>
        <w:t>10,33</w:t>
      </w:r>
      <w:r w:rsidR="00F015B8">
        <w:rPr>
          <w:sz w:val="20"/>
        </w:rPr>
        <w:t>5</w:t>
      </w:r>
      <w:r w:rsidR="00EE6B95" w:rsidRPr="008D084A">
        <w:rPr>
          <w:sz w:val="20"/>
        </w:rPr>
        <w:t xml:space="preserve"> Swiss francs </w:t>
      </w:r>
      <w:r w:rsidR="008D084A">
        <w:rPr>
          <w:sz w:val="20"/>
        </w:rPr>
        <w:t>compared to</w:t>
      </w:r>
      <w:r w:rsidR="00EE6B95" w:rsidRPr="008D084A">
        <w:rPr>
          <w:sz w:val="20"/>
        </w:rPr>
        <w:t xml:space="preserve"> the </w:t>
      </w:r>
      <w:r w:rsidR="00B508EF">
        <w:rPr>
          <w:sz w:val="20"/>
        </w:rPr>
        <w:t>2023</w:t>
      </w:r>
      <w:r w:rsidR="00B7612D" w:rsidRPr="008D084A">
        <w:rPr>
          <w:sz w:val="20"/>
        </w:rPr>
        <w:t xml:space="preserve"> </w:t>
      </w:r>
      <w:r w:rsidR="00EE6B95" w:rsidRPr="008D084A">
        <w:rPr>
          <w:sz w:val="20"/>
        </w:rPr>
        <w:t xml:space="preserve">figure of </w:t>
      </w:r>
      <w:r w:rsidR="00B508EF" w:rsidRPr="00CE6848">
        <w:rPr>
          <w:rFonts w:cs="Times New Roman"/>
          <w:sz w:val="20"/>
        </w:rPr>
        <w:t>2,309,820</w:t>
      </w:r>
      <w:r w:rsidR="00B508EF" w:rsidRPr="00CE6848">
        <w:rPr>
          <w:sz w:val="20"/>
        </w:rPr>
        <w:t xml:space="preserve"> </w:t>
      </w:r>
      <w:r w:rsidR="00EE6B95" w:rsidRPr="008D084A">
        <w:rPr>
          <w:sz w:val="20"/>
        </w:rPr>
        <w:t xml:space="preserve">Swiss francs. </w:t>
      </w:r>
    </w:p>
    <w:p w14:paraId="5D668950" w14:textId="77777777" w:rsidR="008D084A" w:rsidRPr="00F01218" w:rsidRDefault="008D084A" w:rsidP="008D084A">
      <w:pPr>
        <w:rPr>
          <w:b/>
        </w:rPr>
      </w:pPr>
      <w:bookmarkStart w:id="11" w:name="_Toc84329884"/>
    </w:p>
    <w:p w14:paraId="23E5B6AA" w14:textId="185D4E24" w:rsidR="00D561C8" w:rsidRPr="00D561C8" w:rsidRDefault="00D561C8" w:rsidP="00F01218">
      <w:pPr>
        <w:pStyle w:val="ListParagraph"/>
        <w:numPr>
          <w:ilvl w:val="0"/>
          <w:numId w:val="18"/>
        </w:numPr>
        <w:jc w:val="both"/>
      </w:pPr>
      <w:r w:rsidRPr="00D561C8">
        <w:rPr>
          <w:sz w:val="20"/>
        </w:rPr>
        <w:t xml:space="preserve">Travel, training and grants expenditure also remained consistent in 2024, amounting to 234,565 Swiss francs in 2024, compared to 237,233 Swiss francs in 2023. An increase in 2024 was observed for third-party travel (176,946 Swiss francs in 2024, compared to 122,684 Swiss francs in 2023). Notably, UPOV organized two events in 2024; one focused on plant variety protection for the development of agriculture and a workshop on the Arusha Protocol, established in 2015 to </w:t>
      </w:r>
      <w:r w:rsidR="00A700F1">
        <w:rPr>
          <w:sz w:val="20"/>
        </w:rPr>
        <w:t>provide a</w:t>
      </w:r>
      <w:r w:rsidRPr="00D561C8">
        <w:rPr>
          <w:sz w:val="20"/>
        </w:rPr>
        <w:t xml:space="preserve"> regional legal mechanism for the protection of plant breeders’ rights (PBRs) in ARIPO </w:t>
      </w:r>
      <w:r w:rsidR="00A700F1">
        <w:rPr>
          <w:sz w:val="20"/>
        </w:rPr>
        <w:t>M</w:t>
      </w:r>
      <w:r w:rsidRPr="00D561C8">
        <w:rPr>
          <w:sz w:val="20"/>
        </w:rPr>
        <w:t xml:space="preserve">ember </w:t>
      </w:r>
      <w:r w:rsidR="00A700F1">
        <w:rPr>
          <w:sz w:val="20"/>
        </w:rPr>
        <w:t>S</w:t>
      </w:r>
      <w:r w:rsidRPr="00D561C8">
        <w:rPr>
          <w:sz w:val="20"/>
        </w:rPr>
        <w:t xml:space="preserve">tates. This increase was offset by a decrease in staff missions (57,618 Swiss francs in 2024, compared to 114,548 Swiss francs in 2023).  </w:t>
      </w:r>
    </w:p>
    <w:p w14:paraId="3502994E" w14:textId="0AA24E9E" w:rsidR="002A40A0" w:rsidRPr="00F01218" w:rsidRDefault="002A40A0" w:rsidP="00F01218">
      <w:pPr>
        <w:pStyle w:val="ListParagraph"/>
        <w:jc w:val="both"/>
        <w:rPr>
          <w:sz w:val="20"/>
        </w:rPr>
      </w:pPr>
      <w:r w:rsidRPr="00D6147F">
        <w:rPr>
          <w:sz w:val="20"/>
        </w:rPr>
        <w:t xml:space="preserve"> </w:t>
      </w:r>
      <w:r w:rsidR="008D084A" w:rsidRPr="00D6147F">
        <w:rPr>
          <w:sz w:val="20"/>
        </w:rPr>
        <w:t xml:space="preserve"> </w:t>
      </w:r>
    </w:p>
    <w:p w14:paraId="0F6D98F3" w14:textId="476D23B0" w:rsidR="00070695" w:rsidRPr="004932AB" w:rsidRDefault="00070695" w:rsidP="00F01218">
      <w:pPr>
        <w:pStyle w:val="ListParagraph"/>
        <w:jc w:val="both"/>
      </w:pPr>
      <w:r w:rsidRPr="00F01218">
        <w:rPr>
          <w:sz w:val="20"/>
        </w:rPr>
        <w:tab/>
      </w:r>
    </w:p>
    <w:p w14:paraId="655A5F1B" w14:textId="43499747" w:rsidR="00D745F5" w:rsidRPr="00D745F5" w:rsidRDefault="00F063CA" w:rsidP="00D745F5">
      <w:pPr>
        <w:pStyle w:val="ListParagraph"/>
        <w:numPr>
          <w:ilvl w:val="0"/>
          <w:numId w:val="18"/>
        </w:numPr>
        <w:jc w:val="both"/>
        <w:rPr>
          <w:b/>
          <w:sz w:val="20"/>
        </w:rPr>
      </w:pPr>
      <w:r w:rsidRPr="00F01218">
        <w:rPr>
          <w:sz w:val="20"/>
        </w:rPr>
        <w:lastRenderedPageBreak/>
        <w:t xml:space="preserve">Contractual services of </w:t>
      </w:r>
      <w:r w:rsidR="00260605">
        <w:rPr>
          <w:sz w:val="20"/>
        </w:rPr>
        <w:t>791,34</w:t>
      </w:r>
      <w:r w:rsidR="00C71191">
        <w:rPr>
          <w:sz w:val="20"/>
        </w:rPr>
        <w:t>9</w:t>
      </w:r>
      <w:r w:rsidRPr="00F01218">
        <w:rPr>
          <w:sz w:val="20"/>
        </w:rPr>
        <w:t xml:space="preserve"> Swiss francs represent 2</w:t>
      </w:r>
      <w:r w:rsidR="00260605">
        <w:rPr>
          <w:sz w:val="20"/>
        </w:rPr>
        <w:t>0</w:t>
      </w:r>
      <w:r w:rsidRPr="00F01218">
        <w:rPr>
          <w:sz w:val="20"/>
        </w:rPr>
        <w:t xml:space="preserve"> per cent of UPOV’s total expenses for 202</w:t>
      </w:r>
      <w:r w:rsidR="00260605">
        <w:rPr>
          <w:sz w:val="20"/>
        </w:rPr>
        <w:t>4</w:t>
      </w:r>
      <w:r w:rsidRPr="00F01218">
        <w:rPr>
          <w:sz w:val="20"/>
        </w:rPr>
        <w:t xml:space="preserve"> (</w:t>
      </w:r>
      <w:r w:rsidR="00260605" w:rsidRPr="00CE6848">
        <w:rPr>
          <w:sz w:val="20"/>
        </w:rPr>
        <w:t xml:space="preserve">1,035,386 </w:t>
      </w:r>
      <w:r w:rsidRPr="00F01218">
        <w:rPr>
          <w:sz w:val="20"/>
        </w:rPr>
        <w:t>Swiss francs in 202</w:t>
      </w:r>
      <w:r w:rsidR="00260605">
        <w:rPr>
          <w:sz w:val="20"/>
        </w:rPr>
        <w:t>3</w:t>
      </w:r>
      <w:r w:rsidRPr="00F01218">
        <w:rPr>
          <w:sz w:val="20"/>
        </w:rPr>
        <w:t xml:space="preserve">). </w:t>
      </w:r>
      <w:r w:rsidR="00D745F5" w:rsidRPr="00D745F5">
        <w:rPr>
          <w:sz w:val="20"/>
        </w:rPr>
        <w:t>This decrease is mainly attributed to maintenance and development work of UPOV services.</w:t>
      </w:r>
    </w:p>
    <w:p w14:paraId="270725EA" w14:textId="0794C183" w:rsidR="00830182" w:rsidRPr="00F01218" w:rsidRDefault="00830182" w:rsidP="00F01218">
      <w:pPr>
        <w:pStyle w:val="ListParagraph"/>
        <w:jc w:val="both"/>
        <w:rPr>
          <w:b/>
          <w:sz w:val="20"/>
        </w:rPr>
      </w:pPr>
    </w:p>
    <w:p w14:paraId="54F06881" w14:textId="30D6559B" w:rsidR="00407750" w:rsidRPr="00070695" w:rsidRDefault="00407750" w:rsidP="00C21351">
      <w:pPr>
        <w:rPr>
          <w:rFonts w:cs="Arial"/>
          <w:b/>
        </w:rPr>
      </w:pPr>
    </w:p>
    <w:p w14:paraId="3CC3A3A5" w14:textId="77A375F0" w:rsidR="00A824AF" w:rsidRPr="005D7523" w:rsidRDefault="00A824AF" w:rsidP="00191695">
      <w:pPr>
        <w:pStyle w:val="Heading2"/>
        <w:rPr>
          <w:rFonts w:ascii="Arial" w:hAnsi="Arial" w:cs="Arial"/>
        </w:rPr>
      </w:pPr>
      <w:bookmarkStart w:id="12" w:name="_Toc198653928"/>
      <w:r w:rsidRPr="005D7523">
        <w:rPr>
          <w:rFonts w:ascii="Arial" w:hAnsi="Arial" w:cs="Arial"/>
        </w:rPr>
        <w:t>Financial Position</w:t>
      </w:r>
      <w:bookmarkEnd w:id="11"/>
      <w:bookmarkEnd w:id="12"/>
    </w:p>
    <w:p w14:paraId="3869B2CE" w14:textId="77777777" w:rsidR="00A824AF" w:rsidRPr="007B443E" w:rsidRDefault="00A824AF" w:rsidP="00AC4C67">
      <w:pPr>
        <w:ind w:left="567" w:hanging="567"/>
        <w:rPr>
          <w:rFonts w:cs="Arial"/>
        </w:rPr>
      </w:pPr>
    </w:p>
    <w:p w14:paraId="49FD55B6" w14:textId="6F507BBF" w:rsidR="00A824AF" w:rsidRPr="00F01218" w:rsidRDefault="00A824AF" w:rsidP="00F01218">
      <w:pPr>
        <w:pStyle w:val="ListParagraph"/>
        <w:numPr>
          <w:ilvl w:val="0"/>
          <w:numId w:val="18"/>
        </w:numPr>
        <w:jc w:val="both"/>
        <w:rPr>
          <w:sz w:val="20"/>
        </w:rPr>
      </w:pPr>
      <w:r w:rsidRPr="00F01218">
        <w:rPr>
          <w:sz w:val="20"/>
        </w:rPr>
        <w:t>UPOV ha</w:t>
      </w:r>
      <w:r w:rsidR="001B35D6" w:rsidRPr="00F01218">
        <w:rPr>
          <w:sz w:val="20"/>
        </w:rPr>
        <w:t>d</w:t>
      </w:r>
      <w:r w:rsidR="00285D59" w:rsidRPr="00F01218">
        <w:rPr>
          <w:sz w:val="20"/>
        </w:rPr>
        <w:t xml:space="preserve"> a</w:t>
      </w:r>
      <w:r w:rsidRPr="00F01218">
        <w:rPr>
          <w:sz w:val="20"/>
        </w:rPr>
        <w:t xml:space="preserve"> </w:t>
      </w:r>
      <w:r w:rsidR="00443EDE" w:rsidRPr="00F01218">
        <w:rPr>
          <w:sz w:val="20"/>
        </w:rPr>
        <w:t xml:space="preserve">negative </w:t>
      </w:r>
      <w:r w:rsidRPr="00F01218">
        <w:rPr>
          <w:sz w:val="20"/>
        </w:rPr>
        <w:t>net asset</w:t>
      </w:r>
      <w:r w:rsidR="007B2F91" w:rsidRPr="00F01218">
        <w:rPr>
          <w:sz w:val="20"/>
        </w:rPr>
        <w:t xml:space="preserve"> position</w:t>
      </w:r>
      <w:r w:rsidRPr="00F01218">
        <w:rPr>
          <w:sz w:val="20"/>
        </w:rPr>
        <w:t xml:space="preserve"> of </w:t>
      </w:r>
      <w:r w:rsidR="006C02DD">
        <w:rPr>
          <w:color w:val="000000" w:themeColor="text1"/>
          <w:sz w:val="20"/>
        </w:rPr>
        <w:t>1,158,8</w:t>
      </w:r>
      <w:r w:rsidR="001776DA">
        <w:rPr>
          <w:color w:val="000000" w:themeColor="text1"/>
          <w:sz w:val="20"/>
        </w:rPr>
        <w:t>5</w:t>
      </w:r>
      <w:r w:rsidR="00C354E7">
        <w:rPr>
          <w:color w:val="000000" w:themeColor="text1"/>
          <w:sz w:val="20"/>
        </w:rPr>
        <w:t>0</w:t>
      </w:r>
      <w:r w:rsidRPr="00F01218">
        <w:rPr>
          <w:color w:val="000000" w:themeColor="text1"/>
          <w:sz w:val="20"/>
        </w:rPr>
        <w:t xml:space="preserve"> Swiss francs </w:t>
      </w:r>
      <w:r w:rsidRPr="00F01218">
        <w:rPr>
          <w:sz w:val="20"/>
        </w:rPr>
        <w:t xml:space="preserve">as </w:t>
      </w:r>
      <w:proofErr w:type="gramStart"/>
      <w:r w:rsidRPr="00F01218">
        <w:rPr>
          <w:sz w:val="20"/>
        </w:rPr>
        <w:t>at</w:t>
      </w:r>
      <w:proofErr w:type="gramEnd"/>
      <w:r w:rsidRPr="00F01218">
        <w:rPr>
          <w:sz w:val="20"/>
        </w:rPr>
        <w:t xml:space="preserve"> </w:t>
      </w:r>
      <w:r w:rsidR="00046978" w:rsidRPr="00F01218">
        <w:rPr>
          <w:sz w:val="20"/>
        </w:rPr>
        <w:t>December 31, 20</w:t>
      </w:r>
      <w:r w:rsidR="00623FF9" w:rsidRPr="00F01218">
        <w:rPr>
          <w:sz w:val="20"/>
        </w:rPr>
        <w:t>2</w:t>
      </w:r>
      <w:r w:rsidR="006C02DD">
        <w:rPr>
          <w:sz w:val="20"/>
        </w:rPr>
        <w:t>4</w:t>
      </w:r>
      <w:r w:rsidR="00FE3288" w:rsidRPr="00F01218">
        <w:rPr>
          <w:sz w:val="20"/>
        </w:rPr>
        <w:t>, compared to</w:t>
      </w:r>
      <w:r w:rsidR="009928A0" w:rsidRPr="00F01218">
        <w:rPr>
          <w:sz w:val="20"/>
        </w:rPr>
        <w:t xml:space="preserve"> </w:t>
      </w:r>
      <w:r w:rsidR="006C02DD" w:rsidRPr="00385067">
        <w:rPr>
          <w:color w:val="000000" w:themeColor="text1"/>
          <w:sz w:val="20"/>
        </w:rPr>
        <w:t>55,01</w:t>
      </w:r>
      <w:r w:rsidR="006C02DD">
        <w:rPr>
          <w:color w:val="000000" w:themeColor="text1"/>
          <w:sz w:val="20"/>
        </w:rPr>
        <w:t xml:space="preserve">1 </w:t>
      </w:r>
      <w:r w:rsidR="00666306" w:rsidRPr="00F01218">
        <w:rPr>
          <w:sz w:val="20"/>
        </w:rPr>
        <w:t xml:space="preserve">Swiss francs </w:t>
      </w:r>
      <w:r w:rsidRPr="00F01218">
        <w:rPr>
          <w:sz w:val="20"/>
        </w:rPr>
        <w:t xml:space="preserve">at the end of </w:t>
      </w:r>
      <w:r w:rsidR="005A1AA0" w:rsidRPr="00F01218">
        <w:rPr>
          <w:sz w:val="20"/>
        </w:rPr>
        <w:t>202</w:t>
      </w:r>
      <w:r w:rsidR="006C02DD">
        <w:rPr>
          <w:sz w:val="20"/>
        </w:rPr>
        <w:t>3</w:t>
      </w:r>
      <w:r w:rsidRPr="00F01218">
        <w:rPr>
          <w:sz w:val="20"/>
        </w:rPr>
        <w:t>.</w:t>
      </w:r>
      <w:r w:rsidR="00AC11BF" w:rsidRPr="00F01218">
        <w:rPr>
          <w:sz w:val="20"/>
        </w:rPr>
        <w:t xml:space="preserve"> This movement comprises the </w:t>
      </w:r>
      <w:r w:rsidR="00F9693C">
        <w:rPr>
          <w:sz w:val="20"/>
        </w:rPr>
        <w:t>surplus</w:t>
      </w:r>
      <w:r w:rsidR="00987587" w:rsidRPr="00F01218">
        <w:rPr>
          <w:sz w:val="20"/>
        </w:rPr>
        <w:t xml:space="preserve"> </w:t>
      </w:r>
      <w:r w:rsidR="00AC11BF" w:rsidRPr="00F01218">
        <w:rPr>
          <w:sz w:val="20"/>
        </w:rPr>
        <w:t xml:space="preserve">for the year of </w:t>
      </w:r>
      <w:r w:rsidR="00987587" w:rsidRPr="00F01218">
        <w:rPr>
          <w:sz w:val="20"/>
        </w:rPr>
        <w:t>2</w:t>
      </w:r>
      <w:r w:rsidR="00F9693C">
        <w:rPr>
          <w:sz w:val="20"/>
        </w:rPr>
        <w:t>60,4</w:t>
      </w:r>
      <w:r w:rsidR="001776DA">
        <w:rPr>
          <w:sz w:val="20"/>
        </w:rPr>
        <w:t>3</w:t>
      </w:r>
      <w:r w:rsidR="00F9693C">
        <w:rPr>
          <w:sz w:val="20"/>
        </w:rPr>
        <w:t>3</w:t>
      </w:r>
      <w:r w:rsidR="005A1AA0" w:rsidRPr="00F01218">
        <w:rPr>
          <w:sz w:val="20"/>
        </w:rPr>
        <w:t xml:space="preserve"> </w:t>
      </w:r>
      <w:r w:rsidR="00AC11BF" w:rsidRPr="00F01218">
        <w:rPr>
          <w:sz w:val="20"/>
        </w:rPr>
        <w:t xml:space="preserve">Swiss francs, </w:t>
      </w:r>
      <w:r w:rsidR="00B723A4">
        <w:rPr>
          <w:sz w:val="20"/>
        </w:rPr>
        <w:t>offset by</w:t>
      </w:r>
      <w:r w:rsidR="00B723A4" w:rsidRPr="00F01218">
        <w:rPr>
          <w:sz w:val="20"/>
        </w:rPr>
        <w:t xml:space="preserve"> </w:t>
      </w:r>
      <w:r w:rsidR="009523C9">
        <w:rPr>
          <w:sz w:val="20"/>
        </w:rPr>
        <w:t xml:space="preserve">an </w:t>
      </w:r>
      <w:r w:rsidR="00B723A4">
        <w:rPr>
          <w:sz w:val="20"/>
        </w:rPr>
        <w:t xml:space="preserve">increase in </w:t>
      </w:r>
      <w:r w:rsidR="00AC11BF" w:rsidRPr="00F01218">
        <w:rPr>
          <w:rFonts w:eastAsia="SimSun"/>
          <w:sz w:val="20"/>
          <w:lang w:eastAsia="zh-CN"/>
        </w:rPr>
        <w:t xml:space="preserve">actuarial </w:t>
      </w:r>
      <w:r w:rsidR="00610B80">
        <w:rPr>
          <w:rFonts w:eastAsia="SimSun"/>
          <w:sz w:val="20"/>
          <w:lang w:eastAsia="zh-CN"/>
        </w:rPr>
        <w:t>losses</w:t>
      </w:r>
      <w:r w:rsidR="00610B80" w:rsidRPr="00F01218">
        <w:rPr>
          <w:rFonts w:eastAsia="SimSun"/>
          <w:sz w:val="20"/>
          <w:lang w:eastAsia="zh-CN"/>
        </w:rPr>
        <w:t xml:space="preserve"> </w:t>
      </w:r>
      <w:r w:rsidR="00AC11BF" w:rsidRPr="00F01218">
        <w:rPr>
          <w:rFonts w:eastAsia="SimSun"/>
          <w:sz w:val="20"/>
          <w:lang w:eastAsia="zh-CN"/>
        </w:rPr>
        <w:t xml:space="preserve">related to UPOV’s liability for </w:t>
      </w:r>
      <w:r w:rsidR="009523C9">
        <w:rPr>
          <w:rFonts w:eastAsia="SimSun"/>
          <w:sz w:val="20"/>
          <w:lang w:eastAsia="zh-CN"/>
        </w:rPr>
        <w:t xml:space="preserve">the </w:t>
      </w:r>
      <w:r w:rsidR="00AC11BF" w:rsidRPr="00F01218">
        <w:rPr>
          <w:rFonts w:eastAsia="SimSun"/>
          <w:sz w:val="20"/>
          <w:lang w:eastAsia="zh-CN"/>
        </w:rPr>
        <w:t>ASHI</w:t>
      </w:r>
      <w:r w:rsidR="00142F20">
        <w:rPr>
          <w:rFonts w:eastAsia="SimSun"/>
          <w:sz w:val="20"/>
          <w:lang w:eastAsia="zh-CN"/>
        </w:rPr>
        <w:t xml:space="preserve">. </w:t>
      </w:r>
      <w:bookmarkStart w:id="13" w:name="_Hlk192858029"/>
      <w:r w:rsidR="00142F20">
        <w:rPr>
          <w:rFonts w:eastAsia="SimSun"/>
          <w:sz w:val="20"/>
          <w:lang w:eastAsia="zh-CN"/>
        </w:rPr>
        <w:t xml:space="preserve">These </w:t>
      </w:r>
      <w:r w:rsidR="009523C9">
        <w:rPr>
          <w:rFonts w:eastAsia="SimSun"/>
          <w:sz w:val="20"/>
          <w:lang w:eastAsia="zh-CN"/>
        </w:rPr>
        <w:t xml:space="preserve">actuarial </w:t>
      </w:r>
      <w:r w:rsidR="00142F20">
        <w:rPr>
          <w:rFonts w:eastAsia="SimSun"/>
          <w:sz w:val="20"/>
          <w:lang w:eastAsia="zh-CN"/>
        </w:rPr>
        <w:t>losses</w:t>
      </w:r>
      <w:r w:rsidR="00AC11BF" w:rsidRPr="00F01218">
        <w:rPr>
          <w:rFonts w:eastAsia="SimSun"/>
          <w:sz w:val="20"/>
          <w:lang w:eastAsia="zh-CN"/>
        </w:rPr>
        <w:t xml:space="preserve"> </w:t>
      </w:r>
      <w:r w:rsidR="009523C9">
        <w:rPr>
          <w:rFonts w:eastAsia="SimSun"/>
          <w:sz w:val="20"/>
          <w:lang w:eastAsia="zh-CN"/>
        </w:rPr>
        <w:t>amounted to</w:t>
      </w:r>
      <w:r w:rsidR="009523C9" w:rsidRPr="00F01218">
        <w:rPr>
          <w:rFonts w:eastAsia="SimSun"/>
          <w:sz w:val="20"/>
          <w:lang w:eastAsia="zh-CN"/>
        </w:rPr>
        <w:t xml:space="preserve"> </w:t>
      </w:r>
      <w:r w:rsidR="00B723A4">
        <w:rPr>
          <w:rFonts w:eastAsia="SimSun"/>
          <w:sz w:val="20"/>
          <w:lang w:eastAsia="zh-CN"/>
        </w:rPr>
        <w:t>1,364,27</w:t>
      </w:r>
      <w:r w:rsidR="00C354E7">
        <w:rPr>
          <w:rFonts w:eastAsia="SimSun"/>
          <w:sz w:val="20"/>
          <w:lang w:eastAsia="zh-CN"/>
        </w:rPr>
        <w:t>2</w:t>
      </w:r>
      <w:r w:rsidR="00AC11BF" w:rsidRPr="00F01218">
        <w:rPr>
          <w:rFonts w:eastAsia="SimSun"/>
          <w:sz w:val="20"/>
          <w:lang w:eastAsia="zh-CN"/>
        </w:rPr>
        <w:t xml:space="preserve"> Swiss francs</w:t>
      </w:r>
      <w:r w:rsidR="00B723A4">
        <w:rPr>
          <w:rFonts w:eastAsia="SimSun"/>
          <w:sz w:val="20"/>
          <w:lang w:eastAsia="zh-CN"/>
        </w:rPr>
        <w:t xml:space="preserve"> </w:t>
      </w:r>
      <w:r w:rsidR="00B723A4" w:rsidRPr="00385067">
        <w:rPr>
          <w:rFonts w:eastAsia="SimSun"/>
          <w:sz w:val="20"/>
          <w:lang w:eastAsia="zh-CN"/>
        </w:rPr>
        <w:t>and were recognized through net assets</w:t>
      </w:r>
      <w:r w:rsidR="00B723A4">
        <w:rPr>
          <w:rFonts w:eastAsia="SimSun"/>
          <w:sz w:val="20"/>
          <w:lang w:eastAsia="zh-CN"/>
        </w:rPr>
        <w:t xml:space="preserve">. </w:t>
      </w:r>
      <w:bookmarkEnd w:id="13"/>
      <w:r w:rsidRPr="00F01218">
        <w:rPr>
          <w:sz w:val="20"/>
        </w:rPr>
        <w:t xml:space="preserve">The financial position of UPOV </w:t>
      </w:r>
      <w:r w:rsidR="00281ADE" w:rsidRPr="00F01218">
        <w:rPr>
          <w:sz w:val="20"/>
        </w:rPr>
        <w:t xml:space="preserve">by source of funding </w:t>
      </w:r>
      <w:r w:rsidRPr="00F01218">
        <w:rPr>
          <w:sz w:val="20"/>
        </w:rPr>
        <w:t>can be summarized as follows:</w:t>
      </w:r>
      <w:r w:rsidR="009523C9">
        <w:rPr>
          <w:sz w:val="20"/>
        </w:rPr>
        <w:t xml:space="preserve"> </w:t>
      </w:r>
    </w:p>
    <w:p w14:paraId="16CE0EE5" w14:textId="77777777" w:rsidR="00CC0DE7" w:rsidRPr="009B78B3" w:rsidRDefault="00CC0DE7" w:rsidP="00A824AF">
      <w:pPr>
        <w:autoSpaceDE w:val="0"/>
        <w:autoSpaceDN w:val="0"/>
        <w:adjustRightInd w:val="0"/>
        <w:rPr>
          <w:rFonts w:cs="Arial"/>
          <w:b/>
          <w:i/>
        </w:rPr>
      </w:pPr>
    </w:p>
    <w:p w14:paraId="7A1E309E" w14:textId="77777777" w:rsidR="00A824AF" w:rsidRPr="009B78B3" w:rsidRDefault="00A824AF" w:rsidP="00A824AF">
      <w:pPr>
        <w:autoSpaceDE w:val="0"/>
        <w:autoSpaceDN w:val="0"/>
        <w:adjustRightInd w:val="0"/>
        <w:rPr>
          <w:rFonts w:cs="Arial"/>
          <w:b/>
          <w:i/>
        </w:rPr>
      </w:pPr>
      <w:r w:rsidRPr="009B78B3">
        <w:rPr>
          <w:rFonts w:cs="Arial"/>
          <w:b/>
          <w:i/>
        </w:rPr>
        <w:t xml:space="preserve">Table 2. Summary Financial Position </w:t>
      </w:r>
      <w:r w:rsidR="00281ADE" w:rsidRPr="009B78B3">
        <w:rPr>
          <w:rFonts w:cs="Arial"/>
          <w:b/>
          <w:i/>
        </w:rPr>
        <w:t>by source of funding</w:t>
      </w:r>
    </w:p>
    <w:p w14:paraId="02E5044D" w14:textId="1814978A" w:rsidR="006606EB" w:rsidRDefault="006606EB" w:rsidP="00A824AF">
      <w:pPr>
        <w:autoSpaceDE w:val="0"/>
        <w:autoSpaceDN w:val="0"/>
        <w:adjustRightInd w:val="0"/>
        <w:rPr>
          <w:rFonts w:cs="Arial"/>
          <w:b/>
          <w:i/>
        </w:rPr>
      </w:pPr>
    </w:p>
    <w:p w14:paraId="60A786FF" w14:textId="55C73B34" w:rsidR="00A824AF" w:rsidRPr="007C4A37" w:rsidRDefault="00D6147F" w:rsidP="00F01218">
      <w:pPr>
        <w:autoSpaceDE w:val="0"/>
        <w:autoSpaceDN w:val="0"/>
        <w:adjustRightInd w:val="0"/>
        <w:rPr>
          <w:rFonts w:cs="Arial"/>
          <w:noProof/>
        </w:rPr>
      </w:pPr>
      <w:r w:rsidRPr="00D6147F">
        <w:rPr>
          <w:noProof/>
        </w:rPr>
        <w:drawing>
          <wp:inline distT="0" distB="0" distL="0" distR="0" wp14:anchorId="5488E7DF" wp14:editId="4EB487D9">
            <wp:extent cx="6137910" cy="2242820"/>
            <wp:effectExtent l="0" t="0" r="0" b="0"/>
            <wp:docPr id="149598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37910" cy="2242820"/>
                    </a:xfrm>
                    <a:prstGeom prst="rect">
                      <a:avLst/>
                    </a:prstGeom>
                    <a:noFill/>
                    <a:ln>
                      <a:noFill/>
                    </a:ln>
                  </pic:spPr>
                </pic:pic>
              </a:graphicData>
            </a:graphic>
          </wp:inline>
        </w:drawing>
      </w:r>
    </w:p>
    <w:p w14:paraId="15F2BEC7" w14:textId="7FA3677F" w:rsidR="00A824AF" w:rsidRPr="00DF6CD6" w:rsidRDefault="00A824AF" w:rsidP="00F01218">
      <w:pPr>
        <w:pStyle w:val="ListParagraph"/>
        <w:numPr>
          <w:ilvl w:val="0"/>
          <w:numId w:val="18"/>
        </w:numPr>
        <w:jc w:val="both"/>
      </w:pPr>
      <w:r w:rsidRPr="00C21351">
        <w:rPr>
          <w:sz w:val="20"/>
        </w:rPr>
        <w:t xml:space="preserve">The net working capital (current assets </w:t>
      </w:r>
      <w:proofErr w:type="gramStart"/>
      <w:r w:rsidRPr="00C21351">
        <w:rPr>
          <w:sz w:val="20"/>
        </w:rPr>
        <w:t>less</w:t>
      </w:r>
      <w:proofErr w:type="gramEnd"/>
      <w:r w:rsidRPr="00C21351">
        <w:rPr>
          <w:sz w:val="20"/>
        </w:rPr>
        <w:t xml:space="preserve"> current liabilities) of UPOV </w:t>
      </w:r>
      <w:r w:rsidR="001B35D6">
        <w:rPr>
          <w:sz w:val="20"/>
        </w:rPr>
        <w:t>was</w:t>
      </w:r>
      <w:r w:rsidR="001B35D6" w:rsidRPr="00C21351">
        <w:rPr>
          <w:sz w:val="20"/>
        </w:rPr>
        <w:t xml:space="preserve"> </w:t>
      </w:r>
      <w:r w:rsidR="00C354E7">
        <w:rPr>
          <w:color w:val="000000" w:themeColor="text1"/>
          <w:sz w:val="20"/>
        </w:rPr>
        <w:t>4,200,</w:t>
      </w:r>
      <w:r w:rsidR="001776DA">
        <w:rPr>
          <w:color w:val="000000" w:themeColor="text1"/>
          <w:sz w:val="20"/>
        </w:rPr>
        <w:t>68</w:t>
      </w:r>
      <w:r w:rsidR="00CC5CFF">
        <w:rPr>
          <w:color w:val="000000" w:themeColor="text1"/>
          <w:sz w:val="20"/>
        </w:rPr>
        <w:t>6</w:t>
      </w:r>
      <w:r w:rsidR="00A94190" w:rsidRPr="00C21351">
        <w:rPr>
          <w:color w:val="000000" w:themeColor="text1"/>
          <w:sz w:val="20"/>
        </w:rPr>
        <w:t xml:space="preserve"> </w:t>
      </w:r>
      <w:r w:rsidRPr="00C21351">
        <w:rPr>
          <w:sz w:val="20"/>
        </w:rPr>
        <w:t>Swis</w:t>
      </w:r>
      <w:r w:rsidR="00DB3596" w:rsidRPr="00C21351">
        <w:rPr>
          <w:sz w:val="20"/>
        </w:rPr>
        <w:t xml:space="preserve">s francs as </w:t>
      </w:r>
      <w:proofErr w:type="gramStart"/>
      <w:r w:rsidR="00DB3596" w:rsidRPr="00C21351">
        <w:rPr>
          <w:sz w:val="20"/>
        </w:rPr>
        <w:t>at</w:t>
      </w:r>
      <w:proofErr w:type="gramEnd"/>
      <w:r w:rsidR="00DB3596" w:rsidRPr="00C21351">
        <w:rPr>
          <w:sz w:val="20"/>
        </w:rPr>
        <w:t xml:space="preserve"> December 31, 20</w:t>
      </w:r>
      <w:r w:rsidR="00854986" w:rsidRPr="00C21351">
        <w:rPr>
          <w:sz w:val="20"/>
        </w:rPr>
        <w:t>2</w:t>
      </w:r>
      <w:r w:rsidR="00C354E7">
        <w:rPr>
          <w:sz w:val="20"/>
        </w:rPr>
        <w:t>4</w:t>
      </w:r>
      <w:r w:rsidRPr="00C21351">
        <w:rPr>
          <w:sz w:val="20"/>
        </w:rPr>
        <w:t xml:space="preserve"> (</w:t>
      </w:r>
      <w:r w:rsidR="00C354E7">
        <w:rPr>
          <w:color w:val="000000" w:themeColor="text1"/>
          <w:sz w:val="20"/>
        </w:rPr>
        <w:t>4,022,003</w:t>
      </w:r>
      <w:r w:rsidR="00C354E7" w:rsidRPr="00C21351">
        <w:rPr>
          <w:color w:val="000000" w:themeColor="text1"/>
          <w:sz w:val="20"/>
        </w:rPr>
        <w:t xml:space="preserve"> </w:t>
      </w:r>
      <w:r w:rsidRPr="00C21351">
        <w:rPr>
          <w:sz w:val="20"/>
        </w:rPr>
        <w:t xml:space="preserve">Swiss francs as </w:t>
      </w:r>
      <w:proofErr w:type="gramStart"/>
      <w:r w:rsidRPr="00C21351">
        <w:rPr>
          <w:sz w:val="20"/>
        </w:rPr>
        <w:t>at</w:t>
      </w:r>
      <w:proofErr w:type="gramEnd"/>
      <w:r w:rsidR="003F2509" w:rsidRPr="00C21351">
        <w:rPr>
          <w:sz w:val="20"/>
        </w:rPr>
        <w:t xml:space="preserve"> December 31, 20</w:t>
      </w:r>
      <w:r w:rsidR="00A94190" w:rsidRPr="00C21351">
        <w:rPr>
          <w:sz w:val="20"/>
        </w:rPr>
        <w:t>2</w:t>
      </w:r>
      <w:r w:rsidR="00C354E7">
        <w:rPr>
          <w:sz w:val="20"/>
        </w:rPr>
        <w:t>3</w:t>
      </w:r>
      <w:r w:rsidRPr="00C21351">
        <w:rPr>
          <w:sz w:val="20"/>
        </w:rPr>
        <w:t>).</w:t>
      </w:r>
      <w:r w:rsidR="00E65F2B" w:rsidRPr="00C21351">
        <w:rPr>
          <w:sz w:val="20"/>
        </w:rPr>
        <w:t xml:space="preserve"> </w:t>
      </w:r>
      <w:r w:rsidRPr="00C21351">
        <w:rPr>
          <w:sz w:val="20"/>
        </w:rPr>
        <w:t>Cash and cash equivalent</w:t>
      </w:r>
      <w:r w:rsidR="00CF4805" w:rsidRPr="00C21351">
        <w:rPr>
          <w:sz w:val="20"/>
        </w:rPr>
        <w:t xml:space="preserve"> </w:t>
      </w:r>
      <w:r w:rsidR="006517A6" w:rsidRPr="00C21351">
        <w:rPr>
          <w:sz w:val="20"/>
        </w:rPr>
        <w:t xml:space="preserve">balances </w:t>
      </w:r>
      <w:r w:rsidR="00C354E7">
        <w:rPr>
          <w:sz w:val="20"/>
        </w:rPr>
        <w:t>increased</w:t>
      </w:r>
      <w:r w:rsidR="00FB1400" w:rsidRPr="00C21351">
        <w:rPr>
          <w:sz w:val="20"/>
        </w:rPr>
        <w:t xml:space="preserve"> </w:t>
      </w:r>
      <w:r w:rsidRPr="00C21351">
        <w:rPr>
          <w:color w:val="000000" w:themeColor="text1"/>
          <w:sz w:val="20"/>
        </w:rPr>
        <w:t xml:space="preserve">from </w:t>
      </w:r>
      <w:r w:rsidR="00C354E7">
        <w:rPr>
          <w:color w:val="000000" w:themeColor="text1"/>
          <w:sz w:val="20"/>
        </w:rPr>
        <w:t>5,437,576</w:t>
      </w:r>
      <w:r w:rsidR="00C354E7" w:rsidRPr="00C21351">
        <w:rPr>
          <w:color w:val="000000" w:themeColor="text1"/>
          <w:sz w:val="20"/>
        </w:rPr>
        <w:t xml:space="preserve"> </w:t>
      </w:r>
      <w:r w:rsidRPr="00C21351">
        <w:rPr>
          <w:color w:val="000000" w:themeColor="text1"/>
          <w:sz w:val="20"/>
        </w:rPr>
        <w:t xml:space="preserve">Swiss </w:t>
      </w:r>
      <w:r w:rsidRPr="00C21351">
        <w:rPr>
          <w:sz w:val="20"/>
        </w:rPr>
        <w:t xml:space="preserve">francs as </w:t>
      </w:r>
      <w:proofErr w:type="gramStart"/>
      <w:r w:rsidR="007047EC" w:rsidRPr="00C21351">
        <w:rPr>
          <w:sz w:val="20"/>
        </w:rPr>
        <w:t>at</w:t>
      </w:r>
      <w:proofErr w:type="gramEnd"/>
      <w:r w:rsidR="007047EC" w:rsidRPr="00C21351">
        <w:rPr>
          <w:sz w:val="20"/>
        </w:rPr>
        <w:t xml:space="preserve"> December 31, </w:t>
      </w:r>
      <w:proofErr w:type="gramStart"/>
      <w:r w:rsidR="00487284" w:rsidRPr="00C21351">
        <w:rPr>
          <w:sz w:val="20"/>
        </w:rPr>
        <w:t>202</w:t>
      </w:r>
      <w:r w:rsidR="00C354E7">
        <w:rPr>
          <w:sz w:val="20"/>
        </w:rPr>
        <w:t>3</w:t>
      </w:r>
      <w:proofErr w:type="gramEnd"/>
      <w:r w:rsidR="00487284" w:rsidRPr="00C21351">
        <w:rPr>
          <w:sz w:val="20"/>
        </w:rPr>
        <w:t xml:space="preserve"> </w:t>
      </w:r>
      <w:r w:rsidRPr="00C21351">
        <w:rPr>
          <w:color w:val="000000" w:themeColor="text1"/>
          <w:sz w:val="20"/>
        </w:rPr>
        <w:t xml:space="preserve">to </w:t>
      </w:r>
      <w:r w:rsidR="00C354E7">
        <w:rPr>
          <w:color w:val="000000" w:themeColor="text1"/>
          <w:sz w:val="20"/>
        </w:rPr>
        <w:t>5,819,62</w:t>
      </w:r>
      <w:r w:rsidR="00C71191">
        <w:rPr>
          <w:color w:val="000000" w:themeColor="text1"/>
          <w:sz w:val="20"/>
        </w:rPr>
        <w:t>5</w:t>
      </w:r>
      <w:r w:rsidR="00854986" w:rsidRPr="00C21351">
        <w:rPr>
          <w:color w:val="000000" w:themeColor="text1"/>
          <w:sz w:val="20"/>
        </w:rPr>
        <w:t xml:space="preserve"> </w:t>
      </w:r>
      <w:r w:rsidRPr="00C21351">
        <w:rPr>
          <w:color w:val="000000" w:themeColor="text1"/>
          <w:sz w:val="20"/>
        </w:rPr>
        <w:t xml:space="preserve">Swiss francs as </w:t>
      </w:r>
      <w:proofErr w:type="gramStart"/>
      <w:r w:rsidRPr="00C21351">
        <w:rPr>
          <w:color w:val="000000" w:themeColor="text1"/>
          <w:sz w:val="20"/>
        </w:rPr>
        <w:t>at</w:t>
      </w:r>
      <w:proofErr w:type="gramEnd"/>
      <w:r w:rsidRPr="00C21351">
        <w:rPr>
          <w:color w:val="000000" w:themeColor="text1"/>
          <w:sz w:val="20"/>
        </w:rPr>
        <w:t xml:space="preserve"> </w:t>
      </w:r>
      <w:r w:rsidR="007047EC" w:rsidRPr="00C21351">
        <w:rPr>
          <w:sz w:val="20"/>
        </w:rPr>
        <w:t>December 31, 20</w:t>
      </w:r>
      <w:r w:rsidR="00854986" w:rsidRPr="00C21351">
        <w:rPr>
          <w:sz w:val="20"/>
        </w:rPr>
        <w:t>2</w:t>
      </w:r>
      <w:r w:rsidR="00C354E7">
        <w:rPr>
          <w:sz w:val="20"/>
        </w:rPr>
        <w:t>4</w:t>
      </w:r>
      <w:r w:rsidRPr="00C21351">
        <w:rPr>
          <w:sz w:val="20"/>
        </w:rPr>
        <w:t>.</w:t>
      </w:r>
    </w:p>
    <w:p w14:paraId="1C8D9F7A" w14:textId="77777777" w:rsidR="00A824AF" w:rsidRPr="00AC4C67" w:rsidRDefault="00A824AF" w:rsidP="00BC6E60">
      <w:pPr>
        <w:ind w:left="567" w:hanging="567"/>
        <w:rPr>
          <w:rFonts w:cs="Arial"/>
        </w:rPr>
      </w:pPr>
    </w:p>
    <w:p w14:paraId="002BD43B" w14:textId="49231A24" w:rsidR="00A824AF" w:rsidRPr="00352498" w:rsidRDefault="00A824AF" w:rsidP="00F01218">
      <w:pPr>
        <w:numPr>
          <w:ilvl w:val="0"/>
          <w:numId w:val="18"/>
        </w:numPr>
        <w:rPr>
          <w:rFonts w:cs="Arial"/>
        </w:rPr>
      </w:pPr>
      <w:r w:rsidRPr="00AC4C67">
        <w:rPr>
          <w:rFonts w:cs="Arial"/>
        </w:rPr>
        <w:t>Total accounts</w:t>
      </w:r>
      <w:r w:rsidR="007047EC" w:rsidRPr="00AC4C67">
        <w:rPr>
          <w:rFonts w:cs="Arial"/>
        </w:rPr>
        <w:t xml:space="preserve"> receivable </w:t>
      </w:r>
      <w:r w:rsidR="00F54FC5" w:rsidRPr="00AC4C67">
        <w:rPr>
          <w:rFonts w:cs="Arial"/>
        </w:rPr>
        <w:t>on</w:t>
      </w:r>
      <w:r w:rsidR="007047EC" w:rsidRPr="00AC4C67">
        <w:rPr>
          <w:rFonts w:cs="Arial"/>
        </w:rPr>
        <w:t xml:space="preserve"> December 31, </w:t>
      </w:r>
      <w:proofErr w:type="gramStart"/>
      <w:r w:rsidR="007047EC" w:rsidRPr="00AC4C67">
        <w:rPr>
          <w:rFonts w:cs="Arial"/>
        </w:rPr>
        <w:t>20</w:t>
      </w:r>
      <w:r w:rsidR="00416658" w:rsidRPr="00AC4C67">
        <w:rPr>
          <w:rFonts w:cs="Arial"/>
        </w:rPr>
        <w:t>2</w:t>
      </w:r>
      <w:r w:rsidR="000C2850">
        <w:rPr>
          <w:rFonts w:cs="Arial"/>
        </w:rPr>
        <w:t>4</w:t>
      </w:r>
      <w:proofErr w:type="gramEnd"/>
      <w:r w:rsidRPr="00AC4C67">
        <w:rPr>
          <w:rFonts w:cs="Arial"/>
        </w:rPr>
        <w:t xml:space="preserve"> </w:t>
      </w:r>
      <w:r w:rsidR="007047EC" w:rsidRPr="00AC4C67">
        <w:rPr>
          <w:rFonts w:cs="Arial"/>
          <w:color w:val="000000" w:themeColor="text1"/>
        </w:rPr>
        <w:t>were</w:t>
      </w:r>
      <w:r w:rsidR="007047EC" w:rsidRPr="009B78B3">
        <w:rPr>
          <w:rFonts w:cs="Arial"/>
          <w:color w:val="000000" w:themeColor="text1"/>
        </w:rPr>
        <w:t xml:space="preserve"> </w:t>
      </w:r>
      <w:r w:rsidR="000C2850">
        <w:rPr>
          <w:rFonts w:cs="Arial"/>
          <w:color w:val="000000" w:themeColor="text1"/>
        </w:rPr>
        <w:t>100,406</w:t>
      </w:r>
      <w:r w:rsidRPr="009B78B3">
        <w:rPr>
          <w:rFonts w:cs="Arial"/>
          <w:color w:val="000000" w:themeColor="text1"/>
        </w:rPr>
        <w:t xml:space="preserve"> Swiss francs, </w:t>
      </w:r>
      <w:r w:rsidRPr="009B78B3">
        <w:rPr>
          <w:rFonts w:cs="Arial"/>
        </w:rPr>
        <w:t xml:space="preserve">compared to </w:t>
      </w:r>
      <w:r w:rsidR="000C2850">
        <w:rPr>
          <w:rFonts w:cs="Arial"/>
          <w:color w:val="000000" w:themeColor="text1"/>
        </w:rPr>
        <w:t>193,890</w:t>
      </w:r>
      <w:r w:rsidR="00504769">
        <w:rPr>
          <w:rFonts w:cs="Arial"/>
          <w:color w:val="000000" w:themeColor="text1"/>
        </w:rPr>
        <w:t> </w:t>
      </w:r>
      <w:r w:rsidR="00666306" w:rsidRPr="009B78B3">
        <w:rPr>
          <w:rFonts w:cs="Arial"/>
          <w:color w:val="000000" w:themeColor="text1"/>
        </w:rPr>
        <w:t>Swiss francs</w:t>
      </w:r>
      <w:r w:rsidR="00CF4805" w:rsidRPr="009B78B3">
        <w:rPr>
          <w:rFonts w:cs="Arial"/>
          <w:color w:val="000000" w:themeColor="text1"/>
        </w:rPr>
        <w:t xml:space="preserve"> </w:t>
      </w:r>
      <w:r w:rsidR="007047EC" w:rsidRPr="009B78B3">
        <w:rPr>
          <w:rFonts w:cs="Arial"/>
        </w:rPr>
        <w:t xml:space="preserve">as </w:t>
      </w:r>
      <w:proofErr w:type="gramStart"/>
      <w:r w:rsidR="007047EC" w:rsidRPr="009B78B3">
        <w:rPr>
          <w:rFonts w:cs="Arial"/>
        </w:rPr>
        <w:t>at</w:t>
      </w:r>
      <w:proofErr w:type="gramEnd"/>
      <w:r w:rsidR="007047EC" w:rsidRPr="009B78B3">
        <w:rPr>
          <w:rFonts w:cs="Arial"/>
        </w:rPr>
        <w:t xml:space="preserve"> December 31, 20</w:t>
      </w:r>
      <w:r w:rsidR="00F553CD" w:rsidRPr="009B78B3">
        <w:rPr>
          <w:rFonts w:cs="Arial"/>
        </w:rPr>
        <w:t>2</w:t>
      </w:r>
      <w:r w:rsidR="000C2850">
        <w:rPr>
          <w:rFonts w:cs="Arial"/>
        </w:rPr>
        <w:t>3</w:t>
      </w:r>
      <w:r w:rsidRPr="009B78B3">
        <w:rPr>
          <w:rFonts w:cs="Arial"/>
        </w:rPr>
        <w:t>. The accounts receivable ba</w:t>
      </w:r>
      <w:r w:rsidR="007047EC" w:rsidRPr="009B78B3">
        <w:rPr>
          <w:rFonts w:cs="Arial"/>
        </w:rPr>
        <w:t>lance at the end of 20</w:t>
      </w:r>
      <w:r w:rsidR="00416658" w:rsidRPr="009B78B3">
        <w:rPr>
          <w:rFonts w:cs="Arial"/>
        </w:rPr>
        <w:t>2</w:t>
      </w:r>
      <w:r w:rsidR="000C2850">
        <w:rPr>
          <w:rFonts w:cs="Arial"/>
        </w:rPr>
        <w:t>4</w:t>
      </w:r>
      <w:r w:rsidRPr="009B78B3">
        <w:rPr>
          <w:rFonts w:cs="Arial"/>
        </w:rPr>
        <w:t xml:space="preserve"> includes contri</w:t>
      </w:r>
      <w:r w:rsidR="007047EC" w:rsidRPr="009B78B3">
        <w:rPr>
          <w:rFonts w:cs="Arial"/>
        </w:rPr>
        <w:t xml:space="preserve">butions of </w:t>
      </w:r>
      <w:r w:rsidR="000C2850">
        <w:rPr>
          <w:rFonts w:cs="Arial"/>
        </w:rPr>
        <w:t>131,228</w:t>
      </w:r>
      <w:r w:rsidR="00CF4805" w:rsidRPr="009B78B3">
        <w:rPr>
          <w:rFonts w:cs="Arial"/>
        </w:rPr>
        <w:t xml:space="preserve"> Swiss francs</w:t>
      </w:r>
      <w:r w:rsidR="00B57720" w:rsidRPr="009B78B3">
        <w:rPr>
          <w:rFonts w:cs="Arial"/>
        </w:rPr>
        <w:t>,</w:t>
      </w:r>
      <w:r w:rsidR="00F54FC5">
        <w:rPr>
          <w:rFonts w:cs="Arial"/>
        </w:rPr>
        <w:t xml:space="preserve"> </w:t>
      </w:r>
      <w:r w:rsidR="00D561C8">
        <w:rPr>
          <w:rFonts w:cs="Arial"/>
        </w:rPr>
        <w:t xml:space="preserve">partially </w:t>
      </w:r>
      <w:r w:rsidR="00F54FC5">
        <w:rPr>
          <w:rFonts w:cs="Arial"/>
        </w:rPr>
        <w:t xml:space="preserve">offset by an allowance </w:t>
      </w:r>
      <w:r w:rsidR="00D6147F">
        <w:rPr>
          <w:rFonts w:cs="Arial"/>
        </w:rPr>
        <w:t>against these receivables</w:t>
      </w:r>
      <w:r w:rsidR="00F54FC5">
        <w:rPr>
          <w:rFonts w:cs="Arial"/>
        </w:rPr>
        <w:t xml:space="preserve"> of 42,912 Swiss francs</w:t>
      </w:r>
      <w:r w:rsidR="008D6CF4">
        <w:rPr>
          <w:rFonts w:cs="Arial"/>
        </w:rPr>
        <w:t>,</w:t>
      </w:r>
      <w:r w:rsidR="00F54FC5">
        <w:rPr>
          <w:rFonts w:cs="Arial"/>
        </w:rPr>
        <w:t xml:space="preserve"> as well as</w:t>
      </w:r>
      <w:r w:rsidR="008D6CF4">
        <w:rPr>
          <w:rFonts w:cs="Arial"/>
        </w:rPr>
        <w:t xml:space="preserve"> </w:t>
      </w:r>
      <w:r w:rsidR="00E95F7A">
        <w:rPr>
          <w:rFonts w:cs="Arial"/>
        </w:rPr>
        <w:t>uncollected fee balance</w:t>
      </w:r>
      <w:r w:rsidR="00285D59">
        <w:rPr>
          <w:rFonts w:cs="Arial"/>
        </w:rPr>
        <w:t>s</w:t>
      </w:r>
      <w:r w:rsidR="00E95F7A">
        <w:rPr>
          <w:rFonts w:cs="Arial"/>
        </w:rPr>
        <w:t xml:space="preserve"> for </w:t>
      </w:r>
      <w:r w:rsidR="00F54FC5">
        <w:rPr>
          <w:rFonts w:cs="Arial"/>
        </w:rPr>
        <w:t xml:space="preserve">the </w:t>
      </w:r>
      <w:r w:rsidR="00E95F7A">
        <w:rPr>
          <w:rFonts w:cs="Arial"/>
        </w:rPr>
        <w:t>UPOV PRISMA and PLUTO database application</w:t>
      </w:r>
      <w:r w:rsidR="00AC11BF">
        <w:rPr>
          <w:rFonts w:cs="Arial"/>
        </w:rPr>
        <w:t>s</w:t>
      </w:r>
      <w:r w:rsidR="00E95F7A">
        <w:rPr>
          <w:rFonts w:cs="Arial"/>
        </w:rPr>
        <w:t xml:space="preserve"> of </w:t>
      </w:r>
      <w:r w:rsidR="00F54FC5">
        <w:rPr>
          <w:rFonts w:cs="Arial"/>
        </w:rPr>
        <w:t>12,000</w:t>
      </w:r>
      <w:r w:rsidR="00E95F7A" w:rsidRPr="00EF500A">
        <w:rPr>
          <w:rFonts w:cs="Arial"/>
        </w:rPr>
        <w:t xml:space="preserve"> Swiss francs</w:t>
      </w:r>
      <w:r w:rsidR="00E95F7A" w:rsidRPr="0038775D" w:rsidDel="00F553CD">
        <w:rPr>
          <w:rFonts w:cs="Arial"/>
        </w:rPr>
        <w:t xml:space="preserve"> </w:t>
      </w:r>
      <w:r w:rsidR="00412EAD" w:rsidRPr="00352498">
        <w:rPr>
          <w:rFonts w:cs="Arial"/>
        </w:rPr>
        <w:t xml:space="preserve">and miscellaneous </w:t>
      </w:r>
      <w:r w:rsidR="007047EC" w:rsidRPr="00352498">
        <w:rPr>
          <w:rFonts w:cs="Arial"/>
        </w:rPr>
        <w:t>debtors of</w:t>
      </w:r>
      <w:r w:rsidR="00416658" w:rsidRPr="00352498">
        <w:rPr>
          <w:rFonts w:cs="Arial"/>
        </w:rPr>
        <w:t xml:space="preserve"> </w:t>
      </w:r>
      <w:r w:rsidR="00F54FC5">
        <w:rPr>
          <w:rFonts w:cs="Arial"/>
        </w:rPr>
        <w:t>90</w:t>
      </w:r>
      <w:r w:rsidR="00977B6A" w:rsidRPr="00855138">
        <w:rPr>
          <w:rFonts w:cs="Arial"/>
        </w:rPr>
        <w:t xml:space="preserve"> </w:t>
      </w:r>
      <w:r w:rsidR="00412EAD" w:rsidRPr="00352498">
        <w:rPr>
          <w:rFonts w:cs="Arial"/>
        </w:rPr>
        <w:t>Swiss francs.</w:t>
      </w:r>
    </w:p>
    <w:p w14:paraId="2C7984CC" w14:textId="77777777" w:rsidR="00191695" w:rsidRPr="00BB2405" w:rsidRDefault="00191695" w:rsidP="00BC6E60">
      <w:pPr>
        <w:ind w:left="567" w:hanging="567"/>
        <w:rPr>
          <w:rFonts w:cs="Arial"/>
        </w:rPr>
      </w:pPr>
    </w:p>
    <w:p w14:paraId="4CE843C7" w14:textId="2659A024" w:rsidR="00FA2EAD" w:rsidRPr="005D7523" w:rsidRDefault="00A824AF" w:rsidP="00F01218">
      <w:pPr>
        <w:pStyle w:val="ListParagraph"/>
        <w:numPr>
          <w:ilvl w:val="0"/>
          <w:numId w:val="18"/>
        </w:numPr>
        <w:jc w:val="both"/>
        <w:rPr>
          <w:sz w:val="20"/>
        </w:rPr>
      </w:pPr>
      <w:r w:rsidRPr="0038775D">
        <w:rPr>
          <w:sz w:val="20"/>
        </w:rPr>
        <w:t>UPOV ha</w:t>
      </w:r>
      <w:r w:rsidR="00B51B4D">
        <w:rPr>
          <w:sz w:val="20"/>
        </w:rPr>
        <w:t>d</w:t>
      </w:r>
      <w:r w:rsidRPr="0038775D">
        <w:rPr>
          <w:sz w:val="20"/>
        </w:rPr>
        <w:t xml:space="preserve"> total employee benefit liabilities of </w:t>
      </w:r>
      <w:r w:rsidR="00E54B33">
        <w:rPr>
          <w:color w:val="000000" w:themeColor="text1"/>
          <w:sz w:val="20"/>
        </w:rPr>
        <w:t>5,581,482</w:t>
      </w:r>
      <w:r w:rsidRPr="0038775D">
        <w:rPr>
          <w:color w:val="000000" w:themeColor="text1"/>
          <w:sz w:val="20"/>
        </w:rPr>
        <w:t xml:space="preserve"> Swiss francs </w:t>
      </w:r>
      <w:r w:rsidRPr="0038775D">
        <w:rPr>
          <w:sz w:val="20"/>
        </w:rPr>
        <w:t xml:space="preserve">as </w:t>
      </w:r>
      <w:proofErr w:type="gramStart"/>
      <w:r w:rsidRPr="0038775D">
        <w:rPr>
          <w:sz w:val="20"/>
        </w:rPr>
        <w:t>at</w:t>
      </w:r>
      <w:proofErr w:type="gramEnd"/>
      <w:r w:rsidRPr="0038775D">
        <w:rPr>
          <w:sz w:val="20"/>
        </w:rPr>
        <w:t xml:space="preserve"> December 3</w:t>
      </w:r>
      <w:r w:rsidR="007047EC" w:rsidRPr="0038775D">
        <w:rPr>
          <w:sz w:val="20"/>
        </w:rPr>
        <w:t>1,</w:t>
      </w:r>
      <w:r w:rsidR="001D107E" w:rsidRPr="0038775D">
        <w:rPr>
          <w:sz w:val="20"/>
        </w:rPr>
        <w:t xml:space="preserve"> </w:t>
      </w:r>
      <w:r w:rsidR="007047EC" w:rsidRPr="0038775D">
        <w:rPr>
          <w:sz w:val="20"/>
        </w:rPr>
        <w:t>20</w:t>
      </w:r>
      <w:r w:rsidR="009972B8" w:rsidRPr="0038775D">
        <w:rPr>
          <w:sz w:val="20"/>
        </w:rPr>
        <w:t>2</w:t>
      </w:r>
      <w:r w:rsidR="00E54B33">
        <w:rPr>
          <w:sz w:val="20"/>
        </w:rPr>
        <w:t>4</w:t>
      </w:r>
      <w:r w:rsidRPr="0038775D">
        <w:rPr>
          <w:sz w:val="20"/>
        </w:rPr>
        <w:t xml:space="preserve">, compared to </w:t>
      </w:r>
      <w:r w:rsidR="00E54B33">
        <w:rPr>
          <w:color w:val="000000" w:themeColor="text1"/>
          <w:sz w:val="20"/>
        </w:rPr>
        <w:t>4,231,165</w:t>
      </w:r>
      <w:r w:rsidR="00E54B33" w:rsidRPr="0038775D">
        <w:rPr>
          <w:color w:val="000000" w:themeColor="text1"/>
          <w:sz w:val="20"/>
        </w:rPr>
        <w:t xml:space="preserve"> </w:t>
      </w:r>
      <w:r w:rsidRPr="0038775D">
        <w:rPr>
          <w:sz w:val="20"/>
        </w:rPr>
        <w:t>Swiss francs as</w:t>
      </w:r>
      <w:r w:rsidR="007047EC" w:rsidRPr="0038775D">
        <w:rPr>
          <w:sz w:val="20"/>
        </w:rPr>
        <w:t xml:space="preserve"> </w:t>
      </w:r>
      <w:proofErr w:type="gramStart"/>
      <w:r w:rsidR="007047EC" w:rsidRPr="0038775D">
        <w:rPr>
          <w:sz w:val="20"/>
        </w:rPr>
        <w:t>at</w:t>
      </w:r>
      <w:proofErr w:type="gramEnd"/>
      <w:r w:rsidR="007047EC" w:rsidRPr="0038775D">
        <w:rPr>
          <w:sz w:val="20"/>
        </w:rPr>
        <w:t xml:space="preserve"> December 31, 20</w:t>
      </w:r>
      <w:r w:rsidR="00F553CD" w:rsidRPr="0038775D">
        <w:rPr>
          <w:sz w:val="20"/>
        </w:rPr>
        <w:t>2</w:t>
      </w:r>
      <w:r w:rsidR="00E54B33">
        <w:rPr>
          <w:sz w:val="20"/>
        </w:rPr>
        <w:t>3</w:t>
      </w:r>
      <w:r w:rsidR="00E73287" w:rsidRPr="0038775D">
        <w:rPr>
          <w:sz w:val="20"/>
        </w:rPr>
        <w:t xml:space="preserve">. </w:t>
      </w:r>
      <w:r w:rsidRPr="0038775D">
        <w:rPr>
          <w:sz w:val="20"/>
        </w:rPr>
        <w:t xml:space="preserve">For the </w:t>
      </w:r>
      <w:r w:rsidR="00760F1C" w:rsidRPr="0038775D">
        <w:rPr>
          <w:sz w:val="20"/>
        </w:rPr>
        <w:t xml:space="preserve">liabilities relating to ASHI, repatriation benefits and </w:t>
      </w:r>
      <w:r w:rsidR="00D760AE" w:rsidRPr="0038775D">
        <w:rPr>
          <w:sz w:val="20"/>
        </w:rPr>
        <w:t xml:space="preserve">long-term accumulated annual </w:t>
      </w:r>
      <w:r w:rsidR="007F0E66" w:rsidRPr="0038775D">
        <w:rPr>
          <w:sz w:val="20"/>
        </w:rPr>
        <w:t>leave,</w:t>
      </w:r>
      <w:r w:rsidR="00760F1C" w:rsidRPr="0038775D">
        <w:rPr>
          <w:sz w:val="20"/>
        </w:rPr>
        <w:t xml:space="preserve"> </w:t>
      </w:r>
      <w:r w:rsidRPr="0038775D">
        <w:rPr>
          <w:sz w:val="20"/>
        </w:rPr>
        <w:t>actuarial valuations have been used. The m</w:t>
      </w:r>
      <w:r w:rsidR="00D6147F">
        <w:rPr>
          <w:sz w:val="20"/>
        </w:rPr>
        <w:t>ost significant</w:t>
      </w:r>
      <w:r w:rsidRPr="0038775D">
        <w:rPr>
          <w:sz w:val="20"/>
        </w:rPr>
        <w:t xml:space="preserve"> liability, relating to ASHI</w:t>
      </w:r>
      <w:r w:rsidRPr="0038775D">
        <w:rPr>
          <w:color w:val="000000" w:themeColor="text1"/>
          <w:sz w:val="20"/>
        </w:rPr>
        <w:t xml:space="preserve">, amounts to </w:t>
      </w:r>
      <w:r w:rsidR="00E54B33">
        <w:rPr>
          <w:color w:val="000000" w:themeColor="text1"/>
          <w:sz w:val="20"/>
        </w:rPr>
        <w:t>5,352,935</w:t>
      </w:r>
      <w:r w:rsidR="00760F1C" w:rsidRPr="0038775D">
        <w:rPr>
          <w:color w:val="000000" w:themeColor="text1"/>
          <w:sz w:val="20"/>
        </w:rPr>
        <w:t xml:space="preserve"> </w:t>
      </w:r>
      <w:r w:rsidRPr="0038775D">
        <w:rPr>
          <w:color w:val="000000" w:themeColor="text1"/>
          <w:sz w:val="20"/>
        </w:rPr>
        <w:t xml:space="preserve">Swiss francs as </w:t>
      </w:r>
      <w:proofErr w:type="gramStart"/>
      <w:r w:rsidRPr="0038775D">
        <w:rPr>
          <w:color w:val="000000" w:themeColor="text1"/>
          <w:sz w:val="20"/>
        </w:rPr>
        <w:t>at</w:t>
      </w:r>
      <w:proofErr w:type="gramEnd"/>
      <w:r w:rsidRPr="0038775D">
        <w:rPr>
          <w:color w:val="000000" w:themeColor="text1"/>
          <w:sz w:val="20"/>
        </w:rPr>
        <w:t xml:space="preserve"> De</w:t>
      </w:r>
      <w:r w:rsidR="007047EC" w:rsidRPr="0038775D">
        <w:rPr>
          <w:color w:val="000000" w:themeColor="text1"/>
          <w:sz w:val="20"/>
        </w:rPr>
        <w:t>cember 31, 20</w:t>
      </w:r>
      <w:r w:rsidR="008D70C5" w:rsidRPr="0038775D">
        <w:rPr>
          <w:color w:val="000000" w:themeColor="text1"/>
          <w:sz w:val="20"/>
        </w:rPr>
        <w:t>2</w:t>
      </w:r>
      <w:r w:rsidR="00E54B33">
        <w:rPr>
          <w:color w:val="000000" w:themeColor="text1"/>
          <w:sz w:val="20"/>
        </w:rPr>
        <w:t>4</w:t>
      </w:r>
      <w:r w:rsidR="00760F1C" w:rsidRPr="0038775D">
        <w:rPr>
          <w:color w:val="000000" w:themeColor="text1"/>
          <w:sz w:val="20"/>
        </w:rPr>
        <w:t xml:space="preserve">. This </w:t>
      </w:r>
      <w:r w:rsidR="00D6147F">
        <w:rPr>
          <w:color w:val="000000" w:themeColor="text1"/>
          <w:sz w:val="20"/>
        </w:rPr>
        <w:t>represents</w:t>
      </w:r>
      <w:r w:rsidR="00760F1C" w:rsidRPr="0038775D">
        <w:rPr>
          <w:color w:val="000000" w:themeColor="text1"/>
          <w:sz w:val="20"/>
        </w:rPr>
        <w:t xml:space="preserve"> </w:t>
      </w:r>
      <w:r w:rsidR="00677A58">
        <w:rPr>
          <w:color w:val="000000" w:themeColor="text1"/>
          <w:sz w:val="20"/>
        </w:rPr>
        <w:t>a</w:t>
      </w:r>
      <w:r w:rsidR="00F540BD">
        <w:rPr>
          <w:color w:val="000000" w:themeColor="text1"/>
          <w:sz w:val="20"/>
        </w:rPr>
        <w:t>n</w:t>
      </w:r>
      <w:r w:rsidR="00677A58">
        <w:rPr>
          <w:color w:val="000000" w:themeColor="text1"/>
          <w:sz w:val="20"/>
        </w:rPr>
        <w:t xml:space="preserve"> </w:t>
      </w:r>
      <w:r w:rsidR="00F540BD">
        <w:rPr>
          <w:color w:val="000000" w:themeColor="text1"/>
          <w:sz w:val="20"/>
        </w:rPr>
        <w:t xml:space="preserve">increase </w:t>
      </w:r>
      <w:r w:rsidRPr="0038775D">
        <w:rPr>
          <w:color w:val="000000" w:themeColor="text1"/>
          <w:sz w:val="20"/>
        </w:rPr>
        <w:t xml:space="preserve">of </w:t>
      </w:r>
      <w:r w:rsidR="00E54B33">
        <w:rPr>
          <w:color w:val="000000" w:themeColor="text1"/>
          <w:sz w:val="20"/>
        </w:rPr>
        <w:t>1,366,092</w:t>
      </w:r>
      <w:r w:rsidR="00760F1C" w:rsidRPr="0038775D">
        <w:rPr>
          <w:color w:val="000000" w:themeColor="text1"/>
          <w:sz w:val="20"/>
        </w:rPr>
        <w:t xml:space="preserve"> </w:t>
      </w:r>
      <w:r w:rsidRPr="0038775D">
        <w:rPr>
          <w:color w:val="000000" w:themeColor="text1"/>
          <w:sz w:val="20"/>
        </w:rPr>
        <w:t xml:space="preserve">Swiss francs </w:t>
      </w:r>
      <w:r w:rsidRPr="0038775D">
        <w:rPr>
          <w:sz w:val="20"/>
        </w:rPr>
        <w:t xml:space="preserve">from the balance </w:t>
      </w:r>
      <w:r w:rsidR="007047EC" w:rsidRPr="0038775D">
        <w:rPr>
          <w:sz w:val="20"/>
        </w:rPr>
        <w:t xml:space="preserve">of </w:t>
      </w:r>
      <w:r w:rsidR="006F4A80">
        <w:rPr>
          <w:color w:val="000000" w:themeColor="text1"/>
          <w:sz w:val="20"/>
        </w:rPr>
        <w:t>3,986,843</w:t>
      </w:r>
      <w:r w:rsidR="00760F1C" w:rsidRPr="0038775D">
        <w:rPr>
          <w:sz w:val="20"/>
        </w:rPr>
        <w:t xml:space="preserve"> Swiss francs </w:t>
      </w:r>
      <w:r w:rsidRPr="0038775D">
        <w:rPr>
          <w:sz w:val="20"/>
        </w:rPr>
        <w:t xml:space="preserve">as </w:t>
      </w:r>
      <w:proofErr w:type="gramStart"/>
      <w:r w:rsidRPr="0038775D">
        <w:rPr>
          <w:sz w:val="20"/>
        </w:rPr>
        <w:t>at</w:t>
      </w:r>
      <w:proofErr w:type="gramEnd"/>
      <w:r w:rsidR="007047EC" w:rsidRPr="0038775D">
        <w:rPr>
          <w:sz w:val="20"/>
        </w:rPr>
        <w:t xml:space="preserve"> December 31, </w:t>
      </w:r>
      <w:r w:rsidR="00D92996" w:rsidRPr="0038775D">
        <w:rPr>
          <w:sz w:val="20"/>
        </w:rPr>
        <w:t>202</w:t>
      </w:r>
      <w:r w:rsidR="006F4A80">
        <w:rPr>
          <w:sz w:val="20"/>
        </w:rPr>
        <w:t>3</w:t>
      </w:r>
      <w:r w:rsidR="00760F1C" w:rsidRPr="0038775D">
        <w:rPr>
          <w:sz w:val="20"/>
        </w:rPr>
        <w:t xml:space="preserve">. </w:t>
      </w:r>
      <w:r w:rsidR="00FA2EAD" w:rsidRPr="0038775D">
        <w:rPr>
          <w:rFonts w:eastAsia="SimSun"/>
          <w:sz w:val="20"/>
          <w:lang w:eastAsia="zh-CN"/>
        </w:rPr>
        <w:t xml:space="preserve">The calculation of the ASHI liability is performed by an independent actuary. In </w:t>
      </w:r>
      <w:r w:rsidR="00FA2EAD" w:rsidRPr="0038775D">
        <w:rPr>
          <w:sz w:val="20"/>
        </w:rPr>
        <w:t>accordance with IPSAS requirements</w:t>
      </w:r>
      <w:r w:rsidR="00D6147F">
        <w:rPr>
          <w:sz w:val="20"/>
        </w:rPr>
        <w:t>.</w:t>
      </w:r>
      <w:r w:rsidR="00FA2EAD" w:rsidRPr="0038775D">
        <w:rPr>
          <w:sz w:val="20"/>
        </w:rPr>
        <w:t xml:space="preserve"> </w:t>
      </w:r>
      <w:r w:rsidR="00D6147F">
        <w:rPr>
          <w:sz w:val="20"/>
        </w:rPr>
        <w:t>T</w:t>
      </w:r>
      <w:r w:rsidR="00FA2EAD" w:rsidRPr="0038775D">
        <w:rPr>
          <w:sz w:val="20"/>
        </w:rPr>
        <w:t>he ASHI liability recognized in the financial statements represents the present value of all expected future benefits to existing retirees and their dependents, and all accrued post-employment benefits of active staff. On average, medical costs increase with age, so the most significant expected medical costs remain to be paid in the future. UPOV staff and retirees participate in WIPO’s medical insurance plan. To manage the cost and risk of the medical insurance plan, WIPO has secured an insurance contract that allows a level per person premium to be paid for all existing retirees and active staff, thus reducing the cash paid on behalf of older retirees relative to their incurred medical</w:t>
      </w:r>
      <w:r w:rsidR="00FA2EAD" w:rsidRPr="0038775D">
        <w:rPr>
          <w:rFonts w:eastAsia="SimSun"/>
          <w:sz w:val="20"/>
          <w:lang w:eastAsia="zh-CN"/>
        </w:rPr>
        <w:t xml:space="preserve"> cost.</w:t>
      </w:r>
      <w:r w:rsidR="00FA2EAD" w:rsidRPr="005D7523">
        <w:rPr>
          <w:rFonts w:eastAsia="SimSun"/>
          <w:sz w:val="20"/>
          <w:lang w:eastAsia="zh-CN"/>
        </w:rPr>
        <w:t xml:space="preserve">  </w:t>
      </w:r>
    </w:p>
    <w:p w14:paraId="057CFDF7" w14:textId="77777777" w:rsidR="00FA2EAD" w:rsidRPr="005D7523" w:rsidRDefault="00FA2EAD" w:rsidP="00BC6E60">
      <w:pPr>
        <w:pStyle w:val="ListParagraph"/>
        <w:ind w:hanging="567"/>
        <w:jc w:val="both"/>
        <w:rPr>
          <w:sz w:val="20"/>
        </w:rPr>
      </w:pPr>
      <w:r w:rsidRPr="005D7523">
        <w:rPr>
          <w:rFonts w:eastAsia="SimSun"/>
          <w:sz w:val="20"/>
          <w:lang w:eastAsia="zh-CN"/>
        </w:rPr>
        <w:t xml:space="preserve"> </w:t>
      </w:r>
    </w:p>
    <w:p w14:paraId="611F3BDC" w14:textId="12DABD26" w:rsidR="00CD08F2" w:rsidRPr="00F01218" w:rsidRDefault="00FA2EAD" w:rsidP="00F01218">
      <w:pPr>
        <w:pStyle w:val="ListParagraph"/>
        <w:numPr>
          <w:ilvl w:val="0"/>
          <w:numId w:val="18"/>
        </w:numPr>
        <w:jc w:val="both"/>
        <w:rPr>
          <w:rFonts w:eastAsia="SimSun"/>
          <w:sz w:val="20"/>
          <w:lang w:eastAsia="zh-CN"/>
        </w:rPr>
      </w:pPr>
      <w:r w:rsidRPr="00100705">
        <w:rPr>
          <w:rFonts w:eastAsia="SimSun"/>
          <w:sz w:val="20"/>
          <w:lang w:eastAsia="zh-CN"/>
        </w:rPr>
        <w:t>The ASHI liability calculation incorporates a number of actuarial assumptions. These include the discount r</w:t>
      </w:r>
      <w:r w:rsidRPr="007C4A37">
        <w:rPr>
          <w:rFonts w:eastAsia="SimSun"/>
          <w:sz w:val="20"/>
          <w:lang w:eastAsia="zh-CN"/>
        </w:rPr>
        <w:t xml:space="preserve">ate, medical cost trend rates, </w:t>
      </w:r>
      <w:r w:rsidR="007B443E" w:rsidRPr="005D7523">
        <w:rPr>
          <w:rFonts w:eastAsia="SimSun"/>
          <w:sz w:val="20"/>
          <w:lang w:eastAsia="zh-CN"/>
        </w:rPr>
        <w:t>annual</w:t>
      </w:r>
      <w:r w:rsidRPr="00100705">
        <w:rPr>
          <w:rFonts w:eastAsia="SimSun"/>
          <w:sz w:val="20"/>
          <w:lang w:eastAsia="zh-CN"/>
        </w:rPr>
        <w:t xml:space="preserve"> medical claims</w:t>
      </w:r>
      <w:r w:rsidR="007B443E" w:rsidRPr="005D7523">
        <w:rPr>
          <w:rFonts w:eastAsia="SimSun"/>
          <w:sz w:val="20"/>
          <w:lang w:eastAsia="zh-CN"/>
        </w:rPr>
        <w:t xml:space="preserve"> cost</w:t>
      </w:r>
      <w:r w:rsidRPr="00100705">
        <w:rPr>
          <w:rFonts w:eastAsia="SimSun"/>
          <w:sz w:val="20"/>
          <w:lang w:eastAsia="zh-CN"/>
        </w:rPr>
        <w:t xml:space="preserve">, retirement rates and mortality rates. Changes to these assumptions year on year lead to actuarial gains and </w:t>
      </w:r>
      <w:r w:rsidR="0098522D" w:rsidRPr="005D7523">
        <w:rPr>
          <w:rFonts w:eastAsia="SimSun"/>
          <w:sz w:val="20"/>
          <w:lang w:eastAsia="zh-CN"/>
        </w:rPr>
        <w:t>losses, which</w:t>
      </w:r>
      <w:r w:rsidRPr="00100705">
        <w:rPr>
          <w:rFonts w:eastAsia="SimSun"/>
          <w:sz w:val="20"/>
          <w:lang w:eastAsia="zh-CN"/>
        </w:rPr>
        <w:t xml:space="preserve"> are recognized as part of the liability in the Statement of F</w:t>
      </w:r>
      <w:r w:rsidRPr="007C4A37">
        <w:rPr>
          <w:rFonts w:eastAsia="SimSun"/>
          <w:sz w:val="20"/>
          <w:lang w:eastAsia="zh-CN"/>
        </w:rPr>
        <w:t>inancial Position. A breakdown of the movement in the liability due to actuarial gains a</w:t>
      </w:r>
      <w:r w:rsidR="007446B7" w:rsidRPr="007C4A37">
        <w:rPr>
          <w:rFonts w:eastAsia="SimSun"/>
          <w:sz w:val="20"/>
          <w:lang w:eastAsia="zh-CN"/>
        </w:rPr>
        <w:t>nd losses is provided in Note 5</w:t>
      </w:r>
      <w:r w:rsidRPr="005D7523">
        <w:rPr>
          <w:rFonts w:eastAsia="SimSun"/>
          <w:sz w:val="20"/>
          <w:lang w:eastAsia="zh-CN"/>
        </w:rPr>
        <w:t xml:space="preserve"> of these financial statements.</w:t>
      </w:r>
      <w:r w:rsidR="00595B43">
        <w:rPr>
          <w:rFonts w:eastAsia="SimSun"/>
          <w:sz w:val="20"/>
          <w:lang w:eastAsia="zh-CN"/>
        </w:rPr>
        <w:t xml:space="preserve"> </w:t>
      </w:r>
      <w:bookmarkStart w:id="14" w:name="_Hlk192858059"/>
      <w:r w:rsidR="00595B43" w:rsidRPr="00F01218">
        <w:rPr>
          <w:rFonts w:eastAsia="SimSun"/>
          <w:sz w:val="20"/>
          <w:lang w:eastAsia="zh-CN"/>
        </w:rPr>
        <w:t xml:space="preserve">The increase in liability in 2024 was </w:t>
      </w:r>
      <w:r w:rsidR="006959CD">
        <w:rPr>
          <w:rFonts w:eastAsia="SimSun"/>
          <w:sz w:val="20"/>
          <w:lang w:eastAsia="zh-CN"/>
        </w:rPr>
        <w:t>partly</w:t>
      </w:r>
      <w:r w:rsidR="00595B43" w:rsidRPr="00F01218">
        <w:rPr>
          <w:rFonts w:eastAsia="SimSun"/>
          <w:sz w:val="20"/>
          <w:lang w:eastAsia="zh-CN"/>
        </w:rPr>
        <w:t xml:space="preserve"> due to the </w:t>
      </w:r>
      <w:r w:rsidR="005D2C12">
        <w:rPr>
          <w:rFonts w:eastAsia="SimSun"/>
          <w:sz w:val="20"/>
          <w:lang w:eastAsia="zh-CN"/>
        </w:rPr>
        <w:t xml:space="preserve">opening balance </w:t>
      </w:r>
      <w:r w:rsidR="00595B43" w:rsidRPr="00F01218">
        <w:rPr>
          <w:rFonts w:eastAsia="SimSun"/>
          <w:sz w:val="20"/>
          <w:lang w:eastAsia="zh-CN"/>
        </w:rPr>
        <w:t>adjustment of the obligation for an additional retiree</w:t>
      </w:r>
      <w:r w:rsidR="005D2C12">
        <w:rPr>
          <w:rFonts w:eastAsia="SimSun"/>
          <w:sz w:val="20"/>
          <w:lang w:eastAsia="zh-CN"/>
        </w:rPr>
        <w:t xml:space="preserve"> and dependents</w:t>
      </w:r>
      <w:r w:rsidR="00595B43" w:rsidRPr="00F01218">
        <w:rPr>
          <w:rFonts w:eastAsia="SimSun"/>
          <w:sz w:val="20"/>
          <w:lang w:eastAsia="zh-CN"/>
        </w:rPr>
        <w:t xml:space="preserve"> not </w:t>
      </w:r>
      <w:r w:rsidR="006F4A80">
        <w:rPr>
          <w:rFonts w:eastAsia="SimSun"/>
          <w:sz w:val="20"/>
          <w:lang w:eastAsia="zh-CN"/>
        </w:rPr>
        <w:t>accounted for</w:t>
      </w:r>
      <w:r w:rsidR="00595B43" w:rsidRPr="00F01218">
        <w:rPr>
          <w:rFonts w:eastAsia="SimSun"/>
          <w:sz w:val="20"/>
          <w:lang w:eastAsia="zh-CN"/>
        </w:rPr>
        <w:t xml:space="preserve"> in </w:t>
      </w:r>
      <w:r w:rsidR="006F4A80">
        <w:rPr>
          <w:rFonts w:eastAsia="SimSun"/>
          <w:sz w:val="20"/>
          <w:lang w:eastAsia="zh-CN"/>
        </w:rPr>
        <w:t xml:space="preserve">previous </w:t>
      </w:r>
      <w:r w:rsidR="00595B43" w:rsidRPr="00F01218">
        <w:rPr>
          <w:rFonts w:eastAsia="SimSun"/>
          <w:sz w:val="20"/>
          <w:lang w:eastAsia="zh-CN"/>
        </w:rPr>
        <w:t>year</w:t>
      </w:r>
      <w:r w:rsidR="006F4A80">
        <w:rPr>
          <w:rFonts w:eastAsia="SimSun"/>
          <w:sz w:val="20"/>
          <w:lang w:eastAsia="zh-CN"/>
        </w:rPr>
        <w:t>s’</w:t>
      </w:r>
      <w:r w:rsidR="00595B43" w:rsidRPr="00F01218">
        <w:rPr>
          <w:rFonts w:eastAsia="SimSun"/>
          <w:sz w:val="20"/>
          <w:lang w:eastAsia="zh-CN"/>
        </w:rPr>
        <w:t xml:space="preserve"> calculation</w:t>
      </w:r>
      <w:r w:rsidR="006F4A80">
        <w:rPr>
          <w:rFonts w:eastAsia="SimSun"/>
          <w:sz w:val="20"/>
          <w:lang w:eastAsia="zh-CN"/>
        </w:rPr>
        <w:t xml:space="preserve">s </w:t>
      </w:r>
      <w:r w:rsidR="006548CB">
        <w:rPr>
          <w:rFonts w:eastAsia="SimSun"/>
          <w:sz w:val="20"/>
          <w:lang w:eastAsia="zh-CN"/>
        </w:rPr>
        <w:t xml:space="preserve">(with a </w:t>
      </w:r>
      <w:r w:rsidR="006F4A80">
        <w:rPr>
          <w:rFonts w:eastAsia="SimSun"/>
          <w:sz w:val="20"/>
          <w:lang w:eastAsia="zh-CN"/>
        </w:rPr>
        <w:t xml:space="preserve">total impact of </w:t>
      </w:r>
      <w:r w:rsidR="00595B43" w:rsidRPr="00F01218">
        <w:rPr>
          <w:rFonts w:eastAsia="SimSun"/>
          <w:sz w:val="20"/>
          <w:lang w:eastAsia="zh-CN"/>
        </w:rPr>
        <w:lastRenderedPageBreak/>
        <w:t>516,643</w:t>
      </w:r>
      <w:r w:rsidR="00262166">
        <w:rPr>
          <w:rFonts w:eastAsia="SimSun"/>
          <w:sz w:val="20"/>
          <w:lang w:eastAsia="zh-CN"/>
        </w:rPr>
        <w:t> </w:t>
      </w:r>
      <w:r w:rsidR="006F4A80">
        <w:rPr>
          <w:rFonts w:eastAsia="SimSun"/>
          <w:sz w:val="20"/>
          <w:lang w:eastAsia="zh-CN"/>
        </w:rPr>
        <w:t>Swiss francs</w:t>
      </w:r>
      <w:r w:rsidR="006548CB">
        <w:rPr>
          <w:rFonts w:eastAsia="SimSun"/>
          <w:sz w:val="20"/>
          <w:lang w:eastAsia="zh-CN"/>
        </w:rPr>
        <w:t>)</w:t>
      </w:r>
      <w:r w:rsidR="00595B43" w:rsidRPr="00F01218">
        <w:rPr>
          <w:rFonts w:eastAsia="SimSun"/>
          <w:sz w:val="20"/>
          <w:lang w:eastAsia="zh-CN"/>
        </w:rPr>
        <w:t>.</w:t>
      </w:r>
      <w:r w:rsidR="006F4A80">
        <w:rPr>
          <w:rFonts w:eastAsia="SimSun"/>
          <w:sz w:val="20"/>
          <w:lang w:eastAsia="zh-CN"/>
        </w:rPr>
        <w:t xml:space="preserve"> </w:t>
      </w:r>
      <w:r w:rsidR="006959CD">
        <w:rPr>
          <w:rFonts w:eastAsia="SimSun"/>
          <w:sz w:val="20"/>
          <w:lang w:eastAsia="zh-CN"/>
        </w:rPr>
        <w:t>Another significant factor</w:t>
      </w:r>
      <w:r w:rsidR="00595B43" w:rsidRPr="00F01218">
        <w:rPr>
          <w:rFonts w:eastAsia="SimSun"/>
          <w:sz w:val="20"/>
          <w:lang w:eastAsia="zh-CN"/>
        </w:rPr>
        <w:t xml:space="preserve"> </w:t>
      </w:r>
      <w:r w:rsidR="006959CD">
        <w:rPr>
          <w:rFonts w:eastAsia="SimSun"/>
          <w:sz w:val="20"/>
          <w:lang w:eastAsia="zh-CN"/>
        </w:rPr>
        <w:t>in the increase in the liability was</w:t>
      </w:r>
      <w:r w:rsidR="00595B43" w:rsidRPr="00F01218">
        <w:rPr>
          <w:rFonts w:eastAsia="SimSun"/>
          <w:sz w:val="20"/>
          <w:lang w:eastAsia="zh-CN"/>
        </w:rPr>
        <w:t xml:space="preserve"> a decrease in the discount rate, which fell from 1.80 per cent to 1.50 per cent. The discount rate was </w:t>
      </w:r>
      <w:proofErr w:type="gramStart"/>
      <w:r w:rsidR="00595B43" w:rsidRPr="00F01218">
        <w:rPr>
          <w:rFonts w:eastAsia="SimSun"/>
          <w:sz w:val="20"/>
          <w:lang w:eastAsia="zh-CN"/>
        </w:rPr>
        <w:t>determined</w:t>
      </w:r>
      <w:proofErr w:type="gramEnd"/>
      <w:r w:rsidR="00595B43" w:rsidRPr="00F01218">
        <w:rPr>
          <w:rFonts w:eastAsia="SimSun"/>
          <w:sz w:val="20"/>
          <w:lang w:eastAsia="zh-CN"/>
        </w:rPr>
        <w:t xml:space="preserve"> using AA</w:t>
      </w:r>
      <w:r w:rsidR="00262166">
        <w:rPr>
          <w:rFonts w:eastAsia="SimSun"/>
          <w:sz w:val="20"/>
          <w:lang w:eastAsia="zh-CN"/>
        </w:rPr>
        <w:t> </w:t>
      </w:r>
      <w:r w:rsidR="00595B43" w:rsidRPr="00F01218">
        <w:rPr>
          <w:rFonts w:eastAsia="SimSun"/>
          <w:sz w:val="20"/>
          <w:lang w:eastAsia="zh-CN"/>
        </w:rPr>
        <w:t xml:space="preserve">corporate bond yield curves. </w:t>
      </w:r>
      <w:r w:rsidR="006959CD">
        <w:rPr>
          <w:rFonts w:eastAsia="SimSun"/>
          <w:sz w:val="20"/>
          <w:lang w:eastAsia="zh-CN"/>
        </w:rPr>
        <w:t>In addition, for the 2024 valuation t</w:t>
      </w:r>
      <w:r w:rsidR="00595B43" w:rsidRPr="00F01218">
        <w:rPr>
          <w:rFonts w:eastAsia="SimSun"/>
          <w:sz w:val="20"/>
          <w:lang w:eastAsia="zh-CN"/>
        </w:rPr>
        <w:t xml:space="preserve">here was an increase in the medical claims cost at each age based on a full medical claims experience study performed during the year. These impacts were partly offset by a decrease in the medical cost trend rates from 3.20 per cent (initial) and 2.60 per cent (ultimate), to 2.40 per cent (initial and ultimate). </w:t>
      </w:r>
      <w:r w:rsidR="00CD08F2" w:rsidRPr="00F01218">
        <w:rPr>
          <w:rFonts w:eastAsia="SimSun"/>
          <w:sz w:val="20"/>
          <w:lang w:eastAsia="zh-CN"/>
        </w:rPr>
        <w:t>The following graph shows how the ASHI liability has developed since 202</w:t>
      </w:r>
      <w:r w:rsidR="0099213A">
        <w:rPr>
          <w:rFonts w:eastAsia="SimSun"/>
          <w:sz w:val="20"/>
          <w:lang w:eastAsia="zh-CN"/>
        </w:rPr>
        <w:t>0</w:t>
      </w:r>
      <w:r w:rsidR="00CD08F2" w:rsidRPr="00F01218">
        <w:rPr>
          <w:rFonts w:eastAsia="SimSun"/>
          <w:sz w:val="20"/>
          <w:lang w:eastAsia="zh-CN"/>
        </w:rPr>
        <w:t xml:space="preserve"> and includes actuarial forecasts for 202</w:t>
      </w:r>
      <w:r w:rsidR="00595B43" w:rsidRPr="00F01218">
        <w:rPr>
          <w:rFonts w:eastAsia="SimSun"/>
          <w:sz w:val="20"/>
          <w:lang w:eastAsia="zh-CN"/>
        </w:rPr>
        <w:t>5</w:t>
      </w:r>
      <w:r w:rsidR="00CD08F2" w:rsidRPr="00F01218">
        <w:rPr>
          <w:rFonts w:eastAsia="SimSun"/>
          <w:sz w:val="20"/>
          <w:lang w:eastAsia="zh-CN"/>
        </w:rPr>
        <w:t>-202</w:t>
      </w:r>
      <w:r w:rsidR="00595B43" w:rsidRPr="00F01218">
        <w:rPr>
          <w:rFonts w:eastAsia="SimSun"/>
          <w:sz w:val="20"/>
          <w:lang w:eastAsia="zh-CN"/>
        </w:rPr>
        <w:t>8</w:t>
      </w:r>
      <w:r w:rsidR="00CD08F2" w:rsidRPr="00F01218">
        <w:rPr>
          <w:rFonts w:eastAsia="SimSun"/>
          <w:sz w:val="20"/>
          <w:lang w:eastAsia="zh-CN"/>
        </w:rPr>
        <w:t xml:space="preserve"> (applying the same assumptions as for the 202</w:t>
      </w:r>
      <w:r w:rsidR="00595B43" w:rsidRPr="00F01218">
        <w:rPr>
          <w:rFonts w:eastAsia="SimSun"/>
          <w:sz w:val="20"/>
          <w:lang w:eastAsia="zh-CN"/>
        </w:rPr>
        <w:t>4</w:t>
      </w:r>
      <w:r w:rsidR="00CD08F2" w:rsidRPr="00F01218">
        <w:rPr>
          <w:rFonts w:eastAsia="SimSun"/>
          <w:sz w:val="20"/>
          <w:lang w:eastAsia="zh-CN"/>
        </w:rPr>
        <w:t xml:space="preserve"> calculation). The graph also shows how discount rates and medical cost trend rates have changed since 20</w:t>
      </w:r>
      <w:r w:rsidR="00F073CE" w:rsidRPr="00F01218">
        <w:rPr>
          <w:rFonts w:eastAsia="SimSun"/>
          <w:sz w:val="20"/>
          <w:lang w:eastAsia="zh-CN"/>
        </w:rPr>
        <w:t>2</w:t>
      </w:r>
      <w:r w:rsidR="0099213A">
        <w:rPr>
          <w:rFonts w:eastAsia="SimSun"/>
          <w:sz w:val="20"/>
          <w:lang w:eastAsia="zh-CN"/>
        </w:rPr>
        <w:t>0</w:t>
      </w:r>
      <w:r w:rsidR="00CD08F2" w:rsidRPr="00F01218">
        <w:rPr>
          <w:rFonts w:eastAsia="SimSun"/>
          <w:sz w:val="20"/>
          <w:lang w:eastAsia="zh-CN"/>
        </w:rPr>
        <w:t xml:space="preserve">: </w:t>
      </w:r>
    </w:p>
    <w:bookmarkEnd w:id="14"/>
    <w:p w14:paraId="064CF7C5" w14:textId="5D79CADF" w:rsidR="004937D3" w:rsidRDefault="004937D3">
      <w:pPr>
        <w:jc w:val="left"/>
        <w:rPr>
          <w:rFonts w:cs="Arial"/>
          <w:b/>
          <w:i/>
        </w:rPr>
      </w:pPr>
    </w:p>
    <w:p w14:paraId="78332C9B" w14:textId="6111A59F" w:rsidR="009E2118" w:rsidRDefault="009E2118" w:rsidP="00F01218">
      <w:pPr>
        <w:autoSpaceDE w:val="0"/>
        <w:autoSpaceDN w:val="0"/>
        <w:adjustRightInd w:val="0"/>
        <w:jc w:val="center"/>
        <w:rPr>
          <w:rFonts w:cs="Arial"/>
          <w:b/>
          <w:i/>
        </w:rPr>
      </w:pPr>
      <w:r>
        <w:rPr>
          <w:rFonts w:cs="Arial"/>
          <w:b/>
          <w:i/>
        </w:rPr>
        <w:t xml:space="preserve">Movement in ASHI Liability </w:t>
      </w:r>
      <w:r w:rsidR="00CD08F2">
        <w:rPr>
          <w:rFonts w:cs="Arial"/>
          <w:b/>
          <w:i/>
        </w:rPr>
        <w:t>202</w:t>
      </w:r>
      <w:r w:rsidR="00F9693C">
        <w:rPr>
          <w:rFonts w:cs="Arial"/>
          <w:b/>
          <w:i/>
        </w:rPr>
        <w:t>0</w:t>
      </w:r>
      <w:r>
        <w:rPr>
          <w:rFonts w:cs="Arial"/>
          <w:b/>
          <w:i/>
        </w:rPr>
        <w:t>-</w:t>
      </w:r>
      <w:r w:rsidR="00CD08F2">
        <w:rPr>
          <w:rFonts w:cs="Arial"/>
          <w:b/>
          <w:i/>
        </w:rPr>
        <w:t>202</w:t>
      </w:r>
      <w:r w:rsidR="00122073">
        <w:rPr>
          <w:rFonts w:cs="Arial"/>
          <w:b/>
          <w:i/>
        </w:rPr>
        <w:t>8</w:t>
      </w:r>
      <w:r w:rsidR="00595B43">
        <w:rPr>
          <w:rFonts w:cs="Arial"/>
          <w:b/>
          <w:i/>
        </w:rPr>
        <w:t xml:space="preserve"> (December 31)</w:t>
      </w:r>
    </w:p>
    <w:p w14:paraId="4B302724" w14:textId="472763F1" w:rsidR="00FA2EAD" w:rsidRPr="00352498" w:rsidRDefault="006959CD" w:rsidP="00F01218">
      <w:pPr>
        <w:autoSpaceDE w:val="0"/>
        <w:autoSpaceDN w:val="0"/>
        <w:adjustRightInd w:val="0"/>
      </w:pPr>
      <w:r w:rsidRPr="006959CD">
        <w:rPr>
          <w:noProof/>
        </w:rPr>
        <w:drawing>
          <wp:inline distT="0" distB="0" distL="0" distR="0" wp14:anchorId="66F930D1" wp14:editId="3F9E5DAC">
            <wp:extent cx="6137910" cy="3039534"/>
            <wp:effectExtent l="0" t="0" r="0" b="8890"/>
            <wp:docPr id="13625961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rotWithShape="1">
                    <a:blip r:embed="rId13">
                      <a:extLst>
                        <a:ext uri="{28A0092B-C50C-407E-A947-70E740481C1C}">
                          <a14:useLocalDpi xmlns:a14="http://schemas.microsoft.com/office/drawing/2010/main" val="0"/>
                        </a:ext>
                      </a:extLst>
                    </a:blip>
                    <a:srcRect b="4610"/>
                    <a:stretch/>
                  </pic:blipFill>
                  <pic:spPr bwMode="auto">
                    <a:xfrm>
                      <a:off x="0" y="0"/>
                      <a:ext cx="6137910" cy="3039534"/>
                    </a:xfrm>
                    <a:prstGeom prst="rect">
                      <a:avLst/>
                    </a:prstGeom>
                    <a:noFill/>
                    <a:ln>
                      <a:noFill/>
                    </a:ln>
                    <a:extLst>
                      <a:ext uri="{53640926-AAD7-44D8-BBD7-CCE9431645EC}">
                        <a14:shadowObscured xmlns:a14="http://schemas.microsoft.com/office/drawing/2010/main"/>
                      </a:ext>
                    </a:extLst>
                  </pic:spPr>
                </pic:pic>
              </a:graphicData>
            </a:graphic>
          </wp:inline>
        </w:drawing>
      </w:r>
    </w:p>
    <w:p w14:paraId="4F8133EE" w14:textId="22CA8ACE" w:rsidR="00A7529B" w:rsidRPr="00F01218" w:rsidRDefault="00A7529B" w:rsidP="00DC2937">
      <w:pPr>
        <w:pStyle w:val="ListParagraph"/>
        <w:numPr>
          <w:ilvl w:val="0"/>
          <w:numId w:val="18"/>
        </w:numPr>
        <w:jc w:val="both"/>
        <w:rPr>
          <w:rFonts w:eastAsia="SimSun"/>
          <w:color w:val="000000"/>
          <w:sz w:val="20"/>
          <w:lang w:eastAsia="zh-CN"/>
        </w:rPr>
      </w:pPr>
      <w:r w:rsidRPr="00471391">
        <w:rPr>
          <w:rFonts w:eastAsia="SimSun"/>
          <w:color w:val="000000"/>
          <w:sz w:val="20"/>
          <w:lang w:eastAsia="zh-CN"/>
        </w:rPr>
        <w:t xml:space="preserve">The </w:t>
      </w:r>
      <w:r w:rsidRPr="00471391">
        <w:rPr>
          <w:sz w:val="20"/>
        </w:rPr>
        <w:t xml:space="preserve">projections of the ASHI liability for </w:t>
      </w:r>
      <w:r w:rsidR="00CD08F2" w:rsidRPr="00471391">
        <w:rPr>
          <w:sz w:val="20"/>
        </w:rPr>
        <w:t>202</w:t>
      </w:r>
      <w:r w:rsidR="00F073CE" w:rsidRPr="00471391">
        <w:rPr>
          <w:sz w:val="20"/>
        </w:rPr>
        <w:t>5</w:t>
      </w:r>
      <w:r w:rsidR="00CD08F2" w:rsidRPr="00471391">
        <w:rPr>
          <w:sz w:val="20"/>
        </w:rPr>
        <w:t>-202</w:t>
      </w:r>
      <w:r w:rsidR="00F073CE" w:rsidRPr="00471391">
        <w:rPr>
          <w:sz w:val="20"/>
        </w:rPr>
        <w:t>8</w:t>
      </w:r>
      <w:r w:rsidRPr="00471391">
        <w:rPr>
          <w:sz w:val="20"/>
        </w:rPr>
        <w:t xml:space="preserve"> </w:t>
      </w:r>
      <w:r w:rsidR="002564D5" w:rsidRPr="00471391">
        <w:rPr>
          <w:sz w:val="20"/>
        </w:rPr>
        <w:t>are calculated based on</w:t>
      </w:r>
      <w:r w:rsidRPr="00471391">
        <w:rPr>
          <w:sz w:val="20"/>
        </w:rPr>
        <w:t xml:space="preserve"> actuarial assumptions</w:t>
      </w:r>
      <w:r w:rsidR="002564D5" w:rsidRPr="00471391">
        <w:rPr>
          <w:sz w:val="20"/>
        </w:rPr>
        <w:t xml:space="preserve"> and census data applied for the 202</w:t>
      </w:r>
      <w:r w:rsidR="0099213A" w:rsidRPr="00471391">
        <w:rPr>
          <w:sz w:val="20"/>
        </w:rPr>
        <w:t>4</w:t>
      </w:r>
      <w:r w:rsidR="002564D5" w:rsidRPr="00471391">
        <w:rPr>
          <w:sz w:val="20"/>
        </w:rPr>
        <w:t xml:space="preserve"> valuation</w:t>
      </w:r>
      <w:r w:rsidRPr="00471391">
        <w:rPr>
          <w:sz w:val="20"/>
        </w:rPr>
        <w:t>,</w:t>
      </w:r>
      <w:r w:rsidR="002564D5" w:rsidRPr="00471391">
        <w:rPr>
          <w:sz w:val="20"/>
        </w:rPr>
        <w:t xml:space="preserve"> and do not consider gains or losses from possible future changes in actuarial assumptions or plan demographics, </w:t>
      </w:r>
      <w:r w:rsidRPr="00471391">
        <w:rPr>
          <w:sz w:val="20"/>
        </w:rPr>
        <w:t xml:space="preserve">which could significantly impact calculations in subsequent years. </w:t>
      </w:r>
    </w:p>
    <w:p w14:paraId="125AEB72" w14:textId="77777777" w:rsidR="00A7529B" w:rsidRDefault="00A7529B" w:rsidP="00BC6E60">
      <w:pPr>
        <w:pStyle w:val="ListParagraph"/>
        <w:ind w:hanging="567"/>
        <w:jc w:val="both"/>
        <w:rPr>
          <w:rFonts w:eastAsia="SimSun"/>
          <w:sz w:val="20"/>
          <w:lang w:eastAsia="zh-CN"/>
        </w:rPr>
      </w:pPr>
    </w:p>
    <w:p w14:paraId="65853D45" w14:textId="05B2A50C" w:rsidR="00A824AF" w:rsidRPr="00F01218" w:rsidRDefault="00ED7558" w:rsidP="00A700F1">
      <w:pPr>
        <w:pStyle w:val="ListParagraph"/>
        <w:numPr>
          <w:ilvl w:val="0"/>
          <w:numId w:val="18"/>
        </w:numPr>
        <w:jc w:val="both"/>
        <w:rPr>
          <w:sz w:val="20"/>
        </w:rPr>
      </w:pPr>
      <w:r w:rsidRPr="00F01218">
        <w:rPr>
          <w:sz w:val="20"/>
        </w:rPr>
        <w:t xml:space="preserve">At its thirty-third extraordinary session on March 17, 2016, the Council decided to hold in a separate account the funds allocated for the future financing of UPOV’s ASHI liability. As </w:t>
      </w:r>
      <w:proofErr w:type="gramStart"/>
      <w:r w:rsidRPr="00F01218">
        <w:rPr>
          <w:sz w:val="20"/>
        </w:rPr>
        <w:t>at</w:t>
      </w:r>
      <w:proofErr w:type="gramEnd"/>
      <w:r w:rsidRPr="00F01218">
        <w:rPr>
          <w:sz w:val="20"/>
        </w:rPr>
        <w:t xml:space="preserve"> December 31, </w:t>
      </w:r>
      <w:r w:rsidR="00D92996" w:rsidRPr="00F01218">
        <w:rPr>
          <w:sz w:val="20"/>
        </w:rPr>
        <w:t>202</w:t>
      </w:r>
      <w:r w:rsidR="0099213A" w:rsidRPr="00F01218">
        <w:rPr>
          <w:sz w:val="20"/>
        </w:rPr>
        <w:t>4</w:t>
      </w:r>
      <w:r w:rsidRPr="00F01218">
        <w:rPr>
          <w:sz w:val="20"/>
        </w:rPr>
        <w:t xml:space="preserve">, the total balance of these funds </w:t>
      </w:r>
      <w:r w:rsidR="001B35D6" w:rsidRPr="00F01218">
        <w:rPr>
          <w:sz w:val="20"/>
        </w:rPr>
        <w:t xml:space="preserve">was </w:t>
      </w:r>
      <w:r w:rsidR="0099213A" w:rsidRPr="00F01218">
        <w:rPr>
          <w:sz w:val="20"/>
        </w:rPr>
        <w:t>1,105,527</w:t>
      </w:r>
      <w:r w:rsidRPr="00F01218">
        <w:rPr>
          <w:sz w:val="20"/>
        </w:rPr>
        <w:t xml:space="preserve"> Swiss francs (</w:t>
      </w:r>
      <w:r w:rsidR="0099213A" w:rsidRPr="00F01218">
        <w:rPr>
          <w:sz w:val="20"/>
        </w:rPr>
        <w:t xml:space="preserve">1,187,257 </w:t>
      </w:r>
      <w:r w:rsidRPr="00F01218">
        <w:rPr>
          <w:sz w:val="20"/>
        </w:rPr>
        <w:t xml:space="preserve">Swiss francs as </w:t>
      </w:r>
      <w:proofErr w:type="gramStart"/>
      <w:r w:rsidRPr="00F01218">
        <w:rPr>
          <w:sz w:val="20"/>
        </w:rPr>
        <w:t>at</w:t>
      </w:r>
      <w:proofErr w:type="gramEnd"/>
      <w:r w:rsidR="00A700F1">
        <w:rPr>
          <w:sz w:val="20"/>
        </w:rPr>
        <w:t xml:space="preserve">          </w:t>
      </w:r>
      <w:r w:rsidRPr="00F01218">
        <w:rPr>
          <w:sz w:val="20"/>
        </w:rPr>
        <w:t xml:space="preserve"> December 31, </w:t>
      </w:r>
      <w:r w:rsidR="00D92996" w:rsidRPr="00F01218">
        <w:rPr>
          <w:sz w:val="20"/>
        </w:rPr>
        <w:t>202</w:t>
      </w:r>
      <w:r w:rsidR="0099213A" w:rsidRPr="00F01218">
        <w:rPr>
          <w:sz w:val="20"/>
        </w:rPr>
        <w:t>3</w:t>
      </w:r>
      <w:r w:rsidRPr="00F01218">
        <w:rPr>
          <w:sz w:val="20"/>
        </w:rPr>
        <w:t xml:space="preserve">). The funds are held in one of UPOV’s principal bank </w:t>
      </w:r>
      <w:r w:rsidR="00471391" w:rsidRPr="00F01218">
        <w:rPr>
          <w:sz w:val="20"/>
        </w:rPr>
        <w:t>accounts but</w:t>
      </w:r>
      <w:r w:rsidRPr="00F01218">
        <w:rPr>
          <w:sz w:val="20"/>
        </w:rPr>
        <w:t xml:space="preserve"> are managed separately from operating funds through a blocking instruction currently in place with the bank. UPOV manages the ASHI funds in accordance with WIPO’s Policy on Investments, under which they are classified as strategic cash.</w:t>
      </w:r>
      <w:r w:rsidR="00D05126" w:rsidRPr="00F01218">
        <w:rPr>
          <w:sz w:val="20"/>
        </w:rPr>
        <w:t xml:space="preserve"> </w:t>
      </w:r>
    </w:p>
    <w:p w14:paraId="53BE43CA" w14:textId="6BCF4EB0" w:rsidR="006959CD" w:rsidRDefault="006959CD" w:rsidP="00F01218">
      <w:pPr>
        <w:pStyle w:val="ListParagraph"/>
        <w:jc w:val="both"/>
        <w:rPr>
          <w:rFonts w:eastAsia="SimSun"/>
          <w:sz w:val="20"/>
          <w:lang w:eastAsia="zh-CN"/>
        </w:rPr>
      </w:pPr>
    </w:p>
    <w:p w14:paraId="0FFE8078" w14:textId="7161831B" w:rsidR="006959CD" w:rsidRPr="0038775D" w:rsidRDefault="006959CD" w:rsidP="00F01218">
      <w:pPr>
        <w:pStyle w:val="ListParagraph"/>
        <w:numPr>
          <w:ilvl w:val="0"/>
          <w:numId w:val="18"/>
        </w:numPr>
        <w:jc w:val="both"/>
        <w:rPr>
          <w:rFonts w:eastAsia="SimSun"/>
          <w:sz w:val="20"/>
          <w:lang w:eastAsia="zh-CN"/>
        </w:rPr>
      </w:pPr>
      <w:r w:rsidRPr="00471391">
        <w:rPr>
          <w:sz w:val="20"/>
        </w:rPr>
        <w:t xml:space="preserve">It should be noted that, as </w:t>
      </w:r>
      <w:r w:rsidRPr="00AE518C">
        <w:rPr>
          <w:sz w:val="20"/>
        </w:rPr>
        <w:t xml:space="preserve">approved by the WIPO Assemblies in July 2024 and pursuant to the endorsement by the UPOV Consultative Committee at its 101st Session in October 2023, WIPO and UPOV </w:t>
      </w:r>
      <w:r w:rsidRPr="00471391">
        <w:rPr>
          <w:sz w:val="20"/>
        </w:rPr>
        <w:t xml:space="preserve">have </w:t>
      </w:r>
      <w:r w:rsidRPr="00AE518C">
        <w:rPr>
          <w:sz w:val="20"/>
        </w:rPr>
        <w:t xml:space="preserve">approved the creation of a separate entity, </w:t>
      </w:r>
      <w:r w:rsidRPr="00471391">
        <w:rPr>
          <w:sz w:val="20"/>
        </w:rPr>
        <w:t>designed</w:t>
      </w:r>
      <w:r w:rsidRPr="00AE518C">
        <w:rPr>
          <w:sz w:val="20"/>
        </w:rPr>
        <w:t xml:space="preserve"> as a multi-employer plan, </w:t>
      </w:r>
      <w:r w:rsidRPr="00471391">
        <w:rPr>
          <w:sz w:val="20"/>
        </w:rPr>
        <w:t>to manage</w:t>
      </w:r>
      <w:r w:rsidRPr="00AE518C">
        <w:rPr>
          <w:sz w:val="20"/>
        </w:rPr>
        <w:t xml:space="preserve"> the funds set aside </w:t>
      </w:r>
      <w:r w:rsidRPr="00471391">
        <w:rPr>
          <w:sz w:val="20"/>
        </w:rPr>
        <w:t>for</w:t>
      </w:r>
      <w:r w:rsidRPr="00AE518C">
        <w:rPr>
          <w:sz w:val="20"/>
        </w:rPr>
        <w:t xml:space="preserve"> financ</w:t>
      </w:r>
      <w:r w:rsidRPr="00471391">
        <w:rPr>
          <w:sz w:val="20"/>
        </w:rPr>
        <w:t>ing</w:t>
      </w:r>
      <w:r w:rsidRPr="00AE518C">
        <w:rPr>
          <w:sz w:val="20"/>
        </w:rPr>
        <w:t xml:space="preserve"> ASHI. Holding these funds in a separate entity would allow them to be designated as plan assets, as stipulated in IPSAS 39, and</w:t>
      </w:r>
      <w:r w:rsidRPr="00471391">
        <w:rPr>
          <w:sz w:val="20"/>
        </w:rPr>
        <w:t xml:space="preserve"> allow for the modification of</w:t>
      </w:r>
      <w:r w:rsidRPr="00AE518C">
        <w:rPr>
          <w:sz w:val="20"/>
        </w:rPr>
        <w:t xml:space="preserve"> financial statement presentation to present the ASHI liability net of accumulated funds. </w:t>
      </w:r>
      <w:r w:rsidRPr="00471391">
        <w:rPr>
          <w:sz w:val="20"/>
        </w:rPr>
        <w:t>As</w:t>
      </w:r>
      <w:r w:rsidRPr="00AE518C">
        <w:rPr>
          <w:sz w:val="20"/>
        </w:rPr>
        <w:t xml:space="preserve"> the creation of the separate entity had not yet been completed at the end of 2024, the </w:t>
      </w:r>
      <w:r>
        <w:rPr>
          <w:sz w:val="20"/>
        </w:rPr>
        <w:t xml:space="preserve">ASHI liability </w:t>
      </w:r>
      <w:r w:rsidRPr="00AE518C">
        <w:rPr>
          <w:sz w:val="20"/>
        </w:rPr>
        <w:t>projections</w:t>
      </w:r>
      <w:r>
        <w:rPr>
          <w:sz w:val="20"/>
        </w:rPr>
        <w:t xml:space="preserve"> above</w:t>
      </w:r>
      <w:r w:rsidRPr="00AE518C">
        <w:rPr>
          <w:sz w:val="20"/>
        </w:rPr>
        <w:t xml:space="preserve"> do not present the liability net of these funds.</w:t>
      </w:r>
    </w:p>
    <w:p w14:paraId="33B6662C" w14:textId="77777777" w:rsidR="009070F5" w:rsidRPr="0059159D" w:rsidRDefault="009070F5" w:rsidP="00F01218">
      <w:pPr>
        <w:tabs>
          <w:tab w:val="left" w:pos="6889"/>
        </w:tabs>
        <w:rPr>
          <w:rFonts w:cs="Arial"/>
          <w:b/>
          <w:color w:val="000000" w:themeColor="text1"/>
        </w:rPr>
      </w:pPr>
    </w:p>
    <w:p w14:paraId="58B04AF8" w14:textId="77777777" w:rsidR="00FC4C46" w:rsidRPr="00F0240B" w:rsidRDefault="00FC4C46" w:rsidP="00FC4C46">
      <w:pPr>
        <w:tabs>
          <w:tab w:val="left" w:pos="6889"/>
        </w:tabs>
        <w:rPr>
          <w:rFonts w:cs="Arial"/>
          <w:b/>
          <w:color w:val="000000" w:themeColor="text1"/>
        </w:rPr>
      </w:pPr>
    </w:p>
    <w:p w14:paraId="5C060B13" w14:textId="77777777" w:rsidR="001776DA" w:rsidRDefault="001776DA">
      <w:pPr>
        <w:jc w:val="left"/>
        <w:rPr>
          <w:b/>
          <w:caps/>
        </w:rPr>
      </w:pPr>
      <w:bookmarkStart w:id="15" w:name="_Toc161842415"/>
      <w:r>
        <w:br w:type="page"/>
      </w:r>
    </w:p>
    <w:p w14:paraId="7E38EDCC" w14:textId="5235262A" w:rsidR="00FC4C46" w:rsidRPr="00F27BCD" w:rsidRDefault="00FC4C46" w:rsidP="00FC4C46">
      <w:pPr>
        <w:pStyle w:val="Heading1"/>
        <w:jc w:val="left"/>
      </w:pPr>
      <w:bookmarkStart w:id="16" w:name="_Toc198653929"/>
      <w:r w:rsidRPr="00F27BCD">
        <w:lastRenderedPageBreak/>
        <w:t xml:space="preserve">STATEMENT ON INTERNAL CONTROL </w:t>
      </w:r>
      <w:bookmarkEnd w:id="15"/>
      <w:r>
        <w:t>2024</w:t>
      </w:r>
      <w:bookmarkEnd w:id="16"/>
    </w:p>
    <w:p w14:paraId="6907A5EA" w14:textId="77777777" w:rsidR="00FC4C46" w:rsidRPr="00F27BCD" w:rsidRDefault="00FC4C46" w:rsidP="00FC4C46">
      <w:pPr>
        <w:pStyle w:val="BodyText"/>
        <w:rPr>
          <w:rFonts w:cs="Arial"/>
          <w:color w:val="000000" w:themeColor="text1"/>
        </w:rPr>
      </w:pPr>
    </w:p>
    <w:p w14:paraId="6574F71E" w14:textId="77777777" w:rsidR="00FC4C46" w:rsidRPr="00F27BCD" w:rsidRDefault="00FC4C46" w:rsidP="00FC4C46">
      <w:pPr>
        <w:pStyle w:val="BodyText"/>
        <w:rPr>
          <w:b/>
          <w:bCs/>
        </w:rPr>
      </w:pPr>
      <w:r w:rsidRPr="00F27BCD">
        <w:rPr>
          <w:b/>
          <w:bCs/>
        </w:rPr>
        <w:t>Scope of responsibility</w:t>
      </w:r>
    </w:p>
    <w:p w14:paraId="5339366E" w14:textId="77777777" w:rsidR="00FC4C46" w:rsidRPr="00F27BCD" w:rsidRDefault="00FC4C46" w:rsidP="00FC4C46">
      <w:pPr>
        <w:pStyle w:val="BodyText"/>
        <w:rPr>
          <w:rFonts w:cs="Arial"/>
          <w:color w:val="000000" w:themeColor="text1"/>
        </w:rPr>
      </w:pPr>
    </w:p>
    <w:p w14:paraId="54E9EF74" w14:textId="77777777" w:rsidR="00FC4C46" w:rsidRPr="00F27BCD" w:rsidRDefault="00FC4C46" w:rsidP="00FC4C46">
      <w:pPr>
        <w:ind w:right="-167"/>
        <w:rPr>
          <w:rFonts w:cs="Arial"/>
          <w:color w:val="000000" w:themeColor="text1"/>
        </w:rPr>
      </w:pPr>
      <w:r w:rsidRPr="00F27BCD">
        <w:rPr>
          <w:rFonts w:cs="Arial"/>
          <w:color w:val="000000" w:themeColor="text1"/>
        </w:rPr>
        <w:t>As Secretary-General of the International Union for the Protection of New Varieties of Plants (UPOV), I am accountable, in accordance with the responsibility assigned to me, in particular, by Regulation 5.8 (d) of the Financial Regulations and Rules (FRRs) of UPOV, for maintaining a system of internal financial control that ensures:</w:t>
      </w:r>
    </w:p>
    <w:p w14:paraId="2D9418A6" w14:textId="77777777" w:rsidR="00FC4C46" w:rsidRPr="00F27BCD" w:rsidRDefault="00FC4C46" w:rsidP="00FC4C46">
      <w:pPr>
        <w:rPr>
          <w:rFonts w:cs="Arial"/>
          <w:color w:val="000000" w:themeColor="text1"/>
        </w:rPr>
      </w:pPr>
    </w:p>
    <w:p w14:paraId="2582542D" w14:textId="77777777" w:rsidR="00FC4C46" w:rsidRPr="00F27BCD" w:rsidRDefault="00FC4C46" w:rsidP="00FC4C46">
      <w:pPr>
        <w:numPr>
          <w:ilvl w:val="0"/>
          <w:numId w:val="58"/>
        </w:numPr>
        <w:jc w:val="left"/>
        <w:rPr>
          <w:rFonts w:cs="Arial"/>
          <w:color w:val="000000" w:themeColor="text1"/>
        </w:rPr>
      </w:pPr>
      <w:r w:rsidRPr="00F27BCD">
        <w:rPr>
          <w:rFonts w:cs="Arial"/>
          <w:color w:val="000000" w:themeColor="text1"/>
        </w:rPr>
        <w:t>the regularity of the receipt, custody and disposal of all funds and other financial resources of UPOV;</w:t>
      </w:r>
    </w:p>
    <w:p w14:paraId="13E3FAD9" w14:textId="77777777" w:rsidR="00FC4C46" w:rsidRPr="00F27BCD" w:rsidRDefault="00FC4C46" w:rsidP="00FC4C46">
      <w:pPr>
        <w:numPr>
          <w:ilvl w:val="0"/>
          <w:numId w:val="58"/>
        </w:numPr>
        <w:jc w:val="left"/>
        <w:rPr>
          <w:rFonts w:cs="Arial"/>
          <w:color w:val="000000" w:themeColor="text1"/>
        </w:rPr>
      </w:pPr>
      <w:r w:rsidRPr="00F27BCD">
        <w:rPr>
          <w:rFonts w:cs="Arial"/>
          <w:color w:val="000000" w:themeColor="text1"/>
        </w:rPr>
        <w:t>the conformity of obligations and expenditures with appropriations or other financial provisions approved by the Council or with the purposes and rules relating to specific trust funds; and</w:t>
      </w:r>
    </w:p>
    <w:p w14:paraId="2C1B08A9" w14:textId="77777777" w:rsidR="00FC4C46" w:rsidRPr="00F27BCD" w:rsidRDefault="00FC4C46" w:rsidP="00FC4C46">
      <w:pPr>
        <w:numPr>
          <w:ilvl w:val="0"/>
          <w:numId w:val="58"/>
        </w:numPr>
        <w:jc w:val="left"/>
        <w:rPr>
          <w:rFonts w:cs="Arial"/>
          <w:color w:val="000000" w:themeColor="text1"/>
        </w:rPr>
      </w:pPr>
      <w:r w:rsidRPr="00F27BCD">
        <w:rPr>
          <w:rFonts w:cs="Arial"/>
          <w:color w:val="000000" w:themeColor="text1"/>
        </w:rPr>
        <w:t>the effective, efficient and economic use of the resources of UPOV.</w:t>
      </w:r>
    </w:p>
    <w:p w14:paraId="24280D38" w14:textId="77777777" w:rsidR="00FC4C46" w:rsidRPr="00F27BCD" w:rsidRDefault="00FC4C46" w:rsidP="00FC4C46">
      <w:pPr>
        <w:rPr>
          <w:rFonts w:cs="Arial"/>
          <w:color w:val="000000" w:themeColor="text1"/>
        </w:rPr>
      </w:pPr>
    </w:p>
    <w:p w14:paraId="2F8FDE4F" w14:textId="6F63AC92" w:rsidR="00FC4C46" w:rsidRPr="00F27BCD" w:rsidRDefault="00FC4C46" w:rsidP="00FC4C46">
      <w:pPr>
        <w:rPr>
          <w:rFonts w:cs="Arial"/>
          <w:color w:val="000000" w:themeColor="text1"/>
        </w:rPr>
      </w:pPr>
      <w:r w:rsidRPr="00F27BCD">
        <w:rPr>
          <w:rFonts w:cs="Arial"/>
          <w:color w:val="000000" w:themeColor="text1"/>
        </w:rPr>
        <w:t xml:space="preserve">In signing this statement, I rely in particular on assurance provided to me in the form of </w:t>
      </w:r>
      <w:r>
        <w:rPr>
          <w:rFonts w:cs="Arial"/>
          <w:color w:val="000000" w:themeColor="text1"/>
        </w:rPr>
        <w:t xml:space="preserve">the </w:t>
      </w:r>
      <w:r w:rsidRPr="00F27BCD">
        <w:rPr>
          <w:rFonts w:cs="Arial"/>
          <w:color w:val="000000" w:themeColor="text1"/>
        </w:rPr>
        <w:t>Management Representation Letter (MRL) from the Vice Secretar</w:t>
      </w:r>
      <w:r>
        <w:rPr>
          <w:rFonts w:cs="Arial"/>
          <w:color w:val="000000" w:themeColor="text1"/>
        </w:rPr>
        <w:t>y</w:t>
      </w:r>
      <w:r w:rsidRPr="00F27BCD">
        <w:rPr>
          <w:rFonts w:cs="Arial"/>
          <w:color w:val="000000" w:themeColor="text1"/>
        </w:rPr>
        <w:t xml:space="preserve">-General, </w:t>
      </w:r>
      <w:r w:rsidRPr="16012E87">
        <w:rPr>
          <w:rFonts w:cs="Arial"/>
          <w:color w:val="000000" w:themeColor="text1"/>
        </w:rPr>
        <w:t>the UPOV Assurance Summary</w:t>
      </w:r>
      <w:r>
        <w:rPr>
          <w:rFonts w:cs="Arial"/>
          <w:color w:val="000000" w:themeColor="text1"/>
        </w:rPr>
        <w:t xml:space="preserve"> and</w:t>
      </w:r>
      <w:r w:rsidRPr="16012E87">
        <w:rPr>
          <w:rFonts w:cs="Arial"/>
          <w:color w:val="000000" w:themeColor="text1"/>
        </w:rPr>
        <w:t xml:space="preserve"> </w:t>
      </w:r>
      <w:r>
        <w:rPr>
          <w:rFonts w:cs="Arial"/>
          <w:color w:val="000000" w:themeColor="text1"/>
        </w:rPr>
        <w:t>from</w:t>
      </w:r>
      <w:r w:rsidRPr="16012E87">
        <w:rPr>
          <w:rFonts w:cs="Arial"/>
          <w:color w:val="000000" w:themeColor="text1"/>
        </w:rPr>
        <w:t xml:space="preserve"> </w:t>
      </w:r>
      <w:r w:rsidRPr="00F27BCD">
        <w:rPr>
          <w:rFonts w:cs="Arial"/>
          <w:color w:val="000000" w:themeColor="text1"/>
        </w:rPr>
        <w:t xml:space="preserve">WIPO’s assurance functions </w:t>
      </w:r>
      <w:r>
        <w:rPr>
          <w:rFonts w:cs="Arial"/>
          <w:color w:val="000000" w:themeColor="text1"/>
        </w:rPr>
        <w:t>that contribute as per</w:t>
      </w:r>
      <w:r w:rsidRPr="00F27BCD">
        <w:rPr>
          <w:rFonts w:cs="Arial"/>
          <w:color w:val="000000" w:themeColor="text1"/>
        </w:rPr>
        <w:t xml:space="preserve"> the Agreement between the World Intellectual Property Organization (WIPO) and UPOV (“WIPO/UPOV Agreement”)</w:t>
      </w:r>
      <w:r w:rsidRPr="00F27BCD">
        <w:rPr>
          <w:rStyle w:val="FootnoteReference"/>
          <w:rFonts w:cs="Arial"/>
          <w:color w:val="000000" w:themeColor="text1"/>
        </w:rPr>
        <w:footnoteReference w:id="2"/>
      </w:r>
      <w:r w:rsidR="00806DDA">
        <w:t>.</w:t>
      </w:r>
    </w:p>
    <w:p w14:paraId="3D5042AF" w14:textId="77777777" w:rsidR="00FC4C46" w:rsidRPr="00F27BCD" w:rsidRDefault="00FC4C46" w:rsidP="00FC4C46">
      <w:pPr>
        <w:pStyle w:val="BodyText"/>
        <w:rPr>
          <w:rFonts w:cs="Arial"/>
          <w:color w:val="000000" w:themeColor="text1"/>
        </w:rPr>
      </w:pPr>
    </w:p>
    <w:p w14:paraId="4B1B0013" w14:textId="77777777" w:rsidR="00FC4C46" w:rsidRPr="0011268A" w:rsidRDefault="00FC4C46" w:rsidP="00FC4C46">
      <w:pPr>
        <w:rPr>
          <w:b/>
          <w:bCs/>
        </w:rPr>
      </w:pPr>
      <w:r w:rsidRPr="0011268A">
        <w:rPr>
          <w:b/>
          <w:bCs/>
        </w:rPr>
        <w:t>Purpose of the system of internal control</w:t>
      </w:r>
    </w:p>
    <w:p w14:paraId="65DEC433" w14:textId="77777777" w:rsidR="00FC4C46" w:rsidRPr="00F27BCD" w:rsidRDefault="00FC4C46" w:rsidP="00FC4C46">
      <w:pPr>
        <w:pStyle w:val="BodyText"/>
        <w:rPr>
          <w:rFonts w:cs="Arial"/>
          <w:color w:val="000000" w:themeColor="text1"/>
        </w:rPr>
      </w:pPr>
    </w:p>
    <w:p w14:paraId="2E19B690" w14:textId="11A27C0B" w:rsidR="00FC4C46" w:rsidRPr="00F27BCD" w:rsidRDefault="00FC4C46" w:rsidP="00FC4C46">
      <w:pPr>
        <w:pStyle w:val="BodyText"/>
        <w:rPr>
          <w:rFonts w:cs="Arial"/>
          <w:color w:val="000000" w:themeColor="text1"/>
        </w:rPr>
      </w:pPr>
      <w:r w:rsidRPr="00F27BCD">
        <w:rPr>
          <w:rFonts w:cs="Arial"/>
          <w:color w:val="000000" w:themeColor="text1"/>
        </w:rPr>
        <w:t xml:space="preserve">Our system of internal control is a process, effected by the Council, the Consultative Committee, the </w:t>
      </w:r>
      <w:r w:rsidR="00A700F1">
        <w:rPr>
          <w:rFonts w:cs="Arial"/>
          <w:color w:val="000000" w:themeColor="text1"/>
        </w:rPr>
        <w:t xml:space="preserve">    </w:t>
      </w:r>
      <w:r w:rsidRPr="00F27BCD">
        <w:rPr>
          <w:rFonts w:cs="Arial"/>
          <w:color w:val="000000" w:themeColor="text1"/>
        </w:rPr>
        <w:t>Secretary</w:t>
      </w:r>
      <w:r w:rsidRPr="611C4F20">
        <w:rPr>
          <w:rFonts w:cs="Arial"/>
          <w:color w:val="000000" w:themeColor="text1"/>
        </w:rPr>
        <w:t xml:space="preserve"> </w:t>
      </w:r>
      <w:r w:rsidRPr="00F27BCD">
        <w:rPr>
          <w:rFonts w:cs="Arial"/>
          <w:color w:val="000000" w:themeColor="text1"/>
        </w:rPr>
        <w:t>General, Vice Secretary-General and other key officials, designed to provide reasonable assurance of UPOV’s ability to reach its aims, objectives and related policies.  The aim of this system of internal control is to manage risk to a tolerable level rather than to eliminate it entirely.  As such, it sets out to provide reasonable assurance over the following three areas:</w:t>
      </w:r>
    </w:p>
    <w:p w14:paraId="2B7D8A94" w14:textId="77777777" w:rsidR="00FC4C46" w:rsidRPr="00F27BCD" w:rsidRDefault="00FC4C46" w:rsidP="00FC4C46">
      <w:pPr>
        <w:pStyle w:val="BodyText"/>
        <w:rPr>
          <w:rFonts w:cs="Arial"/>
          <w:color w:val="000000" w:themeColor="text1"/>
        </w:rPr>
      </w:pPr>
    </w:p>
    <w:p w14:paraId="0A3A288F" w14:textId="77777777" w:rsidR="00FC4C46" w:rsidRPr="00F27BCD" w:rsidRDefault="00FC4C46" w:rsidP="00FC4C46">
      <w:pPr>
        <w:pStyle w:val="ListParagraph"/>
        <w:widowControl w:val="0"/>
        <w:numPr>
          <w:ilvl w:val="1"/>
          <w:numId w:val="57"/>
        </w:numPr>
        <w:autoSpaceDE w:val="0"/>
        <w:autoSpaceDN w:val="0"/>
        <w:rPr>
          <w:color w:val="000000" w:themeColor="text1"/>
          <w:sz w:val="20"/>
        </w:rPr>
      </w:pPr>
      <w:r w:rsidRPr="00F27BCD">
        <w:rPr>
          <w:color w:val="000000" w:themeColor="text1"/>
          <w:sz w:val="20"/>
        </w:rPr>
        <w:t>Reliability of financial reporting – transactions authorized and properly recorded and material errors or irregularities either prevented or detected in a timely manner;</w:t>
      </w:r>
    </w:p>
    <w:p w14:paraId="7432B2CA" w14:textId="77777777" w:rsidR="00FC4C46" w:rsidRPr="00F27BCD" w:rsidRDefault="00FC4C46" w:rsidP="00FC4C46">
      <w:pPr>
        <w:pStyle w:val="ListParagraph"/>
        <w:widowControl w:val="0"/>
        <w:numPr>
          <w:ilvl w:val="1"/>
          <w:numId w:val="57"/>
        </w:numPr>
        <w:autoSpaceDE w:val="0"/>
        <w:autoSpaceDN w:val="0"/>
        <w:rPr>
          <w:color w:val="000000" w:themeColor="text1"/>
          <w:sz w:val="20"/>
        </w:rPr>
      </w:pPr>
      <w:r w:rsidRPr="00F27BCD">
        <w:rPr>
          <w:color w:val="000000" w:themeColor="text1"/>
          <w:sz w:val="20"/>
        </w:rPr>
        <w:t>Effectiveness and efficiency of business processes, the safeguarding of</w:t>
      </w:r>
      <w:r w:rsidRPr="00F27BCD">
        <w:rPr>
          <w:color w:val="000000" w:themeColor="text1"/>
          <w:spacing w:val="-6"/>
          <w:sz w:val="20"/>
        </w:rPr>
        <w:t xml:space="preserve"> </w:t>
      </w:r>
      <w:r w:rsidRPr="00F27BCD">
        <w:rPr>
          <w:color w:val="000000" w:themeColor="text1"/>
          <w:sz w:val="20"/>
        </w:rPr>
        <w:t>assets, and the exercise of economy;</w:t>
      </w:r>
      <w:r w:rsidRPr="00F27BCD">
        <w:rPr>
          <w:color w:val="000000" w:themeColor="text1"/>
          <w:spacing w:val="55"/>
          <w:sz w:val="20"/>
        </w:rPr>
        <w:t xml:space="preserve"> </w:t>
      </w:r>
      <w:r w:rsidRPr="00F27BCD">
        <w:rPr>
          <w:color w:val="000000" w:themeColor="text1"/>
          <w:sz w:val="20"/>
        </w:rPr>
        <w:t>and</w:t>
      </w:r>
    </w:p>
    <w:p w14:paraId="5801DC1A" w14:textId="77777777" w:rsidR="00FC4C46" w:rsidRPr="00F27BCD" w:rsidRDefault="00FC4C46" w:rsidP="00FC4C46">
      <w:pPr>
        <w:pStyle w:val="ListParagraph"/>
        <w:widowControl w:val="0"/>
        <w:numPr>
          <w:ilvl w:val="1"/>
          <w:numId w:val="57"/>
        </w:numPr>
        <w:autoSpaceDE w:val="0"/>
        <w:autoSpaceDN w:val="0"/>
        <w:rPr>
          <w:color w:val="000000" w:themeColor="text1"/>
          <w:sz w:val="20"/>
        </w:rPr>
      </w:pPr>
      <w:r w:rsidRPr="00F27BCD">
        <w:rPr>
          <w:color w:val="000000" w:themeColor="text1"/>
          <w:sz w:val="20"/>
        </w:rPr>
        <w:t>Compliance with UPOV’s regulatory framework.</w:t>
      </w:r>
    </w:p>
    <w:p w14:paraId="5A65C0DD" w14:textId="77777777" w:rsidR="00FC4C46" w:rsidRPr="00F27BCD" w:rsidRDefault="00FC4C46" w:rsidP="00FC4C46">
      <w:pPr>
        <w:keepNext/>
        <w:keepLines/>
        <w:rPr>
          <w:rFonts w:cs="Arial"/>
          <w:color w:val="000000" w:themeColor="text1"/>
        </w:rPr>
      </w:pPr>
    </w:p>
    <w:p w14:paraId="0CA4BBF3" w14:textId="77777777" w:rsidR="00FC4C46" w:rsidRPr="00F27BCD" w:rsidRDefault="00FC4C46" w:rsidP="00FC4C46">
      <w:pPr>
        <w:rPr>
          <w:rFonts w:cs="Arial"/>
          <w:color w:val="000000" w:themeColor="text1"/>
        </w:rPr>
      </w:pPr>
      <w:r w:rsidRPr="00F27BCD">
        <w:rPr>
          <w:rFonts w:cs="Arial"/>
          <w:color w:val="000000" w:themeColor="text1"/>
        </w:rPr>
        <w:t xml:space="preserve">Thus, on an operational level, UPOV’s internal control system is not solely a policy or procedure that is performed at certain points in time, but rather continually operated at all levels within UPOV through internal control processes to ensure the above objectives. </w:t>
      </w:r>
    </w:p>
    <w:p w14:paraId="26CB0EB4" w14:textId="77777777" w:rsidR="00FC4C46" w:rsidRPr="00F27BCD" w:rsidRDefault="00FC4C46" w:rsidP="00FC4C46">
      <w:pPr>
        <w:pStyle w:val="BodyText"/>
        <w:rPr>
          <w:rFonts w:cs="Arial"/>
          <w:color w:val="000000" w:themeColor="text1"/>
        </w:rPr>
      </w:pPr>
    </w:p>
    <w:p w14:paraId="56FFD66C" w14:textId="77777777" w:rsidR="00FC4C46" w:rsidRPr="00F27BCD" w:rsidRDefault="00FC4C46" w:rsidP="00FC4C46">
      <w:pPr>
        <w:pStyle w:val="BodyText"/>
        <w:rPr>
          <w:rFonts w:cs="Arial"/>
          <w:color w:val="000000" w:themeColor="text1"/>
        </w:rPr>
      </w:pPr>
      <w:r w:rsidRPr="00F27BCD">
        <w:rPr>
          <w:rFonts w:cs="Arial"/>
          <w:color w:val="000000" w:themeColor="text1"/>
        </w:rPr>
        <w:t>This statement is presented in line with the seven components of UPOV’s Accountability Framework (document CC/98/13), which itself is aligned to the COSO</w:t>
      </w:r>
      <w:r w:rsidRPr="00F27BCD">
        <w:rPr>
          <w:rStyle w:val="FootnoteReference"/>
          <w:rFonts w:cs="Arial"/>
          <w:color w:val="000000" w:themeColor="text1"/>
        </w:rPr>
        <w:footnoteReference w:id="3"/>
      </w:r>
      <w:r w:rsidRPr="00F27BCD">
        <w:rPr>
          <w:rFonts w:cs="Arial"/>
          <w:color w:val="000000" w:themeColor="text1"/>
        </w:rPr>
        <w:t xml:space="preserve"> Internal Control framework and Three Lines Model</w:t>
      </w:r>
      <w:r w:rsidRPr="00F27BCD">
        <w:rPr>
          <w:rStyle w:val="FootnoteReference"/>
          <w:rFonts w:cs="Arial"/>
          <w:color w:val="000000" w:themeColor="text1"/>
        </w:rPr>
        <w:footnoteReference w:id="4"/>
      </w:r>
      <w:r w:rsidRPr="00F27BCD">
        <w:rPr>
          <w:rFonts w:cs="Arial"/>
          <w:color w:val="000000" w:themeColor="text1"/>
        </w:rPr>
        <w:t>.</w:t>
      </w:r>
    </w:p>
    <w:p w14:paraId="2FD1CE91" w14:textId="77777777" w:rsidR="00FC4C46" w:rsidRPr="00F27BCD" w:rsidRDefault="00FC4C46" w:rsidP="00FC4C46">
      <w:pPr>
        <w:pStyle w:val="BodyText"/>
        <w:rPr>
          <w:rFonts w:cs="Arial"/>
          <w:color w:val="000000" w:themeColor="text1"/>
        </w:rPr>
      </w:pPr>
    </w:p>
    <w:p w14:paraId="1EEE68A5" w14:textId="77777777" w:rsidR="00FC4C46" w:rsidRPr="00F27BCD" w:rsidRDefault="00FC4C46" w:rsidP="00FC4C46">
      <w:pPr>
        <w:pStyle w:val="BodyText"/>
        <w:rPr>
          <w:rFonts w:cs="Arial"/>
          <w:color w:val="000000" w:themeColor="text1"/>
        </w:rPr>
      </w:pPr>
      <w:r w:rsidRPr="00F27BCD">
        <w:rPr>
          <w:rFonts w:cs="Arial"/>
          <w:color w:val="000000" w:themeColor="text1"/>
        </w:rPr>
        <w:t xml:space="preserve">My current statement on UPOV’s internal control processes, as described above, applies for the </w:t>
      </w:r>
      <w:r>
        <w:rPr>
          <w:rFonts w:cs="Arial"/>
          <w:color w:val="000000" w:themeColor="text1"/>
        </w:rPr>
        <w:t xml:space="preserve">financial </w:t>
      </w:r>
      <w:r w:rsidRPr="00F27BCD">
        <w:rPr>
          <w:rFonts w:cs="Arial"/>
          <w:color w:val="000000" w:themeColor="text1"/>
        </w:rPr>
        <w:t xml:space="preserve">year ended December 31, </w:t>
      </w:r>
      <w:r>
        <w:rPr>
          <w:rFonts w:cs="Arial"/>
          <w:color w:val="000000" w:themeColor="text1"/>
        </w:rPr>
        <w:t>2024</w:t>
      </w:r>
      <w:r w:rsidRPr="00F27BCD">
        <w:rPr>
          <w:rFonts w:cs="Arial"/>
          <w:color w:val="000000" w:themeColor="text1"/>
        </w:rPr>
        <w:t xml:space="preserve">, and as at the date of the approval of UPOV’s </w:t>
      </w:r>
      <w:r>
        <w:rPr>
          <w:rFonts w:cs="Arial"/>
          <w:color w:val="000000" w:themeColor="text1"/>
        </w:rPr>
        <w:t>2024</w:t>
      </w:r>
      <w:r w:rsidRPr="00F27BCD">
        <w:rPr>
          <w:rFonts w:cs="Arial"/>
          <w:color w:val="000000" w:themeColor="text1"/>
        </w:rPr>
        <w:t xml:space="preserve"> financial statements.</w:t>
      </w:r>
    </w:p>
    <w:p w14:paraId="3B313EDC" w14:textId="77777777" w:rsidR="00FC4C46" w:rsidRPr="00F27BCD" w:rsidRDefault="00FC4C46" w:rsidP="00FC4C46">
      <w:pPr>
        <w:pStyle w:val="BodyText"/>
        <w:rPr>
          <w:rFonts w:cs="Arial"/>
          <w:color w:val="000000" w:themeColor="text1"/>
        </w:rPr>
      </w:pPr>
    </w:p>
    <w:p w14:paraId="6B454B3F" w14:textId="77777777" w:rsidR="00FC4C46" w:rsidRPr="00F27BCD" w:rsidRDefault="00FC4C46" w:rsidP="00FC4C46">
      <w:pPr>
        <w:rPr>
          <w:rFonts w:eastAsiaTheme="majorEastAsia" w:cs="Arial"/>
          <w:b/>
          <w:color w:val="000000" w:themeColor="text1"/>
        </w:rPr>
      </w:pPr>
    </w:p>
    <w:p w14:paraId="5C649B1C" w14:textId="77777777" w:rsidR="00FC4C46" w:rsidRPr="00F27BCD" w:rsidRDefault="00FC4C46" w:rsidP="00FC4C46">
      <w:pPr>
        <w:pStyle w:val="BodyText"/>
        <w:widowControl w:val="0"/>
        <w:numPr>
          <w:ilvl w:val="0"/>
          <w:numId w:val="67"/>
        </w:numPr>
        <w:autoSpaceDE w:val="0"/>
        <w:autoSpaceDN w:val="0"/>
        <w:jc w:val="left"/>
        <w:rPr>
          <w:rFonts w:cs="Arial"/>
          <w:b/>
          <w:bCs/>
        </w:rPr>
      </w:pPr>
      <w:r w:rsidRPr="00F27BCD">
        <w:rPr>
          <w:rFonts w:cs="Arial"/>
          <w:b/>
          <w:bCs/>
        </w:rPr>
        <w:t xml:space="preserve">Results based planning </w:t>
      </w:r>
    </w:p>
    <w:p w14:paraId="1A9F5851" w14:textId="77777777" w:rsidR="00FC4C46" w:rsidRPr="00F27BCD" w:rsidRDefault="00FC4C46" w:rsidP="00FC4C46">
      <w:pPr>
        <w:pStyle w:val="Heading1"/>
        <w:rPr>
          <w:rFonts w:cs="Arial"/>
          <w:b w:val="0"/>
          <w:color w:val="000000" w:themeColor="text1"/>
        </w:rPr>
      </w:pPr>
    </w:p>
    <w:p w14:paraId="6E0BD86A" w14:textId="77777777" w:rsidR="00FC4C46" w:rsidRPr="00F27BCD" w:rsidRDefault="00FC4C46" w:rsidP="00FC4C46">
      <w:pPr>
        <w:rPr>
          <w:rFonts w:cs="Arial"/>
          <w:color w:val="000000" w:themeColor="text1"/>
        </w:rPr>
      </w:pPr>
      <w:r w:rsidRPr="00F27BCD">
        <w:rPr>
          <w:rFonts w:cs="Arial"/>
          <w:color w:val="000000" w:themeColor="text1"/>
        </w:rPr>
        <w:t xml:space="preserve">UPOV has in place results based management processes, guided by the Strategic Business Plan and embodied in a biennial </w:t>
      </w:r>
      <w:r>
        <w:rPr>
          <w:rFonts w:cs="Arial"/>
          <w:color w:val="000000" w:themeColor="text1"/>
        </w:rPr>
        <w:t>P</w:t>
      </w:r>
      <w:r w:rsidRPr="00F27BCD">
        <w:rPr>
          <w:rFonts w:cs="Arial"/>
          <w:color w:val="000000" w:themeColor="text1"/>
        </w:rPr>
        <w:t xml:space="preserve">rogram and </w:t>
      </w:r>
      <w:r>
        <w:rPr>
          <w:rFonts w:cs="Arial"/>
          <w:color w:val="000000" w:themeColor="text1"/>
        </w:rPr>
        <w:t>B</w:t>
      </w:r>
      <w:r w:rsidRPr="00F27BCD">
        <w:rPr>
          <w:rFonts w:cs="Arial"/>
          <w:color w:val="000000" w:themeColor="text1"/>
        </w:rPr>
        <w:t xml:space="preserve">udget approved by </w:t>
      </w:r>
      <w:r>
        <w:rPr>
          <w:rFonts w:cs="Arial"/>
          <w:color w:val="000000" w:themeColor="text1"/>
        </w:rPr>
        <w:t>the Council of UPOV</w:t>
      </w:r>
      <w:r w:rsidRPr="00F27BCD">
        <w:rPr>
          <w:rFonts w:cs="Arial"/>
          <w:color w:val="000000" w:themeColor="text1"/>
        </w:rPr>
        <w:t xml:space="preserve">.  Consideration and approval of UPOV’s </w:t>
      </w:r>
      <w:r>
        <w:rPr>
          <w:rFonts w:cs="Arial"/>
          <w:color w:val="000000" w:themeColor="text1"/>
        </w:rPr>
        <w:t>P</w:t>
      </w:r>
      <w:r w:rsidRPr="00F27BCD">
        <w:rPr>
          <w:rFonts w:cs="Arial"/>
          <w:color w:val="000000" w:themeColor="text1"/>
        </w:rPr>
        <w:t xml:space="preserve">rogram and </w:t>
      </w:r>
      <w:r>
        <w:rPr>
          <w:rFonts w:cs="Arial"/>
          <w:color w:val="000000" w:themeColor="text1"/>
        </w:rPr>
        <w:t>B</w:t>
      </w:r>
      <w:r w:rsidRPr="00F27BCD">
        <w:rPr>
          <w:rFonts w:cs="Arial"/>
          <w:color w:val="000000" w:themeColor="text1"/>
        </w:rPr>
        <w:t xml:space="preserve">udget </w:t>
      </w:r>
      <w:r>
        <w:rPr>
          <w:rFonts w:cs="Arial"/>
          <w:color w:val="000000" w:themeColor="text1"/>
        </w:rPr>
        <w:t>includes the approval of the work program as outlined in the UPOV Strategy House and the associated resources linked to the expected results.</w:t>
      </w:r>
      <w:r w:rsidRPr="00F27BCD">
        <w:rPr>
          <w:rFonts w:cs="Arial"/>
          <w:color w:val="000000" w:themeColor="text1"/>
        </w:rPr>
        <w:t xml:space="preserve">  </w:t>
      </w:r>
    </w:p>
    <w:p w14:paraId="577A552A" w14:textId="77777777" w:rsidR="00FC4C46" w:rsidRPr="00F27BCD" w:rsidRDefault="00FC4C46" w:rsidP="00FC4C46">
      <w:pPr>
        <w:rPr>
          <w:rFonts w:cs="Arial"/>
          <w:color w:val="000000" w:themeColor="text1"/>
        </w:rPr>
      </w:pPr>
    </w:p>
    <w:p w14:paraId="0B221370" w14:textId="2A94586E" w:rsidR="00FC4C46" w:rsidRDefault="00FC4C46" w:rsidP="00FC4C46">
      <w:pPr>
        <w:jc w:val="left"/>
        <w:rPr>
          <w:rFonts w:cs="Arial"/>
          <w:b/>
          <w:bCs/>
        </w:rPr>
      </w:pPr>
    </w:p>
    <w:p w14:paraId="355067BC" w14:textId="77777777" w:rsidR="00FC4C46" w:rsidRPr="00F27BCD" w:rsidRDefault="00FC4C46" w:rsidP="00FC4C46">
      <w:pPr>
        <w:pStyle w:val="BodyText"/>
        <w:widowControl w:val="0"/>
        <w:numPr>
          <w:ilvl w:val="0"/>
          <w:numId w:val="67"/>
        </w:numPr>
        <w:autoSpaceDE w:val="0"/>
        <w:autoSpaceDN w:val="0"/>
        <w:jc w:val="left"/>
        <w:rPr>
          <w:rFonts w:cs="Arial"/>
          <w:b/>
          <w:bCs/>
        </w:rPr>
      </w:pPr>
      <w:r w:rsidRPr="00F27BCD">
        <w:rPr>
          <w:rFonts w:cs="Arial"/>
          <w:b/>
          <w:bCs/>
        </w:rPr>
        <w:t>Performance and risk management</w:t>
      </w:r>
    </w:p>
    <w:p w14:paraId="68A86C0A" w14:textId="77777777" w:rsidR="00FC4C46" w:rsidRPr="00F27BCD" w:rsidRDefault="00FC4C46" w:rsidP="00FC4C46">
      <w:pPr>
        <w:pStyle w:val="Heading1"/>
        <w:rPr>
          <w:rFonts w:cs="Arial"/>
          <w:b w:val="0"/>
          <w:color w:val="000000" w:themeColor="text1"/>
        </w:rPr>
      </w:pPr>
    </w:p>
    <w:p w14:paraId="2045A62F" w14:textId="77777777" w:rsidR="00FC4C46" w:rsidRPr="00F27BCD" w:rsidRDefault="00FC4C46" w:rsidP="00FC4C46">
      <w:pPr>
        <w:rPr>
          <w:rFonts w:cs="Arial"/>
          <w:color w:val="000000" w:themeColor="text1"/>
        </w:rPr>
      </w:pPr>
      <w:r w:rsidRPr="00F27BCD">
        <w:rPr>
          <w:rFonts w:cs="Arial"/>
          <w:color w:val="000000" w:themeColor="text1"/>
        </w:rPr>
        <w:t xml:space="preserve">Comprehensive and detailed reporting to members is provided </w:t>
      </w:r>
      <w:r>
        <w:rPr>
          <w:rFonts w:cs="Arial"/>
          <w:color w:val="000000" w:themeColor="text1"/>
        </w:rPr>
        <w:t xml:space="preserve">in the UPOV Performance Report </w:t>
      </w:r>
      <w:r w:rsidRPr="00F27BCD">
        <w:rPr>
          <w:rFonts w:cs="Arial"/>
          <w:color w:val="000000" w:themeColor="text1"/>
        </w:rPr>
        <w:t>in accordance with UPOV’s FRRs, providing clarity and transparency in the financial as well as programmatic performance of UPOV.</w:t>
      </w:r>
    </w:p>
    <w:p w14:paraId="2B0517CA" w14:textId="77777777" w:rsidR="00FC4C46" w:rsidRPr="00F27BCD" w:rsidRDefault="00FC4C46" w:rsidP="00FC4C46">
      <w:pPr>
        <w:rPr>
          <w:rFonts w:cs="Arial"/>
        </w:rPr>
      </w:pPr>
    </w:p>
    <w:p w14:paraId="7D6E7B7E" w14:textId="77777777" w:rsidR="00FC4C46" w:rsidRPr="00F27BCD" w:rsidRDefault="00FC4C46" w:rsidP="00FC4C46">
      <w:pPr>
        <w:rPr>
          <w:rFonts w:cs="Arial"/>
          <w:color w:val="000000" w:themeColor="text1"/>
        </w:rPr>
      </w:pPr>
      <w:r w:rsidRPr="00F27BCD">
        <w:rPr>
          <w:rFonts w:cs="Arial"/>
          <w:color w:val="000000" w:themeColor="text1"/>
        </w:rPr>
        <w:lastRenderedPageBreak/>
        <w:t xml:space="preserve">UPOV continued to monitor its key risks throughout </w:t>
      </w:r>
      <w:r>
        <w:rPr>
          <w:rFonts w:cs="Arial"/>
          <w:color w:val="000000" w:themeColor="text1"/>
        </w:rPr>
        <w:t>2024</w:t>
      </w:r>
      <w:r w:rsidRPr="00F27BCD">
        <w:rPr>
          <w:rFonts w:cs="Arial"/>
          <w:color w:val="000000" w:themeColor="text1"/>
        </w:rPr>
        <w:t xml:space="preserve">, which are recorded in the WIPO Enterprise Risk Management system and will continue to be managed and re-assessed over time.  </w:t>
      </w:r>
      <w:r>
        <w:rPr>
          <w:rFonts w:cs="Arial"/>
          <w:color w:val="000000" w:themeColor="text1"/>
        </w:rPr>
        <w:t>Key</w:t>
      </w:r>
      <w:r w:rsidRPr="00F27BCD">
        <w:rPr>
          <w:rFonts w:cs="Arial"/>
          <w:color w:val="000000" w:themeColor="text1"/>
        </w:rPr>
        <w:t xml:space="preserve"> risks and appropriate </w:t>
      </w:r>
      <w:r>
        <w:rPr>
          <w:rFonts w:cs="Arial"/>
          <w:color w:val="000000" w:themeColor="text1"/>
        </w:rPr>
        <w:t xml:space="preserve">risk </w:t>
      </w:r>
      <w:r w:rsidRPr="00F27BCD">
        <w:rPr>
          <w:rFonts w:cs="Arial"/>
          <w:color w:val="000000" w:themeColor="text1"/>
        </w:rPr>
        <w:t xml:space="preserve">responses were reviewed regularly. These include the following key risks that we faced in </w:t>
      </w:r>
      <w:r>
        <w:rPr>
          <w:rFonts w:cs="Arial"/>
          <w:color w:val="000000" w:themeColor="text1"/>
        </w:rPr>
        <w:t>2024</w:t>
      </w:r>
      <w:r w:rsidRPr="00F27BCD">
        <w:rPr>
          <w:rFonts w:cs="Arial"/>
          <w:color w:val="000000" w:themeColor="text1"/>
        </w:rPr>
        <w:t xml:space="preserve"> and </w:t>
      </w:r>
      <w:r>
        <w:rPr>
          <w:rFonts w:cs="Arial"/>
          <w:color w:val="000000" w:themeColor="text1"/>
        </w:rPr>
        <w:t xml:space="preserve">face </w:t>
      </w:r>
      <w:r w:rsidRPr="00F27BCD">
        <w:rPr>
          <w:rFonts w:cs="Arial"/>
          <w:color w:val="000000" w:themeColor="text1"/>
        </w:rPr>
        <w:t>beyond:</w:t>
      </w:r>
    </w:p>
    <w:p w14:paraId="12848C2F" w14:textId="77777777" w:rsidR="00FC4C46" w:rsidRPr="00F27BCD" w:rsidRDefault="00FC4C46" w:rsidP="00FC4C46">
      <w:pPr>
        <w:pStyle w:val="BodyText"/>
        <w:rPr>
          <w:rFonts w:cs="Arial"/>
          <w:color w:val="000000" w:themeColor="text1"/>
        </w:rPr>
      </w:pPr>
    </w:p>
    <w:tbl>
      <w:tblPr>
        <w:tblW w:w="9752" w:type="dxa"/>
        <w:tblCellMar>
          <w:left w:w="0" w:type="dxa"/>
          <w:right w:w="0" w:type="dxa"/>
        </w:tblCellMar>
        <w:tblLook w:val="04A0" w:firstRow="1" w:lastRow="0" w:firstColumn="1" w:lastColumn="0" w:noHBand="0" w:noVBand="1"/>
      </w:tblPr>
      <w:tblGrid>
        <w:gridCol w:w="2097"/>
        <w:gridCol w:w="3299"/>
        <w:gridCol w:w="4356"/>
      </w:tblGrid>
      <w:tr w:rsidR="00FC4C46" w:rsidRPr="00F0240B" w14:paraId="7C39D063" w14:textId="77777777" w:rsidTr="003153AD">
        <w:trPr>
          <w:trHeight w:val="228"/>
        </w:trPr>
        <w:tc>
          <w:tcPr>
            <w:tcW w:w="2097" w:type="dxa"/>
            <w:tcBorders>
              <w:top w:val="single" w:sz="8" w:space="0" w:color="FFFFFF"/>
              <w:left w:val="single" w:sz="8" w:space="0" w:color="FFFFFF"/>
              <w:bottom w:val="single" w:sz="24" w:space="0" w:color="FFFFFF"/>
              <w:right w:val="single" w:sz="8" w:space="0" w:color="FFFFFF"/>
            </w:tcBorders>
            <w:shd w:val="clear" w:color="auto" w:fill="17365D" w:themeFill="text2" w:themeFillShade="BF"/>
            <w:tcMar>
              <w:top w:w="15" w:type="dxa"/>
              <w:left w:w="108" w:type="dxa"/>
              <w:bottom w:w="0" w:type="dxa"/>
              <w:right w:w="108" w:type="dxa"/>
            </w:tcMar>
            <w:vAlign w:val="center"/>
            <w:hideMark/>
          </w:tcPr>
          <w:p w14:paraId="0202A0D9" w14:textId="77777777" w:rsidR="00FC4C46" w:rsidRPr="00F0240B" w:rsidRDefault="00FC4C46" w:rsidP="003153AD">
            <w:pPr>
              <w:pStyle w:val="BodyText"/>
              <w:spacing w:before="20" w:after="60"/>
              <w:rPr>
                <w:rFonts w:cs="Arial"/>
                <w:color w:val="FFFFFF" w:themeColor="background1"/>
              </w:rPr>
            </w:pPr>
            <w:r>
              <w:rPr>
                <w:rFonts w:cs="Arial"/>
                <w:b/>
                <w:bCs/>
                <w:color w:val="FFFFFF" w:themeColor="background1"/>
              </w:rPr>
              <w:t>Strategic Pillar</w:t>
            </w:r>
          </w:p>
        </w:tc>
        <w:tc>
          <w:tcPr>
            <w:tcW w:w="3299" w:type="dxa"/>
            <w:tcBorders>
              <w:top w:val="single" w:sz="8" w:space="0" w:color="FFFFFF"/>
              <w:left w:val="single" w:sz="8" w:space="0" w:color="FFFFFF"/>
              <w:bottom w:val="single" w:sz="24" w:space="0" w:color="FFFFFF"/>
              <w:right w:val="single" w:sz="8" w:space="0" w:color="FFFFFF"/>
            </w:tcBorders>
            <w:shd w:val="clear" w:color="auto" w:fill="17365D" w:themeFill="text2" w:themeFillShade="BF"/>
            <w:tcMar>
              <w:top w:w="15" w:type="dxa"/>
              <w:left w:w="108" w:type="dxa"/>
              <w:bottom w:w="0" w:type="dxa"/>
              <w:right w:w="108" w:type="dxa"/>
            </w:tcMar>
            <w:vAlign w:val="center"/>
            <w:hideMark/>
          </w:tcPr>
          <w:p w14:paraId="39E15A08" w14:textId="77777777" w:rsidR="00FC4C46" w:rsidRPr="00F0240B" w:rsidRDefault="00FC4C46" w:rsidP="003153AD">
            <w:pPr>
              <w:pStyle w:val="BodyText"/>
              <w:spacing w:before="20" w:after="60"/>
              <w:rPr>
                <w:rFonts w:cs="Arial"/>
                <w:color w:val="FFFFFF" w:themeColor="background1"/>
              </w:rPr>
            </w:pPr>
            <w:r w:rsidRPr="00F0240B">
              <w:rPr>
                <w:rFonts w:cs="Arial"/>
                <w:b/>
                <w:bCs/>
                <w:color w:val="FFFFFF" w:themeColor="background1"/>
              </w:rPr>
              <w:t>Risk Description</w:t>
            </w:r>
          </w:p>
        </w:tc>
        <w:tc>
          <w:tcPr>
            <w:tcW w:w="4356" w:type="dxa"/>
            <w:tcBorders>
              <w:top w:val="single" w:sz="8" w:space="0" w:color="FFFFFF"/>
              <w:left w:val="single" w:sz="8" w:space="0" w:color="FFFFFF"/>
              <w:bottom w:val="single" w:sz="24" w:space="0" w:color="FFFFFF"/>
              <w:right w:val="single" w:sz="8" w:space="0" w:color="FFFFFF"/>
            </w:tcBorders>
            <w:shd w:val="clear" w:color="auto" w:fill="17365D" w:themeFill="text2" w:themeFillShade="BF"/>
            <w:tcMar>
              <w:top w:w="15" w:type="dxa"/>
              <w:left w:w="108" w:type="dxa"/>
              <w:bottom w:w="0" w:type="dxa"/>
              <w:right w:w="108" w:type="dxa"/>
            </w:tcMar>
            <w:vAlign w:val="center"/>
            <w:hideMark/>
          </w:tcPr>
          <w:p w14:paraId="1547BD67" w14:textId="77777777" w:rsidR="00FC4C46" w:rsidRPr="00F0240B" w:rsidRDefault="00FC4C46" w:rsidP="003153AD">
            <w:pPr>
              <w:pStyle w:val="BodyText"/>
              <w:spacing w:before="20" w:after="60"/>
              <w:rPr>
                <w:rFonts w:cs="Arial"/>
                <w:color w:val="FFFFFF" w:themeColor="background1"/>
              </w:rPr>
            </w:pPr>
            <w:r w:rsidRPr="00F0240B">
              <w:rPr>
                <w:rFonts w:cs="Arial"/>
                <w:b/>
                <w:bCs/>
                <w:color w:val="FFFFFF" w:themeColor="background1"/>
              </w:rPr>
              <w:t>Control and Mitigation</w:t>
            </w:r>
          </w:p>
        </w:tc>
      </w:tr>
      <w:tr w:rsidR="00FC4C46" w:rsidRPr="00F0240B" w14:paraId="1DEC35BA" w14:textId="77777777" w:rsidTr="003153AD">
        <w:trPr>
          <w:trHeight w:val="1717"/>
        </w:trPr>
        <w:tc>
          <w:tcPr>
            <w:tcW w:w="2097" w:type="dxa"/>
            <w:tcBorders>
              <w:top w:val="single" w:sz="24"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hideMark/>
          </w:tcPr>
          <w:p w14:paraId="50FC5A1A" w14:textId="77777777" w:rsidR="00FC4C46" w:rsidRPr="00A155B1" w:rsidRDefault="00FC4C46" w:rsidP="003153AD">
            <w:pPr>
              <w:pStyle w:val="BodyText"/>
              <w:spacing w:before="60" w:after="120"/>
              <w:jc w:val="left"/>
              <w:rPr>
                <w:rFonts w:cs="Arial"/>
                <w:b/>
                <w:color w:val="000000" w:themeColor="text1"/>
                <w:sz w:val="18"/>
                <w:szCs w:val="18"/>
              </w:rPr>
            </w:pPr>
            <w:r w:rsidRPr="002B6172">
              <w:rPr>
                <w:rFonts w:cs="Arial"/>
                <w:b/>
                <w:bCs/>
                <w:color w:val="000000" w:themeColor="text1"/>
                <w:sz w:val="18"/>
                <w:szCs w:val="18"/>
              </w:rPr>
              <w:t>Pillar 1 - Bring together stakeholders to help shape the UPOV system</w:t>
            </w:r>
          </w:p>
        </w:tc>
        <w:tc>
          <w:tcPr>
            <w:tcW w:w="3299" w:type="dxa"/>
            <w:tcBorders>
              <w:top w:val="single" w:sz="24"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hideMark/>
          </w:tcPr>
          <w:p w14:paraId="7C198643" w14:textId="77777777" w:rsidR="00FC4C46" w:rsidRPr="00A155B1" w:rsidRDefault="00FC4C46" w:rsidP="003153AD">
            <w:pPr>
              <w:rPr>
                <w:rFonts w:cs="Arial"/>
                <w:sz w:val="18"/>
                <w:szCs w:val="18"/>
              </w:rPr>
            </w:pPr>
            <w:r>
              <w:rPr>
                <w:rFonts w:cs="Arial"/>
                <w:sz w:val="18"/>
                <w:szCs w:val="18"/>
              </w:rPr>
              <w:t xml:space="preserve">Delay in national </w:t>
            </w:r>
            <w:r>
              <w:rPr>
                <w:rFonts w:cs="Arial"/>
                <w:sz w:val="18"/>
                <w:szCs w:val="18"/>
                <w:lang w:val="en-GB"/>
              </w:rPr>
              <w:t>p</w:t>
            </w:r>
            <w:r w:rsidRPr="00275B2C">
              <w:rPr>
                <w:rFonts w:cs="Arial"/>
                <w:sz w:val="18"/>
                <w:szCs w:val="18"/>
                <w:lang w:val="en-GB"/>
              </w:rPr>
              <w:t xml:space="preserve">olicy </w:t>
            </w:r>
            <w:r>
              <w:rPr>
                <w:rFonts w:cs="Arial"/>
                <w:sz w:val="18"/>
                <w:szCs w:val="18"/>
                <w:lang w:val="en-GB"/>
              </w:rPr>
              <w:t>or</w:t>
            </w:r>
            <w:r w:rsidRPr="00275B2C">
              <w:rPr>
                <w:rFonts w:cs="Arial"/>
                <w:sz w:val="18"/>
                <w:szCs w:val="18"/>
                <w:lang w:val="en-GB"/>
              </w:rPr>
              <w:t xml:space="preserve"> legislative developments </w:t>
            </w:r>
            <w:r>
              <w:rPr>
                <w:rFonts w:cs="Arial"/>
                <w:sz w:val="18"/>
                <w:szCs w:val="18"/>
                <w:lang w:val="en-GB"/>
              </w:rPr>
              <w:t xml:space="preserve">postpone </w:t>
            </w:r>
            <w:r w:rsidRPr="00275B2C">
              <w:rPr>
                <w:rFonts w:cs="Arial"/>
                <w:sz w:val="18"/>
                <w:szCs w:val="18"/>
                <w:lang w:val="en-GB"/>
              </w:rPr>
              <w:t>or prevent accession to, or ratification of, UPOV members to the 1991 Act of the UPOV Convention.</w:t>
            </w:r>
            <w:r w:rsidRPr="00275B2C">
              <w:rPr>
                <w:rFonts w:cs="Arial"/>
                <w:sz w:val="18"/>
                <w:szCs w:val="18"/>
              </w:rPr>
              <w:t> </w:t>
            </w:r>
          </w:p>
        </w:tc>
        <w:tc>
          <w:tcPr>
            <w:tcW w:w="4356" w:type="dxa"/>
            <w:tcBorders>
              <w:top w:val="single" w:sz="24"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hideMark/>
          </w:tcPr>
          <w:p w14:paraId="7A40AAFA" w14:textId="77777777" w:rsidR="00FC4C46" w:rsidRPr="00A155B1" w:rsidRDefault="00FC4C46" w:rsidP="003153AD">
            <w:pPr>
              <w:pStyle w:val="BodyText"/>
              <w:spacing w:before="60" w:after="120"/>
              <w:rPr>
                <w:rFonts w:cs="Arial"/>
                <w:color w:val="000000" w:themeColor="text1"/>
                <w:sz w:val="18"/>
                <w:szCs w:val="18"/>
              </w:rPr>
            </w:pPr>
            <w:r w:rsidRPr="00C1632B">
              <w:rPr>
                <w:rFonts w:cs="Arial"/>
                <w:sz w:val="18"/>
                <w:szCs w:val="18"/>
                <w:lang w:val="en-GB"/>
              </w:rPr>
              <w:t>Strengthen legislative guidance and outreach activities demonstrating UPOV benefits while supporting countries' development goals through engagement programs and for</w:t>
            </w:r>
            <w:r>
              <w:rPr>
                <w:rFonts w:cs="Arial"/>
                <w:sz w:val="18"/>
                <w:szCs w:val="18"/>
                <w:lang w:val="en-GB"/>
              </w:rPr>
              <w:t>a</w:t>
            </w:r>
            <w:r w:rsidRPr="00C1632B">
              <w:rPr>
                <w:rFonts w:cs="Arial"/>
                <w:sz w:val="18"/>
                <w:szCs w:val="18"/>
                <w:lang w:val="en-GB"/>
              </w:rPr>
              <w:t xml:space="preserve"> to demonstrate how UPOV membership contributes to agricultural development.</w:t>
            </w:r>
            <w:r w:rsidRPr="00C1632B">
              <w:rPr>
                <w:rFonts w:cs="Arial"/>
                <w:sz w:val="18"/>
                <w:szCs w:val="18"/>
              </w:rPr>
              <w:t> </w:t>
            </w:r>
            <w:r w:rsidRPr="00A155B1">
              <w:rPr>
                <w:rFonts w:cs="Arial"/>
                <w:color w:val="000000" w:themeColor="text1"/>
                <w:sz w:val="18"/>
                <w:szCs w:val="18"/>
              </w:rPr>
              <w:t xml:space="preserve"> </w:t>
            </w:r>
          </w:p>
        </w:tc>
      </w:tr>
      <w:tr w:rsidR="00FC4C46" w:rsidRPr="00F0240B" w14:paraId="2C8792A4" w14:textId="77777777" w:rsidTr="003153AD">
        <w:trPr>
          <w:trHeight w:val="1495"/>
        </w:trPr>
        <w:tc>
          <w:tcPr>
            <w:tcW w:w="2097" w:type="dxa"/>
            <w:tcBorders>
              <w:top w:val="single" w:sz="8"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tcPr>
          <w:p w14:paraId="09D5F29F" w14:textId="77777777" w:rsidR="00FC4C46" w:rsidRPr="00A155B1" w:rsidRDefault="00FC4C46" w:rsidP="003153AD">
            <w:pPr>
              <w:pStyle w:val="BodyText"/>
              <w:spacing w:before="60" w:after="120"/>
              <w:rPr>
                <w:rFonts w:cs="Arial"/>
                <w:b/>
                <w:color w:val="000000" w:themeColor="text1"/>
                <w:sz w:val="18"/>
                <w:szCs w:val="18"/>
              </w:rPr>
            </w:pPr>
            <w:r w:rsidRPr="005008A0">
              <w:rPr>
                <w:rFonts w:cs="Arial"/>
                <w:b/>
                <w:color w:val="000000" w:themeColor="text1"/>
                <w:sz w:val="18"/>
                <w:szCs w:val="18"/>
              </w:rPr>
              <w:t>Pillar 2 - Provide guidance and assistance and facilitate cooperation for implementing the UPOV system</w:t>
            </w:r>
          </w:p>
        </w:tc>
        <w:tc>
          <w:tcPr>
            <w:tcW w:w="3299" w:type="dxa"/>
            <w:tcBorders>
              <w:top w:val="single" w:sz="8"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tcPr>
          <w:p w14:paraId="6FC96D43" w14:textId="77777777" w:rsidR="00FC4C46" w:rsidRPr="00A155B1" w:rsidRDefault="00FC4C46" w:rsidP="003153AD">
            <w:pPr>
              <w:pStyle w:val="BodyText"/>
              <w:spacing w:before="60" w:after="120"/>
              <w:rPr>
                <w:rFonts w:cs="Arial"/>
                <w:color w:val="000000" w:themeColor="text1"/>
                <w:sz w:val="18"/>
                <w:szCs w:val="18"/>
              </w:rPr>
            </w:pPr>
            <w:r w:rsidRPr="00875B27">
              <w:rPr>
                <w:rFonts w:cs="Arial"/>
                <w:color w:val="000000" w:themeColor="text1"/>
                <w:sz w:val="18"/>
                <w:szCs w:val="18"/>
              </w:rPr>
              <w:t xml:space="preserve">Reduced visibility and understanding of UPOV's role and benefits impacts expansion of UPOV.  </w:t>
            </w:r>
          </w:p>
        </w:tc>
        <w:tc>
          <w:tcPr>
            <w:tcW w:w="4356" w:type="dxa"/>
            <w:tcBorders>
              <w:top w:val="single" w:sz="8"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tcPr>
          <w:p w14:paraId="1D71A9B0" w14:textId="77777777" w:rsidR="00FC4C46" w:rsidRPr="00A155B1" w:rsidRDefault="00FC4C46" w:rsidP="003153AD">
            <w:pPr>
              <w:pStyle w:val="BodyText"/>
              <w:spacing w:before="60" w:after="120"/>
              <w:rPr>
                <w:rFonts w:cs="Arial"/>
                <w:color w:val="000000" w:themeColor="text1"/>
                <w:sz w:val="18"/>
                <w:szCs w:val="18"/>
              </w:rPr>
            </w:pPr>
            <w:r w:rsidRPr="00575F05">
              <w:rPr>
                <w:rFonts w:cs="Arial"/>
                <w:sz w:val="18"/>
                <w:szCs w:val="18"/>
                <w:lang w:val="en-GB"/>
              </w:rPr>
              <w:t>Implement a targeted communication strategy through multiple channels (website, social media, events), developing engaging content to demonstrate UPOV system benefits through case studies and success stories. </w:t>
            </w:r>
            <w:r w:rsidRPr="00575F05">
              <w:rPr>
                <w:rFonts w:cs="Arial"/>
                <w:sz w:val="18"/>
                <w:szCs w:val="18"/>
              </w:rPr>
              <w:t> </w:t>
            </w:r>
          </w:p>
        </w:tc>
      </w:tr>
      <w:tr w:rsidR="00FC4C46" w:rsidRPr="00F0240B" w14:paraId="3E86B689" w14:textId="77777777" w:rsidTr="003153AD">
        <w:trPr>
          <w:trHeight w:val="1966"/>
        </w:trPr>
        <w:tc>
          <w:tcPr>
            <w:tcW w:w="2097" w:type="dxa"/>
            <w:tcBorders>
              <w:top w:val="single" w:sz="8"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tcPr>
          <w:p w14:paraId="68115EEA" w14:textId="77777777" w:rsidR="00FC4C46" w:rsidRPr="00A155B1" w:rsidRDefault="00FC4C46" w:rsidP="003153AD">
            <w:pPr>
              <w:pStyle w:val="BodyText"/>
              <w:spacing w:before="60" w:after="120"/>
              <w:rPr>
                <w:rFonts w:cs="Arial"/>
                <w:b/>
                <w:color w:val="000000" w:themeColor="text1"/>
                <w:sz w:val="18"/>
                <w:szCs w:val="18"/>
              </w:rPr>
            </w:pPr>
            <w:r w:rsidRPr="00735CEE">
              <w:rPr>
                <w:rFonts w:cs="Arial"/>
                <w:b/>
                <w:color w:val="000000" w:themeColor="text1"/>
                <w:sz w:val="18"/>
                <w:szCs w:val="18"/>
              </w:rPr>
              <w:t>Pillar 3 - Provide high quality services for UPOV members and users of the UPOV system</w:t>
            </w:r>
          </w:p>
        </w:tc>
        <w:tc>
          <w:tcPr>
            <w:tcW w:w="3299" w:type="dxa"/>
            <w:tcBorders>
              <w:top w:val="single" w:sz="8"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tcPr>
          <w:p w14:paraId="7D731FD4" w14:textId="49AB95B4" w:rsidR="00FC4C46" w:rsidRPr="00A155B1" w:rsidRDefault="00FC4C46" w:rsidP="003153AD">
            <w:pPr>
              <w:pStyle w:val="BodyText"/>
              <w:spacing w:before="60" w:after="120"/>
              <w:rPr>
                <w:rFonts w:cs="Arial"/>
                <w:color w:val="000000" w:themeColor="text1"/>
                <w:sz w:val="18"/>
                <w:szCs w:val="18"/>
              </w:rPr>
            </w:pPr>
            <w:r w:rsidRPr="00C66139">
              <w:rPr>
                <w:rFonts w:cs="Arial"/>
                <w:sz w:val="18"/>
                <w:szCs w:val="18"/>
              </w:rPr>
              <w:t xml:space="preserve">Technical complexity and resource limitations impact development and implementation of </w:t>
            </w:r>
            <w:r w:rsidR="00A700F1">
              <w:rPr>
                <w:rFonts w:cs="Arial"/>
                <w:sz w:val="18"/>
                <w:szCs w:val="18"/>
              </w:rPr>
              <w:t xml:space="preserve">UPOV </w:t>
            </w:r>
            <w:r w:rsidRPr="00C66139">
              <w:rPr>
                <w:rFonts w:cs="Arial"/>
                <w:sz w:val="18"/>
                <w:szCs w:val="18"/>
              </w:rPr>
              <w:t xml:space="preserve">e-PVP services.  </w:t>
            </w:r>
          </w:p>
        </w:tc>
        <w:tc>
          <w:tcPr>
            <w:tcW w:w="4356" w:type="dxa"/>
            <w:tcBorders>
              <w:top w:val="single" w:sz="8"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tcPr>
          <w:p w14:paraId="44990CA4" w14:textId="64125AF3" w:rsidR="00FC4C46" w:rsidRPr="00A155B1" w:rsidRDefault="00FC4C46" w:rsidP="003153AD">
            <w:pPr>
              <w:pStyle w:val="BodyText"/>
              <w:spacing w:before="60" w:after="120"/>
              <w:rPr>
                <w:rFonts w:cs="Arial"/>
                <w:color w:val="000000" w:themeColor="text1"/>
                <w:sz w:val="18"/>
                <w:szCs w:val="18"/>
              </w:rPr>
            </w:pPr>
            <w:r w:rsidRPr="00F210F4">
              <w:rPr>
                <w:rFonts w:cs="Arial"/>
                <w:sz w:val="18"/>
                <w:szCs w:val="18"/>
              </w:rPr>
              <w:t xml:space="preserve">Prioritize </w:t>
            </w:r>
            <w:r w:rsidR="00A700F1">
              <w:rPr>
                <w:rFonts w:cs="Arial"/>
                <w:sz w:val="18"/>
                <w:szCs w:val="18"/>
              </w:rPr>
              <w:t xml:space="preserve">UPOV </w:t>
            </w:r>
            <w:r w:rsidRPr="00F210F4">
              <w:rPr>
                <w:rFonts w:cs="Arial"/>
                <w:sz w:val="18"/>
                <w:szCs w:val="18"/>
              </w:rPr>
              <w:t>e-PVP service components (</w:t>
            </w:r>
            <w:r w:rsidR="00660D05">
              <w:rPr>
                <w:rFonts w:cs="Arial"/>
                <w:sz w:val="18"/>
                <w:szCs w:val="18"/>
              </w:rPr>
              <w:t>UPOV </w:t>
            </w:r>
            <w:r w:rsidRPr="00F210F4">
              <w:rPr>
                <w:rFonts w:cs="Arial"/>
                <w:sz w:val="18"/>
                <w:szCs w:val="18"/>
              </w:rPr>
              <w:t xml:space="preserve">PRISMA, Administration Module, DUS Exchange Platform, PLUTO) based on member needs and available resources, implementing incremental development to manage complexity. </w:t>
            </w:r>
            <w:r w:rsidRPr="00650BB2">
              <w:rPr>
                <w:rFonts w:cs="Arial"/>
                <w:sz w:val="18"/>
                <w:szCs w:val="18"/>
                <w:lang w:val="en-GB"/>
              </w:rPr>
              <w:t>Support member usage through assistance and training and incorporate user feedback to guide system development priorities.</w:t>
            </w:r>
            <w:r w:rsidRPr="00650BB2">
              <w:rPr>
                <w:rFonts w:cs="Arial"/>
                <w:sz w:val="18"/>
                <w:szCs w:val="18"/>
              </w:rPr>
              <w:t> </w:t>
            </w:r>
          </w:p>
        </w:tc>
      </w:tr>
      <w:tr w:rsidR="00FC4C46" w:rsidRPr="00F0240B" w14:paraId="4BF4CB11" w14:textId="77777777" w:rsidTr="003153AD">
        <w:trPr>
          <w:trHeight w:val="1966"/>
        </w:trPr>
        <w:tc>
          <w:tcPr>
            <w:tcW w:w="2097" w:type="dxa"/>
            <w:tcBorders>
              <w:top w:val="single" w:sz="8"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tcPr>
          <w:p w14:paraId="51158022" w14:textId="77777777" w:rsidR="00FC4C46" w:rsidRPr="00735CEE" w:rsidRDefault="00FC4C46" w:rsidP="003153AD">
            <w:pPr>
              <w:pStyle w:val="BodyText"/>
              <w:spacing w:before="60" w:after="120"/>
              <w:rPr>
                <w:rFonts w:cs="Arial"/>
                <w:b/>
                <w:color w:val="000000" w:themeColor="text1"/>
                <w:sz w:val="18"/>
                <w:szCs w:val="18"/>
              </w:rPr>
            </w:pPr>
            <w:r w:rsidRPr="00CF0ACE">
              <w:rPr>
                <w:rFonts w:cs="Arial"/>
                <w:b/>
                <w:color w:val="000000" w:themeColor="text1"/>
                <w:sz w:val="18"/>
                <w:szCs w:val="18"/>
                <w:lang w:val="en-GB"/>
              </w:rPr>
              <w:t>Foundation - Empower our people to work effectively, collaboratively and innovatively by providing them with the right resources, training and environment</w:t>
            </w:r>
            <w:r w:rsidRPr="00CF0ACE">
              <w:rPr>
                <w:rFonts w:cs="Arial"/>
                <w:b/>
                <w:color w:val="000000" w:themeColor="text1"/>
                <w:sz w:val="18"/>
                <w:szCs w:val="18"/>
              </w:rPr>
              <w:t> </w:t>
            </w:r>
          </w:p>
        </w:tc>
        <w:tc>
          <w:tcPr>
            <w:tcW w:w="3299" w:type="dxa"/>
            <w:tcBorders>
              <w:top w:val="single" w:sz="8"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tcPr>
          <w:p w14:paraId="40E17470" w14:textId="77777777" w:rsidR="00FC4C46" w:rsidRPr="00C66139" w:rsidRDefault="00FC4C46" w:rsidP="003153AD">
            <w:pPr>
              <w:pStyle w:val="BodyText"/>
              <w:spacing w:before="60" w:after="120"/>
              <w:rPr>
                <w:rFonts w:cs="Arial"/>
                <w:sz w:val="18"/>
                <w:szCs w:val="18"/>
              </w:rPr>
            </w:pPr>
            <w:r w:rsidRPr="000302A5">
              <w:rPr>
                <w:rFonts w:cs="Arial"/>
                <w:sz w:val="18"/>
                <w:szCs w:val="18"/>
                <w:lang w:val="en-GB"/>
              </w:rPr>
              <w:t>Uncertain economic conditions and limited resources affect UPOV's ability to maintain and enhance its operational capacity</w:t>
            </w:r>
            <w:r w:rsidRPr="000302A5">
              <w:rPr>
                <w:rFonts w:cs="Arial"/>
                <w:sz w:val="18"/>
                <w:szCs w:val="18"/>
              </w:rPr>
              <w:t>. </w:t>
            </w:r>
          </w:p>
        </w:tc>
        <w:tc>
          <w:tcPr>
            <w:tcW w:w="4356" w:type="dxa"/>
            <w:tcBorders>
              <w:top w:val="single" w:sz="8"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tcPr>
          <w:p w14:paraId="243CCF98" w14:textId="77777777" w:rsidR="00FC4C46" w:rsidRPr="00650BB2" w:rsidRDefault="00FC4C46" w:rsidP="003153AD">
            <w:pPr>
              <w:rPr>
                <w:rFonts w:cs="Arial"/>
                <w:sz w:val="18"/>
                <w:szCs w:val="18"/>
                <w:lang w:val="en-GB"/>
              </w:rPr>
            </w:pPr>
            <w:r w:rsidRPr="00774080">
              <w:rPr>
                <w:rFonts w:cs="Arial"/>
                <w:sz w:val="18"/>
                <w:szCs w:val="18"/>
                <w:lang w:val="en-GB"/>
              </w:rPr>
              <w:t>Diversify income th</w:t>
            </w:r>
            <w:r>
              <w:rPr>
                <w:rFonts w:cs="Arial"/>
                <w:sz w:val="18"/>
                <w:szCs w:val="18"/>
                <w:lang w:val="en-GB"/>
              </w:rPr>
              <w:t>r</w:t>
            </w:r>
            <w:r w:rsidRPr="00774080">
              <w:rPr>
                <w:rFonts w:cs="Arial"/>
                <w:sz w:val="18"/>
                <w:szCs w:val="18"/>
                <w:lang w:val="en-GB"/>
              </w:rPr>
              <w:t xml:space="preserve">ough </w:t>
            </w:r>
            <w:r>
              <w:rPr>
                <w:rFonts w:cs="Arial"/>
                <w:sz w:val="18"/>
                <w:szCs w:val="18"/>
                <w:lang w:val="en-GB"/>
              </w:rPr>
              <w:t xml:space="preserve">expanding </w:t>
            </w:r>
            <w:r w:rsidRPr="00774080">
              <w:rPr>
                <w:rFonts w:cs="Arial"/>
                <w:sz w:val="18"/>
                <w:szCs w:val="18"/>
                <w:lang w:val="en-GB"/>
              </w:rPr>
              <w:t xml:space="preserve">fee-based services, Funds-in-Trusts and </w:t>
            </w:r>
            <w:r>
              <w:rPr>
                <w:rFonts w:cs="Arial"/>
                <w:sz w:val="18"/>
                <w:szCs w:val="18"/>
                <w:lang w:val="en-GB"/>
              </w:rPr>
              <w:t xml:space="preserve">exploring </w:t>
            </w:r>
            <w:r w:rsidRPr="00774080">
              <w:rPr>
                <w:rFonts w:cs="Arial"/>
                <w:sz w:val="18"/>
                <w:szCs w:val="18"/>
                <w:lang w:val="en-GB"/>
              </w:rPr>
              <w:t xml:space="preserve">multi-donor initiatives. </w:t>
            </w:r>
            <w:r>
              <w:rPr>
                <w:rFonts w:cs="Arial"/>
                <w:sz w:val="18"/>
                <w:szCs w:val="18"/>
                <w:lang w:val="en-GB"/>
              </w:rPr>
              <w:t xml:space="preserve">Make proactive proposals to UPOV members to increase core funding. </w:t>
            </w:r>
            <w:r w:rsidRPr="00774080">
              <w:rPr>
                <w:rFonts w:cs="Arial"/>
                <w:sz w:val="18"/>
                <w:szCs w:val="18"/>
                <w:lang w:val="en-GB"/>
              </w:rPr>
              <w:t>Continuously monitor income against forecasts and adjust operational plans accordingly, focusing on core services and strategic priorities.</w:t>
            </w:r>
            <w:r w:rsidRPr="00774080">
              <w:rPr>
                <w:rFonts w:cs="Arial"/>
                <w:sz w:val="18"/>
                <w:szCs w:val="18"/>
              </w:rPr>
              <w:t> </w:t>
            </w:r>
          </w:p>
        </w:tc>
      </w:tr>
    </w:tbl>
    <w:p w14:paraId="091F24A5" w14:textId="77777777" w:rsidR="00FC4C46" w:rsidRPr="00F0240B" w:rsidRDefault="00FC4C46" w:rsidP="00FC4C46">
      <w:pPr>
        <w:rPr>
          <w:rFonts w:cs="Arial"/>
          <w:color w:val="000000" w:themeColor="text1"/>
        </w:rPr>
      </w:pPr>
    </w:p>
    <w:p w14:paraId="24E0817C" w14:textId="77777777" w:rsidR="00F073CE" w:rsidRDefault="00F073CE">
      <w:pPr>
        <w:jc w:val="left"/>
        <w:rPr>
          <w:b/>
          <w:bCs/>
        </w:rPr>
      </w:pPr>
      <w:r>
        <w:rPr>
          <w:b/>
          <w:bCs/>
        </w:rPr>
        <w:br w:type="page"/>
      </w:r>
    </w:p>
    <w:p w14:paraId="0ACD7CC6" w14:textId="2084E20B" w:rsidR="00FC4C46" w:rsidRPr="00F27BCD" w:rsidRDefault="00FC4C46" w:rsidP="00FC4C46">
      <w:pPr>
        <w:pStyle w:val="BodyText"/>
        <w:widowControl w:val="0"/>
        <w:numPr>
          <w:ilvl w:val="0"/>
          <w:numId w:val="67"/>
        </w:numPr>
        <w:autoSpaceDE w:val="0"/>
        <w:autoSpaceDN w:val="0"/>
        <w:jc w:val="left"/>
        <w:rPr>
          <w:b/>
          <w:bCs/>
        </w:rPr>
      </w:pPr>
      <w:r w:rsidRPr="00F27BCD">
        <w:rPr>
          <w:b/>
          <w:bCs/>
        </w:rPr>
        <w:lastRenderedPageBreak/>
        <w:t>Monitoring, Oversight, Complaints and Response Mechanisms</w:t>
      </w:r>
    </w:p>
    <w:p w14:paraId="08387F91" w14:textId="77777777" w:rsidR="00FC4C46" w:rsidRPr="00F27BCD" w:rsidRDefault="00FC4C46" w:rsidP="00FC4C46">
      <w:pPr>
        <w:pStyle w:val="BodyText"/>
        <w:rPr>
          <w:b/>
          <w:bCs/>
          <w:color w:val="000000" w:themeColor="text1"/>
        </w:rPr>
      </w:pPr>
    </w:p>
    <w:p w14:paraId="7A8283A9" w14:textId="77777777" w:rsidR="00FC4C46" w:rsidRPr="00F27BCD" w:rsidRDefault="00FC4C46" w:rsidP="00FC4C46">
      <w:pPr>
        <w:pStyle w:val="BodyText"/>
        <w:jc w:val="left"/>
        <w:rPr>
          <w:rFonts w:cs="Arial"/>
          <w:color w:val="000000" w:themeColor="text1"/>
        </w:rPr>
      </w:pPr>
      <w:r w:rsidRPr="00F27BCD">
        <w:rPr>
          <w:rFonts w:cs="Arial"/>
          <w:color w:val="000000" w:themeColor="text1"/>
        </w:rPr>
        <w:t xml:space="preserve">As Secretary-General of UPOV, I am ultimately accountable for the effectiveness of the system of internal controls.  My assertion, structured by the “Three Lines” below, is supported and informed by: </w:t>
      </w:r>
      <w:r w:rsidRPr="00F27BCD">
        <w:rPr>
          <w:rFonts w:cs="Arial"/>
          <w:color w:val="000000" w:themeColor="text1"/>
        </w:rPr>
        <w:br/>
      </w:r>
    </w:p>
    <w:p w14:paraId="7C01EE1D" w14:textId="77777777" w:rsidR="00FC4C46" w:rsidRPr="00F0240B" w:rsidRDefault="00FC4C46" w:rsidP="00FC4C46">
      <w:pPr>
        <w:rPr>
          <w:rFonts w:cs="Arial"/>
          <w:color w:val="000000" w:themeColor="text1"/>
        </w:rPr>
      </w:pPr>
      <w:r w:rsidRPr="00F0240B">
        <w:rPr>
          <w:rFonts w:cs="Arial"/>
          <w:noProof/>
        </w:rPr>
        <mc:AlternateContent>
          <mc:Choice Requires="wpg">
            <w:drawing>
              <wp:inline distT="0" distB="0" distL="0" distR="0" wp14:anchorId="588D1A7B" wp14:editId="383DC1B7">
                <wp:extent cx="6239510" cy="2867025"/>
                <wp:effectExtent l="0" t="0" r="27940" b="28575"/>
                <wp:docPr id="17" name="Group 7"/>
                <wp:cNvGraphicFramePr/>
                <a:graphic xmlns:a="http://schemas.openxmlformats.org/drawingml/2006/main">
                  <a:graphicData uri="http://schemas.microsoft.com/office/word/2010/wordprocessingGroup">
                    <wpg:wgp>
                      <wpg:cNvGrpSpPr/>
                      <wpg:grpSpPr>
                        <a:xfrm>
                          <a:off x="0" y="0"/>
                          <a:ext cx="6239510" cy="2867025"/>
                          <a:chOff x="-4630" y="-4560"/>
                          <a:chExt cx="8551022" cy="3320668"/>
                        </a:xfrm>
                      </wpg:grpSpPr>
                      <wps:wsp>
                        <wps:cNvPr id="18" name="Rettangolo con angoli arrotondati 43"/>
                        <wps:cNvSpPr/>
                        <wps:spPr>
                          <a:xfrm>
                            <a:off x="-4630" y="-4560"/>
                            <a:ext cx="2609042" cy="430253"/>
                          </a:xfrm>
                          <a:prstGeom prst="roundRect">
                            <a:avLst>
                              <a:gd name="adj" fmla="val 8559"/>
                            </a:avLst>
                          </a:prstGeom>
                          <a:solidFill>
                            <a:schemeClr val="bg1"/>
                          </a:solidFill>
                          <a:ln w="25400" cap="flat" cmpd="sng" algn="ctr">
                            <a:solidFill>
                              <a:schemeClr val="accent1">
                                <a:lumMod val="40000"/>
                                <a:lumOff val="60000"/>
                              </a:schemeClr>
                            </a:solidFill>
                            <a:prstDash val="solid"/>
                          </a:ln>
                          <a:effectLst/>
                        </wps:spPr>
                        <wps:txbx>
                          <w:txbxContent>
                            <w:p w14:paraId="3487A8CD" w14:textId="77777777" w:rsidR="00FC4C46" w:rsidRPr="00251458" w:rsidRDefault="00FC4C46" w:rsidP="00FC4C46">
                              <w:pPr>
                                <w:pStyle w:val="NormalWeb"/>
                                <w:spacing w:after="0"/>
                                <w:jc w:val="center"/>
                                <w:textAlignment w:val="baseline"/>
                                <w:rPr>
                                  <w:rFonts w:ascii="Arial" w:hAnsi="Arial" w:cs="Arial"/>
                                  <w:sz w:val="16"/>
                                </w:rPr>
                              </w:pPr>
                              <w:r w:rsidRPr="00251458">
                                <w:rPr>
                                  <w:rFonts w:ascii="Arial" w:hAnsi="Arial" w:cs="Arial"/>
                                  <w:b/>
                                  <w:bCs/>
                                  <w:kern w:val="24"/>
                                  <w:sz w:val="32"/>
                                  <w:szCs w:val="48"/>
                                </w:rPr>
                                <w:t>First Line</w:t>
                              </w:r>
                            </w:p>
                          </w:txbxContent>
                        </wps:txbx>
                        <wps:bodyPr lIns="40500" tIns="40500" rIns="40500" bIns="40500" rtlCol="0" anchor="ctr" anchorCtr="1"/>
                      </wps:wsp>
                      <wps:wsp>
                        <wps:cNvPr id="19" name="Rettangolo con angoli arrotondati 43"/>
                        <wps:cNvSpPr/>
                        <wps:spPr>
                          <a:xfrm>
                            <a:off x="-4630" y="507220"/>
                            <a:ext cx="2609042" cy="2806940"/>
                          </a:xfrm>
                          <a:prstGeom prst="roundRect">
                            <a:avLst>
                              <a:gd name="adj" fmla="val 2232"/>
                            </a:avLst>
                          </a:prstGeom>
                          <a:solidFill>
                            <a:schemeClr val="bg1"/>
                          </a:solidFill>
                          <a:ln w="25400" cap="flat" cmpd="sng" algn="ctr">
                            <a:solidFill>
                              <a:schemeClr val="accent1">
                                <a:lumMod val="40000"/>
                                <a:lumOff val="60000"/>
                              </a:schemeClr>
                            </a:solidFill>
                            <a:prstDash val="solid"/>
                          </a:ln>
                          <a:effectLst/>
                        </wps:spPr>
                        <wps:txbx>
                          <w:txbxContent>
                            <w:p w14:paraId="53638A80" w14:textId="77777777" w:rsidR="00FC4C46" w:rsidRPr="00A155B1" w:rsidRDefault="00FC4C46" w:rsidP="00FC4C46">
                              <w:pPr>
                                <w:pStyle w:val="NormalWeb"/>
                                <w:spacing w:before="144" w:beforeAutospacing="0" w:after="0" w:afterAutospacing="0"/>
                                <w:jc w:val="center"/>
                                <w:textAlignment w:val="baseline"/>
                                <w:rPr>
                                  <w:rFonts w:ascii="Arial" w:hAnsi="Arial" w:cs="Arial"/>
                                  <w:sz w:val="18"/>
                                  <w:szCs w:val="20"/>
                                </w:rPr>
                              </w:pPr>
                              <w:r w:rsidRPr="00A155B1">
                                <w:rPr>
                                  <w:rFonts w:ascii="Arial" w:hAnsi="Arial" w:cs="Arial"/>
                                  <w:sz w:val="18"/>
                                  <w:szCs w:val="20"/>
                                </w:rPr>
                                <w:t xml:space="preserve">UPOV’s Vice Secretary-General is accountable for achieving expected results, implementing UPOV’s mandated activities, and managing the entrusted resources.  The </w:t>
                              </w:r>
                              <w:r w:rsidRPr="00791181">
                                <w:rPr>
                                  <w:rFonts w:ascii="Arial" w:hAnsi="Arial" w:cs="Arial"/>
                                  <w:sz w:val="18"/>
                                  <w:szCs w:val="20"/>
                                </w:rPr>
                                <w:t>Vice Secretary</w:t>
                              </w:r>
                              <w:r w:rsidRPr="00A155B1">
                                <w:rPr>
                                  <w:rFonts w:ascii="Arial" w:hAnsi="Arial" w:cs="Arial"/>
                                  <w:sz w:val="18"/>
                                  <w:szCs w:val="20"/>
                                </w:rPr>
                                <w:t>-General’s Management Representation Letter, confirms her responsibility for having and maintaining well-functioning systems and a mechanism for internal control aimed at presenting and/or detecting instances of fraud and major errors.  Taking these elements into account, I conclude the ‘first line’ is sound.</w:t>
                              </w:r>
                            </w:p>
                          </w:txbxContent>
                        </wps:txbx>
                        <wps:bodyPr lIns="40500" tIns="40500" rIns="40500" bIns="40500" rtlCol="0" anchor="t"/>
                      </wps:wsp>
                      <wps:wsp>
                        <wps:cNvPr id="20" name="Rectangle 20"/>
                        <wps:cNvSpPr/>
                        <wps:spPr bwMode="auto">
                          <a:xfrm>
                            <a:off x="2464351" y="1123853"/>
                            <a:ext cx="45719" cy="72008"/>
                          </a:xfrm>
                          <a:prstGeom prst="rect">
                            <a:avLst/>
                          </a:prstGeom>
                          <a:noFill/>
                          <a:ln>
                            <a:noFill/>
                          </a:ln>
                          <a:effectLst/>
                          <a:extLst>
                            <a:ext uri="{909E8E84-426E-40dd-AFC4-6F175D3DCCD1}">
                              <a14:hiddenFill xmlns:lc="http://schemas.openxmlformats.org/drawingml/2006/lockedCanvas"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chemeClr val="accent1"/>
                                </a:solidFill>
                              </a14:hiddenFill>
                            </a:ext>
                            <a:ext uri="{91240B29-F687-4f45-9708-019B960494DF}">
                              <a14:hiddenLine xmlns:lc="http://schemas.openxmlformats.org/drawingml/2006/lockedCanvas"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w="9525" cap="flat" cmpd="sng" algn="ctr">
                                <a:solidFill>
                                  <a:schemeClr val="tx1"/>
                                </a:solidFill>
                                <a:prstDash val="solid"/>
                                <a:round/>
                                <a:headEnd type="none" w="med" len="med"/>
                                <a:tailEnd type="none" w="med" len="med"/>
                              </a14:hiddenLine>
                            </a:ext>
                            <a:ext uri="{AF507438-7753-43e0-B8FC-AC1667EBCBE1}">
                              <a14:hiddenEffects xmlns:lc="http://schemas.openxmlformats.org/drawingml/2006/lockedCanvas"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effectLst>
                                  <a:outerShdw dist="35921" dir="2700000" algn="ctr" rotWithShape="0">
                                    <a:schemeClr val="bg2"/>
                                  </a:outerShdw>
                                </a:effectLst>
                              </a14:hiddenEffects>
                            </a:ext>
                          </a:extLst>
                        </wps:spPr>
                        <wps:bodyPr rot="0" spcFirstLastPara="0" vert="horz" wrap="square" lIns="91440" tIns="45720" rIns="91440" bIns="45720" numCol="1" spcCol="0" rtlCol="0" fromWordArt="0" anchor="t" anchorCtr="0" forceAA="0" compatLnSpc="1">
                          <a:prstTxWarp prst="textNoShape">
                            <a:avLst/>
                          </a:prstTxWarp>
                          <a:noAutofit/>
                        </wps:bodyPr>
                      </wps:wsp>
                      <wps:wsp>
                        <wps:cNvPr id="21" name="Rectangle 21"/>
                        <wps:cNvSpPr/>
                        <wps:spPr bwMode="auto">
                          <a:xfrm>
                            <a:off x="2892157" y="727866"/>
                            <a:ext cx="914400" cy="914400"/>
                          </a:xfrm>
                          <a:prstGeom prst="rect">
                            <a:avLst/>
                          </a:prstGeom>
                          <a:noFill/>
                          <a:ln>
                            <a:noFill/>
                          </a:ln>
                          <a:effectLst/>
                          <a:extLst>
                            <a:ext uri="{909E8E84-426E-40dd-AFC4-6F175D3DCCD1}">
                              <a14:hiddenFill xmlns:lc="http://schemas.openxmlformats.org/drawingml/2006/lockedCanvas"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chemeClr val="accent1"/>
                                </a:solidFill>
                              </a14:hiddenFill>
                            </a:ext>
                            <a:ext uri="{91240B29-F687-4f45-9708-019B960494DF}">
                              <a14:hiddenLine xmlns:lc="http://schemas.openxmlformats.org/drawingml/2006/lockedCanvas"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w="9525" cap="flat" cmpd="sng" algn="ctr">
                                <a:solidFill>
                                  <a:schemeClr val="tx1"/>
                                </a:solidFill>
                                <a:prstDash val="solid"/>
                                <a:round/>
                                <a:headEnd type="none" w="med" len="med"/>
                                <a:tailEnd type="none" w="med" len="med"/>
                              </a14:hiddenLine>
                            </a:ext>
                            <a:ext uri="{AF507438-7753-43e0-B8FC-AC1667EBCBE1}">
                              <a14:hiddenEffects xmlns:lc="http://schemas.openxmlformats.org/drawingml/2006/lockedCanvas"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effectLst>
                                  <a:outerShdw dist="35921" dir="2700000" algn="ctr" rotWithShape="0">
                                    <a:schemeClr val="bg2"/>
                                  </a:outerShdw>
                                </a:effectLst>
                              </a14:hiddenEffects>
                            </a:ext>
                          </a:extLst>
                        </wps:spPr>
                        <wps:bodyPr rot="0" spcFirstLastPara="0" vert="horz" wrap="square" lIns="91440" tIns="45720" rIns="91440" bIns="45720" numCol="1" spcCol="0" rtlCol="0" fromWordArt="0" anchor="t" anchorCtr="0" forceAA="0" compatLnSpc="1">
                          <a:prstTxWarp prst="textNoShape">
                            <a:avLst/>
                          </a:prstTxWarp>
                          <a:noAutofit/>
                        </wps:bodyPr>
                      </wps:wsp>
                      <wps:wsp>
                        <wps:cNvPr id="22" name="Rettangolo con angoli arrotondati 43"/>
                        <wps:cNvSpPr/>
                        <wps:spPr>
                          <a:xfrm>
                            <a:off x="2710531" y="8608"/>
                            <a:ext cx="2597680" cy="417081"/>
                          </a:xfrm>
                          <a:prstGeom prst="roundRect">
                            <a:avLst>
                              <a:gd name="adj" fmla="val 8559"/>
                            </a:avLst>
                          </a:prstGeom>
                          <a:solidFill>
                            <a:schemeClr val="bg1"/>
                          </a:solidFill>
                          <a:ln w="25400" cap="flat" cmpd="sng" algn="ctr">
                            <a:solidFill>
                              <a:schemeClr val="bg1">
                                <a:lumMod val="75000"/>
                              </a:schemeClr>
                            </a:solidFill>
                            <a:prstDash val="solid"/>
                          </a:ln>
                          <a:effectLst/>
                        </wps:spPr>
                        <wps:txbx>
                          <w:txbxContent>
                            <w:p w14:paraId="2CC53C06" w14:textId="77777777" w:rsidR="00FC4C46" w:rsidRPr="00251458" w:rsidRDefault="00FC4C46" w:rsidP="00FC4C46">
                              <w:pPr>
                                <w:pStyle w:val="NormalWeb"/>
                                <w:spacing w:after="0"/>
                                <w:jc w:val="center"/>
                                <w:textAlignment w:val="baseline"/>
                                <w:rPr>
                                  <w:rFonts w:ascii="Arial" w:hAnsi="Arial" w:cs="Arial"/>
                                  <w:b/>
                                  <w:bCs/>
                                  <w:kern w:val="24"/>
                                  <w:sz w:val="32"/>
                                  <w:szCs w:val="48"/>
                                </w:rPr>
                              </w:pPr>
                              <w:r w:rsidRPr="00251458">
                                <w:rPr>
                                  <w:rFonts w:ascii="Arial" w:hAnsi="Arial" w:cs="Arial"/>
                                  <w:b/>
                                  <w:bCs/>
                                  <w:kern w:val="24"/>
                                  <w:sz w:val="32"/>
                                  <w:szCs w:val="48"/>
                                </w:rPr>
                                <w:t>Second Line</w:t>
                              </w:r>
                            </w:p>
                          </w:txbxContent>
                        </wps:txbx>
                        <wps:bodyPr lIns="40500" tIns="40500" rIns="40500" bIns="40500" rtlCol="0" anchor="ctr" anchorCtr="1"/>
                      </wps:wsp>
                      <wps:wsp>
                        <wps:cNvPr id="23" name="Rettangolo con angoli arrotondati 43"/>
                        <wps:cNvSpPr/>
                        <wps:spPr>
                          <a:xfrm>
                            <a:off x="2710533" y="515829"/>
                            <a:ext cx="2597678" cy="2800279"/>
                          </a:xfrm>
                          <a:prstGeom prst="roundRect">
                            <a:avLst>
                              <a:gd name="adj" fmla="val 2232"/>
                            </a:avLst>
                          </a:prstGeom>
                          <a:solidFill>
                            <a:schemeClr val="bg1"/>
                          </a:solidFill>
                          <a:ln w="25400" cap="flat" cmpd="sng" algn="ctr">
                            <a:solidFill>
                              <a:schemeClr val="bg1">
                                <a:lumMod val="75000"/>
                              </a:schemeClr>
                            </a:solidFill>
                            <a:prstDash val="solid"/>
                          </a:ln>
                          <a:effectLst/>
                        </wps:spPr>
                        <wps:txbx>
                          <w:txbxContent>
                            <w:p w14:paraId="259C7EC2" w14:textId="77777777" w:rsidR="00FC4C46" w:rsidRPr="00A155B1" w:rsidRDefault="00FC4C46" w:rsidP="00FC4C46">
                              <w:pPr>
                                <w:pStyle w:val="NormalWeb"/>
                                <w:spacing w:before="144" w:beforeAutospacing="0" w:after="0" w:afterAutospacing="0"/>
                                <w:jc w:val="center"/>
                                <w:textAlignment w:val="baseline"/>
                                <w:rPr>
                                  <w:rFonts w:ascii="Arial" w:hAnsi="Arial" w:cs="Arial"/>
                                  <w:sz w:val="18"/>
                                  <w:szCs w:val="18"/>
                                </w:rPr>
                              </w:pPr>
                              <w:r w:rsidRPr="00A155B1">
                                <w:rPr>
                                  <w:rFonts w:ascii="Arial" w:hAnsi="Arial" w:cs="Arial"/>
                                  <w:kern w:val="24"/>
                                  <w:sz w:val="18"/>
                                  <w:szCs w:val="18"/>
                                </w:rPr>
                                <w:t>Management’s role to address enterprise risks, including compliance with our regulatory framework, ethical behavior, internal control, information and technology security, sustainability, and quality assurance. The assurance provided is underpinned by a systematic process of self-assessment and internal validation of entity level controls as well as key process level controls in place in WIPO.  I am confident our ‘second line’ approach is robust.</w:t>
                              </w:r>
                            </w:p>
                          </w:txbxContent>
                        </wps:txbx>
                        <wps:bodyPr lIns="40500" tIns="40500" rIns="40500" bIns="40500" rtlCol="0" anchor="t"/>
                      </wps:wsp>
                      <wps:wsp>
                        <wps:cNvPr id="24" name="Rettangolo con angoli arrotondati 43"/>
                        <wps:cNvSpPr/>
                        <wps:spPr>
                          <a:xfrm>
                            <a:off x="5386534" y="8608"/>
                            <a:ext cx="3159858" cy="417078"/>
                          </a:xfrm>
                          <a:prstGeom prst="roundRect">
                            <a:avLst>
                              <a:gd name="adj" fmla="val 8559"/>
                            </a:avLst>
                          </a:prstGeom>
                          <a:solidFill>
                            <a:schemeClr val="bg1"/>
                          </a:solidFill>
                          <a:ln w="25400" cap="flat" cmpd="sng" algn="ctr">
                            <a:solidFill>
                              <a:schemeClr val="accent2">
                                <a:lumMod val="60000"/>
                                <a:lumOff val="40000"/>
                              </a:schemeClr>
                            </a:solidFill>
                            <a:prstDash val="solid"/>
                          </a:ln>
                          <a:effectLst/>
                        </wps:spPr>
                        <wps:txbx>
                          <w:txbxContent>
                            <w:p w14:paraId="7FB7A460" w14:textId="77777777" w:rsidR="00FC4C46" w:rsidRPr="00251458" w:rsidRDefault="00FC4C46" w:rsidP="00FC4C46">
                              <w:pPr>
                                <w:pStyle w:val="NormalWeb"/>
                                <w:spacing w:after="0"/>
                                <w:jc w:val="center"/>
                                <w:textAlignment w:val="baseline"/>
                                <w:rPr>
                                  <w:rFonts w:ascii="Arial" w:hAnsi="Arial" w:cs="Arial"/>
                                  <w:b/>
                                  <w:bCs/>
                                  <w:kern w:val="24"/>
                                  <w:sz w:val="40"/>
                                  <w:szCs w:val="48"/>
                                </w:rPr>
                              </w:pPr>
                              <w:r w:rsidRPr="00251458">
                                <w:rPr>
                                  <w:rFonts w:ascii="Arial" w:hAnsi="Arial" w:cs="Arial"/>
                                  <w:b/>
                                  <w:bCs/>
                                  <w:kern w:val="24"/>
                                  <w:sz w:val="32"/>
                                  <w:szCs w:val="40"/>
                                </w:rPr>
                                <w:t>Third</w:t>
                              </w:r>
                              <w:r w:rsidRPr="00251458">
                                <w:rPr>
                                  <w:rFonts w:ascii="Arial" w:hAnsi="Arial" w:cs="Arial"/>
                                  <w:b/>
                                  <w:bCs/>
                                  <w:kern w:val="24"/>
                                  <w:sz w:val="40"/>
                                  <w:szCs w:val="48"/>
                                </w:rPr>
                                <w:t xml:space="preserve"> </w:t>
                              </w:r>
                              <w:r w:rsidRPr="00251458">
                                <w:rPr>
                                  <w:rFonts w:ascii="Arial" w:hAnsi="Arial" w:cs="Arial"/>
                                  <w:b/>
                                  <w:bCs/>
                                  <w:kern w:val="24"/>
                                  <w:sz w:val="32"/>
                                  <w:szCs w:val="48"/>
                                </w:rPr>
                                <w:t>Line</w:t>
                              </w:r>
                            </w:p>
                          </w:txbxContent>
                        </wps:txbx>
                        <wps:bodyPr lIns="40500" tIns="40500" rIns="40500" bIns="40500" rtlCol="0" anchor="ctr" anchorCtr="1"/>
                      </wps:wsp>
                      <wps:wsp>
                        <wps:cNvPr id="25" name="Rettangolo con angoli arrotondati 43"/>
                        <wps:cNvSpPr/>
                        <wps:spPr>
                          <a:xfrm>
                            <a:off x="5386534" y="515831"/>
                            <a:ext cx="3155228" cy="2800277"/>
                          </a:xfrm>
                          <a:prstGeom prst="roundRect">
                            <a:avLst>
                              <a:gd name="adj" fmla="val 2232"/>
                            </a:avLst>
                          </a:prstGeom>
                          <a:solidFill>
                            <a:schemeClr val="bg1"/>
                          </a:solidFill>
                          <a:ln w="25400" cap="flat" cmpd="sng" algn="ctr">
                            <a:solidFill>
                              <a:schemeClr val="accent2">
                                <a:lumMod val="60000"/>
                                <a:lumOff val="40000"/>
                              </a:schemeClr>
                            </a:solidFill>
                            <a:prstDash val="solid"/>
                          </a:ln>
                          <a:effectLst/>
                        </wps:spPr>
                        <wps:txbx>
                          <w:txbxContent>
                            <w:p w14:paraId="4329F727" w14:textId="77777777" w:rsidR="00FC4C46" w:rsidRPr="00A155B1" w:rsidRDefault="00FC4C46" w:rsidP="00FC4C46">
                              <w:pPr>
                                <w:pStyle w:val="NormalWeb"/>
                                <w:spacing w:before="144" w:beforeAutospacing="0" w:after="0" w:afterAutospacing="0"/>
                                <w:jc w:val="center"/>
                                <w:textAlignment w:val="baseline"/>
                                <w:rPr>
                                  <w:rFonts w:ascii="Arial" w:hAnsi="Arial" w:cs="Arial"/>
                                  <w:sz w:val="18"/>
                                  <w:szCs w:val="20"/>
                                </w:rPr>
                              </w:pPr>
                              <w:r w:rsidRPr="00A155B1">
                                <w:rPr>
                                  <w:rFonts w:ascii="Arial" w:hAnsi="Arial" w:cs="Arial"/>
                                  <w:kern w:val="24"/>
                                  <w:sz w:val="18"/>
                                  <w:szCs w:val="20"/>
                                </w:rPr>
                                <w:t>The WIPO Internal Oversight Division (IOD), on whose assurance and advisory services I rely through the WIPO annual report by the Director of IOD, reports of internal audit and evaluation</w:t>
                              </w:r>
                              <w:r>
                                <w:rPr>
                                  <w:rFonts w:ascii="Arial" w:hAnsi="Arial" w:cs="Arial"/>
                                  <w:kern w:val="24"/>
                                  <w:sz w:val="18"/>
                                  <w:szCs w:val="20"/>
                                </w:rPr>
                                <w:t>,</w:t>
                              </w:r>
                              <w:r w:rsidRPr="00A155B1">
                                <w:rPr>
                                  <w:rFonts w:ascii="Arial" w:hAnsi="Arial" w:cs="Arial"/>
                                  <w:kern w:val="24"/>
                                  <w:sz w:val="18"/>
                                  <w:szCs w:val="20"/>
                                </w:rPr>
                                <w:t xml:space="preserve">  management implication reports resulting from investigations, as well as through IOD reports, if any, on UPOV.  A synergy exists with IOD performing audits of both UPOV and WIPO.  I take assurance from IOD’s assessment of WIPO that there were no significant risks or breakdown of governance and internal controls, while they did identify some areas for continuous improvement.</w:t>
                              </w:r>
                            </w:p>
                          </w:txbxContent>
                        </wps:txbx>
                        <wps:bodyPr lIns="40500" tIns="40500" rIns="40500" bIns="40500" rtlCol="0" anchor="t"/>
                      </wps:wsp>
                    </wpg:wgp>
                  </a:graphicData>
                </a:graphic>
              </wp:inline>
            </w:drawing>
          </mc:Choice>
          <mc:Fallback>
            <w:pict>
              <v:group w14:anchorId="588D1A7B" id="Group 7" o:spid="_x0000_s1026" style="width:491.3pt;height:225.75pt;mso-position-horizontal-relative:char;mso-position-vertical-relative:line" coordorigin="-46,-45" coordsize="85510,33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">
                <v:roundrect id="Rettangolo con angoli arrotondati 43" o:spid="_x0000_s1027" style="position:absolute;left:-46;top:-45;width:26090;height:4301;visibility:visible;mso-wrap-style:square;v-text-anchor:middle-center" arcsize="56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" fillcolor="white [3212]" strokecolor="#b8cce4 [1300]" strokeweight="2pt">
                  <v:textbox inset="1.125mm,1.125mm,1.125mm,1.125mm">
                    <w:txbxContent>
                      <w:p w14:paraId="3487A8CD" w14:textId="77777777" w:rsidR="00FC4C46" w:rsidRPr="00251458" w:rsidRDefault="00FC4C46" w:rsidP="00FC4C46">
                        <w:pPr>
                          <w:pStyle w:val="NormalWeb"/>
                          <w:spacing w:after="0"/>
                          <w:jc w:val="center"/>
                          <w:textAlignment w:val="baseline"/>
                          <w:rPr>
                            <w:rFonts w:ascii="Arial" w:hAnsi="Arial" w:cs="Arial"/>
                            <w:sz w:val="16"/>
                          </w:rPr>
                        </w:pPr>
                        <w:r w:rsidRPr="00251458">
                          <w:rPr>
                            <w:rFonts w:ascii="Arial" w:hAnsi="Arial" w:cs="Arial"/>
                            <w:b/>
                            <w:bCs/>
                            <w:kern w:val="24"/>
                            <w:sz w:val="32"/>
                            <w:szCs w:val="48"/>
                          </w:rPr>
                          <w:t>First Line</w:t>
                        </w:r>
                      </w:p>
                    </w:txbxContent>
                  </v:textbox>
                </v:roundrect>
                <v:roundrect id="Rettangolo con angoli arrotondati 43" o:spid="_x0000_s1028" style="position:absolute;left:-46;top:5072;width:26090;height:28069;visibility:visible;mso-wrap-style:square;v-text-anchor:top" arcsize="14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" fillcolor="white [3212]" strokecolor="#b8cce4 [1300]" strokeweight="2pt">
                  <v:textbox inset="1.125mm,1.125mm,1.125mm,1.125mm">
                    <w:txbxContent>
                      <w:p w14:paraId="53638A80" w14:textId="77777777" w:rsidR="00FC4C46" w:rsidRPr="00A155B1" w:rsidRDefault="00FC4C46" w:rsidP="00FC4C46">
                        <w:pPr>
                          <w:pStyle w:val="NormalWeb"/>
                          <w:spacing w:before="144" w:beforeAutospacing="0" w:after="0" w:afterAutospacing="0"/>
                          <w:jc w:val="center"/>
                          <w:textAlignment w:val="baseline"/>
                          <w:rPr>
                            <w:rFonts w:ascii="Arial" w:hAnsi="Arial" w:cs="Arial"/>
                            <w:sz w:val="18"/>
                            <w:szCs w:val="20"/>
                          </w:rPr>
                        </w:pPr>
                        <w:r w:rsidRPr="00A155B1">
                          <w:rPr>
                            <w:rFonts w:ascii="Arial" w:hAnsi="Arial" w:cs="Arial"/>
                            <w:sz w:val="18"/>
                            <w:szCs w:val="20"/>
                          </w:rPr>
                          <w:t xml:space="preserve">UPOV’s Vice Secretary-General is accountable for achieving expected results, implementing UPOV’s mandated activities, and managing the entrusted resources.  The </w:t>
                        </w:r>
                        <w:r w:rsidRPr="00791181">
                          <w:rPr>
                            <w:rFonts w:ascii="Arial" w:hAnsi="Arial" w:cs="Arial"/>
                            <w:sz w:val="18"/>
                            <w:szCs w:val="20"/>
                          </w:rPr>
                          <w:t>Vice Secretary</w:t>
                        </w:r>
                        <w:r w:rsidRPr="00A155B1">
                          <w:rPr>
                            <w:rFonts w:ascii="Arial" w:hAnsi="Arial" w:cs="Arial"/>
                            <w:sz w:val="18"/>
                            <w:szCs w:val="20"/>
                          </w:rPr>
                          <w:t>-General’s Management Representation Letter, confirms her responsibility for having and maintaining well-functioning systems and a mechanism for internal control aimed at presenting and/or detecting instances of fraud and major errors.  Taking these elements into account, I conclude the ‘first line’ is sound.</w:t>
                        </w:r>
                      </w:p>
                    </w:txbxContent>
                  </v:textbox>
                </v:roundrect>
                <v:rect id="Rectangle 20" o:spid="_x0000_s1029" style="position:absolute;left:24643;top:11238;width:45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" filled="f" stroked="f"/>
                <v:rect id="Rectangle 21" o:spid="_x0000_s1030" style="position:absolute;left:28921;top:7278;width:9144;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" filled="f" stroked="f"/>
                <v:roundrect id="Rettangolo con angoli arrotondati 43" o:spid="_x0000_s1031" style="position:absolute;left:27105;top:86;width:25977;height:4170;visibility:visible;mso-wrap-style:square;v-text-anchor:middle-center" arcsize="56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" fillcolor="white [3212]" strokecolor="#bfbfbf [2412]" strokeweight="2pt">
                  <v:textbox inset="1.125mm,1.125mm,1.125mm,1.125mm">
                    <w:txbxContent>
                      <w:p w14:paraId="2CC53C06" w14:textId="77777777" w:rsidR="00FC4C46" w:rsidRPr="00251458" w:rsidRDefault="00FC4C46" w:rsidP="00FC4C46">
                        <w:pPr>
                          <w:pStyle w:val="NormalWeb"/>
                          <w:spacing w:after="0"/>
                          <w:jc w:val="center"/>
                          <w:textAlignment w:val="baseline"/>
                          <w:rPr>
                            <w:rFonts w:ascii="Arial" w:hAnsi="Arial" w:cs="Arial"/>
                            <w:b/>
                            <w:bCs/>
                            <w:kern w:val="24"/>
                            <w:sz w:val="32"/>
                            <w:szCs w:val="48"/>
                          </w:rPr>
                        </w:pPr>
                        <w:r w:rsidRPr="00251458">
                          <w:rPr>
                            <w:rFonts w:ascii="Arial" w:hAnsi="Arial" w:cs="Arial"/>
                            <w:b/>
                            <w:bCs/>
                            <w:kern w:val="24"/>
                            <w:sz w:val="32"/>
                            <w:szCs w:val="48"/>
                          </w:rPr>
                          <w:t>Second Line</w:t>
                        </w:r>
                      </w:p>
                    </w:txbxContent>
                  </v:textbox>
                </v:roundrect>
                <v:roundrect id="Rettangolo con angoli arrotondati 43" o:spid="_x0000_s1032" style="position:absolute;left:27105;top:5158;width:25977;height:28003;visibility:visible;mso-wrap-style:square;v-text-anchor:top" arcsize="14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" fillcolor="white [3212]" strokecolor="#bfbfbf [2412]" strokeweight="2pt">
                  <v:textbox inset="1.125mm,1.125mm,1.125mm,1.125mm">
                    <w:txbxContent>
                      <w:p w14:paraId="259C7EC2" w14:textId="77777777" w:rsidR="00FC4C46" w:rsidRPr="00A155B1" w:rsidRDefault="00FC4C46" w:rsidP="00FC4C46">
                        <w:pPr>
                          <w:pStyle w:val="NormalWeb"/>
                          <w:spacing w:before="144" w:beforeAutospacing="0" w:after="0" w:afterAutospacing="0"/>
                          <w:jc w:val="center"/>
                          <w:textAlignment w:val="baseline"/>
                          <w:rPr>
                            <w:rFonts w:ascii="Arial" w:hAnsi="Arial" w:cs="Arial"/>
                            <w:sz w:val="18"/>
                            <w:szCs w:val="18"/>
                          </w:rPr>
                        </w:pPr>
                        <w:r w:rsidRPr="00A155B1">
                          <w:rPr>
                            <w:rFonts w:ascii="Arial" w:hAnsi="Arial" w:cs="Arial"/>
                            <w:kern w:val="24"/>
                            <w:sz w:val="18"/>
                            <w:szCs w:val="18"/>
                          </w:rPr>
                          <w:t>Management’s role to address enterprise risks, including compliance with our regulatory framework, ethical behavior, internal control, information and technology security, sustainability, and quality assurance. The assurance provided is underpinned by a systematic process of self-assessment and internal validation of entity level controls as well as key process level controls in place in WIPO.  I am confident our ‘second line’ approach is robust.</w:t>
                        </w:r>
                      </w:p>
                    </w:txbxContent>
                  </v:textbox>
                </v:roundrect>
                <v:roundrect id="Rettangolo con angoli arrotondati 43" o:spid="_x0000_s1033" style="position:absolute;left:53865;top:86;width:31598;height:4170;visibility:visible;mso-wrap-style:square;v-text-anchor:middle-center" arcsize="56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" fillcolor="white [3212]" strokecolor="#d99594 [1941]" strokeweight="2pt">
                  <v:textbox inset="1.125mm,1.125mm,1.125mm,1.125mm">
                    <w:txbxContent>
                      <w:p w14:paraId="7FB7A460" w14:textId="77777777" w:rsidR="00FC4C46" w:rsidRPr="00251458" w:rsidRDefault="00FC4C46" w:rsidP="00FC4C46">
                        <w:pPr>
                          <w:pStyle w:val="NormalWeb"/>
                          <w:spacing w:after="0"/>
                          <w:jc w:val="center"/>
                          <w:textAlignment w:val="baseline"/>
                          <w:rPr>
                            <w:rFonts w:ascii="Arial" w:hAnsi="Arial" w:cs="Arial"/>
                            <w:b/>
                            <w:bCs/>
                            <w:kern w:val="24"/>
                            <w:sz w:val="40"/>
                            <w:szCs w:val="48"/>
                          </w:rPr>
                        </w:pPr>
                        <w:r w:rsidRPr="00251458">
                          <w:rPr>
                            <w:rFonts w:ascii="Arial" w:hAnsi="Arial" w:cs="Arial"/>
                            <w:b/>
                            <w:bCs/>
                            <w:kern w:val="24"/>
                            <w:sz w:val="32"/>
                            <w:szCs w:val="40"/>
                          </w:rPr>
                          <w:t>Third</w:t>
                        </w:r>
                        <w:r w:rsidRPr="00251458">
                          <w:rPr>
                            <w:rFonts w:ascii="Arial" w:hAnsi="Arial" w:cs="Arial"/>
                            <w:b/>
                            <w:bCs/>
                            <w:kern w:val="24"/>
                            <w:sz w:val="40"/>
                            <w:szCs w:val="48"/>
                          </w:rPr>
                          <w:t xml:space="preserve"> </w:t>
                        </w:r>
                        <w:r w:rsidRPr="00251458">
                          <w:rPr>
                            <w:rFonts w:ascii="Arial" w:hAnsi="Arial" w:cs="Arial"/>
                            <w:b/>
                            <w:bCs/>
                            <w:kern w:val="24"/>
                            <w:sz w:val="32"/>
                            <w:szCs w:val="48"/>
                          </w:rPr>
                          <w:t>Line</w:t>
                        </w:r>
                      </w:p>
                    </w:txbxContent>
                  </v:textbox>
                </v:roundrect>
                <v:roundrect id="Rettangolo con angoli arrotondati 43" o:spid="_x0000_s1034" style="position:absolute;left:53865;top:5158;width:31552;height:28003;visibility:visible;mso-wrap-style:square;v-text-anchor:top" arcsize="14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" fillcolor="white [3212]" strokecolor="#d99594 [1941]" strokeweight="2pt">
                  <v:textbox inset="1.125mm,1.125mm,1.125mm,1.125mm">
                    <w:txbxContent>
                      <w:p w14:paraId="4329F727" w14:textId="77777777" w:rsidR="00FC4C46" w:rsidRPr="00A155B1" w:rsidRDefault="00FC4C46" w:rsidP="00FC4C46">
                        <w:pPr>
                          <w:pStyle w:val="NormalWeb"/>
                          <w:spacing w:before="144" w:beforeAutospacing="0" w:after="0" w:afterAutospacing="0"/>
                          <w:jc w:val="center"/>
                          <w:textAlignment w:val="baseline"/>
                          <w:rPr>
                            <w:rFonts w:ascii="Arial" w:hAnsi="Arial" w:cs="Arial"/>
                            <w:sz w:val="18"/>
                            <w:szCs w:val="20"/>
                          </w:rPr>
                        </w:pPr>
                        <w:r w:rsidRPr="00A155B1">
                          <w:rPr>
                            <w:rFonts w:ascii="Arial" w:hAnsi="Arial" w:cs="Arial"/>
                            <w:kern w:val="24"/>
                            <w:sz w:val="18"/>
                            <w:szCs w:val="20"/>
                          </w:rPr>
                          <w:t>The WIPO Internal Oversight Division (IOD), on whose assurance and advisory services I rely through the WIPO annual report by the Director of IOD, reports of internal audit and evaluation</w:t>
                        </w:r>
                        <w:r>
                          <w:rPr>
                            <w:rFonts w:ascii="Arial" w:hAnsi="Arial" w:cs="Arial"/>
                            <w:kern w:val="24"/>
                            <w:sz w:val="18"/>
                            <w:szCs w:val="20"/>
                          </w:rPr>
                          <w:t>,</w:t>
                        </w:r>
                        <w:r w:rsidRPr="00A155B1">
                          <w:rPr>
                            <w:rFonts w:ascii="Arial" w:hAnsi="Arial" w:cs="Arial"/>
                            <w:kern w:val="24"/>
                            <w:sz w:val="18"/>
                            <w:szCs w:val="20"/>
                          </w:rPr>
                          <w:t xml:space="preserve">  management implication reports resulting from investigations, as well as through IOD reports, if any, on UPOV.  A synergy exists with IOD performing audits of both UPOV and WIPO.  I take assurance from IOD’s assessment of WIPO that there were no significant risks or breakdown of governance and internal controls, while they did identify some areas for continuous improvement.</w:t>
                        </w:r>
                      </w:p>
                    </w:txbxContent>
                  </v:textbox>
                </v:roundrect>
                <w10:anchorlock/>
              </v:group>
            </w:pict>
          </mc:Fallback>
        </mc:AlternateContent>
      </w:r>
    </w:p>
    <w:p w14:paraId="7118DB53" w14:textId="77777777" w:rsidR="00FC4C46" w:rsidRPr="00F0240B" w:rsidRDefault="00FC4C46" w:rsidP="00FC4C46">
      <w:pPr>
        <w:rPr>
          <w:rFonts w:cs="Arial"/>
          <w:color w:val="000000" w:themeColor="text1"/>
        </w:rPr>
      </w:pPr>
    </w:p>
    <w:p w14:paraId="61A2E4AE" w14:textId="77777777" w:rsidR="00FC4C46" w:rsidRPr="00F0240B" w:rsidRDefault="00FC4C46" w:rsidP="00FC4C46">
      <w:pPr>
        <w:rPr>
          <w:rFonts w:cs="Arial"/>
          <w:color w:val="000000" w:themeColor="text1"/>
        </w:rPr>
      </w:pPr>
      <w:r w:rsidRPr="00F0240B">
        <w:rPr>
          <w:rFonts w:cs="Arial"/>
          <w:color w:val="000000" w:themeColor="text1"/>
        </w:rPr>
        <w:t>My assertion is also supported and informed by:</w:t>
      </w:r>
    </w:p>
    <w:p w14:paraId="412BC5D8" w14:textId="77777777" w:rsidR="00FC4C46" w:rsidRPr="00F0240B" w:rsidRDefault="00FC4C46" w:rsidP="00FC4C46">
      <w:pPr>
        <w:rPr>
          <w:rFonts w:cs="Arial"/>
          <w:color w:val="000000" w:themeColor="text1"/>
        </w:rPr>
      </w:pPr>
    </w:p>
    <w:p w14:paraId="4751D91E" w14:textId="77777777" w:rsidR="00FC4C46" w:rsidRPr="00F0240B" w:rsidRDefault="00FC4C46" w:rsidP="00FC4C46">
      <w:pPr>
        <w:rPr>
          <w:rFonts w:cs="Arial"/>
          <w:color w:val="000000" w:themeColor="text1"/>
        </w:rPr>
      </w:pPr>
      <w:r w:rsidRPr="00F0240B">
        <w:rPr>
          <w:rFonts w:cs="Arial"/>
          <w:noProof/>
        </w:rPr>
        <mc:AlternateContent>
          <mc:Choice Requires="wpg">
            <w:drawing>
              <wp:inline distT="0" distB="0" distL="0" distR="0" wp14:anchorId="343D6BF0" wp14:editId="3362A397">
                <wp:extent cx="6175170" cy="2009139"/>
                <wp:effectExtent l="0" t="0" r="16510" b="10795"/>
                <wp:docPr id="26" name="Group 2"/>
                <wp:cNvGraphicFramePr/>
                <a:graphic xmlns:a="http://schemas.openxmlformats.org/drawingml/2006/main">
                  <a:graphicData uri="http://schemas.microsoft.com/office/word/2010/wordprocessingGroup">
                    <wpg:wgp>
                      <wpg:cNvGrpSpPr/>
                      <wpg:grpSpPr>
                        <a:xfrm>
                          <a:off x="0" y="0"/>
                          <a:ext cx="6175170" cy="2009139"/>
                          <a:chOff x="4531" y="-2"/>
                          <a:chExt cx="8282195" cy="3083839"/>
                        </a:xfrm>
                      </wpg:grpSpPr>
                      <wps:wsp>
                        <wps:cNvPr id="27" name="Rettangolo con angoli arrotondati 45"/>
                        <wps:cNvSpPr/>
                        <wps:spPr>
                          <a:xfrm>
                            <a:off x="4531" y="705302"/>
                            <a:ext cx="3961212" cy="2378534"/>
                          </a:xfrm>
                          <a:prstGeom prst="roundRect">
                            <a:avLst>
                              <a:gd name="adj" fmla="val 4650"/>
                            </a:avLst>
                          </a:prstGeom>
                          <a:solidFill>
                            <a:schemeClr val="bg1"/>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FB6BCF" w14:textId="77777777" w:rsidR="00FC4C46" w:rsidRPr="00251458" w:rsidRDefault="00FC4C46" w:rsidP="00FC4C46">
                              <w:pPr>
                                <w:pStyle w:val="NormalWeb"/>
                                <w:spacing w:before="60"/>
                                <w:jc w:val="center"/>
                                <w:textAlignment w:val="baseline"/>
                                <w:rPr>
                                  <w:rFonts w:ascii="Arial" w:hAnsi="Arial" w:cs="Arial"/>
                                  <w:color w:val="000000" w:themeColor="text1"/>
                                  <w:sz w:val="20"/>
                                  <w:szCs w:val="20"/>
                                </w:rPr>
                              </w:pPr>
                              <w:r w:rsidRPr="00251458">
                                <w:rPr>
                                  <w:rFonts w:ascii="Arial" w:hAnsi="Arial" w:cs="Arial"/>
                                  <w:b/>
                                  <w:bCs/>
                                  <w:color w:val="000000" w:themeColor="text1"/>
                                  <w:kern w:val="24"/>
                                  <w:sz w:val="20"/>
                                  <w:szCs w:val="20"/>
                                </w:rPr>
                                <w:t>External Auditor</w:t>
                              </w:r>
                            </w:p>
                            <w:p w14:paraId="3763B978" w14:textId="77777777" w:rsidR="00FC4C46" w:rsidRPr="00251458" w:rsidRDefault="00FC4C46" w:rsidP="00FC4C46">
                              <w:pPr>
                                <w:jc w:val="center"/>
                                <w:rPr>
                                  <w:color w:val="000000" w:themeColor="text1"/>
                                </w:rPr>
                              </w:pPr>
                              <w:r w:rsidRPr="00251458">
                                <w:rPr>
                                  <w:color w:val="000000" w:themeColor="text1"/>
                                </w:rPr>
                                <w:t>The External Auditor, whose Report, containing their opinion, observations and comments, is submitted to the Consultative Committee and the Council of UPOV; I take into account the External Auditor’s recommendations and am assured by their work</w:t>
                              </w:r>
                              <w:r>
                                <w:rPr>
                                  <w:color w:val="000000" w:themeColor="text1"/>
                                </w:rPr>
                                <w:t>.</w:t>
                              </w:r>
                            </w:p>
                          </w:txbxContent>
                        </wps:txbx>
                        <wps:bodyPr lIns="40500" tIns="40500" rIns="40500" bIns="40500" rtlCol="0" anchor="t"/>
                      </wps:wsp>
                      <wps:wsp>
                        <wps:cNvPr id="28" name="Rettangolo con angoli arrotondati 44"/>
                        <wps:cNvSpPr/>
                        <wps:spPr>
                          <a:xfrm>
                            <a:off x="4059304" y="705510"/>
                            <a:ext cx="4226022" cy="2378327"/>
                          </a:xfrm>
                          <a:prstGeom prst="roundRect">
                            <a:avLst>
                              <a:gd name="adj" fmla="val 3908"/>
                            </a:avLst>
                          </a:prstGeom>
                          <a:solidFill>
                            <a:schemeClr val="bg1"/>
                          </a:solidFill>
                          <a:ln>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CEFF33" w14:textId="77777777" w:rsidR="00FC4C46" w:rsidRPr="00251458" w:rsidRDefault="00FC4C46" w:rsidP="00FC4C46">
                              <w:pPr>
                                <w:pStyle w:val="NormalWeb"/>
                                <w:spacing w:before="60"/>
                                <w:jc w:val="center"/>
                                <w:textAlignment w:val="baseline"/>
                                <w:rPr>
                                  <w:rFonts w:ascii="Arial" w:hAnsi="Arial" w:cs="Arial"/>
                                  <w:color w:val="000000" w:themeColor="text1"/>
                                  <w:sz w:val="20"/>
                                  <w:szCs w:val="20"/>
                                </w:rPr>
                              </w:pPr>
                              <w:r w:rsidRPr="00251458">
                                <w:rPr>
                                  <w:rFonts w:ascii="Arial" w:hAnsi="Arial" w:cs="Arial"/>
                                  <w:b/>
                                  <w:bCs/>
                                  <w:color w:val="000000" w:themeColor="text1"/>
                                  <w:kern w:val="24"/>
                                  <w:sz w:val="20"/>
                                  <w:szCs w:val="20"/>
                                </w:rPr>
                                <w:t xml:space="preserve">Consultative Committee </w:t>
                              </w:r>
                              <w:r w:rsidRPr="00251458">
                                <w:rPr>
                                  <w:rFonts w:ascii="Arial" w:hAnsi="Arial" w:cs="Arial"/>
                                  <w:color w:val="000000" w:themeColor="text1"/>
                                  <w:sz w:val="20"/>
                                  <w:szCs w:val="20"/>
                                </w:rPr>
                                <w:t>and the Council of UPOV</w:t>
                              </w:r>
                            </w:p>
                            <w:p w14:paraId="2B20E966" w14:textId="77777777" w:rsidR="00FC4C46" w:rsidRPr="00251458" w:rsidRDefault="00FC4C46" w:rsidP="00FC4C46">
                              <w:pPr>
                                <w:jc w:val="center"/>
                                <w:rPr>
                                  <w:sz w:val="22"/>
                                  <w:szCs w:val="22"/>
                                </w:rPr>
                              </w:pPr>
                              <w:r w:rsidRPr="00251458">
                                <w:rPr>
                                  <w:color w:val="000000" w:themeColor="text1"/>
                                </w:rPr>
                                <w:t>The observations of the Consultative Committee and the Council of UPOV</w:t>
                              </w:r>
                              <w:r>
                                <w:rPr>
                                  <w:color w:val="000000" w:themeColor="text1"/>
                                </w:rPr>
                                <w:t>.</w:t>
                              </w:r>
                              <w:r w:rsidRPr="00251458">
                                <w:rPr>
                                  <w:sz w:val="22"/>
                                  <w:szCs w:val="22"/>
                                </w:rPr>
                                <w:br/>
                              </w:r>
                            </w:p>
                            <w:p w14:paraId="28A6A56E" w14:textId="77777777" w:rsidR="00FC4C46" w:rsidRPr="00373DED" w:rsidRDefault="00FC4C46" w:rsidP="00FC4C46">
                              <w:pPr>
                                <w:rPr>
                                  <w:sz w:val="22"/>
                                  <w:szCs w:val="22"/>
                                </w:rPr>
                              </w:pPr>
                            </w:p>
                          </w:txbxContent>
                        </wps:txbx>
                        <wps:bodyPr lIns="40500" tIns="40500" rIns="40500" bIns="40500" rtlCol="0" anchor="t"/>
                      </wps:wsp>
                      <wps:wsp>
                        <wps:cNvPr id="29" name="Rettangolo con angoli arrotondati 45"/>
                        <wps:cNvSpPr/>
                        <wps:spPr>
                          <a:xfrm>
                            <a:off x="32668" y="-2"/>
                            <a:ext cx="8254058" cy="607941"/>
                          </a:xfrm>
                          <a:prstGeom prst="roundRect">
                            <a:avLst>
                              <a:gd name="adj" fmla="val 8559"/>
                            </a:avLst>
                          </a:prstGeom>
                          <a:solidFill>
                            <a:schemeClr val="bg1"/>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25295B" w14:textId="77777777" w:rsidR="00FC4C46" w:rsidRDefault="00FC4C46" w:rsidP="00FC4C46">
                              <w:pPr>
                                <w:pStyle w:val="NormalWeb"/>
                                <w:spacing w:before="0" w:after="0"/>
                                <w:jc w:val="center"/>
                                <w:textAlignment w:val="baseline"/>
                              </w:pPr>
                              <w:r>
                                <w:rPr>
                                  <w:rFonts w:asciiTheme="minorHAnsi" w:hAnsi="Calibri" w:cstheme="minorBidi"/>
                                  <w:b/>
                                  <w:bCs/>
                                  <w:color w:val="000000" w:themeColor="text1"/>
                                  <w:kern w:val="24"/>
                                  <w:sz w:val="36"/>
                                  <w:szCs w:val="36"/>
                                </w:rPr>
                                <w:t>Governance</w:t>
                              </w:r>
                            </w:p>
                          </w:txbxContent>
                        </wps:txbx>
                        <wps:bodyPr lIns="40500" tIns="40500" rIns="40500" bIns="40500" rtlCol="0" anchor="ctr" anchorCtr="1"/>
                      </wps:wsp>
                    </wpg:wgp>
                  </a:graphicData>
                </a:graphic>
              </wp:inline>
            </w:drawing>
          </mc:Choice>
          <mc:Fallback>
            <w:pict>
              <v:group w14:anchorId="343D6BF0" id="Group 2" o:spid="_x0000_s1035" style="width:486.25pt;height:158.2pt;mso-position-horizontal-relative:char;mso-position-vertical-relative:line" coordorigin="45" coordsize="82821,30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">
                <v:roundrect id="Rettangolo con angoli arrotondati 45" o:spid="_x0000_s1036" style="position:absolute;left:45;top:7053;width:39612;height:23785;visibility:visible;mso-wrap-style:square;v-text-anchor:top" arcsize="304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" fillcolor="white [3212]" strokecolor="#b8cce4 [1300]" strokeweight="2pt">
                  <v:textbox inset="1.125mm,1.125mm,1.125mm,1.125mm">
                    <w:txbxContent>
                      <w:p w14:paraId="3BFB6BCF" w14:textId="77777777" w:rsidR="00FC4C46" w:rsidRPr="00251458" w:rsidRDefault="00FC4C46" w:rsidP="00FC4C46">
                        <w:pPr>
                          <w:pStyle w:val="NormalWeb"/>
                          <w:spacing w:before="60"/>
                          <w:jc w:val="center"/>
                          <w:textAlignment w:val="baseline"/>
                          <w:rPr>
                            <w:rFonts w:ascii="Arial" w:hAnsi="Arial" w:cs="Arial"/>
                            <w:color w:val="000000" w:themeColor="text1"/>
                            <w:sz w:val="20"/>
                            <w:szCs w:val="20"/>
                          </w:rPr>
                        </w:pPr>
                        <w:r w:rsidRPr="00251458">
                          <w:rPr>
                            <w:rFonts w:ascii="Arial" w:hAnsi="Arial" w:cs="Arial"/>
                            <w:b/>
                            <w:bCs/>
                            <w:color w:val="000000" w:themeColor="text1"/>
                            <w:kern w:val="24"/>
                            <w:sz w:val="20"/>
                            <w:szCs w:val="20"/>
                          </w:rPr>
                          <w:t>External Auditor</w:t>
                        </w:r>
                      </w:p>
                      <w:p w14:paraId="3763B978" w14:textId="77777777" w:rsidR="00FC4C46" w:rsidRPr="00251458" w:rsidRDefault="00FC4C46" w:rsidP="00FC4C46">
                        <w:pPr>
                          <w:jc w:val="center"/>
                          <w:rPr>
                            <w:color w:val="000000" w:themeColor="text1"/>
                          </w:rPr>
                        </w:pPr>
                        <w:r w:rsidRPr="00251458">
                          <w:rPr>
                            <w:color w:val="000000" w:themeColor="text1"/>
                          </w:rPr>
                          <w:t>The External Auditor, whose Report, containing their opinion, observations and comments, is submitted to the Consultative Committee and the Council of UPOV; I take into account the External Auditor’s recommendations and am assured by their work</w:t>
                        </w:r>
                        <w:r>
                          <w:rPr>
                            <w:color w:val="000000" w:themeColor="text1"/>
                          </w:rPr>
                          <w:t>.</w:t>
                        </w:r>
                      </w:p>
                    </w:txbxContent>
                  </v:textbox>
                </v:roundrect>
                <v:roundrect id="Rettangolo con angoli arrotondati 44" o:spid="_x0000_s1037" style="position:absolute;left:40593;top:7055;width:42260;height:23783;visibility:visible;mso-wrap-style:square;v-text-anchor:top" arcsize="256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" fillcolor="white [3212]" strokecolor="#d99594 [1941]" strokeweight="2pt">
                  <v:textbox inset="1.125mm,1.125mm,1.125mm,1.125mm">
                    <w:txbxContent>
                      <w:p w14:paraId="07CEFF33" w14:textId="77777777" w:rsidR="00FC4C46" w:rsidRPr="00251458" w:rsidRDefault="00FC4C46" w:rsidP="00FC4C46">
                        <w:pPr>
                          <w:pStyle w:val="NormalWeb"/>
                          <w:spacing w:before="60"/>
                          <w:jc w:val="center"/>
                          <w:textAlignment w:val="baseline"/>
                          <w:rPr>
                            <w:rFonts w:ascii="Arial" w:hAnsi="Arial" w:cs="Arial"/>
                            <w:color w:val="000000" w:themeColor="text1"/>
                            <w:sz w:val="20"/>
                            <w:szCs w:val="20"/>
                          </w:rPr>
                        </w:pPr>
                        <w:r w:rsidRPr="00251458">
                          <w:rPr>
                            <w:rFonts w:ascii="Arial" w:hAnsi="Arial" w:cs="Arial"/>
                            <w:b/>
                            <w:bCs/>
                            <w:color w:val="000000" w:themeColor="text1"/>
                            <w:kern w:val="24"/>
                            <w:sz w:val="20"/>
                            <w:szCs w:val="20"/>
                          </w:rPr>
                          <w:t xml:space="preserve">Consultative Committee </w:t>
                        </w:r>
                        <w:r w:rsidRPr="00251458">
                          <w:rPr>
                            <w:rFonts w:ascii="Arial" w:hAnsi="Arial" w:cs="Arial"/>
                            <w:color w:val="000000" w:themeColor="text1"/>
                            <w:sz w:val="20"/>
                            <w:szCs w:val="20"/>
                          </w:rPr>
                          <w:t>and the Council of UPOV</w:t>
                        </w:r>
                      </w:p>
                      <w:p w14:paraId="2B20E966" w14:textId="77777777" w:rsidR="00FC4C46" w:rsidRPr="00251458" w:rsidRDefault="00FC4C46" w:rsidP="00FC4C46">
                        <w:pPr>
                          <w:jc w:val="center"/>
                          <w:rPr>
                            <w:sz w:val="22"/>
                            <w:szCs w:val="22"/>
                          </w:rPr>
                        </w:pPr>
                        <w:r w:rsidRPr="00251458">
                          <w:rPr>
                            <w:color w:val="000000" w:themeColor="text1"/>
                          </w:rPr>
                          <w:t>The observations of the Consultative Committee and the Council of UPOV</w:t>
                        </w:r>
                        <w:r>
                          <w:rPr>
                            <w:color w:val="000000" w:themeColor="text1"/>
                          </w:rPr>
                          <w:t>.</w:t>
                        </w:r>
                        <w:r w:rsidRPr="00251458">
                          <w:rPr>
                            <w:sz w:val="22"/>
                            <w:szCs w:val="22"/>
                          </w:rPr>
                          <w:br/>
                        </w:r>
                      </w:p>
                      <w:p w14:paraId="28A6A56E" w14:textId="77777777" w:rsidR="00FC4C46" w:rsidRPr="00373DED" w:rsidRDefault="00FC4C46" w:rsidP="00FC4C46">
                        <w:pPr>
                          <w:rPr>
                            <w:sz w:val="22"/>
                            <w:szCs w:val="22"/>
                          </w:rPr>
                        </w:pPr>
                      </w:p>
                    </w:txbxContent>
                  </v:textbox>
                </v:roundrect>
                <v:roundrect id="Rettangolo con angoli arrotondati 45" o:spid="_x0000_s1038" style="position:absolute;left:326;width:82541;height:6079;visibility:visible;mso-wrap-style:square;v-text-anchor:middle-center" arcsize="56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" fillcolor="white [3212]" strokecolor="#548dd4 [1951]" strokeweight="2pt">
                  <v:textbox inset="1.125mm,1.125mm,1.125mm,1.125mm">
                    <w:txbxContent>
                      <w:p w14:paraId="1C25295B" w14:textId="77777777" w:rsidR="00FC4C46" w:rsidRDefault="00FC4C46" w:rsidP="00FC4C46">
                        <w:pPr>
                          <w:pStyle w:val="NormalWeb"/>
                          <w:spacing w:before="0" w:after="0"/>
                          <w:jc w:val="center"/>
                          <w:textAlignment w:val="baseline"/>
                        </w:pPr>
                        <w:r>
                          <w:rPr>
                            <w:rFonts w:asciiTheme="minorHAnsi" w:hAnsi="Calibri" w:cstheme="minorBidi"/>
                            <w:b/>
                            <w:bCs/>
                            <w:color w:val="000000" w:themeColor="text1"/>
                            <w:kern w:val="24"/>
                            <w:sz w:val="36"/>
                            <w:szCs w:val="36"/>
                          </w:rPr>
                          <w:t>Governance</w:t>
                        </w:r>
                      </w:p>
                    </w:txbxContent>
                  </v:textbox>
                </v:roundrect>
                <w10:anchorlock/>
              </v:group>
            </w:pict>
          </mc:Fallback>
        </mc:AlternateContent>
      </w:r>
    </w:p>
    <w:p w14:paraId="2A033216" w14:textId="77777777" w:rsidR="00FC4C46" w:rsidRPr="00F0240B" w:rsidRDefault="00FC4C46" w:rsidP="00FC4C46">
      <w:pPr>
        <w:rPr>
          <w:rFonts w:cs="Arial"/>
          <w:color w:val="000000" w:themeColor="text1"/>
        </w:rPr>
      </w:pPr>
    </w:p>
    <w:p w14:paraId="57A535D4" w14:textId="77777777" w:rsidR="00FC4C46" w:rsidRPr="00F27BCD" w:rsidRDefault="00FC4C46" w:rsidP="00FC4C46">
      <w:pPr>
        <w:rPr>
          <w:rFonts w:cs="Arial"/>
          <w:color w:val="000000" w:themeColor="text1"/>
        </w:rPr>
      </w:pPr>
      <w:r w:rsidRPr="00F27BCD">
        <w:rPr>
          <w:rFonts w:cs="Arial"/>
          <w:color w:val="000000" w:themeColor="text1"/>
        </w:rPr>
        <w:t xml:space="preserve">I further ensure that feedback mechanisms are in place for members, customer complaint resolution services are provided through the UPOV Office, and that for UPOV staff, a number of </w:t>
      </w:r>
      <w:r>
        <w:rPr>
          <w:rFonts w:cs="Arial"/>
          <w:color w:val="000000" w:themeColor="text1"/>
        </w:rPr>
        <w:t>f</w:t>
      </w:r>
      <w:r w:rsidRPr="00F27BCD">
        <w:rPr>
          <w:rFonts w:cs="Arial"/>
          <w:color w:val="000000" w:themeColor="text1"/>
        </w:rPr>
        <w:t xml:space="preserve">ormal and </w:t>
      </w:r>
      <w:r>
        <w:rPr>
          <w:rFonts w:cs="Arial"/>
          <w:color w:val="000000" w:themeColor="text1"/>
        </w:rPr>
        <w:t>i</w:t>
      </w:r>
      <w:r w:rsidRPr="00F27BCD">
        <w:rPr>
          <w:rFonts w:cs="Arial"/>
          <w:color w:val="000000" w:themeColor="text1"/>
        </w:rPr>
        <w:t xml:space="preserve">nformal </w:t>
      </w:r>
      <w:r>
        <w:rPr>
          <w:rFonts w:cs="Arial"/>
          <w:color w:val="000000" w:themeColor="text1"/>
        </w:rPr>
        <w:t>c</w:t>
      </w:r>
      <w:r w:rsidRPr="00F27BCD">
        <w:rPr>
          <w:rFonts w:cs="Arial"/>
          <w:color w:val="000000" w:themeColor="text1"/>
        </w:rPr>
        <w:t xml:space="preserve">onflict </w:t>
      </w:r>
      <w:r>
        <w:rPr>
          <w:rFonts w:cs="Arial"/>
          <w:color w:val="000000" w:themeColor="text1"/>
        </w:rPr>
        <w:t>r</w:t>
      </w:r>
      <w:r w:rsidRPr="00F27BCD">
        <w:rPr>
          <w:rFonts w:cs="Arial"/>
          <w:color w:val="000000" w:themeColor="text1"/>
        </w:rPr>
        <w:t xml:space="preserve">esolution </w:t>
      </w:r>
      <w:r>
        <w:rPr>
          <w:rFonts w:cs="Arial"/>
          <w:color w:val="000000" w:themeColor="text1"/>
        </w:rPr>
        <w:t>m</w:t>
      </w:r>
      <w:r w:rsidRPr="00F27BCD">
        <w:rPr>
          <w:rFonts w:cs="Arial"/>
          <w:color w:val="000000" w:themeColor="text1"/>
        </w:rPr>
        <w:t>echanisms are relevant, through WIPO.</w:t>
      </w:r>
    </w:p>
    <w:p w14:paraId="780EFCEC" w14:textId="77777777" w:rsidR="00FC4C46" w:rsidRPr="00F27BCD" w:rsidRDefault="00FC4C46" w:rsidP="00FC4C46">
      <w:pPr>
        <w:rPr>
          <w:rFonts w:eastAsiaTheme="majorEastAsia" w:cs="Arial"/>
          <w:b/>
          <w:color w:val="000000" w:themeColor="text1"/>
        </w:rPr>
      </w:pPr>
    </w:p>
    <w:p w14:paraId="7209F40D" w14:textId="77777777" w:rsidR="00FC4C46" w:rsidRPr="00F27BCD" w:rsidRDefault="00FC4C46" w:rsidP="00FC4C46">
      <w:pPr>
        <w:rPr>
          <w:rFonts w:eastAsiaTheme="majorEastAsia" w:cs="Arial"/>
          <w:b/>
          <w:color w:val="000000" w:themeColor="text1"/>
        </w:rPr>
      </w:pPr>
    </w:p>
    <w:p w14:paraId="02E47C8E" w14:textId="77777777" w:rsidR="00FC4C46" w:rsidRPr="00F27BCD" w:rsidRDefault="00FC4C46" w:rsidP="00FC4C46">
      <w:pPr>
        <w:pStyle w:val="BodyText"/>
        <w:widowControl w:val="0"/>
        <w:numPr>
          <w:ilvl w:val="0"/>
          <w:numId w:val="67"/>
        </w:numPr>
        <w:autoSpaceDE w:val="0"/>
        <w:autoSpaceDN w:val="0"/>
        <w:jc w:val="left"/>
        <w:rPr>
          <w:b/>
          <w:bCs/>
        </w:rPr>
      </w:pPr>
      <w:r w:rsidRPr="00F27BCD">
        <w:rPr>
          <w:b/>
          <w:bCs/>
        </w:rPr>
        <w:t>Control Activities</w:t>
      </w:r>
    </w:p>
    <w:p w14:paraId="128B015F" w14:textId="77777777" w:rsidR="00FC4C46" w:rsidRPr="00F27BCD" w:rsidRDefault="00FC4C46" w:rsidP="00FC4C46">
      <w:pPr>
        <w:rPr>
          <w:rFonts w:cs="Arial"/>
          <w:color w:val="000000" w:themeColor="text1"/>
        </w:rPr>
      </w:pPr>
    </w:p>
    <w:p w14:paraId="79C04C50" w14:textId="77777777" w:rsidR="00FC4C46" w:rsidRDefault="00FC4C46" w:rsidP="00FC4C46">
      <w:pPr>
        <w:pStyle w:val="BodyText"/>
        <w:rPr>
          <w:rFonts w:cs="Arial"/>
          <w:color w:val="000000" w:themeColor="text1"/>
        </w:rPr>
      </w:pPr>
      <w:r w:rsidRPr="00F27BCD">
        <w:rPr>
          <w:rFonts w:cs="Arial"/>
          <w:color w:val="000000" w:themeColor="text1"/>
        </w:rPr>
        <w:t xml:space="preserve">UPOV benefits from continuous improvement of WIPO assurance processes, </w:t>
      </w:r>
      <w:r>
        <w:rPr>
          <w:rFonts w:cs="Arial"/>
          <w:color w:val="000000" w:themeColor="text1"/>
        </w:rPr>
        <w:t>and the</w:t>
      </w:r>
      <w:r w:rsidRPr="00D623AA">
        <w:rPr>
          <w:rFonts w:cs="Arial"/>
          <w:color w:val="000000" w:themeColor="text1"/>
        </w:rPr>
        <w:t xml:space="preserve"> internal control framework has been strengthened through a thorough review of key controls in 2024. The review focused on identifying and rationalizing key controls that are critical to managing key risks</w:t>
      </w:r>
      <w:r>
        <w:rPr>
          <w:rFonts w:cs="Arial"/>
          <w:color w:val="000000" w:themeColor="text1"/>
        </w:rPr>
        <w:t>.</w:t>
      </w:r>
    </w:p>
    <w:p w14:paraId="613C8FBF" w14:textId="77777777" w:rsidR="00FC4C46" w:rsidRDefault="00FC4C46" w:rsidP="00FC4C46">
      <w:pPr>
        <w:pStyle w:val="BodyText"/>
        <w:widowControl w:val="0"/>
        <w:autoSpaceDE w:val="0"/>
        <w:autoSpaceDN w:val="0"/>
        <w:jc w:val="left"/>
        <w:rPr>
          <w:rFonts w:cs="Arial"/>
          <w:color w:val="000000" w:themeColor="text1"/>
        </w:rPr>
      </w:pPr>
    </w:p>
    <w:p w14:paraId="6B6387CC" w14:textId="77777777" w:rsidR="00FC4C46" w:rsidRDefault="00FC4C46" w:rsidP="00FC4C46">
      <w:pPr>
        <w:pStyle w:val="BodyText"/>
        <w:widowControl w:val="0"/>
        <w:autoSpaceDE w:val="0"/>
        <w:autoSpaceDN w:val="0"/>
        <w:rPr>
          <w:rFonts w:cs="Arial"/>
          <w:color w:val="000000" w:themeColor="text1"/>
        </w:rPr>
      </w:pPr>
      <w:r w:rsidRPr="004B3652">
        <w:rPr>
          <w:rFonts w:cs="Arial"/>
          <w:color w:val="000000" w:themeColor="text1"/>
        </w:rPr>
        <w:t>The main outcomes of the key controls review include: </w:t>
      </w:r>
    </w:p>
    <w:p w14:paraId="645D8F26" w14:textId="77777777" w:rsidR="00FC4C46" w:rsidRPr="004B3652" w:rsidRDefault="00FC4C46" w:rsidP="00FC4C46">
      <w:pPr>
        <w:pStyle w:val="BodyText"/>
        <w:widowControl w:val="0"/>
        <w:autoSpaceDE w:val="0"/>
        <w:autoSpaceDN w:val="0"/>
        <w:rPr>
          <w:rFonts w:cs="Arial"/>
          <w:color w:val="000000" w:themeColor="text1"/>
        </w:rPr>
      </w:pPr>
    </w:p>
    <w:p w14:paraId="74499053" w14:textId="77777777" w:rsidR="00FC4C46" w:rsidRPr="004B3652" w:rsidRDefault="00FC4C46" w:rsidP="00FC4C46">
      <w:pPr>
        <w:pStyle w:val="BodyText"/>
        <w:widowControl w:val="0"/>
        <w:numPr>
          <w:ilvl w:val="0"/>
          <w:numId w:val="68"/>
        </w:numPr>
        <w:autoSpaceDE w:val="0"/>
        <w:autoSpaceDN w:val="0"/>
        <w:rPr>
          <w:rFonts w:cs="Arial"/>
          <w:color w:val="000000" w:themeColor="text1"/>
        </w:rPr>
      </w:pPr>
      <w:r w:rsidRPr="004B3652">
        <w:rPr>
          <w:rFonts w:cs="Arial"/>
          <w:color w:val="000000" w:themeColor="text1"/>
        </w:rPr>
        <w:t>Enhanced alignment of key controls to the Committee of Sponsoring Organizations of the Treadway Commission (COSO) principles, ensuring comprehensive coverage across all five COSO components and principles</w:t>
      </w:r>
      <w:r>
        <w:rPr>
          <w:rFonts w:cs="Arial"/>
          <w:color w:val="000000" w:themeColor="text1"/>
        </w:rPr>
        <w:t>;</w:t>
      </w:r>
      <w:r w:rsidRPr="004B3652">
        <w:rPr>
          <w:rFonts w:cs="Arial"/>
          <w:color w:val="000000" w:themeColor="text1"/>
        </w:rPr>
        <w:t> </w:t>
      </w:r>
    </w:p>
    <w:p w14:paraId="4532B318" w14:textId="77777777" w:rsidR="00FC4C46" w:rsidRPr="004B3652" w:rsidRDefault="00FC4C46" w:rsidP="00FC4C46">
      <w:pPr>
        <w:pStyle w:val="BodyText"/>
        <w:widowControl w:val="0"/>
        <w:autoSpaceDE w:val="0"/>
        <w:autoSpaceDN w:val="0"/>
        <w:ind w:left="360" w:firstLine="60"/>
        <w:rPr>
          <w:rFonts w:cs="Arial"/>
          <w:color w:val="000000" w:themeColor="text1"/>
        </w:rPr>
      </w:pPr>
    </w:p>
    <w:p w14:paraId="450D6BC5" w14:textId="77777777" w:rsidR="00FC4C46" w:rsidRPr="004B3652" w:rsidRDefault="00FC4C46" w:rsidP="00FC4C46">
      <w:pPr>
        <w:pStyle w:val="BodyText"/>
        <w:widowControl w:val="0"/>
        <w:numPr>
          <w:ilvl w:val="0"/>
          <w:numId w:val="68"/>
        </w:numPr>
        <w:autoSpaceDE w:val="0"/>
        <w:autoSpaceDN w:val="0"/>
        <w:rPr>
          <w:rFonts w:cs="Arial"/>
          <w:color w:val="000000" w:themeColor="text1"/>
        </w:rPr>
      </w:pPr>
      <w:r w:rsidRPr="004B3652">
        <w:rPr>
          <w:rFonts w:cs="Arial"/>
          <w:color w:val="000000" w:themeColor="text1"/>
        </w:rPr>
        <w:t>Improved control descriptions focused on control activities rather than process descriptions, resulting in a more focused control framework</w:t>
      </w:r>
      <w:r>
        <w:rPr>
          <w:rFonts w:cs="Arial"/>
          <w:color w:val="000000" w:themeColor="text1"/>
        </w:rPr>
        <w:t>;</w:t>
      </w:r>
      <w:r w:rsidRPr="004B3652">
        <w:rPr>
          <w:rFonts w:cs="Arial"/>
          <w:color w:val="000000" w:themeColor="text1"/>
        </w:rPr>
        <w:t> </w:t>
      </w:r>
    </w:p>
    <w:p w14:paraId="2EEC4C6B" w14:textId="77777777" w:rsidR="00FC4C46" w:rsidRPr="004B3652" w:rsidRDefault="00FC4C46" w:rsidP="00FC4C46">
      <w:pPr>
        <w:pStyle w:val="BodyText"/>
        <w:widowControl w:val="0"/>
        <w:autoSpaceDE w:val="0"/>
        <w:autoSpaceDN w:val="0"/>
        <w:ind w:left="360" w:firstLine="60"/>
        <w:rPr>
          <w:rFonts w:cs="Arial"/>
          <w:color w:val="000000" w:themeColor="text1"/>
        </w:rPr>
      </w:pPr>
    </w:p>
    <w:p w14:paraId="0A02498D" w14:textId="1EC6DFA6" w:rsidR="00FC4C46" w:rsidRPr="00F01218" w:rsidRDefault="00FC4C46" w:rsidP="00F01218">
      <w:pPr>
        <w:pStyle w:val="BodyText"/>
        <w:widowControl w:val="0"/>
        <w:numPr>
          <w:ilvl w:val="0"/>
          <w:numId w:val="68"/>
        </w:numPr>
        <w:autoSpaceDE w:val="0"/>
        <w:autoSpaceDN w:val="0"/>
        <w:rPr>
          <w:rFonts w:cs="Arial"/>
          <w:color w:val="000000" w:themeColor="text1"/>
        </w:rPr>
      </w:pPr>
      <w:r w:rsidRPr="004B3652">
        <w:rPr>
          <w:rFonts w:cs="Arial"/>
          <w:color w:val="000000" w:themeColor="text1"/>
        </w:rPr>
        <w:t>Strengthened linkages between key controls and key risks, improving risk management effectiveness</w:t>
      </w:r>
      <w:r>
        <w:rPr>
          <w:rFonts w:cs="Arial"/>
          <w:color w:val="000000" w:themeColor="text1"/>
        </w:rPr>
        <w:t>.</w:t>
      </w:r>
      <w:r w:rsidRPr="004B3652">
        <w:rPr>
          <w:rFonts w:cs="Arial"/>
          <w:color w:val="000000" w:themeColor="text1"/>
        </w:rPr>
        <w:t> </w:t>
      </w:r>
    </w:p>
    <w:p w14:paraId="14CC6B9C" w14:textId="77777777" w:rsidR="00FC4C46" w:rsidRPr="00F27BCD" w:rsidRDefault="00FC4C46" w:rsidP="00FC4C46">
      <w:pPr>
        <w:pStyle w:val="BodyText"/>
        <w:widowControl w:val="0"/>
        <w:numPr>
          <w:ilvl w:val="0"/>
          <w:numId w:val="67"/>
        </w:numPr>
        <w:autoSpaceDE w:val="0"/>
        <w:autoSpaceDN w:val="0"/>
        <w:jc w:val="left"/>
        <w:rPr>
          <w:b/>
          <w:bCs/>
        </w:rPr>
      </w:pPr>
      <w:r w:rsidRPr="00F27BCD">
        <w:rPr>
          <w:b/>
          <w:bCs/>
        </w:rPr>
        <w:lastRenderedPageBreak/>
        <w:t>Information and Communication</w:t>
      </w:r>
    </w:p>
    <w:p w14:paraId="0148FACB" w14:textId="77777777" w:rsidR="00FC4C46" w:rsidRPr="00F27BCD" w:rsidRDefault="00FC4C46" w:rsidP="00FC4C46">
      <w:pPr>
        <w:pStyle w:val="BodyText"/>
        <w:rPr>
          <w:rFonts w:cs="Arial"/>
          <w:color w:val="000000" w:themeColor="text1"/>
        </w:rPr>
      </w:pPr>
    </w:p>
    <w:p w14:paraId="67C9FD48" w14:textId="77777777" w:rsidR="00FC4C46" w:rsidRDefault="00FC4C46" w:rsidP="00FC4C46">
      <w:pPr>
        <w:pStyle w:val="BodyText"/>
        <w:rPr>
          <w:rFonts w:cs="Arial"/>
          <w:color w:val="000000" w:themeColor="text1"/>
        </w:rPr>
      </w:pPr>
      <w:r w:rsidRPr="00F27BCD">
        <w:rPr>
          <w:rFonts w:cs="Arial"/>
          <w:color w:val="000000" w:themeColor="text1"/>
        </w:rPr>
        <w:t xml:space="preserve">WIPO’s </w:t>
      </w:r>
      <w:r w:rsidRPr="005227E5">
        <w:rPr>
          <w:rFonts w:cs="Arial"/>
          <w:color w:val="000000" w:themeColor="text1"/>
        </w:rPr>
        <w:t>Chief Data Officer and Data Protection Officer oversee</w:t>
      </w:r>
      <w:r>
        <w:rPr>
          <w:rFonts w:cs="Arial"/>
          <w:color w:val="000000" w:themeColor="text1"/>
        </w:rPr>
        <w:t>s</w:t>
      </w:r>
      <w:r w:rsidRPr="005227E5">
        <w:rPr>
          <w:rFonts w:cs="Arial"/>
          <w:color w:val="000000" w:themeColor="text1"/>
        </w:rPr>
        <w:t xml:space="preserve"> the continually evolving issues of data governance and privacy that continue to be strengthened through a data governance strategy and a heightened focus on data protection.  </w:t>
      </w:r>
    </w:p>
    <w:p w14:paraId="4B06B48F" w14:textId="289C9AD1" w:rsidR="00FC4C46" w:rsidRDefault="00A700F1" w:rsidP="00FC4C46">
      <w:pPr>
        <w:pStyle w:val="BodyText"/>
        <w:rPr>
          <w:rFonts w:cs="Arial"/>
          <w:color w:val="000000" w:themeColor="text1"/>
        </w:rPr>
      </w:pPr>
      <w:r>
        <w:rPr>
          <w:rFonts w:cs="Arial"/>
          <w:color w:val="000000" w:themeColor="text1"/>
        </w:rPr>
        <w:tab/>
      </w:r>
    </w:p>
    <w:p w14:paraId="5B49AB7D" w14:textId="77777777" w:rsidR="00FC4C46" w:rsidRPr="00F27BCD" w:rsidRDefault="00FC4C46" w:rsidP="00FC4C46">
      <w:pPr>
        <w:pStyle w:val="BodyText"/>
        <w:rPr>
          <w:rFonts w:cs="Arial"/>
          <w:color w:val="000000" w:themeColor="text1"/>
        </w:rPr>
      </w:pPr>
      <w:r w:rsidRPr="00F064E0">
        <w:rPr>
          <w:rFonts w:cs="Arial"/>
          <w:color w:val="000000" w:themeColor="text1"/>
        </w:rPr>
        <w:t>The portfolio of Enterprise Resource Planning (ERP) solutions provide</w:t>
      </w:r>
      <w:r>
        <w:rPr>
          <w:rFonts w:cs="Arial"/>
          <w:color w:val="000000" w:themeColor="text1"/>
        </w:rPr>
        <w:t>s</w:t>
      </w:r>
      <w:r w:rsidRPr="00F064E0">
        <w:rPr>
          <w:rFonts w:cs="Arial"/>
          <w:color w:val="000000" w:themeColor="text1"/>
        </w:rPr>
        <w:t xml:space="preserve"> a high level of control, including transactional level system controls and data analytics.  An ERP transformation project is underway to upgrade the ERP system to a new cloud-based Software-as-a-Service solution, providing the opportunity to streamline administrative business processes. </w:t>
      </w:r>
      <w:r w:rsidRPr="00F27BCD">
        <w:rPr>
          <w:rFonts w:cs="Arial"/>
          <w:color w:val="000000" w:themeColor="text1"/>
        </w:rPr>
        <w:t xml:space="preserve">UPOV maintains a record of key risks, and WIPO records controls in the WIPO Enterprise Risk Management system.  </w:t>
      </w:r>
    </w:p>
    <w:p w14:paraId="3444B693" w14:textId="77777777" w:rsidR="00FC4C46" w:rsidRPr="00F27BCD" w:rsidRDefault="00FC4C46" w:rsidP="00FC4C46">
      <w:pPr>
        <w:pStyle w:val="BodyText"/>
        <w:rPr>
          <w:rFonts w:cs="Arial"/>
          <w:color w:val="000000" w:themeColor="text1"/>
        </w:rPr>
      </w:pPr>
      <w:r w:rsidRPr="00F27BCD">
        <w:rPr>
          <w:rFonts w:cs="Arial"/>
          <w:color w:val="000000" w:themeColor="text1"/>
        </w:rPr>
        <w:t xml:space="preserve"> </w:t>
      </w:r>
    </w:p>
    <w:p w14:paraId="4B1CE8EA" w14:textId="77777777" w:rsidR="00FC4C46" w:rsidRPr="00F27BCD" w:rsidRDefault="00FC4C46" w:rsidP="00FC4C46">
      <w:pPr>
        <w:pStyle w:val="BodyText"/>
        <w:rPr>
          <w:rFonts w:cs="Arial"/>
          <w:color w:val="000000" w:themeColor="text1"/>
        </w:rPr>
      </w:pPr>
    </w:p>
    <w:p w14:paraId="2F2025BC" w14:textId="77777777" w:rsidR="00FC4C46" w:rsidRPr="00F27BCD" w:rsidRDefault="00FC4C46" w:rsidP="00FC4C46">
      <w:pPr>
        <w:pStyle w:val="BodyText"/>
        <w:widowControl w:val="0"/>
        <w:numPr>
          <w:ilvl w:val="0"/>
          <w:numId w:val="67"/>
        </w:numPr>
        <w:autoSpaceDE w:val="0"/>
        <w:autoSpaceDN w:val="0"/>
        <w:jc w:val="left"/>
        <w:rPr>
          <w:b/>
          <w:bCs/>
        </w:rPr>
      </w:pPr>
      <w:r w:rsidRPr="00F27BCD">
        <w:rPr>
          <w:b/>
          <w:bCs/>
        </w:rPr>
        <w:t>Ethical Standards and Integrity</w:t>
      </w:r>
    </w:p>
    <w:p w14:paraId="7F547722" w14:textId="77777777" w:rsidR="00FC4C46" w:rsidRPr="00F27BCD" w:rsidRDefault="00FC4C46" w:rsidP="00FC4C46">
      <w:pPr>
        <w:rPr>
          <w:rFonts w:cs="Arial"/>
          <w:color w:val="FF0000"/>
        </w:rPr>
      </w:pPr>
    </w:p>
    <w:p w14:paraId="666B4B62" w14:textId="3CB1E517" w:rsidR="00FC4C46" w:rsidRPr="00CA47E8" w:rsidRDefault="00FC4C46" w:rsidP="00FC4C46">
      <w:pPr>
        <w:rPr>
          <w:rFonts w:cs="Arial"/>
          <w:color w:val="000000" w:themeColor="text1"/>
        </w:rPr>
      </w:pPr>
      <w:r w:rsidRPr="00F27BCD">
        <w:rPr>
          <w:rFonts w:cs="Arial"/>
          <w:color w:val="000000" w:themeColor="text1"/>
        </w:rPr>
        <w:t xml:space="preserve">WIPO’s Ethics Office </w:t>
      </w:r>
      <w:r w:rsidRPr="00CA47E8">
        <w:rPr>
          <w:rFonts w:cs="Arial"/>
          <w:color w:val="000000" w:themeColor="text1"/>
        </w:rPr>
        <w:t xml:space="preserve">which enjoys functional and operational independence, supports me in helping to ensure that all </w:t>
      </w:r>
      <w:r>
        <w:rPr>
          <w:rFonts w:cs="Arial"/>
          <w:color w:val="000000" w:themeColor="text1"/>
        </w:rPr>
        <w:t>UPOV</w:t>
      </w:r>
      <w:r w:rsidRPr="00CA47E8">
        <w:rPr>
          <w:rFonts w:cs="Arial"/>
          <w:color w:val="000000" w:themeColor="text1"/>
        </w:rPr>
        <w:t xml:space="preserve"> personnel perform their functions consistent with the highest standards of ethics and integrity, as required by the Staff Regulations and Rules, the Standards of Conduct for the International Civil Service, the WIPO Code of Ethics and other relevant policies. </w:t>
      </w:r>
    </w:p>
    <w:p w14:paraId="3D37EE81" w14:textId="77777777" w:rsidR="00FC4C46" w:rsidRPr="00CA47E8" w:rsidRDefault="00FC4C46" w:rsidP="00FC4C46">
      <w:pPr>
        <w:rPr>
          <w:rFonts w:cs="Arial"/>
          <w:color w:val="000000" w:themeColor="text1"/>
        </w:rPr>
      </w:pPr>
      <w:r w:rsidRPr="00CA47E8">
        <w:rPr>
          <w:rFonts w:cs="Arial"/>
          <w:color w:val="000000" w:themeColor="text1"/>
        </w:rPr>
        <w:t> </w:t>
      </w:r>
    </w:p>
    <w:p w14:paraId="25C5A707" w14:textId="77777777" w:rsidR="00FC4C46" w:rsidRPr="00CA47E8" w:rsidRDefault="00FC4C46" w:rsidP="00FC4C46">
      <w:pPr>
        <w:rPr>
          <w:rFonts w:cs="Arial"/>
          <w:color w:val="000000" w:themeColor="text1"/>
        </w:rPr>
      </w:pPr>
      <w:r w:rsidRPr="00CA47E8">
        <w:rPr>
          <w:rFonts w:cs="Arial"/>
          <w:color w:val="000000" w:themeColor="text1"/>
          <w:lang w:val="en-GB"/>
        </w:rPr>
        <w:t xml:space="preserve">As per its mandate, and in relation to ethics and integrity, the Ethics Office </w:t>
      </w:r>
      <w:r w:rsidRPr="00CA47E8">
        <w:rPr>
          <w:rFonts w:cs="Arial"/>
          <w:color w:val="000000" w:themeColor="text1"/>
        </w:rPr>
        <w:t xml:space="preserve">administers mandatory training; develops outreach programs; provides confidential guidance to all WIPO </w:t>
      </w:r>
      <w:r>
        <w:rPr>
          <w:rFonts w:cs="Arial"/>
          <w:color w:val="000000" w:themeColor="text1"/>
        </w:rPr>
        <w:t xml:space="preserve">and UPOV </w:t>
      </w:r>
      <w:r w:rsidRPr="00CA47E8">
        <w:rPr>
          <w:rFonts w:cs="Arial"/>
          <w:color w:val="000000" w:themeColor="text1"/>
        </w:rPr>
        <w:t>members of personnel; manages the disclosure of financial and other interests program and, receives, reviews and makes objective determinations and recommendations on complaints of retaliation. </w:t>
      </w:r>
    </w:p>
    <w:p w14:paraId="2AA57B0E" w14:textId="77777777" w:rsidR="00FC4C46" w:rsidRPr="00F27BCD" w:rsidRDefault="00FC4C46" w:rsidP="00FC4C46">
      <w:pPr>
        <w:rPr>
          <w:rFonts w:cs="Arial"/>
        </w:rPr>
      </w:pPr>
      <w:r w:rsidRPr="00CA47E8">
        <w:rPr>
          <w:rFonts w:cs="Arial"/>
          <w:color w:val="000000" w:themeColor="text1"/>
        </w:rPr>
        <w:t> </w:t>
      </w:r>
      <w:r w:rsidRPr="00F27BCD">
        <w:rPr>
          <w:rFonts w:cs="Arial"/>
          <w:color w:val="000000" w:themeColor="text1"/>
        </w:rPr>
        <w:t xml:space="preserve"> </w:t>
      </w:r>
    </w:p>
    <w:p w14:paraId="296E94D0" w14:textId="77777777" w:rsidR="00FC4C46" w:rsidRPr="00F27BCD" w:rsidRDefault="00FC4C46" w:rsidP="00FC4C46">
      <w:pPr>
        <w:rPr>
          <w:rFonts w:eastAsiaTheme="majorEastAsia" w:cs="Arial"/>
          <w:b/>
          <w:color w:val="000000" w:themeColor="text1"/>
        </w:rPr>
      </w:pPr>
    </w:p>
    <w:p w14:paraId="124FC968" w14:textId="77777777" w:rsidR="00FC4C46" w:rsidRPr="00F27BCD" w:rsidRDefault="00FC4C46" w:rsidP="00FC4C46">
      <w:pPr>
        <w:pStyle w:val="BodyText"/>
        <w:widowControl w:val="0"/>
        <w:numPr>
          <w:ilvl w:val="0"/>
          <w:numId w:val="67"/>
        </w:numPr>
        <w:autoSpaceDE w:val="0"/>
        <w:autoSpaceDN w:val="0"/>
        <w:jc w:val="left"/>
        <w:rPr>
          <w:b/>
          <w:bCs/>
        </w:rPr>
      </w:pPr>
      <w:r w:rsidRPr="00F27BCD">
        <w:rPr>
          <w:b/>
          <w:bCs/>
        </w:rPr>
        <w:t>Control Environment</w:t>
      </w:r>
    </w:p>
    <w:p w14:paraId="19EE4618" w14:textId="77777777" w:rsidR="00FC4C46" w:rsidRPr="00F27BCD" w:rsidRDefault="00FC4C46" w:rsidP="00FC4C46">
      <w:pPr>
        <w:pStyle w:val="BodyText"/>
        <w:rPr>
          <w:rFonts w:cs="Arial"/>
          <w:color w:val="000000" w:themeColor="text1"/>
        </w:rPr>
      </w:pPr>
    </w:p>
    <w:p w14:paraId="6503B9BE" w14:textId="77777777" w:rsidR="00FC4C46" w:rsidRPr="00F27BCD" w:rsidRDefault="00FC4C46" w:rsidP="00FC4C46">
      <w:pPr>
        <w:pStyle w:val="BodyText"/>
        <w:rPr>
          <w:rFonts w:cs="Arial"/>
          <w:color w:val="000000" w:themeColor="text1"/>
        </w:rPr>
      </w:pPr>
      <w:r>
        <w:rPr>
          <w:rFonts w:cs="Arial"/>
          <w:color w:val="000000" w:themeColor="text1"/>
        </w:rPr>
        <w:t>The UPOV</w:t>
      </w:r>
      <w:r w:rsidRPr="00640ABD">
        <w:rPr>
          <w:rFonts w:cs="Arial"/>
          <w:color w:val="000000" w:themeColor="text1"/>
        </w:rPr>
        <w:t xml:space="preserve"> Accountability Framework lays out the components that ensure good governance through reasonable assurance regarding the reliability of reporting, the effectiveness and efficiency of operations, compliance with applicable policies, regulations and rules, and the safeguarding of resources.  The</w:t>
      </w:r>
      <w:r>
        <w:rPr>
          <w:rFonts w:cs="Arial"/>
          <w:color w:val="000000" w:themeColor="text1"/>
        </w:rPr>
        <w:t xml:space="preserve"> </w:t>
      </w:r>
      <w:r w:rsidRPr="00640ABD">
        <w:rPr>
          <w:rFonts w:cs="Arial"/>
          <w:color w:val="000000" w:themeColor="text1"/>
        </w:rPr>
        <w:t>Control Environment includes a suite of Key Controls that are those Entity Level Controls and Process Level Controls that provide ultimate control over all areas of the COSO framework.   </w:t>
      </w:r>
    </w:p>
    <w:p w14:paraId="5AF9A29C" w14:textId="77777777" w:rsidR="00FC4C46" w:rsidRPr="00F27BCD" w:rsidRDefault="00FC4C46" w:rsidP="00FC4C46">
      <w:pPr>
        <w:pStyle w:val="BodyText"/>
        <w:rPr>
          <w:rFonts w:cs="Arial"/>
          <w:i/>
          <w:color w:val="00B050"/>
        </w:rPr>
      </w:pPr>
    </w:p>
    <w:p w14:paraId="35E02CCA" w14:textId="77777777" w:rsidR="00FC4C46" w:rsidRPr="00F27BCD" w:rsidRDefault="00FC4C46" w:rsidP="00FC4C46">
      <w:pPr>
        <w:pStyle w:val="BodyText"/>
        <w:rPr>
          <w:rFonts w:cs="Arial"/>
          <w:color w:val="000000" w:themeColor="text1"/>
        </w:rPr>
      </w:pPr>
      <w:r w:rsidRPr="00F27BCD">
        <w:rPr>
          <w:rFonts w:cs="Arial"/>
          <w:color w:val="000000" w:themeColor="text1"/>
        </w:rPr>
        <w:t xml:space="preserve">With regard to the financial administration of UPOV, the WIPO/UPOV Agreement”, signed on November 26, 1982, states the following: </w:t>
      </w:r>
    </w:p>
    <w:p w14:paraId="74230D5B" w14:textId="77777777" w:rsidR="00FC4C46" w:rsidRPr="00F27BCD" w:rsidRDefault="00FC4C46" w:rsidP="00FC4C46">
      <w:pPr>
        <w:pStyle w:val="BodyText"/>
        <w:rPr>
          <w:rFonts w:cs="Arial"/>
          <w:color w:val="000000" w:themeColor="text1"/>
        </w:rPr>
      </w:pPr>
    </w:p>
    <w:p w14:paraId="7FC4634D" w14:textId="2BC12D0A" w:rsidR="00FC4C46" w:rsidRPr="0059381C" w:rsidRDefault="00FC4C46" w:rsidP="0059381C">
      <w:pPr>
        <w:pStyle w:val="BodyText"/>
        <w:spacing w:after="120"/>
        <w:ind w:left="567" w:right="567"/>
        <w:jc w:val="center"/>
        <w:rPr>
          <w:rFonts w:cs="Arial"/>
          <w:color w:val="000000" w:themeColor="text1"/>
          <w:sz w:val="18"/>
          <w:szCs w:val="18"/>
        </w:rPr>
      </w:pPr>
      <w:r w:rsidRPr="0059381C">
        <w:rPr>
          <w:rFonts w:cs="Arial"/>
          <w:color w:val="000000" w:themeColor="text1"/>
          <w:sz w:val="18"/>
          <w:szCs w:val="18"/>
        </w:rPr>
        <w:t>“Article 1</w:t>
      </w:r>
      <w:r w:rsidR="0059381C">
        <w:rPr>
          <w:rFonts w:cs="Arial"/>
          <w:color w:val="000000" w:themeColor="text1"/>
          <w:sz w:val="18"/>
          <w:szCs w:val="18"/>
        </w:rPr>
        <w:br/>
      </w:r>
      <w:r w:rsidRPr="0059381C">
        <w:rPr>
          <w:rFonts w:cs="Arial"/>
          <w:color w:val="000000" w:themeColor="text1"/>
          <w:sz w:val="18"/>
          <w:szCs w:val="18"/>
        </w:rPr>
        <w:t>“Requirements of UPOV</w:t>
      </w:r>
    </w:p>
    <w:p w14:paraId="2C227BEE" w14:textId="726D356D" w:rsidR="00FC4C46" w:rsidRPr="0059381C" w:rsidRDefault="00FC4C46" w:rsidP="0059381C">
      <w:pPr>
        <w:pStyle w:val="BodyText"/>
        <w:spacing w:after="120"/>
        <w:ind w:left="567" w:right="567"/>
        <w:jc w:val="left"/>
        <w:rPr>
          <w:rFonts w:cs="Arial"/>
          <w:color w:val="000000" w:themeColor="text1"/>
          <w:sz w:val="18"/>
          <w:szCs w:val="18"/>
        </w:rPr>
      </w:pPr>
      <w:r w:rsidRPr="0059381C">
        <w:rPr>
          <w:rFonts w:cs="Arial"/>
          <w:color w:val="000000" w:themeColor="text1"/>
          <w:sz w:val="18"/>
          <w:szCs w:val="18"/>
        </w:rPr>
        <w:t>“(1)</w:t>
      </w:r>
      <w:r w:rsidR="0059381C">
        <w:rPr>
          <w:rFonts w:cs="Arial"/>
          <w:color w:val="000000" w:themeColor="text1"/>
          <w:sz w:val="18"/>
          <w:szCs w:val="18"/>
        </w:rPr>
        <w:tab/>
      </w:r>
      <w:r w:rsidRPr="0059381C">
        <w:rPr>
          <w:rFonts w:cs="Arial"/>
          <w:color w:val="000000" w:themeColor="text1"/>
          <w:sz w:val="18"/>
          <w:szCs w:val="18"/>
        </w:rPr>
        <w:t>WIPO shall satisfy the requirements of UPOV as regards</w:t>
      </w:r>
    </w:p>
    <w:p w14:paraId="41F93626" w14:textId="0D2CFEA4" w:rsidR="00FC4C46" w:rsidRPr="0059381C" w:rsidRDefault="0059381C" w:rsidP="0059381C">
      <w:pPr>
        <w:pStyle w:val="BodyText"/>
        <w:spacing w:after="120"/>
        <w:ind w:left="567" w:right="567" w:firstLine="567"/>
        <w:jc w:val="left"/>
        <w:rPr>
          <w:rFonts w:cs="Arial"/>
          <w:color w:val="000000" w:themeColor="text1"/>
          <w:sz w:val="18"/>
          <w:szCs w:val="18"/>
        </w:rPr>
      </w:pPr>
      <w:r>
        <w:rPr>
          <w:rFonts w:cs="Arial"/>
          <w:color w:val="000000" w:themeColor="text1"/>
          <w:sz w:val="18"/>
          <w:szCs w:val="18"/>
        </w:rPr>
        <w:t>“</w:t>
      </w:r>
      <w:r w:rsidR="00FC4C46" w:rsidRPr="0059381C">
        <w:rPr>
          <w:rFonts w:cs="Arial"/>
          <w:color w:val="000000" w:themeColor="text1"/>
          <w:sz w:val="18"/>
          <w:szCs w:val="18"/>
        </w:rPr>
        <w:t>[…]</w:t>
      </w:r>
    </w:p>
    <w:p w14:paraId="109F1DBC" w14:textId="1319B6F5" w:rsidR="00FC4C46" w:rsidRPr="0059381C" w:rsidRDefault="00FC4C46" w:rsidP="0059381C">
      <w:pPr>
        <w:pStyle w:val="BodyText"/>
        <w:spacing w:after="120"/>
        <w:ind w:left="567" w:right="567" w:firstLine="567"/>
        <w:jc w:val="left"/>
        <w:rPr>
          <w:rFonts w:cs="Arial"/>
          <w:color w:val="000000" w:themeColor="text1"/>
          <w:sz w:val="18"/>
          <w:szCs w:val="18"/>
        </w:rPr>
      </w:pPr>
      <w:r w:rsidRPr="0059381C">
        <w:rPr>
          <w:rFonts w:cs="Arial"/>
          <w:color w:val="000000" w:themeColor="text1"/>
          <w:sz w:val="18"/>
          <w:szCs w:val="18"/>
        </w:rPr>
        <w:t>“(iv) financial administration of UPOV (receiving and disbursing funds, bookkeeping, internal financial control, etc.),</w:t>
      </w:r>
    </w:p>
    <w:p w14:paraId="4344652D" w14:textId="1864F0F3" w:rsidR="00FC4C46" w:rsidRPr="0059381C" w:rsidRDefault="0059381C" w:rsidP="0059381C">
      <w:pPr>
        <w:pStyle w:val="BodyText"/>
        <w:spacing w:after="120"/>
        <w:ind w:left="567" w:right="567" w:firstLine="567"/>
        <w:jc w:val="left"/>
        <w:rPr>
          <w:rFonts w:cs="Arial"/>
          <w:color w:val="000000" w:themeColor="text1"/>
          <w:sz w:val="18"/>
          <w:szCs w:val="18"/>
        </w:rPr>
      </w:pPr>
      <w:r>
        <w:rPr>
          <w:rFonts w:cs="Arial"/>
          <w:color w:val="000000" w:themeColor="text1"/>
          <w:sz w:val="18"/>
          <w:szCs w:val="18"/>
        </w:rPr>
        <w:t>“</w:t>
      </w:r>
      <w:r w:rsidR="00FC4C46" w:rsidRPr="0059381C">
        <w:rPr>
          <w:rFonts w:cs="Arial"/>
          <w:color w:val="000000" w:themeColor="text1"/>
          <w:sz w:val="18"/>
          <w:szCs w:val="18"/>
        </w:rPr>
        <w:t>[…]</w:t>
      </w:r>
    </w:p>
    <w:p w14:paraId="31EA4BCF" w14:textId="0511D86A" w:rsidR="00FC4C46" w:rsidRPr="0059381C" w:rsidRDefault="00FC4C46" w:rsidP="0059381C">
      <w:pPr>
        <w:pStyle w:val="BodyText"/>
        <w:spacing w:after="120"/>
        <w:ind w:left="567" w:right="567"/>
        <w:jc w:val="left"/>
        <w:rPr>
          <w:rFonts w:cs="Arial"/>
          <w:color w:val="000000" w:themeColor="text1"/>
          <w:sz w:val="18"/>
          <w:szCs w:val="18"/>
        </w:rPr>
      </w:pPr>
      <w:r w:rsidRPr="0059381C">
        <w:rPr>
          <w:rFonts w:cs="Arial"/>
          <w:color w:val="000000" w:themeColor="text1"/>
          <w:sz w:val="18"/>
          <w:szCs w:val="18"/>
        </w:rPr>
        <w:t>“(2)</w:t>
      </w:r>
      <w:r w:rsidR="0059381C">
        <w:rPr>
          <w:rFonts w:cs="Arial"/>
          <w:color w:val="000000" w:themeColor="text1"/>
          <w:sz w:val="18"/>
          <w:szCs w:val="18"/>
        </w:rPr>
        <w:tab/>
      </w:r>
      <w:r w:rsidRPr="0059381C">
        <w:rPr>
          <w:rFonts w:cs="Arial"/>
          <w:color w:val="000000" w:themeColor="text1"/>
          <w:sz w:val="18"/>
          <w:szCs w:val="18"/>
        </w:rPr>
        <w:t>The requirements of UPOV shall be met on a basis of strict equality with the requirements of the various Unions administered by WIPO.”</w:t>
      </w:r>
    </w:p>
    <w:p w14:paraId="3B52C4C9" w14:textId="77777777" w:rsidR="0059381C" w:rsidRDefault="0059381C" w:rsidP="0059381C">
      <w:pPr>
        <w:pStyle w:val="BodyText"/>
        <w:spacing w:after="120"/>
        <w:ind w:left="567" w:right="567"/>
        <w:jc w:val="center"/>
        <w:rPr>
          <w:rFonts w:cs="Arial"/>
          <w:color w:val="000000" w:themeColor="text1"/>
          <w:sz w:val="18"/>
          <w:szCs w:val="18"/>
        </w:rPr>
      </w:pPr>
    </w:p>
    <w:p w14:paraId="1D40EDBD" w14:textId="447ACEE8" w:rsidR="00FC4C46" w:rsidRPr="0059381C" w:rsidRDefault="00FC4C46" w:rsidP="0059381C">
      <w:pPr>
        <w:pStyle w:val="BodyText"/>
        <w:spacing w:after="120"/>
        <w:ind w:left="567" w:right="567"/>
        <w:jc w:val="center"/>
        <w:rPr>
          <w:rFonts w:cs="Arial"/>
          <w:color w:val="000000" w:themeColor="text1"/>
          <w:sz w:val="18"/>
          <w:szCs w:val="18"/>
        </w:rPr>
      </w:pPr>
      <w:r w:rsidRPr="0059381C">
        <w:rPr>
          <w:rFonts w:cs="Arial"/>
          <w:color w:val="000000" w:themeColor="text1"/>
          <w:sz w:val="18"/>
          <w:szCs w:val="18"/>
        </w:rPr>
        <w:t>“Article 8</w:t>
      </w:r>
      <w:r w:rsidR="0059381C">
        <w:rPr>
          <w:rFonts w:cs="Arial"/>
          <w:color w:val="000000" w:themeColor="text1"/>
          <w:sz w:val="18"/>
          <w:szCs w:val="18"/>
        </w:rPr>
        <w:br/>
        <w:t>“</w:t>
      </w:r>
      <w:r w:rsidRPr="0059381C">
        <w:rPr>
          <w:rFonts w:cs="Arial"/>
          <w:color w:val="000000" w:themeColor="text1"/>
          <w:sz w:val="18"/>
          <w:szCs w:val="18"/>
        </w:rPr>
        <w:t>Administrative and Financial Regulations of UPOV</w:t>
      </w:r>
    </w:p>
    <w:p w14:paraId="5EED20A2" w14:textId="1E85B84A" w:rsidR="00FC4C46" w:rsidRDefault="00FC4C46" w:rsidP="0059381C">
      <w:pPr>
        <w:pStyle w:val="BodyText"/>
        <w:spacing w:after="120"/>
        <w:ind w:left="567" w:right="567"/>
        <w:rPr>
          <w:rFonts w:cs="Arial"/>
          <w:color w:val="000000" w:themeColor="text1"/>
          <w:sz w:val="18"/>
          <w:szCs w:val="18"/>
        </w:rPr>
      </w:pPr>
      <w:r w:rsidRPr="0059381C">
        <w:rPr>
          <w:rFonts w:cs="Arial"/>
          <w:color w:val="000000" w:themeColor="text1"/>
          <w:sz w:val="18"/>
          <w:szCs w:val="18"/>
        </w:rPr>
        <w:t>“(1)</w:t>
      </w:r>
      <w:r w:rsidR="0059381C">
        <w:rPr>
          <w:rFonts w:cs="Arial"/>
          <w:color w:val="000000" w:themeColor="text1"/>
          <w:sz w:val="18"/>
          <w:szCs w:val="18"/>
        </w:rPr>
        <w:tab/>
      </w:r>
      <w:r w:rsidRPr="0059381C">
        <w:rPr>
          <w:rFonts w:cs="Arial"/>
          <w:color w:val="000000" w:themeColor="text1"/>
          <w:sz w:val="18"/>
          <w:szCs w:val="18"/>
        </w:rPr>
        <w:t>Subject to the other Articles of this Agreement and to paragraphs (2) and (3) of this Article, the provisions of the Staff Regulations and Staff Rules of WIPO and the provisions of the Financial Regulations and Rules of WIPO, including future modifications thereof, shall, mutatis mutandis, apply also in respect of the staff of the Office of UPOV and the finances of UPOV, provided that the Council of UPOV may agree with the Director General of WIPO to any exceptions and additions to the same in which case such agreed exceptions and additions shall prevail . The said texts shall be considered to constitute the administrative and financial regulations of UPOV referred to in Article 201 of the UPOV Convention.</w:t>
      </w:r>
    </w:p>
    <w:p w14:paraId="4A09D0CD" w14:textId="438473F9" w:rsidR="00FC4C46" w:rsidRPr="0059381C" w:rsidRDefault="0059381C" w:rsidP="0059381C">
      <w:pPr>
        <w:pStyle w:val="BodyText"/>
        <w:spacing w:after="120"/>
        <w:ind w:right="567" w:firstLine="567"/>
        <w:rPr>
          <w:rFonts w:cs="Arial"/>
          <w:color w:val="000000" w:themeColor="text1"/>
          <w:sz w:val="18"/>
          <w:szCs w:val="18"/>
        </w:rPr>
      </w:pPr>
      <w:r>
        <w:rPr>
          <w:rFonts w:cs="Arial"/>
          <w:color w:val="000000" w:themeColor="text1"/>
          <w:sz w:val="18"/>
          <w:szCs w:val="18"/>
        </w:rPr>
        <w:t>“</w:t>
      </w:r>
      <w:r w:rsidR="00FC4C46" w:rsidRPr="0059381C">
        <w:rPr>
          <w:rFonts w:cs="Arial"/>
          <w:color w:val="000000" w:themeColor="text1"/>
          <w:sz w:val="18"/>
          <w:szCs w:val="18"/>
        </w:rPr>
        <w:t>[…]</w:t>
      </w:r>
    </w:p>
    <w:p w14:paraId="759C1C2A" w14:textId="0741E47C" w:rsidR="00FC4C46" w:rsidRPr="0059381C" w:rsidRDefault="00FC4C46" w:rsidP="0059381C">
      <w:pPr>
        <w:pStyle w:val="BodyText"/>
        <w:ind w:left="567" w:right="567"/>
        <w:rPr>
          <w:rFonts w:cs="Arial"/>
          <w:color w:val="000000" w:themeColor="text1"/>
          <w:sz w:val="18"/>
          <w:szCs w:val="18"/>
        </w:rPr>
      </w:pPr>
      <w:r w:rsidRPr="0059381C">
        <w:rPr>
          <w:rFonts w:cs="Arial"/>
          <w:color w:val="000000" w:themeColor="text1"/>
          <w:sz w:val="18"/>
          <w:szCs w:val="18"/>
        </w:rPr>
        <w:t>“(3)</w:t>
      </w:r>
      <w:r w:rsidR="0059381C">
        <w:rPr>
          <w:rFonts w:cs="Arial"/>
          <w:color w:val="000000" w:themeColor="text1"/>
          <w:sz w:val="18"/>
          <w:szCs w:val="18"/>
        </w:rPr>
        <w:tab/>
      </w:r>
      <w:r w:rsidRPr="0059381C">
        <w:rPr>
          <w:rFonts w:cs="Arial"/>
          <w:color w:val="000000" w:themeColor="text1"/>
          <w:sz w:val="18"/>
          <w:szCs w:val="18"/>
        </w:rPr>
        <w:t>In all financial matters concerning UPOV, the Controller of WIPO shall be responsible to the Council of UPOV.”</w:t>
      </w:r>
    </w:p>
    <w:p w14:paraId="00F17358" w14:textId="77777777" w:rsidR="00FC4C46" w:rsidRPr="00F27BCD" w:rsidRDefault="00FC4C46" w:rsidP="00FC4C46">
      <w:pPr>
        <w:pStyle w:val="BodyText"/>
        <w:rPr>
          <w:rFonts w:cs="Arial"/>
          <w:color w:val="000000" w:themeColor="text1"/>
        </w:rPr>
      </w:pPr>
    </w:p>
    <w:p w14:paraId="1686B68A" w14:textId="4D423F58" w:rsidR="00FC4C46" w:rsidRPr="0011268A" w:rsidRDefault="00FC4C46" w:rsidP="00FC4C46">
      <w:pPr>
        <w:pStyle w:val="Caption"/>
        <w:rPr>
          <w:color w:val="000000" w:themeColor="text1"/>
          <w:sz w:val="20"/>
        </w:rPr>
      </w:pPr>
      <w:r w:rsidRPr="0011268A">
        <w:rPr>
          <w:color w:val="000000" w:themeColor="text1"/>
          <w:sz w:val="20"/>
        </w:rPr>
        <w:lastRenderedPageBreak/>
        <w:t>C</w:t>
      </w:r>
      <w:r w:rsidRPr="0011268A">
        <w:rPr>
          <w:sz w:val="20"/>
        </w:rPr>
        <w:t>onclusion</w:t>
      </w:r>
    </w:p>
    <w:p w14:paraId="49159137" w14:textId="77777777" w:rsidR="00FC4C46" w:rsidRPr="00F27BCD" w:rsidRDefault="00FC4C46" w:rsidP="00FC4C46">
      <w:pPr>
        <w:pStyle w:val="BodyText"/>
        <w:rPr>
          <w:rFonts w:cs="Arial"/>
          <w:color w:val="000000" w:themeColor="text1"/>
        </w:rPr>
      </w:pPr>
    </w:p>
    <w:p w14:paraId="5B70D6F3" w14:textId="77777777" w:rsidR="00FC4C46" w:rsidRPr="00F27BCD" w:rsidRDefault="00FC4C46" w:rsidP="00FC4C46">
      <w:pPr>
        <w:pStyle w:val="BodyText"/>
        <w:rPr>
          <w:rFonts w:cs="Arial"/>
          <w:color w:val="000000" w:themeColor="text1"/>
        </w:rPr>
      </w:pPr>
      <w:r w:rsidRPr="00F27BCD">
        <w:rPr>
          <w:rFonts w:cs="Arial"/>
          <w:color w:val="000000" w:themeColor="text1"/>
        </w:rPr>
        <w:t xml:space="preserve">Based on the contents of this statement and the evidence that underpins it, I conclude that, to the best of my knowledge and belief, and based upon the information I have, there have been no material weaknesses that would affect the reliability of the Organization’s financial statements, nor are there significant matters arising that would need to be raised in the present document for the reporting period. </w:t>
      </w:r>
    </w:p>
    <w:p w14:paraId="12F31EAB" w14:textId="77777777" w:rsidR="00FC4C46" w:rsidRPr="00F27BCD" w:rsidRDefault="00FC4C46" w:rsidP="00FC4C46">
      <w:pPr>
        <w:rPr>
          <w:rFonts w:cs="Arial"/>
          <w:color w:val="000000" w:themeColor="text1"/>
        </w:rPr>
      </w:pPr>
    </w:p>
    <w:p w14:paraId="13EC394D" w14:textId="77777777" w:rsidR="00FC4C46" w:rsidRPr="00F27BCD" w:rsidRDefault="00FC4C46" w:rsidP="00FC4C46">
      <w:pPr>
        <w:rPr>
          <w:rFonts w:cs="Arial"/>
          <w:color w:val="000000" w:themeColor="text1"/>
        </w:rPr>
      </w:pPr>
    </w:p>
    <w:p w14:paraId="685EF4C5" w14:textId="77777777" w:rsidR="00FC4C46" w:rsidRPr="00F27BCD" w:rsidRDefault="00FC4C46" w:rsidP="00FC4C46">
      <w:pPr>
        <w:tabs>
          <w:tab w:val="left" w:pos="5528"/>
        </w:tabs>
        <w:rPr>
          <w:rFonts w:cs="Arial"/>
          <w:color w:val="000000" w:themeColor="text1"/>
        </w:rPr>
      </w:pPr>
      <w:r w:rsidRPr="00F27BCD">
        <w:rPr>
          <w:rFonts w:cs="Arial"/>
          <w:color w:val="000000" w:themeColor="text1"/>
        </w:rPr>
        <w:tab/>
        <w:t>Daren Tang</w:t>
      </w:r>
    </w:p>
    <w:p w14:paraId="1DE11371" w14:textId="77777777" w:rsidR="00FC4C46" w:rsidRPr="00F27BCD" w:rsidRDefault="00FC4C46" w:rsidP="00FC4C46">
      <w:pPr>
        <w:tabs>
          <w:tab w:val="left" w:pos="5528"/>
        </w:tabs>
        <w:rPr>
          <w:rFonts w:cs="Arial"/>
          <w:color w:val="000000" w:themeColor="text1"/>
        </w:rPr>
      </w:pPr>
      <w:r w:rsidRPr="00F27BCD">
        <w:rPr>
          <w:rFonts w:cs="Arial"/>
          <w:color w:val="000000" w:themeColor="text1"/>
        </w:rPr>
        <w:tab/>
        <w:t>Secretary-General</w:t>
      </w:r>
    </w:p>
    <w:p w14:paraId="5EB3A2C7" w14:textId="77777777" w:rsidR="00FC4C46" w:rsidRPr="00F27BCD" w:rsidRDefault="00FC4C46" w:rsidP="00FC4C46">
      <w:pPr>
        <w:tabs>
          <w:tab w:val="left" w:pos="5528"/>
        </w:tabs>
        <w:rPr>
          <w:rFonts w:cs="Arial"/>
          <w:color w:val="000000" w:themeColor="text1"/>
        </w:rPr>
      </w:pPr>
    </w:p>
    <w:p w14:paraId="2C788622" w14:textId="4156128D" w:rsidR="00FC4C46" w:rsidRPr="00F27BCD" w:rsidRDefault="00FC4C46" w:rsidP="00FC4C46">
      <w:pPr>
        <w:tabs>
          <w:tab w:val="left" w:pos="5528"/>
        </w:tabs>
        <w:rPr>
          <w:rFonts w:cs="Arial"/>
          <w:color w:val="000000" w:themeColor="text1"/>
          <w:lang w:val="en-IN"/>
        </w:rPr>
      </w:pPr>
      <w:r w:rsidRPr="00F27BCD">
        <w:rPr>
          <w:rFonts w:cs="Arial"/>
          <w:color w:val="000000" w:themeColor="text1"/>
        </w:rPr>
        <w:tab/>
        <w:t>Date:</w:t>
      </w:r>
      <w:r w:rsidR="006135A0">
        <w:rPr>
          <w:rFonts w:cs="Arial"/>
          <w:color w:val="000000" w:themeColor="text1"/>
        </w:rPr>
        <w:t xml:space="preserve"> May 23, 2025</w:t>
      </w:r>
    </w:p>
    <w:p w14:paraId="26BE9806" w14:textId="77777777" w:rsidR="00FC4C46" w:rsidRPr="00F27BCD" w:rsidRDefault="00FC4C46" w:rsidP="00FC4C46">
      <w:pPr>
        <w:pStyle w:val="BodyText"/>
        <w:rPr>
          <w:rFonts w:cs="Arial"/>
          <w:color w:val="000000" w:themeColor="text1"/>
          <w:lang w:val="en-IN"/>
        </w:rPr>
      </w:pPr>
    </w:p>
    <w:p w14:paraId="78DAF791" w14:textId="77777777" w:rsidR="00FC4C46" w:rsidRPr="00F27BCD" w:rsidRDefault="00FC4C46" w:rsidP="00FC4C46">
      <w:pPr>
        <w:pStyle w:val="BodyText"/>
        <w:rPr>
          <w:color w:val="000000" w:themeColor="text1"/>
          <w:lang w:val="en-IN"/>
        </w:rPr>
      </w:pPr>
    </w:p>
    <w:p w14:paraId="03586A45" w14:textId="77777777" w:rsidR="00FC4C46" w:rsidRPr="00EA5FB2" w:rsidRDefault="00FC4C46" w:rsidP="00FC4C46">
      <w:pPr>
        <w:tabs>
          <w:tab w:val="left" w:pos="6889"/>
        </w:tabs>
        <w:rPr>
          <w:b/>
          <w:color w:val="000000" w:themeColor="text1"/>
        </w:rPr>
      </w:pPr>
      <w:r w:rsidRPr="00EA5FB2">
        <w:rPr>
          <w:b/>
          <w:color w:val="000000" w:themeColor="text1"/>
        </w:rPr>
        <w:tab/>
      </w:r>
    </w:p>
    <w:p w14:paraId="71F17E74" w14:textId="77777777" w:rsidR="00FC4C46" w:rsidRPr="005976F2" w:rsidRDefault="00FC4C46" w:rsidP="00FC4C46">
      <w:pPr>
        <w:pStyle w:val="Heading1"/>
        <w:rPr>
          <w:rFonts w:cs="Arial"/>
          <w:color w:val="000000" w:themeColor="text1"/>
        </w:rPr>
      </w:pPr>
    </w:p>
    <w:p w14:paraId="1DA4D20F" w14:textId="77777777" w:rsidR="00F27BCD" w:rsidRPr="00F01218" w:rsidRDefault="00F27BCD" w:rsidP="00F27BCD">
      <w:pPr>
        <w:pStyle w:val="BodyText"/>
        <w:rPr>
          <w:rFonts w:cs="Arial"/>
          <w:color w:val="000000" w:themeColor="text1"/>
        </w:rPr>
      </w:pPr>
    </w:p>
    <w:p w14:paraId="49D02DB0" w14:textId="77777777" w:rsidR="00A45AC5" w:rsidRPr="00F27BCD" w:rsidRDefault="00A45AC5" w:rsidP="00A45AC5">
      <w:pPr>
        <w:pStyle w:val="BodyText"/>
        <w:rPr>
          <w:color w:val="000000" w:themeColor="text1"/>
          <w:lang w:val="en-IN"/>
        </w:rPr>
      </w:pPr>
    </w:p>
    <w:p w14:paraId="41A3C949" w14:textId="77777777" w:rsidR="00ED5C63" w:rsidRPr="00EA5FB2" w:rsidRDefault="00ED5C63" w:rsidP="00ED5C63">
      <w:pPr>
        <w:tabs>
          <w:tab w:val="left" w:pos="6889"/>
        </w:tabs>
        <w:rPr>
          <w:b/>
          <w:color w:val="000000" w:themeColor="text1"/>
        </w:rPr>
      </w:pPr>
      <w:r w:rsidRPr="00EA5FB2">
        <w:rPr>
          <w:b/>
          <w:color w:val="000000" w:themeColor="text1"/>
        </w:rPr>
        <w:tab/>
      </w:r>
    </w:p>
    <w:p w14:paraId="1A6B4C67" w14:textId="77777777" w:rsidR="00191695" w:rsidRPr="005976F2" w:rsidRDefault="00A824AF" w:rsidP="000357D6">
      <w:pPr>
        <w:pStyle w:val="Heading1"/>
        <w:jc w:val="center"/>
        <w:rPr>
          <w:rFonts w:cs="Arial"/>
        </w:rPr>
      </w:pPr>
      <w:r w:rsidRPr="0038775D">
        <w:rPr>
          <w:rFonts w:cs="Arial"/>
        </w:rPr>
        <w:br w:type="page"/>
      </w:r>
      <w:bookmarkStart w:id="17" w:name="_Toc84329886"/>
      <w:bookmarkStart w:id="18" w:name="_Toc198653930"/>
      <w:r w:rsidR="00383939" w:rsidRPr="00F76236">
        <w:rPr>
          <w:rFonts w:cs="Arial"/>
        </w:rPr>
        <w:lastRenderedPageBreak/>
        <w:t xml:space="preserve">Statement I:  </w:t>
      </w:r>
      <w:r w:rsidR="00383939" w:rsidRPr="005976F2">
        <w:rPr>
          <w:rFonts w:cs="Arial"/>
        </w:rPr>
        <w:t>statement of financial pOSITION</w:t>
      </w:r>
      <w:bookmarkEnd w:id="17"/>
      <w:bookmarkEnd w:id="18"/>
    </w:p>
    <w:p w14:paraId="215EBB73" w14:textId="0C4C7463" w:rsidR="00A824AF" w:rsidRPr="00BB2405" w:rsidRDefault="00F67FE4" w:rsidP="00191695">
      <w:pPr>
        <w:jc w:val="center"/>
        <w:rPr>
          <w:rFonts w:cs="Arial"/>
          <w:b/>
        </w:rPr>
      </w:pPr>
      <w:r w:rsidRPr="00855138">
        <w:rPr>
          <w:rFonts w:cs="Arial"/>
          <w:b/>
        </w:rPr>
        <w:t>a</w:t>
      </w:r>
      <w:r w:rsidR="006C7B75" w:rsidRPr="00352498">
        <w:rPr>
          <w:rFonts w:cs="Arial"/>
          <w:b/>
        </w:rPr>
        <w:t xml:space="preserve">s </w:t>
      </w:r>
      <w:proofErr w:type="gramStart"/>
      <w:r w:rsidR="006C7B75" w:rsidRPr="00352498">
        <w:rPr>
          <w:rFonts w:cs="Arial"/>
          <w:b/>
        </w:rPr>
        <w:t>at</w:t>
      </w:r>
      <w:proofErr w:type="gramEnd"/>
      <w:r w:rsidR="006C7B75" w:rsidRPr="00352498">
        <w:rPr>
          <w:rFonts w:cs="Arial"/>
          <w:b/>
        </w:rPr>
        <w:t xml:space="preserve"> December 31, 20</w:t>
      </w:r>
      <w:r w:rsidR="009D06BD" w:rsidRPr="00352498">
        <w:rPr>
          <w:rFonts w:cs="Arial"/>
          <w:b/>
        </w:rPr>
        <w:t>2</w:t>
      </w:r>
      <w:r w:rsidR="00531FE8">
        <w:rPr>
          <w:rFonts w:cs="Arial"/>
          <w:b/>
        </w:rPr>
        <w:t>4</w:t>
      </w:r>
    </w:p>
    <w:p w14:paraId="4A49EED0" w14:textId="77777777" w:rsidR="006606EB" w:rsidRPr="008E132D" w:rsidRDefault="000357D6" w:rsidP="000357D6">
      <w:pPr>
        <w:jc w:val="center"/>
        <w:rPr>
          <w:rFonts w:cs="Arial"/>
          <w:i/>
        </w:rPr>
      </w:pPr>
      <w:r w:rsidRPr="00BB2405">
        <w:rPr>
          <w:rFonts w:cs="Arial"/>
          <w:i/>
        </w:rPr>
        <w:t>(in Swiss francs)</w:t>
      </w:r>
    </w:p>
    <w:p w14:paraId="115B78B5" w14:textId="77777777" w:rsidR="005D3AB8" w:rsidRPr="008E132D" w:rsidRDefault="005D3AB8" w:rsidP="000357D6">
      <w:pPr>
        <w:jc w:val="center"/>
        <w:rPr>
          <w:rFonts w:cs="Arial"/>
          <w:i/>
        </w:rPr>
      </w:pPr>
    </w:p>
    <w:p w14:paraId="7D3274BE" w14:textId="2F5C2285" w:rsidR="005D3AB8" w:rsidRPr="007B443E" w:rsidRDefault="000D2BD6" w:rsidP="00F01218">
      <w:pPr>
        <w:pStyle w:val="Caption"/>
        <w:jc w:val="center"/>
      </w:pPr>
      <w:r w:rsidRPr="000D2BD6">
        <w:rPr>
          <w:noProof/>
        </w:rPr>
        <w:drawing>
          <wp:inline distT="0" distB="0" distL="0" distR="0" wp14:anchorId="727B6106" wp14:editId="7D6FBE9F">
            <wp:extent cx="6137910" cy="4660900"/>
            <wp:effectExtent l="0" t="0" r="0" b="0"/>
            <wp:docPr id="159555716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37910" cy="4660900"/>
                    </a:xfrm>
                    <a:prstGeom prst="rect">
                      <a:avLst/>
                    </a:prstGeom>
                    <a:noFill/>
                    <a:ln>
                      <a:noFill/>
                    </a:ln>
                  </pic:spPr>
                </pic:pic>
              </a:graphicData>
            </a:graphic>
          </wp:inline>
        </w:drawing>
      </w:r>
    </w:p>
    <w:p w14:paraId="13B597AF" w14:textId="77777777" w:rsidR="006D30A8" w:rsidRPr="0098522D" w:rsidRDefault="006D30A8" w:rsidP="000357D6">
      <w:pPr>
        <w:jc w:val="center"/>
        <w:rPr>
          <w:rFonts w:cs="Arial"/>
          <w:i/>
        </w:rPr>
      </w:pPr>
    </w:p>
    <w:p w14:paraId="3888D563" w14:textId="77777777" w:rsidR="006D30A8" w:rsidRPr="007C4A37" w:rsidRDefault="006D30A8" w:rsidP="000357D6">
      <w:pPr>
        <w:jc w:val="center"/>
        <w:rPr>
          <w:rFonts w:cs="Arial"/>
          <w:i/>
        </w:rPr>
      </w:pPr>
    </w:p>
    <w:p w14:paraId="746F155F" w14:textId="77777777" w:rsidR="006606EB" w:rsidRPr="00F76236" w:rsidRDefault="006606EB" w:rsidP="00191695">
      <w:pPr>
        <w:pStyle w:val="Heading1"/>
        <w:jc w:val="center"/>
        <w:rPr>
          <w:rFonts w:cs="Arial"/>
        </w:rPr>
      </w:pPr>
    </w:p>
    <w:p w14:paraId="6493D89E" w14:textId="77777777" w:rsidR="00191695" w:rsidRPr="005D7523" w:rsidRDefault="00A824AF" w:rsidP="000357D6">
      <w:pPr>
        <w:pStyle w:val="Caption"/>
        <w:jc w:val="center"/>
        <w:rPr>
          <w:rStyle w:val="Heading1Char"/>
          <w:b/>
          <w:sz w:val="20"/>
        </w:rPr>
      </w:pPr>
      <w:r w:rsidRPr="005D7523">
        <w:rPr>
          <w:sz w:val="20"/>
        </w:rPr>
        <w:br w:type="page"/>
      </w:r>
    </w:p>
    <w:p w14:paraId="16EA1006" w14:textId="77777777" w:rsidR="00A824AF" w:rsidRPr="005D7523" w:rsidRDefault="00DE3D35" w:rsidP="00DE3D35">
      <w:pPr>
        <w:pStyle w:val="Heading1"/>
        <w:jc w:val="center"/>
        <w:rPr>
          <w:rFonts w:cs="Arial"/>
        </w:rPr>
      </w:pPr>
      <w:bookmarkStart w:id="19" w:name="_Toc198653931"/>
      <w:r w:rsidRPr="005D7523">
        <w:rPr>
          <w:rFonts w:cs="Arial"/>
        </w:rPr>
        <w:lastRenderedPageBreak/>
        <w:t>STATEMENT II: STATEMENT OF FINANCIAL PERFORMANCE</w:t>
      </w:r>
      <w:bookmarkEnd w:id="19"/>
    </w:p>
    <w:p w14:paraId="2C757BDD" w14:textId="64D1BDD4" w:rsidR="00DE3D35" w:rsidRPr="007B443E" w:rsidRDefault="00DE3D35" w:rsidP="00DE3D35">
      <w:pPr>
        <w:jc w:val="center"/>
        <w:rPr>
          <w:rFonts w:cs="Arial"/>
          <w:b/>
        </w:rPr>
      </w:pPr>
      <w:r w:rsidRPr="007B443E">
        <w:rPr>
          <w:rFonts w:cs="Arial"/>
          <w:b/>
        </w:rPr>
        <w:t xml:space="preserve">for </w:t>
      </w:r>
      <w:r w:rsidR="009D06BD" w:rsidRPr="007B443E">
        <w:rPr>
          <w:rFonts w:cs="Arial"/>
          <w:b/>
        </w:rPr>
        <w:t>the year ended December 31, 202</w:t>
      </w:r>
      <w:r w:rsidR="00531FE8">
        <w:rPr>
          <w:rFonts w:cs="Arial"/>
          <w:b/>
        </w:rPr>
        <w:t>4</w:t>
      </w:r>
    </w:p>
    <w:p w14:paraId="321DA447" w14:textId="77777777" w:rsidR="00DE3D35" w:rsidRPr="0098522D" w:rsidRDefault="00DE3D35" w:rsidP="00DE3D35">
      <w:pPr>
        <w:jc w:val="center"/>
        <w:rPr>
          <w:rFonts w:cs="Arial"/>
          <w:i/>
        </w:rPr>
      </w:pPr>
      <w:r w:rsidRPr="0098522D">
        <w:rPr>
          <w:rFonts w:cs="Arial"/>
          <w:i/>
        </w:rPr>
        <w:t>(in Swiss francs)</w:t>
      </w:r>
    </w:p>
    <w:p w14:paraId="36340D36" w14:textId="77777777" w:rsidR="006D30A8" w:rsidRPr="0098522D" w:rsidRDefault="006D30A8" w:rsidP="006D30A8">
      <w:pPr>
        <w:rPr>
          <w:rFonts w:cs="Arial"/>
          <w:i/>
        </w:rPr>
      </w:pPr>
    </w:p>
    <w:p w14:paraId="05EBAD28" w14:textId="40227B18" w:rsidR="006D30A8" w:rsidRPr="007B443E" w:rsidRDefault="003F37BE" w:rsidP="00F01218">
      <w:pPr>
        <w:pStyle w:val="Caption"/>
        <w:jc w:val="center"/>
      </w:pPr>
      <w:r w:rsidRPr="003F37BE">
        <w:rPr>
          <w:noProof/>
        </w:rPr>
        <w:drawing>
          <wp:inline distT="0" distB="0" distL="0" distR="0" wp14:anchorId="2FC15198" wp14:editId="11CB5256">
            <wp:extent cx="5772785" cy="3172460"/>
            <wp:effectExtent l="0" t="0" r="0" b="8890"/>
            <wp:docPr id="12314588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72785" cy="3172460"/>
                    </a:xfrm>
                    <a:prstGeom prst="rect">
                      <a:avLst/>
                    </a:prstGeom>
                    <a:noFill/>
                    <a:ln>
                      <a:noFill/>
                    </a:ln>
                  </pic:spPr>
                </pic:pic>
              </a:graphicData>
            </a:graphic>
          </wp:inline>
        </w:drawing>
      </w:r>
    </w:p>
    <w:p w14:paraId="3D5E9785" w14:textId="77777777" w:rsidR="005D3AB8" w:rsidRPr="0098522D" w:rsidRDefault="005D3AB8" w:rsidP="00DE3D35">
      <w:pPr>
        <w:jc w:val="center"/>
        <w:rPr>
          <w:rFonts w:cs="Arial"/>
          <w:i/>
        </w:rPr>
      </w:pPr>
    </w:p>
    <w:p w14:paraId="70E7A7CC" w14:textId="77777777" w:rsidR="005D3AB8" w:rsidRPr="007C4A37" w:rsidRDefault="005D3AB8" w:rsidP="00DE3D35">
      <w:pPr>
        <w:jc w:val="center"/>
        <w:rPr>
          <w:rFonts w:cs="Arial"/>
          <w:i/>
        </w:rPr>
      </w:pPr>
    </w:p>
    <w:p w14:paraId="021D3F30" w14:textId="77777777" w:rsidR="00DE3D35" w:rsidRPr="00F76236" w:rsidRDefault="00DE3D35" w:rsidP="00DE3D35">
      <w:pPr>
        <w:rPr>
          <w:rFonts w:cs="Arial"/>
        </w:rPr>
      </w:pPr>
    </w:p>
    <w:p w14:paraId="370DD481" w14:textId="77777777" w:rsidR="006606EB" w:rsidRPr="005976F2" w:rsidRDefault="006606EB" w:rsidP="006606EB">
      <w:pPr>
        <w:jc w:val="center"/>
        <w:rPr>
          <w:rFonts w:cs="Arial"/>
          <w:noProof/>
        </w:rPr>
      </w:pPr>
    </w:p>
    <w:p w14:paraId="289E17F5" w14:textId="77777777" w:rsidR="00706113" w:rsidRPr="00F76236" w:rsidRDefault="00A824AF" w:rsidP="000357D6">
      <w:pPr>
        <w:pStyle w:val="Caption"/>
        <w:jc w:val="center"/>
        <w:rPr>
          <w:rStyle w:val="Heading1Char"/>
          <w:b/>
          <w:sz w:val="20"/>
        </w:rPr>
      </w:pPr>
      <w:r w:rsidRPr="005D7523">
        <w:rPr>
          <w:sz w:val="20"/>
        </w:rPr>
        <w:br w:type="page"/>
      </w:r>
    </w:p>
    <w:p w14:paraId="5409DA3C" w14:textId="77777777" w:rsidR="00DE3D35" w:rsidRPr="005D7523" w:rsidRDefault="00DE3D35" w:rsidP="00DE3D35">
      <w:pPr>
        <w:pStyle w:val="Heading1"/>
        <w:jc w:val="center"/>
        <w:rPr>
          <w:rFonts w:cs="Arial"/>
        </w:rPr>
      </w:pPr>
      <w:bookmarkStart w:id="20" w:name="_Toc198653932"/>
      <w:r w:rsidRPr="005D7523">
        <w:rPr>
          <w:rFonts w:cs="Arial"/>
        </w:rPr>
        <w:lastRenderedPageBreak/>
        <w:t>STATEMENT III: STATEMENT OF CHANGES IN NET ASSETS</w:t>
      </w:r>
      <w:bookmarkEnd w:id="20"/>
    </w:p>
    <w:p w14:paraId="19060D89" w14:textId="617832D7" w:rsidR="00A824AF" w:rsidRPr="0098522D" w:rsidRDefault="00A824AF" w:rsidP="00DE3D35">
      <w:pPr>
        <w:jc w:val="center"/>
        <w:rPr>
          <w:rFonts w:cs="Arial"/>
          <w:b/>
        </w:rPr>
      </w:pPr>
      <w:r w:rsidRPr="007B443E">
        <w:rPr>
          <w:rFonts w:cs="Arial"/>
          <w:b/>
        </w:rPr>
        <w:t>for the year ended D</w:t>
      </w:r>
      <w:r w:rsidR="006C7B75" w:rsidRPr="007B443E">
        <w:rPr>
          <w:rFonts w:cs="Arial"/>
          <w:b/>
        </w:rPr>
        <w:t xml:space="preserve">ecember 31, </w:t>
      </w:r>
      <w:r w:rsidR="00933990" w:rsidRPr="0098522D">
        <w:rPr>
          <w:rFonts w:cs="Arial"/>
          <w:b/>
        </w:rPr>
        <w:t>202</w:t>
      </w:r>
      <w:r w:rsidR="00531FE8">
        <w:rPr>
          <w:rFonts w:cs="Arial"/>
          <w:b/>
        </w:rPr>
        <w:t>4</w:t>
      </w:r>
    </w:p>
    <w:p w14:paraId="1841FD2A" w14:textId="7A7D5F6C" w:rsidR="00A824AF" w:rsidRDefault="00A824AF" w:rsidP="00A824AF">
      <w:pPr>
        <w:jc w:val="center"/>
        <w:rPr>
          <w:rFonts w:cs="Arial"/>
          <w:i/>
        </w:rPr>
      </w:pPr>
      <w:r w:rsidRPr="007C4A37">
        <w:rPr>
          <w:rFonts w:cs="Arial"/>
          <w:i/>
        </w:rPr>
        <w:t>(in Swiss francs)</w:t>
      </w:r>
    </w:p>
    <w:p w14:paraId="6A4B596D" w14:textId="08382A17" w:rsidR="001830B9" w:rsidRPr="005D7523" w:rsidRDefault="001830B9" w:rsidP="00BD078C">
      <w:pPr>
        <w:pStyle w:val="Caption"/>
      </w:pPr>
    </w:p>
    <w:p w14:paraId="3699F72B" w14:textId="6128699E" w:rsidR="006D30A8" w:rsidRPr="007B443E" w:rsidRDefault="006D30A8" w:rsidP="00F01218">
      <w:pPr>
        <w:jc w:val="center"/>
        <w:rPr>
          <w:rFonts w:cs="Arial"/>
          <w:i/>
        </w:rPr>
      </w:pPr>
    </w:p>
    <w:p w14:paraId="4BAC0E54" w14:textId="241BDCFA" w:rsidR="006D30A8" w:rsidRPr="007B443E" w:rsidRDefault="00DB5252" w:rsidP="006D30A8">
      <w:pPr>
        <w:rPr>
          <w:rFonts w:cs="Arial"/>
          <w:i/>
        </w:rPr>
      </w:pPr>
      <w:r w:rsidRPr="00DB5252">
        <w:rPr>
          <w:noProof/>
        </w:rPr>
        <w:drawing>
          <wp:inline distT="0" distB="0" distL="0" distR="0" wp14:anchorId="6803DB1E" wp14:editId="6BBF4736">
            <wp:extent cx="5947410" cy="6086475"/>
            <wp:effectExtent l="0" t="0" r="0" b="9525"/>
            <wp:docPr id="16832526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7410" cy="6086475"/>
                    </a:xfrm>
                    <a:prstGeom prst="rect">
                      <a:avLst/>
                    </a:prstGeom>
                    <a:noFill/>
                    <a:ln>
                      <a:noFill/>
                    </a:ln>
                  </pic:spPr>
                </pic:pic>
              </a:graphicData>
            </a:graphic>
          </wp:inline>
        </w:drawing>
      </w:r>
    </w:p>
    <w:p w14:paraId="22AE80F6" w14:textId="33EEE3B7" w:rsidR="005D3AB8" w:rsidRPr="0098522D" w:rsidRDefault="005D3AB8" w:rsidP="00A824AF">
      <w:pPr>
        <w:jc w:val="center"/>
        <w:rPr>
          <w:rFonts w:cs="Arial"/>
          <w:i/>
        </w:rPr>
      </w:pPr>
    </w:p>
    <w:p w14:paraId="33B05A10" w14:textId="77777777" w:rsidR="00A824AF" w:rsidRPr="007B443E" w:rsidRDefault="00A824AF" w:rsidP="005D7523">
      <w:pPr>
        <w:pStyle w:val="Caption"/>
      </w:pPr>
      <w:r w:rsidRPr="007B443E">
        <w:br w:type="page"/>
      </w:r>
    </w:p>
    <w:p w14:paraId="0F7BEBE3" w14:textId="77777777" w:rsidR="00706113" w:rsidRPr="0098522D" w:rsidRDefault="00706113" w:rsidP="000357D6">
      <w:pPr>
        <w:pStyle w:val="Heading1"/>
        <w:jc w:val="center"/>
        <w:rPr>
          <w:rFonts w:cs="Arial"/>
        </w:rPr>
      </w:pPr>
      <w:bookmarkStart w:id="21" w:name="_Toc336009926"/>
      <w:bookmarkStart w:id="22" w:name="_Toc457491912"/>
      <w:bookmarkStart w:id="23" w:name="_Toc84329889"/>
      <w:bookmarkStart w:id="24" w:name="_Toc198653933"/>
      <w:r w:rsidRPr="0098522D">
        <w:rPr>
          <w:rFonts w:cs="Arial"/>
        </w:rPr>
        <w:lastRenderedPageBreak/>
        <w:t>Statement IV:  statement of cash flow</w:t>
      </w:r>
      <w:bookmarkEnd w:id="21"/>
      <w:bookmarkEnd w:id="22"/>
      <w:bookmarkEnd w:id="23"/>
      <w:bookmarkEnd w:id="24"/>
    </w:p>
    <w:p w14:paraId="20150F4D" w14:textId="7DC16001" w:rsidR="00A824AF" w:rsidRPr="005976F2" w:rsidRDefault="00A824AF" w:rsidP="00A824AF">
      <w:pPr>
        <w:jc w:val="center"/>
        <w:rPr>
          <w:rFonts w:cs="Arial"/>
          <w:b/>
        </w:rPr>
      </w:pPr>
      <w:r w:rsidRPr="007C4A37">
        <w:rPr>
          <w:rFonts w:cs="Arial"/>
          <w:b/>
        </w:rPr>
        <w:t xml:space="preserve">for </w:t>
      </w:r>
      <w:r w:rsidR="006C7B75" w:rsidRPr="007C4A37">
        <w:rPr>
          <w:rFonts w:cs="Arial"/>
          <w:b/>
        </w:rPr>
        <w:t>the year ended Decembe</w:t>
      </w:r>
      <w:r w:rsidR="006C7B75" w:rsidRPr="00F76236">
        <w:rPr>
          <w:rFonts w:cs="Arial"/>
          <w:b/>
        </w:rPr>
        <w:t xml:space="preserve">r 31, </w:t>
      </w:r>
      <w:r w:rsidR="00933990" w:rsidRPr="005976F2">
        <w:rPr>
          <w:rFonts w:cs="Arial"/>
          <w:b/>
        </w:rPr>
        <w:t>202</w:t>
      </w:r>
      <w:r w:rsidR="00531FE8">
        <w:rPr>
          <w:rFonts w:cs="Arial"/>
          <w:b/>
        </w:rPr>
        <w:t>4</w:t>
      </w:r>
    </w:p>
    <w:p w14:paraId="62F8BA69" w14:textId="77777777" w:rsidR="00A824AF" w:rsidRPr="00352498" w:rsidRDefault="00A824AF" w:rsidP="00A824AF">
      <w:pPr>
        <w:jc w:val="center"/>
        <w:rPr>
          <w:rFonts w:cs="Arial"/>
          <w:i/>
        </w:rPr>
      </w:pPr>
      <w:r w:rsidRPr="00855138">
        <w:rPr>
          <w:rFonts w:cs="Arial"/>
          <w:i/>
        </w:rPr>
        <w:t>(in Swiss francs)</w:t>
      </w:r>
    </w:p>
    <w:p w14:paraId="7B144C3F" w14:textId="77777777" w:rsidR="00393B7B" w:rsidRPr="00BB2405" w:rsidRDefault="00393B7B" w:rsidP="00A824AF">
      <w:pPr>
        <w:jc w:val="center"/>
        <w:rPr>
          <w:rFonts w:cs="Arial"/>
          <w:i/>
        </w:rPr>
      </w:pPr>
    </w:p>
    <w:p w14:paraId="54BE01A0" w14:textId="041670DB" w:rsidR="00393B7B" w:rsidRPr="007B443E" w:rsidRDefault="00170616" w:rsidP="00F01218">
      <w:pPr>
        <w:jc w:val="center"/>
        <w:rPr>
          <w:rFonts w:cs="Arial"/>
          <w:i/>
        </w:rPr>
      </w:pPr>
      <w:r w:rsidRPr="00170616">
        <w:rPr>
          <w:noProof/>
        </w:rPr>
        <w:drawing>
          <wp:inline distT="0" distB="0" distL="0" distR="0" wp14:anchorId="11662147" wp14:editId="309F36E5">
            <wp:extent cx="6137910" cy="3128010"/>
            <wp:effectExtent l="0" t="0" r="0" b="0"/>
            <wp:docPr id="202811106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37910" cy="3128010"/>
                    </a:xfrm>
                    <a:prstGeom prst="rect">
                      <a:avLst/>
                    </a:prstGeom>
                    <a:noFill/>
                    <a:ln>
                      <a:noFill/>
                    </a:ln>
                  </pic:spPr>
                </pic:pic>
              </a:graphicData>
            </a:graphic>
          </wp:inline>
        </w:drawing>
      </w:r>
    </w:p>
    <w:p w14:paraId="185130F7" w14:textId="77777777" w:rsidR="00A824AF" w:rsidRPr="0098522D" w:rsidRDefault="00A824AF" w:rsidP="00A824AF">
      <w:pPr>
        <w:jc w:val="center"/>
        <w:rPr>
          <w:rFonts w:cs="Arial"/>
          <w:b/>
        </w:rPr>
      </w:pPr>
    </w:p>
    <w:p w14:paraId="7DD04566" w14:textId="77777777" w:rsidR="005D3AB8" w:rsidRPr="007C4A37" w:rsidRDefault="005D3AB8" w:rsidP="00A824AF">
      <w:pPr>
        <w:jc w:val="center"/>
        <w:rPr>
          <w:rFonts w:cs="Arial"/>
          <w:b/>
        </w:rPr>
      </w:pPr>
    </w:p>
    <w:p w14:paraId="3A0359CF" w14:textId="77777777" w:rsidR="005D3AB8" w:rsidRPr="00F76236" w:rsidRDefault="005D3AB8" w:rsidP="00A824AF">
      <w:pPr>
        <w:jc w:val="center"/>
        <w:rPr>
          <w:rFonts w:cs="Arial"/>
          <w:b/>
        </w:rPr>
      </w:pPr>
    </w:p>
    <w:p w14:paraId="2D992880" w14:textId="77777777" w:rsidR="006606EB" w:rsidRPr="005976F2" w:rsidRDefault="00A824AF" w:rsidP="006606EB">
      <w:pPr>
        <w:pStyle w:val="Heading1"/>
        <w:rPr>
          <w:rFonts w:cs="Arial"/>
        </w:rPr>
      </w:pPr>
      <w:r w:rsidRPr="005976F2">
        <w:rPr>
          <w:rFonts w:cs="Arial"/>
          <w:bCs/>
        </w:rPr>
        <w:t xml:space="preserve">  </w:t>
      </w:r>
      <w:r w:rsidRPr="005976F2">
        <w:rPr>
          <w:rFonts w:cs="Arial"/>
        </w:rPr>
        <w:t xml:space="preserve"> </w:t>
      </w:r>
    </w:p>
    <w:p w14:paraId="67B38938" w14:textId="77777777" w:rsidR="00706113" w:rsidRPr="005D7523" w:rsidRDefault="00A824AF" w:rsidP="000357D6">
      <w:pPr>
        <w:pStyle w:val="Caption"/>
        <w:jc w:val="center"/>
        <w:rPr>
          <w:rStyle w:val="Heading1Char"/>
          <w:b/>
          <w:sz w:val="20"/>
        </w:rPr>
      </w:pPr>
      <w:r w:rsidRPr="005D7523">
        <w:rPr>
          <w:sz w:val="20"/>
        </w:rPr>
        <w:br w:type="page"/>
      </w:r>
      <w:bookmarkStart w:id="25" w:name="_Toc336009927"/>
    </w:p>
    <w:p w14:paraId="6DA41790" w14:textId="42DB04F8" w:rsidR="00DE3D35" w:rsidRPr="005D7523" w:rsidRDefault="00E45EF0" w:rsidP="00DE3D35">
      <w:pPr>
        <w:pStyle w:val="Heading1"/>
        <w:jc w:val="center"/>
        <w:rPr>
          <w:rFonts w:cs="Arial"/>
        </w:rPr>
      </w:pPr>
      <w:bookmarkStart w:id="26" w:name="_Toc198653934"/>
      <w:r w:rsidRPr="005D7523">
        <w:rPr>
          <w:rFonts w:cs="Arial"/>
        </w:rPr>
        <w:lastRenderedPageBreak/>
        <w:t>STATEMENT V: STATEMENT OF</w:t>
      </w:r>
      <w:r w:rsidR="00DE3D35" w:rsidRPr="005D7523">
        <w:rPr>
          <w:rFonts w:cs="Arial"/>
        </w:rPr>
        <w:t xml:space="preserve"> COMPARISON OF BUDGET AND ACTUAL AMOUNTS</w:t>
      </w:r>
      <w:bookmarkEnd w:id="26"/>
      <w:r w:rsidR="00447B8A">
        <w:rPr>
          <w:rFonts w:cs="Arial"/>
        </w:rPr>
        <w:t xml:space="preserve"> </w:t>
      </w:r>
    </w:p>
    <w:p w14:paraId="4B28D092" w14:textId="02784636" w:rsidR="00A824AF" w:rsidRPr="0098522D" w:rsidRDefault="00A824AF" w:rsidP="00706113">
      <w:pPr>
        <w:jc w:val="center"/>
        <w:rPr>
          <w:rFonts w:cs="Arial"/>
          <w:b/>
        </w:rPr>
      </w:pPr>
      <w:r w:rsidRPr="007B443E">
        <w:rPr>
          <w:rFonts w:cs="Arial"/>
          <w:b/>
        </w:rPr>
        <w:t>for the year ended Dece</w:t>
      </w:r>
      <w:r w:rsidR="006C7B75" w:rsidRPr="007B443E">
        <w:rPr>
          <w:rFonts w:cs="Arial"/>
          <w:b/>
        </w:rPr>
        <w:t>mber 31, 20</w:t>
      </w:r>
      <w:r w:rsidR="00E45EF0" w:rsidRPr="0098522D">
        <w:rPr>
          <w:rFonts w:cs="Arial"/>
          <w:b/>
        </w:rPr>
        <w:t>2</w:t>
      </w:r>
      <w:r w:rsidR="00531FE8">
        <w:rPr>
          <w:rFonts w:cs="Arial"/>
          <w:b/>
        </w:rPr>
        <w:t>4</w:t>
      </w:r>
    </w:p>
    <w:p w14:paraId="77D6422F" w14:textId="3EF17416" w:rsidR="00A824AF" w:rsidRDefault="00A824AF" w:rsidP="00A824AF">
      <w:pPr>
        <w:jc w:val="center"/>
        <w:rPr>
          <w:rFonts w:cs="Arial"/>
          <w:i/>
        </w:rPr>
      </w:pPr>
      <w:r w:rsidRPr="007C4A37">
        <w:rPr>
          <w:rFonts w:cs="Arial"/>
          <w:i/>
        </w:rPr>
        <w:t>(in thousands of Swiss francs)</w:t>
      </w:r>
    </w:p>
    <w:p w14:paraId="50678F1C" w14:textId="77777777" w:rsidR="00E45414" w:rsidRDefault="00E45414" w:rsidP="00A824AF">
      <w:pPr>
        <w:jc w:val="center"/>
        <w:rPr>
          <w:rFonts w:cs="Arial"/>
          <w:i/>
        </w:rPr>
      </w:pPr>
    </w:p>
    <w:p w14:paraId="65040E95" w14:textId="7CC08C31" w:rsidR="00162492" w:rsidRDefault="00170616" w:rsidP="00F01218">
      <w:pPr>
        <w:jc w:val="center"/>
        <w:rPr>
          <w:rFonts w:cs="Arial"/>
          <w:i/>
        </w:rPr>
      </w:pPr>
      <w:r w:rsidRPr="00170616">
        <w:rPr>
          <w:noProof/>
        </w:rPr>
        <w:drawing>
          <wp:inline distT="0" distB="0" distL="0" distR="0" wp14:anchorId="4311CB58" wp14:editId="196C3FA9">
            <wp:extent cx="6036945" cy="4614545"/>
            <wp:effectExtent l="0" t="0" r="1905" b="0"/>
            <wp:docPr id="146099300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36945" cy="4614545"/>
                    </a:xfrm>
                    <a:prstGeom prst="rect">
                      <a:avLst/>
                    </a:prstGeom>
                    <a:noFill/>
                    <a:ln>
                      <a:noFill/>
                    </a:ln>
                  </pic:spPr>
                </pic:pic>
              </a:graphicData>
            </a:graphic>
          </wp:inline>
        </w:drawing>
      </w:r>
    </w:p>
    <w:p w14:paraId="33056CE1" w14:textId="5D7881D8" w:rsidR="00CE23D2" w:rsidRDefault="00CE23D2" w:rsidP="00A824AF">
      <w:pPr>
        <w:jc w:val="center"/>
        <w:rPr>
          <w:rFonts w:cs="Arial"/>
          <w:i/>
        </w:rPr>
      </w:pPr>
    </w:p>
    <w:p w14:paraId="731A2231" w14:textId="4C8BCD3E" w:rsidR="00CE23D2" w:rsidRPr="007C4A37" w:rsidRDefault="00CE23D2" w:rsidP="00A824AF">
      <w:pPr>
        <w:jc w:val="center"/>
        <w:rPr>
          <w:rFonts w:cs="Arial"/>
          <w:i/>
        </w:rPr>
      </w:pPr>
    </w:p>
    <w:p w14:paraId="7A5E9F91" w14:textId="77777777" w:rsidR="00E45EF0" w:rsidRPr="00F01218" w:rsidRDefault="00E45EF0" w:rsidP="00A824AF">
      <w:pPr>
        <w:rPr>
          <w:rFonts w:cs="Arial"/>
          <w:sz w:val="16"/>
          <w:szCs w:val="16"/>
        </w:rPr>
      </w:pPr>
    </w:p>
    <w:p w14:paraId="47E9BBE4" w14:textId="4D5C3251" w:rsidR="00D61512" w:rsidRPr="00F01218" w:rsidRDefault="00EC0F51" w:rsidP="00D90BBC">
      <w:pPr>
        <w:pStyle w:val="Default"/>
        <w:numPr>
          <w:ilvl w:val="0"/>
          <w:numId w:val="23"/>
        </w:numPr>
        <w:rPr>
          <w:sz w:val="16"/>
          <w:szCs w:val="16"/>
        </w:rPr>
      </w:pPr>
      <w:r w:rsidRPr="00F01218">
        <w:rPr>
          <w:sz w:val="16"/>
          <w:szCs w:val="16"/>
        </w:rPr>
        <w:t xml:space="preserve">Original Budget represents the budget of the first year of the approved Program and Budget for the 2024/25 biennium. </w:t>
      </w:r>
      <w:r w:rsidR="00D61512" w:rsidRPr="00F01218">
        <w:rPr>
          <w:sz w:val="16"/>
          <w:szCs w:val="16"/>
        </w:rPr>
        <w:t xml:space="preserve"> </w:t>
      </w:r>
    </w:p>
    <w:p w14:paraId="6CD9EDE5" w14:textId="65033739" w:rsidR="00D61512" w:rsidRPr="00F01218" w:rsidRDefault="00D61512" w:rsidP="00D61512">
      <w:pPr>
        <w:pStyle w:val="Default"/>
        <w:numPr>
          <w:ilvl w:val="0"/>
          <w:numId w:val="23"/>
        </w:numPr>
        <w:rPr>
          <w:sz w:val="16"/>
          <w:szCs w:val="16"/>
        </w:rPr>
      </w:pPr>
      <w:r w:rsidRPr="00F01218">
        <w:rPr>
          <w:sz w:val="16"/>
          <w:szCs w:val="16"/>
        </w:rPr>
        <w:t>Represents the difference between the final budget and actual income and expense on a comparable basis (before IPSAS adjustments) for the year ended December 31, 202</w:t>
      </w:r>
      <w:r w:rsidR="00EC0F51" w:rsidRPr="00F01218">
        <w:rPr>
          <w:sz w:val="16"/>
          <w:szCs w:val="16"/>
        </w:rPr>
        <w:t>4</w:t>
      </w:r>
      <w:r w:rsidRPr="00F01218">
        <w:rPr>
          <w:sz w:val="16"/>
          <w:szCs w:val="16"/>
        </w:rPr>
        <w:t xml:space="preserve">. </w:t>
      </w:r>
    </w:p>
    <w:p w14:paraId="7BFAEB82" w14:textId="476A71D4" w:rsidR="00D61512" w:rsidRPr="00F01218" w:rsidRDefault="00D61512" w:rsidP="00D90BBC">
      <w:pPr>
        <w:pStyle w:val="Default"/>
        <w:numPr>
          <w:ilvl w:val="0"/>
          <w:numId w:val="23"/>
        </w:numPr>
        <w:rPr>
          <w:sz w:val="16"/>
          <w:szCs w:val="16"/>
        </w:rPr>
      </w:pPr>
      <w:r w:rsidRPr="00F01218">
        <w:rPr>
          <w:color w:val="auto"/>
          <w:sz w:val="16"/>
          <w:szCs w:val="16"/>
        </w:rPr>
        <w:t xml:space="preserve">The IPSAS adjustments to the </w:t>
      </w:r>
      <w:r w:rsidR="00EC0F51" w:rsidRPr="00F01218">
        <w:rPr>
          <w:color w:val="auto"/>
          <w:sz w:val="16"/>
          <w:szCs w:val="16"/>
        </w:rPr>
        <w:t>surplus</w:t>
      </w:r>
      <w:r w:rsidR="005F759A" w:rsidRPr="00F01218">
        <w:rPr>
          <w:color w:val="auto"/>
          <w:sz w:val="16"/>
          <w:szCs w:val="16"/>
        </w:rPr>
        <w:t xml:space="preserve"> </w:t>
      </w:r>
      <w:r w:rsidRPr="00F01218">
        <w:rPr>
          <w:color w:val="auto"/>
          <w:sz w:val="16"/>
          <w:szCs w:val="16"/>
        </w:rPr>
        <w:t xml:space="preserve">are detailed in Note </w:t>
      </w:r>
      <w:r w:rsidR="00AD657D" w:rsidRPr="00F01218">
        <w:rPr>
          <w:color w:val="auto"/>
          <w:sz w:val="16"/>
          <w:szCs w:val="16"/>
        </w:rPr>
        <w:t>11</w:t>
      </w:r>
      <w:r w:rsidRPr="00F01218">
        <w:rPr>
          <w:color w:val="auto"/>
          <w:sz w:val="16"/>
          <w:szCs w:val="16"/>
        </w:rPr>
        <w:t xml:space="preserve"> of these financial statements.</w:t>
      </w:r>
      <w:r w:rsidRPr="00F01218">
        <w:rPr>
          <w:color w:val="FF0000"/>
          <w:sz w:val="16"/>
          <w:szCs w:val="16"/>
        </w:rPr>
        <w:t xml:space="preserve"> </w:t>
      </w:r>
    </w:p>
    <w:p w14:paraId="26607418" w14:textId="77777777" w:rsidR="007E35FA" w:rsidRDefault="007E35FA" w:rsidP="007E35FA">
      <w:pPr>
        <w:pStyle w:val="Default"/>
        <w:rPr>
          <w:color w:val="FF0000"/>
          <w:sz w:val="20"/>
          <w:szCs w:val="20"/>
        </w:rPr>
      </w:pPr>
    </w:p>
    <w:p w14:paraId="2D3E1A22" w14:textId="77777777" w:rsidR="007E35FA" w:rsidRDefault="007E35FA">
      <w:pPr>
        <w:jc w:val="left"/>
        <w:rPr>
          <w:rFonts w:cs="Arial"/>
          <w:b/>
          <w:caps/>
        </w:rPr>
      </w:pPr>
      <w:bookmarkStart w:id="27" w:name="_Toc109138977"/>
      <w:r>
        <w:rPr>
          <w:rFonts w:cs="Arial"/>
        </w:rPr>
        <w:br w:type="page"/>
      </w:r>
    </w:p>
    <w:p w14:paraId="0BA196A2" w14:textId="485125B4" w:rsidR="00B61C54" w:rsidRPr="00BB2405" w:rsidRDefault="00B61C54" w:rsidP="00B61C54">
      <w:pPr>
        <w:pStyle w:val="Heading1"/>
        <w:jc w:val="center"/>
        <w:rPr>
          <w:rFonts w:cs="Arial"/>
        </w:rPr>
      </w:pPr>
      <w:bookmarkStart w:id="28" w:name="_Toc336009929"/>
      <w:bookmarkStart w:id="29" w:name="_Toc457491914"/>
      <w:bookmarkStart w:id="30" w:name="_Toc84329891"/>
      <w:bookmarkStart w:id="31" w:name="_Toc198653935"/>
      <w:bookmarkEnd w:id="27"/>
      <w:bookmarkEnd w:id="25"/>
      <w:r w:rsidRPr="00352498">
        <w:rPr>
          <w:rFonts w:cs="Arial"/>
        </w:rPr>
        <w:lastRenderedPageBreak/>
        <w:t xml:space="preserve">Notes to the </w:t>
      </w:r>
      <w:r w:rsidRPr="00BB2405">
        <w:rPr>
          <w:rFonts w:cs="Arial"/>
        </w:rPr>
        <w:t>financial statements</w:t>
      </w:r>
      <w:bookmarkEnd w:id="28"/>
      <w:bookmarkEnd w:id="29"/>
      <w:bookmarkEnd w:id="30"/>
      <w:bookmarkEnd w:id="31"/>
    </w:p>
    <w:p w14:paraId="511C73AE" w14:textId="77777777" w:rsidR="00B61C54" w:rsidRPr="009B78B3" w:rsidRDefault="00B61C54" w:rsidP="00B61C54">
      <w:pPr>
        <w:rPr>
          <w:rFonts w:cs="Arial"/>
        </w:rPr>
      </w:pPr>
    </w:p>
    <w:p w14:paraId="4B8EC835" w14:textId="6EC97546" w:rsidR="00B61C54" w:rsidRPr="005D7523" w:rsidRDefault="00B61C54" w:rsidP="00B61C54">
      <w:pPr>
        <w:pStyle w:val="Heading2Notes"/>
        <w:rPr>
          <w:rFonts w:ascii="Arial" w:hAnsi="Arial" w:cs="Arial"/>
        </w:rPr>
      </w:pPr>
      <w:bookmarkStart w:id="32" w:name="_Toc336009930"/>
      <w:bookmarkStart w:id="33" w:name="_Toc457491915"/>
      <w:bookmarkStart w:id="34" w:name="_Toc84329892"/>
      <w:bookmarkStart w:id="35" w:name="_Toc198653936"/>
      <w:r w:rsidRPr="005D7523">
        <w:rPr>
          <w:rFonts w:ascii="Arial" w:hAnsi="Arial" w:cs="Arial"/>
        </w:rPr>
        <w:t>Note 1:</w:t>
      </w:r>
      <w:r w:rsidRPr="005D7523">
        <w:rPr>
          <w:rFonts w:ascii="Arial" w:hAnsi="Arial" w:cs="Arial"/>
        </w:rPr>
        <w:tab/>
        <w:t xml:space="preserve">Objectives, governance and budget of </w:t>
      </w:r>
      <w:r w:rsidR="001B35D6">
        <w:rPr>
          <w:rFonts w:ascii="Arial" w:hAnsi="Arial" w:cs="Arial"/>
        </w:rPr>
        <w:t>UPOV</w:t>
      </w:r>
      <w:bookmarkEnd w:id="32"/>
      <w:bookmarkEnd w:id="33"/>
      <w:bookmarkEnd w:id="34"/>
      <w:bookmarkEnd w:id="35"/>
    </w:p>
    <w:p w14:paraId="3FA3659B" w14:textId="77777777" w:rsidR="00B61C54" w:rsidRPr="007B443E" w:rsidRDefault="00B61C54" w:rsidP="00B61C54">
      <w:pPr>
        <w:rPr>
          <w:rFonts w:cs="Arial"/>
        </w:rPr>
      </w:pPr>
    </w:p>
    <w:p w14:paraId="7A7DC8AA" w14:textId="77777777" w:rsidR="00A824AF" w:rsidRPr="007C4A37" w:rsidRDefault="00A824AF" w:rsidP="009A1AA5">
      <w:pPr>
        <w:rPr>
          <w:rFonts w:cs="Arial"/>
        </w:rPr>
      </w:pPr>
      <w:r w:rsidRPr="0098522D">
        <w:rPr>
          <w:rFonts w:cs="Arial"/>
        </w:rPr>
        <w:t xml:space="preserve">The International Union for the Protection of New Varieties of Plants (UPOV) is an intergovernmental organization with headquarters in Geneva. UPOV’s mission is to provide and promote an effective system of plant variety protection, with the aim of encouraging the development </w:t>
      </w:r>
      <w:r w:rsidRPr="007C4A37">
        <w:rPr>
          <w:rFonts w:cs="Arial"/>
        </w:rPr>
        <w:t>of new varieties of plants, for the benefit of society.</w:t>
      </w:r>
    </w:p>
    <w:p w14:paraId="46882E66" w14:textId="77777777" w:rsidR="00A824AF" w:rsidRPr="00F76236" w:rsidRDefault="00A824AF" w:rsidP="00A824AF">
      <w:pPr>
        <w:rPr>
          <w:rFonts w:cs="Arial"/>
        </w:rPr>
      </w:pPr>
    </w:p>
    <w:p w14:paraId="7168D6A5" w14:textId="77777777" w:rsidR="00A824AF" w:rsidRPr="00855138" w:rsidRDefault="00A824AF" w:rsidP="00A824AF">
      <w:pPr>
        <w:rPr>
          <w:rFonts w:cs="Arial"/>
        </w:rPr>
      </w:pPr>
      <w:r w:rsidRPr="005976F2">
        <w:rPr>
          <w:rFonts w:cs="Arial"/>
        </w:rPr>
        <w:t>UPOV was established by the International Convention for the Protection of New Varieties of Plants (the UPOV Convention), which was signed in Paris in 1961. The Convention entered into force in 1968. It was revised in Geneva in 1972, 1978 and 1991. The 1991 Act entered into force on April 24, 1998. The main objectives of UPOV are, in accordance with the UPOV Convention, to:</w:t>
      </w:r>
    </w:p>
    <w:p w14:paraId="5DFF5EBE" w14:textId="77777777" w:rsidR="00A824AF" w:rsidRPr="00352498" w:rsidRDefault="00A824AF" w:rsidP="00A824AF">
      <w:pPr>
        <w:rPr>
          <w:rFonts w:cs="Arial"/>
        </w:rPr>
      </w:pPr>
    </w:p>
    <w:p w14:paraId="28E280F5" w14:textId="77777777" w:rsidR="00A824AF" w:rsidRPr="008E132D" w:rsidRDefault="00A824AF" w:rsidP="00A824AF">
      <w:pPr>
        <w:numPr>
          <w:ilvl w:val="0"/>
          <w:numId w:val="16"/>
        </w:numPr>
        <w:ind w:right="713"/>
        <w:rPr>
          <w:rFonts w:cs="Arial"/>
        </w:rPr>
      </w:pPr>
      <w:r w:rsidRPr="00BB2405">
        <w:rPr>
          <w:rFonts w:cs="Arial"/>
        </w:rPr>
        <w:t>provide and</w:t>
      </w:r>
      <w:r w:rsidRPr="008E132D">
        <w:rPr>
          <w:rFonts w:cs="Arial"/>
        </w:rPr>
        <w:t xml:space="preserve"> develop the legal, administrative and technical basis for international cooperation in plant variety protection;</w:t>
      </w:r>
    </w:p>
    <w:p w14:paraId="1479F9FE" w14:textId="77777777" w:rsidR="00A824AF" w:rsidRPr="009B78B3" w:rsidRDefault="00A824AF" w:rsidP="00A824AF">
      <w:pPr>
        <w:ind w:right="713"/>
        <w:rPr>
          <w:rFonts w:cs="Arial"/>
        </w:rPr>
      </w:pPr>
    </w:p>
    <w:p w14:paraId="26784796" w14:textId="77777777" w:rsidR="00A824AF" w:rsidRPr="009B78B3" w:rsidRDefault="00A824AF" w:rsidP="00A824AF">
      <w:pPr>
        <w:numPr>
          <w:ilvl w:val="0"/>
          <w:numId w:val="16"/>
        </w:numPr>
        <w:ind w:right="713"/>
        <w:rPr>
          <w:rFonts w:cs="Arial"/>
        </w:rPr>
      </w:pPr>
      <w:r w:rsidRPr="009B78B3">
        <w:rPr>
          <w:rFonts w:cs="Arial"/>
        </w:rPr>
        <w:t>assist States and organizations in the development of legislation and the implementation of an effective plant variety protection system; and</w:t>
      </w:r>
    </w:p>
    <w:p w14:paraId="6F5F15D0" w14:textId="77777777" w:rsidR="00A824AF" w:rsidRPr="009B78B3" w:rsidRDefault="00A824AF" w:rsidP="00A824AF">
      <w:pPr>
        <w:ind w:right="713"/>
        <w:rPr>
          <w:rFonts w:cs="Arial"/>
        </w:rPr>
      </w:pPr>
    </w:p>
    <w:p w14:paraId="2DD4C1FA" w14:textId="77777777" w:rsidR="00A824AF" w:rsidRPr="009B78B3" w:rsidRDefault="00A824AF" w:rsidP="00A824AF">
      <w:pPr>
        <w:numPr>
          <w:ilvl w:val="0"/>
          <w:numId w:val="16"/>
        </w:numPr>
        <w:ind w:right="713"/>
        <w:rPr>
          <w:rFonts w:cs="Arial"/>
        </w:rPr>
      </w:pPr>
      <w:r w:rsidRPr="009B78B3">
        <w:rPr>
          <w:rFonts w:cs="Arial"/>
        </w:rPr>
        <w:t>enhance public awareness and understanding of the UPOV system of plant variety protection.</w:t>
      </w:r>
    </w:p>
    <w:p w14:paraId="56225F92" w14:textId="77777777" w:rsidR="00A824AF" w:rsidRPr="009B78B3" w:rsidRDefault="00A824AF" w:rsidP="00A824AF">
      <w:pPr>
        <w:rPr>
          <w:rFonts w:cs="Arial"/>
        </w:rPr>
      </w:pPr>
    </w:p>
    <w:p w14:paraId="7FB95660" w14:textId="77777777" w:rsidR="00A824AF" w:rsidRPr="009B78B3" w:rsidRDefault="00A824AF" w:rsidP="00A824AF">
      <w:pPr>
        <w:rPr>
          <w:rFonts w:cs="Arial"/>
        </w:rPr>
      </w:pPr>
      <w:r w:rsidRPr="009B78B3">
        <w:rPr>
          <w:rFonts w:cs="Arial"/>
        </w:rPr>
        <w:t>In accordance with Article 25 of the 1991 Act and Article 15 of the 1978 Act, th</w:t>
      </w:r>
      <w:r w:rsidR="009A1AA5" w:rsidRPr="009B78B3">
        <w:rPr>
          <w:rFonts w:cs="Arial"/>
        </w:rPr>
        <w:t>e Council and the Office of the </w:t>
      </w:r>
      <w:r w:rsidRPr="009B78B3">
        <w:rPr>
          <w:rFonts w:cs="Arial"/>
        </w:rPr>
        <w:t>Union are the permanent organs of UPOV.</w:t>
      </w:r>
    </w:p>
    <w:p w14:paraId="0433A820" w14:textId="77777777" w:rsidR="00A824AF" w:rsidRPr="009B78B3" w:rsidRDefault="00A824AF" w:rsidP="00A824AF">
      <w:pPr>
        <w:rPr>
          <w:rFonts w:cs="Arial"/>
        </w:rPr>
      </w:pPr>
    </w:p>
    <w:p w14:paraId="4CC581DB" w14:textId="77777777" w:rsidR="00A824AF" w:rsidRPr="009B78B3" w:rsidRDefault="00A824AF" w:rsidP="00A824AF">
      <w:pPr>
        <w:rPr>
          <w:rFonts w:cs="Arial"/>
        </w:rPr>
      </w:pPr>
      <w:r w:rsidRPr="009B78B3">
        <w:rPr>
          <w:rFonts w:cs="Arial"/>
        </w:rPr>
        <w:t xml:space="preserve">The Council governs </w:t>
      </w:r>
      <w:proofErr w:type="gramStart"/>
      <w:r w:rsidRPr="009B78B3">
        <w:rPr>
          <w:rFonts w:cs="Arial"/>
        </w:rPr>
        <w:t>UPOV, and</w:t>
      </w:r>
      <w:proofErr w:type="gramEnd"/>
      <w:r w:rsidRPr="009B78B3">
        <w:rPr>
          <w:rFonts w:cs="Arial"/>
        </w:rPr>
        <w:t xml:space="preserve"> consists of the representatives of the members of the Union. The Council is responsible for safeguarding the interests and encouraging the development of UPOV, for adopting its program and budget and for taking all necessary decisions to ensure the efficient functioning of UPOV. The Council meets once a year in ordinary session. If necessary, it is convened to meet in extraordinary session. The Council has established a number of </w:t>
      </w:r>
      <w:r w:rsidR="003E5BC0" w:rsidRPr="009B78B3">
        <w:rPr>
          <w:rFonts w:cs="Arial"/>
        </w:rPr>
        <w:t>bodies, which meet once</w:t>
      </w:r>
      <w:r w:rsidRPr="009B78B3">
        <w:rPr>
          <w:rFonts w:cs="Arial"/>
        </w:rPr>
        <w:t xml:space="preserve"> a year. </w:t>
      </w:r>
    </w:p>
    <w:p w14:paraId="50138B2B" w14:textId="77777777" w:rsidR="00A824AF" w:rsidRPr="009B78B3" w:rsidRDefault="00A824AF" w:rsidP="00A824AF">
      <w:pPr>
        <w:rPr>
          <w:rFonts w:cs="Arial"/>
        </w:rPr>
      </w:pPr>
    </w:p>
    <w:p w14:paraId="18CEDDF2" w14:textId="77777777" w:rsidR="00A824AF" w:rsidRPr="009B78B3" w:rsidRDefault="00A824AF" w:rsidP="00A824AF">
      <w:pPr>
        <w:rPr>
          <w:rFonts w:cs="Arial"/>
        </w:rPr>
      </w:pPr>
      <w:r w:rsidRPr="009B78B3">
        <w:rPr>
          <w:rFonts w:cs="Arial"/>
        </w:rPr>
        <w:t xml:space="preserve">The Office of the Union is the Secretariat of </w:t>
      </w:r>
      <w:proofErr w:type="gramStart"/>
      <w:r w:rsidRPr="009B78B3">
        <w:rPr>
          <w:rFonts w:cs="Arial"/>
        </w:rPr>
        <w:t>UPOV, and</w:t>
      </w:r>
      <w:proofErr w:type="gramEnd"/>
      <w:r w:rsidRPr="009B78B3">
        <w:rPr>
          <w:rFonts w:cs="Arial"/>
        </w:rPr>
        <w:t xml:space="preserve"> is under the direction of the Secretary-General. The staff of the Office of UPOV, other than the Vice Secretary</w:t>
      </w:r>
      <w:r w:rsidRPr="009B78B3">
        <w:rPr>
          <w:rFonts w:cs="Arial"/>
        </w:rPr>
        <w:noBreakHyphen/>
        <w:t>General, is under the direction of the Vice Secretary-General of UPOV. In 1982 a cooperation agreement (the WIPO/UPOV Agreement) was signed between UPOV and the World Intellectual Property Organization (WIPO), a Specialized Agency of the United Nations. Under this Agreement, the Council of UPOV appoints as Secretary-General of UPOV the Director General of WIPO. The Vice Secretary</w:t>
      </w:r>
      <w:r w:rsidRPr="009B78B3">
        <w:rPr>
          <w:rFonts w:cs="Arial"/>
        </w:rPr>
        <w:noBreakHyphen/>
        <w:t>General is responsible for the delivery of the results indicated in the approved program and budget.  Under the Agreement, WIPO satisfies the requirements of UPOV with regard to provision of space, personnel administration, financial administration, procurement services and other administrative support. UPOV indemnifies WIPO for any service rendered to, and any expenditure incurred on behalf of, UPOV.</w:t>
      </w:r>
    </w:p>
    <w:p w14:paraId="532540EA" w14:textId="77777777" w:rsidR="00A824AF" w:rsidRPr="009B78B3" w:rsidRDefault="00A824AF" w:rsidP="00A824AF">
      <w:pPr>
        <w:rPr>
          <w:rFonts w:cs="Arial"/>
        </w:rPr>
      </w:pPr>
    </w:p>
    <w:p w14:paraId="57382D18" w14:textId="203463DF" w:rsidR="00A824AF" w:rsidRPr="009B78B3" w:rsidRDefault="00A824AF" w:rsidP="00A824AF">
      <w:pPr>
        <w:rPr>
          <w:rFonts w:cs="Arial"/>
        </w:rPr>
      </w:pPr>
      <w:r w:rsidRPr="009B78B3">
        <w:rPr>
          <w:rFonts w:cs="Arial"/>
        </w:rPr>
        <w:t xml:space="preserve">UPOV is </w:t>
      </w:r>
      <w:r w:rsidR="003E5BC0" w:rsidRPr="009B78B3">
        <w:rPr>
          <w:rFonts w:cs="Arial"/>
        </w:rPr>
        <w:t xml:space="preserve">predominantly </w:t>
      </w:r>
      <w:r w:rsidRPr="009B78B3">
        <w:rPr>
          <w:rFonts w:cs="Arial"/>
        </w:rPr>
        <w:t xml:space="preserve">funded by contributions and extrabudgetary funds (funds in trust) from members of the Union. UPOV operates within the framework of a biennial program and budget. The proposed program and budget covers estimates for income and expenditure for the financial period to which it relates. It is submitted by the Secretary-General to the Consultative Committee for discussion, comments and recommendations, including possible amendments. The Council adopts the program and budget after consideration of the proposed program and budget and the recommendations of the Consultative Committee.  </w:t>
      </w:r>
    </w:p>
    <w:p w14:paraId="2126D4A0" w14:textId="77777777" w:rsidR="00A824AF" w:rsidRPr="009B78B3" w:rsidRDefault="00A824AF" w:rsidP="00A824AF">
      <w:pPr>
        <w:rPr>
          <w:rFonts w:cs="Arial"/>
        </w:rPr>
      </w:pPr>
    </w:p>
    <w:p w14:paraId="69B7CEF8" w14:textId="77777777" w:rsidR="00A824AF" w:rsidRPr="009B78B3" w:rsidRDefault="00A824AF" w:rsidP="00A824AF">
      <w:pPr>
        <w:rPr>
          <w:rFonts w:cs="Arial"/>
          <w:b/>
          <w:bCs/>
          <w:caps/>
        </w:rPr>
      </w:pPr>
      <w:r w:rsidRPr="009B78B3">
        <w:rPr>
          <w:rFonts w:cs="Arial"/>
          <w:b/>
          <w:bCs/>
          <w:caps/>
        </w:rPr>
        <w:br w:type="page"/>
      </w:r>
    </w:p>
    <w:p w14:paraId="4B8BFFEC" w14:textId="77777777" w:rsidR="00A824AF" w:rsidRPr="005D7523" w:rsidRDefault="009A1AA5" w:rsidP="009A1AA5">
      <w:pPr>
        <w:pStyle w:val="Heading2Notes"/>
        <w:rPr>
          <w:rFonts w:ascii="Arial" w:hAnsi="Arial" w:cs="Arial"/>
        </w:rPr>
      </w:pPr>
      <w:bookmarkStart w:id="36" w:name="_Toc84329893"/>
      <w:bookmarkStart w:id="37" w:name="_Toc198653937"/>
      <w:r w:rsidRPr="005D7523">
        <w:rPr>
          <w:rFonts w:ascii="Arial" w:hAnsi="Arial" w:cs="Arial"/>
        </w:rPr>
        <w:lastRenderedPageBreak/>
        <w:t xml:space="preserve">Note </w:t>
      </w:r>
      <w:r w:rsidR="00A824AF" w:rsidRPr="005D7523">
        <w:rPr>
          <w:rFonts w:ascii="Arial" w:hAnsi="Arial" w:cs="Arial"/>
        </w:rPr>
        <w:t>2:</w:t>
      </w:r>
      <w:r w:rsidR="00A824AF" w:rsidRPr="005D7523">
        <w:rPr>
          <w:rFonts w:ascii="Arial" w:hAnsi="Arial" w:cs="Arial"/>
        </w:rPr>
        <w:tab/>
      </w:r>
      <w:r w:rsidRPr="005D7523">
        <w:rPr>
          <w:rFonts w:ascii="Arial" w:hAnsi="Arial" w:cs="Arial"/>
        </w:rPr>
        <w:t>Significant accounting policies</w:t>
      </w:r>
      <w:bookmarkEnd w:id="36"/>
      <w:bookmarkEnd w:id="37"/>
    </w:p>
    <w:p w14:paraId="54E5D5ED" w14:textId="77777777" w:rsidR="009A1AA5" w:rsidRPr="007B443E" w:rsidRDefault="009A1AA5" w:rsidP="00A824AF">
      <w:pPr>
        <w:rPr>
          <w:rFonts w:cs="Arial"/>
          <w:b/>
        </w:rPr>
      </w:pPr>
    </w:p>
    <w:p w14:paraId="104CD318" w14:textId="77777777" w:rsidR="00A824AF" w:rsidRPr="0098522D" w:rsidRDefault="00A824AF" w:rsidP="00A824AF">
      <w:pPr>
        <w:rPr>
          <w:rFonts w:cs="Arial"/>
          <w:b/>
        </w:rPr>
      </w:pPr>
      <w:r w:rsidRPr="0098522D">
        <w:rPr>
          <w:rFonts w:cs="Arial"/>
          <w:b/>
        </w:rPr>
        <w:t>Basis of Preparation</w:t>
      </w:r>
    </w:p>
    <w:p w14:paraId="6E4B0C11" w14:textId="77777777" w:rsidR="00A824AF" w:rsidRPr="007C4A37" w:rsidRDefault="00A824AF" w:rsidP="00A824AF">
      <w:pPr>
        <w:rPr>
          <w:rFonts w:cs="Arial"/>
          <w:b/>
        </w:rPr>
      </w:pPr>
    </w:p>
    <w:p w14:paraId="501AEBE6" w14:textId="77777777" w:rsidR="00A824AF" w:rsidRPr="0038775D" w:rsidRDefault="00A824AF">
      <w:pPr>
        <w:pStyle w:val="Style3"/>
        <w:spacing w:after="0"/>
        <w:rPr>
          <w:rFonts w:cs="Arial"/>
          <w:sz w:val="20"/>
        </w:rPr>
      </w:pPr>
      <w:r w:rsidRPr="0038775D">
        <w:rPr>
          <w:rFonts w:cs="Arial"/>
          <w:sz w:val="20"/>
        </w:rPr>
        <w:t xml:space="preserve">These financial statements have been prepared in accordance with and comply with International Public Sector Accounting Standards (IPSAS). The financial statements are presented in Swiss francs, which is the reporting and functional currency of UPOV. The accounting policies have been applied consistently to all years presented. </w:t>
      </w:r>
    </w:p>
    <w:p w14:paraId="33D8BCFC" w14:textId="77777777" w:rsidR="00A824AF" w:rsidRPr="0038775D" w:rsidRDefault="00A824AF">
      <w:pPr>
        <w:pStyle w:val="Style3"/>
        <w:spacing w:after="0"/>
        <w:rPr>
          <w:rFonts w:cs="Arial"/>
          <w:sz w:val="20"/>
        </w:rPr>
      </w:pPr>
    </w:p>
    <w:p w14:paraId="2E30021A" w14:textId="337C4FED" w:rsidR="002564D5" w:rsidRDefault="00A824AF" w:rsidP="002564D5">
      <w:pPr>
        <w:pStyle w:val="Style3"/>
        <w:spacing w:after="0"/>
        <w:rPr>
          <w:sz w:val="20"/>
        </w:rPr>
      </w:pPr>
      <w:r w:rsidRPr="0038775D">
        <w:rPr>
          <w:rFonts w:cs="Arial"/>
          <w:sz w:val="20"/>
        </w:rPr>
        <w:t xml:space="preserve">The financial statements have been prepared on the basis of historical cost, unless stated otherwise. The statement of cash flow is prepared using the indirect method. The financial statements are prepared on an accrual and going-concern basis. </w:t>
      </w:r>
      <w:r w:rsidR="002564D5" w:rsidRPr="00A777BF">
        <w:rPr>
          <w:sz w:val="20"/>
        </w:rPr>
        <w:t xml:space="preserve">The statement of financial position shows a negative net asset balance as </w:t>
      </w:r>
      <w:proofErr w:type="gramStart"/>
      <w:r w:rsidR="002564D5" w:rsidRPr="00A777BF">
        <w:rPr>
          <w:sz w:val="20"/>
        </w:rPr>
        <w:t>at</w:t>
      </w:r>
      <w:proofErr w:type="gramEnd"/>
      <w:r w:rsidR="002564D5" w:rsidRPr="00A777BF">
        <w:rPr>
          <w:sz w:val="20"/>
        </w:rPr>
        <w:t xml:space="preserve"> December 31, 202</w:t>
      </w:r>
      <w:r w:rsidR="003F2E24">
        <w:rPr>
          <w:sz w:val="20"/>
        </w:rPr>
        <w:t>4</w:t>
      </w:r>
      <w:r w:rsidR="002564D5" w:rsidRPr="00A777BF">
        <w:rPr>
          <w:sz w:val="20"/>
        </w:rPr>
        <w:t xml:space="preserve">, </w:t>
      </w:r>
      <w:r w:rsidR="00142F20">
        <w:rPr>
          <w:sz w:val="20"/>
        </w:rPr>
        <w:t>which</w:t>
      </w:r>
      <w:r w:rsidR="002564D5" w:rsidRPr="00A777BF">
        <w:rPr>
          <w:sz w:val="20"/>
        </w:rPr>
        <w:t xml:space="preserve"> is due to an increase in long-term employee benefit liabilities. This does not affect UPOV’s ability to continue as a going concern. UPOV’s Council has approved the Program and Budget of the Union for the 202</w:t>
      </w:r>
      <w:r w:rsidR="002564D5">
        <w:rPr>
          <w:sz w:val="20"/>
        </w:rPr>
        <w:t>4</w:t>
      </w:r>
      <w:r w:rsidR="002564D5" w:rsidRPr="00A777BF">
        <w:rPr>
          <w:sz w:val="20"/>
        </w:rPr>
        <w:t>-202</w:t>
      </w:r>
      <w:r w:rsidR="002564D5">
        <w:rPr>
          <w:sz w:val="20"/>
        </w:rPr>
        <w:t>5</w:t>
      </w:r>
      <w:r w:rsidR="002564D5" w:rsidRPr="00A777BF">
        <w:rPr>
          <w:sz w:val="20"/>
        </w:rPr>
        <w:t xml:space="preserve"> Biennium and there is no intention to change UPOV’s activities.</w:t>
      </w:r>
    </w:p>
    <w:p w14:paraId="795E562D" w14:textId="77777777" w:rsidR="00EC55DF" w:rsidRDefault="00EC55DF" w:rsidP="002564D5">
      <w:pPr>
        <w:pStyle w:val="Style3"/>
        <w:spacing w:after="0"/>
        <w:rPr>
          <w:sz w:val="20"/>
        </w:rPr>
      </w:pPr>
    </w:p>
    <w:p w14:paraId="5C98B2DF" w14:textId="77777777" w:rsidR="00EC55DF" w:rsidRPr="00101170" w:rsidRDefault="00EC55DF" w:rsidP="00EC55DF">
      <w:pPr>
        <w:pStyle w:val="Default"/>
        <w:jc w:val="both"/>
        <w:rPr>
          <w:sz w:val="20"/>
          <w:szCs w:val="20"/>
        </w:rPr>
      </w:pPr>
      <w:r w:rsidRPr="00101170">
        <w:rPr>
          <w:sz w:val="20"/>
          <w:szCs w:val="20"/>
        </w:rPr>
        <w:t>IPSAS 43</w:t>
      </w:r>
      <w:r>
        <w:rPr>
          <w:sz w:val="20"/>
          <w:szCs w:val="20"/>
        </w:rPr>
        <w:t xml:space="preserve"> </w:t>
      </w:r>
      <w:r w:rsidRPr="00101170">
        <w:rPr>
          <w:i/>
          <w:iCs/>
          <w:sz w:val="20"/>
          <w:szCs w:val="20"/>
        </w:rPr>
        <w:t>Leases</w:t>
      </w:r>
      <w:r>
        <w:rPr>
          <w:i/>
          <w:iCs/>
          <w:sz w:val="20"/>
          <w:szCs w:val="20"/>
        </w:rPr>
        <w:t>,</w:t>
      </w:r>
      <w:r w:rsidRPr="00101170">
        <w:rPr>
          <w:i/>
          <w:iCs/>
          <w:sz w:val="20"/>
          <w:szCs w:val="20"/>
        </w:rPr>
        <w:t xml:space="preserve"> </w:t>
      </w:r>
      <w:r w:rsidRPr="00101170">
        <w:rPr>
          <w:sz w:val="20"/>
          <w:szCs w:val="20"/>
        </w:rPr>
        <w:t>was published in January 2022 with an effective date of January 1, 2025.</w:t>
      </w:r>
      <w:r>
        <w:rPr>
          <w:sz w:val="20"/>
          <w:szCs w:val="20"/>
        </w:rPr>
        <w:t xml:space="preserve"> This standard does not have an impact on UPOV’s financial statements.</w:t>
      </w:r>
      <w:r w:rsidRPr="00101170">
        <w:rPr>
          <w:sz w:val="20"/>
          <w:szCs w:val="20"/>
        </w:rPr>
        <w:t xml:space="preserve"> </w:t>
      </w:r>
    </w:p>
    <w:p w14:paraId="632F5F97" w14:textId="77777777" w:rsidR="00D37BAB" w:rsidRPr="00101170" w:rsidRDefault="00D37BAB" w:rsidP="00C21351">
      <w:pPr>
        <w:pStyle w:val="Default"/>
        <w:jc w:val="both"/>
        <w:rPr>
          <w:sz w:val="20"/>
          <w:szCs w:val="20"/>
        </w:rPr>
      </w:pPr>
    </w:p>
    <w:p w14:paraId="215EE175" w14:textId="2926904D" w:rsidR="00101170" w:rsidRDefault="00D37BAB" w:rsidP="00394906">
      <w:proofErr w:type="gramStart"/>
      <w:r w:rsidRPr="00101170">
        <w:t xml:space="preserve">IPSAS 44 </w:t>
      </w:r>
      <w:r w:rsidRPr="00101170">
        <w:rPr>
          <w:i/>
          <w:iCs/>
        </w:rPr>
        <w:t>Non-Current Assets Held for Sale and Discontinued Operations</w:t>
      </w:r>
      <w:r w:rsidRPr="00101170">
        <w:t>,</w:t>
      </w:r>
      <w:proofErr w:type="gramEnd"/>
      <w:r w:rsidRPr="00101170">
        <w:t xml:space="preserve"> was published in May 2022 with an implementation date of January 1, 2025.</w:t>
      </w:r>
      <w:r>
        <w:t xml:space="preserve"> </w:t>
      </w:r>
      <w:r w:rsidR="003B5781" w:rsidRPr="003B5781">
        <w:t xml:space="preserve">This standard has been applied by </w:t>
      </w:r>
      <w:r w:rsidR="003B5781">
        <w:t>UPOV</w:t>
      </w:r>
      <w:r w:rsidR="003B5781" w:rsidRPr="003B5781">
        <w:t xml:space="preserve"> in 2024 and does not impact</w:t>
      </w:r>
      <w:r w:rsidR="003B5781">
        <w:t xml:space="preserve"> </w:t>
      </w:r>
      <w:r w:rsidR="00273506">
        <w:t>UPOV’s</w:t>
      </w:r>
      <w:r w:rsidR="003B5781">
        <w:t xml:space="preserve"> </w:t>
      </w:r>
      <w:r w:rsidR="003B5781" w:rsidRPr="003B5781">
        <w:t>financial statements.</w:t>
      </w:r>
    </w:p>
    <w:p w14:paraId="4582904A" w14:textId="77777777" w:rsidR="003B5781" w:rsidRDefault="003B5781" w:rsidP="00394906"/>
    <w:p w14:paraId="677C1053" w14:textId="7A3D6D50" w:rsidR="004A7416" w:rsidRDefault="00101170" w:rsidP="00394906">
      <w:r>
        <w:rPr>
          <w:szCs w:val="18"/>
        </w:rPr>
        <w:t xml:space="preserve">IPSAS 45 </w:t>
      </w:r>
      <w:r>
        <w:rPr>
          <w:i/>
          <w:szCs w:val="18"/>
        </w:rPr>
        <w:t>Property, Plant, and Equipment</w:t>
      </w:r>
      <w:r>
        <w:rPr>
          <w:szCs w:val="18"/>
        </w:rPr>
        <w:t xml:space="preserve">, was published in May 2023 with an implementation date of January 1, 2025. </w:t>
      </w:r>
      <w:r w:rsidR="003B5781" w:rsidRPr="003B5781">
        <w:t xml:space="preserve">This standard has been applied by </w:t>
      </w:r>
      <w:r w:rsidR="003B5781">
        <w:t>UPOV</w:t>
      </w:r>
      <w:r w:rsidR="003B5781" w:rsidRPr="003B5781">
        <w:t xml:space="preserve"> in 2024 and does not impact </w:t>
      </w:r>
      <w:r w:rsidR="00273506">
        <w:t>UPOV’s</w:t>
      </w:r>
      <w:r w:rsidR="003B5781" w:rsidRPr="003B5781">
        <w:t xml:space="preserve"> financial statements.</w:t>
      </w:r>
      <w:r w:rsidR="004A7416">
        <w:t xml:space="preserve"> </w:t>
      </w:r>
    </w:p>
    <w:p w14:paraId="3B94AC79" w14:textId="1D8B3F02" w:rsidR="00101170" w:rsidRDefault="00101170" w:rsidP="00394906">
      <w:pPr>
        <w:rPr>
          <w:szCs w:val="18"/>
        </w:rPr>
      </w:pPr>
    </w:p>
    <w:p w14:paraId="3B8D49A5" w14:textId="1344B4FA" w:rsidR="003B5781" w:rsidRDefault="00101170" w:rsidP="00394906">
      <w:r>
        <w:rPr>
          <w:szCs w:val="18"/>
        </w:rPr>
        <w:t xml:space="preserve">IPSAS 46 </w:t>
      </w:r>
      <w:r>
        <w:rPr>
          <w:i/>
          <w:szCs w:val="18"/>
        </w:rPr>
        <w:t>Measurement</w:t>
      </w:r>
      <w:r>
        <w:rPr>
          <w:szCs w:val="18"/>
        </w:rPr>
        <w:t xml:space="preserve">, was published in May 2023 with an implementation date of January 1, 2025. </w:t>
      </w:r>
      <w:r w:rsidR="003B5781" w:rsidRPr="003B5781">
        <w:t xml:space="preserve">This standard has been applied by </w:t>
      </w:r>
      <w:r w:rsidR="003B5781">
        <w:t>UPOV</w:t>
      </w:r>
      <w:r w:rsidR="003B5781" w:rsidRPr="003B5781">
        <w:t xml:space="preserve"> in 2024 and does not impact </w:t>
      </w:r>
      <w:r w:rsidR="001344C2">
        <w:t xml:space="preserve">UPOV’s </w:t>
      </w:r>
      <w:r w:rsidR="003B5781" w:rsidRPr="003B5781">
        <w:t>financial statements.</w:t>
      </w:r>
      <w:r w:rsidR="003B5781">
        <w:t xml:space="preserve"> </w:t>
      </w:r>
    </w:p>
    <w:p w14:paraId="6A9F9EB9" w14:textId="364F0CB8" w:rsidR="00101170" w:rsidRDefault="00101170" w:rsidP="00394906">
      <w:pPr>
        <w:rPr>
          <w:szCs w:val="18"/>
        </w:rPr>
      </w:pPr>
    </w:p>
    <w:p w14:paraId="08990D0E" w14:textId="03E7EF9E" w:rsidR="00101170" w:rsidRDefault="00101170" w:rsidP="00394906">
      <w:pPr>
        <w:rPr>
          <w:szCs w:val="18"/>
        </w:rPr>
      </w:pPr>
      <w:r>
        <w:rPr>
          <w:szCs w:val="18"/>
        </w:rPr>
        <w:t xml:space="preserve">IPSAS 47 </w:t>
      </w:r>
      <w:r>
        <w:rPr>
          <w:i/>
          <w:szCs w:val="18"/>
        </w:rPr>
        <w:t>Revenue</w:t>
      </w:r>
      <w:r>
        <w:rPr>
          <w:szCs w:val="18"/>
        </w:rPr>
        <w:t xml:space="preserve">, was published in May 2023 with an implementation date of January 1, 2026. </w:t>
      </w:r>
      <w:r w:rsidR="004A7416">
        <w:rPr>
          <w:szCs w:val="18"/>
        </w:rPr>
        <w:t>UPOV</w:t>
      </w:r>
      <w:r>
        <w:rPr>
          <w:szCs w:val="18"/>
        </w:rPr>
        <w:t xml:space="preserve"> is currently analyzing the impacts of this standard.</w:t>
      </w:r>
    </w:p>
    <w:p w14:paraId="72969080" w14:textId="77777777" w:rsidR="00101170" w:rsidRDefault="00101170" w:rsidP="00394906"/>
    <w:p w14:paraId="1532641B" w14:textId="386D52B5" w:rsidR="00101170" w:rsidRDefault="00101170" w:rsidP="00394906">
      <w:pPr>
        <w:rPr>
          <w:szCs w:val="18"/>
        </w:rPr>
      </w:pPr>
      <w:r>
        <w:rPr>
          <w:szCs w:val="18"/>
        </w:rPr>
        <w:t xml:space="preserve">IPSAS 48 </w:t>
      </w:r>
      <w:r>
        <w:rPr>
          <w:i/>
          <w:szCs w:val="18"/>
        </w:rPr>
        <w:t>Transfer Expenses</w:t>
      </w:r>
      <w:r>
        <w:rPr>
          <w:szCs w:val="18"/>
        </w:rPr>
        <w:t xml:space="preserve">, was published in May 2023 with an implementation date of January 1, 2026. </w:t>
      </w:r>
      <w:r w:rsidR="004A7416">
        <w:rPr>
          <w:szCs w:val="18"/>
        </w:rPr>
        <w:t>UPOV</w:t>
      </w:r>
      <w:r>
        <w:rPr>
          <w:szCs w:val="18"/>
        </w:rPr>
        <w:t xml:space="preserve"> is currently analyzing the impacts of this standard.</w:t>
      </w:r>
    </w:p>
    <w:p w14:paraId="2DFC208B" w14:textId="77777777" w:rsidR="00101170" w:rsidRDefault="00101170" w:rsidP="00394906"/>
    <w:p w14:paraId="16A70375" w14:textId="594F21A3" w:rsidR="00101170" w:rsidRDefault="00101170" w:rsidP="00394906">
      <w:pPr>
        <w:rPr>
          <w:szCs w:val="18"/>
        </w:rPr>
      </w:pPr>
      <w:r>
        <w:rPr>
          <w:szCs w:val="18"/>
        </w:rPr>
        <w:t xml:space="preserve">IPSAS 49 </w:t>
      </w:r>
      <w:r>
        <w:rPr>
          <w:i/>
          <w:szCs w:val="18"/>
        </w:rPr>
        <w:t>Retirement Benefit Plans</w:t>
      </w:r>
      <w:r>
        <w:rPr>
          <w:szCs w:val="18"/>
        </w:rPr>
        <w:t xml:space="preserve">, was published in November 2023 with an implementation date of January 1, 2026. It is not expected that this standard will impact </w:t>
      </w:r>
      <w:r w:rsidR="00273506">
        <w:rPr>
          <w:szCs w:val="18"/>
        </w:rPr>
        <w:t xml:space="preserve">UPOV’s </w:t>
      </w:r>
      <w:r>
        <w:rPr>
          <w:szCs w:val="18"/>
        </w:rPr>
        <w:t>financial statements.</w:t>
      </w:r>
    </w:p>
    <w:p w14:paraId="7FC6A404" w14:textId="77777777" w:rsidR="003B5781" w:rsidRDefault="003B5781" w:rsidP="00394906">
      <w:pPr>
        <w:rPr>
          <w:szCs w:val="18"/>
        </w:rPr>
      </w:pPr>
    </w:p>
    <w:p w14:paraId="0A1FD63D" w14:textId="131AA84F" w:rsidR="003B5781" w:rsidRDefault="003B5781" w:rsidP="00394906">
      <w:r w:rsidRPr="003B5781">
        <w:t xml:space="preserve">IPSAS 50 </w:t>
      </w:r>
      <w:r w:rsidRPr="003B5781">
        <w:rPr>
          <w:i/>
          <w:iCs/>
        </w:rPr>
        <w:t xml:space="preserve">Exploration for and Evaluation of Mineral Resources, </w:t>
      </w:r>
      <w:r w:rsidRPr="003B5781">
        <w:t xml:space="preserve">was published in November 2024 with an implementation date of January 1, 2027. It is not expected that this standard will impact </w:t>
      </w:r>
      <w:r w:rsidR="00273506">
        <w:t xml:space="preserve">UPOV’s </w:t>
      </w:r>
      <w:r w:rsidRPr="003B5781">
        <w:t xml:space="preserve">financial statements. </w:t>
      </w:r>
    </w:p>
    <w:p w14:paraId="7F3E435B" w14:textId="77777777" w:rsidR="003B5781" w:rsidRPr="003B5781" w:rsidRDefault="003B5781" w:rsidP="00394906"/>
    <w:p w14:paraId="4F8AABF5" w14:textId="0715BC4C" w:rsidR="003B5781" w:rsidRPr="00954F47" w:rsidRDefault="003B5781" w:rsidP="00394906">
      <w:r w:rsidRPr="003B5781">
        <w:t xml:space="preserve">Amendments to IPSAS 43, IPSAS 47 and IPSAS 48, </w:t>
      </w:r>
      <w:r w:rsidRPr="003B5781">
        <w:rPr>
          <w:i/>
          <w:iCs/>
        </w:rPr>
        <w:t>Concessionary Leases and Other Arrangements Conveying Rights Over Assets</w:t>
      </w:r>
      <w:r w:rsidRPr="003B5781">
        <w:t xml:space="preserve">, were published in October 2024 with an implementation date of January 1, 2027. </w:t>
      </w:r>
      <w:r>
        <w:t>UPOV</w:t>
      </w:r>
      <w:r w:rsidRPr="003B5781">
        <w:t xml:space="preserve"> is currently analyzing the impacts of these amendments</w:t>
      </w:r>
      <w:r>
        <w:t>.</w:t>
      </w:r>
    </w:p>
    <w:p w14:paraId="5B4FED59" w14:textId="77777777" w:rsidR="00D74D5A" w:rsidRPr="007C4A37" w:rsidRDefault="00D74D5A" w:rsidP="00A824AF">
      <w:pPr>
        <w:rPr>
          <w:rFonts w:cs="Arial"/>
          <w:b/>
        </w:rPr>
      </w:pPr>
    </w:p>
    <w:p w14:paraId="0B4356DE" w14:textId="77777777" w:rsidR="00A824AF" w:rsidRPr="005976F2" w:rsidRDefault="00A824AF" w:rsidP="00A824AF">
      <w:pPr>
        <w:rPr>
          <w:rFonts w:cs="Arial"/>
          <w:b/>
        </w:rPr>
      </w:pPr>
      <w:r w:rsidRPr="00F76236">
        <w:rPr>
          <w:rFonts w:cs="Arial"/>
          <w:b/>
        </w:rPr>
        <w:t>Foreign Currency</w:t>
      </w:r>
    </w:p>
    <w:p w14:paraId="31684BEE" w14:textId="77777777" w:rsidR="00A824AF" w:rsidRPr="00855138" w:rsidRDefault="00A824AF" w:rsidP="00A824AF">
      <w:pPr>
        <w:rPr>
          <w:rFonts w:cs="Arial"/>
          <w:b/>
        </w:rPr>
      </w:pPr>
    </w:p>
    <w:p w14:paraId="0935B5AB" w14:textId="77777777" w:rsidR="00A824AF" w:rsidRPr="0038775D" w:rsidRDefault="00A824AF" w:rsidP="00A824AF">
      <w:pPr>
        <w:pStyle w:val="Style3"/>
        <w:spacing w:after="0"/>
        <w:rPr>
          <w:rFonts w:cs="Arial"/>
          <w:sz w:val="20"/>
        </w:rPr>
      </w:pPr>
      <w:r w:rsidRPr="0038775D">
        <w:rPr>
          <w:rFonts w:cs="Arial"/>
          <w:sz w:val="20"/>
        </w:rPr>
        <w:t>The functional currency of UPOV is the Swiss franc and these financial statements are presented in that currency.  All transactions occurring in other currencies are translated into Swiss francs using the United Nations Operational Rates of Exchange (UNORE) which represent those prevailing at the date of the transactions.  Both realized and unrealized gains and losses resulting from the settlement of such transactions and from the translation at the reporting date of assets and liabilities denominated in currencies other than UPOV’s functional currency are recognized in the Statement of Financial Performance.</w:t>
      </w:r>
    </w:p>
    <w:p w14:paraId="6C870A2E" w14:textId="77777777" w:rsidR="00716BA5" w:rsidRPr="0038775D" w:rsidRDefault="00716BA5" w:rsidP="00A824AF">
      <w:pPr>
        <w:pStyle w:val="Style3"/>
        <w:spacing w:after="0"/>
        <w:rPr>
          <w:rFonts w:cs="Arial"/>
          <w:sz w:val="20"/>
        </w:rPr>
      </w:pPr>
    </w:p>
    <w:p w14:paraId="139E753C" w14:textId="77777777" w:rsidR="00716BA5" w:rsidRPr="0038775D" w:rsidRDefault="00716BA5" w:rsidP="00716BA5">
      <w:pPr>
        <w:pStyle w:val="Style3"/>
        <w:rPr>
          <w:rFonts w:cs="Arial"/>
          <w:b/>
          <w:sz w:val="20"/>
        </w:rPr>
      </w:pPr>
      <w:r w:rsidRPr="0038775D">
        <w:rPr>
          <w:rFonts w:cs="Arial"/>
          <w:b/>
          <w:sz w:val="20"/>
        </w:rPr>
        <w:t>Segment Reporting</w:t>
      </w:r>
    </w:p>
    <w:p w14:paraId="0EF8D8A9" w14:textId="3D71CFCC" w:rsidR="003C0736" w:rsidRDefault="00716BA5" w:rsidP="00F01218">
      <w:pPr>
        <w:pStyle w:val="Style3"/>
        <w:spacing w:after="0"/>
      </w:pPr>
      <w:r w:rsidRPr="0038775D">
        <w:rPr>
          <w:rFonts w:cs="Arial"/>
          <w:sz w:val="20"/>
        </w:rPr>
        <w:t xml:space="preserve">A segment is a distinguishable activity or group of activities for which it is appropriate to separately report financial information. At UPOV, segment information is based on the principal activities and sources of financing of UPOV. As such, UPOV reports separate financial information for </w:t>
      </w:r>
      <w:r w:rsidR="0060111B" w:rsidRPr="0038775D">
        <w:rPr>
          <w:rFonts w:cs="Arial"/>
          <w:sz w:val="20"/>
        </w:rPr>
        <w:t>two</w:t>
      </w:r>
      <w:r w:rsidRPr="0038775D">
        <w:rPr>
          <w:rFonts w:cs="Arial"/>
          <w:sz w:val="20"/>
        </w:rPr>
        <w:t xml:space="preserve"> segments: (1) the Regular Program and Budget</w:t>
      </w:r>
      <w:r w:rsidR="0060111B" w:rsidRPr="0038775D">
        <w:rPr>
          <w:rFonts w:cs="Arial"/>
          <w:sz w:val="20"/>
        </w:rPr>
        <w:t xml:space="preserve"> and</w:t>
      </w:r>
      <w:r w:rsidRPr="0038775D">
        <w:rPr>
          <w:rFonts w:cs="Arial"/>
          <w:sz w:val="20"/>
        </w:rPr>
        <w:t xml:space="preserve"> (2) Funds in Trust. </w:t>
      </w:r>
      <w:r w:rsidRPr="009E540D">
        <w:rPr>
          <w:rFonts w:cs="Arial"/>
          <w:sz w:val="20"/>
        </w:rPr>
        <w:t xml:space="preserve">The UPOV performance by segment is presented in </w:t>
      </w:r>
      <w:r w:rsidR="00D969AA" w:rsidRPr="009E540D">
        <w:rPr>
          <w:rFonts w:cs="Arial"/>
          <w:sz w:val="20"/>
        </w:rPr>
        <w:t>N</w:t>
      </w:r>
      <w:r w:rsidRPr="009E540D">
        <w:rPr>
          <w:rFonts w:cs="Arial"/>
          <w:sz w:val="20"/>
        </w:rPr>
        <w:t>otes 1</w:t>
      </w:r>
      <w:r w:rsidR="0060111B" w:rsidRPr="009E540D">
        <w:rPr>
          <w:rFonts w:cs="Arial"/>
          <w:sz w:val="20"/>
        </w:rPr>
        <w:t>2</w:t>
      </w:r>
      <w:r w:rsidRPr="009E540D">
        <w:rPr>
          <w:rFonts w:cs="Arial"/>
          <w:sz w:val="20"/>
        </w:rPr>
        <w:t xml:space="preserve"> and 1</w:t>
      </w:r>
      <w:r w:rsidR="0060111B" w:rsidRPr="009E540D">
        <w:rPr>
          <w:rFonts w:cs="Arial"/>
          <w:sz w:val="20"/>
        </w:rPr>
        <w:t>3</w:t>
      </w:r>
      <w:r w:rsidRPr="009E540D">
        <w:rPr>
          <w:rFonts w:cs="Arial"/>
          <w:sz w:val="20"/>
        </w:rPr>
        <w:t xml:space="preserve">. As the UPOV </w:t>
      </w:r>
      <w:r w:rsidR="00A22995" w:rsidRPr="009E540D">
        <w:rPr>
          <w:rFonts w:cs="Arial"/>
          <w:sz w:val="20"/>
        </w:rPr>
        <w:t>a</w:t>
      </w:r>
      <w:r w:rsidRPr="009E540D">
        <w:rPr>
          <w:rFonts w:cs="Arial"/>
          <w:sz w:val="20"/>
        </w:rPr>
        <w:t>ssets and liabilities are not managed by segment</w:t>
      </w:r>
      <w:r w:rsidR="00D9104A" w:rsidRPr="009E540D">
        <w:rPr>
          <w:rFonts w:cs="Arial"/>
          <w:sz w:val="20"/>
        </w:rPr>
        <w:t xml:space="preserve"> this information is not</w:t>
      </w:r>
      <w:r w:rsidRPr="009E540D">
        <w:rPr>
          <w:rFonts w:cs="Arial"/>
          <w:sz w:val="20"/>
        </w:rPr>
        <w:t xml:space="preserve"> presented in the notes to the financial statements. </w:t>
      </w:r>
    </w:p>
    <w:p w14:paraId="20772836" w14:textId="5A4E755A" w:rsidR="00A824AF" w:rsidRPr="005976F2" w:rsidRDefault="00A824AF" w:rsidP="00A824AF">
      <w:pPr>
        <w:rPr>
          <w:rFonts w:cs="Arial"/>
          <w:b/>
        </w:rPr>
      </w:pPr>
      <w:r w:rsidRPr="009E540D">
        <w:rPr>
          <w:rFonts w:cs="Arial"/>
          <w:b/>
        </w:rPr>
        <w:lastRenderedPageBreak/>
        <w:t>Cash and Cash Equivalents</w:t>
      </w:r>
    </w:p>
    <w:p w14:paraId="164E5EDC" w14:textId="77777777" w:rsidR="00A824AF" w:rsidRPr="00855138" w:rsidRDefault="00A824AF" w:rsidP="00A824AF">
      <w:pPr>
        <w:rPr>
          <w:rFonts w:cs="Arial"/>
        </w:rPr>
      </w:pPr>
    </w:p>
    <w:p w14:paraId="5799DD16" w14:textId="77777777" w:rsidR="00A824AF" w:rsidRPr="0098522D" w:rsidRDefault="00A824AF" w:rsidP="00A824AF">
      <w:pPr>
        <w:rPr>
          <w:rFonts w:cs="Arial"/>
        </w:rPr>
      </w:pPr>
      <w:r w:rsidRPr="00352498">
        <w:rPr>
          <w:rFonts w:cs="Arial"/>
        </w:rPr>
        <w:t>Cash and cash equivalents include cash in hand</w:t>
      </w:r>
      <w:r w:rsidRPr="007B443E">
        <w:rPr>
          <w:rFonts w:cs="Arial"/>
        </w:rPr>
        <w:t>, deposits held at call wit</w:t>
      </w:r>
      <w:r w:rsidR="002D58CC" w:rsidRPr="007B443E">
        <w:rPr>
          <w:rFonts w:cs="Arial"/>
        </w:rPr>
        <w:t>h banks, deposits held up to 90 </w:t>
      </w:r>
      <w:r w:rsidRPr="0098522D">
        <w:rPr>
          <w:rFonts w:cs="Arial"/>
        </w:rPr>
        <w:t>days and other short-term highly liquid investments that are readily convertible to cash and subject to insignificant risk of changes in value.</w:t>
      </w:r>
    </w:p>
    <w:p w14:paraId="6B3FFFB8" w14:textId="0D7B567C" w:rsidR="008D0874" w:rsidRDefault="008D0874">
      <w:pPr>
        <w:jc w:val="left"/>
        <w:rPr>
          <w:rFonts w:cs="Arial"/>
          <w:b/>
        </w:rPr>
      </w:pPr>
    </w:p>
    <w:p w14:paraId="1934CAE8" w14:textId="420F97D1" w:rsidR="00A824AF" w:rsidRPr="005976F2" w:rsidRDefault="00A824AF" w:rsidP="00A824AF">
      <w:pPr>
        <w:rPr>
          <w:rFonts w:cs="Arial"/>
          <w:b/>
        </w:rPr>
      </w:pPr>
      <w:r w:rsidRPr="00F76236">
        <w:rPr>
          <w:rFonts w:cs="Arial"/>
          <w:b/>
        </w:rPr>
        <w:t>Receivables</w:t>
      </w:r>
    </w:p>
    <w:p w14:paraId="1958E23A" w14:textId="77777777" w:rsidR="00A824AF" w:rsidRPr="00855138" w:rsidRDefault="00A824AF" w:rsidP="00A824AF">
      <w:pPr>
        <w:rPr>
          <w:rFonts w:cs="Arial"/>
          <w:b/>
        </w:rPr>
      </w:pPr>
    </w:p>
    <w:p w14:paraId="01EB8A8A" w14:textId="77777777" w:rsidR="00A824AF" w:rsidRPr="009B78B3" w:rsidRDefault="00A824AF" w:rsidP="006C632B">
      <w:pPr>
        <w:pStyle w:val="Style3"/>
        <w:spacing w:after="0"/>
        <w:rPr>
          <w:rFonts w:cs="Arial"/>
          <w:sz w:val="20"/>
        </w:rPr>
      </w:pPr>
      <w:r w:rsidRPr="00352498">
        <w:rPr>
          <w:rFonts w:cs="Arial"/>
          <w:sz w:val="20"/>
        </w:rPr>
        <w:t>Contributions are recognized as revenue at the beginni</w:t>
      </w:r>
      <w:r w:rsidRPr="00BB2405">
        <w:rPr>
          <w:rFonts w:cs="Arial"/>
          <w:sz w:val="20"/>
        </w:rPr>
        <w:t xml:space="preserve">ng of the financial year. </w:t>
      </w:r>
      <w:r w:rsidR="006C632B" w:rsidRPr="008E132D">
        <w:rPr>
          <w:rFonts w:cs="Arial"/>
          <w:sz w:val="20"/>
        </w:rPr>
        <w:t>An allowance for receivables is made in full for any member who has contributions receivable where an element of the arrears is dated prior to the last biennium.</w:t>
      </w:r>
    </w:p>
    <w:p w14:paraId="442E7DD7" w14:textId="77777777" w:rsidR="00A824AF" w:rsidRPr="009B78B3" w:rsidRDefault="00A824AF" w:rsidP="00A824AF">
      <w:pPr>
        <w:rPr>
          <w:rFonts w:cs="Arial"/>
        </w:rPr>
      </w:pPr>
    </w:p>
    <w:p w14:paraId="469E734E" w14:textId="77777777" w:rsidR="00A824AF" w:rsidRPr="009B78B3" w:rsidRDefault="00A824AF" w:rsidP="00A824AF">
      <w:pPr>
        <w:rPr>
          <w:rFonts w:cs="Arial"/>
          <w:b/>
        </w:rPr>
      </w:pPr>
      <w:r w:rsidRPr="009B78B3">
        <w:rPr>
          <w:rFonts w:cs="Arial"/>
          <w:b/>
        </w:rPr>
        <w:t>Equipment</w:t>
      </w:r>
    </w:p>
    <w:p w14:paraId="47BA4BC8" w14:textId="77777777" w:rsidR="00A824AF" w:rsidRPr="009B78B3" w:rsidRDefault="00A824AF" w:rsidP="00A824AF">
      <w:pPr>
        <w:rPr>
          <w:rFonts w:cs="Arial"/>
          <w:b/>
        </w:rPr>
      </w:pPr>
    </w:p>
    <w:p w14:paraId="50FA0655" w14:textId="523D9086" w:rsidR="00AD6F6A" w:rsidRPr="0038775D" w:rsidRDefault="00A824AF" w:rsidP="004017D6">
      <w:pPr>
        <w:pStyle w:val="Style3"/>
        <w:spacing w:after="0"/>
        <w:rPr>
          <w:rFonts w:cs="Arial"/>
          <w:sz w:val="20"/>
        </w:rPr>
      </w:pPr>
      <w:r w:rsidRPr="0038775D">
        <w:rPr>
          <w:rFonts w:cs="Arial"/>
          <w:sz w:val="20"/>
        </w:rPr>
        <w:t>Equipment is valued at cost less accumulated depreciation and impairment.</w:t>
      </w:r>
      <w:r w:rsidR="00D413F4" w:rsidRPr="0038775D">
        <w:rPr>
          <w:rFonts w:cs="Arial"/>
          <w:sz w:val="20"/>
        </w:rPr>
        <w:t xml:space="preserve"> </w:t>
      </w:r>
      <w:r w:rsidRPr="0038775D">
        <w:rPr>
          <w:rFonts w:cs="Arial"/>
          <w:sz w:val="20"/>
        </w:rPr>
        <w:t xml:space="preserve">Equipment is recognized as an asset if it has a cost of </w:t>
      </w:r>
      <w:r w:rsidR="00AD657D">
        <w:rPr>
          <w:rFonts w:cs="Arial"/>
          <w:sz w:val="20"/>
        </w:rPr>
        <w:t>10</w:t>
      </w:r>
      <w:r w:rsidRPr="0038775D">
        <w:rPr>
          <w:rFonts w:cs="Arial"/>
          <w:sz w:val="20"/>
        </w:rPr>
        <w:t>,000 Swiss francs or more per unit.</w:t>
      </w:r>
      <w:r w:rsidRPr="00F76236">
        <w:rPr>
          <w:rFonts w:cs="Arial"/>
          <w:sz w:val="20"/>
        </w:rPr>
        <w:t xml:space="preserve"> </w:t>
      </w:r>
      <w:r w:rsidR="00CE354D" w:rsidRPr="005976F2">
        <w:rPr>
          <w:rFonts w:cs="Arial"/>
          <w:sz w:val="20"/>
          <w:lang w:val="en-GB"/>
        </w:rPr>
        <w:t xml:space="preserve">As </w:t>
      </w:r>
      <w:proofErr w:type="gramStart"/>
      <w:r w:rsidR="00CE354D" w:rsidRPr="005976F2">
        <w:rPr>
          <w:rFonts w:cs="Arial"/>
          <w:sz w:val="20"/>
          <w:lang w:val="en-GB"/>
        </w:rPr>
        <w:t>at</w:t>
      </w:r>
      <w:proofErr w:type="gramEnd"/>
      <w:r w:rsidR="00CE354D" w:rsidRPr="005976F2">
        <w:rPr>
          <w:rFonts w:cs="Arial"/>
          <w:sz w:val="20"/>
          <w:lang w:val="en-GB"/>
        </w:rPr>
        <w:t xml:space="preserve"> December 31, 20</w:t>
      </w:r>
      <w:r w:rsidR="0060111B" w:rsidRPr="00855138">
        <w:rPr>
          <w:rFonts w:cs="Arial"/>
          <w:sz w:val="20"/>
          <w:lang w:val="en-GB"/>
        </w:rPr>
        <w:t>2</w:t>
      </w:r>
      <w:r w:rsidR="004D333B">
        <w:rPr>
          <w:rFonts w:cs="Arial"/>
          <w:sz w:val="20"/>
          <w:lang w:val="en-GB"/>
        </w:rPr>
        <w:t>4</w:t>
      </w:r>
      <w:r w:rsidR="004017D6" w:rsidRPr="008E132D">
        <w:rPr>
          <w:rFonts w:cs="Arial"/>
          <w:sz w:val="20"/>
          <w:lang w:val="en-GB"/>
        </w:rPr>
        <w:t xml:space="preserve">, no items are capitalized as </w:t>
      </w:r>
      <w:r w:rsidR="00A22995" w:rsidRPr="009B78B3">
        <w:rPr>
          <w:rFonts w:cs="Arial"/>
          <w:sz w:val="20"/>
          <w:lang w:val="en-GB"/>
        </w:rPr>
        <w:t>e</w:t>
      </w:r>
      <w:r w:rsidR="004017D6" w:rsidRPr="009B78B3">
        <w:rPr>
          <w:rFonts w:cs="Arial"/>
          <w:sz w:val="20"/>
          <w:lang w:val="en-GB"/>
        </w:rPr>
        <w:t>quipment</w:t>
      </w:r>
      <w:r w:rsidR="0062050D" w:rsidRPr="009B78B3">
        <w:rPr>
          <w:rFonts w:cs="Arial"/>
          <w:sz w:val="20"/>
          <w:lang w:val="en-GB"/>
        </w:rPr>
        <w:t>.</w:t>
      </w:r>
    </w:p>
    <w:p w14:paraId="56A36C12" w14:textId="30680A5D" w:rsidR="00194C8C" w:rsidRDefault="00194C8C">
      <w:pPr>
        <w:jc w:val="left"/>
        <w:rPr>
          <w:rFonts w:cs="Arial"/>
          <w:b/>
        </w:rPr>
      </w:pPr>
    </w:p>
    <w:p w14:paraId="62DC6AE1" w14:textId="622593C9" w:rsidR="00A824AF" w:rsidRPr="0038775D" w:rsidRDefault="00A824AF" w:rsidP="00A824AF">
      <w:pPr>
        <w:pStyle w:val="Style3"/>
        <w:spacing w:after="0"/>
        <w:rPr>
          <w:rFonts w:cs="Arial"/>
          <w:sz w:val="20"/>
        </w:rPr>
      </w:pPr>
      <w:r w:rsidRPr="0038775D">
        <w:rPr>
          <w:rFonts w:cs="Arial"/>
          <w:b/>
          <w:sz w:val="20"/>
        </w:rPr>
        <w:t>Intangible Assets</w:t>
      </w:r>
    </w:p>
    <w:p w14:paraId="3CFD1CDE" w14:textId="77777777" w:rsidR="00A824AF" w:rsidRPr="0038775D" w:rsidRDefault="00A824AF" w:rsidP="00A824AF">
      <w:pPr>
        <w:pStyle w:val="Style3"/>
        <w:spacing w:after="0"/>
        <w:rPr>
          <w:rFonts w:cs="Arial"/>
          <w:b/>
          <w:sz w:val="20"/>
        </w:rPr>
      </w:pPr>
    </w:p>
    <w:p w14:paraId="55495666" w14:textId="1EDE4AE2" w:rsidR="00A824AF" w:rsidRPr="005D7523" w:rsidRDefault="00A824AF" w:rsidP="006519FD">
      <w:pPr>
        <w:pStyle w:val="Style3"/>
        <w:spacing w:after="0"/>
        <w:rPr>
          <w:rFonts w:cs="Arial"/>
          <w:i/>
          <w:sz w:val="20"/>
          <w:lang w:val="en-GB"/>
        </w:rPr>
      </w:pPr>
      <w:r w:rsidRPr="005D7523">
        <w:rPr>
          <w:rFonts w:cs="Arial"/>
          <w:sz w:val="20"/>
        </w:rPr>
        <w:t xml:space="preserve">Intangible assets are carried at cost less accumulated amortization and impairment. </w:t>
      </w:r>
      <w:r w:rsidRPr="007B443E">
        <w:rPr>
          <w:rFonts w:cs="Arial"/>
          <w:sz w:val="20"/>
        </w:rPr>
        <w:t xml:space="preserve">Acquired computer software licenses are capitalized based on costs incurred to acquire and bring to use the specific software. Costs that are directly associated with the development of software for use by UPOV </w:t>
      </w:r>
      <w:r w:rsidRPr="007B443E">
        <w:rPr>
          <w:rFonts w:cs="Arial"/>
          <w:sz w:val="20"/>
          <w:lang w:val="en-GB"/>
        </w:rPr>
        <w:t>are capitalized as an intangible asset</w:t>
      </w:r>
      <w:r w:rsidR="002C5CD6" w:rsidRPr="0098522D">
        <w:rPr>
          <w:rFonts w:cs="Arial"/>
          <w:sz w:val="20"/>
          <w:lang w:val="en-GB"/>
        </w:rPr>
        <w:t xml:space="preserve"> if the recognition criteria under IPSAS 31 are met</w:t>
      </w:r>
      <w:r w:rsidRPr="0098522D">
        <w:rPr>
          <w:rFonts w:cs="Arial"/>
          <w:sz w:val="20"/>
          <w:lang w:val="en-GB"/>
        </w:rPr>
        <w:t>.</w:t>
      </w:r>
      <w:r w:rsidR="00B67B2E" w:rsidRPr="0098522D">
        <w:rPr>
          <w:rFonts w:cs="Arial"/>
          <w:sz w:val="20"/>
          <w:lang w:val="en-GB"/>
        </w:rPr>
        <w:t xml:space="preserve"> </w:t>
      </w:r>
      <w:r w:rsidRPr="0098522D">
        <w:rPr>
          <w:rFonts w:cs="Arial"/>
          <w:sz w:val="20"/>
          <w:lang w:val="en-GB"/>
        </w:rPr>
        <w:t>Direct costs include the software development employee costs.</w:t>
      </w:r>
      <w:r w:rsidR="00CE354D" w:rsidRPr="0098522D">
        <w:rPr>
          <w:rFonts w:cs="Arial"/>
          <w:sz w:val="20"/>
          <w:lang w:val="en-GB"/>
        </w:rPr>
        <w:t xml:space="preserve"> As </w:t>
      </w:r>
      <w:proofErr w:type="gramStart"/>
      <w:r w:rsidR="00CE354D" w:rsidRPr="0098522D">
        <w:rPr>
          <w:rFonts w:cs="Arial"/>
          <w:sz w:val="20"/>
          <w:lang w:val="en-GB"/>
        </w:rPr>
        <w:t>at</w:t>
      </w:r>
      <w:proofErr w:type="gramEnd"/>
      <w:r w:rsidR="00CE354D" w:rsidRPr="0098522D">
        <w:rPr>
          <w:rFonts w:cs="Arial"/>
          <w:sz w:val="20"/>
          <w:lang w:val="en-GB"/>
        </w:rPr>
        <w:t xml:space="preserve"> December 31, 20</w:t>
      </w:r>
      <w:r w:rsidR="0060111B" w:rsidRPr="00100705">
        <w:rPr>
          <w:rFonts w:cs="Arial"/>
          <w:sz w:val="20"/>
          <w:lang w:val="en-GB"/>
        </w:rPr>
        <w:t>2</w:t>
      </w:r>
      <w:r w:rsidR="004D333B">
        <w:rPr>
          <w:rFonts w:cs="Arial"/>
          <w:sz w:val="20"/>
          <w:lang w:val="en-GB"/>
        </w:rPr>
        <w:t>4</w:t>
      </w:r>
      <w:r w:rsidRPr="00F76236">
        <w:rPr>
          <w:rFonts w:cs="Arial"/>
          <w:sz w:val="20"/>
          <w:lang w:val="en-GB"/>
        </w:rPr>
        <w:t>, no costs have been capitalized as intangible assets.</w:t>
      </w:r>
    </w:p>
    <w:p w14:paraId="79847A84" w14:textId="689DCD21" w:rsidR="00B661F6" w:rsidRDefault="00B661F6" w:rsidP="00A824AF">
      <w:pPr>
        <w:pStyle w:val="Style3Bold"/>
        <w:spacing w:after="0"/>
        <w:rPr>
          <w:rFonts w:cs="Arial"/>
          <w:i/>
          <w:lang w:val="en-GB"/>
        </w:rPr>
      </w:pPr>
    </w:p>
    <w:p w14:paraId="103A2849" w14:textId="77777777" w:rsidR="00A824AF" w:rsidRPr="007B443E" w:rsidRDefault="00A824AF" w:rsidP="00A824AF">
      <w:pPr>
        <w:pStyle w:val="Style3Bold"/>
        <w:spacing w:after="0"/>
        <w:rPr>
          <w:rFonts w:cs="Arial"/>
          <w:sz w:val="20"/>
        </w:rPr>
      </w:pPr>
      <w:r w:rsidRPr="007B443E">
        <w:rPr>
          <w:rFonts w:cs="Arial"/>
          <w:sz w:val="20"/>
        </w:rPr>
        <w:t>Employee Benefits</w:t>
      </w:r>
    </w:p>
    <w:p w14:paraId="22282D6C" w14:textId="77777777" w:rsidR="00A824AF" w:rsidRPr="0098522D" w:rsidRDefault="00A824AF" w:rsidP="00A824AF">
      <w:pPr>
        <w:pStyle w:val="Style3"/>
        <w:spacing w:after="0"/>
        <w:rPr>
          <w:rFonts w:cs="Arial"/>
          <w:sz w:val="20"/>
        </w:rPr>
      </w:pPr>
    </w:p>
    <w:p w14:paraId="7A6344D9" w14:textId="5821E77F" w:rsidR="00D760AE" w:rsidRPr="00855138" w:rsidRDefault="00D760AE" w:rsidP="00D760AE">
      <w:pPr>
        <w:rPr>
          <w:rFonts w:cs="Arial"/>
        </w:rPr>
      </w:pPr>
      <w:r w:rsidRPr="007C4A37">
        <w:rPr>
          <w:rFonts w:cs="Arial"/>
        </w:rPr>
        <w:t>Liabilities are established for After-Service Health Insurance (ASHI), repatriation grants and travel, and long-term accumulated annual leave as determined by an independent actuary on an annual basis utilizing the projected unit credit methodology of valuation. For the ASHI liability</w:t>
      </w:r>
      <w:r w:rsidR="00A62A1E">
        <w:rPr>
          <w:rFonts w:cs="Arial"/>
        </w:rPr>
        <w:t>,</w:t>
      </w:r>
      <w:r w:rsidRPr="007C4A37">
        <w:rPr>
          <w:rFonts w:cs="Arial"/>
        </w:rPr>
        <w:t xml:space="preserve"> actuarial gains and losses are recognized in net assets. In addition, liabilities are established for the </w:t>
      </w:r>
      <w:r w:rsidRPr="00F76236">
        <w:rPr>
          <w:rFonts w:cs="Arial"/>
        </w:rPr>
        <w:t>value of short-term accumulated annual leave, home leave not taken, overtime earned but unpaid, separation benefits and for education grants payable at the repor</w:t>
      </w:r>
      <w:r w:rsidRPr="005976F2">
        <w:rPr>
          <w:rFonts w:cs="Arial"/>
        </w:rPr>
        <w:t>ting date that have not been included in current expenditure.</w:t>
      </w:r>
    </w:p>
    <w:p w14:paraId="4D553703" w14:textId="77777777" w:rsidR="00AF5B1B" w:rsidRPr="00352498" w:rsidRDefault="00AF5B1B" w:rsidP="00D760AE">
      <w:pPr>
        <w:rPr>
          <w:rFonts w:cs="Arial"/>
        </w:rPr>
      </w:pPr>
    </w:p>
    <w:p w14:paraId="592C436F" w14:textId="77777777" w:rsidR="00BB0E72" w:rsidRPr="009B78B3" w:rsidRDefault="00245D32" w:rsidP="00BB0E72">
      <w:pPr>
        <w:rPr>
          <w:rFonts w:cs="Arial"/>
        </w:rPr>
      </w:pPr>
      <w:r w:rsidRPr="00A62A1E">
        <w:rPr>
          <w:rFonts w:cs="Arial"/>
        </w:rPr>
        <w:t>In accordance with the WIPO/UPOV Agreeme</w:t>
      </w:r>
      <w:r w:rsidR="00BB0E72" w:rsidRPr="00A62A1E">
        <w:rPr>
          <w:rFonts w:cs="Arial"/>
        </w:rPr>
        <w:t>nt signed on November 26, 1982, UPOV is a member organization participating in the United Nations Joint Staff Pension Fund (the “Fund”), which was established by the United Nations General Assembly to provide retirement, death, disability and related benefits to employees. The Fund is a funded, multi-employer defined benefit plan. As specified in Article 3(b) of the Regulations of the Fund, membership in the Fund shall be open to the specialized agencies and to any other international, intergovernmental organization which participates in the common system of salaries, allowances and other conditions of service of the United Nations and the specialized agencies</w:t>
      </w:r>
      <w:r w:rsidR="00BB0E72" w:rsidRPr="009B78B3">
        <w:rPr>
          <w:rFonts w:cs="Arial"/>
        </w:rPr>
        <w:t>.</w:t>
      </w:r>
    </w:p>
    <w:p w14:paraId="1223CEE5" w14:textId="77777777" w:rsidR="00BB0E72" w:rsidRPr="009B78B3" w:rsidRDefault="00BB0E72" w:rsidP="00BB0E72">
      <w:pPr>
        <w:rPr>
          <w:rFonts w:cs="Arial"/>
        </w:rPr>
      </w:pPr>
    </w:p>
    <w:p w14:paraId="02C4EB4E" w14:textId="0799E6B7" w:rsidR="00D760AE" w:rsidRPr="009B78B3" w:rsidRDefault="00BB0E72" w:rsidP="00BB0E72">
      <w:pPr>
        <w:rPr>
          <w:rFonts w:cs="Arial"/>
        </w:rPr>
      </w:pPr>
      <w:r w:rsidRPr="009B78B3">
        <w:rPr>
          <w:rFonts w:cs="Arial"/>
        </w:rPr>
        <w:t>The Fund</w:t>
      </w:r>
      <w:r w:rsidR="00170616">
        <w:rPr>
          <w:rFonts w:cs="Arial"/>
        </w:rPr>
        <w:t xml:space="preserve"> collectively</w:t>
      </w:r>
      <w:r w:rsidRPr="009B78B3">
        <w:rPr>
          <w:rFonts w:cs="Arial"/>
        </w:rPr>
        <w:t xml:space="preserve"> exposes participating organizations</w:t>
      </w:r>
      <w:r w:rsidR="001A7F4A" w:rsidRPr="009B78B3">
        <w:rPr>
          <w:rFonts w:cs="Arial"/>
        </w:rPr>
        <w:t xml:space="preserve"> </w:t>
      </w:r>
      <w:r w:rsidRPr="009B78B3">
        <w:rPr>
          <w:rFonts w:cs="Arial"/>
        </w:rPr>
        <w:t>to actuarial risks associated with the current and former employees of other organizations participating in the Fund, with the result that there is no consistent and reliable basis for allocating the obligation, plan assets and costs to individual organizations participating in the Fund. UPOV and the Fund, in line with the other participating organizations in the Fund, are no</w:t>
      </w:r>
      <w:r w:rsidR="009A26D7" w:rsidRPr="009B78B3">
        <w:rPr>
          <w:rFonts w:cs="Arial"/>
        </w:rPr>
        <w:t xml:space="preserve">t in a position to identify </w:t>
      </w:r>
      <w:r w:rsidRPr="009B78B3">
        <w:rPr>
          <w:rFonts w:cs="Arial"/>
        </w:rPr>
        <w:t xml:space="preserve">UPOV’s proportionate share of the defined benefit obligation, the plan assets and the costs associated with the plan with sufficient reliability for accounting purposes. Hence, UPOV has treated this plan as if it were a defined contribution plan in line with the requirements of </w:t>
      </w:r>
      <w:r w:rsidR="009A26D7" w:rsidRPr="009B78B3">
        <w:rPr>
          <w:rFonts w:cs="Arial"/>
        </w:rPr>
        <w:t xml:space="preserve">IPSAS 39, Employee Benefits. </w:t>
      </w:r>
      <w:r w:rsidRPr="009B78B3">
        <w:rPr>
          <w:rFonts w:cs="Arial"/>
        </w:rPr>
        <w:t>UPOV’s contributions to the Fund during the financial period are recognized as expenses in the Statement of Financial Performance.</w:t>
      </w:r>
    </w:p>
    <w:p w14:paraId="5783C715" w14:textId="77777777" w:rsidR="00BB0E72" w:rsidRPr="0038775D" w:rsidRDefault="00BB0E72" w:rsidP="00A824AF">
      <w:pPr>
        <w:pStyle w:val="Style3"/>
        <w:spacing w:after="0"/>
        <w:rPr>
          <w:rFonts w:cs="Arial"/>
          <w:b/>
          <w:sz w:val="20"/>
        </w:rPr>
      </w:pPr>
    </w:p>
    <w:p w14:paraId="75794FDD" w14:textId="77777777" w:rsidR="00A824AF" w:rsidRPr="0038775D" w:rsidRDefault="00A824AF" w:rsidP="00A824AF">
      <w:pPr>
        <w:pStyle w:val="Style3"/>
        <w:spacing w:after="0"/>
        <w:rPr>
          <w:rFonts w:cs="Arial"/>
          <w:b/>
          <w:sz w:val="20"/>
        </w:rPr>
      </w:pPr>
      <w:r w:rsidRPr="0038775D">
        <w:rPr>
          <w:rFonts w:cs="Arial"/>
          <w:b/>
          <w:sz w:val="20"/>
        </w:rPr>
        <w:t>Provisions</w:t>
      </w:r>
    </w:p>
    <w:p w14:paraId="49F9BCF5" w14:textId="77777777" w:rsidR="00A824AF" w:rsidRPr="00F76236" w:rsidRDefault="00A824AF" w:rsidP="00A824AF">
      <w:pPr>
        <w:rPr>
          <w:rFonts w:cs="Arial"/>
        </w:rPr>
      </w:pPr>
    </w:p>
    <w:p w14:paraId="0CD2DD98" w14:textId="77777777" w:rsidR="00A824AF" w:rsidRPr="0038775D" w:rsidRDefault="00A824AF" w:rsidP="00A824AF">
      <w:pPr>
        <w:pStyle w:val="Style3"/>
        <w:spacing w:after="0"/>
        <w:rPr>
          <w:rFonts w:cs="Arial"/>
          <w:sz w:val="20"/>
        </w:rPr>
      </w:pPr>
      <w:r w:rsidRPr="0038775D">
        <w:rPr>
          <w:rFonts w:cs="Arial"/>
          <w:sz w:val="20"/>
        </w:rPr>
        <w:t xml:space="preserve">Provisions are recognized when UPOV has a legal or constructive obligation as a result of a past event, whereby it is probable that an outflow of resources will be required to settle the obligation and where a reliable estimate of the amount of the obligation can be made.  </w:t>
      </w:r>
    </w:p>
    <w:p w14:paraId="108BDADA" w14:textId="77777777" w:rsidR="00A824AF" w:rsidRPr="00F76236" w:rsidRDefault="00A824AF" w:rsidP="00A824AF">
      <w:pPr>
        <w:rPr>
          <w:rFonts w:cs="Arial"/>
          <w:b/>
        </w:rPr>
      </w:pPr>
    </w:p>
    <w:p w14:paraId="60578D5F" w14:textId="77777777" w:rsidR="00A824AF" w:rsidRPr="0038775D" w:rsidRDefault="00A824AF" w:rsidP="00A824AF">
      <w:pPr>
        <w:pStyle w:val="Style3Bold"/>
        <w:spacing w:after="0"/>
        <w:rPr>
          <w:rFonts w:cs="Arial"/>
          <w:sz w:val="20"/>
        </w:rPr>
      </w:pPr>
      <w:r w:rsidRPr="0038775D">
        <w:rPr>
          <w:rFonts w:cs="Arial"/>
          <w:sz w:val="20"/>
        </w:rPr>
        <w:t>Revenue Recognition</w:t>
      </w:r>
    </w:p>
    <w:p w14:paraId="19D76DD9" w14:textId="77777777" w:rsidR="00A824AF" w:rsidRPr="00F76236" w:rsidRDefault="00A824AF" w:rsidP="00A824AF">
      <w:pPr>
        <w:rPr>
          <w:rFonts w:cs="Arial"/>
        </w:rPr>
      </w:pPr>
    </w:p>
    <w:p w14:paraId="789DECBA" w14:textId="1DFE5719" w:rsidR="00A824AF" w:rsidRPr="00A62A1E" w:rsidRDefault="00A824AF" w:rsidP="00A824AF">
      <w:pPr>
        <w:pStyle w:val="Style3"/>
        <w:spacing w:after="0"/>
        <w:rPr>
          <w:rFonts w:cs="Arial"/>
          <w:sz w:val="20"/>
        </w:rPr>
      </w:pPr>
      <w:r w:rsidRPr="00A62A1E">
        <w:rPr>
          <w:rFonts w:cs="Arial"/>
          <w:sz w:val="20"/>
        </w:rPr>
        <w:t xml:space="preserve">Revenue from non-exchange transactions such as extrabudgetary funds (funds in trust) supported by enforceable agreements is recognized as revenue at the time the agreement becomes binding unless the </w:t>
      </w:r>
      <w:r w:rsidRPr="00A62A1E">
        <w:rPr>
          <w:rFonts w:cs="Arial"/>
          <w:sz w:val="20"/>
        </w:rPr>
        <w:lastRenderedPageBreak/>
        <w:t>agreement includes conditions related to specific performance or the return of unexpended balances. Such agreements require initial recognition of a liability to defer revenue recognition and then revenue is recognized as the liability is discharged through performance of the specific conditions included in the agreement.</w:t>
      </w:r>
    </w:p>
    <w:p w14:paraId="5D8FA609" w14:textId="77777777" w:rsidR="00A824AF" w:rsidRPr="00A62A1E" w:rsidRDefault="00A824AF" w:rsidP="00A824AF">
      <w:pPr>
        <w:pStyle w:val="Style3"/>
        <w:spacing w:after="0"/>
        <w:rPr>
          <w:rFonts w:cs="Arial"/>
          <w:sz w:val="20"/>
        </w:rPr>
      </w:pPr>
    </w:p>
    <w:p w14:paraId="6AE19AE2" w14:textId="47D1E534" w:rsidR="00A824AF" w:rsidRPr="0038775D" w:rsidRDefault="00A824AF" w:rsidP="00A824AF">
      <w:pPr>
        <w:pStyle w:val="Style3Bold"/>
        <w:spacing w:after="0"/>
        <w:rPr>
          <w:rFonts w:cs="Arial"/>
          <w:b w:val="0"/>
          <w:sz w:val="20"/>
        </w:rPr>
      </w:pPr>
      <w:r w:rsidRPr="00A62A1E">
        <w:rPr>
          <w:rFonts w:cs="Arial"/>
          <w:b w:val="0"/>
          <w:sz w:val="20"/>
        </w:rPr>
        <w:t>Contributions are recognized as revenue at the beginning of each year of the budget period to which the contribution relates.</w:t>
      </w:r>
      <w:r w:rsidR="00FF642D" w:rsidRPr="00A62A1E">
        <w:rPr>
          <w:rFonts w:cs="Arial"/>
          <w:b w:val="0"/>
          <w:sz w:val="20"/>
        </w:rPr>
        <w:t xml:space="preserve"> UPOV PRISMA fees are recognized as revenue at the point of submission of the plant variety protection application.</w:t>
      </w:r>
      <w:r w:rsidR="001A7F4A">
        <w:rPr>
          <w:rFonts w:cs="Arial"/>
          <w:b w:val="0"/>
          <w:sz w:val="20"/>
        </w:rPr>
        <w:t xml:space="preserve"> UPOV PLUTO fees are recognized as revenue at the point of invoicing following subscription. </w:t>
      </w:r>
      <w:r w:rsidR="00FF642D">
        <w:rPr>
          <w:rFonts w:cs="Arial"/>
          <w:b w:val="0"/>
          <w:sz w:val="20"/>
        </w:rPr>
        <w:t xml:space="preserve"> </w:t>
      </w:r>
    </w:p>
    <w:p w14:paraId="6BFFB45A" w14:textId="77777777" w:rsidR="00A824AF" w:rsidRPr="0038775D" w:rsidRDefault="00A824AF" w:rsidP="00A824AF">
      <w:pPr>
        <w:pStyle w:val="Style3Bold"/>
        <w:spacing w:after="0"/>
        <w:rPr>
          <w:rFonts w:cs="Arial"/>
          <w:b w:val="0"/>
          <w:sz w:val="20"/>
        </w:rPr>
      </w:pPr>
    </w:p>
    <w:p w14:paraId="4BB6E265" w14:textId="77777777" w:rsidR="00A824AF" w:rsidRPr="0038775D" w:rsidRDefault="00A824AF" w:rsidP="00A824AF">
      <w:pPr>
        <w:pStyle w:val="Style3Bold"/>
        <w:spacing w:after="0"/>
        <w:rPr>
          <w:rFonts w:cs="Arial"/>
          <w:b w:val="0"/>
          <w:sz w:val="20"/>
        </w:rPr>
      </w:pPr>
      <w:r w:rsidRPr="0038775D">
        <w:rPr>
          <w:rFonts w:cs="Arial"/>
          <w:b w:val="0"/>
          <w:sz w:val="20"/>
        </w:rPr>
        <w:t>In-kind contributions of services are not recognized in the financial statements.</w:t>
      </w:r>
    </w:p>
    <w:p w14:paraId="421826B7" w14:textId="77777777" w:rsidR="00333C97" w:rsidRPr="0038775D" w:rsidRDefault="00333C97" w:rsidP="00A824AF">
      <w:pPr>
        <w:pStyle w:val="Style3Bold"/>
        <w:spacing w:after="0"/>
        <w:rPr>
          <w:rFonts w:cs="Arial"/>
          <w:sz w:val="20"/>
        </w:rPr>
      </w:pPr>
    </w:p>
    <w:p w14:paraId="33921525" w14:textId="77777777" w:rsidR="00A824AF" w:rsidRPr="0038775D" w:rsidRDefault="00A824AF" w:rsidP="00A824AF">
      <w:pPr>
        <w:pStyle w:val="Style3Bold"/>
        <w:spacing w:after="0"/>
        <w:rPr>
          <w:rFonts w:cs="Arial"/>
          <w:sz w:val="20"/>
        </w:rPr>
      </w:pPr>
      <w:r w:rsidRPr="0038775D">
        <w:rPr>
          <w:rFonts w:cs="Arial"/>
          <w:sz w:val="20"/>
        </w:rPr>
        <w:t>Expense Recognition</w:t>
      </w:r>
    </w:p>
    <w:p w14:paraId="0641FE0B" w14:textId="77777777" w:rsidR="00A824AF" w:rsidRPr="0038775D" w:rsidRDefault="00A824AF" w:rsidP="00A824AF">
      <w:pPr>
        <w:pStyle w:val="Style3"/>
        <w:spacing w:after="0"/>
        <w:rPr>
          <w:rFonts w:cs="Arial"/>
          <w:sz w:val="20"/>
        </w:rPr>
      </w:pPr>
    </w:p>
    <w:p w14:paraId="50CC63FD" w14:textId="78191442" w:rsidR="00F73707" w:rsidRPr="0038775D" w:rsidRDefault="00A824AF" w:rsidP="00A824AF">
      <w:pPr>
        <w:pStyle w:val="Style3"/>
        <w:spacing w:after="0"/>
        <w:rPr>
          <w:rFonts w:cs="Arial"/>
          <w:sz w:val="20"/>
        </w:rPr>
      </w:pPr>
      <w:r w:rsidRPr="0038775D">
        <w:rPr>
          <w:rFonts w:cs="Arial"/>
          <w:sz w:val="20"/>
        </w:rPr>
        <w:t>Expenses are recognized as goods are received and services delivered.</w:t>
      </w:r>
    </w:p>
    <w:p w14:paraId="2451F0B4" w14:textId="2D63AAA0" w:rsidR="00194C8C" w:rsidRDefault="00194C8C">
      <w:pPr>
        <w:jc w:val="left"/>
        <w:rPr>
          <w:rFonts w:cs="Arial"/>
          <w:b/>
          <w:bCs/>
        </w:rPr>
      </w:pPr>
    </w:p>
    <w:p w14:paraId="2CED24B4" w14:textId="4D0A6F05" w:rsidR="00A824AF" w:rsidRPr="0038775D" w:rsidRDefault="00A824AF" w:rsidP="00A824AF">
      <w:pPr>
        <w:pStyle w:val="Style3Bold"/>
        <w:spacing w:after="0"/>
        <w:rPr>
          <w:rFonts w:cs="Arial"/>
          <w:sz w:val="20"/>
        </w:rPr>
      </w:pPr>
      <w:r w:rsidRPr="0038775D">
        <w:rPr>
          <w:rFonts w:cs="Arial"/>
          <w:sz w:val="20"/>
        </w:rPr>
        <w:t>Financial Instruments</w:t>
      </w:r>
    </w:p>
    <w:p w14:paraId="20A5DCE4" w14:textId="77777777" w:rsidR="00A824AF" w:rsidRPr="0038775D" w:rsidRDefault="00A824AF" w:rsidP="00A824AF">
      <w:pPr>
        <w:pStyle w:val="Style3"/>
        <w:spacing w:after="0"/>
        <w:rPr>
          <w:rFonts w:cs="Arial"/>
          <w:sz w:val="20"/>
        </w:rPr>
      </w:pPr>
    </w:p>
    <w:p w14:paraId="1617E5F5" w14:textId="77777777" w:rsidR="00A824AF" w:rsidRPr="0038775D" w:rsidRDefault="00A824AF" w:rsidP="00A824AF">
      <w:pPr>
        <w:pStyle w:val="Style3"/>
        <w:spacing w:after="0"/>
        <w:rPr>
          <w:rFonts w:cs="Arial"/>
          <w:b/>
          <w:i/>
          <w:sz w:val="20"/>
        </w:rPr>
      </w:pPr>
      <w:r w:rsidRPr="0038775D">
        <w:rPr>
          <w:rFonts w:cs="Arial"/>
          <w:b/>
          <w:i/>
          <w:sz w:val="20"/>
        </w:rPr>
        <w:t>Financial Assets</w:t>
      </w:r>
    </w:p>
    <w:p w14:paraId="2DDD944A" w14:textId="77777777" w:rsidR="00E477AF" w:rsidRPr="0038775D" w:rsidRDefault="003E3776" w:rsidP="00230E3B">
      <w:pPr>
        <w:autoSpaceDE w:val="0"/>
        <w:autoSpaceDN w:val="0"/>
        <w:adjustRightInd w:val="0"/>
        <w:spacing w:before="200" w:after="120" w:line="276" w:lineRule="auto"/>
        <w:rPr>
          <w:rFonts w:cs="Arial"/>
          <w:bCs/>
          <w:color w:val="000000"/>
          <w:lang w:val="en-GB" w:eastAsia="en-GB"/>
        </w:rPr>
      </w:pPr>
      <w:r w:rsidRPr="0038775D">
        <w:rPr>
          <w:rFonts w:cs="Arial"/>
          <w:bCs/>
          <w:color w:val="000000"/>
          <w:lang w:val="en-GB" w:eastAsia="en-GB"/>
        </w:rPr>
        <w:t xml:space="preserve">Financial assets are recognized initially at fair value, normally being the transaction price. After initial recognition, UPOV classifies its financial assets as measured at amortized cost. </w:t>
      </w:r>
    </w:p>
    <w:p w14:paraId="288E9BC6" w14:textId="77777777" w:rsidR="00E477AF" w:rsidRPr="0038775D" w:rsidRDefault="003E3776" w:rsidP="00230E3B">
      <w:pPr>
        <w:autoSpaceDE w:val="0"/>
        <w:autoSpaceDN w:val="0"/>
        <w:adjustRightInd w:val="0"/>
        <w:spacing w:before="200" w:after="120" w:line="276" w:lineRule="auto"/>
        <w:rPr>
          <w:rFonts w:cs="Arial"/>
          <w:bCs/>
          <w:color w:val="000000"/>
          <w:lang w:val="en-GB" w:eastAsia="en-GB"/>
        </w:rPr>
      </w:pPr>
      <w:r w:rsidRPr="0038775D">
        <w:rPr>
          <w:rFonts w:cs="Arial"/>
          <w:bCs/>
          <w:color w:val="000000"/>
          <w:lang w:val="en-GB" w:eastAsia="en-GB"/>
        </w:rPr>
        <w:t xml:space="preserve">The classification depends on UPOV’s management model for the financial assets and the contractual cash flow characteristics of the financial assets. </w:t>
      </w:r>
    </w:p>
    <w:p w14:paraId="01FAB9F3" w14:textId="752B0DA7" w:rsidR="00B86F58" w:rsidRPr="0038775D" w:rsidRDefault="003E3776" w:rsidP="00A406F8">
      <w:pPr>
        <w:autoSpaceDE w:val="0"/>
        <w:autoSpaceDN w:val="0"/>
        <w:adjustRightInd w:val="0"/>
        <w:spacing w:before="200" w:after="120" w:line="276" w:lineRule="auto"/>
        <w:rPr>
          <w:rFonts w:cs="Arial"/>
          <w:b/>
          <w:bCs/>
          <w:i/>
          <w:color w:val="000000"/>
          <w:lang w:val="en-GB" w:eastAsia="en-GB"/>
        </w:rPr>
      </w:pPr>
      <w:r w:rsidRPr="0038775D">
        <w:rPr>
          <w:rFonts w:cs="Arial"/>
          <w:bCs/>
          <w:color w:val="000000"/>
          <w:lang w:val="en-GB" w:eastAsia="en-GB"/>
        </w:rPr>
        <w:t xml:space="preserve">UPOV assesses on a </w:t>
      </w:r>
      <w:r w:rsidR="001A7F4A" w:rsidRPr="0038775D">
        <w:rPr>
          <w:rFonts w:cs="Arial"/>
          <w:bCs/>
          <w:color w:val="000000"/>
          <w:lang w:val="en-GB" w:eastAsia="en-GB"/>
        </w:rPr>
        <w:t>forward-looking</w:t>
      </w:r>
      <w:r w:rsidRPr="0038775D">
        <w:rPr>
          <w:rFonts w:cs="Arial"/>
          <w:bCs/>
          <w:color w:val="000000"/>
          <w:lang w:val="en-GB" w:eastAsia="en-GB"/>
        </w:rPr>
        <w:t xml:space="preserve"> basis the expected credit losses associated with its financial assets classified as measured at amortized cost.</w:t>
      </w:r>
    </w:p>
    <w:p w14:paraId="0ABC498A" w14:textId="77777777" w:rsidR="00230E3B" w:rsidRPr="0038775D" w:rsidRDefault="00230E3B" w:rsidP="00230E3B">
      <w:pPr>
        <w:autoSpaceDE w:val="0"/>
        <w:autoSpaceDN w:val="0"/>
        <w:adjustRightInd w:val="0"/>
        <w:spacing w:before="200" w:after="120" w:line="276" w:lineRule="auto"/>
        <w:jc w:val="left"/>
        <w:rPr>
          <w:rFonts w:cs="Arial"/>
          <w:b/>
          <w:bCs/>
          <w:i/>
          <w:color w:val="000000"/>
          <w:lang w:val="en-GB" w:eastAsia="en-GB"/>
        </w:rPr>
      </w:pPr>
      <w:r w:rsidRPr="0038775D">
        <w:rPr>
          <w:rFonts w:cs="Arial"/>
          <w:b/>
          <w:bCs/>
          <w:i/>
          <w:color w:val="000000"/>
          <w:lang w:val="en-GB" w:eastAsia="en-GB"/>
        </w:rPr>
        <w:t>Financial Liabilities</w:t>
      </w:r>
    </w:p>
    <w:p w14:paraId="745DF7B1" w14:textId="77777777" w:rsidR="00BF7DEA" w:rsidRPr="0038775D" w:rsidRDefault="00BF7DEA" w:rsidP="006078F7">
      <w:pPr>
        <w:pStyle w:val="Style3"/>
        <w:spacing w:after="0"/>
        <w:rPr>
          <w:rFonts w:cs="Arial"/>
          <w:bCs/>
          <w:color w:val="000000"/>
          <w:sz w:val="20"/>
          <w:lang w:val="en-GB" w:eastAsia="en-GB"/>
        </w:rPr>
      </w:pPr>
      <w:r w:rsidRPr="0038775D">
        <w:rPr>
          <w:rFonts w:cs="Arial"/>
          <w:bCs/>
          <w:color w:val="000000"/>
          <w:sz w:val="20"/>
          <w:lang w:val="en-GB" w:eastAsia="en-GB"/>
        </w:rPr>
        <w:t>UPOV initially recognizes its financial liabilities at fair value. After initial recognition, financial liabilities are subsequently measured at amortized cost.</w:t>
      </w:r>
    </w:p>
    <w:p w14:paraId="53F439DA" w14:textId="77777777" w:rsidR="00BF7DEA" w:rsidRPr="0038775D" w:rsidRDefault="00BF7DEA" w:rsidP="006078F7">
      <w:pPr>
        <w:pStyle w:val="Style3"/>
        <w:spacing w:after="0"/>
        <w:rPr>
          <w:rFonts w:cs="Arial"/>
          <w:b/>
          <w:sz w:val="20"/>
        </w:rPr>
      </w:pPr>
    </w:p>
    <w:p w14:paraId="478D9619" w14:textId="77777777" w:rsidR="00A824AF" w:rsidRPr="0098522D" w:rsidRDefault="00A824AF" w:rsidP="00A824AF">
      <w:pPr>
        <w:pStyle w:val="Style3"/>
        <w:spacing w:after="0"/>
        <w:rPr>
          <w:rFonts w:cs="Arial"/>
          <w:b/>
          <w:sz w:val="20"/>
        </w:rPr>
      </w:pPr>
      <w:r w:rsidRPr="0098522D">
        <w:rPr>
          <w:rFonts w:cs="Arial"/>
          <w:b/>
          <w:sz w:val="20"/>
        </w:rPr>
        <w:t>Use of Estimates</w:t>
      </w:r>
    </w:p>
    <w:p w14:paraId="1DC42084" w14:textId="77777777" w:rsidR="00A824AF" w:rsidRPr="007C4A37" w:rsidRDefault="00A824AF" w:rsidP="00A824AF">
      <w:pPr>
        <w:rPr>
          <w:rFonts w:cs="Arial"/>
        </w:rPr>
      </w:pPr>
    </w:p>
    <w:p w14:paraId="52FFBA2D" w14:textId="145781A5" w:rsidR="007C0E44" w:rsidRPr="0038775D" w:rsidRDefault="00A824AF" w:rsidP="00A824AF">
      <w:pPr>
        <w:pStyle w:val="Style3"/>
        <w:spacing w:after="0"/>
        <w:rPr>
          <w:rFonts w:cs="Arial"/>
          <w:sz w:val="20"/>
        </w:rPr>
      </w:pPr>
      <w:r w:rsidRPr="0038775D">
        <w:rPr>
          <w:rFonts w:cs="Arial"/>
          <w:sz w:val="20"/>
        </w:rPr>
        <w:t xml:space="preserve">The financial statements necessarily include amounts based on estimates and assumptions by management. Estimates </w:t>
      </w:r>
      <w:r w:rsidR="002676CC" w:rsidRPr="0038775D">
        <w:rPr>
          <w:rFonts w:cs="Arial"/>
          <w:sz w:val="20"/>
        </w:rPr>
        <w:t>include but</w:t>
      </w:r>
      <w:r w:rsidRPr="0038775D">
        <w:rPr>
          <w:rFonts w:cs="Arial"/>
          <w:sz w:val="20"/>
        </w:rPr>
        <w:t xml:space="preserve"> are not limited to: ASHI and repatriation grant and travel (the value of which is calculated by an independent actuary), other employee benefit liabilities, financial risk on accounts receivable</w:t>
      </w:r>
      <w:r w:rsidR="009D7CB8" w:rsidRPr="0038775D">
        <w:rPr>
          <w:rFonts w:cs="Arial"/>
          <w:sz w:val="20"/>
        </w:rPr>
        <w:t xml:space="preserve"> and</w:t>
      </w:r>
      <w:r w:rsidRPr="0038775D">
        <w:rPr>
          <w:rFonts w:cs="Arial"/>
          <w:sz w:val="20"/>
        </w:rPr>
        <w:t xml:space="preserve"> accrued charges.  Actual results could differ from these estimates. Changes in estimates are reflected in the period in which they become known.</w:t>
      </w:r>
    </w:p>
    <w:p w14:paraId="3796282A" w14:textId="77777777" w:rsidR="007C0E44" w:rsidRDefault="007C0E44" w:rsidP="002D58CC">
      <w:pPr>
        <w:pStyle w:val="Heading2Notes"/>
        <w:rPr>
          <w:rFonts w:ascii="Arial" w:hAnsi="Arial" w:cs="Arial"/>
        </w:rPr>
      </w:pPr>
      <w:bookmarkStart w:id="38" w:name="_Toc84329894"/>
    </w:p>
    <w:p w14:paraId="444A3D82" w14:textId="77777777" w:rsidR="008D0874" w:rsidRPr="005D7523" w:rsidRDefault="008D0874" w:rsidP="002D58CC">
      <w:pPr>
        <w:pStyle w:val="Heading2Notes"/>
        <w:rPr>
          <w:rFonts w:ascii="Arial" w:hAnsi="Arial" w:cs="Arial"/>
        </w:rPr>
      </w:pPr>
    </w:p>
    <w:p w14:paraId="168FA89B" w14:textId="77777777" w:rsidR="00A824AF" w:rsidRPr="005D7523" w:rsidRDefault="002D58CC" w:rsidP="002D58CC">
      <w:pPr>
        <w:pStyle w:val="Heading2Notes"/>
        <w:rPr>
          <w:rFonts w:ascii="Arial" w:hAnsi="Arial" w:cs="Arial"/>
        </w:rPr>
      </w:pPr>
      <w:bookmarkStart w:id="39" w:name="_Toc198653938"/>
      <w:r w:rsidRPr="005D7523">
        <w:rPr>
          <w:rFonts w:ascii="Arial" w:hAnsi="Arial" w:cs="Arial"/>
        </w:rPr>
        <w:t xml:space="preserve">Note </w:t>
      </w:r>
      <w:r w:rsidR="00A824AF" w:rsidRPr="005D7523">
        <w:rPr>
          <w:rFonts w:ascii="Arial" w:hAnsi="Arial" w:cs="Arial"/>
        </w:rPr>
        <w:t>3:</w:t>
      </w:r>
      <w:r w:rsidR="00A824AF" w:rsidRPr="005D7523">
        <w:rPr>
          <w:rFonts w:ascii="Arial" w:hAnsi="Arial" w:cs="Arial"/>
        </w:rPr>
        <w:tab/>
      </w:r>
      <w:r w:rsidRPr="005D7523">
        <w:rPr>
          <w:rFonts w:ascii="Arial" w:hAnsi="Arial" w:cs="Arial"/>
        </w:rPr>
        <w:t xml:space="preserve">Cash </w:t>
      </w:r>
      <w:r w:rsidR="00A824AF" w:rsidRPr="005D7523">
        <w:rPr>
          <w:rFonts w:ascii="Arial" w:hAnsi="Arial" w:cs="Arial"/>
        </w:rPr>
        <w:t>and cash equivalents</w:t>
      </w:r>
      <w:bookmarkEnd w:id="38"/>
      <w:bookmarkEnd w:id="39"/>
    </w:p>
    <w:p w14:paraId="17EF58ED" w14:textId="0E70AB0C" w:rsidR="00C643AD" w:rsidRPr="0098522D" w:rsidRDefault="00C643AD" w:rsidP="00A824AF">
      <w:pPr>
        <w:pStyle w:val="Style3"/>
        <w:spacing w:after="0"/>
        <w:rPr>
          <w:rFonts w:cs="Arial"/>
          <w:sz w:val="20"/>
        </w:rPr>
      </w:pPr>
    </w:p>
    <w:p w14:paraId="543334F8" w14:textId="0196E6FC" w:rsidR="006A2185" w:rsidRPr="007C4A37" w:rsidRDefault="00170616" w:rsidP="00A824AF">
      <w:pPr>
        <w:pStyle w:val="Style3"/>
        <w:spacing w:after="0"/>
        <w:rPr>
          <w:rFonts w:cs="Arial"/>
          <w:sz w:val="20"/>
        </w:rPr>
      </w:pPr>
      <w:r w:rsidRPr="00170616">
        <w:rPr>
          <w:noProof/>
        </w:rPr>
        <w:drawing>
          <wp:inline distT="0" distB="0" distL="0" distR="0" wp14:anchorId="55E785A5" wp14:editId="191BEEDA">
            <wp:extent cx="6137910" cy="2811145"/>
            <wp:effectExtent l="0" t="0" r="0" b="0"/>
            <wp:docPr id="37830310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37910" cy="2811145"/>
                    </a:xfrm>
                    <a:prstGeom prst="rect">
                      <a:avLst/>
                    </a:prstGeom>
                    <a:noFill/>
                    <a:ln>
                      <a:noFill/>
                    </a:ln>
                  </pic:spPr>
                </pic:pic>
              </a:graphicData>
            </a:graphic>
          </wp:inline>
        </w:drawing>
      </w:r>
    </w:p>
    <w:p w14:paraId="4B83E2C3" w14:textId="77777777" w:rsidR="006A2185" w:rsidRPr="0038775D" w:rsidRDefault="006A2185" w:rsidP="00A824AF">
      <w:pPr>
        <w:pStyle w:val="Style3"/>
        <w:spacing w:after="0"/>
        <w:rPr>
          <w:rFonts w:cs="Arial"/>
          <w:sz w:val="20"/>
        </w:rPr>
      </w:pPr>
    </w:p>
    <w:p w14:paraId="1D9F366C" w14:textId="77777777" w:rsidR="00A824AF" w:rsidRPr="0038775D" w:rsidRDefault="00A824AF" w:rsidP="00A824AF">
      <w:pPr>
        <w:pStyle w:val="Style3"/>
        <w:spacing w:after="0"/>
        <w:rPr>
          <w:rFonts w:cs="Arial"/>
          <w:sz w:val="20"/>
        </w:rPr>
      </w:pPr>
      <w:r w:rsidRPr="0038775D">
        <w:rPr>
          <w:rFonts w:cs="Arial"/>
          <w:sz w:val="20"/>
        </w:rPr>
        <w:t>Cash deposits are generally held in instant access bank accounts</w:t>
      </w:r>
      <w:r w:rsidR="00BF793F" w:rsidRPr="0038775D">
        <w:rPr>
          <w:rFonts w:cs="Arial"/>
          <w:sz w:val="20"/>
        </w:rPr>
        <w:t xml:space="preserve">. </w:t>
      </w:r>
    </w:p>
    <w:p w14:paraId="7FF79011" w14:textId="77777777" w:rsidR="009A6907" w:rsidRPr="0038775D" w:rsidRDefault="009A6907" w:rsidP="00A824AF">
      <w:pPr>
        <w:pStyle w:val="Style3"/>
        <w:spacing w:after="0"/>
        <w:rPr>
          <w:rFonts w:cs="Arial"/>
          <w:sz w:val="20"/>
        </w:rPr>
      </w:pPr>
    </w:p>
    <w:p w14:paraId="575EDD47" w14:textId="77777777" w:rsidR="00A824AF" w:rsidRPr="00BB2405" w:rsidRDefault="00A824AF" w:rsidP="00A824AF">
      <w:pPr>
        <w:pStyle w:val="Style3"/>
        <w:spacing w:after="0"/>
        <w:rPr>
          <w:rFonts w:cs="Arial"/>
          <w:sz w:val="20"/>
        </w:rPr>
      </w:pPr>
      <w:r w:rsidRPr="00F76236">
        <w:rPr>
          <w:rFonts w:cs="Arial"/>
          <w:sz w:val="20"/>
        </w:rPr>
        <w:t>Working Capital Fund balances are considered as restricted, although interest received on Working Capital Fund balances is credited to the general fund of UPOV. Funds in trust held on behalf of</w:t>
      </w:r>
      <w:r w:rsidR="00933F29" w:rsidRPr="005976F2">
        <w:rPr>
          <w:rFonts w:cs="Arial"/>
          <w:sz w:val="20"/>
        </w:rPr>
        <w:t xml:space="preserve"> donors of extrabudgetary funds </w:t>
      </w:r>
      <w:r w:rsidRPr="00352498">
        <w:rPr>
          <w:rFonts w:cs="Arial"/>
          <w:sz w:val="20"/>
        </w:rPr>
        <w:t xml:space="preserve">are deposited in the currency in which expenditures will be reported, based upon agreements with donors. </w:t>
      </w:r>
    </w:p>
    <w:p w14:paraId="6D5BC56E" w14:textId="77777777" w:rsidR="00A824AF" w:rsidRPr="009B78B3" w:rsidRDefault="00A824AF" w:rsidP="00A824AF">
      <w:pPr>
        <w:pStyle w:val="Style3"/>
        <w:spacing w:after="0"/>
        <w:rPr>
          <w:rFonts w:cs="Arial"/>
          <w:sz w:val="20"/>
        </w:rPr>
      </w:pPr>
    </w:p>
    <w:p w14:paraId="74B20897" w14:textId="38686D74" w:rsidR="00A824AF" w:rsidRPr="009B78B3" w:rsidRDefault="00A824AF" w:rsidP="00A824AF">
      <w:pPr>
        <w:pStyle w:val="Style3"/>
        <w:spacing w:after="0"/>
        <w:rPr>
          <w:rFonts w:cs="Arial"/>
          <w:sz w:val="20"/>
        </w:rPr>
      </w:pPr>
      <w:r w:rsidRPr="009B78B3">
        <w:rPr>
          <w:rFonts w:cs="Arial"/>
          <w:sz w:val="20"/>
        </w:rPr>
        <w:t xml:space="preserve">At its thirty-third extraordinary session on March 17, 2016, the Council decided to hold in a separate account the funds allocated for the future financing of UPOV’s ASHI liability. </w:t>
      </w:r>
      <w:r w:rsidR="00195100" w:rsidRPr="009B78B3">
        <w:rPr>
          <w:rFonts w:cs="Arial"/>
          <w:sz w:val="20"/>
        </w:rPr>
        <w:t xml:space="preserve">As </w:t>
      </w:r>
      <w:proofErr w:type="gramStart"/>
      <w:r w:rsidR="00195100" w:rsidRPr="009B78B3">
        <w:rPr>
          <w:rFonts w:cs="Arial"/>
          <w:sz w:val="20"/>
        </w:rPr>
        <w:t>at</w:t>
      </w:r>
      <w:proofErr w:type="gramEnd"/>
      <w:r w:rsidR="00195100" w:rsidRPr="009B78B3">
        <w:rPr>
          <w:rFonts w:cs="Arial"/>
          <w:sz w:val="20"/>
        </w:rPr>
        <w:t xml:space="preserve"> December 31, </w:t>
      </w:r>
      <w:r w:rsidR="006A47A3" w:rsidRPr="009B78B3">
        <w:rPr>
          <w:rFonts w:cs="Arial"/>
          <w:sz w:val="20"/>
        </w:rPr>
        <w:t>202</w:t>
      </w:r>
      <w:r w:rsidR="00972E06">
        <w:rPr>
          <w:rFonts w:cs="Arial"/>
          <w:sz w:val="20"/>
        </w:rPr>
        <w:t>4</w:t>
      </w:r>
      <w:r w:rsidRPr="009B78B3">
        <w:rPr>
          <w:rFonts w:cs="Arial"/>
          <w:sz w:val="20"/>
        </w:rPr>
        <w:t xml:space="preserve">, the </w:t>
      </w:r>
      <w:r w:rsidR="00460801" w:rsidRPr="009B78B3">
        <w:rPr>
          <w:rFonts w:cs="Arial"/>
          <w:sz w:val="20"/>
        </w:rPr>
        <w:t xml:space="preserve">total balance of these funds </w:t>
      </w:r>
      <w:r w:rsidR="004506B2">
        <w:rPr>
          <w:rFonts w:cs="Arial"/>
          <w:sz w:val="20"/>
        </w:rPr>
        <w:t>was</w:t>
      </w:r>
      <w:r w:rsidR="004506B2" w:rsidRPr="009B78B3">
        <w:rPr>
          <w:rFonts w:cs="Arial"/>
          <w:sz w:val="20"/>
        </w:rPr>
        <w:t xml:space="preserve"> </w:t>
      </w:r>
      <w:r w:rsidR="002676CC">
        <w:rPr>
          <w:rFonts w:cs="Arial"/>
          <w:sz w:val="20"/>
        </w:rPr>
        <w:t xml:space="preserve">1,105,527 </w:t>
      </w:r>
      <w:r w:rsidR="002676CC" w:rsidRPr="009B78B3">
        <w:rPr>
          <w:rFonts w:cs="Arial"/>
          <w:sz w:val="20"/>
        </w:rPr>
        <w:t>Swiss</w:t>
      </w:r>
      <w:r w:rsidRPr="009B78B3">
        <w:rPr>
          <w:rFonts w:cs="Arial"/>
          <w:sz w:val="20"/>
        </w:rPr>
        <w:t xml:space="preserve"> francs</w:t>
      </w:r>
      <w:r w:rsidR="0072487A" w:rsidRPr="009B78B3">
        <w:rPr>
          <w:rFonts w:cs="Arial"/>
          <w:sz w:val="20"/>
        </w:rPr>
        <w:t xml:space="preserve"> (</w:t>
      </w:r>
      <w:r w:rsidR="00B05796">
        <w:rPr>
          <w:rFonts w:cs="Arial"/>
          <w:sz w:val="20"/>
        </w:rPr>
        <w:t>1,187,257</w:t>
      </w:r>
      <w:r w:rsidR="0034671F">
        <w:rPr>
          <w:rFonts w:cs="Arial"/>
          <w:sz w:val="20"/>
        </w:rPr>
        <w:t xml:space="preserve"> </w:t>
      </w:r>
      <w:r w:rsidR="0072487A" w:rsidRPr="009B78B3">
        <w:rPr>
          <w:rFonts w:cs="Arial"/>
          <w:sz w:val="20"/>
        </w:rPr>
        <w:t xml:space="preserve">Swiss francs </w:t>
      </w:r>
      <w:r w:rsidR="00515A5E" w:rsidRPr="009B78B3">
        <w:rPr>
          <w:rFonts w:cs="Arial"/>
          <w:sz w:val="20"/>
        </w:rPr>
        <w:t xml:space="preserve">as </w:t>
      </w:r>
      <w:proofErr w:type="gramStart"/>
      <w:r w:rsidR="00515A5E" w:rsidRPr="009B78B3">
        <w:rPr>
          <w:rFonts w:cs="Arial"/>
          <w:sz w:val="20"/>
        </w:rPr>
        <w:t>at</w:t>
      </w:r>
      <w:proofErr w:type="gramEnd"/>
      <w:r w:rsidR="00515A5E" w:rsidRPr="009B78B3">
        <w:rPr>
          <w:rFonts w:cs="Arial"/>
          <w:sz w:val="20"/>
        </w:rPr>
        <w:t xml:space="preserve"> December 31, </w:t>
      </w:r>
      <w:r w:rsidR="006A47A3" w:rsidRPr="009B78B3">
        <w:rPr>
          <w:rFonts w:cs="Arial"/>
          <w:sz w:val="20"/>
        </w:rPr>
        <w:t>202</w:t>
      </w:r>
      <w:r w:rsidR="00972E06">
        <w:rPr>
          <w:rFonts w:cs="Arial"/>
          <w:sz w:val="20"/>
        </w:rPr>
        <w:t>3</w:t>
      </w:r>
      <w:r w:rsidR="0072487A" w:rsidRPr="009B78B3">
        <w:rPr>
          <w:rFonts w:cs="Arial"/>
          <w:sz w:val="20"/>
        </w:rPr>
        <w:t>).</w:t>
      </w:r>
      <w:r w:rsidRPr="009B78B3">
        <w:rPr>
          <w:rFonts w:cs="Arial"/>
          <w:sz w:val="20"/>
        </w:rPr>
        <w:t xml:space="preserve"> </w:t>
      </w:r>
      <w:r w:rsidR="00FE45F2" w:rsidRPr="009B78B3">
        <w:rPr>
          <w:rFonts w:cs="Arial"/>
          <w:sz w:val="20"/>
        </w:rPr>
        <w:t>In accordance with the Council decision at the fifty-third ordinary session on November 1, 2019, t</w:t>
      </w:r>
      <w:r w:rsidR="00190831" w:rsidRPr="009B78B3">
        <w:rPr>
          <w:rFonts w:cs="Arial"/>
          <w:sz w:val="20"/>
        </w:rPr>
        <w:t xml:space="preserve">he funds are held in one of UPOV’s principal bank accounts but are managed separately from operating funds through a blocking instruction currently in place with the bank. </w:t>
      </w:r>
      <w:r w:rsidRPr="009B78B3">
        <w:rPr>
          <w:rFonts w:cs="Arial"/>
          <w:sz w:val="20"/>
        </w:rPr>
        <w:t>UPOV manages the ASHI funds in accordance with WIPO’s Policy on Investments, under which they are classified as strategic cash.</w:t>
      </w:r>
    </w:p>
    <w:p w14:paraId="46ED6956" w14:textId="77777777" w:rsidR="00B437E4" w:rsidRPr="009B78B3" w:rsidRDefault="00B437E4" w:rsidP="005D7523"/>
    <w:p w14:paraId="0FC8828E" w14:textId="77777777" w:rsidR="00AD74C0" w:rsidRDefault="00AD74C0" w:rsidP="005D7523">
      <w:bookmarkStart w:id="40" w:name="_Toc84329895"/>
    </w:p>
    <w:p w14:paraId="1CEEE4C8" w14:textId="447CA6DB" w:rsidR="00A824AF" w:rsidRPr="005D7523" w:rsidRDefault="002D58CC" w:rsidP="002D58CC">
      <w:pPr>
        <w:pStyle w:val="Heading2Notes"/>
        <w:rPr>
          <w:rFonts w:ascii="Arial" w:hAnsi="Arial" w:cs="Arial"/>
        </w:rPr>
      </w:pPr>
      <w:bookmarkStart w:id="41" w:name="_Toc198653939"/>
      <w:r w:rsidRPr="005D7523">
        <w:rPr>
          <w:rFonts w:ascii="Arial" w:hAnsi="Arial" w:cs="Arial"/>
        </w:rPr>
        <w:t xml:space="preserve">Note </w:t>
      </w:r>
      <w:r w:rsidR="00A824AF" w:rsidRPr="005D7523">
        <w:rPr>
          <w:rFonts w:ascii="Arial" w:hAnsi="Arial" w:cs="Arial"/>
        </w:rPr>
        <w:t>4:</w:t>
      </w:r>
      <w:r w:rsidR="00A824AF" w:rsidRPr="005D7523">
        <w:rPr>
          <w:rFonts w:ascii="Arial" w:hAnsi="Arial" w:cs="Arial"/>
        </w:rPr>
        <w:tab/>
      </w:r>
      <w:r w:rsidRPr="005D7523">
        <w:rPr>
          <w:rFonts w:ascii="Arial" w:hAnsi="Arial" w:cs="Arial"/>
        </w:rPr>
        <w:t xml:space="preserve">Accounts </w:t>
      </w:r>
      <w:r w:rsidR="00A824AF" w:rsidRPr="005D7523">
        <w:rPr>
          <w:rFonts w:ascii="Arial" w:hAnsi="Arial" w:cs="Arial"/>
        </w:rPr>
        <w:t>receivable</w:t>
      </w:r>
      <w:bookmarkEnd w:id="40"/>
      <w:bookmarkEnd w:id="41"/>
    </w:p>
    <w:p w14:paraId="504A8F17" w14:textId="77777777" w:rsidR="00170616" w:rsidRPr="007B443E" w:rsidRDefault="00170616" w:rsidP="00A824AF">
      <w:pPr>
        <w:rPr>
          <w:rFonts w:cs="Arial"/>
          <w:noProof/>
        </w:rPr>
      </w:pPr>
    </w:p>
    <w:p w14:paraId="42322E15" w14:textId="3239B62B" w:rsidR="006C0171" w:rsidRPr="0098522D" w:rsidRDefault="00170616" w:rsidP="00F01218">
      <w:pPr>
        <w:jc w:val="center"/>
        <w:rPr>
          <w:rFonts w:cs="Arial"/>
          <w:noProof/>
        </w:rPr>
      </w:pPr>
      <w:r w:rsidRPr="00170616">
        <w:rPr>
          <w:noProof/>
        </w:rPr>
        <w:drawing>
          <wp:inline distT="0" distB="0" distL="0" distR="0" wp14:anchorId="4501B2DA" wp14:editId="3A6AE757">
            <wp:extent cx="6087745" cy="2277745"/>
            <wp:effectExtent l="0" t="0" r="8255" b="0"/>
            <wp:docPr id="68592827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87745" cy="2277745"/>
                    </a:xfrm>
                    <a:prstGeom prst="rect">
                      <a:avLst/>
                    </a:prstGeom>
                    <a:noFill/>
                    <a:ln>
                      <a:noFill/>
                    </a:ln>
                  </pic:spPr>
                </pic:pic>
              </a:graphicData>
            </a:graphic>
          </wp:inline>
        </w:drawing>
      </w:r>
    </w:p>
    <w:p w14:paraId="19C1F39A" w14:textId="46E1DBDF" w:rsidR="0058181D" w:rsidRDefault="00A824AF" w:rsidP="00A824AF">
      <w:pPr>
        <w:rPr>
          <w:rFonts w:cs="Arial"/>
        </w:rPr>
      </w:pPr>
      <w:r w:rsidRPr="005976F2">
        <w:rPr>
          <w:rFonts w:cs="Arial"/>
        </w:rPr>
        <w:t xml:space="preserve">Contributions represent uncollected revenue related to the UPOV contribution system. The amount of the annual contribution of each member of the Union is calculated on the basis of the number of contribution units </w:t>
      </w:r>
      <w:r w:rsidR="00546F39" w:rsidRPr="00352498">
        <w:rPr>
          <w:rFonts w:cs="Arial"/>
        </w:rPr>
        <w:t>applied to the</w:t>
      </w:r>
      <w:r w:rsidR="00546F39" w:rsidRPr="00BB2405">
        <w:rPr>
          <w:rFonts w:cs="Arial"/>
        </w:rPr>
        <w:t xml:space="preserve"> member</w:t>
      </w:r>
      <w:r w:rsidRPr="008E132D">
        <w:rPr>
          <w:rFonts w:cs="Arial"/>
        </w:rPr>
        <w:t xml:space="preserve"> (Article 26 of the 1978 Act and Article 29 of the 1991 Act of the Convention). When applicable, an allowance is established to offset the</w:t>
      </w:r>
      <w:r w:rsidRPr="009B78B3">
        <w:rPr>
          <w:rFonts w:cs="Arial"/>
        </w:rPr>
        <w:t xml:space="preserve"> value of receivables due from contributions. The allowance covers amounts due from periods prior to the last biennium. </w:t>
      </w:r>
      <w:r w:rsidR="0058181D">
        <w:rPr>
          <w:rFonts w:cs="Arial"/>
        </w:rPr>
        <w:t>A</w:t>
      </w:r>
      <w:r w:rsidR="003B065A">
        <w:rPr>
          <w:rFonts w:cs="Arial"/>
        </w:rPr>
        <w:t xml:space="preserve"> contribution </w:t>
      </w:r>
      <w:r w:rsidR="0058181D" w:rsidRPr="00C35576">
        <w:rPr>
          <w:rFonts w:cs="Arial"/>
        </w:rPr>
        <w:t>allowance</w:t>
      </w:r>
      <w:r w:rsidR="003B065A">
        <w:rPr>
          <w:rFonts w:cs="Arial"/>
        </w:rPr>
        <w:t xml:space="preserve"> </w:t>
      </w:r>
      <w:r w:rsidR="0058181D" w:rsidRPr="00C35576">
        <w:rPr>
          <w:rFonts w:cs="Arial"/>
        </w:rPr>
        <w:t>of 42,912 Swiss francs</w:t>
      </w:r>
      <w:r w:rsidR="0058181D">
        <w:rPr>
          <w:rFonts w:cs="Arial"/>
        </w:rPr>
        <w:t xml:space="preserve"> was established in 2024</w:t>
      </w:r>
      <w:r w:rsidR="003B065A">
        <w:rPr>
          <w:rFonts w:cs="Arial"/>
        </w:rPr>
        <w:t xml:space="preserve">. </w:t>
      </w:r>
      <w:r w:rsidR="0058181D">
        <w:rPr>
          <w:rFonts w:cs="Arial"/>
        </w:rPr>
        <w:t xml:space="preserve"> </w:t>
      </w:r>
    </w:p>
    <w:p w14:paraId="3F238398" w14:textId="77777777" w:rsidR="005E1412" w:rsidRDefault="005E1412">
      <w:pPr>
        <w:jc w:val="left"/>
        <w:rPr>
          <w:rFonts w:cs="Arial"/>
        </w:rPr>
      </w:pPr>
    </w:p>
    <w:p w14:paraId="108AB4F4" w14:textId="77777777" w:rsidR="0020503E" w:rsidRPr="009B78B3" w:rsidRDefault="0020503E" w:rsidP="00F01218">
      <w:pPr>
        <w:jc w:val="left"/>
        <w:rPr>
          <w:rFonts w:cs="Arial"/>
        </w:rPr>
      </w:pPr>
    </w:p>
    <w:p w14:paraId="131C6B1B" w14:textId="77777777" w:rsidR="00972E06" w:rsidRDefault="00972E06">
      <w:pPr>
        <w:jc w:val="left"/>
        <w:rPr>
          <w:rFonts w:cs="Arial"/>
          <w:b/>
          <w:caps/>
        </w:rPr>
      </w:pPr>
      <w:bookmarkStart w:id="42" w:name="_Toc84329896"/>
      <w:r>
        <w:rPr>
          <w:rFonts w:cs="Arial"/>
        </w:rPr>
        <w:br w:type="page"/>
      </w:r>
    </w:p>
    <w:p w14:paraId="33AEF6D0" w14:textId="75DBFA40" w:rsidR="00AD74C0" w:rsidRPr="005D7523" w:rsidRDefault="0020503E" w:rsidP="006C0171">
      <w:pPr>
        <w:pStyle w:val="Heading2Notes"/>
        <w:rPr>
          <w:rFonts w:ascii="Arial" w:hAnsi="Arial" w:cs="Arial"/>
        </w:rPr>
      </w:pPr>
      <w:bookmarkStart w:id="43" w:name="_Toc198653940"/>
      <w:r w:rsidRPr="005D7523">
        <w:rPr>
          <w:rFonts w:ascii="Arial" w:hAnsi="Arial" w:cs="Arial"/>
        </w:rPr>
        <w:lastRenderedPageBreak/>
        <w:t xml:space="preserve">Note </w:t>
      </w:r>
      <w:r w:rsidR="00C746BD" w:rsidRPr="005D7523">
        <w:rPr>
          <w:rFonts w:ascii="Arial" w:hAnsi="Arial" w:cs="Arial"/>
        </w:rPr>
        <w:t>5</w:t>
      </w:r>
      <w:r w:rsidR="00A824AF" w:rsidRPr="005D7523">
        <w:rPr>
          <w:rFonts w:ascii="Arial" w:hAnsi="Arial" w:cs="Arial"/>
        </w:rPr>
        <w:t>:</w:t>
      </w:r>
      <w:r w:rsidR="00A824AF" w:rsidRPr="005D7523">
        <w:rPr>
          <w:rFonts w:ascii="Arial" w:hAnsi="Arial" w:cs="Arial"/>
        </w:rPr>
        <w:tab/>
      </w:r>
      <w:r w:rsidRPr="005D7523">
        <w:rPr>
          <w:rFonts w:ascii="Arial" w:hAnsi="Arial" w:cs="Arial"/>
        </w:rPr>
        <w:t xml:space="preserve">Employee </w:t>
      </w:r>
      <w:r w:rsidR="00A824AF" w:rsidRPr="005D7523">
        <w:rPr>
          <w:rFonts w:ascii="Arial" w:hAnsi="Arial" w:cs="Arial"/>
        </w:rPr>
        <w:t>benefits</w:t>
      </w:r>
      <w:bookmarkEnd w:id="42"/>
      <w:bookmarkEnd w:id="43"/>
    </w:p>
    <w:p w14:paraId="4B31CACD" w14:textId="77777777" w:rsidR="00E45414" w:rsidRDefault="00E45414">
      <w:pPr>
        <w:pStyle w:val="Caption"/>
        <w:rPr>
          <w:b w:val="0"/>
          <w:bCs w:val="0"/>
          <w:sz w:val="20"/>
        </w:rPr>
      </w:pPr>
    </w:p>
    <w:p w14:paraId="44D57124" w14:textId="6D99AE39" w:rsidR="00AC3CB0" w:rsidRDefault="00A92A42" w:rsidP="00F01218">
      <w:pPr>
        <w:pStyle w:val="Caption"/>
        <w:jc w:val="center"/>
      </w:pPr>
      <w:r w:rsidRPr="00A92A42">
        <w:rPr>
          <w:noProof/>
        </w:rPr>
        <w:drawing>
          <wp:inline distT="0" distB="0" distL="0" distR="0" wp14:anchorId="6A811876" wp14:editId="017CD19B">
            <wp:extent cx="6137910" cy="3035935"/>
            <wp:effectExtent l="0" t="0" r="0" b="0"/>
            <wp:docPr id="165333997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37910" cy="3035935"/>
                    </a:xfrm>
                    <a:prstGeom prst="rect">
                      <a:avLst/>
                    </a:prstGeom>
                    <a:noFill/>
                    <a:ln>
                      <a:noFill/>
                    </a:ln>
                  </pic:spPr>
                </pic:pic>
              </a:graphicData>
            </a:graphic>
          </wp:inline>
        </w:drawing>
      </w:r>
    </w:p>
    <w:p w14:paraId="0FB98B06" w14:textId="1C373163" w:rsidR="00851447" w:rsidRPr="0098522D" w:rsidRDefault="00851447" w:rsidP="00851447">
      <w:pPr>
        <w:pStyle w:val="Style3"/>
        <w:rPr>
          <w:rFonts w:cs="Arial"/>
          <w:sz w:val="20"/>
        </w:rPr>
      </w:pPr>
      <w:r w:rsidRPr="0098522D">
        <w:rPr>
          <w:rFonts w:cs="Arial"/>
          <w:sz w:val="20"/>
        </w:rPr>
        <w:t>Long-term employee benefits include After-Service Health Insurance (ASHI), repatriation grant and travel, and accumulated leave (posts):</w:t>
      </w:r>
    </w:p>
    <w:p w14:paraId="7BA6E762" w14:textId="29EF94B2" w:rsidR="00851447" w:rsidRPr="0038775D" w:rsidRDefault="00851447" w:rsidP="00851447">
      <w:pPr>
        <w:pStyle w:val="Style3"/>
        <w:rPr>
          <w:rFonts w:cs="Arial"/>
          <w:sz w:val="20"/>
        </w:rPr>
      </w:pPr>
      <w:r w:rsidRPr="0038775D">
        <w:rPr>
          <w:rFonts w:cs="Arial"/>
          <w:b/>
          <w:i/>
          <w:sz w:val="20"/>
        </w:rPr>
        <w:t>ASHI:</w:t>
      </w:r>
      <w:r w:rsidRPr="0038775D">
        <w:rPr>
          <w:rFonts w:cs="Arial"/>
          <w:i/>
          <w:sz w:val="20"/>
        </w:rPr>
        <w:t xml:space="preserve"> </w:t>
      </w:r>
      <w:r w:rsidRPr="0038775D">
        <w:rPr>
          <w:rFonts w:cs="Arial"/>
          <w:sz w:val="20"/>
        </w:rPr>
        <w:t>Staff members (and their spouses, dependent children and survivors) retiring from service are eligible for After-Service Health Insurance (ASHI) coverage if they continue to participate in the medical insurance plan after separation from service. In</w:t>
      </w:r>
      <w:r w:rsidR="006D2224" w:rsidRPr="0038775D">
        <w:rPr>
          <w:rFonts w:cs="Arial"/>
          <w:sz w:val="20"/>
        </w:rPr>
        <w:t xml:space="preserve"> accordance with the Staff Regulations and Rules</w:t>
      </w:r>
      <w:r w:rsidRPr="0038775D">
        <w:rPr>
          <w:rFonts w:cs="Arial"/>
          <w:sz w:val="20"/>
        </w:rPr>
        <w:t xml:space="preserve">, a share of 65 per cent of the monthly medical insurance premium is paid by </w:t>
      </w:r>
      <w:r w:rsidR="006D2224" w:rsidRPr="005D7523">
        <w:rPr>
          <w:rFonts w:cs="Arial"/>
          <w:sz w:val="20"/>
        </w:rPr>
        <w:t>UPOV</w:t>
      </w:r>
      <w:r w:rsidR="00AF5213" w:rsidRPr="007B443E">
        <w:rPr>
          <w:rFonts w:cs="Arial"/>
          <w:sz w:val="20"/>
        </w:rPr>
        <w:t>.</w:t>
      </w:r>
    </w:p>
    <w:p w14:paraId="4D0794E2" w14:textId="6B158109" w:rsidR="00851447" w:rsidRPr="0038775D" w:rsidRDefault="00851447" w:rsidP="00851447">
      <w:pPr>
        <w:pStyle w:val="Style3"/>
        <w:rPr>
          <w:rFonts w:cs="Arial"/>
          <w:sz w:val="20"/>
        </w:rPr>
      </w:pPr>
      <w:r w:rsidRPr="0038775D">
        <w:rPr>
          <w:rFonts w:cs="Arial"/>
          <w:b/>
          <w:i/>
          <w:sz w:val="20"/>
        </w:rPr>
        <w:t>Repatriation grant and travel:</w:t>
      </w:r>
      <w:r w:rsidRPr="0038775D">
        <w:rPr>
          <w:rFonts w:cs="Arial"/>
          <w:sz w:val="20"/>
        </w:rPr>
        <w:t xml:space="preserve"> </w:t>
      </w:r>
      <w:r w:rsidR="004506B2">
        <w:rPr>
          <w:rFonts w:cs="Arial"/>
          <w:sz w:val="20"/>
        </w:rPr>
        <w:t>UPOV</w:t>
      </w:r>
      <w:r w:rsidR="004506B2" w:rsidRPr="0038775D">
        <w:rPr>
          <w:rFonts w:cs="Arial"/>
          <w:sz w:val="20"/>
        </w:rPr>
        <w:t xml:space="preserve"> </w:t>
      </w:r>
      <w:r w:rsidRPr="0038775D">
        <w:rPr>
          <w:rFonts w:cs="Arial"/>
          <w:sz w:val="20"/>
        </w:rPr>
        <w:t>has a contractual obligation to provide benefits such as repatriation grants, travel and removal for certain internationally recruited staff members at the time of their separation from service</w:t>
      </w:r>
      <w:r w:rsidR="00A22995" w:rsidRPr="0038775D">
        <w:rPr>
          <w:rFonts w:cs="Arial"/>
          <w:sz w:val="20"/>
        </w:rPr>
        <w:t>.</w:t>
      </w:r>
    </w:p>
    <w:p w14:paraId="36E78CBA" w14:textId="63596038" w:rsidR="00851447" w:rsidRPr="00A332D4" w:rsidRDefault="00851447" w:rsidP="00851447">
      <w:pPr>
        <w:pStyle w:val="Style3"/>
        <w:rPr>
          <w:rFonts w:cs="Arial"/>
          <w:sz w:val="20"/>
        </w:rPr>
      </w:pPr>
      <w:r w:rsidRPr="0038775D">
        <w:rPr>
          <w:rFonts w:cs="Arial"/>
          <w:b/>
          <w:i/>
          <w:sz w:val="20"/>
        </w:rPr>
        <w:t>Accumulated leave (posts):</w:t>
      </w:r>
      <w:r w:rsidRPr="0038775D">
        <w:rPr>
          <w:rFonts w:cs="Arial"/>
          <w:sz w:val="20"/>
        </w:rPr>
        <w:t xml:space="preserve"> </w:t>
      </w:r>
      <w:r w:rsidR="00A332D4" w:rsidRPr="005D7523">
        <w:rPr>
          <w:sz w:val="20"/>
        </w:rPr>
        <w:t>Accumulated annual leave is classified as a long-term employee benefit for staff members holding permanent, continuing or fixed term contracts. Staff in posts may accrue up to 15 days of annual leave in a given year, and a total accumulated balance of 60 days. On separation from service, staff in posts who have accumulated annual leave can receive a payment in lieu of an amount equivalent to their salary for the period of accumulated annual leave, up to a maximum of 60 days.</w:t>
      </w:r>
    </w:p>
    <w:p w14:paraId="673DA40D" w14:textId="0949A8B3" w:rsidR="00851447" w:rsidRDefault="00851447" w:rsidP="00851447">
      <w:pPr>
        <w:pStyle w:val="Style3"/>
        <w:spacing w:after="0"/>
        <w:rPr>
          <w:rFonts w:cs="Arial"/>
          <w:sz w:val="20"/>
        </w:rPr>
      </w:pPr>
      <w:r w:rsidRPr="005D7523">
        <w:rPr>
          <w:rFonts w:cs="Arial"/>
          <w:sz w:val="20"/>
        </w:rPr>
        <w:t xml:space="preserve">Employee benefit liabilities for ASHI, repatriation grant and travel, and accumulated leave (posts) are calculated by an independent actuary. Actuarial assumptions have a significant effect on the amounts calculated for employee benefit liabilities. </w:t>
      </w:r>
      <w:r w:rsidR="00100705" w:rsidRPr="003F77A9">
        <w:rPr>
          <w:rFonts w:cs="Arial"/>
          <w:sz w:val="20"/>
        </w:rPr>
        <w:t>A description of the factors which impact the size of the ASHI liability is included in the financial statement discussion and analysis which precedes these financial statements.</w:t>
      </w:r>
      <w:r w:rsidR="00100705">
        <w:rPr>
          <w:rFonts w:cs="Arial"/>
          <w:sz w:val="20"/>
        </w:rPr>
        <w:t xml:space="preserve"> </w:t>
      </w:r>
      <w:r w:rsidRPr="0098522D">
        <w:rPr>
          <w:rFonts w:cs="Arial"/>
          <w:sz w:val="20"/>
        </w:rPr>
        <w:t>The principal actuarial assumptio</w:t>
      </w:r>
      <w:r w:rsidR="00D025F9" w:rsidRPr="0098522D">
        <w:rPr>
          <w:rFonts w:cs="Arial"/>
          <w:sz w:val="20"/>
        </w:rPr>
        <w:t xml:space="preserve">ns applied in determining long-term employee benefits </w:t>
      </w:r>
      <w:r w:rsidRPr="0098522D">
        <w:rPr>
          <w:rFonts w:cs="Arial"/>
          <w:sz w:val="20"/>
        </w:rPr>
        <w:t>liabilities are detailed below. Discount rates were determined using AA Corporate Bond Yield Curves:</w:t>
      </w:r>
    </w:p>
    <w:p w14:paraId="2C2A0323" w14:textId="77777777" w:rsidR="007609FC" w:rsidRDefault="007609FC" w:rsidP="00851447">
      <w:pPr>
        <w:pStyle w:val="Style3"/>
        <w:spacing w:after="0"/>
        <w:rPr>
          <w:rFonts w:cs="Arial"/>
          <w:sz w:val="20"/>
        </w:rPr>
      </w:pPr>
    </w:p>
    <w:p w14:paraId="35BDE75E" w14:textId="0C9A2CC0" w:rsidR="007609FC" w:rsidRPr="0098522D" w:rsidRDefault="00732FA1" w:rsidP="00F01218">
      <w:pPr>
        <w:pStyle w:val="Style3"/>
        <w:spacing w:after="0"/>
        <w:jc w:val="center"/>
        <w:rPr>
          <w:rFonts w:cs="Arial"/>
          <w:sz w:val="20"/>
        </w:rPr>
      </w:pPr>
      <w:r w:rsidRPr="00732FA1">
        <w:rPr>
          <w:noProof/>
        </w:rPr>
        <w:lastRenderedPageBreak/>
        <w:drawing>
          <wp:inline distT="0" distB="0" distL="0" distR="0" wp14:anchorId="697E3B82" wp14:editId="1559E74E">
            <wp:extent cx="5359400" cy="4800600"/>
            <wp:effectExtent l="0" t="0" r="0" b="0"/>
            <wp:docPr id="34633988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59400" cy="4800600"/>
                    </a:xfrm>
                    <a:prstGeom prst="rect">
                      <a:avLst/>
                    </a:prstGeom>
                    <a:noFill/>
                    <a:ln>
                      <a:noFill/>
                    </a:ln>
                  </pic:spPr>
                </pic:pic>
              </a:graphicData>
            </a:graphic>
          </wp:inline>
        </w:drawing>
      </w:r>
    </w:p>
    <w:p w14:paraId="5201BF21" w14:textId="77777777" w:rsidR="005E1412" w:rsidRDefault="005E1412" w:rsidP="00851447">
      <w:pPr>
        <w:pStyle w:val="Style3"/>
        <w:spacing w:after="0"/>
        <w:rPr>
          <w:rFonts w:cs="Arial"/>
          <w:sz w:val="20"/>
        </w:rPr>
      </w:pPr>
    </w:p>
    <w:p w14:paraId="5F957810" w14:textId="1CAEA146" w:rsidR="007F5A07" w:rsidRPr="005E1412" w:rsidRDefault="003E2998" w:rsidP="00F01218">
      <w:pPr>
        <w:pStyle w:val="Style3"/>
        <w:spacing w:after="0"/>
      </w:pPr>
      <w:r w:rsidRPr="005E1412">
        <w:rPr>
          <w:sz w:val="20"/>
        </w:rPr>
        <w:t xml:space="preserve">The present value of the defined benefit obligations for ASHI is determined using the projected unit credit method including discounting the estimated future cash outflows. </w:t>
      </w:r>
      <w:r w:rsidR="000E6EE1" w:rsidRPr="005E1412">
        <w:rPr>
          <w:sz w:val="20"/>
        </w:rPr>
        <w:t>In accordance with IPSAS,</w:t>
      </w:r>
      <w:r w:rsidR="00732FA1">
        <w:rPr>
          <w:sz w:val="20"/>
        </w:rPr>
        <w:t xml:space="preserve"> as </w:t>
      </w:r>
      <w:proofErr w:type="gramStart"/>
      <w:r w:rsidR="00732FA1">
        <w:rPr>
          <w:sz w:val="20"/>
        </w:rPr>
        <w:t>at</w:t>
      </w:r>
      <w:proofErr w:type="gramEnd"/>
      <w:r w:rsidR="00732FA1">
        <w:rPr>
          <w:sz w:val="20"/>
        </w:rPr>
        <w:t xml:space="preserve"> December</w:t>
      </w:r>
      <w:r w:rsidR="005D6D76">
        <w:rPr>
          <w:sz w:val="20"/>
        </w:rPr>
        <w:t> </w:t>
      </w:r>
      <w:r w:rsidR="00732FA1">
        <w:rPr>
          <w:sz w:val="20"/>
        </w:rPr>
        <w:t>31, 2024,</w:t>
      </w:r>
      <w:r w:rsidR="000E6EE1" w:rsidRPr="005E1412">
        <w:rPr>
          <w:sz w:val="20"/>
        </w:rPr>
        <w:t xml:space="preserve"> UPOV’s ASHI liability is considered as unfunded as no plan assets are held in a legally separate entity or fund, and therefore no plan assets are deducted from the liability as recognized in the statement of financial position. However, it should be noted that UPOV holds funds established for the future financing of the ASHI liability (see Note 3). The table below details the expense for ASHI recognized in the Statement of Financial Performance:</w:t>
      </w:r>
    </w:p>
    <w:p w14:paraId="62AFD79C" w14:textId="1C7A9D4C" w:rsidR="00AD74C0" w:rsidRDefault="00AD74C0" w:rsidP="006519FD">
      <w:pPr>
        <w:rPr>
          <w:rFonts w:cs="Arial"/>
        </w:rPr>
      </w:pPr>
    </w:p>
    <w:p w14:paraId="26F1391D" w14:textId="4F25DA93" w:rsidR="00AD74C0" w:rsidRPr="0038775D" w:rsidRDefault="00732FA1" w:rsidP="00F01218">
      <w:pPr>
        <w:jc w:val="center"/>
        <w:rPr>
          <w:rFonts w:cs="Arial"/>
        </w:rPr>
      </w:pPr>
      <w:r w:rsidRPr="00732FA1">
        <w:rPr>
          <w:noProof/>
        </w:rPr>
        <w:drawing>
          <wp:inline distT="0" distB="0" distL="0" distR="0" wp14:anchorId="7C3B95C6" wp14:editId="46952320">
            <wp:extent cx="6137910" cy="1482090"/>
            <wp:effectExtent l="0" t="0" r="0" b="0"/>
            <wp:docPr id="199246649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37910" cy="1482090"/>
                    </a:xfrm>
                    <a:prstGeom prst="rect">
                      <a:avLst/>
                    </a:prstGeom>
                    <a:noFill/>
                    <a:ln>
                      <a:noFill/>
                    </a:ln>
                  </pic:spPr>
                </pic:pic>
              </a:graphicData>
            </a:graphic>
          </wp:inline>
        </w:drawing>
      </w:r>
    </w:p>
    <w:p w14:paraId="01268A86" w14:textId="77777777" w:rsidR="007F5A07" w:rsidRPr="0098522D" w:rsidRDefault="007F5A07" w:rsidP="006519FD">
      <w:pPr>
        <w:rPr>
          <w:rFonts w:cs="Arial"/>
        </w:rPr>
      </w:pPr>
    </w:p>
    <w:p w14:paraId="317282D7" w14:textId="77777777" w:rsidR="00732FA1" w:rsidRDefault="00732FA1">
      <w:pPr>
        <w:jc w:val="left"/>
        <w:rPr>
          <w:rFonts w:cs="Arial"/>
        </w:rPr>
      </w:pPr>
      <w:r>
        <w:rPr>
          <w:rFonts w:cs="Arial"/>
        </w:rPr>
        <w:br w:type="page"/>
      </w:r>
    </w:p>
    <w:p w14:paraId="24A79404" w14:textId="6C5C7146" w:rsidR="007F5A07" w:rsidRDefault="007F5A07" w:rsidP="006519FD">
      <w:pPr>
        <w:rPr>
          <w:rFonts w:cs="Arial"/>
        </w:rPr>
      </w:pPr>
      <w:r w:rsidRPr="007C4A37">
        <w:rPr>
          <w:rFonts w:cs="Arial"/>
        </w:rPr>
        <w:lastRenderedPageBreak/>
        <w:t xml:space="preserve">The </w:t>
      </w:r>
      <w:r w:rsidR="00563B29" w:rsidRPr="007C4A37">
        <w:rPr>
          <w:rFonts w:cs="Arial"/>
        </w:rPr>
        <w:t xml:space="preserve">following </w:t>
      </w:r>
      <w:r w:rsidRPr="0038775D">
        <w:rPr>
          <w:rFonts w:cs="Arial"/>
        </w:rPr>
        <w:t>table details the changes in the ASHI defined benefit obligation, including the impact of actuarial gains/(losses):</w:t>
      </w:r>
    </w:p>
    <w:p w14:paraId="5B677998" w14:textId="7320A43C" w:rsidR="004937D3" w:rsidRDefault="004937D3" w:rsidP="006519FD">
      <w:pPr>
        <w:rPr>
          <w:rFonts w:cs="Arial"/>
        </w:rPr>
      </w:pPr>
    </w:p>
    <w:p w14:paraId="22C645DF" w14:textId="464995AC" w:rsidR="0044289F" w:rsidRPr="0038775D" w:rsidRDefault="00A92A42" w:rsidP="00F01218">
      <w:pPr>
        <w:jc w:val="center"/>
        <w:rPr>
          <w:rFonts w:cs="Arial"/>
        </w:rPr>
      </w:pPr>
      <w:r w:rsidRPr="00A92A42">
        <w:rPr>
          <w:noProof/>
        </w:rPr>
        <w:drawing>
          <wp:inline distT="0" distB="0" distL="0" distR="0" wp14:anchorId="10BA054A" wp14:editId="03F31D17">
            <wp:extent cx="6096000" cy="4639945"/>
            <wp:effectExtent l="0" t="0" r="0" b="0"/>
            <wp:docPr id="474329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0" cy="4639945"/>
                    </a:xfrm>
                    <a:prstGeom prst="rect">
                      <a:avLst/>
                    </a:prstGeom>
                    <a:noFill/>
                    <a:ln>
                      <a:noFill/>
                    </a:ln>
                  </pic:spPr>
                </pic:pic>
              </a:graphicData>
            </a:graphic>
          </wp:inline>
        </w:drawing>
      </w:r>
    </w:p>
    <w:p w14:paraId="13168623" w14:textId="0762DCAD" w:rsidR="002D043A" w:rsidRPr="00C21351" w:rsidRDefault="002D043A" w:rsidP="00D2272B"/>
    <w:p w14:paraId="6AFE7164" w14:textId="7AB19015" w:rsidR="009B2091" w:rsidRDefault="009B2091" w:rsidP="009B2091">
      <w:pPr>
        <w:rPr>
          <w:rFonts w:cs="Arial"/>
        </w:rPr>
      </w:pPr>
      <w:bookmarkStart w:id="44" w:name="_Hlk192858195"/>
      <w:r w:rsidRPr="009B2091">
        <w:rPr>
          <w:rFonts w:cs="Arial"/>
        </w:rPr>
        <w:t xml:space="preserve">As can be seen in the table above, </w:t>
      </w:r>
      <w:r w:rsidR="00BD078C">
        <w:rPr>
          <w:rFonts w:cs="Arial"/>
        </w:rPr>
        <w:t>a</w:t>
      </w:r>
      <w:r w:rsidRPr="009B2091">
        <w:rPr>
          <w:rFonts w:cs="Arial"/>
        </w:rPr>
        <w:t xml:space="preserve"> significant </w:t>
      </w:r>
      <w:r w:rsidR="00BD078C">
        <w:rPr>
          <w:rFonts w:cs="Arial"/>
        </w:rPr>
        <w:t>factor in the increase in the ASHI defined benefit obligation</w:t>
      </w:r>
      <w:r w:rsidRPr="009B2091">
        <w:rPr>
          <w:rFonts w:cs="Arial"/>
        </w:rPr>
        <w:t xml:space="preserve"> in 2024 </w:t>
      </w:r>
      <w:r w:rsidR="00BD078C">
        <w:rPr>
          <w:rFonts w:cs="Arial"/>
        </w:rPr>
        <w:t>was</w:t>
      </w:r>
      <w:r w:rsidRPr="009B2091">
        <w:rPr>
          <w:rFonts w:cs="Arial"/>
        </w:rPr>
        <w:t xml:space="preserve"> an</w:t>
      </w:r>
      <w:r w:rsidR="00A92A42">
        <w:rPr>
          <w:rFonts w:cs="Arial"/>
        </w:rPr>
        <w:t xml:space="preserve"> opening balance</w:t>
      </w:r>
      <w:r w:rsidRPr="009B2091">
        <w:rPr>
          <w:rFonts w:cs="Arial"/>
        </w:rPr>
        <w:t xml:space="preserve"> adjustment </w:t>
      </w:r>
      <w:r w:rsidRPr="00F01218">
        <w:rPr>
          <w:rFonts w:cs="Arial"/>
        </w:rPr>
        <w:t>for an additional retiree</w:t>
      </w:r>
      <w:r w:rsidR="00BD078C">
        <w:rPr>
          <w:rFonts w:cs="Arial"/>
        </w:rPr>
        <w:t xml:space="preserve"> and dependents</w:t>
      </w:r>
      <w:r w:rsidRPr="00F01218">
        <w:rPr>
          <w:rFonts w:cs="Arial"/>
        </w:rPr>
        <w:t xml:space="preserve"> not accounted for in previous years’ calculations (with a total impact of 516,643 Swiss francs</w:t>
      </w:r>
      <w:r w:rsidR="00BD078C">
        <w:rPr>
          <w:rFonts w:cs="Arial"/>
        </w:rPr>
        <w:t>,</w:t>
      </w:r>
      <w:r w:rsidRPr="00F01218">
        <w:rPr>
          <w:rFonts w:cs="Arial"/>
        </w:rPr>
        <w:t xml:space="preserve"> adjusted in </w:t>
      </w:r>
      <w:r w:rsidR="00BD078C">
        <w:rPr>
          <w:rFonts w:cs="Arial"/>
        </w:rPr>
        <w:t xml:space="preserve">the </w:t>
      </w:r>
      <w:r w:rsidR="0007119F">
        <w:rPr>
          <w:rFonts w:cs="Arial"/>
        </w:rPr>
        <w:t>2024</w:t>
      </w:r>
      <w:r w:rsidRPr="00F01218">
        <w:rPr>
          <w:rFonts w:cs="Arial"/>
        </w:rPr>
        <w:t xml:space="preserve"> opening balance</w:t>
      </w:r>
      <w:r w:rsidR="00A92A42">
        <w:rPr>
          <w:rFonts w:cs="Arial"/>
        </w:rPr>
        <w:t xml:space="preserve"> as an experience loss</w:t>
      </w:r>
      <w:r w:rsidRPr="00F01218">
        <w:rPr>
          <w:rFonts w:cs="Arial"/>
        </w:rPr>
        <w:t xml:space="preserve">). </w:t>
      </w:r>
      <w:r w:rsidR="00BD078C">
        <w:rPr>
          <w:rFonts w:cs="Arial"/>
        </w:rPr>
        <w:t>The increase in</w:t>
      </w:r>
      <w:r w:rsidRPr="00F01218">
        <w:rPr>
          <w:rFonts w:cs="Arial"/>
        </w:rPr>
        <w:t xml:space="preserve"> the 2024 valuation was</w:t>
      </w:r>
      <w:r w:rsidR="00BD078C">
        <w:rPr>
          <w:rFonts w:cs="Arial"/>
        </w:rPr>
        <w:t xml:space="preserve"> also due to</w:t>
      </w:r>
      <w:r w:rsidRPr="00F01218">
        <w:rPr>
          <w:rFonts w:cs="Arial"/>
        </w:rPr>
        <w:t xml:space="preserve"> a </w:t>
      </w:r>
      <w:r w:rsidRPr="009B2091">
        <w:rPr>
          <w:rFonts w:cs="Arial"/>
        </w:rPr>
        <w:t>decrease in the discount rate, which moved from 1.80 per cent to 1.50 per cent, and increase</w:t>
      </w:r>
      <w:r w:rsidR="00BD078C">
        <w:rPr>
          <w:rFonts w:cs="Arial"/>
        </w:rPr>
        <w:t>s</w:t>
      </w:r>
      <w:r w:rsidRPr="009B2091">
        <w:rPr>
          <w:rFonts w:cs="Arial"/>
        </w:rPr>
        <w:t xml:space="preserve"> in the medical claims cost at each age based on a full medical claims experience study performed during the year. These</w:t>
      </w:r>
      <w:r w:rsidR="00BD078C">
        <w:rPr>
          <w:rFonts w:cs="Arial"/>
        </w:rPr>
        <w:t xml:space="preserve"> actuarial</w:t>
      </w:r>
      <w:r w:rsidRPr="009B2091">
        <w:rPr>
          <w:rFonts w:cs="Arial"/>
        </w:rPr>
        <w:t xml:space="preserve"> losses were partially offset by actuarial gains due to a decrease in the medical cost trend rates, which moved from 3.20% (initial) and 2.60% (ultimate), to 2.40% (initial and ultimate).</w:t>
      </w:r>
    </w:p>
    <w:p w14:paraId="477BD01D" w14:textId="77777777" w:rsidR="00D2272B" w:rsidRPr="001A7F4A" w:rsidRDefault="00D2272B" w:rsidP="006519FD">
      <w:pPr>
        <w:rPr>
          <w:highlight w:val="yellow"/>
        </w:rPr>
      </w:pPr>
    </w:p>
    <w:bookmarkEnd w:id="44"/>
    <w:p w14:paraId="07B9C63A" w14:textId="00738B4F" w:rsidR="00D71E1E" w:rsidRPr="00100705" w:rsidRDefault="007F5A07" w:rsidP="006519FD">
      <w:pPr>
        <w:rPr>
          <w:rFonts w:cs="Arial"/>
        </w:rPr>
      </w:pPr>
      <w:r w:rsidRPr="00D2272B">
        <w:rPr>
          <w:rFonts w:cs="Arial"/>
        </w:rPr>
        <w:t>Contributions</w:t>
      </w:r>
      <w:r w:rsidR="008B545B" w:rsidRPr="00D2272B">
        <w:rPr>
          <w:rFonts w:cs="Arial"/>
        </w:rPr>
        <w:t xml:space="preserve">, representing the premium share </w:t>
      </w:r>
      <w:r w:rsidRPr="00D2272B">
        <w:rPr>
          <w:rFonts w:cs="Arial"/>
        </w:rPr>
        <w:t xml:space="preserve">paid by </w:t>
      </w:r>
      <w:r w:rsidR="001B35D6">
        <w:rPr>
          <w:rFonts w:cs="Arial"/>
        </w:rPr>
        <w:t>UPOV</w:t>
      </w:r>
      <w:r w:rsidR="001B35D6" w:rsidRPr="00D2272B">
        <w:rPr>
          <w:rFonts w:cs="Arial"/>
        </w:rPr>
        <w:t xml:space="preserve"> </w:t>
      </w:r>
      <w:r w:rsidRPr="00D2272B">
        <w:rPr>
          <w:rFonts w:cs="Arial"/>
        </w:rPr>
        <w:t>for ASHI</w:t>
      </w:r>
      <w:r w:rsidR="008B545B" w:rsidRPr="00D2272B">
        <w:rPr>
          <w:rFonts w:cs="Arial"/>
        </w:rPr>
        <w:t>,</w:t>
      </w:r>
      <w:r w:rsidRPr="00D2272B">
        <w:rPr>
          <w:rFonts w:cs="Arial"/>
        </w:rPr>
        <w:t xml:space="preserve"> totaled </w:t>
      </w:r>
      <w:r w:rsidR="0007119F">
        <w:rPr>
          <w:rFonts w:cs="Arial"/>
        </w:rPr>
        <w:t>69,947</w:t>
      </w:r>
      <w:r w:rsidRPr="00D2272B">
        <w:rPr>
          <w:rFonts w:cs="Arial"/>
        </w:rPr>
        <w:t xml:space="preserve"> Swiss francs for </w:t>
      </w:r>
      <w:r w:rsidR="002D043A">
        <w:rPr>
          <w:rFonts w:cs="Arial"/>
        </w:rPr>
        <w:t>202</w:t>
      </w:r>
      <w:r w:rsidR="0007119F">
        <w:rPr>
          <w:rFonts w:cs="Arial"/>
        </w:rPr>
        <w:t>4</w:t>
      </w:r>
      <w:r w:rsidR="002D043A" w:rsidRPr="00D2272B">
        <w:rPr>
          <w:rFonts w:cs="Arial"/>
        </w:rPr>
        <w:t xml:space="preserve"> </w:t>
      </w:r>
      <w:r w:rsidRPr="00D2272B">
        <w:rPr>
          <w:rFonts w:cs="Arial"/>
        </w:rPr>
        <w:t>(</w:t>
      </w:r>
      <w:r w:rsidR="0007119F">
        <w:rPr>
          <w:rFonts w:cs="Arial"/>
        </w:rPr>
        <w:t>40,939</w:t>
      </w:r>
      <w:r w:rsidR="0007119F" w:rsidRPr="00D2272B">
        <w:rPr>
          <w:rFonts w:cs="Arial"/>
        </w:rPr>
        <w:t xml:space="preserve"> </w:t>
      </w:r>
      <w:r w:rsidRPr="00D2272B">
        <w:rPr>
          <w:rFonts w:cs="Arial"/>
        </w:rPr>
        <w:t xml:space="preserve">Swiss francs in </w:t>
      </w:r>
      <w:r w:rsidR="002D043A">
        <w:rPr>
          <w:rFonts w:cs="Arial"/>
        </w:rPr>
        <w:t>202</w:t>
      </w:r>
      <w:r w:rsidR="0007119F">
        <w:rPr>
          <w:rFonts w:cs="Arial"/>
        </w:rPr>
        <w:t>3</w:t>
      </w:r>
      <w:r w:rsidRPr="00D2272B">
        <w:rPr>
          <w:rFonts w:cs="Arial"/>
        </w:rPr>
        <w:t>). Expect</w:t>
      </w:r>
      <w:r w:rsidR="00BF128B" w:rsidRPr="00D2272B">
        <w:rPr>
          <w:rFonts w:cs="Arial"/>
        </w:rPr>
        <w:t xml:space="preserve">ed contributions to ASHI in </w:t>
      </w:r>
      <w:r w:rsidR="000F733C">
        <w:rPr>
          <w:rFonts w:cs="Arial"/>
        </w:rPr>
        <w:t>202</w:t>
      </w:r>
      <w:r w:rsidR="0007119F">
        <w:rPr>
          <w:rFonts w:cs="Arial"/>
        </w:rPr>
        <w:t>5</w:t>
      </w:r>
      <w:r w:rsidR="00551CC9" w:rsidRPr="00D2272B">
        <w:rPr>
          <w:rFonts w:cs="Arial"/>
        </w:rPr>
        <w:t>, representing medical claims costs,</w:t>
      </w:r>
      <w:r w:rsidR="0004297F" w:rsidRPr="00D2272B">
        <w:rPr>
          <w:rFonts w:cs="Arial"/>
        </w:rPr>
        <w:t xml:space="preserve"> </w:t>
      </w:r>
      <w:r w:rsidRPr="00D2272B">
        <w:rPr>
          <w:rFonts w:cs="Arial"/>
        </w:rPr>
        <w:t>are</w:t>
      </w:r>
      <w:r w:rsidR="00BF128B" w:rsidRPr="00D2272B">
        <w:rPr>
          <w:rFonts w:cs="Arial"/>
        </w:rPr>
        <w:t xml:space="preserve"> </w:t>
      </w:r>
      <w:r w:rsidR="002426C5">
        <w:rPr>
          <w:rFonts w:cs="Arial"/>
        </w:rPr>
        <w:t>154,996</w:t>
      </w:r>
      <w:r w:rsidR="00BF128B" w:rsidRPr="00D2272B">
        <w:rPr>
          <w:rFonts w:cs="Arial"/>
        </w:rPr>
        <w:t xml:space="preserve"> </w:t>
      </w:r>
      <w:r w:rsidRPr="00D2272B">
        <w:rPr>
          <w:rFonts w:cs="Arial"/>
        </w:rPr>
        <w:t>Swiss francs. The weighted average duration of the defined benefit obligation</w:t>
      </w:r>
      <w:r w:rsidR="00F53E82" w:rsidRPr="00D2272B">
        <w:rPr>
          <w:rFonts w:cs="Arial"/>
        </w:rPr>
        <w:t xml:space="preserve"> as </w:t>
      </w:r>
      <w:proofErr w:type="gramStart"/>
      <w:r w:rsidR="00F53E82" w:rsidRPr="00D2272B">
        <w:rPr>
          <w:rFonts w:cs="Arial"/>
        </w:rPr>
        <w:t>at</w:t>
      </w:r>
      <w:proofErr w:type="gramEnd"/>
      <w:r w:rsidR="00F53E82" w:rsidRPr="00D2272B">
        <w:rPr>
          <w:rFonts w:cs="Arial"/>
        </w:rPr>
        <w:t xml:space="preserve"> December 31, </w:t>
      </w:r>
      <w:r w:rsidR="005A12BE">
        <w:rPr>
          <w:rFonts w:cs="Arial"/>
        </w:rPr>
        <w:t>202</w:t>
      </w:r>
      <w:r w:rsidR="002426C5">
        <w:rPr>
          <w:rFonts w:cs="Arial"/>
        </w:rPr>
        <w:t>4</w:t>
      </w:r>
      <w:r w:rsidR="00F53E82" w:rsidRPr="00D2272B">
        <w:rPr>
          <w:rFonts w:cs="Arial"/>
        </w:rPr>
        <w:t xml:space="preserve">, was </w:t>
      </w:r>
      <w:r w:rsidR="005A12BE">
        <w:rPr>
          <w:rFonts w:cs="Arial"/>
        </w:rPr>
        <w:t>1</w:t>
      </w:r>
      <w:r w:rsidR="002426C5">
        <w:rPr>
          <w:rFonts w:cs="Arial"/>
        </w:rPr>
        <w:t>8</w:t>
      </w:r>
      <w:r w:rsidR="005A12BE" w:rsidRPr="00D2272B">
        <w:rPr>
          <w:rFonts w:cs="Arial"/>
        </w:rPr>
        <w:t xml:space="preserve"> </w:t>
      </w:r>
      <w:r w:rsidRPr="00D2272B">
        <w:rPr>
          <w:rFonts w:cs="Arial"/>
        </w:rPr>
        <w:t xml:space="preserve">years. The following table details the present value of the defined benefit obligation and experience adjustments arising on the ASHI liability for </w:t>
      </w:r>
      <w:r w:rsidR="000F733C">
        <w:rPr>
          <w:rFonts w:cs="Arial"/>
        </w:rPr>
        <w:t>202</w:t>
      </w:r>
      <w:r w:rsidR="002426C5">
        <w:rPr>
          <w:rFonts w:cs="Arial"/>
        </w:rPr>
        <w:t>4</w:t>
      </w:r>
      <w:r w:rsidR="000F733C" w:rsidRPr="00D2272B">
        <w:rPr>
          <w:rFonts w:cs="Arial"/>
        </w:rPr>
        <w:t xml:space="preserve"> </w:t>
      </w:r>
      <w:r w:rsidRPr="00D2272B">
        <w:rPr>
          <w:rFonts w:cs="Arial"/>
        </w:rPr>
        <w:t>and the previous four years</w:t>
      </w:r>
      <w:r w:rsidR="00F53E82" w:rsidRPr="00D2272B">
        <w:rPr>
          <w:rFonts w:cs="Arial"/>
        </w:rPr>
        <w:t>:</w:t>
      </w:r>
    </w:p>
    <w:p w14:paraId="7CF6656D" w14:textId="77777777" w:rsidR="002B619B" w:rsidRPr="007C4A37" w:rsidRDefault="002B619B" w:rsidP="006519FD">
      <w:pPr>
        <w:rPr>
          <w:rFonts w:cs="Arial"/>
        </w:rPr>
      </w:pPr>
    </w:p>
    <w:p w14:paraId="6378A884" w14:textId="35D6853F" w:rsidR="00E45414" w:rsidRPr="007B443E" w:rsidRDefault="00BD078C" w:rsidP="00F01218">
      <w:pPr>
        <w:jc w:val="center"/>
        <w:rPr>
          <w:rFonts w:cs="Arial"/>
        </w:rPr>
      </w:pPr>
      <w:r w:rsidRPr="00BD078C">
        <w:rPr>
          <w:noProof/>
        </w:rPr>
        <w:drawing>
          <wp:inline distT="0" distB="0" distL="0" distR="0" wp14:anchorId="4E43242D" wp14:editId="77009FA0">
            <wp:extent cx="6137910" cy="1106805"/>
            <wp:effectExtent l="0" t="0" r="0" b="0"/>
            <wp:docPr id="66146867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37910" cy="1106805"/>
                    </a:xfrm>
                    <a:prstGeom prst="rect">
                      <a:avLst/>
                    </a:prstGeom>
                    <a:noFill/>
                    <a:ln>
                      <a:noFill/>
                    </a:ln>
                  </pic:spPr>
                </pic:pic>
              </a:graphicData>
            </a:graphic>
          </wp:inline>
        </w:drawing>
      </w:r>
    </w:p>
    <w:p w14:paraId="2DF0F565" w14:textId="77777777" w:rsidR="006C0171" w:rsidRPr="0098522D" w:rsidRDefault="006C0171" w:rsidP="006519FD">
      <w:pPr>
        <w:rPr>
          <w:rFonts w:cs="Arial"/>
        </w:rPr>
      </w:pPr>
    </w:p>
    <w:p w14:paraId="60381439" w14:textId="77777777" w:rsidR="00BD078C" w:rsidRDefault="00BD078C">
      <w:pPr>
        <w:jc w:val="left"/>
        <w:rPr>
          <w:rFonts w:cs="Arial"/>
        </w:rPr>
      </w:pPr>
      <w:r>
        <w:rPr>
          <w:rFonts w:cs="Arial"/>
        </w:rPr>
        <w:br w:type="page"/>
      </w:r>
    </w:p>
    <w:p w14:paraId="5B04DBC3" w14:textId="2044D29C" w:rsidR="00F53E82" w:rsidRPr="0038775D" w:rsidRDefault="00F53E82" w:rsidP="006519FD">
      <w:pPr>
        <w:rPr>
          <w:rFonts w:cs="Arial"/>
        </w:rPr>
      </w:pPr>
      <w:r w:rsidRPr="0038775D">
        <w:rPr>
          <w:rFonts w:cs="Arial"/>
        </w:rPr>
        <w:lastRenderedPageBreak/>
        <w:t>The following sensitivity analysis shows how the defined benefit obligation would have been affected by changes in significant actuarial assumptions, the discount rate and</w:t>
      </w:r>
      <w:r w:rsidR="00003006">
        <w:rPr>
          <w:rFonts w:cs="Arial"/>
        </w:rPr>
        <w:t xml:space="preserve"> the medical cost trend rate</w:t>
      </w:r>
      <w:r w:rsidRPr="0038775D">
        <w:rPr>
          <w:rFonts w:cs="Arial"/>
        </w:rPr>
        <w:t>. The per cent changes used in the analysis are considered reasonable based on historical movements:</w:t>
      </w:r>
    </w:p>
    <w:p w14:paraId="646FAD71" w14:textId="77777777" w:rsidR="006C0171" w:rsidRPr="0038775D" w:rsidRDefault="006C0171" w:rsidP="006519FD">
      <w:pPr>
        <w:rPr>
          <w:rFonts w:cs="Arial"/>
        </w:rPr>
      </w:pPr>
    </w:p>
    <w:p w14:paraId="2B5DAD95" w14:textId="111E447D" w:rsidR="00036458" w:rsidRDefault="009039A5" w:rsidP="00F01218">
      <w:pPr>
        <w:jc w:val="center"/>
        <w:rPr>
          <w:rFonts w:cs="Arial"/>
        </w:rPr>
      </w:pPr>
      <w:r w:rsidRPr="009039A5">
        <w:rPr>
          <w:noProof/>
        </w:rPr>
        <w:drawing>
          <wp:inline distT="0" distB="0" distL="0" distR="0" wp14:anchorId="62C8E883" wp14:editId="05514328">
            <wp:extent cx="6137910" cy="1477645"/>
            <wp:effectExtent l="0" t="0" r="0" b="0"/>
            <wp:docPr id="21557370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37910" cy="1477645"/>
                    </a:xfrm>
                    <a:prstGeom prst="rect">
                      <a:avLst/>
                    </a:prstGeom>
                    <a:noFill/>
                    <a:ln>
                      <a:noFill/>
                    </a:ln>
                  </pic:spPr>
                </pic:pic>
              </a:graphicData>
            </a:graphic>
          </wp:inline>
        </w:drawing>
      </w:r>
    </w:p>
    <w:p w14:paraId="43D8E553" w14:textId="601CB86C" w:rsidR="00036458" w:rsidRPr="007B443E" w:rsidRDefault="00036458" w:rsidP="006519FD">
      <w:pPr>
        <w:rPr>
          <w:rFonts w:cs="Arial"/>
        </w:rPr>
      </w:pPr>
    </w:p>
    <w:p w14:paraId="72E283D5" w14:textId="54B40BD0" w:rsidR="007C0E44" w:rsidRPr="0098522D" w:rsidRDefault="009039A5" w:rsidP="00F01218">
      <w:pPr>
        <w:jc w:val="center"/>
        <w:rPr>
          <w:rFonts w:cs="Arial"/>
        </w:rPr>
      </w:pPr>
      <w:r w:rsidRPr="009039A5">
        <w:rPr>
          <w:noProof/>
        </w:rPr>
        <w:drawing>
          <wp:inline distT="0" distB="0" distL="0" distR="0" wp14:anchorId="73402CAD" wp14:editId="0B8FDF95">
            <wp:extent cx="6137910" cy="1528445"/>
            <wp:effectExtent l="0" t="0" r="0" b="0"/>
            <wp:docPr id="69578003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37910" cy="1528445"/>
                    </a:xfrm>
                    <a:prstGeom prst="rect">
                      <a:avLst/>
                    </a:prstGeom>
                    <a:noFill/>
                    <a:ln>
                      <a:noFill/>
                    </a:ln>
                  </pic:spPr>
                </pic:pic>
              </a:graphicData>
            </a:graphic>
          </wp:inline>
        </w:drawing>
      </w:r>
    </w:p>
    <w:p w14:paraId="76E864AF" w14:textId="77777777" w:rsidR="00036458" w:rsidRPr="007C4A37" w:rsidRDefault="00036458" w:rsidP="006519FD">
      <w:pPr>
        <w:rPr>
          <w:rFonts w:cs="Arial"/>
        </w:rPr>
      </w:pPr>
    </w:p>
    <w:p w14:paraId="6F679B00" w14:textId="77777777" w:rsidR="00971AA8" w:rsidRPr="0038775D" w:rsidRDefault="00971AA8" w:rsidP="006519FD">
      <w:pPr>
        <w:rPr>
          <w:rFonts w:cs="Arial"/>
        </w:rPr>
      </w:pPr>
    </w:p>
    <w:p w14:paraId="74B24D7A" w14:textId="77777777" w:rsidR="00A824AF" w:rsidRDefault="00A824AF" w:rsidP="00A824AF">
      <w:pPr>
        <w:pStyle w:val="Style3"/>
        <w:spacing w:after="0"/>
        <w:rPr>
          <w:rFonts w:cs="Arial"/>
          <w:b/>
          <w:color w:val="000000" w:themeColor="text1"/>
          <w:sz w:val="20"/>
        </w:rPr>
      </w:pPr>
      <w:r w:rsidRPr="0038775D">
        <w:rPr>
          <w:rFonts w:cs="Arial"/>
          <w:b/>
          <w:color w:val="000000" w:themeColor="text1"/>
          <w:sz w:val="20"/>
        </w:rPr>
        <w:t>United Nations Joint Staff Pension Fund</w:t>
      </w:r>
    </w:p>
    <w:p w14:paraId="27659A5A" w14:textId="77777777" w:rsidR="00641335" w:rsidRDefault="00641335" w:rsidP="00A824AF">
      <w:pPr>
        <w:pStyle w:val="Style3"/>
        <w:spacing w:after="0"/>
        <w:rPr>
          <w:rFonts w:cs="Arial"/>
          <w:b/>
          <w:color w:val="000000" w:themeColor="text1"/>
          <w:sz w:val="20"/>
        </w:rPr>
      </w:pPr>
    </w:p>
    <w:p w14:paraId="03586FEB" w14:textId="77777777" w:rsidR="00944C8F" w:rsidRPr="002209CE" w:rsidRDefault="00944C8F" w:rsidP="00944C8F">
      <w:pPr>
        <w:pStyle w:val="BodyText"/>
      </w:pPr>
      <w:bookmarkStart w:id="45" w:name="_Hlk160643002"/>
      <w:bookmarkStart w:id="46" w:name="_Hlk192765778"/>
      <w:bookmarkStart w:id="47" w:name="_Hlk160646956"/>
      <w:bookmarkStart w:id="48" w:name="_Hlk192765153"/>
      <w:r w:rsidRPr="002209CE">
        <w:t xml:space="preserve">The Fund’s Regulations state that the Pension Board shall have an actuarial valuation made of the Fund at least once every three years by the </w:t>
      </w:r>
      <w:r>
        <w:t xml:space="preserve">Fund’s </w:t>
      </w:r>
      <w:r w:rsidRPr="002209CE">
        <w:t xml:space="preserve">Consulting Actuary. The practice of the Pension Board has </w:t>
      </w:r>
      <w:r>
        <w:t xml:space="preserve">usually </w:t>
      </w:r>
      <w:r w:rsidRPr="002209CE">
        <w:t>been to carry out an actuarial valuation every two years. The primary purpose of the actuarial valuation is to determine whether the current and estimated future assets of the Fund will be sufficient to meet its liabilities</w:t>
      </w:r>
      <w:r>
        <w:t xml:space="preserve"> into perpetuity</w:t>
      </w:r>
      <w:r w:rsidRPr="002209CE">
        <w:t xml:space="preserve">. </w:t>
      </w:r>
      <w:r w:rsidRPr="00705F26">
        <w:t xml:space="preserve">The Fund’s published </w:t>
      </w:r>
      <w:r>
        <w:t>f</w:t>
      </w:r>
      <w:r w:rsidRPr="00705F26">
        <w:t xml:space="preserve">unding </w:t>
      </w:r>
      <w:r>
        <w:t>p</w:t>
      </w:r>
      <w:r w:rsidRPr="00705F26">
        <w:t>olicy (available on the Fund’s website) sets out the methods, processes and targets that are used to monitor the funding position and associated risks. This also includes the practice of utili</w:t>
      </w:r>
      <w:r>
        <w:t>z</w:t>
      </w:r>
      <w:r w:rsidRPr="00705F26">
        <w:t>ing an actuarial value of assets, which smooths short-term investment gains and losses for the purpose of reporting long-term solvency.</w:t>
      </w:r>
    </w:p>
    <w:bookmarkEnd w:id="45"/>
    <w:p w14:paraId="65C984B5" w14:textId="77777777" w:rsidR="006602B0" w:rsidRPr="006602B0" w:rsidRDefault="006602B0" w:rsidP="005D7523">
      <w:pPr>
        <w:pStyle w:val="Style3"/>
        <w:spacing w:after="0"/>
        <w:rPr>
          <w:rFonts w:cs="Arial"/>
          <w:color w:val="000000" w:themeColor="text1"/>
          <w:sz w:val="20"/>
        </w:rPr>
      </w:pPr>
    </w:p>
    <w:p w14:paraId="0A0D3A30" w14:textId="5C458019" w:rsidR="00944C8F" w:rsidRPr="00F01218" w:rsidRDefault="003D0BA1" w:rsidP="00F01218">
      <w:pPr>
        <w:pStyle w:val="Style3"/>
        <w:spacing w:after="0"/>
        <w:rPr>
          <w:rFonts w:cs="Arial"/>
          <w:color w:val="000000" w:themeColor="text1"/>
        </w:rPr>
      </w:pPr>
      <w:bookmarkStart w:id="49" w:name="_Hlk160643061"/>
      <w:r w:rsidRPr="006602B0">
        <w:rPr>
          <w:rFonts w:cs="Arial"/>
          <w:color w:val="000000" w:themeColor="text1"/>
          <w:sz w:val="20"/>
        </w:rPr>
        <w:t xml:space="preserve">UPOV’s financial obligation to the Fund consists of its mandated contribution, at the rate established by the United Nations General Assembly (currently at 7.9 per cent </w:t>
      </w:r>
      <w:r w:rsidR="00FC4C46">
        <w:rPr>
          <w:rFonts w:cs="Arial"/>
          <w:color w:val="000000" w:themeColor="text1"/>
          <w:sz w:val="20"/>
        </w:rPr>
        <w:t xml:space="preserve">of pensionable remuneration </w:t>
      </w:r>
      <w:r w:rsidRPr="006602B0">
        <w:rPr>
          <w:rFonts w:cs="Arial"/>
          <w:color w:val="000000" w:themeColor="text1"/>
          <w:sz w:val="20"/>
        </w:rPr>
        <w:t>for participants and 15.8 per cent for member organizations) together with any share of any actuarial deficiency payments under Article 26 of the Regulations of the</w:t>
      </w:r>
      <w:r w:rsidR="00B01557">
        <w:rPr>
          <w:rFonts w:cs="Arial"/>
          <w:color w:val="000000" w:themeColor="text1"/>
          <w:sz w:val="20"/>
        </w:rPr>
        <w:t xml:space="preserve"> Pension</w:t>
      </w:r>
      <w:r w:rsidRPr="006602B0">
        <w:rPr>
          <w:rFonts w:cs="Arial"/>
          <w:color w:val="000000" w:themeColor="text1"/>
          <w:sz w:val="20"/>
        </w:rPr>
        <w:t xml:space="preserve"> Fund. Such deficiency payments are only payable if and when the United Nations General Assembly has invoked the provision of Article 26, following determination that there is a requirement for deficiency payments based on an assessment of the actuarial sufficiency of the Fund as of the valuation date. Each member organization shall contribute to this deficiency an amount </w:t>
      </w:r>
      <w:proofErr w:type="gramStart"/>
      <w:r w:rsidRPr="006602B0">
        <w:rPr>
          <w:rFonts w:cs="Arial"/>
          <w:color w:val="000000" w:themeColor="text1"/>
          <w:sz w:val="20"/>
        </w:rPr>
        <w:t>proportionate</w:t>
      </w:r>
      <w:proofErr w:type="gramEnd"/>
      <w:r w:rsidRPr="006602B0">
        <w:rPr>
          <w:rFonts w:cs="Arial"/>
          <w:color w:val="000000" w:themeColor="text1"/>
          <w:sz w:val="20"/>
        </w:rPr>
        <w:t xml:space="preserve"> to the total contributions which each paid during the three years preceding the valuation date.</w:t>
      </w:r>
      <w:r w:rsidR="00944C8F">
        <w:rPr>
          <w:rFonts w:cs="Arial"/>
          <w:color w:val="000000" w:themeColor="text1"/>
          <w:sz w:val="20"/>
        </w:rPr>
        <w:t xml:space="preserve"> </w:t>
      </w:r>
      <w:r w:rsidR="00944C8F" w:rsidRPr="00F01218">
        <w:rPr>
          <w:rFonts w:cs="Arial"/>
          <w:color w:val="000000" w:themeColor="text1"/>
          <w:sz w:val="20"/>
        </w:rPr>
        <w:t>It has never been necessary to invoke Article 26, and no deficiency payments have ever been requested.</w:t>
      </w:r>
    </w:p>
    <w:p w14:paraId="395C0CB7" w14:textId="77777777" w:rsidR="006602B0" w:rsidRPr="006602B0" w:rsidRDefault="006602B0" w:rsidP="005D7523">
      <w:pPr>
        <w:pStyle w:val="Style3"/>
        <w:spacing w:after="0"/>
        <w:rPr>
          <w:rFonts w:cs="Arial"/>
          <w:color w:val="000000" w:themeColor="text1"/>
          <w:sz w:val="20"/>
        </w:rPr>
      </w:pPr>
    </w:p>
    <w:p w14:paraId="445CA545" w14:textId="484D6B27" w:rsidR="00944C8F" w:rsidRDefault="00B01557" w:rsidP="00944C8F">
      <w:bookmarkStart w:id="50" w:name="_Hlk160645787"/>
      <w:bookmarkEnd w:id="49"/>
      <w:r>
        <w:t xml:space="preserve">The latest actuarial valuation for the Fund was completed as of December </w:t>
      </w:r>
      <w:r w:rsidR="003C0736">
        <w:t xml:space="preserve">31, </w:t>
      </w:r>
      <w:r>
        <w:t>202</w:t>
      </w:r>
      <w:r w:rsidR="00944C8F">
        <w:t>3</w:t>
      </w:r>
      <w:r>
        <w:t xml:space="preserve">, </w:t>
      </w:r>
      <w:r w:rsidR="008D4417" w:rsidRPr="0087509C">
        <w:t xml:space="preserve">and </w:t>
      </w:r>
      <w:r w:rsidR="00944C8F">
        <w:t>a</w:t>
      </w:r>
      <w:r>
        <w:t xml:space="preserve"> roll forward of the participation data as of December</w:t>
      </w:r>
      <w:r w:rsidR="003C0736">
        <w:t xml:space="preserve"> 31,</w:t>
      </w:r>
      <w:r>
        <w:t xml:space="preserve"> </w:t>
      </w:r>
      <w:proofErr w:type="gramStart"/>
      <w:r>
        <w:t>202</w:t>
      </w:r>
      <w:r w:rsidR="00944C8F">
        <w:t>3</w:t>
      </w:r>
      <w:proofErr w:type="gramEnd"/>
      <w:r>
        <w:t xml:space="preserve"> to December </w:t>
      </w:r>
      <w:r w:rsidR="003C0736">
        <w:t xml:space="preserve">31, </w:t>
      </w:r>
      <w:proofErr w:type="gramStart"/>
      <w:r>
        <w:t>202</w:t>
      </w:r>
      <w:r w:rsidR="00944C8F">
        <w:t>4</w:t>
      </w:r>
      <w:proofErr w:type="gramEnd"/>
      <w:r>
        <w:t xml:space="preserve"> </w:t>
      </w:r>
      <w:r w:rsidR="00944C8F">
        <w:t>will be</w:t>
      </w:r>
      <w:r w:rsidR="00944C8F" w:rsidRPr="0087509C">
        <w:t xml:space="preserve"> used by the Fund for </w:t>
      </w:r>
      <w:r w:rsidR="00944C8F">
        <w:t xml:space="preserve">the purpose of reporting an actuarial present value of accumulated plan benefits in </w:t>
      </w:r>
      <w:r w:rsidR="00944C8F" w:rsidRPr="0087509C">
        <w:t xml:space="preserve">its </w:t>
      </w:r>
      <w:r w:rsidR="00944C8F">
        <w:t>2024</w:t>
      </w:r>
      <w:r w:rsidR="00944C8F" w:rsidRPr="0087509C">
        <w:t xml:space="preserve"> financial statements</w:t>
      </w:r>
      <w:r w:rsidR="00944C8F">
        <w:t>.</w:t>
      </w:r>
    </w:p>
    <w:bookmarkEnd w:id="50"/>
    <w:p w14:paraId="1BC57C7F" w14:textId="0E2EB57C" w:rsidR="00B01557" w:rsidRDefault="00B01557">
      <w:pPr>
        <w:rPr>
          <w:rFonts w:cs="Arial"/>
        </w:rPr>
      </w:pPr>
    </w:p>
    <w:p w14:paraId="1D9D54AE" w14:textId="4F8C589D" w:rsidR="00944C8F" w:rsidRPr="00DF0522" w:rsidRDefault="00B01557" w:rsidP="00944C8F">
      <w:pPr>
        <w:pStyle w:val="BodyText"/>
      </w:pPr>
      <w:bookmarkStart w:id="51" w:name="_Hlk160645805"/>
      <w:r>
        <w:t xml:space="preserve">The actuarial valuation as </w:t>
      </w:r>
      <w:proofErr w:type="gramStart"/>
      <w:r>
        <w:t>at</w:t>
      </w:r>
      <w:proofErr w:type="gramEnd"/>
      <w:r>
        <w:t xml:space="preserve"> December </w:t>
      </w:r>
      <w:r w:rsidR="003C0736">
        <w:t xml:space="preserve">31, </w:t>
      </w:r>
      <w:proofErr w:type="gramStart"/>
      <w:r>
        <w:t>202</w:t>
      </w:r>
      <w:r w:rsidR="00944C8F">
        <w:t>3</w:t>
      </w:r>
      <w:proofErr w:type="gramEnd"/>
      <w:r>
        <w:t xml:space="preserve"> </w:t>
      </w:r>
      <w:r w:rsidR="00944C8F">
        <w:t>reported</w:t>
      </w:r>
      <w:r w:rsidR="00944C8F" w:rsidRPr="00DF0522">
        <w:t xml:space="preserve"> a funded ratio of actuarial assets to actuarial liabilities</w:t>
      </w:r>
      <w:r w:rsidR="00944C8F">
        <w:t xml:space="preserve"> </w:t>
      </w:r>
      <w:r w:rsidR="00944C8F" w:rsidRPr="00FC61DD">
        <w:t>of 111</w:t>
      </w:r>
      <w:r w:rsidR="00944C8F">
        <w:t>.0</w:t>
      </w:r>
      <w:r w:rsidR="00944C8F" w:rsidRPr="00DF0522">
        <w:t>% (</w:t>
      </w:r>
      <w:r w:rsidR="00944C8F" w:rsidRPr="00705F26">
        <w:t>117.0</w:t>
      </w:r>
      <w:r w:rsidR="00944C8F" w:rsidRPr="00DF0522">
        <w:t xml:space="preserve">% in the </w:t>
      </w:r>
      <w:r w:rsidR="00944C8F">
        <w:t>2021</w:t>
      </w:r>
      <w:r w:rsidR="00944C8F" w:rsidRPr="00DF0522">
        <w:t xml:space="preserve"> valuation)</w:t>
      </w:r>
      <w:r w:rsidR="00944C8F">
        <w:t xml:space="preserve"> when future expected pension adjustments (cost-of-living indexation on benefits) were </w:t>
      </w:r>
      <w:proofErr w:type="gramStart"/>
      <w:r w:rsidR="00944C8F">
        <w:t>taken into account</w:t>
      </w:r>
      <w:proofErr w:type="gramEnd"/>
      <w:r w:rsidR="00944C8F" w:rsidRPr="00DF0522">
        <w:t xml:space="preserve">. The </w:t>
      </w:r>
      <w:r w:rsidR="00944C8F">
        <w:t xml:space="preserve">reported </w:t>
      </w:r>
      <w:r w:rsidR="00944C8F" w:rsidRPr="00DF0522">
        <w:t xml:space="preserve">funded ratio </w:t>
      </w:r>
      <w:r w:rsidR="00944C8F" w:rsidRPr="00FC61DD">
        <w:t>was 152</w:t>
      </w:r>
      <w:r w:rsidR="00944C8F">
        <w:t>.0</w:t>
      </w:r>
      <w:r w:rsidR="00944C8F" w:rsidRPr="00DF0522">
        <w:t>% (</w:t>
      </w:r>
      <w:r w:rsidR="00944C8F" w:rsidRPr="00705F26">
        <w:t>158.2</w:t>
      </w:r>
      <w:r w:rsidR="00944C8F" w:rsidRPr="00DF0522">
        <w:t xml:space="preserve"> % in the </w:t>
      </w:r>
      <w:r w:rsidR="00944C8F">
        <w:t>2021</w:t>
      </w:r>
      <w:r w:rsidR="00944C8F" w:rsidRPr="00DF0522">
        <w:t xml:space="preserve"> valuation) when the current system of pension adjustments was </w:t>
      </w:r>
      <w:r w:rsidR="00944C8F">
        <w:t xml:space="preserve">not </w:t>
      </w:r>
      <w:proofErr w:type="gramStart"/>
      <w:r w:rsidR="00944C8F" w:rsidRPr="00DF0522">
        <w:t>taken into account</w:t>
      </w:r>
      <w:proofErr w:type="gramEnd"/>
      <w:r w:rsidR="00944C8F">
        <w:t xml:space="preserve"> and would be the measure by which actuarial sufficiency is established under Article 26</w:t>
      </w:r>
      <w:r w:rsidR="00944C8F" w:rsidRPr="00DF0522">
        <w:t xml:space="preserve">. </w:t>
      </w:r>
    </w:p>
    <w:bookmarkEnd w:id="51"/>
    <w:p w14:paraId="502D1C73" w14:textId="77777777" w:rsidR="004B45AE" w:rsidRPr="005D7523" w:rsidRDefault="004B45AE">
      <w:pPr>
        <w:rPr>
          <w:rFonts w:cs="Arial"/>
          <w:color w:val="000000" w:themeColor="text1"/>
        </w:rPr>
      </w:pPr>
    </w:p>
    <w:p w14:paraId="2525AA70" w14:textId="1960C8F2" w:rsidR="009A6692" w:rsidRDefault="003D0BA1" w:rsidP="005D7523">
      <w:pPr>
        <w:pStyle w:val="Style3"/>
        <w:spacing w:after="0"/>
        <w:rPr>
          <w:rFonts w:cs="Arial"/>
          <w:color w:val="000000" w:themeColor="text1"/>
          <w:sz w:val="20"/>
        </w:rPr>
      </w:pPr>
      <w:bookmarkStart w:id="52" w:name="_Hlk160645924"/>
      <w:r w:rsidRPr="006602B0">
        <w:rPr>
          <w:rFonts w:cs="Arial"/>
          <w:color w:val="000000" w:themeColor="text1"/>
          <w:sz w:val="20"/>
        </w:rPr>
        <w:t xml:space="preserve">After assessing the actuarial sufficiency of the Fund, the Consulting Actuary concluded that there was no requirement, as </w:t>
      </w:r>
      <w:proofErr w:type="gramStart"/>
      <w:r w:rsidRPr="006602B0">
        <w:rPr>
          <w:rFonts w:cs="Arial"/>
          <w:color w:val="000000" w:themeColor="text1"/>
          <w:sz w:val="20"/>
        </w:rPr>
        <w:t>at</w:t>
      </w:r>
      <w:proofErr w:type="gramEnd"/>
      <w:r w:rsidRPr="006602B0">
        <w:rPr>
          <w:rFonts w:cs="Arial"/>
          <w:color w:val="000000" w:themeColor="text1"/>
          <w:sz w:val="20"/>
        </w:rPr>
        <w:t xml:space="preserve"> December 31, </w:t>
      </w:r>
      <w:r w:rsidR="00B01557">
        <w:rPr>
          <w:rFonts w:cs="Arial"/>
          <w:color w:val="000000" w:themeColor="text1"/>
          <w:sz w:val="20"/>
        </w:rPr>
        <w:t>202</w:t>
      </w:r>
      <w:r w:rsidR="00944C8F">
        <w:rPr>
          <w:rFonts w:cs="Arial"/>
          <w:color w:val="000000" w:themeColor="text1"/>
          <w:sz w:val="20"/>
        </w:rPr>
        <w:t>3</w:t>
      </w:r>
      <w:r w:rsidRPr="006602B0">
        <w:rPr>
          <w:rFonts w:cs="Arial"/>
          <w:color w:val="000000" w:themeColor="text1"/>
          <w:sz w:val="20"/>
        </w:rPr>
        <w:t>, for deficiency payments under Article 26 of the Regulations of the Fund as the actuarial value of assets exceeded the actuarial value of all accrued liabilities under the plan. At the time of this report, the General Assembly has not invoked the provision of Article 26.</w:t>
      </w:r>
      <w:bookmarkEnd w:id="52"/>
    </w:p>
    <w:p w14:paraId="20720E59" w14:textId="77777777" w:rsidR="001E09D0" w:rsidRPr="006602B0" w:rsidRDefault="001E09D0" w:rsidP="005D7523">
      <w:pPr>
        <w:pStyle w:val="Style3"/>
        <w:spacing w:after="0"/>
        <w:rPr>
          <w:rFonts w:cs="Arial"/>
          <w:color w:val="000000" w:themeColor="text1"/>
          <w:sz w:val="20"/>
        </w:rPr>
      </w:pPr>
    </w:p>
    <w:p w14:paraId="2E5944CE" w14:textId="33E72904" w:rsidR="006602B0" w:rsidRPr="00C21351" w:rsidRDefault="00324082" w:rsidP="005D7523">
      <w:pPr>
        <w:pStyle w:val="Style3"/>
        <w:spacing w:after="0"/>
        <w:rPr>
          <w:sz w:val="20"/>
        </w:rPr>
      </w:pPr>
      <w:r w:rsidRPr="00C21351">
        <w:rPr>
          <w:sz w:val="20"/>
        </w:rPr>
        <w:lastRenderedPageBreak/>
        <w:t>Should Article 26 be invoked due to an actuarial deficiency, either during the ongoing operation or due to the termination of the Fund, deficiency payments required from each member organization would be based upon the proportion of that member organization’s contributions to the total contributions paid to the Fund during the three years preceding the valuation date. Total contributions paid to the Fund during the preceding three years (</w:t>
      </w:r>
      <w:r w:rsidR="009A6692">
        <w:rPr>
          <w:sz w:val="20"/>
        </w:rPr>
        <w:t>202</w:t>
      </w:r>
      <w:r w:rsidR="00273352">
        <w:rPr>
          <w:sz w:val="20"/>
        </w:rPr>
        <w:t>1</w:t>
      </w:r>
      <w:r w:rsidR="00B01557" w:rsidRPr="00C21351">
        <w:rPr>
          <w:sz w:val="20"/>
        </w:rPr>
        <w:t>, 202</w:t>
      </w:r>
      <w:r w:rsidR="00273352">
        <w:rPr>
          <w:sz w:val="20"/>
        </w:rPr>
        <w:t>2</w:t>
      </w:r>
      <w:r w:rsidRPr="00C21351">
        <w:rPr>
          <w:sz w:val="20"/>
        </w:rPr>
        <w:t xml:space="preserve"> and </w:t>
      </w:r>
      <w:r w:rsidR="00B01557" w:rsidRPr="00C21351">
        <w:rPr>
          <w:sz w:val="20"/>
        </w:rPr>
        <w:t>202</w:t>
      </w:r>
      <w:r w:rsidR="00273352">
        <w:rPr>
          <w:sz w:val="20"/>
        </w:rPr>
        <w:t>3</w:t>
      </w:r>
      <w:r w:rsidRPr="00C21351">
        <w:rPr>
          <w:sz w:val="20"/>
        </w:rPr>
        <w:t xml:space="preserve">) amounted to </w:t>
      </w:r>
      <w:r w:rsidR="00273352" w:rsidRPr="00F01218">
        <w:rPr>
          <w:sz w:val="20"/>
        </w:rPr>
        <w:t xml:space="preserve">9,499.41 </w:t>
      </w:r>
      <w:r w:rsidRPr="00C21351">
        <w:rPr>
          <w:sz w:val="20"/>
        </w:rPr>
        <w:t>million US dollars</w:t>
      </w:r>
      <w:r w:rsidRPr="00FC4C46">
        <w:rPr>
          <w:sz w:val="20"/>
        </w:rPr>
        <w:t>, of which 0.01</w:t>
      </w:r>
      <w:r w:rsidR="009A6692" w:rsidRPr="00FC4C46">
        <w:rPr>
          <w:sz w:val="20"/>
        </w:rPr>
        <w:t>7</w:t>
      </w:r>
      <w:r w:rsidR="00B01557" w:rsidRPr="00FC4C46">
        <w:rPr>
          <w:sz w:val="20"/>
        </w:rPr>
        <w:t xml:space="preserve"> </w:t>
      </w:r>
      <w:r w:rsidRPr="00FC4C46">
        <w:rPr>
          <w:sz w:val="20"/>
        </w:rPr>
        <w:t xml:space="preserve">per cent was contributed by UPOV (including participants and </w:t>
      </w:r>
      <w:r w:rsidR="00A270FE" w:rsidRPr="00FC4C46">
        <w:rPr>
          <w:sz w:val="20"/>
        </w:rPr>
        <w:t>UPOV</w:t>
      </w:r>
      <w:r w:rsidRPr="00FC4C46">
        <w:rPr>
          <w:sz w:val="20"/>
        </w:rPr>
        <w:t xml:space="preserve"> contributions).</w:t>
      </w:r>
    </w:p>
    <w:p w14:paraId="13870DB8" w14:textId="77777777" w:rsidR="006602B0" w:rsidRPr="005D7523" w:rsidRDefault="006602B0" w:rsidP="005D7523">
      <w:pPr>
        <w:pStyle w:val="Style3"/>
        <w:spacing w:after="0"/>
        <w:rPr>
          <w:rFonts w:cs="Arial"/>
          <w:color w:val="000000" w:themeColor="text1"/>
        </w:rPr>
      </w:pPr>
    </w:p>
    <w:p w14:paraId="5D38CD6F" w14:textId="7452FF83" w:rsidR="00324082" w:rsidRPr="006602B0" w:rsidRDefault="00324082" w:rsidP="005D7523">
      <w:pPr>
        <w:pStyle w:val="Style3"/>
        <w:spacing w:after="0"/>
      </w:pPr>
      <w:r w:rsidRPr="006602B0">
        <w:rPr>
          <w:sz w:val="20"/>
        </w:rPr>
        <w:t xml:space="preserve">During </w:t>
      </w:r>
      <w:r w:rsidR="00B01557">
        <w:rPr>
          <w:sz w:val="20"/>
        </w:rPr>
        <w:t>202</w:t>
      </w:r>
      <w:r w:rsidR="00FC4C46">
        <w:rPr>
          <w:sz w:val="20"/>
        </w:rPr>
        <w:t>4</w:t>
      </w:r>
      <w:r w:rsidRPr="006602B0">
        <w:rPr>
          <w:sz w:val="20"/>
        </w:rPr>
        <w:t xml:space="preserve">, contributions (including </w:t>
      </w:r>
      <w:r w:rsidR="00A270FE">
        <w:rPr>
          <w:sz w:val="20"/>
        </w:rPr>
        <w:t>UPOV</w:t>
      </w:r>
      <w:r w:rsidRPr="006602B0">
        <w:rPr>
          <w:sz w:val="20"/>
        </w:rPr>
        <w:t xml:space="preserve"> contributions only) paid to the Fund amounted to </w:t>
      </w:r>
      <w:r w:rsidR="001E09D0">
        <w:rPr>
          <w:sz w:val="20"/>
        </w:rPr>
        <w:t>301,445</w:t>
      </w:r>
      <w:r w:rsidRPr="005D7523">
        <w:rPr>
          <w:sz w:val="20"/>
        </w:rPr>
        <w:t xml:space="preserve"> Swiss francs (</w:t>
      </w:r>
      <w:r w:rsidR="00FC4C46" w:rsidRPr="00F01218">
        <w:rPr>
          <w:sz w:val="20"/>
        </w:rPr>
        <w:t>314,377</w:t>
      </w:r>
      <w:r w:rsidR="00FC4C46" w:rsidRPr="00FC4C46">
        <w:rPr>
          <w:sz w:val="20"/>
        </w:rPr>
        <w:t xml:space="preserve"> </w:t>
      </w:r>
      <w:r w:rsidRPr="00FC4C46">
        <w:rPr>
          <w:sz w:val="20"/>
        </w:rPr>
        <w:t>Swiss francs in</w:t>
      </w:r>
      <w:r w:rsidRPr="005D7523">
        <w:rPr>
          <w:sz w:val="20"/>
        </w:rPr>
        <w:t xml:space="preserve"> </w:t>
      </w:r>
      <w:r w:rsidR="00B01557">
        <w:rPr>
          <w:sz w:val="20"/>
        </w:rPr>
        <w:t>202</w:t>
      </w:r>
      <w:r w:rsidR="00FC4C46">
        <w:rPr>
          <w:sz w:val="20"/>
        </w:rPr>
        <w:t>3</w:t>
      </w:r>
      <w:r w:rsidRPr="00830182">
        <w:rPr>
          <w:sz w:val="20"/>
        </w:rPr>
        <w:t xml:space="preserve">). </w:t>
      </w:r>
      <w:bookmarkStart w:id="53" w:name="_Hlk161157816"/>
      <w:r w:rsidRPr="00830182">
        <w:rPr>
          <w:sz w:val="20"/>
        </w:rPr>
        <w:t xml:space="preserve">Expected contributions due in </w:t>
      </w:r>
      <w:r w:rsidR="00BB34C9" w:rsidRPr="00C21351">
        <w:rPr>
          <w:sz w:val="20"/>
        </w:rPr>
        <w:t>202</w:t>
      </w:r>
      <w:r w:rsidR="00DE1334">
        <w:rPr>
          <w:sz w:val="20"/>
        </w:rPr>
        <w:t>5</w:t>
      </w:r>
      <w:r w:rsidR="00BB34C9" w:rsidRPr="00830182">
        <w:rPr>
          <w:sz w:val="20"/>
        </w:rPr>
        <w:t xml:space="preserve"> </w:t>
      </w:r>
      <w:r w:rsidRPr="00BB34C9">
        <w:rPr>
          <w:sz w:val="20"/>
        </w:rPr>
        <w:t xml:space="preserve">are approximately </w:t>
      </w:r>
      <w:r w:rsidR="004A0DD6">
        <w:rPr>
          <w:sz w:val="20"/>
        </w:rPr>
        <w:t>331,142</w:t>
      </w:r>
      <w:r w:rsidR="003408AA">
        <w:rPr>
          <w:sz w:val="20"/>
        </w:rPr>
        <w:t xml:space="preserve"> </w:t>
      </w:r>
      <w:bookmarkEnd w:id="53"/>
      <w:r w:rsidRPr="00830182">
        <w:rPr>
          <w:sz w:val="20"/>
        </w:rPr>
        <w:t>Swiss francs.</w:t>
      </w:r>
    </w:p>
    <w:p w14:paraId="6DF41ED1" w14:textId="77777777" w:rsidR="00324082" w:rsidRPr="006602B0" w:rsidRDefault="00324082" w:rsidP="005D7523">
      <w:pPr>
        <w:pStyle w:val="Style3"/>
        <w:spacing w:after="0"/>
        <w:rPr>
          <w:rFonts w:cs="Arial"/>
          <w:color w:val="000000" w:themeColor="text1"/>
          <w:sz w:val="20"/>
        </w:rPr>
      </w:pPr>
    </w:p>
    <w:p w14:paraId="77D70649" w14:textId="2F212EC4" w:rsidR="003D0BA1" w:rsidRDefault="003D0BA1" w:rsidP="005D7523">
      <w:pPr>
        <w:pStyle w:val="Style3"/>
        <w:spacing w:after="0"/>
        <w:rPr>
          <w:rFonts w:cs="Arial"/>
          <w:color w:val="000000" w:themeColor="text1"/>
          <w:sz w:val="20"/>
        </w:rPr>
      </w:pPr>
      <w:r w:rsidRPr="006602B0">
        <w:rPr>
          <w:rFonts w:cs="Arial"/>
          <w:color w:val="000000" w:themeColor="text1"/>
          <w:sz w:val="20"/>
        </w:rPr>
        <w:t>Membership of the Fund may be terminated by decision of the United Nations General Assembly, upon the affirmative recommendation of the Pension Board. A proportionate share of the total assets of the Fund at the date of termination shall be paid to the former member organization for the exclusive benefit of its staff who were participants in the Fund at that date, pursuant to an arrangement mutually agreed between the organization and the Fund. The amount is determined by the</w:t>
      </w:r>
      <w:r w:rsidR="00B01557">
        <w:rPr>
          <w:rFonts w:cs="Arial"/>
          <w:color w:val="000000" w:themeColor="text1"/>
          <w:sz w:val="20"/>
        </w:rPr>
        <w:t xml:space="preserve"> </w:t>
      </w:r>
      <w:r w:rsidR="00B01557" w:rsidRPr="00C21351">
        <w:rPr>
          <w:rFonts w:cs="Arial"/>
          <w:color w:val="000000" w:themeColor="text1"/>
          <w:sz w:val="20"/>
        </w:rPr>
        <w:t xml:space="preserve">United Nations Joint Staff </w:t>
      </w:r>
      <w:r w:rsidRPr="006602B0">
        <w:rPr>
          <w:rFonts w:cs="Arial"/>
          <w:color w:val="000000" w:themeColor="text1"/>
          <w:sz w:val="20"/>
        </w:rPr>
        <w:t xml:space="preserve"> Pension Board based on an actuarial valuation of the assets and liabilities of the Fund on the date of termination; no part of the assets which are in excess of the liabilities </w:t>
      </w:r>
      <w:r w:rsidR="00142F20">
        <w:rPr>
          <w:rFonts w:cs="Arial"/>
          <w:color w:val="000000" w:themeColor="text1"/>
          <w:sz w:val="20"/>
        </w:rPr>
        <w:t>is</w:t>
      </w:r>
      <w:r w:rsidR="005D6A92" w:rsidRPr="006602B0">
        <w:rPr>
          <w:rFonts w:cs="Arial"/>
          <w:color w:val="000000" w:themeColor="text1"/>
          <w:sz w:val="20"/>
        </w:rPr>
        <w:t xml:space="preserve"> </w:t>
      </w:r>
      <w:r w:rsidRPr="006602B0">
        <w:rPr>
          <w:rFonts w:cs="Arial"/>
          <w:color w:val="000000" w:themeColor="text1"/>
          <w:sz w:val="20"/>
        </w:rPr>
        <w:t>included in the amount.</w:t>
      </w:r>
    </w:p>
    <w:p w14:paraId="27F26E4C" w14:textId="77777777" w:rsidR="00034C24" w:rsidRPr="006602B0" w:rsidRDefault="00034C24" w:rsidP="005D7523">
      <w:pPr>
        <w:pStyle w:val="Style3"/>
        <w:spacing w:after="0"/>
        <w:rPr>
          <w:rFonts w:cs="Arial"/>
          <w:color w:val="000000" w:themeColor="text1"/>
          <w:sz w:val="20"/>
        </w:rPr>
      </w:pPr>
    </w:p>
    <w:p w14:paraId="0CF84740" w14:textId="12527E59" w:rsidR="00DE1334" w:rsidRPr="002209CE" w:rsidRDefault="003D0BA1" w:rsidP="00DE1334">
      <w:pPr>
        <w:pStyle w:val="BodyText"/>
      </w:pPr>
      <w:r w:rsidRPr="006602B0">
        <w:rPr>
          <w:rFonts w:cs="Arial"/>
          <w:color w:val="000000" w:themeColor="text1"/>
        </w:rPr>
        <w:t xml:space="preserve">The United Nations Board of Auditors carries out an annual audit of the Fund and reports to the Pension Board and to the United Nations General Assembly on the audit every year. </w:t>
      </w:r>
      <w:r w:rsidR="00DE1334" w:rsidRPr="002209CE">
        <w:t xml:space="preserve">The </w:t>
      </w:r>
      <w:r w:rsidR="00DE1334">
        <w:t>Fund</w:t>
      </w:r>
      <w:r w:rsidR="00DE1334" w:rsidRPr="002209CE">
        <w:t xml:space="preserve"> </w:t>
      </w:r>
      <w:r w:rsidR="00DE1334">
        <w:t>provides weekly information</w:t>
      </w:r>
      <w:r w:rsidR="00DE1334" w:rsidRPr="002209CE">
        <w:t xml:space="preserve"> on its </w:t>
      </w:r>
      <w:r w:rsidR="000166FF" w:rsidRPr="002209CE">
        <w:t>investments,</w:t>
      </w:r>
      <w:r w:rsidR="00DE1334" w:rsidRPr="002209CE">
        <w:t xml:space="preserve"> and </w:t>
      </w:r>
      <w:r w:rsidR="00DE1334">
        <w:t>it</w:t>
      </w:r>
      <w:r w:rsidR="00DE1334" w:rsidRPr="002209CE">
        <w:t xml:space="preserve"> can be viewed by visiting the </w:t>
      </w:r>
      <w:r w:rsidR="00DE1334">
        <w:t>Fund</w:t>
      </w:r>
      <w:r w:rsidR="00DE1334" w:rsidRPr="002209CE">
        <w:t xml:space="preserve"> at </w:t>
      </w:r>
      <w:r w:rsidR="00DE1334" w:rsidRPr="009B5A96">
        <w:rPr>
          <w:rFonts w:eastAsia="Calibri"/>
        </w:rPr>
        <w:t>www.unjspf.org</w:t>
      </w:r>
      <w:r w:rsidR="00DE1334" w:rsidRPr="002209CE">
        <w:t>.</w:t>
      </w:r>
    </w:p>
    <w:bookmarkEnd w:id="46"/>
    <w:p w14:paraId="0F190EEA" w14:textId="1B8579D8" w:rsidR="003D0BA1" w:rsidRPr="006602B0" w:rsidRDefault="003D0BA1">
      <w:pPr>
        <w:pStyle w:val="Style3"/>
        <w:spacing w:after="0"/>
        <w:rPr>
          <w:rFonts w:cs="Arial"/>
          <w:color w:val="000000" w:themeColor="text1"/>
          <w:sz w:val="20"/>
        </w:rPr>
      </w:pPr>
    </w:p>
    <w:p w14:paraId="5F3AE0B1" w14:textId="77777777" w:rsidR="006602B0" w:rsidRPr="005D7523" w:rsidRDefault="006602B0" w:rsidP="00E44E01">
      <w:pPr>
        <w:pStyle w:val="Heading2Notes"/>
        <w:rPr>
          <w:rFonts w:ascii="Arial" w:hAnsi="Arial" w:cs="Arial"/>
          <w:color w:val="000000" w:themeColor="text1"/>
        </w:rPr>
      </w:pPr>
      <w:bookmarkStart w:id="54" w:name="_Toc84329897"/>
      <w:bookmarkEnd w:id="47"/>
      <w:bookmarkEnd w:id="48"/>
    </w:p>
    <w:p w14:paraId="005011FB" w14:textId="50DE6E0F" w:rsidR="00A824AF" w:rsidRPr="005D7523" w:rsidRDefault="004A5EBA" w:rsidP="00BB0E72">
      <w:pPr>
        <w:pStyle w:val="Heading2Notes"/>
        <w:rPr>
          <w:rFonts w:ascii="Arial" w:hAnsi="Arial" w:cs="Arial"/>
        </w:rPr>
      </w:pPr>
      <w:bookmarkStart w:id="55" w:name="_Toc84329898"/>
      <w:bookmarkStart w:id="56" w:name="_Toc198653941"/>
      <w:bookmarkEnd w:id="54"/>
      <w:r w:rsidRPr="005D7523">
        <w:rPr>
          <w:rFonts w:ascii="Arial" w:hAnsi="Arial" w:cs="Arial"/>
        </w:rPr>
        <w:t xml:space="preserve">Note </w:t>
      </w:r>
      <w:r w:rsidR="00BB34C9">
        <w:rPr>
          <w:rFonts w:ascii="Arial" w:hAnsi="Arial" w:cs="Arial"/>
        </w:rPr>
        <w:t>6</w:t>
      </w:r>
      <w:r w:rsidR="00A824AF" w:rsidRPr="005D7523">
        <w:rPr>
          <w:rFonts w:ascii="Arial" w:hAnsi="Arial" w:cs="Arial"/>
        </w:rPr>
        <w:t>:</w:t>
      </w:r>
      <w:r w:rsidR="00A824AF" w:rsidRPr="005D7523">
        <w:rPr>
          <w:rFonts w:ascii="Arial" w:hAnsi="Arial" w:cs="Arial"/>
        </w:rPr>
        <w:tab/>
      </w:r>
      <w:r w:rsidRPr="005D7523">
        <w:rPr>
          <w:rFonts w:ascii="Arial" w:hAnsi="Arial" w:cs="Arial"/>
        </w:rPr>
        <w:t xml:space="preserve">Advance </w:t>
      </w:r>
      <w:r w:rsidR="00A824AF" w:rsidRPr="005D7523">
        <w:rPr>
          <w:rFonts w:ascii="Arial" w:hAnsi="Arial" w:cs="Arial"/>
        </w:rPr>
        <w:t>receipt</w:t>
      </w:r>
      <w:r w:rsidRPr="005D7523">
        <w:rPr>
          <w:rFonts w:ascii="Arial" w:hAnsi="Arial" w:cs="Arial"/>
        </w:rPr>
        <w:t>s</w:t>
      </w:r>
      <w:bookmarkEnd w:id="55"/>
      <w:bookmarkEnd w:id="56"/>
    </w:p>
    <w:p w14:paraId="1ACE7F89" w14:textId="77777777" w:rsidR="00036458" w:rsidRPr="007B443E" w:rsidRDefault="00036458" w:rsidP="00A824AF">
      <w:pPr>
        <w:pStyle w:val="Style3"/>
        <w:spacing w:after="0"/>
        <w:rPr>
          <w:rFonts w:cs="Arial"/>
          <w:sz w:val="20"/>
        </w:rPr>
      </w:pPr>
    </w:p>
    <w:p w14:paraId="7EFF6AD5" w14:textId="432C53F8" w:rsidR="00036458" w:rsidRPr="007B443E" w:rsidRDefault="009039A5" w:rsidP="00F01218">
      <w:pPr>
        <w:pStyle w:val="Style3"/>
        <w:spacing w:after="0"/>
        <w:jc w:val="center"/>
        <w:rPr>
          <w:rFonts w:cs="Arial"/>
          <w:sz w:val="20"/>
        </w:rPr>
      </w:pPr>
      <w:r w:rsidRPr="009039A5">
        <w:rPr>
          <w:rFonts w:cs="Arial"/>
        </w:rPr>
        <w:t xml:space="preserve"> </w:t>
      </w:r>
      <w:r w:rsidRPr="009039A5">
        <w:rPr>
          <w:noProof/>
        </w:rPr>
        <w:drawing>
          <wp:inline distT="0" distB="0" distL="0" distR="0" wp14:anchorId="7A690881" wp14:editId="04901F91">
            <wp:extent cx="6137910" cy="1113155"/>
            <wp:effectExtent l="0" t="0" r="0" b="0"/>
            <wp:docPr id="106495469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37910" cy="1113155"/>
                    </a:xfrm>
                    <a:prstGeom prst="rect">
                      <a:avLst/>
                    </a:prstGeom>
                    <a:noFill/>
                    <a:ln>
                      <a:noFill/>
                    </a:ln>
                  </pic:spPr>
                </pic:pic>
              </a:graphicData>
            </a:graphic>
          </wp:inline>
        </w:drawing>
      </w:r>
    </w:p>
    <w:p w14:paraId="2C196A89" w14:textId="77777777" w:rsidR="005A1343" w:rsidRDefault="005A1343" w:rsidP="00A824AF">
      <w:pPr>
        <w:pStyle w:val="Style3"/>
        <w:spacing w:after="0"/>
        <w:rPr>
          <w:rFonts w:cs="Arial"/>
          <w:sz w:val="20"/>
        </w:rPr>
      </w:pPr>
    </w:p>
    <w:p w14:paraId="57EFD7BF" w14:textId="116C2DC5" w:rsidR="004B45AE" w:rsidRDefault="00A824AF" w:rsidP="003478E3">
      <w:pPr>
        <w:pStyle w:val="Style3"/>
        <w:spacing w:after="0"/>
        <w:rPr>
          <w:rFonts w:cs="Arial"/>
          <w:sz w:val="20"/>
        </w:rPr>
      </w:pPr>
      <w:r w:rsidRPr="007C4A37">
        <w:rPr>
          <w:rFonts w:cs="Arial"/>
          <w:sz w:val="20"/>
        </w:rPr>
        <w:t>Contributions received in advance are recorded as advance receipt liabilities and are recognized as revenue in the year to which they relate. Extrabudgetary funds from donors to Funds in Trust containing conditions requiring UPOV to provide services to recipient governments or other third parties are treated as deferred revenue until the services covered by the extrabudgetary funds (funds in trust) are performed, w</w:t>
      </w:r>
      <w:bookmarkStart w:id="57" w:name="_Toc84329899"/>
      <w:r w:rsidR="003478E3" w:rsidRPr="0038775D">
        <w:rPr>
          <w:rFonts w:cs="Arial"/>
          <w:sz w:val="20"/>
        </w:rPr>
        <w:t>hereupon revenue is recognized.</w:t>
      </w:r>
    </w:p>
    <w:p w14:paraId="56A13082" w14:textId="77777777" w:rsidR="004B45AE" w:rsidRPr="0038775D" w:rsidRDefault="004B45AE" w:rsidP="003478E3">
      <w:pPr>
        <w:pStyle w:val="Style3"/>
        <w:spacing w:after="0"/>
        <w:rPr>
          <w:rFonts w:cs="Arial"/>
          <w:sz w:val="20"/>
        </w:rPr>
      </w:pPr>
    </w:p>
    <w:p w14:paraId="0C71E9D7" w14:textId="77777777" w:rsidR="003478E3" w:rsidRPr="00352498" w:rsidRDefault="003478E3" w:rsidP="005D7523">
      <w:pPr>
        <w:pStyle w:val="Style3"/>
        <w:spacing w:after="0"/>
      </w:pPr>
    </w:p>
    <w:p w14:paraId="09249455" w14:textId="609576B5" w:rsidR="00A824AF" w:rsidRPr="005D7523" w:rsidRDefault="004A5EBA" w:rsidP="004A5EBA">
      <w:pPr>
        <w:pStyle w:val="Heading2Notes"/>
        <w:rPr>
          <w:rFonts w:ascii="Arial" w:hAnsi="Arial" w:cs="Arial"/>
        </w:rPr>
      </w:pPr>
      <w:bookmarkStart w:id="58" w:name="_Toc198653942"/>
      <w:r w:rsidRPr="005D7523">
        <w:rPr>
          <w:rFonts w:ascii="Arial" w:hAnsi="Arial" w:cs="Arial"/>
        </w:rPr>
        <w:t xml:space="preserve">Note </w:t>
      </w:r>
      <w:r w:rsidR="00BB34C9">
        <w:rPr>
          <w:rFonts w:ascii="Arial" w:hAnsi="Arial" w:cs="Arial"/>
        </w:rPr>
        <w:t>7</w:t>
      </w:r>
      <w:r w:rsidR="00A824AF" w:rsidRPr="005D7523">
        <w:rPr>
          <w:rFonts w:ascii="Arial" w:hAnsi="Arial" w:cs="Arial"/>
        </w:rPr>
        <w:t>:</w:t>
      </w:r>
      <w:r w:rsidR="00A824AF" w:rsidRPr="005D7523">
        <w:rPr>
          <w:rFonts w:ascii="Arial" w:hAnsi="Arial" w:cs="Arial"/>
        </w:rPr>
        <w:tab/>
      </w:r>
      <w:r w:rsidRPr="005D7523">
        <w:rPr>
          <w:rFonts w:ascii="Arial" w:hAnsi="Arial" w:cs="Arial"/>
        </w:rPr>
        <w:t xml:space="preserve">Other </w:t>
      </w:r>
      <w:r w:rsidR="00A824AF" w:rsidRPr="005D7523">
        <w:rPr>
          <w:rFonts w:ascii="Arial" w:hAnsi="Arial" w:cs="Arial"/>
        </w:rPr>
        <w:t>current liabilities</w:t>
      </w:r>
      <w:bookmarkEnd w:id="57"/>
      <w:bookmarkEnd w:id="58"/>
    </w:p>
    <w:p w14:paraId="608F20A6" w14:textId="1F3A5785" w:rsidR="003478E3" w:rsidRDefault="003478E3" w:rsidP="005D7523">
      <w:pPr>
        <w:pStyle w:val="Caption"/>
      </w:pPr>
    </w:p>
    <w:p w14:paraId="1C3C54C6" w14:textId="701DD66E" w:rsidR="00CE23D2" w:rsidRPr="007B443E" w:rsidRDefault="009039A5" w:rsidP="00F01218">
      <w:pPr>
        <w:jc w:val="center"/>
        <w:rPr>
          <w:rFonts w:cs="Arial"/>
        </w:rPr>
      </w:pPr>
      <w:r w:rsidRPr="009039A5">
        <w:rPr>
          <w:noProof/>
        </w:rPr>
        <w:drawing>
          <wp:inline distT="0" distB="0" distL="0" distR="0" wp14:anchorId="47766598" wp14:editId="421C36AE">
            <wp:extent cx="6129655" cy="948055"/>
            <wp:effectExtent l="0" t="0" r="4445" b="4445"/>
            <wp:docPr id="76798158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9655" cy="948055"/>
                    </a:xfrm>
                    <a:prstGeom prst="rect">
                      <a:avLst/>
                    </a:prstGeom>
                    <a:noFill/>
                    <a:ln>
                      <a:noFill/>
                    </a:ln>
                  </pic:spPr>
                </pic:pic>
              </a:graphicData>
            </a:graphic>
          </wp:inline>
        </w:drawing>
      </w:r>
    </w:p>
    <w:p w14:paraId="3D9B0DBC" w14:textId="77777777" w:rsidR="00CE23D2" w:rsidRPr="0098522D" w:rsidRDefault="00CE23D2" w:rsidP="005E3B7B">
      <w:pPr>
        <w:rPr>
          <w:rFonts w:cs="Arial"/>
        </w:rPr>
      </w:pPr>
    </w:p>
    <w:p w14:paraId="2954BE85" w14:textId="77777777" w:rsidR="005E3B7B" w:rsidRPr="005976F2" w:rsidRDefault="00A824AF" w:rsidP="005E3B7B">
      <w:pPr>
        <w:rPr>
          <w:rFonts w:cs="Arial"/>
        </w:rPr>
      </w:pPr>
      <w:r w:rsidRPr="00F76236">
        <w:rPr>
          <w:rFonts w:cs="Arial"/>
        </w:rPr>
        <w:t>Other current liabilities are amounts payable to WIPO, which relate to services provided under the WIPO/UPOV Agreement.</w:t>
      </w:r>
    </w:p>
    <w:p w14:paraId="331DCADC" w14:textId="671F4683" w:rsidR="005E3B7B" w:rsidRDefault="005E3B7B" w:rsidP="005E3B7B">
      <w:pPr>
        <w:rPr>
          <w:rFonts w:cs="Arial"/>
        </w:rPr>
      </w:pPr>
    </w:p>
    <w:p w14:paraId="35E10993" w14:textId="36ED517C" w:rsidR="00885DCE" w:rsidRDefault="00885DCE" w:rsidP="005E3B7B">
      <w:pPr>
        <w:rPr>
          <w:rFonts w:cs="Arial"/>
        </w:rPr>
      </w:pPr>
    </w:p>
    <w:p w14:paraId="495BC961" w14:textId="7C67F374" w:rsidR="00885DCE" w:rsidRDefault="00885DCE" w:rsidP="005D7523">
      <w:pPr>
        <w:pStyle w:val="Heading2Notes"/>
      </w:pPr>
      <w:bookmarkStart w:id="59" w:name="_Toc198653943"/>
      <w:r>
        <w:t xml:space="preserve">Note </w:t>
      </w:r>
      <w:r w:rsidR="00CD7A95">
        <w:t>8</w:t>
      </w:r>
      <w:r>
        <w:t>:</w:t>
      </w:r>
      <w:r>
        <w:tab/>
        <w:t>C</w:t>
      </w:r>
      <w:r w:rsidR="00E74A87">
        <w:t>ontingent l</w:t>
      </w:r>
      <w:r>
        <w:t>iabilities</w:t>
      </w:r>
      <w:bookmarkEnd w:id="59"/>
    </w:p>
    <w:p w14:paraId="2AFE7A13" w14:textId="4B42E7D3" w:rsidR="00885DCE" w:rsidRDefault="00885DCE" w:rsidP="005E3B7B">
      <w:pPr>
        <w:rPr>
          <w:rFonts w:cs="Arial"/>
        </w:rPr>
      </w:pPr>
    </w:p>
    <w:p w14:paraId="076BA43B" w14:textId="1CBCF649" w:rsidR="005E1412" w:rsidRDefault="00E74A87" w:rsidP="005E3B7B">
      <w:pPr>
        <w:rPr>
          <w:rFonts w:cs="Arial"/>
        </w:rPr>
      </w:pPr>
      <w:r>
        <w:rPr>
          <w:rFonts w:cs="Arial"/>
        </w:rPr>
        <w:t xml:space="preserve">UPOV has no contingent liabilities as </w:t>
      </w:r>
      <w:proofErr w:type="gramStart"/>
      <w:r>
        <w:rPr>
          <w:rFonts w:cs="Arial"/>
        </w:rPr>
        <w:t>at</w:t>
      </w:r>
      <w:proofErr w:type="gramEnd"/>
      <w:r>
        <w:rPr>
          <w:rFonts w:cs="Arial"/>
        </w:rPr>
        <w:t xml:space="preserve"> December 31, 202</w:t>
      </w:r>
      <w:r w:rsidR="00D71713">
        <w:rPr>
          <w:rFonts w:cs="Arial"/>
        </w:rPr>
        <w:t>4</w:t>
      </w:r>
      <w:r>
        <w:rPr>
          <w:rFonts w:cs="Arial"/>
        </w:rPr>
        <w:t>.</w:t>
      </w:r>
    </w:p>
    <w:p w14:paraId="69D04CA4" w14:textId="77777777" w:rsidR="005E1412" w:rsidRPr="00352498" w:rsidRDefault="005E1412" w:rsidP="005E3B7B">
      <w:pPr>
        <w:rPr>
          <w:rFonts w:cs="Arial"/>
        </w:rPr>
      </w:pPr>
    </w:p>
    <w:p w14:paraId="18FC2BE5" w14:textId="77777777" w:rsidR="005E3B7B" w:rsidRPr="00BB2405" w:rsidRDefault="005E3B7B" w:rsidP="005E3B7B">
      <w:pPr>
        <w:rPr>
          <w:rFonts w:cs="Arial"/>
        </w:rPr>
      </w:pPr>
    </w:p>
    <w:p w14:paraId="3F8E2EC7" w14:textId="77777777" w:rsidR="005D0C9E" w:rsidRDefault="005D0C9E">
      <w:pPr>
        <w:jc w:val="left"/>
        <w:rPr>
          <w:rFonts w:cs="Arial"/>
          <w:b/>
          <w:caps/>
        </w:rPr>
      </w:pPr>
      <w:bookmarkStart w:id="60" w:name="_Toc84329900"/>
      <w:r>
        <w:rPr>
          <w:rFonts w:cs="Arial"/>
        </w:rPr>
        <w:br w:type="page"/>
      </w:r>
    </w:p>
    <w:p w14:paraId="1D2CBF18" w14:textId="2D1FFF34" w:rsidR="00A824AF" w:rsidRPr="005D7523" w:rsidRDefault="004A5EBA" w:rsidP="004A5EBA">
      <w:pPr>
        <w:pStyle w:val="Heading2Notes"/>
        <w:rPr>
          <w:rFonts w:ascii="Arial" w:hAnsi="Arial" w:cs="Arial"/>
        </w:rPr>
      </w:pPr>
      <w:bookmarkStart w:id="61" w:name="_Toc198653944"/>
      <w:r w:rsidRPr="005D7523">
        <w:rPr>
          <w:rFonts w:ascii="Arial" w:hAnsi="Arial" w:cs="Arial"/>
        </w:rPr>
        <w:lastRenderedPageBreak/>
        <w:t xml:space="preserve">Note </w:t>
      </w:r>
      <w:r w:rsidR="00CD7A95">
        <w:rPr>
          <w:rFonts w:ascii="Arial" w:hAnsi="Arial" w:cs="Arial"/>
        </w:rPr>
        <w:t>9</w:t>
      </w:r>
      <w:r w:rsidR="00A824AF" w:rsidRPr="005D7523">
        <w:rPr>
          <w:rFonts w:ascii="Arial" w:hAnsi="Arial" w:cs="Arial"/>
        </w:rPr>
        <w:t>:</w:t>
      </w:r>
      <w:r w:rsidR="00A824AF" w:rsidRPr="005D7523">
        <w:rPr>
          <w:rFonts w:ascii="Arial" w:hAnsi="Arial" w:cs="Arial"/>
        </w:rPr>
        <w:tab/>
      </w:r>
      <w:r w:rsidRPr="005D7523">
        <w:rPr>
          <w:rFonts w:ascii="Arial" w:hAnsi="Arial" w:cs="Arial"/>
        </w:rPr>
        <w:t xml:space="preserve">Related </w:t>
      </w:r>
      <w:r w:rsidR="00A824AF" w:rsidRPr="005D7523">
        <w:rPr>
          <w:rFonts w:ascii="Arial" w:hAnsi="Arial" w:cs="Arial"/>
        </w:rPr>
        <w:t>party transactions</w:t>
      </w:r>
      <w:bookmarkEnd w:id="60"/>
      <w:bookmarkEnd w:id="61"/>
    </w:p>
    <w:p w14:paraId="58ABB975" w14:textId="77777777" w:rsidR="00A824AF" w:rsidRPr="007B443E" w:rsidRDefault="00A824AF" w:rsidP="004A5EBA">
      <w:pPr>
        <w:rPr>
          <w:rFonts w:cs="Arial"/>
        </w:rPr>
      </w:pPr>
    </w:p>
    <w:p w14:paraId="4EF6B11E" w14:textId="1D048FDD" w:rsidR="00A824AF" w:rsidRPr="0098522D" w:rsidRDefault="00A824AF" w:rsidP="00A824AF">
      <w:pPr>
        <w:pStyle w:val="Style3"/>
        <w:spacing w:after="0"/>
        <w:rPr>
          <w:rFonts w:cs="Arial"/>
          <w:sz w:val="20"/>
        </w:rPr>
      </w:pPr>
      <w:r w:rsidRPr="0098522D">
        <w:rPr>
          <w:rFonts w:cs="Arial"/>
          <w:sz w:val="20"/>
        </w:rPr>
        <w:t xml:space="preserve">The Council consists of the representatives of the members of the Union. They do not receive remuneration from UPOV. </w:t>
      </w:r>
    </w:p>
    <w:p w14:paraId="68F5B026" w14:textId="77777777" w:rsidR="00A824AF" w:rsidRPr="007C4A37" w:rsidRDefault="00A824AF" w:rsidP="00A824AF">
      <w:pPr>
        <w:pStyle w:val="Style3"/>
        <w:spacing w:after="0"/>
        <w:rPr>
          <w:rFonts w:cs="Arial"/>
          <w:sz w:val="20"/>
        </w:rPr>
      </w:pPr>
    </w:p>
    <w:p w14:paraId="3473A35B" w14:textId="536FDDEE" w:rsidR="00A824AF" w:rsidRPr="009B78B3" w:rsidRDefault="00A824AF" w:rsidP="00A824AF">
      <w:pPr>
        <w:pStyle w:val="Style3"/>
        <w:spacing w:after="0"/>
        <w:rPr>
          <w:rFonts w:cs="Arial"/>
          <w:sz w:val="20"/>
        </w:rPr>
      </w:pPr>
      <w:r w:rsidRPr="00F76236">
        <w:rPr>
          <w:rFonts w:cs="Arial"/>
          <w:sz w:val="20"/>
        </w:rPr>
        <w:t xml:space="preserve">UPOV has no ownership interest in associates or joint ventures and no controlled entities. In </w:t>
      </w:r>
      <w:r w:rsidR="00112B6B" w:rsidRPr="00352498">
        <w:rPr>
          <w:rFonts w:cs="Arial"/>
          <w:sz w:val="20"/>
        </w:rPr>
        <w:t>1982,</w:t>
      </w:r>
      <w:r w:rsidRPr="00BB2405">
        <w:rPr>
          <w:rFonts w:cs="Arial"/>
          <w:sz w:val="20"/>
        </w:rPr>
        <w:t xml:space="preserve"> a cooperation agreement (</w:t>
      </w:r>
      <w:bookmarkStart w:id="62" w:name="_Hlk161156819"/>
      <w:r w:rsidRPr="00BB2405">
        <w:rPr>
          <w:rFonts w:cs="Arial"/>
          <w:sz w:val="20"/>
        </w:rPr>
        <w:t>the WIPO/UPOV Agreement</w:t>
      </w:r>
      <w:bookmarkEnd w:id="62"/>
      <w:r w:rsidRPr="00BB2405">
        <w:rPr>
          <w:rFonts w:cs="Arial"/>
          <w:sz w:val="20"/>
        </w:rPr>
        <w:t>) was signed between UPOV and WIPO.  Under this Agreement, the Council of UPOV appoints as Secretary-General of UPOV the Director General of WIPO. Under the Agreement, WIP</w:t>
      </w:r>
      <w:r w:rsidRPr="008E132D">
        <w:rPr>
          <w:rFonts w:cs="Arial"/>
          <w:sz w:val="20"/>
        </w:rPr>
        <w:t xml:space="preserve">O satisfies the requirements of UPOV as regards to provision of space, </w:t>
      </w:r>
      <w:bookmarkStart w:id="63" w:name="_Hlk161156840"/>
      <w:r w:rsidRPr="008E132D">
        <w:rPr>
          <w:rFonts w:cs="Arial"/>
          <w:sz w:val="20"/>
        </w:rPr>
        <w:t>personnel administration, financial administration, procurement services and other administrative support.</w:t>
      </w:r>
      <w:bookmarkEnd w:id="63"/>
      <w:r w:rsidRPr="008E132D">
        <w:rPr>
          <w:rFonts w:cs="Arial"/>
          <w:sz w:val="20"/>
        </w:rPr>
        <w:t xml:space="preserve"> </w:t>
      </w:r>
      <w:r w:rsidRPr="009B78B3">
        <w:rPr>
          <w:rFonts w:cs="Arial"/>
          <w:sz w:val="20"/>
        </w:rPr>
        <w:t>UPOV indemnifies WIPO for</w:t>
      </w:r>
      <w:r w:rsidR="005407CD" w:rsidRPr="009B78B3">
        <w:rPr>
          <w:rFonts w:cs="Arial"/>
          <w:sz w:val="20"/>
        </w:rPr>
        <w:t xml:space="preserve"> the cost of such services in accordance with the terms of said agreement. In </w:t>
      </w:r>
      <w:r w:rsidR="00CD7A95">
        <w:rPr>
          <w:rFonts w:cs="Arial"/>
          <w:sz w:val="20"/>
        </w:rPr>
        <w:t>202</w:t>
      </w:r>
      <w:r w:rsidR="005D0C9E">
        <w:rPr>
          <w:rFonts w:cs="Arial"/>
          <w:sz w:val="20"/>
        </w:rPr>
        <w:t>4</w:t>
      </w:r>
      <w:r w:rsidR="00112B6B" w:rsidRPr="009B78B3">
        <w:rPr>
          <w:rFonts w:cs="Arial"/>
          <w:sz w:val="20"/>
        </w:rPr>
        <w:t>,</w:t>
      </w:r>
      <w:r w:rsidR="002B39DC" w:rsidRPr="009B78B3">
        <w:rPr>
          <w:rFonts w:cs="Arial"/>
          <w:sz w:val="20"/>
        </w:rPr>
        <w:t xml:space="preserve"> </w:t>
      </w:r>
      <w:r w:rsidR="005407CD" w:rsidRPr="009B78B3">
        <w:rPr>
          <w:rFonts w:cs="Arial"/>
          <w:sz w:val="20"/>
        </w:rPr>
        <w:t xml:space="preserve">UPOV paid </w:t>
      </w:r>
      <w:r w:rsidR="002D3525">
        <w:rPr>
          <w:rFonts w:cs="Arial"/>
          <w:sz w:val="20"/>
        </w:rPr>
        <w:t>618,000</w:t>
      </w:r>
      <w:r w:rsidR="005407CD" w:rsidRPr="009B78B3">
        <w:rPr>
          <w:rFonts w:cs="Arial"/>
          <w:sz w:val="20"/>
        </w:rPr>
        <w:t xml:space="preserve"> Swiss francs to WIPO to cover the cost of these services</w:t>
      </w:r>
      <w:r w:rsidR="00CC6075" w:rsidRPr="009B78B3">
        <w:rPr>
          <w:rFonts w:cs="Arial"/>
          <w:sz w:val="20"/>
        </w:rPr>
        <w:t>, which UPOV</w:t>
      </w:r>
      <w:r w:rsidR="005407CD" w:rsidRPr="009B78B3">
        <w:rPr>
          <w:rFonts w:cs="Arial"/>
          <w:sz w:val="20"/>
        </w:rPr>
        <w:t xml:space="preserve"> recognized in operating expenses for the year</w:t>
      </w:r>
      <w:r w:rsidR="00CC6075" w:rsidRPr="009B78B3">
        <w:rPr>
          <w:rFonts w:cs="Arial"/>
          <w:sz w:val="20"/>
        </w:rPr>
        <w:t>.</w:t>
      </w:r>
      <w:r w:rsidR="005407CD" w:rsidRPr="009B78B3">
        <w:rPr>
          <w:rFonts w:cs="Arial"/>
          <w:sz w:val="20"/>
        </w:rPr>
        <w:t xml:space="preserve"> In addition, UPOV reimbursed</w:t>
      </w:r>
      <w:r w:rsidR="00CC6075" w:rsidRPr="009B78B3">
        <w:rPr>
          <w:rFonts w:cs="Arial"/>
          <w:sz w:val="20"/>
        </w:rPr>
        <w:t xml:space="preserve"> </w:t>
      </w:r>
      <w:r w:rsidR="005407CD" w:rsidRPr="009B78B3">
        <w:rPr>
          <w:rFonts w:cs="Arial"/>
          <w:sz w:val="20"/>
        </w:rPr>
        <w:t xml:space="preserve">WIPO </w:t>
      </w:r>
      <w:r w:rsidR="00CC6075" w:rsidRPr="009B78B3">
        <w:rPr>
          <w:rFonts w:cs="Arial"/>
          <w:sz w:val="20"/>
        </w:rPr>
        <w:t xml:space="preserve">for funds disbursed on its behalf. </w:t>
      </w:r>
      <w:r w:rsidRPr="009B78B3">
        <w:rPr>
          <w:rFonts w:cs="Arial"/>
          <w:sz w:val="20"/>
        </w:rPr>
        <w:t xml:space="preserve">In accordance with the Agreement, the Office of the Union exercises its functions in complete independence of WIPO.  </w:t>
      </w:r>
    </w:p>
    <w:p w14:paraId="534EB612" w14:textId="77777777" w:rsidR="00A824AF" w:rsidRDefault="00A824AF" w:rsidP="00A824AF">
      <w:pPr>
        <w:pStyle w:val="Style3"/>
        <w:spacing w:after="0"/>
        <w:rPr>
          <w:rFonts w:cs="Arial"/>
          <w:sz w:val="20"/>
        </w:rPr>
      </w:pPr>
    </w:p>
    <w:p w14:paraId="1E218FA3" w14:textId="77777777" w:rsidR="009039A5" w:rsidRDefault="009039A5" w:rsidP="009039A5">
      <w:pPr>
        <w:rPr>
          <w:rFonts w:cs="Arial"/>
        </w:rPr>
      </w:pPr>
      <w:r w:rsidRPr="005D0C9E">
        <w:t xml:space="preserve">Pursuant to the endorsement by the UPOV Consultative Committee at its 101st Session in October 2023, </w:t>
      </w:r>
      <w:r w:rsidRPr="00AE518C">
        <w:rPr>
          <w:rFonts w:cs="Arial"/>
        </w:rPr>
        <w:t>the Assemblies of the Member States of WIPO approved</w:t>
      </w:r>
      <w:r>
        <w:rPr>
          <w:rFonts w:cs="Arial"/>
        </w:rPr>
        <w:t>,</w:t>
      </w:r>
      <w:r w:rsidRPr="005D0C9E">
        <w:rPr>
          <w:rFonts w:cs="Arial"/>
        </w:rPr>
        <w:t xml:space="preserve"> </w:t>
      </w:r>
      <w:r w:rsidRPr="00CE6848">
        <w:rPr>
          <w:rFonts w:cs="Arial"/>
        </w:rPr>
        <w:t>in July 2024</w:t>
      </w:r>
      <w:r>
        <w:rPr>
          <w:rFonts w:cs="Arial"/>
        </w:rPr>
        <w:t>,</w:t>
      </w:r>
      <w:r w:rsidRPr="00AE518C">
        <w:rPr>
          <w:rFonts w:cs="Arial"/>
        </w:rPr>
        <w:t xml:space="preserve"> the creation of a separate entity, to be established as a multi-employer plan, </w:t>
      </w:r>
      <w:r>
        <w:rPr>
          <w:rFonts w:cs="Arial"/>
        </w:rPr>
        <w:t xml:space="preserve">responsible </w:t>
      </w:r>
      <w:r w:rsidRPr="00AE518C">
        <w:rPr>
          <w:rFonts w:cs="Arial"/>
        </w:rPr>
        <w:t xml:space="preserve">for </w:t>
      </w:r>
      <w:r>
        <w:rPr>
          <w:rFonts w:cs="Arial"/>
        </w:rPr>
        <w:t xml:space="preserve">managing </w:t>
      </w:r>
      <w:r w:rsidRPr="00AE518C">
        <w:rPr>
          <w:rFonts w:cs="Arial"/>
        </w:rPr>
        <w:t xml:space="preserve">the funds set aside to finance ASHI. </w:t>
      </w:r>
      <w:r>
        <w:rPr>
          <w:rFonts w:cs="Arial"/>
        </w:rPr>
        <w:t xml:space="preserve">Both </w:t>
      </w:r>
      <w:r w:rsidRPr="00AE518C">
        <w:rPr>
          <w:rFonts w:cs="Arial"/>
        </w:rPr>
        <w:t xml:space="preserve">WIPO and UPOV </w:t>
      </w:r>
      <w:r>
        <w:rPr>
          <w:rFonts w:cs="Arial"/>
        </w:rPr>
        <w:t>will</w:t>
      </w:r>
      <w:r w:rsidRPr="00AE518C">
        <w:rPr>
          <w:rFonts w:cs="Arial"/>
        </w:rPr>
        <w:t xml:space="preserve"> participate in this muti-employer plan, with responsibility for the oversight of the plan allocated to a formal advisory committee. Work has continued in 2025 to establish the separate entity, with an effective date of April 1, 2025.</w:t>
      </w:r>
    </w:p>
    <w:p w14:paraId="3DC01DB6" w14:textId="77777777" w:rsidR="009039A5" w:rsidRPr="009B78B3" w:rsidRDefault="009039A5" w:rsidP="00A824AF">
      <w:pPr>
        <w:pStyle w:val="Style3"/>
        <w:spacing w:after="0"/>
        <w:rPr>
          <w:rFonts w:cs="Arial"/>
          <w:sz w:val="20"/>
        </w:rPr>
      </w:pPr>
    </w:p>
    <w:p w14:paraId="0DABAC7B" w14:textId="4B3B9D24" w:rsidR="00A824AF" w:rsidRPr="009B78B3" w:rsidRDefault="00A824AF" w:rsidP="00A824AF">
      <w:pPr>
        <w:pStyle w:val="Style3"/>
        <w:spacing w:after="0"/>
        <w:rPr>
          <w:rFonts w:cs="Arial"/>
          <w:sz w:val="20"/>
        </w:rPr>
      </w:pPr>
      <w:r w:rsidRPr="009B78B3">
        <w:rPr>
          <w:rFonts w:cs="Arial"/>
          <w:sz w:val="20"/>
        </w:rPr>
        <w:t>The key management personnel</w:t>
      </w:r>
      <w:r w:rsidR="009039A5">
        <w:rPr>
          <w:rFonts w:cs="Arial"/>
          <w:sz w:val="20"/>
        </w:rPr>
        <w:t xml:space="preserve"> of UPOV</w:t>
      </w:r>
      <w:r w:rsidRPr="009B78B3">
        <w:rPr>
          <w:rFonts w:cs="Arial"/>
          <w:sz w:val="20"/>
        </w:rPr>
        <w:t xml:space="preserve"> are the Secretary-General, the Vice Secretary-General and officers in posts. The current Director General of WIPO has declined any salary or allowance from his function as Secretary-General of UPOV. The other key management personnel are remunerated by UPOV. The aggregate remuneration paid to key management personnel includes salaries, allowances, statutory travel and other entitlements paid in accordance with the Staff Regulations and Rules. Key management personnel are members of the UN Joint Staff Pension Fund (UNJSPF) to which the personnel and UPOV contribute and are also eligible for participation in the collective medical insurance plan. </w:t>
      </w:r>
    </w:p>
    <w:p w14:paraId="0E04994B" w14:textId="77777777" w:rsidR="00A824AF" w:rsidRPr="009B78B3" w:rsidRDefault="00A824AF" w:rsidP="00A824AF">
      <w:pPr>
        <w:pStyle w:val="Style3"/>
        <w:spacing w:after="0"/>
        <w:rPr>
          <w:rFonts w:cs="Arial"/>
          <w:sz w:val="20"/>
        </w:rPr>
      </w:pPr>
    </w:p>
    <w:p w14:paraId="617984F9" w14:textId="77777777" w:rsidR="00A824AF" w:rsidRPr="009B78B3" w:rsidRDefault="00A824AF" w:rsidP="009A7611">
      <w:pPr>
        <w:jc w:val="left"/>
        <w:rPr>
          <w:rFonts w:cs="Arial"/>
        </w:rPr>
      </w:pPr>
      <w:r w:rsidRPr="009B78B3">
        <w:rPr>
          <w:rFonts w:cs="Arial"/>
        </w:rPr>
        <w:t>Key management personnel and their aggregate remuneration were as follows (note that the table does not include the Secretary-General as he does not receive remuneration from UPOV):</w:t>
      </w:r>
    </w:p>
    <w:p w14:paraId="293EFD39" w14:textId="1400AD82" w:rsidR="00036458" w:rsidRPr="007B443E" w:rsidRDefault="00036458" w:rsidP="00036458">
      <w:pPr>
        <w:pStyle w:val="Style3"/>
        <w:spacing w:after="0"/>
        <w:rPr>
          <w:rFonts w:cs="Arial"/>
          <w:sz w:val="20"/>
        </w:rPr>
      </w:pPr>
    </w:p>
    <w:p w14:paraId="6863520A" w14:textId="61E4E3B1" w:rsidR="00DB5252" w:rsidRDefault="009039A5" w:rsidP="00F01218">
      <w:pPr>
        <w:jc w:val="center"/>
        <w:rPr>
          <w:rFonts w:cs="Arial"/>
        </w:rPr>
      </w:pPr>
      <w:r w:rsidRPr="009039A5">
        <w:rPr>
          <w:rFonts w:cs="Arial"/>
        </w:rPr>
        <w:t xml:space="preserve"> </w:t>
      </w:r>
    </w:p>
    <w:p w14:paraId="082F293D" w14:textId="64C6C1DF" w:rsidR="001E11E5" w:rsidRPr="0098522D" w:rsidRDefault="00DB5252" w:rsidP="00A824AF">
      <w:pPr>
        <w:rPr>
          <w:rFonts w:cs="Arial"/>
        </w:rPr>
      </w:pPr>
      <w:r w:rsidRPr="00DB5252">
        <w:rPr>
          <w:noProof/>
        </w:rPr>
        <w:drawing>
          <wp:inline distT="0" distB="0" distL="0" distR="0" wp14:anchorId="4FDF4D71" wp14:editId="211604E6">
            <wp:extent cx="5983605" cy="1323975"/>
            <wp:effectExtent l="0" t="0" r="0" b="0"/>
            <wp:docPr id="6516106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83605" cy="1323975"/>
                    </a:xfrm>
                    <a:prstGeom prst="rect">
                      <a:avLst/>
                    </a:prstGeom>
                    <a:noFill/>
                    <a:ln>
                      <a:noFill/>
                    </a:ln>
                  </pic:spPr>
                </pic:pic>
              </a:graphicData>
            </a:graphic>
          </wp:inline>
        </w:drawing>
      </w:r>
    </w:p>
    <w:p w14:paraId="131F9180" w14:textId="74665C21" w:rsidR="00BC6E60" w:rsidRDefault="00A824AF" w:rsidP="00C21351">
      <w:pPr>
        <w:rPr>
          <w:rFonts w:cs="Arial"/>
        </w:rPr>
      </w:pPr>
      <w:r w:rsidRPr="00F76236">
        <w:rPr>
          <w:rFonts w:cs="Arial"/>
        </w:rPr>
        <w:t xml:space="preserve">There was no other remuneration or compensation to key management personnel or </w:t>
      </w:r>
      <w:bookmarkStart w:id="64" w:name="_Toc84329901"/>
      <w:r w:rsidR="000745BA" w:rsidRPr="005976F2">
        <w:rPr>
          <w:rFonts w:cs="Arial"/>
        </w:rPr>
        <w:t>to their close family members.</w:t>
      </w:r>
    </w:p>
    <w:p w14:paraId="698A0706" w14:textId="77777777" w:rsidR="00B026C1" w:rsidRPr="00352498" w:rsidRDefault="00B026C1" w:rsidP="00C21351">
      <w:pPr>
        <w:rPr>
          <w:rFonts w:cs="Arial"/>
        </w:rPr>
      </w:pPr>
    </w:p>
    <w:p w14:paraId="2DB0D626" w14:textId="77777777" w:rsidR="005D0C9E" w:rsidRDefault="005D0C9E">
      <w:pPr>
        <w:rPr>
          <w:rFonts w:cs="Arial"/>
        </w:rPr>
      </w:pPr>
    </w:p>
    <w:p w14:paraId="00F69544" w14:textId="77777777" w:rsidR="005D0C9E" w:rsidRDefault="005D0C9E" w:rsidP="005D0C9E">
      <w:pPr>
        <w:pStyle w:val="ListParagraph"/>
        <w:ind w:hanging="567"/>
        <w:jc w:val="both"/>
        <w:rPr>
          <w:rFonts w:eastAsia="SimSun"/>
          <w:sz w:val="20"/>
          <w:lang w:eastAsia="zh-CN"/>
        </w:rPr>
      </w:pPr>
    </w:p>
    <w:p w14:paraId="717F6682" w14:textId="77777777" w:rsidR="005D0C9E" w:rsidRPr="00F01218" w:rsidRDefault="005D0C9E" w:rsidP="00F01218">
      <w:pPr>
        <w:rPr>
          <w:rFonts w:cs="Arial"/>
        </w:rPr>
      </w:pPr>
    </w:p>
    <w:p w14:paraId="24E875F5" w14:textId="77777777" w:rsidR="005E1412" w:rsidRDefault="005E1412" w:rsidP="00C21351">
      <w:pPr>
        <w:rPr>
          <w:rFonts w:cs="Arial"/>
          <w:b/>
          <w:caps/>
        </w:rPr>
      </w:pPr>
    </w:p>
    <w:p w14:paraId="70DB1078" w14:textId="2932B9DF" w:rsidR="003408AA" w:rsidRDefault="003408AA">
      <w:pPr>
        <w:jc w:val="left"/>
        <w:rPr>
          <w:rFonts w:cs="Arial"/>
          <w:b/>
          <w:caps/>
        </w:rPr>
      </w:pPr>
    </w:p>
    <w:p w14:paraId="20B61712" w14:textId="77777777" w:rsidR="00FC6B69" w:rsidRDefault="00FC6B69">
      <w:pPr>
        <w:jc w:val="left"/>
        <w:rPr>
          <w:rFonts w:cs="Arial"/>
          <w:b/>
          <w:caps/>
        </w:rPr>
      </w:pPr>
      <w:r>
        <w:rPr>
          <w:rFonts w:cs="Arial"/>
        </w:rPr>
        <w:br w:type="page"/>
      </w:r>
    </w:p>
    <w:p w14:paraId="75D99EE3" w14:textId="5F28FFD3" w:rsidR="008754B4" w:rsidRPr="005D7523" w:rsidRDefault="004A5EBA" w:rsidP="004A5EBA">
      <w:pPr>
        <w:pStyle w:val="Heading2Notes"/>
        <w:rPr>
          <w:rFonts w:ascii="Arial" w:hAnsi="Arial" w:cs="Arial"/>
        </w:rPr>
      </w:pPr>
      <w:bookmarkStart w:id="65" w:name="_Toc198653945"/>
      <w:r w:rsidRPr="005D7523">
        <w:rPr>
          <w:rFonts w:ascii="Arial" w:hAnsi="Arial" w:cs="Arial"/>
        </w:rPr>
        <w:lastRenderedPageBreak/>
        <w:t xml:space="preserve">Note </w:t>
      </w:r>
      <w:r w:rsidR="00CB1F12" w:rsidRPr="005D7523">
        <w:rPr>
          <w:rFonts w:ascii="Arial" w:hAnsi="Arial" w:cs="Arial"/>
        </w:rPr>
        <w:t>1</w:t>
      </w:r>
      <w:r w:rsidR="00CD7A95">
        <w:rPr>
          <w:rFonts w:ascii="Arial" w:hAnsi="Arial" w:cs="Arial"/>
        </w:rPr>
        <w:t>0</w:t>
      </w:r>
      <w:r w:rsidR="00A824AF" w:rsidRPr="005D7523">
        <w:rPr>
          <w:rFonts w:ascii="Arial" w:hAnsi="Arial" w:cs="Arial"/>
        </w:rPr>
        <w:t>:</w:t>
      </w:r>
      <w:r w:rsidR="00A824AF" w:rsidRPr="005D7523">
        <w:rPr>
          <w:rFonts w:ascii="Arial" w:hAnsi="Arial" w:cs="Arial"/>
        </w:rPr>
        <w:tab/>
      </w:r>
      <w:r w:rsidRPr="005D7523">
        <w:rPr>
          <w:rFonts w:ascii="Arial" w:hAnsi="Arial" w:cs="Arial"/>
        </w:rPr>
        <w:t>Net assets</w:t>
      </w:r>
      <w:bookmarkEnd w:id="64"/>
      <w:bookmarkEnd w:id="65"/>
    </w:p>
    <w:p w14:paraId="7D54EED4" w14:textId="5F7EAAD2" w:rsidR="006D36E5" w:rsidRDefault="006D36E5" w:rsidP="00F01218">
      <w:pPr>
        <w:pStyle w:val="Heading2Notes"/>
      </w:pPr>
    </w:p>
    <w:p w14:paraId="3CF7F384" w14:textId="13640424" w:rsidR="00584923" w:rsidRPr="0098522D" w:rsidRDefault="00584923" w:rsidP="00F01218">
      <w:pPr>
        <w:jc w:val="center"/>
        <w:rPr>
          <w:rFonts w:cs="Arial"/>
        </w:rPr>
      </w:pPr>
      <w:r w:rsidRPr="00584923">
        <w:rPr>
          <w:noProof/>
        </w:rPr>
        <w:drawing>
          <wp:inline distT="0" distB="0" distL="0" distR="0" wp14:anchorId="627CA52C" wp14:editId="7DA60240">
            <wp:extent cx="6137910" cy="3187700"/>
            <wp:effectExtent l="0" t="0" r="0" b="0"/>
            <wp:docPr id="18990380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37910" cy="3187700"/>
                    </a:xfrm>
                    <a:prstGeom prst="rect">
                      <a:avLst/>
                    </a:prstGeom>
                    <a:noFill/>
                    <a:ln>
                      <a:noFill/>
                    </a:ln>
                  </pic:spPr>
                </pic:pic>
              </a:graphicData>
            </a:graphic>
          </wp:inline>
        </w:drawing>
      </w:r>
    </w:p>
    <w:p w14:paraId="34083217" w14:textId="77777777" w:rsidR="00563FE9" w:rsidRDefault="00563FE9" w:rsidP="00A824AF">
      <w:pPr>
        <w:rPr>
          <w:rFonts w:cs="Arial"/>
        </w:rPr>
      </w:pPr>
    </w:p>
    <w:p w14:paraId="535650CE" w14:textId="2F1BE427" w:rsidR="00BC2FA1" w:rsidRPr="009B78B3" w:rsidRDefault="00A824AF" w:rsidP="00A824AF">
      <w:pPr>
        <w:rPr>
          <w:rFonts w:cs="Arial"/>
        </w:rPr>
      </w:pPr>
      <w:r w:rsidRPr="00F76236">
        <w:rPr>
          <w:rFonts w:cs="Arial"/>
        </w:rPr>
        <w:t xml:space="preserve">In accordance with Regulation 4.2 of the UPOV Financial Regulations and Rules, UPOV has a Working Capital </w:t>
      </w:r>
      <w:r w:rsidR="00FB6D47" w:rsidRPr="005976F2">
        <w:rPr>
          <w:rFonts w:cs="Arial"/>
        </w:rPr>
        <w:t xml:space="preserve">Fund. As </w:t>
      </w:r>
      <w:proofErr w:type="gramStart"/>
      <w:r w:rsidR="00FB6D47" w:rsidRPr="005976F2">
        <w:rPr>
          <w:rFonts w:cs="Arial"/>
        </w:rPr>
        <w:t>at</w:t>
      </w:r>
      <w:proofErr w:type="gramEnd"/>
      <w:r w:rsidR="00FB6D47" w:rsidRPr="005976F2">
        <w:rPr>
          <w:rFonts w:cs="Arial"/>
        </w:rPr>
        <w:t xml:space="preserve"> December 31, </w:t>
      </w:r>
      <w:r w:rsidR="004F71C9">
        <w:rPr>
          <w:rFonts w:cs="Arial"/>
        </w:rPr>
        <w:t>202</w:t>
      </w:r>
      <w:r w:rsidR="00BC2FA1">
        <w:rPr>
          <w:rFonts w:cs="Arial"/>
        </w:rPr>
        <w:t>4</w:t>
      </w:r>
      <w:r w:rsidRPr="008E132D">
        <w:rPr>
          <w:rFonts w:cs="Arial"/>
        </w:rPr>
        <w:t xml:space="preserve">, the Working Capital Fund stands at </w:t>
      </w:r>
      <w:r w:rsidR="004F71C9">
        <w:rPr>
          <w:rFonts w:cs="Arial"/>
          <w:color w:val="000000" w:themeColor="text1"/>
        </w:rPr>
        <w:t>578,345</w:t>
      </w:r>
      <w:r w:rsidRPr="008E132D">
        <w:rPr>
          <w:rFonts w:cs="Arial"/>
          <w:color w:val="000000" w:themeColor="text1"/>
        </w:rPr>
        <w:t xml:space="preserve"> Swiss francs. </w:t>
      </w:r>
      <w:r w:rsidRPr="009B78B3">
        <w:rPr>
          <w:rFonts w:cs="Arial"/>
        </w:rPr>
        <w:t>As per Regulation 4.2, the purposes for which the Working Capital Fund is utilized are:</w:t>
      </w:r>
    </w:p>
    <w:p w14:paraId="370F88A7" w14:textId="77777777" w:rsidR="00A824AF" w:rsidRPr="009B78B3" w:rsidRDefault="00A824AF" w:rsidP="00A824AF">
      <w:pPr>
        <w:rPr>
          <w:rFonts w:cs="Arial"/>
        </w:rPr>
      </w:pPr>
    </w:p>
    <w:p w14:paraId="69FA2F7B" w14:textId="77777777" w:rsidR="00A824AF" w:rsidRPr="009B78B3" w:rsidRDefault="00A824AF" w:rsidP="00A824AF">
      <w:pPr>
        <w:numPr>
          <w:ilvl w:val="0"/>
          <w:numId w:val="21"/>
        </w:numPr>
        <w:tabs>
          <w:tab w:val="clear" w:pos="418"/>
          <w:tab w:val="num" w:pos="1170"/>
        </w:tabs>
        <w:ind w:left="1170" w:hanging="810"/>
        <w:jc w:val="left"/>
        <w:rPr>
          <w:rFonts w:cs="Arial"/>
        </w:rPr>
      </w:pPr>
      <w:r w:rsidRPr="009B78B3">
        <w:rPr>
          <w:rFonts w:cs="Arial"/>
        </w:rPr>
        <w:t>to meet budgeted expenditure pending the receipt of t</w:t>
      </w:r>
      <w:r w:rsidR="006E4CB2" w:rsidRPr="009B78B3">
        <w:rPr>
          <w:rFonts w:cs="Arial"/>
        </w:rPr>
        <w:t>he contributions of members of the Union</w:t>
      </w:r>
      <w:r w:rsidRPr="009B78B3">
        <w:rPr>
          <w:rFonts w:cs="Arial"/>
        </w:rPr>
        <w:t>;</w:t>
      </w:r>
    </w:p>
    <w:p w14:paraId="3DFC6018" w14:textId="77777777" w:rsidR="00A824AF" w:rsidRPr="009B78B3" w:rsidRDefault="00A824AF" w:rsidP="00A824AF">
      <w:pPr>
        <w:numPr>
          <w:ilvl w:val="0"/>
          <w:numId w:val="21"/>
        </w:numPr>
        <w:tabs>
          <w:tab w:val="clear" w:pos="418"/>
          <w:tab w:val="num" w:pos="1170"/>
        </w:tabs>
        <w:ind w:left="1170" w:hanging="810"/>
        <w:jc w:val="left"/>
        <w:rPr>
          <w:rFonts w:cs="Arial"/>
        </w:rPr>
      </w:pPr>
      <w:r w:rsidRPr="009B78B3">
        <w:rPr>
          <w:rFonts w:cs="Arial"/>
        </w:rPr>
        <w:t>to meet unavoidable unforeseen expenses arising from the execution of the approved program;</w:t>
      </w:r>
    </w:p>
    <w:p w14:paraId="15FF4D77" w14:textId="77777777" w:rsidR="00A824AF" w:rsidRPr="009B78B3" w:rsidRDefault="00A824AF" w:rsidP="00A824AF">
      <w:pPr>
        <w:numPr>
          <w:ilvl w:val="0"/>
          <w:numId w:val="21"/>
        </w:numPr>
        <w:tabs>
          <w:tab w:val="clear" w:pos="418"/>
          <w:tab w:val="num" w:pos="1170"/>
        </w:tabs>
        <w:jc w:val="left"/>
        <w:rPr>
          <w:rFonts w:cs="Arial"/>
        </w:rPr>
      </w:pPr>
      <w:r w:rsidRPr="009B78B3">
        <w:rPr>
          <w:rFonts w:cs="Arial"/>
        </w:rPr>
        <w:t>to meet such other expenses as may be determined by the Council.</w:t>
      </w:r>
    </w:p>
    <w:p w14:paraId="7E4B9269" w14:textId="77777777" w:rsidR="00A824AF" w:rsidRPr="009B78B3" w:rsidRDefault="00A824AF" w:rsidP="00A824AF">
      <w:pPr>
        <w:rPr>
          <w:rFonts w:cs="Arial"/>
        </w:rPr>
      </w:pPr>
    </w:p>
    <w:p w14:paraId="343CD196" w14:textId="77777777" w:rsidR="00A824AF" w:rsidRPr="009B78B3" w:rsidRDefault="00A824AF" w:rsidP="00A824AF">
      <w:pPr>
        <w:rPr>
          <w:rFonts w:cs="Arial"/>
        </w:rPr>
      </w:pPr>
      <w:r w:rsidRPr="009B78B3">
        <w:rPr>
          <w:rFonts w:cs="Arial"/>
        </w:rPr>
        <w:t>Advances made from the Working Capital Fund to meet the expenditure requirements listed above are to be reimbursed in accordance with Regulation 4.2.</w:t>
      </w:r>
    </w:p>
    <w:p w14:paraId="1C4142AF" w14:textId="77777777" w:rsidR="00A824AF" w:rsidRPr="009B78B3" w:rsidRDefault="00A824AF" w:rsidP="00A824AF">
      <w:pPr>
        <w:rPr>
          <w:rFonts w:cs="Arial"/>
        </w:rPr>
      </w:pPr>
    </w:p>
    <w:p w14:paraId="0EA7E93A" w14:textId="4F4DAA1F" w:rsidR="0051183F" w:rsidRPr="009B78B3" w:rsidRDefault="00A824AF" w:rsidP="00A824AF">
      <w:pPr>
        <w:rPr>
          <w:rFonts w:cs="Arial"/>
        </w:rPr>
      </w:pPr>
      <w:r w:rsidRPr="009B78B3">
        <w:rPr>
          <w:rFonts w:cs="Arial"/>
        </w:rPr>
        <w:t xml:space="preserve">The </w:t>
      </w:r>
      <w:r w:rsidRPr="00830182">
        <w:rPr>
          <w:rFonts w:cs="Arial"/>
        </w:rPr>
        <w:t>Reserve Fund represents the accumulated surpluses and deficits of UPOV. In accordance with Regulation 4.6 of the UPOV Financial Regulations and Rules</w:t>
      </w:r>
      <w:r w:rsidR="0051183F" w:rsidRPr="00CD7A95">
        <w:rPr>
          <w:rFonts w:cs="Arial"/>
        </w:rPr>
        <w:t xml:space="preserve">, revised by the Council </w:t>
      </w:r>
      <w:r w:rsidR="005D31FD" w:rsidRPr="00CD7A95">
        <w:rPr>
          <w:rFonts w:cs="Arial"/>
        </w:rPr>
        <w:t>in October 2020</w:t>
      </w:r>
      <w:r w:rsidR="0051183F" w:rsidRPr="00CD7A95">
        <w:rPr>
          <w:rFonts w:cs="Arial"/>
        </w:rPr>
        <w:t>: the use, other than for the covering of any deficits, of the reserve fund is a matter for the decision of the Council. If after the closure of the financial period, the amount of the reserve fund exceeds 15 percent of the total income for the financial period, the Council shall decide on the use of the income in excess of the expenditure for the financial period.</w:t>
      </w:r>
    </w:p>
    <w:p w14:paraId="5AAB0BA5" w14:textId="77777777" w:rsidR="00A824AF" w:rsidRPr="009B78B3" w:rsidRDefault="00A824AF" w:rsidP="00A824AF">
      <w:pPr>
        <w:rPr>
          <w:rFonts w:cs="Arial"/>
        </w:rPr>
      </w:pPr>
    </w:p>
    <w:p w14:paraId="6EEA8DE8" w14:textId="4EFF8AF1" w:rsidR="00174C1A" w:rsidRPr="009B78B3" w:rsidRDefault="00174C1A" w:rsidP="00A824AF">
      <w:pPr>
        <w:rPr>
          <w:rFonts w:cs="Arial"/>
        </w:rPr>
      </w:pPr>
      <w:r w:rsidRPr="009B78B3">
        <w:rPr>
          <w:rFonts w:cs="Arial"/>
        </w:rPr>
        <w:t>Following the implementation</w:t>
      </w:r>
      <w:r w:rsidR="003705C5" w:rsidRPr="009B78B3">
        <w:rPr>
          <w:rFonts w:cs="Arial"/>
        </w:rPr>
        <w:t xml:space="preserve"> of IPSAS 39 in 2017, </w:t>
      </w:r>
      <w:r w:rsidRPr="009B78B3">
        <w:rPr>
          <w:rFonts w:cs="Arial"/>
        </w:rPr>
        <w:t xml:space="preserve">actuarial </w:t>
      </w:r>
      <w:r w:rsidR="00725901" w:rsidRPr="009B78B3">
        <w:rPr>
          <w:rFonts w:cs="Arial"/>
        </w:rPr>
        <w:t xml:space="preserve">gains and </w:t>
      </w:r>
      <w:r w:rsidRPr="009B78B3">
        <w:rPr>
          <w:rFonts w:cs="Arial"/>
        </w:rPr>
        <w:t xml:space="preserve">losses for ASHI </w:t>
      </w:r>
      <w:r w:rsidR="00725901" w:rsidRPr="009B78B3">
        <w:rPr>
          <w:rFonts w:cs="Arial"/>
        </w:rPr>
        <w:t xml:space="preserve">have to be </w:t>
      </w:r>
      <w:r w:rsidRPr="009B78B3">
        <w:rPr>
          <w:rFonts w:cs="Arial"/>
        </w:rPr>
        <w:t xml:space="preserve">recognized directly through net assets. The </w:t>
      </w:r>
      <w:proofErr w:type="gramStart"/>
      <w:r w:rsidRPr="009B78B3">
        <w:rPr>
          <w:rFonts w:cs="Arial"/>
        </w:rPr>
        <w:t>amount</w:t>
      </w:r>
      <w:proofErr w:type="gramEnd"/>
      <w:r w:rsidRPr="009B78B3">
        <w:rPr>
          <w:rFonts w:cs="Arial"/>
        </w:rPr>
        <w:t xml:space="preserve"> of actuarial losses in net assets </w:t>
      </w:r>
      <w:proofErr w:type="gramStart"/>
      <w:r w:rsidR="00FB4702" w:rsidRPr="009B78B3">
        <w:rPr>
          <w:rFonts w:cs="Arial"/>
        </w:rPr>
        <w:t>at</w:t>
      </w:r>
      <w:proofErr w:type="gramEnd"/>
      <w:r w:rsidR="00FB4702" w:rsidRPr="009B78B3">
        <w:rPr>
          <w:rFonts w:cs="Arial"/>
        </w:rPr>
        <w:t xml:space="preserve"> December 31, </w:t>
      </w:r>
      <w:proofErr w:type="gramStart"/>
      <w:r w:rsidR="00BB1BD1">
        <w:rPr>
          <w:rFonts w:cs="Arial"/>
        </w:rPr>
        <w:t>202</w:t>
      </w:r>
      <w:r w:rsidR="002426C5">
        <w:rPr>
          <w:rFonts w:cs="Arial"/>
        </w:rPr>
        <w:t>4</w:t>
      </w:r>
      <w:proofErr w:type="gramEnd"/>
      <w:r w:rsidR="00BB1BD1" w:rsidRPr="009B78B3">
        <w:rPr>
          <w:rFonts w:cs="Arial"/>
        </w:rPr>
        <w:t xml:space="preserve"> </w:t>
      </w:r>
      <w:r w:rsidR="003705C5" w:rsidRPr="009B78B3">
        <w:rPr>
          <w:rFonts w:cs="Arial"/>
        </w:rPr>
        <w:t>equals</w:t>
      </w:r>
      <w:r w:rsidR="00FB4702" w:rsidRPr="009B78B3">
        <w:rPr>
          <w:rFonts w:cs="Arial"/>
        </w:rPr>
        <w:t xml:space="preserve"> </w:t>
      </w:r>
      <w:r w:rsidR="002426C5">
        <w:rPr>
          <w:rFonts w:cs="Arial"/>
        </w:rPr>
        <w:t>2,865,07</w:t>
      </w:r>
      <w:r w:rsidR="00B96EF3">
        <w:rPr>
          <w:rFonts w:cs="Arial"/>
        </w:rPr>
        <w:t>2</w:t>
      </w:r>
      <w:r w:rsidR="0051183F" w:rsidRPr="00BB2405">
        <w:rPr>
          <w:rFonts w:cs="Arial"/>
        </w:rPr>
        <w:t xml:space="preserve"> </w:t>
      </w:r>
      <w:r w:rsidR="0039723C" w:rsidRPr="008E132D">
        <w:rPr>
          <w:rFonts w:cs="Arial"/>
        </w:rPr>
        <w:t>Swiss francs due to</w:t>
      </w:r>
      <w:r w:rsidR="00FB4702" w:rsidRPr="008E132D">
        <w:rPr>
          <w:rFonts w:cs="Arial"/>
        </w:rPr>
        <w:t xml:space="preserve"> actuarial</w:t>
      </w:r>
      <w:r w:rsidR="0051183F" w:rsidRPr="008E132D">
        <w:rPr>
          <w:rFonts w:cs="Arial"/>
        </w:rPr>
        <w:t xml:space="preserve"> </w:t>
      </w:r>
      <w:r w:rsidR="00E71B7A">
        <w:rPr>
          <w:rFonts w:cs="Arial"/>
        </w:rPr>
        <w:t>losses</w:t>
      </w:r>
      <w:r w:rsidR="00E71B7A" w:rsidRPr="008E132D">
        <w:rPr>
          <w:rFonts w:cs="Arial"/>
        </w:rPr>
        <w:t xml:space="preserve"> </w:t>
      </w:r>
      <w:r w:rsidR="00FB4702" w:rsidRPr="009B78B3">
        <w:rPr>
          <w:rFonts w:cs="Arial"/>
        </w:rPr>
        <w:t>of</w:t>
      </w:r>
      <w:r w:rsidR="0051183F" w:rsidRPr="009B78B3">
        <w:rPr>
          <w:rFonts w:cs="Arial"/>
        </w:rPr>
        <w:t xml:space="preserve"> </w:t>
      </w:r>
      <w:r w:rsidR="00BC2FA1">
        <w:rPr>
          <w:rFonts w:cs="Arial"/>
        </w:rPr>
        <w:t>1,364,27</w:t>
      </w:r>
      <w:r w:rsidR="00B96EF3">
        <w:rPr>
          <w:rFonts w:cs="Arial"/>
        </w:rPr>
        <w:t>2</w:t>
      </w:r>
      <w:r w:rsidR="002426C5" w:rsidRPr="00BB2405">
        <w:rPr>
          <w:rFonts w:cs="Arial"/>
        </w:rPr>
        <w:t xml:space="preserve"> </w:t>
      </w:r>
      <w:r w:rsidR="003705C5" w:rsidRPr="00BB2405">
        <w:rPr>
          <w:rFonts w:cs="Arial"/>
        </w:rPr>
        <w:t>Swiss francs recog</w:t>
      </w:r>
      <w:r w:rsidR="00FB4702" w:rsidRPr="008E132D">
        <w:rPr>
          <w:rFonts w:cs="Arial"/>
        </w:rPr>
        <w:t xml:space="preserve">nized in </w:t>
      </w:r>
      <w:r w:rsidR="004D1238">
        <w:rPr>
          <w:rFonts w:cs="Arial"/>
        </w:rPr>
        <w:t>202</w:t>
      </w:r>
      <w:r w:rsidR="00BC2FA1">
        <w:rPr>
          <w:rFonts w:cs="Arial"/>
        </w:rPr>
        <w:t>4</w:t>
      </w:r>
      <w:r w:rsidR="003705C5" w:rsidRPr="009B78B3">
        <w:rPr>
          <w:rFonts w:cs="Arial"/>
        </w:rPr>
        <w:t xml:space="preserve">. </w:t>
      </w:r>
    </w:p>
    <w:p w14:paraId="3752FCBC" w14:textId="77777777" w:rsidR="00A824AF" w:rsidRPr="009B78B3" w:rsidRDefault="00A824AF" w:rsidP="00A824AF">
      <w:pPr>
        <w:rPr>
          <w:rFonts w:cs="Arial"/>
        </w:rPr>
      </w:pPr>
    </w:p>
    <w:p w14:paraId="7741D60F" w14:textId="3265D9A5" w:rsidR="006602B0" w:rsidRDefault="006602B0">
      <w:pPr>
        <w:jc w:val="left"/>
        <w:rPr>
          <w:rFonts w:cs="Arial"/>
          <w:b/>
          <w:caps/>
        </w:rPr>
      </w:pPr>
      <w:bookmarkStart w:id="66" w:name="_Toc84329902"/>
    </w:p>
    <w:p w14:paraId="2AEC6A21" w14:textId="77777777" w:rsidR="009039A5" w:rsidRDefault="009039A5">
      <w:pPr>
        <w:jc w:val="left"/>
        <w:rPr>
          <w:rFonts w:cs="Arial"/>
          <w:b/>
          <w:caps/>
        </w:rPr>
      </w:pPr>
      <w:r>
        <w:rPr>
          <w:rFonts w:cs="Arial"/>
        </w:rPr>
        <w:br w:type="page"/>
      </w:r>
    </w:p>
    <w:p w14:paraId="47E8DC32" w14:textId="380ECD72" w:rsidR="00A824AF" w:rsidRPr="005D7523" w:rsidRDefault="004A5EBA" w:rsidP="00E52C13">
      <w:pPr>
        <w:pStyle w:val="Heading2Notes"/>
        <w:rPr>
          <w:rFonts w:ascii="Arial" w:hAnsi="Arial" w:cs="Arial"/>
        </w:rPr>
      </w:pPr>
      <w:bookmarkStart w:id="67" w:name="_Toc198653946"/>
      <w:r w:rsidRPr="005D7523">
        <w:rPr>
          <w:rFonts w:ascii="Arial" w:hAnsi="Arial" w:cs="Arial"/>
        </w:rPr>
        <w:lastRenderedPageBreak/>
        <w:t xml:space="preserve">Note </w:t>
      </w:r>
      <w:r w:rsidR="00CB1F12" w:rsidRPr="005D7523">
        <w:rPr>
          <w:rFonts w:ascii="Arial" w:hAnsi="Arial" w:cs="Arial"/>
        </w:rPr>
        <w:t>1</w:t>
      </w:r>
      <w:r w:rsidR="004D1238">
        <w:rPr>
          <w:rFonts w:ascii="Arial" w:hAnsi="Arial" w:cs="Arial"/>
        </w:rPr>
        <w:t>1</w:t>
      </w:r>
      <w:r w:rsidR="00A824AF" w:rsidRPr="005D7523">
        <w:rPr>
          <w:rFonts w:ascii="Arial" w:hAnsi="Arial" w:cs="Arial"/>
        </w:rPr>
        <w:t>:</w:t>
      </w:r>
      <w:r w:rsidR="00A824AF" w:rsidRPr="005D7523">
        <w:rPr>
          <w:rFonts w:ascii="Arial" w:hAnsi="Arial" w:cs="Arial"/>
        </w:rPr>
        <w:tab/>
      </w:r>
      <w:r w:rsidRPr="005D7523">
        <w:rPr>
          <w:rFonts w:ascii="Arial" w:hAnsi="Arial" w:cs="Arial"/>
        </w:rPr>
        <w:t xml:space="preserve">Reconciliation </w:t>
      </w:r>
      <w:r w:rsidR="00A824AF" w:rsidRPr="005D7523">
        <w:rPr>
          <w:rFonts w:ascii="Arial" w:hAnsi="Arial" w:cs="Arial"/>
        </w:rPr>
        <w:t xml:space="preserve">of </w:t>
      </w:r>
      <w:r w:rsidR="001E7353" w:rsidRPr="005D7523">
        <w:rPr>
          <w:rFonts w:ascii="Arial" w:hAnsi="Arial" w:cs="Arial"/>
        </w:rPr>
        <w:t xml:space="preserve">Statement </w:t>
      </w:r>
      <w:r w:rsidR="00A824AF" w:rsidRPr="005D7523">
        <w:rPr>
          <w:rFonts w:ascii="Arial" w:hAnsi="Arial" w:cs="Arial"/>
        </w:rPr>
        <w:t>of budgetary comparison (</w:t>
      </w:r>
      <w:r w:rsidRPr="005D7523">
        <w:rPr>
          <w:rFonts w:ascii="Arial" w:hAnsi="Arial" w:cs="Arial"/>
        </w:rPr>
        <w:t>Statement V</w:t>
      </w:r>
      <w:r w:rsidR="00A824AF" w:rsidRPr="005D7523">
        <w:rPr>
          <w:rFonts w:ascii="Arial" w:hAnsi="Arial" w:cs="Arial"/>
        </w:rPr>
        <w:t xml:space="preserve">) and </w:t>
      </w:r>
      <w:r w:rsidR="001E7353" w:rsidRPr="005D7523">
        <w:rPr>
          <w:rFonts w:ascii="Arial" w:hAnsi="Arial" w:cs="Arial"/>
        </w:rPr>
        <w:t xml:space="preserve">Statement </w:t>
      </w:r>
      <w:r w:rsidR="00A824AF" w:rsidRPr="005D7523">
        <w:rPr>
          <w:rFonts w:ascii="Arial" w:hAnsi="Arial" w:cs="Arial"/>
        </w:rPr>
        <w:t>of financial performance (</w:t>
      </w:r>
      <w:r w:rsidRPr="005D7523">
        <w:rPr>
          <w:rFonts w:ascii="Arial" w:hAnsi="Arial" w:cs="Arial"/>
        </w:rPr>
        <w:t>Statement II</w:t>
      </w:r>
      <w:r w:rsidR="00A824AF" w:rsidRPr="005D7523">
        <w:rPr>
          <w:rFonts w:ascii="Arial" w:hAnsi="Arial" w:cs="Arial"/>
        </w:rPr>
        <w:t>)</w:t>
      </w:r>
      <w:bookmarkEnd w:id="66"/>
      <w:bookmarkEnd w:id="67"/>
    </w:p>
    <w:p w14:paraId="4B5456E2" w14:textId="77777777" w:rsidR="00A824AF" w:rsidRPr="007B443E" w:rsidRDefault="00A824AF" w:rsidP="004A5EBA">
      <w:pPr>
        <w:rPr>
          <w:rFonts w:cs="Arial"/>
        </w:rPr>
      </w:pPr>
    </w:p>
    <w:p w14:paraId="7D960B71" w14:textId="39DE6725" w:rsidR="00A824AF" w:rsidRDefault="00A824AF" w:rsidP="00A824AF">
      <w:pPr>
        <w:rPr>
          <w:rFonts w:cs="Arial"/>
          <w:color w:val="000000" w:themeColor="text1"/>
        </w:rPr>
      </w:pPr>
      <w:r w:rsidRPr="0098522D">
        <w:rPr>
          <w:rFonts w:cs="Arial"/>
        </w:rPr>
        <w:t>The UPOV Program and Budget is established on a modified accrual ba</w:t>
      </w:r>
      <w:r w:rsidR="00187DDC" w:rsidRPr="0098522D">
        <w:rPr>
          <w:rFonts w:cs="Arial"/>
        </w:rPr>
        <w:t>sis in accordance with the UPOV </w:t>
      </w:r>
      <w:r w:rsidRPr="007C4A37">
        <w:rPr>
          <w:rFonts w:cs="Arial"/>
        </w:rPr>
        <w:t xml:space="preserve">Financial Regulations and </w:t>
      </w:r>
      <w:r w:rsidR="00B326CD" w:rsidRPr="007C4A37">
        <w:rPr>
          <w:rFonts w:cs="Arial"/>
        </w:rPr>
        <w:t>Rules and</w:t>
      </w:r>
      <w:r w:rsidRPr="007C4A37">
        <w:rPr>
          <w:rFonts w:cs="Arial"/>
        </w:rPr>
        <w:t xml:space="preserve"> is approved by the Council. The Regular Program and Budget for the </w:t>
      </w:r>
      <w:r w:rsidR="00384CA5" w:rsidRPr="00F76236">
        <w:rPr>
          <w:rFonts w:cs="Arial"/>
        </w:rPr>
        <w:t>20</w:t>
      </w:r>
      <w:r w:rsidR="002A237A" w:rsidRPr="005976F2">
        <w:rPr>
          <w:rFonts w:cs="Arial"/>
        </w:rPr>
        <w:t>2</w:t>
      </w:r>
      <w:r w:rsidR="00BC2FA1">
        <w:rPr>
          <w:rFonts w:cs="Arial"/>
        </w:rPr>
        <w:t>4</w:t>
      </w:r>
      <w:r w:rsidRPr="00352498">
        <w:rPr>
          <w:rFonts w:cs="Arial"/>
        </w:rPr>
        <w:t>-</w:t>
      </w:r>
      <w:r w:rsidR="00384CA5" w:rsidRPr="00BB2405">
        <w:rPr>
          <w:rFonts w:cs="Arial"/>
        </w:rPr>
        <w:t>20</w:t>
      </w:r>
      <w:r w:rsidR="002A237A" w:rsidRPr="008E132D">
        <w:rPr>
          <w:rFonts w:cs="Arial"/>
        </w:rPr>
        <w:t>2</w:t>
      </w:r>
      <w:r w:rsidR="00BC2FA1">
        <w:rPr>
          <w:rFonts w:cs="Arial"/>
        </w:rPr>
        <w:t>5</w:t>
      </w:r>
      <w:r w:rsidRPr="008E132D">
        <w:rPr>
          <w:rFonts w:cs="Arial"/>
        </w:rPr>
        <w:t xml:space="preserve"> Biennium established a budget estimate of income and expenditure for the biennium </w:t>
      </w:r>
      <w:r w:rsidRPr="008E132D">
        <w:rPr>
          <w:rFonts w:cs="Arial"/>
          <w:color w:val="000000" w:themeColor="text1"/>
        </w:rPr>
        <w:t xml:space="preserve">of </w:t>
      </w:r>
      <w:r w:rsidR="00B326CD" w:rsidRPr="00B326CD">
        <w:rPr>
          <w:rFonts w:cs="Arial"/>
          <w:color w:val="000000" w:themeColor="text1"/>
        </w:rPr>
        <w:t xml:space="preserve">7,901,307 </w:t>
      </w:r>
      <w:r w:rsidRPr="008E132D">
        <w:rPr>
          <w:rFonts w:cs="Arial"/>
          <w:color w:val="000000" w:themeColor="text1"/>
        </w:rPr>
        <w:t>Swiss francs.</w:t>
      </w:r>
    </w:p>
    <w:p w14:paraId="5E2EA766" w14:textId="77777777" w:rsidR="00B326CD" w:rsidRDefault="00B326CD" w:rsidP="00A824AF">
      <w:pPr>
        <w:rPr>
          <w:rFonts w:cs="Arial"/>
          <w:color w:val="000000" w:themeColor="text1"/>
        </w:rPr>
      </w:pPr>
    </w:p>
    <w:p w14:paraId="1B5B74BB" w14:textId="6DDF66BB" w:rsidR="00B326CD" w:rsidRPr="008E132D" w:rsidRDefault="00B326CD" w:rsidP="00A824AF">
      <w:pPr>
        <w:rPr>
          <w:rFonts w:cs="Arial"/>
          <w:color w:val="000000" w:themeColor="text1"/>
        </w:rPr>
      </w:pPr>
      <w:r w:rsidRPr="00B326CD">
        <w:rPr>
          <w:rFonts w:cs="Arial"/>
          <w:color w:val="000000" w:themeColor="text1"/>
        </w:rPr>
        <w:t xml:space="preserve">For </w:t>
      </w:r>
      <w:r>
        <w:rPr>
          <w:rFonts w:cs="Arial"/>
          <w:color w:val="000000" w:themeColor="text1"/>
        </w:rPr>
        <w:t>2024</w:t>
      </w:r>
      <w:r w:rsidRPr="00B326CD">
        <w:rPr>
          <w:rFonts w:cs="Arial"/>
          <w:color w:val="000000" w:themeColor="text1"/>
        </w:rPr>
        <w:t xml:space="preserve">, the first year of the biennium, the original and final budget estimate for income and expenditure was </w:t>
      </w:r>
      <w:r>
        <w:rPr>
          <w:rFonts w:cs="Arial"/>
          <w:color w:val="000000" w:themeColor="text1"/>
        </w:rPr>
        <w:t>3,951,000</w:t>
      </w:r>
      <w:r w:rsidRPr="00B326CD">
        <w:rPr>
          <w:rFonts w:cs="Arial"/>
          <w:color w:val="000000" w:themeColor="text1"/>
        </w:rPr>
        <w:t xml:space="preserve"> Swiss francs. Actual income on a modified accrual basis for the first year of the biennium was 3,</w:t>
      </w:r>
      <w:r>
        <w:rPr>
          <w:rFonts w:cs="Arial"/>
          <w:color w:val="000000" w:themeColor="text1"/>
        </w:rPr>
        <w:t>795</w:t>
      </w:r>
      <w:r w:rsidRPr="00B326CD">
        <w:rPr>
          <w:rFonts w:cs="Arial"/>
          <w:color w:val="000000" w:themeColor="text1"/>
        </w:rPr>
        <w:t>,</w:t>
      </w:r>
      <w:r>
        <w:rPr>
          <w:rFonts w:cs="Arial"/>
          <w:color w:val="000000" w:themeColor="text1"/>
        </w:rPr>
        <w:t>327</w:t>
      </w:r>
      <w:r w:rsidRPr="00B326CD">
        <w:rPr>
          <w:rFonts w:cs="Arial"/>
          <w:color w:val="000000" w:themeColor="text1"/>
        </w:rPr>
        <w:t xml:space="preserve"> Swiss francs. Actual expense on a modified accrual basis for the first year of the biennium was </w:t>
      </w:r>
      <w:r>
        <w:rPr>
          <w:rFonts w:cs="Arial"/>
          <w:color w:val="000000" w:themeColor="text1"/>
        </w:rPr>
        <w:t>3,437,341</w:t>
      </w:r>
      <w:r w:rsidRPr="00B326CD">
        <w:rPr>
          <w:rFonts w:cs="Arial"/>
          <w:color w:val="000000" w:themeColor="text1"/>
        </w:rPr>
        <w:t xml:space="preserve"> Swiss francs. The UPOV Performance Report for 202</w:t>
      </w:r>
      <w:r>
        <w:rPr>
          <w:rFonts w:cs="Arial"/>
          <w:color w:val="000000" w:themeColor="text1"/>
        </w:rPr>
        <w:t>4</w:t>
      </w:r>
      <w:r w:rsidRPr="00B326CD">
        <w:rPr>
          <w:rFonts w:cs="Arial"/>
          <w:color w:val="000000" w:themeColor="text1"/>
        </w:rPr>
        <w:t xml:space="preserve"> provides an explanation of the material differences between the budget and the actual amounts.</w:t>
      </w:r>
    </w:p>
    <w:p w14:paraId="0041EB1C" w14:textId="77777777" w:rsidR="00A824AF" w:rsidRPr="009B78B3" w:rsidRDefault="00A824AF" w:rsidP="00A824AF">
      <w:pPr>
        <w:rPr>
          <w:rFonts w:cs="Arial"/>
          <w:color w:val="000000" w:themeColor="text1"/>
        </w:rPr>
      </w:pPr>
    </w:p>
    <w:p w14:paraId="28EDFAA2" w14:textId="77777777" w:rsidR="00A824AF" w:rsidRPr="0098522D" w:rsidRDefault="00A824AF" w:rsidP="00A824AF">
      <w:pPr>
        <w:pStyle w:val="STYLEDUTEXTE"/>
        <w:rPr>
          <w:rFonts w:cs="Arial"/>
          <w:sz w:val="20"/>
        </w:rPr>
      </w:pPr>
      <w:r w:rsidRPr="0098522D">
        <w:rPr>
          <w:rFonts w:cs="Arial"/>
          <w:sz w:val="20"/>
        </w:rPr>
        <w:t xml:space="preserve">UPOV’s budget and financial accounts are prepared using two different bases. The Statement of Financial Position, Statement of Financial Performance, Statement of Changes in Net Assets and Statement of Cash Flow are prepared on a full accrual basis, whereas the Statement of Comparison of Budget and Actual Amounts (Statement V) is prepared on a modified accrual basis. </w:t>
      </w:r>
    </w:p>
    <w:p w14:paraId="4CB4DAA3" w14:textId="77777777" w:rsidR="00A824AF" w:rsidRPr="007C4A37" w:rsidRDefault="00A824AF" w:rsidP="00A824AF">
      <w:pPr>
        <w:pStyle w:val="STYLEDUTEXTE"/>
        <w:rPr>
          <w:rFonts w:cs="Arial"/>
          <w:sz w:val="20"/>
        </w:rPr>
      </w:pPr>
    </w:p>
    <w:p w14:paraId="52B8ABFF" w14:textId="6F9ACBBA" w:rsidR="00723AB8" w:rsidRDefault="00A824AF" w:rsidP="00A824AF">
      <w:pPr>
        <w:pStyle w:val="STYLEDUTEXTE"/>
        <w:rPr>
          <w:rFonts w:cs="Arial"/>
          <w:sz w:val="20"/>
        </w:rPr>
      </w:pPr>
      <w:r w:rsidRPr="00F76236">
        <w:rPr>
          <w:rFonts w:cs="Arial"/>
          <w:sz w:val="20"/>
        </w:rPr>
        <w:t>As required by IPSAS</w:t>
      </w:r>
      <w:r w:rsidR="001D7C94">
        <w:rPr>
          <w:rFonts w:cs="Arial"/>
          <w:sz w:val="20"/>
        </w:rPr>
        <w:t xml:space="preserve"> </w:t>
      </w:r>
      <w:r w:rsidRPr="00F76236">
        <w:rPr>
          <w:rFonts w:cs="Arial"/>
          <w:sz w:val="20"/>
        </w:rPr>
        <w:t>24, a reconciliation is provided between the actual amounts on a comparable basis with the budget as presented in State</w:t>
      </w:r>
      <w:r w:rsidRPr="005976F2">
        <w:rPr>
          <w:rFonts w:cs="Arial"/>
          <w:sz w:val="20"/>
        </w:rPr>
        <w:t xml:space="preserve">ment V and the actual amounts in the financial accounts identifying separately any basis, timing and entity differences. </w:t>
      </w:r>
    </w:p>
    <w:p w14:paraId="6040A6A7" w14:textId="77777777" w:rsidR="00723AB8" w:rsidRDefault="00723AB8" w:rsidP="00A824AF">
      <w:pPr>
        <w:pStyle w:val="STYLEDUTEXTE"/>
        <w:rPr>
          <w:rFonts w:cs="Arial"/>
          <w:sz w:val="20"/>
        </w:rPr>
      </w:pPr>
    </w:p>
    <w:p w14:paraId="72EA1FC8" w14:textId="7886BAF2" w:rsidR="00E15ABE" w:rsidRDefault="00E15ABE" w:rsidP="00A824AF">
      <w:pPr>
        <w:pStyle w:val="STYLEDUTEXTE"/>
        <w:rPr>
          <w:rFonts w:cs="Arial"/>
          <w:b/>
          <w:bCs/>
          <w:sz w:val="20"/>
        </w:rPr>
      </w:pPr>
      <w:r w:rsidRPr="00F01218">
        <w:rPr>
          <w:rFonts w:cs="Arial"/>
          <w:b/>
          <w:bCs/>
          <w:sz w:val="20"/>
        </w:rPr>
        <w:t>Reconciliation for the year 202</w:t>
      </w:r>
      <w:r w:rsidR="004B258C">
        <w:rPr>
          <w:rFonts w:cs="Arial"/>
          <w:b/>
          <w:bCs/>
          <w:sz w:val="20"/>
        </w:rPr>
        <w:t>4</w:t>
      </w:r>
    </w:p>
    <w:p w14:paraId="47D3FD60" w14:textId="77777777" w:rsidR="00584923" w:rsidRDefault="00584923" w:rsidP="00A824AF">
      <w:pPr>
        <w:pStyle w:val="STYLEDUTEXTE"/>
        <w:rPr>
          <w:rFonts w:cs="Arial"/>
          <w:b/>
          <w:bCs/>
          <w:sz w:val="20"/>
        </w:rPr>
      </w:pPr>
    </w:p>
    <w:p w14:paraId="2C953494" w14:textId="4D13FEE8" w:rsidR="00584923" w:rsidRPr="00F01218" w:rsidRDefault="00584923" w:rsidP="00A824AF">
      <w:pPr>
        <w:pStyle w:val="STYLEDUTEXTE"/>
        <w:rPr>
          <w:rFonts w:cs="Arial"/>
          <w:b/>
          <w:bCs/>
          <w:sz w:val="20"/>
        </w:rPr>
      </w:pPr>
      <w:r w:rsidRPr="00584923">
        <w:rPr>
          <w:noProof/>
        </w:rPr>
        <w:drawing>
          <wp:inline distT="0" distB="0" distL="0" distR="0" wp14:anchorId="15C584E9" wp14:editId="3BE7F7A3">
            <wp:extent cx="6050915" cy="2560320"/>
            <wp:effectExtent l="0" t="0" r="6985" b="0"/>
            <wp:docPr id="82731964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50915" cy="2560320"/>
                    </a:xfrm>
                    <a:prstGeom prst="rect">
                      <a:avLst/>
                    </a:prstGeom>
                    <a:noFill/>
                    <a:ln>
                      <a:noFill/>
                    </a:ln>
                  </pic:spPr>
                </pic:pic>
              </a:graphicData>
            </a:graphic>
          </wp:inline>
        </w:drawing>
      </w:r>
    </w:p>
    <w:p w14:paraId="11AB3C97" w14:textId="43E0D068" w:rsidR="00723AB8" w:rsidRDefault="005B42AD" w:rsidP="00F01218">
      <w:pPr>
        <w:pStyle w:val="STYLEDUTEXTE"/>
        <w:jc w:val="center"/>
        <w:rPr>
          <w:rFonts w:cs="Arial"/>
          <w:sz w:val="20"/>
        </w:rPr>
      </w:pPr>
      <w:r w:rsidRPr="005B42AD">
        <w:rPr>
          <w:rFonts w:cs="Arial"/>
        </w:rPr>
        <w:t xml:space="preserve"> </w:t>
      </w:r>
    </w:p>
    <w:p w14:paraId="42AA12DC" w14:textId="6B39D452" w:rsidR="00E15ABE" w:rsidRDefault="00E15ABE">
      <w:pPr>
        <w:jc w:val="left"/>
        <w:rPr>
          <w:rFonts w:cs="Arial"/>
          <w:b/>
          <w:bCs/>
        </w:rPr>
      </w:pPr>
    </w:p>
    <w:p w14:paraId="686F9389" w14:textId="7602E664" w:rsidR="00723AB8" w:rsidRDefault="00723AB8" w:rsidP="00F01218">
      <w:pPr>
        <w:pStyle w:val="STYLEDUTEXTE"/>
      </w:pPr>
    </w:p>
    <w:p w14:paraId="793182AE" w14:textId="77777777" w:rsidR="005B42AD" w:rsidRDefault="005B42AD">
      <w:pPr>
        <w:jc w:val="left"/>
        <w:rPr>
          <w:rFonts w:cs="Arial"/>
          <w:b/>
          <w:caps/>
        </w:rPr>
      </w:pPr>
      <w:bookmarkStart w:id="68" w:name="_Toc84329903"/>
      <w:r>
        <w:rPr>
          <w:rFonts w:cs="Arial"/>
        </w:rPr>
        <w:br w:type="page"/>
      </w:r>
    </w:p>
    <w:p w14:paraId="114F9449" w14:textId="1BF74C29" w:rsidR="00723AB8" w:rsidRPr="00C21351" w:rsidRDefault="00CB1F12">
      <w:pPr>
        <w:pStyle w:val="Heading2Notes"/>
        <w:rPr>
          <w:rFonts w:ascii="Arial" w:hAnsi="Arial" w:cs="Arial"/>
        </w:rPr>
      </w:pPr>
      <w:bookmarkStart w:id="69" w:name="_Toc198653947"/>
      <w:r w:rsidRPr="00C21351">
        <w:rPr>
          <w:rFonts w:ascii="Arial" w:hAnsi="Arial" w:cs="Arial"/>
        </w:rPr>
        <w:lastRenderedPageBreak/>
        <w:t>Note 1</w:t>
      </w:r>
      <w:r w:rsidR="00A653A1">
        <w:rPr>
          <w:rFonts w:ascii="Arial" w:hAnsi="Arial" w:cs="Arial"/>
        </w:rPr>
        <w:t>2</w:t>
      </w:r>
      <w:r w:rsidR="00A824AF" w:rsidRPr="00C21351">
        <w:rPr>
          <w:rFonts w:ascii="Arial" w:hAnsi="Arial" w:cs="Arial"/>
        </w:rPr>
        <w:t>:</w:t>
      </w:r>
      <w:r w:rsidR="00A824AF" w:rsidRPr="00C21351">
        <w:rPr>
          <w:rFonts w:ascii="Arial" w:hAnsi="Arial" w:cs="Arial"/>
        </w:rPr>
        <w:tab/>
      </w:r>
      <w:r w:rsidR="00187DDC" w:rsidRPr="00C21351">
        <w:rPr>
          <w:rFonts w:ascii="Arial" w:hAnsi="Arial" w:cs="Arial"/>
        </w:rPr>
        <w:t>Revenue</w:t>
      </w:r>
      <w:bookmarkEnd w:id="68"/>
      <w:bookmarkEnd w:id="69"/>
    </w:p>
    <w:p w14:paraId="34F881B2" w14:textId="4E0D3122" w:rsidR="001F374E" w:rsidRDefault="001F374E" w:rsidP="00187DDC">
      <w:pPr>
        <w:pStyle w:val="Styletexte"/>
        <w:spacing w:after="0"/>
        <w:rPr>
          <w:rFonts w:cs="Arial"/>
        </w:rPr>
      </w:pPr>
    </w:p>
    <w:p w14:paraId="59B06E82" w14:textId="151634EC" w:rsidR="00CC5B48" w:rsidRDefault="005B42AD" w:rsidP="00F01218">
      <w:pPr>
        <w:pStyle w:val="Styletexte"/>
        <w:spacing w:after="0"/>
        <w:jc w:val="center"/>
        <w:rPr>
          <w:rFonts w:cs="Arial"/>
          <w:sz w:val="20"/>
        </w:rPr>
      </w:pPr>
      <w:r w:rsidRPr="005B42AD">
        <w:rPr>
          <w:rFonts w:cs="Arial"/>
        </w:rPr>
        <w:t xml:space="preserve"> </w:t>
      </w:r>
      <w:r w:rsidR="00E6417B" w:rsidRPr="00E6417B">
        <w:rPr>
          <w:noProof/>
        </w:rPr>
        <w:drawing>
          <wp:inline distT="0" distB="0" distL="0" distR="0" wp14:anchorId="7C8D2D20" wp14:editId="7D60152D">
            <wp:extent cx="6137910" cy="2114550"/>
            <wp:effectExtent l="0" t="0" r="0" b="0"/>
            <wp:docPr id="15725195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37910" cy="2114550"/>
                    </a:xfrm>
                    <a:prstGeom prst="rect">
                      <a:avLst/>
                    </a:prstGeom>
                    <a:noFill/>
                    <a:ln>
                      <a:noFill/>
                    </a:ln>
                  </pic:spPr>
                </pic:pic>
              </a:graphicData>
            </a:graphic>
          </wp:inline>
        </w:drawing>
      </w:r>
    </w:p>
    <w:p w14:paraId="68B3AA87" w14:textId="77777777" w:rsidR="001F374E" w:rsidRDefault="001F374E" w:rsidP="00187DDC">
      <w:pPr>
        <w:pStyle w:val="Styletexte"/>
        <w:spacing w:after="0"/>
        <w:rPr>
          <w:rFonts w:cs="Arial"/>
          <w:sz w:val="20"/>
        </w:rPr>
      </w:pPr>
    </w:p>
    <w:p w14:paraId="03223874" w14:textId="2B8670FB" w:rsidR="00C77C07" w:rsidRDefault="00A824AF" w:rsidP="00C21351">
      <w:pPr>
        <w:pStyle w:val="Styletexte"/>
        <w:spacing w:after="0"/>
      </w:pPr>
      <w:r w:rsidRPr="007C4A37">
        <w:rPr>
          <w:rFonts w:cs="Arial"/>
          <w:sz w:val="20"/>
        </w:rPr>
        <w:t>Contributions under the Regular Program and Budget represent</w:t>
      </w:r>
      <w:r w:rsidR="00466D62" w:rsidRPr="0038775D">
        <w:rPr>
          <w:rFonts w:cs="Arial"/>
          <w:sz w:val="20"/>
        </w:rPr>
        <w:t xml:space="preserve"> amounts payable in Ja</w:t>
      </w:r>
      <w:r w:rsidR="00FD2D24" w:rsidRPr="0038775D">
        <w:rPr>
          <w:rFonts w:cs="Arial"/>
          <w:sz w:val="20"/>
        </w:rPr>
        <w:t xml:space="preserve">nuary </w:t>
      </w:r>
      <w:r w:rsidR="00723AB8">
        <w:rPr>
          <w:rFonts w:cs="Arial"/>
          <w:sz w:val="20"/>
        </w:rPr>
        <w:t>202</w:t>
      </w:r>
      <w:r w:rsidR="00B326CD">
        <w:rPr>
          <w:rFonts w:cs="Arial"/>
          <w:sz w:val="20"/>
        </w:rPr>
        <w:t>4</w:t>
      </w:r>
      <w:r w:rsidRPr="0038775D">
        <w:rPr>
          <w:rFonts w:cs="Arial"/>
          <w:sz w:val="20"/>
        </w:rPr>
        <w:t xml:space="preserve">. Extrabudgetary funds under Funds in Trust represent revenue received in connection with contributions made by donors to individual projects not included in the Regular Program and Budget. Revenue from extrabudgetary funds (funds in trust) is deferred until earned through the delivery of the specific services provided in the plan of work agreed with the donor. </w:t>
      </w:r>
      <w:bookmarkStart w:id="70" w:name="_Toc84329904"/>
    </w:p>
    <w:p w14:paraId="74617B05" w14:textId="5FA918A3" w:rsidR="00CC5B48" w:rsidRDefault="00CC5B48">
      <w:pPr>
        <w:jc w:val="left"/>
        <w:rPr>
          <w:rFonts w:cs="Arial"/>
        </w:rPr>
      </w:pPr>
    </w:p>
    <w:p w14:paraId="1A05FAA3" w14:textId="7522FBAE" w:rsidR="00B326CD" w:rsidRDefault="00B326CD">
      <w:pPr>
        <w:jc w:val="left"/>
        <w:rPr>
          <w:rFonts w:ascii="Arial Bold" w:hAnsi="Arial Bold" w:cs="Arial"/>
        </w:rPr>
      </w:pPr>
    </w:p>
    <w:p w14:paraId="45FA187F" w14:textId="2348391C" w:rsidR="00A824AF" w:rsidRDefault="00F45269" w:rsidP="00FF130A">
      <w:pPr>
        <w:pStyle w:val="Heading2Notes"/>
        <w:rPr>
          <w:rFonts w:ascii="Arial" w:hAnsi="Arial" w:cs="Arial"/>
        </w:rPr>
      </w:pPr>
      <w:bookmarkStart w:id="71" w:name="_Toc198653948"/>
      <w:r w:rsidRPr="005D7523">
        <w:rPr>
          <w:rFonts w:ascii="Arial" w:hAnsi="Arial" w:cs="Arial"/>
        </w:rPr>
        <w:t xml:space="preserve">Note </w:t>
      </w:r>
      <w:r w:rsidR="00CB1F12" w:rsidRPr="005D7523">
        <w:rPr>
          <w:rFonts w:ascii="Arial" w:hAnsi="Arial" w:cs="Arial"/>
        </w:rPr>
        <w:t>1</w:t>
      </w:r>
      <w:r w:rsidR="00A653A1">
        <w:rPr>
          <w:rFonts w:ascii="Arial" w:hAnsi="Arial" w:cs="Arial"/>
        </w:rPr>
        <w:t>3</w:t>
      </w:r>
      <w:r w:rsidR="00A824AF" w:rsidRPr="005D7523">
        <w:rPr>
          <w:rFonts w:ascii="Arial" w:hAnsi="Arial" w:cs="Arial"/>
        </w:rPr>
        <w:t>:</w:t>
      </w:r>
      <w:r w:rsidR="00A824AF" w:rsidRPr="005D7523">
        <w:rPr>
          <w:rFonts w:ascii="Arial" w:hAnsi="Arial" w:cs="Arial"/>
        </w:rPr>
        <w:tab/>
      </w:r>
      <w:r w:rsidRPr="005D7523">
        <w:rPr>
          <w:rFonts w:ascii="Arial" w:hAnsi="Arial" w:cs="Arial"/>
        </w:rPr>
        <w:t>Expenses</w:t>
      </w:r>
      <w:bookmarkEnd w:id="70"/>
      <w:bookmarkEnd w:id="71"/>
    </w:p>
    <w:p w14:paraId="52DC7B41" w14:textId="762307DE" w:rsidR="00483FD7" w:rsidRDefault="00483FD7" w:rsidP="00A824AF">
      <w:pPr>
        <w:pStyle w:val="Styletexte"/>
        <w:spacing w:after="0"/>
        <w:rPr>
          <w:rFonts w:cs="Arial"/>
          <w:sz w:val="20"/>
        </w:rPr>
      </w:pPr>
    </w:p>
    <w:p w14:paraId="65F7A662" w14:textId="0DBEE3C3" w:rsidR="00483FD7" w:rsidRDefault="005B42AD" w:rsidP="00F01218">
      <w:pPr>
        <w:pStyle w:val="Styletexte"/>
        <w:spacing w:after="0"/>
        <w:jc w:val="center"/>
        <w:rPr>
          <w:rFonts w:cs="Arial"/>
          <w:sz w:val="20"/>
        </w:rPr>
      </w:pPr>
      <w:r w:rsidRPr="005B42AD">
        <w:rPr>
          <w:noProof/>
        </w:rPr>
        <w:drawing>
          <wp:inline distT="0" distB="0" distL="0" distR="0" wp14:anchorId="2FCAC786" wp14:editId="15444755">
            <wp:extent cx="6137910" cy="2494915"/>
            <wp:effectExtent l="0" t="0" r="0" b="0"/>
            <wp:docPr id="15222558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37910" cy="2494915"/>
                    </a:xfrm>
                    <a:prstGeom prst="rect">
                      <a:avLst/>
                    </a:prstGeom>
                    <a:noFill/>
                    <a:ln>
                      <a:noFill/>
                    </a:ln>
                  </pic:spPr>
                </pic:pic>
              </a:graphicData>
            </a:graphic>
          </wp:inline>
        </w:drawing>
      </w:r>
    </w:p>
    <w:p w14:paraId="7D054BA4" w14:textId="77777777" w:rsidR="00E15ABE" w:rsidRDefault="00E15ABE" w:rsidP="00A824AF">
      <w:pPr>
        <w:pStyle w:val="Styletexte"/>
        <w:spacing w:after="0"/>
        <w:rPr>
          <w:rFonts w:cs="Arial"/>
          <w:sz w:val="20"/>
        </w:rPr>
      </w:pPr>
    </w:p>
    <w:p w14:paraId="27A56176" w14:textId="0020951E" w:rsidR="00A824AF" w:rsidRPr="007C4A37" w:rsidRDefault="00A824AF" w:rsidP="00A824AF">
      <w:pPr>
        <w:pStyle w:val="Styletexte"/>
        <w:spacing w:after="0"/>
        <w:rPr>
          <w:rFonts w:cs="Arial"/>
          <w:sz w:val="20"/>
        </w:rPr>
      </w:pPr>
      <w:r w:rsidRPr="007B443E">
        <w:rPr>
          <w:rFonts w:cs="Arial"/>
          <w:sz w:val="20"/>
        </w:rPr>
        <w:t>Personnel expenditure includes short-term employee benefits such as base salary, post adjustment, dependents’</w:t>
      </w:r>
      <w:r w:rsidRPr="0098522D">
        <w:rPr>
          <w:rFonts w:cs="Arial"/>
          <w:sz w:val="20"/>
        </w:rPr>
        <w:t xml:space="preserve"> allowance, pension contribution, health and other insurance contributions, home leave and other entitlements for posts and temporary positions. As a result of the implementation of IPSAS, personnel expenditure also includes amounts </w:t>
      </w:r>
      <w:r w:rsidRPr="007C4A37">
        <w:rPr>
          <w:rFonts w:cs="Arial"/>
          <w:color w:val="000000" w:themeColor="text1"/>
          <w:sz w:val="20"/>
        </w:rPr>
        <w:t>for the movements in employee benefit liabilities.</w:t>
      </w:r>
    </w:p>
    <w:p w14:paraId="0E98B05B" w14:textId="77777777" w:rsidR="00A824AF" w:rsidRPr="00F76236" w:rsidRDefault="00A824AF" w:rsidP="00A824AF">
      <w:pPr>
        <w:pStyle w:val="Styletexte"/>
        <w:spacing w:after="0"/>
        <w:rPr>
          <w:rFonts w:cs="Arial"/>
          <w:sz w:val="20"/>
        </w:rPr>
      </w:pPr>
    </w:p>
    <w:p w14:paraId="58EE9740" w14:textId="77777777" w:rsidR="00584923" w:rsidRDefault="00A824AF" w:rsidP="003F5E9F">
      <w:pPr>
        <w:rPr>
          <w:rFonts w:cs="Arial"/>
        </w:rPr>
      </w:pPr>
      <w:r w:rsidRPr="005976F2">
        <w:rPr>
          <w:rFonts w:cs="Arial"/>
        </w:rPr>
        <w:t>Travel</w:t>
      </w:r>
      <w:r w:rsidR="00BB0DEA">
        <w:rPr>
          <w:rFonts w:cs="Arial"/>
        </w:rPr>
        <w:t>, training and grants</w:t>
      </w:r>
      <w:r w:rsidRPr="005976F2">
        <w:rPr>
          <w:rFonts w:cs="Arial"/>
        </w:rPr>
        <w:t xml:space="preserve"> include the costs of airfare, daily subsistence allowances, terminal allowances and other trav</w:t>
      </w:r>
      <w:r w:rsidRPr="00352498">
        <w:rPr>
          <w:rFonts w:cs="Arial"/>
        </w:rPr>
        <w:t>el costs for staff on official business and travel for participants and lecturers in connection with training activities. Contractual services include translator</w:t>
      </w:r>
      <w:r w:rsidRPr="00BB2405">
        <w:rPr>
          <w:rFonts w:cs="Arial"/>
        </w:rPr>
        <w:t>s, interpreters and other non-staff service agreemen</w:t>
      </w:r>
      <w:r w:rsidRPr="008E132D">
        <w:rPr>
          <w:rFonts w:cs="Arial"/>
        </w:rPr>
        <w:t xml:space="preserve">ts. </w:t>
      </w:r>
      <w:bookmarkStart w:id="72" w:name="_Hlk161157249"/>
    </w:p>
    <w:p w14:paraId="1F504BC1" w14:textId="77777777" w:rsidR="00584923" w:rsidRDefault="00584923" w:rsidP="003F5E9F">
      <w:pPr>
        <w:rPr>
          <w:rFonts w:cs="Arial"/>
        </w:rPr>
      </w:pPr>
    </w:p>
    <w:p w14:paraId="5989656E" w14:textId="463B5491" w:rsidR="003F5E9F" w:rsidRDefault="00A824AF" w:rsidP="003F5E9F">
      <w:r w:rsidRPr="008E132D">
        <w:rPr>
          <w:rFonts w:cs="Arial"/>
        </w:rPr>
        <w:t xml:space="preserve">Operating expenses include </w:t>
      </w:r>
      <w:r w:rsidR="003F5E9F">
        <w:rPr>
          <w:rFonts w:cs="Arial"/>
        </w:rPr>
        <w:t xml:space="preserve">payments under the WIPO/UPOV agreement </w:t>
      </w:r>
      <w:r w:rsidRPr="008E132D">
        <w:rPr>
          <w:rFonts w:cs="Arial"/>
        </w:rPr>
        <w:t>such as premises maintenance</w:t>
      </w:r>
      <w:r w:rsidR="003F5E9F">
        <w:rPr>
          <w:rFonts w:cs="Arial"/>
        </w:rPr>
        <w:t>,</w:t>
      </w:r>
      <w:r w:rsidR="003F5E9F" w:rsidRPr="003F5E9F">
        <w:rPr>
          <w:rFonts w:cs="Arial"/>
        </w:rPr>
        <w:t xml:space="preserve"> </w:t>
      </w:r>
      <w:r w:rsidR="003F5E9F" w:rsidRPr="008E132D">
        <w:rPr>
          <w:rFonts w:cs="Arial"/>
        </w:rPr>
        <w:t>personnel administration, financial administration, procurement services and other administrative support</w:t>
      </w:r>
      <w:bookmarkEnd w:id="72"/>
      <w:r w:rsidR="003F5E9F" w:rsidRPr="008E132D">
        <w:rPr>
          <w:rFonts w:cs="Arial"/>
        </w:rPr>
        <w:t>.</w:t>
      </w:r>
    </w:p>
    <w:p w14:paraId="12B24749" w14:textId="00715F47" w:rsidR="00A824AF" w:rsidRPr="008E132D" w:rsidRDefault="00C624DE" w:rsidP="00A824AF">
      <w:pPr>
        <w:pStyle w:val="Styletexte"/>
        <w:spacing w:after="0"/>
        <w:rPr>
          <w:rFonts w:cs="Arial"/>
          <w:sz w:val="20"/>
        </w:rPr>
      </w:pPr>
      <w:r>
        <w:rPr>
          <w:rFonts w:cs="Arial"/>
          <w:sz w:val="20"/>
        </w:rPr>
        <w:t xml:space="preserve"> </w:t>
      </w:r>
    </w:p>
    <w:p w14:paraId="1B1EC42B" w14:textId="52916897" w:rsidR="008D0874" w:rsidRDefault="008D0874">
      <w:pPr>
        <w:jc w:val="left"/>
        <w:rPr>
          <w:rFonts w:cs="Arial"/>
          <w:b/>
          <w:caps/>
        </w:rPr>
      </w:pPr>
      <w:bookmarkStart w:id="73" w:name="_Toc84329905"/>
    </w:p>
    <w:p w14:paraId="13635000" w14:textId="77777777" w:rsidR="005B42AD" w:rsidRDefault="005B42AD">
      <w:pPr>
        <w:jc w:val="left"/>
        <w:rPr>
          <w:rFonts w:cs="Arial"/>
          <w:b/>
          <w:caps/>
        </w:rPr>
      </w:pPr>
      <w:r>
        <w:rPr>
          <w:rFonts w:cs="Arial"/>
        </w:rPr>
        <w:br w:type="page"/>
      </w:r>
    </w:p>
    <w:p w14:paraId="2AA9C64E" w14:textId="7DE9F4DA" w:rsidR="00A824AF" w:rsidRPr="005D7523" w:rsidRDefault="00F45269" w:rsidP="00F45269">
      <w:pPr>
        <w:pStyle w:val="Heading2Notes"/>
        <w:rPr>
          <w:rFonts w:ascii="Arial" w:hAnsi="Arial" w:cs="Arial"/>
        </w:rPr>
      </w:pPr>
      <w:bookmarkStart w:id="74" w:name="_Toc198653949"/>
      <w:r w:rsidRPr="005D7523">
        <w:rPr>
          <w:rFonts w:ascii="Arial" w:hAnsi="Arial" w:cs="Arial"/>
        </w:rPr>
        <w:lastRenderedPageBreak/>
        <w:t xml:space="preserve">Note </w:t>
      </w:r>
      <w:r w:rsidR="00CB1F12" w:rsidRPr="005D7523">
        <w:rPr>
          <w:rFonts w:ascii="Arial" w:hAnsi="Arial" w:cs="Arial"/>
        </w:rPr>
        <w:t>1</w:t>
      </w:r>
      <w:r w:rsidR="00CA0539">
        <w:rPr>
          <w:rFonts w:ascii="Arial" w:hAnsi="Arial" w:cs="Arial"/>
        </w:rPr>
        <w:t>4</w:t>
      </w:r>
      <w:r w:rsidR="00A824AF" w:rsidRPr="005D7523">
        <w:rPr>
          <w:rFonts w:ascii="Arial" w:hAnsi="Arial" w:cs="Arial"/>
        </w:rPr>
        <w:t>:</w:t>
      </w:r>
      <w:r w:rsidR="00A824AF" w:rsidRPr="005D7523">
        <w:rPr>
          <w:rFonts w:ascii="Arial" w:hAnsi="Arial" w:cs="Arial"/>
        </w:rPr>
        <w:tab/>
      </w:r>
      <w:r w:rsidRPr="005D7523">
        <w:rPr>
          <w:rFonts w:ascii="Arial" w:hAnsi="Arial" w:cs="Arial"/>
        </w:rPr>
        <w:t>Financial instruments</w:t>
      </w:r>
      <w:bookmarkEnd w:id="73"/>
      <w:bookmarkEnd w:id="74"/>
    </w:p>
    <w:p w14:paraId="4E296D3C" w14:textId="77777777" w:rsidR="00A824AF" w:rsidRPr="007B443E" w:rsidRDefault="00A824AF" w:rsidP="00F45269">
      <w:pPr>
        <w:rPr>
          <w:rFonts w:cs="Arial"/>
        </w:rPr>
      </w:pPr>
      <w:bookmarkStart w:id="75" w:name="_Hlk164101904"/>
    </w:p>
    <w:p w14:paraId="7887BD2A" w14:textId="0EE00786" w:rsidR="00A824AF" w:rsidRDefault="00A824AF" w:rsidP="00A824AF">
      <w:pPr>
        <w:autoSpaceDE w:val="0"/>
        <w:autoSpaceDN w:val="0"/>
        <w:adjustRightInd w:val="0"/>
        <w:rPr>
          <w:rFonts w:cs="Arial"/>
          <w:lang w:val="en-GB" w:eastAsia="en-GB"/>
        </w:rPr>
      </w:pPr>
      <w:r w:rsidRPr="0098522D">
        <w:rPr>
          <w:rFonts w:cs="Arial"/>
        </w:rPr>
        <w:t xml:space="preserve">UPOV is exposed to certain liquidity, interest rate, foreign currency exchange and credit risks which arise in the normal course of its operations. </w:t>
      </w:r>
    </w:p>
    <w:p w14:paraId="7EA52856" w14:textId="77777777" w:rsidR="0006769B" w:rsidRPr="00F01218" w:rsidRDefault="0006769B" w:rsidP="00A824AF">
      <w:pPr>
        <w:autoSpaceDE w:val="0"/>
        <w:autoSpaceDN w:val="0"/>
        <w:adjustRightInd w:val="0"/>
        <w:rPr>
          <w:rFonts w:cs="Arial"/>
        </w:rPr>
      </w:pPr>
    </w:p>
    <w:p w14:paraId="2BEEB2B7" w14:textId="6A314AC7" w:rsidR="00A824AF" w:rsidRDefault="00EF5457" w:rsidP="00A824AF">
      <w:pPr>
        <w:autoSpaceDE w:val="0"/>
        <w:autoSpaceDN w:val="0"/>
        <w:adjustRightInd w:val="0"/>
        <w:rPr>
          <w:rFonts w:cs="Arial"/>
        </w:rPr>
      </w:pPr>
      <w:r w:rsidRPr="00F01218">
        <w:rPr>
          <w:rFonts w:cs="Arial"/>
        </w:rPr>
        <w:t xml:space="preserve">The </w:t>
      </w:r>
      <w:r w:rsidRPr="00EF5457">
        <w:rPr>
          <w:rFonts w:cs="Arial"/>
        </w:rPr>
        <w:t>Union</w:t>
      </w:r>
      <w:r w:rsidRPr="00F01218">
        <w:rPr>
          <w:rFonts w:cs="Arial"/>
        </w:rPr>
        <w:t xml:space="preserve"> manages its investments in accordance with its Policy on Investments. </w:t>
      </w:r>
      <w:r w:rsidRPr="00EF5457">
        <w:rPr>
          <w:rFonts w:cs="Arial"/>
        </w:rPr>
        <w:t xml:space="preserve">The Secretary-General may make short-term investments of money not needed for immediate requirements in accordance with UPOV’s investment policy. </w:t>
      </w:r>
      <w:r w:rsidR="003E5BC0" w:rsidRPr="00C14ECE">
        <w:rPr>
          <w:rFonts w:cs="Arial"/>
        </w:rPr>
        <w:t>Unless otherwise agreed by the Council, UPOV’s investment policy shall be the same a</w:t>
      </w:r>
      <w:r w:rsidR="00014DF2" w:rsidRPr="00C14ECE">
        <w:rPr>
          <w:rFonts w:cs="Arial"/>
        </w:rPr>
        <w:t>s WIPO’s investment policy for operating cash</w:t>
      </w:r>
      <w:r w:rsidR="003E5BC0" w:rsidRPr="00C14ECE">
        <w:rPr>
          <w:rFonts w:cs="Arial"/>
        </w:rPr>
        <w:t xml:space="preserve">. The Secretary-General may seek the advice of the Advisory Committee on Investments of WIPO for matters relating exclusively to UPOV. The Secretary-General shall inform the Consultative Committee regularly of any investments. </w:t>
      </w:r>
      <w:bookmarkEnd w:id="75"/>
    </w:p>
    <w:p w14:paraId="4EA45947" w14:textId="77777777" w:rsidR="00EF5457" w:rsidRPr="009B78B3" w:rsidRDefault="00EF5457" w:rsidP="00A824AF">
      <w:pPr>
        <w:autoSpaceDE w:val="0"/>
        <w:autoSpaceDN w:val="0"/>
        <w:adjustRightInd w:val="0"/>
        <w:rPr>
          <w:rFonts w:cs="Arial"/>
        </w:rPr>
      </w:pPr>
    </w:p>
    <w:p w14:paraId="7F4ADA10" w14:textId="77777777" w:rsidR="00733550" w:rsidRPr="009B78B3" w:rsidRDefault="00733550" w:rsidP="00733550">
      <w:pPr>
        <w:autoSpaceDE w:val="0"/>
        <w:autoSpaceDN w:val="0"/>
        <w:adjustRightInd w:val="0"/>
        <w:rPr>
          <w:rFonts w:cs="Arial"/>
          <w:b/>
          <w:lang w:val="en-GB" w:eastAsia="en-GB"/>
        </w:rPr>
      </w:pPr>
      <w:r w:rsidRPr="009B78B3">
        <w:rPr>
          <w:rFonts w:cs="Arial"/>
          <w:b/>
          <w:lang w:val="en-GB" w:eastAsia="en-GB"/>
        </w:rPr>
        <w:t>Financial Instruments Overview</w:t>
      </w:r>
    </w:p>
    <w:p w14:paraId="759C91DE" w14:textId="77777777" w:rsidR="00733550" w:rsidRPr="009B78B3" w:rsidRDefault="00733550" w:rsidP="00733550">
      <w:pPr>
        <w:autoSpaceDE w:val="0"/>
        <w:autoSpaceDN w:val="0"/>
        <w:adjustRightInd w:val="0"/>
        <w:rPr>
          <w:rFonts w:cs="Arial"/>
          <w:b/>
          <w:lang w:val="en-GB" w:eastAsia="en-GB"/>
        </w:rPr>
      </w:pPr>
    </w:p>
    <w:p w14:paraId="1294EDCF" w14:textId="77777777" w:rsidR="00733550" w:rsidRPr="009B78B3" w:rsidRDefault="00733550" w:rsidP="00733550">
      <w:pPr>
        <w:autoSpaceDE w:val="0"/>
        <w:autoSpaceDN w:val="0"/>
        <w:adjustRightInd w:val="0"/>
        <w:rPr>
          <w:rFonts w:cs="Arial"/>
          <w:lang w:val="en-GB" w:eastAsia="en-GB"/>
        </w:rPr>
      </w:pPr>
      <w:r w:rsidRPr="009B78B3">
        <w:rPr>
          <w:rFonts w:cs="Arial"/>
          <w:lang w:val="en-GB" w:eastAsia="en-GB"/>
        </w:rPr>
        <w:t>Financial instruments are categorized as follows:</w:t>
      </w:r>
    </w:p>
    <w:p w14:paraId="7673D0EC" w14:textId="77777777" w:rsidR="0093752D" w:rsidRPr="009B78B3" w:rsidRDefault="0093752D" w:rsidP="00A824AF">
      <w:pPr>
        <w:autoSpaceDE w:val="0"/>
        <w:autoSpaceDN w:val="0"/>
        <w:adjustRightInd w:val="0"/>
        <w:rPr>
          <w:rFonts w:cs="Arial"/>
          <w:lang w:val="en-GB" w:eastAsia="en-GB"/>
        </w:rPr>
      </w:pPr>
    </w:p>
    <w:p w14:paraId="5422ECD0" w14:textId="613E9A40" w:rsidR="00FF130A" w:rsidRPr="007B443E" w:rsidRDefault="005B42AD" w:rsidP="00F01218">
      <w:pPr>
        <w:autoSpaceDE w:val="0"/>
        <w:autoSpaceDN w:val="0"/>
        <w:adjustRightInd w:val="0"/>
        <w:jc w:val="center"/>
        <w:rPr>
          <w:rFonts w:cs="Arial"/>
          <w:lang w:val="en-GB" w:eastAsia="en-GB"/>
        </w:rPr>
      </w:pPr>
      <w:r w:rsidRPr="005B42AD">
        <w:rPr>
          <w:noProof/>
        </w:rPr>
        <w:drawing>
          <wp:inline distT="0" distB="0" distL="0" distR="0" wp14:anchorId="7F62F737" wp14:editId="5D012FAD">
            <wp:extent cx="6113145" cy="643255"/>
            <wp:effectExtent l="0" t="0" r="1905" b="4445"/>
            <wp:docPr id="132740133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13145" cy="643255"/>
                    </a:xfrm>
                    <a:prstGeom prst="rect">
                      <a:avLst/>
                    </a:prstGeom>
                    <a:noFill/>
                    <a:ln>
                      <a:noFill/>
                    </a:ln>
                  </pic:spPr>
                </pic:pic>
              </a:graphicData>
            </a:graphic>
          </wp:inline>
        </w:drawing>
      </w:r>
    </w:p>
    <w:p w14:paraId="19177416" w14:textId="30E053E0" w:rsidR="00BB0DEA" w:rsidRDefault="00BB0DEA">
      <w:pPr>
        <w:jc w:val="left"/>
        <w:rPr>
          <w:rFonts w:cs="Arial"/>
          <w:lang w:val="en-GB" w:eastAsia="en-GB"/>
        </w:rPr>
      </w:pPr>
    </w:p>
    <w:p w14:paraId="6EDB59F3" w14:textId="3933F3A9" w:rsidR="0093752D" w:rsidRPr="007C4A37" w:rsidRDefault="00733550" w:rsidP="00A824AF">
      <w:pPr>
        <w:autoSpaceDE w:val="0"/>
        <w:autoSpaceDN w:val="0"/>
        <w:adjustRightInd w:val="0"/>
        <w:rPr>
          <w:rFonts w:cs="Arial"/>
          <w:lang w:val="en-GB" w:eastAsia="en-GB"/>
        </w:rPr>
      </w:pPr>
      <w:r w:rsidRPr="007C4A37">
        <w:rPr>
          <w:rFonts w:cs="Arial"/>
          <w:lang w:val="en-GB" w:eastAsia="en-GB"/>
        </w:rPr>
        <w:t>The carrying amounts of the categories of financial assets and liabilities are as follows:</w:t>
      </w:r>
    </w:p>
    <w:p w14:paraId="7016AE3E" w14:textId="77777777" w:rsidR="0060332C" w:rsidRPr="00F76236" w:rsidRDefault="0060332C" w:rsidP="00A824AF">
      <w:pPr>
        <w:autoSpaceDE w:val="0"/>
        <w:autoSpaceDN w:val="0"/>
        <w:adjustRightInd w:val="0"/>
        <w:rPr>
          <w:rFonts w:cs="Arial"/>
          <w:lang w:val="en-GB" w:eastAsia="en-GB"/>
        </w:rPr>
      </w:pPr>
    </w:p>
    <w:p w14:paraId="3127812D" w14:textId="0C988316" w:rsidR="0060332C" w:rsidRPr="007B443E" w:rsidRDefault="00E3310F" w:rsidP="00F01218">
      <w:pPr>
        <w:autoSpaceDE w:val="0"/>
        <w:autoSpaceDN w:val="0"/>
        <w:adjustRightInd w:val="0"/>
        <w:jc w:val="center"/>
        <w:rPr>
          <w:rFonts w:cs="Arial"/>
          <w:lang w:val="en-GB" w:eastAsia="en-GB"/>
        </w:rPr>
      </w:pPr>
      <w:r w:rsidRPr="00E3310F">
        <w:rPr>
          <w:noProof/>
        </w:rPr>
        <w:drawing>
          <wp:inline distT="0" distB="0" distL="0" distR="0" wp14:anchorId="03141D88" wp14:editId="5F445192">
            <wp:extent cx="6113145" cy="1769745"/>
            <wp:effectExtent l="0" t="0" r="1905" b="0"/>
            <wp:docPr id="153600045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13145" cy="1769745"/>
                    </a:xfrm>
                    <a:prstGeom prst="rect">
                      <a:avLst/>
                    </a:prstGeom>
                    <a:noFill/>
                    <a:ln>
                      <a:noFill/>
                    </a:ln>
                  </pic:spPr>
                </pic:pic>
              </a:graphicData>
            </a:graphic>
          </wp:inline>
        </w:drawing>
      </w:r>
    </w:p>
    <w:p w14:paraId="6739A13A" w14:textId="77777777" w:rsidR="00E45414" w:rsidRDefault="00E45414" w:rsidP="00A824AF">
      <w:pPr>
        <w:autoSpaceDE w:val="0"/>
        <w:autoSpaceDN w:val="0"/>
        <w:adjustRightInd w:val="0"/>
        <w:rPr>
          <w:rFonts w:cs="Arial"/>
          <w:b/>
          <w:lang w:val="en-GB" w:eastAsia="en-GB"/>
        </w:rPr>
      </w:pPr>
    </w:p>
    <w:p w14:paraId="35B098F8" w14:textId="7D66AE4C" w:rsidR="00733550" w:rsidRPr="00352498" w:rsidRDefault="00733550" w:rsidP="00A824AF">
      <w:pPr>
        <w:autoSpaceDE w:val="0"/>
        <w:autoSpaceDN w:val="0"/>
        <w:adjustRightInd w:val="0"/>
        <w:rPr>
          <w:rFonts w:cs="Arial"/>
          <w:b/>
          <w:lang w:val="en-GB" w:eastAsia="en-GB"/>
        </w:rPr>
      </w:pPr>
      <w:r w:rsidRPr="005976F2">
        <w:rPr>
          <w:rFonts w:cs="Arial"/>
          <w:b/>
          <w:lang w:val="en-GB" w:eastAsia="en-GB"/>
        </w:rPr>
        <w:t>Fair values</w:t>
      </w:r>
    </w:p>
    <w:p w14:paraId="52E92228" w14:textId="77777777" w:rsidR="00733550" w:rsidRPr="00BB2405" w:rsidRDefault="00733550" w:rsidP="00A824AF">
      <w:pPr>
        <w:autoSpaceDE w:val="0"/>
        <w:autoSpaceDN w:val="0"/>
        <w:adjustRightInd w:val="0"/>
        <w:rPr>
          <w:rFonts w:cs="Arial"/>
          <w:b/>
          <w:lang w:val="en-GB" w:eastAsia="en-GB"/>
        </w:rPr>
      </w:pPr>
    </w:p>
    <w:p w14:paraId="54D03DFC" w14:textId="0BEB5C9C" w:rsidR="00733550" w:rsidRPr="009B78B3" w:rsidRDefault="00733550" w:rsidP="00733550">
      <w:pPr>
        <w:autoSpaceDE w:val="0"/>
        <w:autoSpaceDN w:val="0"/>
        <w:adjustRightInd w:val="0"/>
        <w:rPr>
          <w:rFonts w:cs="Arial"/>
          <w:lang w:val="en-GB" w:eastAsia="en-GB"/>
        </w:rPr>
      </w:pPr>
      <w:r w:rsidRPr="009B78B3">
        <w:rPr>
          <w:rFonts w:cs="Arial"/>
          <w:lang w:val="en-GB" w:eastAsia="en-GB"/>
        </w:rPr>
        <w:t>The fair value of the fina</w:t>
      </w:r>
      <w:r w:rsidR="00EF4F3A" w:rsidRPr="009B78B3">
        <w:rPr>
          <w:rFonts w:cs="Arial"/>
          <w:lang w:val="en-GB" w:eastAsia="en-GB"/>
        </w:rPr>
        <w:t>ncial assets and liabilities is</w:t>
      </w:r>
      <w:r w:rsidRPr="009B78B3">
        <w:rPr>
          <w:rFonts w:cs="Arial"/>
          <w:lang w:val="en-GB" w:eastAsia="en-GB"/>
        </w:rPr>
        <w:t xml:space="preserve"> included at the amount at which the instrument could be exchanged in a current transaction between willing parties, other than in a forced sale or liquidation. Cash</w:t>
      </w:r>
      <w:r w:rsidR="00010786" w:rsidRPr="009B78B3">
        <w:rPr>
          <w:rFonts w:cs="Arial"/>
        </w:rPr>
        <w:t xml:space="preserve"> </w:t>
      </w:r>
      <w:r w:rsidR="00010786" w:rsidRPr="009B78B3">
        <w:rPr>
          <w:rFonts w:cs="Arial"/>
          <w:lang w:val="en-GB" w:eastAsia="en-GB"/>
        </w:rPr>
        <w:t>and short-term deposits</w:t>
      </w:r>
      <w:r w:rsidRPr="009B78B3">
        <w:rPr>
          <w:rFonts w:cs="Arial"/>
          <w:lang w:val="en-GB" w:eastAsia="en-GB"/>
        </w:rPr>
        <w:t xml:space="preserve">, receivables from exchange transactions, accounts payable and other current liabilities approximate their carrying amounts largely due to the short-term </w:t>
      </w:r>
      <w:r w:rsidR="00010786" w:rsidRPr="009B78B3">
        <w:rPr>
          <w:rFonts w:cs="Arial"/>
          <w:lang w:val="en-GB" w:eastAsia="en-GB"/>
        </w:rPr>
        <w:t>maturities of these instruments. R</w:t>
      </w:r>
      <w:r w:rsidRPr="009B78B3">
        <w:rPr>
          <w:rFonts w:cs="Arial"/>
          <w:lang w:val="en-GB" w:eastAsia="en-GB"/>
        </w:rPr>
        <w:t xml:space="preserve">eceivables </w:t>
      </w:r>
      <w:r w:rsidR="00010786" w:rsidRPr="009B78B3">
        <w:rPr>
          <w:rFonts w:cs="Arial"/>
          <w:lang w:val="en-GB" w:eastAsia="en-GB"/>
        </w:rPr>
        <w:t xml:space="preserve">from non-exchange transactions </w:t>
      </w:r>
      <w:r w:rsidRPr="009B78B3">
        <w:rPr>
          <w:rFonts w:cs="Arial"/>
          <w:lang w:val="en-GB" w:eastAsia="en-GB"/>
        </w:rPr>
        <w:t>are e</w:t>
      </w:r>
      <w:r w:rsidR="00010786" w:rsidRPr="009B78B3">
        <w:rPr>
          <w:rFonts w:cs="Arial"/>
          <w:lang w:val="en-GB" w:eastAsia="en-GB"/>
        </w:rPr>
        <w:t xml:space="preserve">valuated by </w:t>
      </w:r>
      <w:r w:rsidR="001B35D6">
        <w:rPr>
          <w:rFonts w:cs="Arial"/>
          <w:lang w:val="en-GB" w:eastAsia="en-GB"/>
        </w:rPr>
        <w:t>UPOV</w:t>
      </w:r>
      <w:r w:rsidR="001B35D6" w:rsidRPr="009B78B3">
        <w:rPr>
          <w:rFonts w:cs="Arial"/>
          <w:lang w:val="en-GB" w:eastAsia="en-GB"/>
        </w:rPr>
        <w:t xml:space="preserve"> </w:t>
      </w:r>
      <w:r w:rsidRPr="009B78B3">
        <w:rPr>
          <w:rFonts w:cs="Arial"/>
          <w:lang w:val="en-GB" w:eastAsia="en-GB"/>
        </w:rPr>
        <w:t>based on parameters such as interest r</w:t>
      </w:r>
      <w:r w:rsidR="00010786" w:rsidRPr="009B78B3">
        <w:rPr>
          <w:rFonts w:cs="Arial"/>
          <w:lang w:val="en-GB" w:eastAsia="en-GB"/>
        </w:rPr>
        <w:t>ates and risk characteristics. When applicable, an allowance is established to offset the value of receivables due from contributions. The allowance covers amounts of contributions with arrears dated prior to the last biennium.</w:t>
      </w:r>
      <w:r w:rsidR="00617423" w:rsidRPr="009B78B3">
        <w:rPr>
          <w:rFonts w:cs="Arial"/>
          <w:lang w:val="en-GB" w:eastAsia="en-GB"/>
        </w:rPr>
        <w:t xml:space="preserve"> </w:t>
      </w:r>
      <w:r w:rsidR="00010786" w:rsidRPr="009B78B3">
        <w:rPr>
          <w:rFonts w:cs="Arial"/>
          <w:lang w:val="en-GB" w:eastAsia="en-GB"/>
        </w:rPr>
        <w:t>For UPOV</w:t>
      </w:r>
      <w:r w:rsidRPr="009B78B3">
        <w:rPr>
          <w:rFonts w:cs="Arial"/>
          <w:lang w:val="en-GB" w:eastAsia="en-GB"/>
        </w:rPr>
        <w:t>’s financial assets and liabilities at the reporting date, the carrying amount is equivalent to the fair value.</w:t>
      </w:r>
    </w:p>
    <w:p w14:paraId="53E6C423" w14:textId="77777777" w:rsidR="00010786" w:rsidRPr="009B78B3" w:rsidRDefault="00010786" w:rsidP="00733550">
      <w:pPr>
        <w:autoSpaceDE w:val="0"/>
        <w:autoSpaceDN w:val="0"/>
        <w:adjustRightInd w:val="0"/>
        <w:rPr>
          <w:rFonts w:cs="Arial"/>
          <w:b/>
          <w:lang w:val="en-GB" w:eastAsia="en-GB"/>
        </w:rPr>
      </w:pPr>
    </w:p>
    <w:p w14:paraId="56FF5984" w14:textId="77777777" w:rsidR="00A824AF" w:rsidRPr="009B78B3" w:rsidRDefault="00A824AF" w:rsidP="00A824AF">
      <w:pPr>
        <w:rPr>
          <w:rFonts w:cs="Arial"/>
          <w:b/>
        </w:rPr>
      </w:pPr>
      <w:r w:rsidRPr="009B78B3">
        <w:rPr>
          <w:rFonts w:cs="Arial"/>
          <w:b/>
        </w:rPr>
        <w:t>Credit risk</w:t>
      </w:r>
    </w:p>
    <w:p w14:paraId="1D19FEE3" w14:textId="77777777" w:rsidR="00A824AF" w:rsidRPr="009B78B3" w:rsidRDefault="00A824AF" w:rsidP="00A824AF">
      <w:pPr>
        <w:rPr>
          <w:rFonts w:cs="Arial"/>
          <w:b/>
        </w:rPr>
      </w:pPr>
    </w:p>
    <w:p w14:paraId="09540D74" w14:textId="77777777" w:rsidR="00A824AF" w:rsidRPr="009B78B3" w:rsidRDefault="00A824AF">
      <w:pPr>
        <w:autoSpaceDE w:val="0"/>
        <w:autoSpaceDN w:val="0"/>
        <w:adjustRightInd w:val="0"/>
        <w:rPr>
          <w:rFonts w:cs="Arial"/>
          <w:lang w:val="en-GB" w:eastAsia="en-GB"/>
        </w:rPr>
      </w:pPr>
      <w:r w:rsidRPr="009B78B3">
        <w:rPr>
          <w:rFonts w:cs="Arial"/>
          <w:lang w:val="en-GB" w:eastAsia="en-GB"/>
        </w:rPr>
        <w:t>Credit risk is the risk of financial loss to UPOV if counterparties to financial instruments fail to mee</w:t>
      </w:r>
      <w:r w:rsidR="00637A28" w:rsidRPr="009B78B3">
        <w:rPr>
          <w:rFonts w:cs="Arial"/>
          <w:lang w:val="en-GB" w:eastAsia="en-GB"/>
        </w:rPr>
        <w:t>t their contractual obligations</w:t>
      </w:r>
      <w:r w:rsidRPr="009B78B3">
        <w:rPr>
          <w:rFonts w:cs="Arial"/>
          <w:lang w:val="en-GB" w:eastAsia="en-GB"/>
        </w:rPr>
        <w:t xml:space="preserve"> and it arises principally from receivables, and cash and cash equivalents. The carrying amount of financial assets represents th</w:t>
      </w:r>
      <w:r w:rsidR="00617423" w:rsidRPr="009B78B3">
        <w:rPr>
          <w:rFonts w:cs="Arial"/>
          <w:lang w:val="en-GB" w:eastAsia="en-GB"/>
        </w:rPr>
        <w:t>e maximum credit exposure. For the purposes of financial reporting, UPOV calculates expected credit losses allowances associated with its financial assets.</w:t>
      </w:r>
    </w:p>
    <w:p w14:paraId="7894DD73" w14:textId="77777777" w:rsidR="00A824AF" w:rsidRPr="009B78B3" w:rsidRDefault="00A824AF">
      <w:pPr>
        <w:rPr>
          <w:rFonts w:cs="Arial"/>
        </w:rPr>
      </w:pPr>
    </w:p>
    <w:p w14:paraId="02007B78" w14:textId="77777777" w:rsidR="005372FB" w:rsidRPr="009B78B3" w:rsidRDefault="00A824AF">
      <w:pPr>
        <w:rPr>
          <w:rFonts w:cs="Arial"/>
        </w:rPr>
      </w:pPr>
      <w:r w:rsidRPr="009B78B3">
        <w:rPr>
          <w:rFonts w:cs="Arial"/>
        </w:rPr>
        <w:t>UPOV’s accounts receivable are almost exclusively from members of the Union representing sovereign States and relevant Intergovernmental Organizations, and therefore risks related to credit are considered minor.</w:t>
      </w:r>
      <w:r w:rsidR="00617423" w:rsidRPr="009B78B3">
        <w:rPr>
          <w:rFonts w:cs="Arial"/>
        </w:rPr>
        <w:t xml:space="preserve"> </w:t>
      </w:r>
    </w:p>
    <w:p w14:paraId="678D5347" w14:textId="77777777" w:rsidR="005372FB" w:rsidRPr="009B78B3" w:rsidRDefault="005372FB">
      <w:pPr>
        <w:rPr>
          <w:rFonts w:cs="Arial"/>
        </w:rPr>
      </w:pPr>
    </w:p>
    <w:p w14:paraId="33C0BCD6" w14:textId="6F799296" w:rsidR="00A824AF" w:rsidRPr="009B78B3" w:rsidRDefault="00A824AF">
      <w:pPr>
        <w:rPr>
          <w:rFonts w:cs="Arial"/>
        </w:rPr>
      </w:pPr>
      <w:r w:rsidRPr="009B78B3">
        <w:rPr>
          <w:rFonts w:cs="Arial"/>
        </w:rPr>
        <w:t>Cash and cash equivalents may only be held with institutions with a minimu</w:t>
      </w:r>
      <w:r w:rsidR="002E4F36" w:rsidRPr="009B78B3">
        <w:rPr>
          <w:rFonts w:cs="Arial"/>
        </w:rPr>
        <w:t>m short-term credit rating of A</w:t>
      </w:r>
      <w:r w:rsidR="002E4F36" w:rsidRPr="009B78B3">
        <w:rPr>
          <w:rFonts w:cs="Arial"/>
        </w:rPr>
        <w:noBreakHyphen/>
      </w:r>
      <w:r w:rsidRPr="009B78B3">
        <w:rPr>
          <w:rFonts w:cs="Arial"/>
        </w:rPr>
        <w:t>2/</w:t>
      </w:r>
      <w:r w:rsidR="00936CD2">
        <w:rPr>
          <w:rFonts w:cs="Arial"/>
        </w:rPr>
        <w:t xml:space="preserve"> </w:t>
      </w:r>
      <w:r w:rsidRPr="009B78B3">
        <w:rPr>
          <w:rFonts w:cs="Arial"/>
        </w:rPr>
        <w:t>P-2 or a minim</w:t>
      </w:r>
      <w:r w:rsidR="006569C0" w:rsidRPr="009B78B3">
        <w:rPr>
          <w:rFonts w:cs="Arial"/>
        </w:rPr>
        <w:t>um long-term credit rating of A/A2</w:t>
      </w:r>
      <w:r w:rsidRPr="009B78B3">
        <w:rPr>
          <w:rFonts w:cs="Arial"/>
        </w:rPr>
        <w:t xml:space="preserve">. Accordingly, the credit ratings attached to cash and cash equivalents as </w:t>
      </w:r>
      <w:proofErr w:type="gramStart"/>
      <w:r w:rsidRPr="009B78B3">
        <w:rPr>
          <w:rFonts w:cs="Arial"/>
        </w:rPr>
        <w:t>at</w:t>
      </w:r>
      <w:proofErr w:type="gramEnd"/>
      <w:r w:rsidRPr="009B78B3">
        <w:rPr>
          <w:rFonts w:cs="Arial"/>
        </w:rPr>
        <w:t xml:space="preserve"> December 31, </w:t>
      </w:r>
      <w:proofErr w:type="gramStart"/>
      <w:r w:rsidR="00D85D36">
        <w:rPr>
          <w:rFonts w:cs="Arial"/>
        </w:rPr>
        <w:t>202</w:t>
      </w:r>
      <w:r w:rsidR="00B326CD">
        <w:rPr>
          <w:rFonts w:cs="Arial"/>
        </w:rPr>
        <w:t>4</w:t>
      </w:r>
      <w:proofErr w:type="gramEnd"/>
      <w:r w:rsidR="00D85D36" w:rsidRPr="009B78B3">
        <w:rPr>
          <w:rFonts w:cs="Arial"/>
        </w:rPr>
        <w:t xml:space="preserve"> </w:t>
      </w:r>
      <w:r w:rsidR="00637A28" w:rsidRPr="009B78B3">
        <w:rPr>
          <w:rFonts w:cs="Arial"/>
        </w:rPr>
        <w:t>are</w:t>
      </w:r>
      <w:r w:rsidRPr="009B78B3">
        <w:rPr>
          <w:rFonts w:cs="Arial"/>
        </w:rPr>
        <w:t xml:space="preserve"> as </w:t>
      </w:r>
      <w:r w:rsidR="00E3310F">
        <w:rPr>
          <w:rFonts w:cs="Arial"/>
        </w:rPr>
        <w:t>detailed on table on the following page</w:t>
      </w:r>
      <w:r w:rsidRPr="009B78B3">
        <w:rPr>
          <w:rFonts w:cs="Arial"/>
        </w:rPr>
        <w:t>:</w:t>
      </w:r>
    </w:p>
    <w:p w14:paraId="041939C2" w14:textId="77777777" w:rsidR="00A824AF" w:rsidRPr="009B78B3" w:rsidRDefault="00A824AF" w:rsidP="00A824AF">
      <w:pPr>
        <w:rPr>
          <w:rFonts w:cs="Arial"/>
          <w:b/>
        </w:rPr>
      </w:pPr>
    </w:p>
    <w:p w14:paraId="56C97D0D" w14:textId="25F97B7B" w:rsidR="0060332C" w:rsidRPr="007B443E" w:rsidRDefault="00E3310F" w:rsidP="005D7523">
      <w:pPr>
        <w:jc w:val="center"/>
        <w:rPr>
          <w:rFonts w:cs="Arial"/>
          <w:b/>
        </w:rPr>
      </w:pPr>
      <w:r w:rsidRPr="00E3310F">
        <w:rPr>
          <w:rFonts w:cs="Arial"/>
          <w:b/>
        </w:rPr>
        <w:lastRenderedPageBreak/>
        <w:t xml:space="preserve"> </w:t>
      </w:r>
      <w:r w:rsidRPr="00E3310F">
        <w:rPr>
          <w:noProof/>
        </w:rPr>
        <w:drawing>
          <wp:inline distT="0" distB="0" distL="0" distR="0" wp14:anchorId="14303933" wp14:editId="6375E32B">
            <wp:extent cx="3970655" cy="1464945"/>
            <wp:effectExtent l="0" t="0" r="0" b="1905"/>
            <wp:docPr id="1434154827"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970655" cy="1464945"/>
                    </a:xfrm>
                    <a:prstGeom prst="rect">
                      <a:avLst/>
                    </a:prstGeom>
                    <a:noFill/>
                    <a:ln>
                      <a:noFill/>
                    </a:ln>
                  </pic:spPr>
                </pic:pic>
              </a:graphicData>
            </a:graphic>
          </wp:inline>
        </w:drawing>
      </w:r>
    </w:p>
    <w:p w14:paraId="0ACF30B2" w14:textId="77777777" w:rsidR="00617423" w:rsidRPr="0098522D" w:rsidRDefault="00617423" w:rsidP="00617423">
      <w:pPr>
        <w:autoSpaceDE w:val="0"/>
        <w:autoSpaceDN w:val="0"/>
        <w:adjustRightInd w:val="0"/>
        <w:jc w:val="center"/>
        <w:rPr>
          <w:rFonts w:cs="Arial"/>
          <w:lang w:val="en-GB" w:eastAsia="en-GB"/>
        </w:rPr>
      </w:pPr>
    </w:p>
    <w:p w14:paraId="7D616A3B" w14:textId="77777777" w:rsidR="00617423" w:rsidRPr="00352498" w:rsidRDefault="00617423" w:rsidP="00617423">
      <w:pPr>
        <w:autoSpaceDE w:val="0"/>
        <w:autoSpaceDN w:val="0"/>
        <w:adjustRightInd w:val="0"/>
        <w:jc w:val="left"/>
        <w:rPr>
          <w:rFonts w:cs="Arial"/>
          <w:b/>
          <w:lang w:val="en-GB" w:eastAsia="en-GB"/>
        </w:rPr>
      </w:pPr>
      <w:r w:rsidRPr="005976F2">
        <w:rPr>
          <w:rFonts w:cs="Arial"/>
          <w:b/>
          <w:lang w:val="en-GB" w:eastAsia="en-GB"/>
        </w:rPr>
        <w:t>Liquidity risk</w:t>
      </w:r>
    </w:p>
    <w:p w14:paraId="1D354A47" w14:textId="77777777" w:rsidR="00617423" w:rsidRPr="00BB2405" w:rsidRDefault="00617423" w:rsidP="00A824AF">
      <w:pPr>
        <w:autoSpaceDE w:val="0"/>
        <w:autoSpaceDN w:val="0"/>
        <w:adjustRightInd w:val="0"/>
        <w:rPr>
          <w:rFonts w:cs="Arial"/>
          <w:lang w:val="en-GB" w:eastAsia="en-GB"/>
        </w:rPr>
      </w:pPr>
    </w:p>
    <w:p w14:paraId="1584FCE6" w14:textId="42645595" w:rsidR="00DF048C" w:rsidRDefault="00A824AF" w:rsidP="00F01218">
      <w:pPr>
        <w:autoSpaceDE w:val="0"/>
        <w:autoSpaceDN w:val="0"/>
        <w:adjustRightInd w:val="0"/>
        <w:rPr>
          <w:rFonts w:cs="Arial"/>
          <w:b/>
        </w:rPr>
      </w:pPr>
      <w:r w:rsidRPr="009B78B3">
        <w:rPr>
          <w:rFonts w:cs="Arial"/>
          <w:lang w:val="en-GB" w:eastAsia="en-GB"/>
        </w:rPr>
        <w:t xml:space="preserve">Liquidity risk is the risk of UPOV not being able to meet its obligations as they fall due. </w:t>
      </w:r>
      <w:r w:rsidRPr="009B78B3">
        <w:rPr>
          <w:rFonts w:cs="Arial"/>
        </w:rPr>
        <w:t xml:space="preserve">UPOV does not have significant exposure to liquidity risk as it has substantial unrestricted cash resources. The investment policy requires that operating and core cash are invested in such a way to ensure the liquidity necessary to meet UPOV’s cash flow requirements. Operating cash balances are invested over the short term (periods not exceeding twelve months to maturity) in low-risk asset classes which are easily liquidated at little or no cost. Core cash will be invested over the medium term (periods exceeding twelve months), in such a way that occasional access to a portion of the cash is possible thus facilitating scheduled large payments. Strategic cash is to be invested over the long </w:t>
      </w:r>
      <w:r w:rsidR="00B96EF3" w:rsidRPr="009B78B3">
        <w:rPr>
          <w:rFonts w:cs="Arial"/>
        </w:rPr>
        <w:t>term and</w:t>
      </w:r>
      <w:r w:rsidRPr="009B78B3">
        <w:rPr>
          <w:rFonts w:cs="Arial"/>
        </w:rPr>
        <w:t xml:space="preserve"> currently has no </w:t>
      </w:r>
      <w:proofErr w:type="gramStart"/>
      <w:r w:rsidRPr="009B78B3">
        <w:rPr>
          <w:rFonts w:cs="Arial"/>
        </w:rPr>
        <w:t>short or medium term</w:t>
      </w:r>
      <w:proofErr w:type="gramEnd"/>
      <w:r w:rsidRPr="009B78B3">
        <w:rPr>
          <w:rFonts w:cs="Arial"/>
        </w:rPr>
        <w:t xml:space="preserve"> liquidity requirements.</w:t>
      </w:r>
    </w:p>
    <w:p w14:paraId="5D5F511A" w14:textId="77777777" w:rsidR="00DF048C" w:rsidRDefault="00DF048C" w:rsidP="00A824AF">
      <w:pPr>
        <w:rPr>
          <w:rFonts w:cs="Arial"/>
          <w:b/>
        </w:rPr>
      </w:pPr>
    </w:p>
    <w:p w14:paraId="5408EDFF" w14:textId="46C5681F" w:rsidR="00A824AF" w:rsidRPr="00BB2405" w:rsidRDefault="00A824AF" w:rsidP="00F01218">
      <w:pPr>
        <w:jc w:val="left"/>
        <w:rPr>
          <w:rFonts w:cs="Arial"/>
          <w:b/>
        </w:rPr>
      </w:pPr>
      <w:r w:rsidRPr="00352498">
        <w:rPr>
          <w:rFonts w:cs="Arial"/>
          <w:b/>
        </w:rPr>
        <w:t>Currency risk</w:t>
      </w:r>
    </w:p>
    <w:p w14:paraId="759F3B88" w14:textId="77777777" w:rsidR="00A824AF" w:rsidRPr="005D7523" w:rsidRDefault="00A824AF" w:rsidP="00A824AF">
      <w:pPr>
        <w:autoSpaceDE w:val="0"/>
        <w:autoSpaceDN w:val="0"/>
        <w:adjustRightInd w:val="0"/>
        <w:rPr>
          <w:rFonts w:cs="Arial"/>
          <w:lang w:eastAsia="en-GB"/>
        </w:rPr>
      </w:pPr>
    </w:p>
    <w:p w14:paraId="78BBBFD2" w14:textId="5CCA2FD2" w:rsidR="00A824AF" w:rsidRPr="0038775D" w:rsidRDefault="00A824AF" w:rsidP="00A824AF">
      <w:pPr>
        <w:pStyle w:val="Style3"/>
        <w:spacing w:after="0"/>
        <w:rPr>
          <w:rFonts w:cs="Arial"/>
          <w:sz w:val="20"/>
        </w:rPr>
      </w:pPr>
      <w:r w:rsidRPr="007B443E">
        <w:rPr>
          <w:rFonts w:cs="Arial"/>
          <w:sz w:val="20"/>
        </w:rPr>
        <w:t>UPOV may receive revenue from extrabudgetary funds (f</w:t>
      </w:r>
      <w:r w:rsidRPr="0098522D">
        <w:rPr>
          <w:rFonts w:cs="Arial"/>
          <w:sz w:val="20"/>
        </w:rPr>
        <w:t>unds in trust) in currencies and incur expenses in currencies other than its functional currency, the Swiss franc</w:t>
      </w:r>
      <w:r w:rsidR="00C679A7" w:rsidRPr="007C4A37">
        <w:rPr>
          <w:rFonts w:cs="Arial"/>
          <w:sz w:val="20"/>
        </w:rPr>
        <w:t>,</w:t>
      </w:r>
      <w:r w:rsidRPr="0038775D">
        <w:rPr>
          <w:rFonts w:cs="Arial"/>
          <w:sz w:val="20"/>
        </w:rPr>
        <w:t xml:space="preserve"> and as a result is exposed to foreign currency exchange risk arising from fluctuations of currency exchange rates.  UPOV does not use derivative financial instruments to hedge exchange risk.  </w:t>
      </w:r>
    </w:p>
    <w:p w14:paraId="55BADF63" w14:textId="77777777" w:rsidR="00D27DCB" w:rsidRPr="00F76236" w:rsidRDefault="00D27DCB" w:rsidP="00A824AF">
      <w:pPr>
        <w:rPr>
          <w:rFonts w:cs="Arial"/>
          <w:b/>
        </w:rPr>
      </w:pPr>
    </w:p>
    <w:p w14:paraId="7D18BBCB" w14:textId="77777777" w:rsidR="00A824AF" w:rsidRPr="00352498" w:rsidRDefault="00A824AF" w:rsidP="00A824AF">
      <w:pPr>
        <w:rPr>
          <w:rFonts w:cs="Arial"/>
          <w:b/>
          <w:bCs/>
        </w:rPr>
      </w:pPr>
      <w:r w:rsidRPr="005976F2">
        <w:rPr>
          <w:rFonts w:cs="Arial"/>
          <w:b/>
        </w:rPr>
        <w:t>Market risk</w:t>
      </w:r>
    </w:p>
    <w:p w14:paraId="38E94AFD" w14:textId="77777777" w:rsidR="00A824AF" w:rsidRPr="00BB2405" w:rsidRDefault="00A824AF" w:rsidP="00A824AF">
      <w:pPr>
        <w:rPr>
          <w:rFonts w:cs="Arial"/>
        </w:rPr>
      </w:pPr>
    </w:p>
    <w:p w14:paraId="68EEA9A5" w14:textId="77777777" w:rsidR="00A824AF" w:rsidRPr="009B78B3" w:rsidRDefault="00A824AF" w:rsidP="00A824AF">
      <w:pPr>
        <w:rPr>
          <w:rFonts w:cs="Arial"/>
        </w:rPr>
      </w:pPr>
      <w:r w:rsidRPr="009B78B3">
        <w:rPr>
          <w:rFonts w:cs="Arial"/>
        </w:rPr>
        <w:t xml:space="preserve">Market risk is the risk of changes in market prices, such as interest rates, affecting </w:t>
      </w:r>
      <w:r w:rsidR="009A4CD8" w:rsidRPr="009B78B3">
        <w:rPr>
          <w:rFonts w:cs="Arial"/>
        </w:rPr>
        <w:t xml:space="preserve">income or the value of </w:t>
      </w:r>
      <w:r w:rsidRPr="009B78B3">
        <w:rPr>
          <w:rFonts w:cs="Arial"/>
        </w:rPr>
        <w:t>financial instrument holdings.</w:t>
      </w:r>
      <w:r w:rsidR="00AE2BD7" w:rsidRPr="009B78B3">
        <w:rPr>
          <w:rFonts w:cs="Arial"/>
        </w:rPr>
        <w:t xml:space="preserve"> UPOV is not subject to market risk.</w:t>
      </w:r>
      <w:r w:rsidRPr="009B78B3">
        <w:rPr>
          <w:rFonts w:cs="Arial"/>
        </w:rPr>
        <w:t xml:space="preserve"> </w:t>
      </w:r>
    </w:p>
    <w:p w14:paraId="26EF01B3" w14:textId="77777777" w:rsidR="00A824AF" w:rsidRPr="009B78B3" w:rsidRDefault="00A824AF" w:rsidP="0027283B">
      <w:pPr>
        <w:rPr>
          <w:rFonts w:cs="Arial"/>
          <w:b/>
        </w:rPr>
      </w:pPr>
    </w:p>
    <w:p w14:paraId="3A20F2F0" w14:textId="77777777" w:rsidR="00A824AF" w:rsidRPr="009B78B3" w:rsidRDefault="00A824AF" w:rsidP="00A824AF">
      <w:pPr>
        <w:rPr>
          <w:rFonts w:cs="Arial"/>
          <w:bCs/>
          <w:caps/>
        </w:rPr>
      </w:pPr>
    </w:p>
    <w:p w14:paraId="1D14C2E5" w14:textId="2BD748BB" w:rsidR="00A824AF" w:rsidRPr="005D7523" w:rsidRDefault="00F45269" w:rsidP="00F45269">
      <w:pPr>
        <w:pStyle w:val="Heading2Notes"/>
        <w:rPr>
          <w:rFonts w:ascii="Arial" w:hAnsi="Arial" w:cs="Arial"/>
        </w:rPr>
      </w:pPr>
      <w:bookmarkStart w:id="76" w:name="_Toc84329906"/>
      <w:bookmarkStart w:id="77" w:name="_Toc198653950"/>
      <w:r w:rsidRPr="005D7523">
        <w:rPr>
          <w:rFonts w:ascii="Arial" w:hAnsi="Arial" w:cs="Arial"/>
        </w:rPr>
        <w:t xml:space="preserve">Note </w:t>
      </w:r>
      <w:r w:rsidR="00CB1F12" w:rsidRPr="005D7523">
        <w:rPr>
          <w:rFonts w:ascii="Arial" w:hAnsi="Arial" w:cs="Arial"/>
        </w:rPr>
        <w:t>1</w:t>
      </w:r>
      <w:r w:rsidR="00CA0539">
        <w:rPr>
          <w:rFonts w:ascii="Arial" w:hAnsi="Arial" w:cs="Arial"/>
        </w:rPr>
        <w:t>5</w:t>
      </w:r>
      <w:r w:rsidR="00A824AF" w:rsidRPr="005D7523">
        <w:rPr>
          <w:rFonts w:ascii="Arial" w:hAnsi="Arial" w:cs="Arial"/>
        </w:rPr>
        <w:t>:</w:t>
      </w:r>
      <w:r w:rsidR="00A824AF" w:rsidRPr="005D7523">
        <w:rPr>
          <w:rFonts w:ascii="Arial" w:hAnsi="Arial" w:cs="Arial"/>
        </w:rPr>
        <w:tab/>
      </w:r>
      <w:r w:rsidRPr="005D7523">
        <w:rPr>
          <w:rFonts w:ascii="Arial" w:hAnsi="Arial" w:cs="Arial"/>
        </w:rPr>
        <w:t xml:space="preserve">Events </w:t>
      </w:r>
      <w:r w:rsidR="00A824AF" w:rsidRPr="005D7523">
        <w:rPr>
          <w:rFonts w:ascii="Arial" w:hAnsi="Arial" w:cs="Arial"/>
        </w:rPr>
        <w:t>after the reporting da</w:t>
      </w:r>
      <w:r w:rsidRPr="005D7523">
        <w:rPr>
          <w:rFonts w:ascii="Arial" w:hAnsi="Arial" w:cs="Arial"/>
        </w:rPr>
        <w:t>te</w:t>
      </w:r>
      <w:bookmarkEnd w:id="76"/>
      <w:bookmarkEnd w:id="77"/>
    </w:p>
    <w:p w14:paraId="1E2F659C" w14:textId="31736CB3" w:rsidR="00ED5C63" w:rsidRDefault="00ED5C63" w:rsidP="00A824AF">
      <w:pPr>
        <w:pStyle w:val="Styletexte"/>
        <w:spacing w:after="0"/>
        <w:rPr>
          <w:rFonts w:cs="Arial"/>
          <w:sz w:val="20"/>
        </w:rPr>
      </w:pPr>
    </w:p>
    <w:p w14:paraId="421D2ACE" w14:textId="4F994178" w:rsidR="00ED5C63" w:rsidRDefault="00ED5C63" w:rsidP="00ED5C63">
      <w:pPr>
        <w:rPr>
          <w:rFonts w:cs="Arial"/>
        </w:rPr>
      </w:pPr>
      <w:r w:rsidRPr="00C21351">
        <w:rPr>
          <w:rFonts w:cs="Arial"/>
        </w:rPr>
        <w:t xml:space="preserve">UPOV’s reporting date is December 31, </w:t>
      </w:r>
      <w:proofErr w:type="gramStart"/>
      <w:r w:rsidRPr="00C21351">
        <w:rPr>
          <w:rFonts w:cs="Arial"/>
        </w:rPr>
        <w:t>202</w:t>
      </w:r>
      <w:r w:rsidR="0059342F">
        <w:rPr>
          <w:rFonts w:cs="Arial"/>
        </w:rPr>
        <w:t>4</w:t>
      </w:r>
      <w:proofErr w:type="gramEnd"/>
      <w:r w:rsidRPr="00C21351">
        <w:rPr>
          <w:rFonts w:cs="Arial"/>
        </w:rPr>
        <w:t xml:space="preserve"> and its financial statements were authorized for issue on the same date as the External Auditor’s opinion.</w:t>
      </w:r>
    </w:p>
    <w:p w14:paraId="08A2AD64" w14:textId="77777777" w:rsidR="004F602A" w:rsidRDefault="004F602A" w:rsidP="004F602A"/>
    <w:p w14:paraId="43986339" w14:textId="322184B2" w:rsidR="004F602A" w:rsidRDefault="004F602A" w:rsidP="004F602A">
      <w:pPr>
        <w:rPr>
          <w:rFonts w:cs="Arial"/>
        </w:rPr>
      </w:pPr>
      <w:r w:rsidRPr="004F602A">
        <w:t xml:space="preserve">Pursuant to the endorsement by the UPOV Consultative Committee at its 101st Session in October 2023, </w:t>
      </w:r>
      <w:r w:rsidRPr="004F602A">
        <w:rPr>
          <w:rFonts w:cs="Arial"/>
        </w:rPr>
        <w:t xml:space="preserve">the Assemblies of the Member States of WIPO approved, in July 2024, the creation of a separate entity, to be established as a multi-employer plan, responsible for managing the funds set aside to finance ASHI. Both WIPO and UPOV will participate in this muti-employer plan. </w:t>
      </w:r>
      <w:r w:rsidRPr="00F01218">
        <w:rPr>
          <w:rFonts w:cs="Arial"/>
        </w:rPr>
        <w:t>During 2025 work has been undertaken to establish the separate entity with an effective date of April 1, 2025</w:t>
      </w:r>
      <w:r w:rsidRPr="004F602A">
        <w:rPr>
          <w:rFonts w:cs="Arial"/>
        </w:rPr>
        <w:t>.</w:t>
      </w:r>
    </w:p>
    <w:p w14:paraId="74000264" w14:textId="77777777" w:rsidR="00ED5C63" w:rsidRPr="00C21351" w:rsidRDefault="00ED5C63" w:rsidP="00ED5C63">
      <w:pPr>
        <w:rPr>
          <w:rFonts w:cs="Arial"/>
        </w:rPr>
      </w:pPr>
    </w:p>
    <w:p w14:paraId="14F4CC3A" w14:textId="135A88EC" w:rsidR="00B86F58" w:rsidRPr="0038775D" w:rsidRDefault="00ED5C63" w:rsidP="00F01218">
      <w:r w:rsidRPr="00C21351">
        <w:rPr>
          <w:rFonts w:cs="Arial"/>
        </w:rPr>
        <w:t>There have been no</w:t>
      </w:r>
      <w:r w:rsidR="005B42AD">
        <w:rPr>
          <w:rFonts w:cs="Arial"/>
        </w:rPr>
        <w:t xml:space="preserve"> other</w:t>
      </w:r>
      <w:r w:rsidRPr="00C21351">
        <w:rPr>
          <w:rFonts w:cs="Arial"/>
        </w:rPr>
        <w:t xml:space="preserve"> material events, favorable or unfavorable, that occurred between the reporting date and the date when the financial statements were authorized for issue that would have had a material impact on these financial statements.</w:t>
      </w:r>
    </w:p>
    <w:p w14:paraId="2DC2A99F" w14:textId="77777777" w:rsidR="0091630D" w:rsidRDefault="0091630D">
      <w:pPr>
        <w:jc w:val="right"/>
        <w:rPr>
          <w:rFonts w:cs="Arial"/>
        </w:rPr>
      </w:pPr>
    </w:p>
    <w:p w14:paraId="20D81CA0" w14:textId="77777777" w:rsidR="0091630D" w:rsidRDefault="0091630D">
      <w:pPr>
        <w:jc w:val="right"/>
        <w:rPr>
          <w:rFonts w:cs="Arial"/>
        </w:rPr>
      </w:pPr>
    </w:p>
    <w:p w14:paraId="25A0E20C" w14:textId="77777777" w:rsidR="0091630D" w:rsidRDefault="0091630D">
      <w:pPr>
        <w:jc w:val="right"/>
        <w:rPr>
          <w:rFonts w:cs="Arial"/>
        </w:rPr>
      </w:pPr>
    </w:p>
    <w:p w14:paraId="0E4B7AC8" w14:textId="1DCEE7D7" w:rsidR="00A824AF" w:rsidRPr="005976F2" w:rsidRDefault="00A824AF">
      <w:pPr>
        <w:jc w:val="right"/>
        <w:rPr>
          <w:rFonts w:cs="Arial"/>
          <w:color w:val="000000" w:themeColor="text1"/>
        </w:rPr>
      </w:pPr>
      <w:r w:rsidRPr="00F76236">
        <w:rPr>
          <w:rFonts w:cs="Arial"/>
        </w:rPr>
        <w:t>[End of Annex and of document]</w:t>
      </w:r>
    </w:p>
    <w:sectPr w:rsidR="00A824AF" w:rsidRPr="005976F2" w:rsidSect="00575A52">
      <w:headerReference w:type="even" r:id="rId38"/>
      <w:headerReference w:type="default" r:id="rId39"/>
      <w:footerReference w:type="even" r:id="rId40"/>
      <w:footerReference w:type="default" r:id="rId41"/>
      <w:headerReference w:type="first" r:id="rId42"/>
      <w:footerReference w:type="first" r:id="rId43"/>
      <w:footnotePr>
        <w:numRestart w:val="eachPage"/>
      </w:footnotePr>
      <w:pgSz w:w="11907" w:h="16840" w:code="9"/>
      <w:pgMar w:top="510" w:right="1106" w:bottom="992"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90B2D" w14:textId="77777777" w:rsidR="006F75BE" w:rsidRDefault="006F75BE" w:rsidP="006655D3">
      <w:r>
        <w:separator/>
      </w:r>
    </w:p>
    <w:p w14:paraId="1B8EA86C" w14:textId="77777777" w:rsidR="006F75BE" w:rsidRDefault="006F75BE" w:rsidP="006655D3"/>
    <w:p w14:paraId="4AE0005D" w14:textId="77777777" w:rsidR="006F75BE" w:rsidRDefault="006F75BE" w:rsidP="006655D3"/>
  </w:endnote>
  <w:endnote w:type="continuationSeparator" w:id="0">
    <w:p w14:paraId="1933BE2D" w14:textId="77777777" w:rsidR="006F75BE" w:rsidRDefault="006F75BE" w:rsidP="006655D3">
      <w:r>
        <w:separator/>
      </w:r>
    </w:p>
    <w:p w14:paraId="71138BC0" w14:textId="77777777" w:rsidR="006F75BE" w:rsidRPr="00294751" w:rsidRDefault="006F75BE">
      <w:pPr>
        <w:pStyle w:val="Footer"/>
        <w:spacing w:after="60"/>
        <w:rPr>
          <w:sz w:val="18"/>
          <w:lang w:val="fr-FR"/>
        </w:rPr>
      </w:pPr>
      <w:r w:rsidRPr="00294751">
        <w:rPr>
          <w:sz w:val="18"/>
          <w:lang w:val="fr-FR"/>
        </w:rPr>
        <w:t>[Suite de la note de la page précédente]</w:t>
      </w:r>
    </w:p>
    <w:p w14:paraId="15E548ED" w14:textId="77777777" w:rsidR="006F75BE" w:rsidRPr="00294751" w:rsidRDefault="006F75BE" w:rsidP="006655D3">
      <w:pPr>
        <w:rPr>
          <w:lang w:val="fr-FR"/>
        </w:rPr>
      </w:pPr>
    </w:p>
    <w:p w14:paraId="182B6F76" w14:textId="77777777" w:rsidR="006F75BE" w:rsidRPr="00294751" w:rsidRDefault="006F75BE" w:rsidP="006655D3">
      <w:pPr>
        <w:rPr>
          <w:lang w:val="fr-FR"/>
        </w:rPr>
      </w:pPr>
    </w:p>
  </w:endnote>
  <w:endnote w:type="continuationNotice" w:id="1">
    <w:p w14:paraId="556ECF1D" w14:textId="77777777" w:rsidR="006F75BE" w:rsidRPr="00294751" w:rsidRDefault="006F75BE" w:rsidP="006655D3">
      <w:pPr>
        <w:rPr>
          <w:lang w:val="fr-FR"/>
        </w:rPr>
      </w:pPr>
      <w:r w:rsidRPr="00294751">
        <w:rPr>
          <w:lang w:val="fr-FR"/>
        </w:rPr>
        <w:t>[Suite de la note page suivante]</w:t>
      </w:r>
    </w:p>
    <w:p w14:paraId="170C5C76" w14:textId="77777777" w:rsidR="006F75BE" w:rsidRPr="00294751" w:rsidRDefault="006F75BE" w:rsidP="006655D3">
      <w:pPr>
        <w:rPr>
          <w:lang w:val="fr-FR"/>
        </w:rPr>
      </w:pPr>
    </w:p>
    <w:p w14:paraId="5043D4F0" w14:textId="77777777" w:rsidR="006F75BE" w:rsidRPr="00294751" w:rsidRDefault="006F75B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F85E5" w14:textId="37686A98" w:rsidR="006F75BE" w:rsidRDefault="006F75BE" w:rsidP="001C79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E4999" w14:textId="6F2F1C17" w:rsidR="006F75BE" w:rsidRDefault="006F75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2D9F1" w14:textId="3BCE2A07" w:rsidR="006F75BE" w:rsidRDefault="006F75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D3C85" w14:textId="77777777" w:rsidR="006F75BE" w:rsidRDefault="006F75BE" w:rsidP="006655D3">
      <w:r>
        <w:separator/>
      </w:r>
    </w:p>
  </w:footnote>
  <w:footnote w:type="continuationSeparator" w:id="0">
    <w:p w14:paraId="2ECADDA9" w14:textId="77777777" w:rsidR="006F75BE" w:rsidRDefault="006F75BE" w:rsidP="006655D3">
      <w:r>
        <w:separator/>
      </w:r>
    </w:p>
  </w:footnote>
  <w:footnote w:type="continuationNotice" w:id="1">
    <w:p w14:paraId="08186D37" w14:textId="77777777" w:rsidR="006F75BE" w:rsidRPr="00AB530F" w:rsidRDefault="006F75BE" w:rsidP="00AB530F">
      <w:pPr>
        <w:pStyle w:val="Footer"/>
      </w:pPr>
    </w:p>
  </w:footnote>
  <w:footnote w:id="2">
    <w:p w14:paraId="6A2AA3AE" w14:textId="77777777" w:rsidR="00FC4C46" w:rsidRDefault="00FC4C46" w:rsidP="00FC4C46">
      <w:pPr>
        <w:pStyle w:val="FootnoteText"/>
      </w:pPr>
      <w:r>
        <w:rPr>
          <w:rStyle w:val="FootnoteReference"/>
        </w:rPr>
        <w:footnoteRef/>
      </w:r>
      <w:r>
        <w:t xml:space="preserve"> </w:t>
      </w:r>
      <w:r w:rsidRPr="0024475B">
        <w:rPr>
          <w:sz w:val="18"/>
        </w:rPr>
        <w:t>Section 7 of this document provides more details</w:t>
      </w:r>
    </w:p>
  </w:footnote>
  <w:footnote w:id="3">
    <w:p w14:paraId="00D64386" w14:textId="77777777" w:rsidR="00FC4C46" w:rsidRDefault="00FC4C46" w:rsidP="00FC4C46">
      <w:pPr>
        <w:pStyle w:val="FootnoteText"/>
      </w:pPr>
      <w:r>
        <w:rPr>
          <w:rStyle w:val="FootnoteReference"/>
        </w:rPr>
        <w:footnoteRef/>
      </w:r>
      <w:r>
        <w:t xml:space="preserve"> </w:t>
      </w:r>
      <w:r w:rsidRPr="0038693A">
        <w:rPr>
          <w:sz w:val="18"/>
        </w:rPr>
        <w:t>Committee of Sponsoring Organizations of the Treadway Commission</w:t>
      </w:r>
    </w:p>
  </w:footnote>
  <w:footnote w:id="4">
    <w:p w14:paraId="36E92214" w14:textId="77777777" w:rsidR="00FC4C46" w:rsidRDefault="00FC4C46" w:rsidP="00FC4C46">
      <w:pPr>
        <w:pStyle w:val="FootnoteText"/>
      </w:pPr>
      <w:r>
        <w:rPr>
          <w:rStyle w:val="FootnoteReference"/>
        </w:rPr>
        <w:footnoteRef/>
      </w:r>
      <w:r>
        <w:t xml:space="preserve"> </w:t>
      </w:r>
      <w:r w:rsidRPr="0038693A">
        <w:rPr>
          <w:sz w:val="18"/>
        </w:rPr>
        <w:t>https://www.theiia.org/globalassets/site/about-us/advocacy/three-lines-model-updated.pdf</w:t>
      </w:r>
      <w:r w:rsidDel="00CA6EC9">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4EE58" w14:textId="77777777" w:rsidR="006F75BE" w:rsidRPr="00C5280D" w:rsidRDefault="006F75BE" w:rsidP="001C7937">
    <w:pPr>
      <w:pStyle w:val="Header"/>
      <w:rPr>
        <w:rStyle w:val="PageNumber"/>
        <w:lang w:val="en-US"/>
      </w:rPr>
    </w:pPr>
    <w:r>
      <w:rPr>
        <w:rStyle w:val="PageNumber"/>
        <w:lang w:val="en-US"/>
      </w:rPr>
      <w:t>C/51/</w:t>
    </w:r>
  </w:p>
  <w:p w14:paraId="3578952A" w14:textId="470316A7" w:rsidR="006F75BE" w:rsidRPr="00C5280D" w:rsidRDefault="006F75BE" w:rsidP="001C7937">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1</w:t>
    </w:r>
    <w:r w:rsidRPr="00C5280D">
      <w:rPr>
        <w:rStyle w:val="PageNumber"/>
        <w:lang w:val="en-US"/>
      </w:rPr>
      <w:fldChar w:fldCharType="end"/>
    </w:r>
  </w:p>
  <w:p w14:paraId="6DFF3503" w14:textId="77777777" w:rsidR="006F75BE" w:rsidRPr="00C5280D" w:rsidRDefault="006F75BE" w:rsidP="001C793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3BC95" w14:textId="77777777" w:rsidR="006F75BE" w:rsidRPr="00C5280D" w:rsidRDefault="006F75BE" w:rsidP="00EB048E">
    <w:pPr>
      <w:pStyle w:val="Header"/>
      <w:rPr>
        <w:rStyle w:val="PageNumber"/>
        <w:lang w:val="en-US"/>
      </w:rPr>
    </w:pPr>
    <w:r>
      <w:rPr>
        <w:rStyle w:val="PageNumber"/>
        <w:lang w:val="en-US"/>
      </w:rPr>
      <w:t>C/51/</w:t>
    </w:r>
  </w:p>
  <w:p w14:paraId="6D9673AC" w14:textId="36604E3F" w:rsidR="006F75BE" w:rsidRPr="00C5280D" w:rsidRDefault="006F75BE"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1</w:t>
    </w:r>
    <w:r w:rsidRPr="00C5280D">
      <w:rPr>
        <w:rStyle w:val="PageNumber"/>
        <w:lang w:val="en-US"/>
      </w:rPr>
      <w:fldChar w:fldCharType="end"/>
    </w:r>
  </w:p>
  <w:p w14:paraId="3FE07BA1" w14:textId="77777777" w:rsidR="006F75BE" w:rsidRPr="00C5280D" w:rsidRDefault="006F75BE"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D1DDE" w14:textId="7BA205F2" w:rsidR="006F75BE" w:rsidRPr="00C5280D" w:rsidRDefault="002E06CD" w:rsidP="001C7937">
    <w:pPr>
      <w:pStyle w:val="Header"/>
      <w:rPr>
        <w:rStyle w:val="PageNumber"/>
        <w:lang w:val="en-US"/>
      </w:rPr>
    </w:pPr>
    <w:r>
      <w:rPr>
        <w:rStyle w:val="PageNumber"/>
        <w:lang w:val="en-US"/>
      </w:rPr>
      <w:t>C/59/9</w:t>
    </w:r>
  </w:p>
  <w:p w14:paraId="2B2F853F" w14:textId="74C48E19" w:rsidR="006F75BE" w:rsidRPr="00C5280D" w:rsidRDefault="006F75BE" w:rsidP="001C7937">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937D3">
      <w:rPr>
        <w:rStyle w:val="PageNumber"/>
        <w:noProof/>
        <w:lang w:val="en-US"/>
      </w:rPr>
      <w:t>30</w:t>
    </w:r>
    <w:r w:rsidRPr="00C5280D">
      <w:rPr>
        <w:rStyle w:val="PageNumber"/>
        <w:lang w:val="en-US"/>
      </w:rPr>
      <w:fldChar w:fldCharType="end"/>
    </w:r>
  </w:p>
  <w:p w14:paraId="5917932F" w14:textId="77777777" w:rsidR="006F75BE" w:rsidRPr="00C5280D" w:rsidRDefault="006F75BE" w:rsidP="001C793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5D22E" w14:textId="38885F8A" w:rsidR="00CB29BD" w:rsidRPr="00C5280D" w:rsidRDefault="002E06CD" w:rsidP="00CB29BD">
    <w:pPr>
      <w:pStyle w:val="Header"/>
      <w:rPr>
        <w:rStyle w:val="PageNumber"/>
        <w:lang w:val="en-US"/>
      </w:rPr>
    </w:pPr>
    <w:r>
      <w:rPr>
        <w:rStyle w:val="PageNumber"/>
        <w:lang w:val="en-US"/>
      </w:rPr>
      <w:t>C/59/9</w:t>
    </w:r>
  </w:p>
  <w:p w14:paraId="1F9EDF32" w14:textId="3303DBCA" w:rsidR="006F75BE" w:rsidRPr="00C5280D" w:rsidRDefault="006F75BE" w:rsidP="00EB048E">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937D3">
      <w:rPr>
        <w:rStyle w:val="PageNumber"/>
        <w:noProof/>
        <w:lang w:val="en-US"/>
      </w:rPr>
      <w:t>23</w:t>
    </w:r>
    <w:r w:rsidRPr="00C5280D">
      <w:rPr>
        <w:rStyle w:val="PageNumber"/>
        <w:lang w:val="en-US"/>
      </w:rPr>
      <w:fldChar w:fldCharType="end"/>
    </w:r>
  </w:p>
  <w:p w14:paraId="2CE53F6E" w14:textId="77777777" w:rsidR="006F75BE" w:rsidRPr="00C5280D" w:rsidRDefault="006F75BE" w:rsidP="006655D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6D2B6" w14:textId="63605B76" w:rsidR="006F75BE" w:rsidRDefault="002E06CD">
    <w:pPr>
      <w:pStyle w:val="Header"/>
    </w:pPr>
    <w:r>
      <w:t>C/59/9</w:t>
    </w:r>
  </w:p>
  <w:p w14:paraId="196E429F" w14:textId="77777777" w:rsidR="006F75BE" w:rsidRDefault="006F75BE">
    <w:pPr>
      <w:pStyle w:val="Header"/>
    </w:pPr>
  </w:p>
  <w:p w14:paraId="35FE9193" w14:textId="77777777" w:rsidR="006F75BE" w:rsidRDefault="006F75BE">
    <w:pPr>
      <w:pStyle w:val="Header"/>
    </w:pPr>
    <w:r>
      <w:t>ANNEX</w:t>
    </w:r>
  </w:p>
  <w:p w14:paraId="022376A5" w14:textId="77777777" w:rsidR="006F75BE" w:rsidRDefault="006F75BE">
    <w:pPr>
      <w:pStyle w:val="Header"/>
    </w:pPr>
  </w:p>
  <w:p w14:paraId="258B3AEF" w14:textId="77777777" w:rsidR="006F75BE" w:rsidRDefault="006F75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1A71B59"/>
    <w:multiLevelType w:val="multilevel"/>
    <w:tmpl w:val="77EC272E"/>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25061A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85E3CB9"/>
    <w:multiLevelType w:val="hybridMultilevel"/>
    <w:tmpl w:val="435CAD46"/>
    <w:lvl w:ilvl="0" w:tplc="E9587A26">
      <w:start w:val="17"/>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C6990"/>
    <w:multiLevelType w:val="hybridMultilevel"/>
    <w:tmpl w:val="FDC4CC0A"/>
    <w:lvl w:ilvl="0" w:tplc="F8EE8656">
      <w:start w:val="20"/>
      <w:numFmt w:val="decimal"/>
      <w:lvlText w:val="%1."/>
      <w:lvlJc w:val="left"/>
      <w:pPr>
        <w:tabs>
          <w:tab w:val="num" w:pos="1080"/>
        </w:tabs>
        <w:ind w:left="108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1620A"/>
    <w:multiLevelType w:val="hybridMultilevel"/>
    <w:tmpl w:val="EEB07C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497991"/>
    <w:multiLevelType w:val="hybridMultilevel"/>
    <w:tmpl w:val="77EC272E"/>
    <w:lvl w:ilvl="0" w:tplc="A2B2309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501C7A"/>
    <w:multiLevelType w:val="hybridMultilevel"/>
    <w:tmpl w:val="F6B29018"/>
    <w:lvl w:ilvl="0" w:tplc="90BADC22">
      <w:start w:val="1"/>
      <w:numFmt w:val="decimal"/>
      <w:lvlText w:val="%1."/>
      <w:lvlJc w:val="left"/>
      <w:pPr>
        <w:ind w:left="720" w:hanging="360"/>
      </w:pPr>
      <w:rPr>
        <w:rFonts w:eastAsia="Times New Roman" w:hint="default"/>
        <w:b/>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9F53B2"/>
    <w:multiLevelType w:val="hybridMultilevel"/>
    <w:tmpl w:val="12D4B8F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1506326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7414C1C"/>
    <w:multiLevelType w:val="hybridMultilevel"/>
    <w:tmpl w:val="A0AC9662"/>
    <w:lvl w:ilvl="0" w:tplc="D9D8C64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17D50D2D"/>
    <w:multiLevelType w:val="hybridMultilevel"/>
    <w:tmpl w:val="4FFCE3DC"/>
    <w:lvl w:ilvl="0" w:tplc="3072FBD0">
      <w:start w:val="1"/>
      <w:numFmt w:val="lowerRoman"/>
      <w:lvlText w:val="(%1)"/>
      <w:lvlJc w:val="left"/>
      <w:pPr>
        <w:ind w:left="720" w:hanging="360"/>
      </w:pPr>
      <w:rPr>
        <w:rFonts w:ascii="Arial" w:eastAsia="Arial" w:hAnsi="Arial" w:cs="Arial" w:hint="default"/>
        <w:spacing w:val="-1"/>
        <w:w w:val="99"/>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E004BC"/>
    <w:multiLevelType w:val="hybridMultilevel"/>
    <w:tmpl w:val="A0AC9662"/>
    <w:lvl w:ilvl="0" w:tplc="D9D8C64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99F1709"/>
    <w:multiLevelType w:val="hybridMultilevel"/>
    <w:tmpl w:val="D7907222"/>
    <w:lvl w:ilvl="0" w:tplc="100C0001">
      <w:start w:val="1"/>
      <w:numFmt w:val="bullet"/>
      <w:lvlText w:val=""/>
      <w:lvlJc w:val="left"/>
      <w:pPr>
        <w:ind w:left="780" w:hanging="360"/>
      </w:pPr>
      <w:rPr>
        <w:rFonts w:ascii="Symbol" w:hAnsi="Symbol" w:hint="default"/>
      </w:rPr>
    </w:lvl>
    <w:lvl w:ilvl="1" w:tplc="100C0003" w:tentative="1">
      <w:start w:val="1"/>
      <w:numFmt w:val="bullet"/>
      <w:lvlText w:val="o"/>
      <w:lvlJc w:val="left"/>
      <w:pPr>
        <w:ind w:left="1500" w:hanging="360"/>
      </w:pPr>
      <w:rPr>
        <w:rFonts w:ascii="Courier New" w:hAnsi="Courier New" w:cs="Courier New" w:hint="default"/>
      </w:rPr>
    </w:lvl>
    <w:lvl w:ilvl="2" w:tplc="100C0005" w:tentative="1">
      <w:start w:val="1"/>
      <w:numFmt w:val="bullet"/>
      <w:lvlText w:val=""/>
      <w:lvlJc w:val="left"/>
      <w:pPr>
        <w:ind w:left="2220" w:hanging="360"/>
      </w:pPr>
      <w:rPr>
        <w:rFonts w:ascii="Wingdings" w:hAnsi="Wingdings" w:hint="default"/>
      </w:rPr>
    </w:lvl>
    <w:lvl w:ilvl="3" w:tplc="100C0001" w:tentative="1">
      <w:start w:val="1"/>
      <w:numFmt w:val="bullet"/>
      <w:lvlText w:val=""/>
      <w:lvlJc w:val="left"/>
      <w:pPr>
        <w:ind w:left="2940" w:hanging="360"/>
      </w:pPr>
      <w:rPr>
        <w:rFonts w:ascii="Symbol" w:hAnsi="Symbol" w:hint="default"/>
      </w:rPr>
    </w:lvl>
    <w:lvl w:ilvl="4" w:tplc="100C0003" w:tentative="1">
      <w:start w:val="1"/>
      <w:numFmt w:val="bullet"/>
      <w:lvlText w:val="o"/>
      <w:lvlJc w:val="left"/>
      <w:pPr>
        <w:ind w:left="3660" w:hanging="360"/>
      </w:pPr>
      <w:rPr>
        <w:rFonts w:ascii="Courier New" w:hAnsi="Courier New" w:cs="Courier New" w:hint="default"/>
      </w:rPr>
    </w:lvl>
    <w:lvl w:ilvl="5" w:tplc="100C0005" w:tentative="1">
      <w:start w:val="1"/>
      <w:numFmt w:val="bullet"/>
      <w:lvlText w:val=""/>
      <w:lvlJc w:val="left"/>
      <w:pPr>
        <w:ind w:left="4380" w:hanging="360"/>
      </w:pPr>
      <w:rPr>
        <w:rFonts w:ascii="Wingdings" w:hAnsi="Wingdings" w:hint="default"/>
      </w:rPr>
    </w:lvl>
    <w:lvl w:ilvl="6" w:tplc="100C0001" w:tentative="1">
      <w:start w:val="1"/>
      <w:numFmt w:val="bullet"/>
      <w:lvlText w:val=""/>
      <w:lvlJc w:val="left"/>
      <w:pPr>
        <w:ind w:left="5100" w:hanging="360"/>
      </w:pPr>
      <w:rPr>
        <w:rFonts w:ascii="Symbol" w:hAnsi="Symbol" w:hint="default"/>
      </w:rPr>
    </w:lvl>
    <w:lvl w:ilvl="7" w:tplc="100C0003" w:tentative="1">
      <w:start w:val="1"/>
      <w:numFmt w:val="bullet"/>
      <w:lvlText w:val="o"/>
      <w:lvlJc w:val="left"/>
      <w:pPr>
        <w:ind w:left="5820" w:hanging="360"/>
      </w:pPr>
      <w:rPr>
        <w:rFonts w:ascii="Courier New" w:hAnsi="Courier New" w:cs="Courier New" w:hint="default"/>
      </w:rPr>
    </w:lvl>
    <w:lvl w:ilvl="8" w:tplc="100C0005" w:tentative="1">
      <w:start w:val="1"/>
      <w:numFmt w:val="bullet"/>
      <w:lvlText w:val=""/>
      <w:lvlJc w:val="left"/>
      <w:pPr>
        <w:ind w:left="6540" w:hanging="360"/>
      </w:pPr>
      <w:rPr>
        <w:rFonts w:ascii="Wingdings" w:hAnsi="Wingdings" w:hint="default"/>
      </w:rPr>
    </w:lvl>
  </w:abstractNum>
  <w:abstractNum w:abstractNumId="15" w15:restartNumberingAfterBreak="0">
    <w:nsid w:val="19EC1EFB"/>
    <w:multiLevelType w:val="hybridMultilevel"/>
    <w:tmpl w:val="6966C6F4"/>
    <w:lvl w:ilvl="0" w:tplc="F50080AE">
      <w:start w:val="14"/>
      <w:numFmt w:val="decimal"/>
      <w:lvlText w:val="%1."/>
      <w:lvlJc w:val="left"/>
      <w:pPr>
        <w:ind w:left="720" w:hanging="360"/>
      </w:pPr>
      <w:rPr>
        <w:rFonts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5F4DF7"/>
    <w:multiLevelType w:val="hybridMultilevel"/>
    <w:tmpl w:val="9D08B88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1D947070"/>
    <w:multiLevelType w:val="hybridMultilevel"/>
    <w:tmpl w:val="41CE0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D80BD2"/>
    <w:multiLevelType w:val="hybridMultilevel"/>
    <w:tmpl w:val="F82E8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1D7E5A"/>
    <w:multiLevelType w:val="multilevel"/>
    <w:tmpl w:val="EDCC48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1F6C1E46"/>
    <w:multiLevelType w:val="hybridMultilevel"/>
    <w:tmpl w:val="A8509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BF0BB1"/>
    <w:multiLevelType w:val="hybridMultilevel"/>
    <w:tmpl w:val="2F0A18D4"/>
    <w:lvl w:ilvl="0" w:tplc="3376BD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2DCA6815"/>
    <w:multiLevelType w:val="hybridMultilevel"/>
    <w:tmpl w:val="8CDAE88E"/>
    <w:lvl w:ilvl="0" w:tplc="3D704154">
      <w:start w:val="16"/>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0B1DCD"/>
    <w:multiLevelType w:val="hybridMultilevel"/>
    <w:tmpl w:val="44B67EF2"/>
    <w:lvl w:ilvl="0" w:tplc="0409000F">
      <w:start w:val="1"/>
      <w:numFmt w:val="decimal"/>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6E3B0A"/>
    <w:multiLevelType w:val="hybridMultilevel"/>
    <w:tmpl w:val="8060853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319C6BC7"/>
    <w:multiLevelType w:val="multilevel"/>
    <w:tmpl w:val="C0A8748A"/>
    <w:lvl w:ilvl="0">
      <w:start w:val="1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2396207"/>
    <w:multiLevelType w:val="hybridMultilevel"/>
    <w:tmpl w:val="F3E06D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2AA6329"/>
    <w:multiLevelType w:val="hybridMultilevel"/>
    <w:tmpl w:val="04929822"/>
    <w:lvl w:ilvl="0" w:tplc="0409000F">
      <w:start w:val="1"/>
      <w:numFmt w:val="decimal"/>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3BD2490"/>
    <w:multiLevelType w:val="multilevel"/>
    <w:tmpl w:val="BE821298"/>
    <w:styleLink w:val="CurrentList2"/>
    <w:lvl w:ilvl="0">
      <w:start w:val="4"/>
      <w:numFmt w:val="decimal"/>
      <w:lvlText w:val="%1."/>
      <w:lvlJc w:val="left"/>
      <w:pPr>
        <w:tabs>
          <w:tab w:val="num" w:pos="1080"/>
        </w:tabs>
        <w:ind w:left="567" w:hanging="567"/>
      </w:pPr>
      <w:rPr>
        <w:rFonts w:ascii="Arial" w:hAnsi="Arial" w:cs="Arial" w:hint="default"/>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360A6F1A"/>
    <w:multiLevelType w:val="hybridMultilevel"/>
    <w:tmpl w:val="F84E59F2"/>
    <w:lvl w:ilvl="0" w:tplc="3072FBD0">
      <w:start w:val="1"/>
      <w:numFmt w:val="lowerRoman"/>
      <w:lvlText w:val="(%1)"/>
      <w:lvlJc w:val="left"/>
      <w:pPr>
        <w:ind w:left="976" w:hanging="720"/>
      </w:pPr>
      <w:rPr>
        <w:rFonts w:ascii="Arial" w:eastAsia="Arial" w:hAnsi="Arial" w:cs="Arial" w:hint="default"/>
        <w:spacing w:val="-1"/>
        <w:w w:val="99"/>
        <w:sz w:val="20"/>
        <w:szCs w:val="20"/>
        <w:lang w:val="en-US" w:eastAsia="en-US" w:bidi="en-US"/>
      </w:rPr>
    </w:lvl>
    <w:lvl w:ilvl="1" w:tplc="19204E78">
      <w:numFmt w:val="bullet"/>
      <w:lvlText w:val=""/>
      <w:lvlJc w:val="left"/>
      <w:pPr>
        <w:ind w:left="976" w:hanging="360"/>
      </w:pPr>
      <w:rPr>
        <w:rFonts w:ascii="Symbol" w:eastAsia="Symbol" w:hAnsi="Symbol" w:cs="Symbol" w:hint="default"/>
        <w:w w:val="99"/>
        <w:sz w:val="20"/>
        <w:szCs w:val="20"/>
        <w:lang w:val="en-US" w:eastAsia="en-US" w:bidi="en-US"/>
      </w:rPr>
    </w:lvl>
    <w:lvl w:ilvl="2" w:tplc="B97A1492">
      <w:numFmt w:val="bullet"/>
      <w:lvlText w:val="•"/>
      <w:lvlJc w:val="left"/>
      <w:pPr>
        <w:ind w:left="2717" w:hanging="360"/>
      </w:pPr>
      <w:rPr>
        <w:lang w:val="en-US" w:eastAsia="en-US" w:bidi="en-US"/>
      </w:rPr>
    </w:lvl>
    <w:lvl w:ilvl="3" w:tplc="95765674">
      <w:numFmt w:val="bullet"/>
      <w:lvlText w:val="•"/>
      <w:lvlJc w:val="left"/>
      <w:pPr>
        <w:ind w:left="3585" w:hanging="360"/>
      </w:pPr>
      <w:rPr>
        <w:lang w:val="en-US" w:eastAsia="en-US" w:bidi="en-US"/>
      </w:rPr>
    </w:lvl>
    <w:lvl w:ilvl="4" w:tplc="F2CC0036">
      <w:numFmt w:val="bullet"/>
      <w:lvlText w:val="•"/>
      <w:lvlJc w:val="left"/>
      <w:pPr>
        <w:ind w:left="4454" w:hanging="360"/>
      </w:pPr>
      <w:rPr>
        <w:lang w:val="en-US" w:eastAsia="en-US" w:bidi="en-US"/>
      </w:rPr>
    </w:lvl>
    <w:lvl w:ilvl="5" w:tplc="5E9E4E36">
      <w:numFmt w:val="bullet"/>
      <w:lvlText w:val="•"/>
      <w:lvlJc w:val="left"/>
      <w:pPr>
        <w:ind w:left="5323" w:hanging="360"/>
      </w:pPr>
      <w:rPr>
        <w:lang w:val="en-US" w:eastAsia="en-US" w:bidi="en-US"/>
      </w:rPr>
    </w:lvl>
    <w:lvl w:ilvl="6" w:tplc="02CA5DE0">
      <w:numFmt w:val="bullet"/>
      <w:lvlText w:val="•"/>
      <w:lvlJc w:val="left"/>
      <w:pPr>
        <w:ind w:left="6191" w:hanging="360"/>
      </w:pPr>
      <w:rPr>
        <w:lang w:val="en-US" w:eastAsia="en-US" w:bidi="en-US"/>
      </w:rPr>
    </w:lvl>
    <w:lvl w:ilvl="7" w:tplc="F5848A9A">
      <w:numFmt w:val="bullet"/>
      <w:lvlText w:val="•"/>
      <w:lvlJc w:val="left"/>
      <w:pPr>
        <w:ind w:left="7060" w:hanging="360"/>
      </w:pPr>
      <w:rPr>
        <w:lang w:val="en-US" w:eastAsia="en-US" w:bidi="en-US"/>
      </w:rPr>
    </w:lvl>
    <w:lvl w:ilvl="8" w:tplc="C9B85180">
      <w:numFmt w:val="bullet"/>
      <w:lvlText w:val="•"/>
      <w:lvlJc w:val="left"/>
      <w:pPr>
        <w:ind w:left="7929" w:hanging="360"/>
      </w:pPr>
      <w:rPr>
        <w:lang w:val="en-US" w:eastAsia="en-US" w:bidi="en-US"/>
      </w:rPr>
    </w:lvl>
  </w:abstractNum>
  <w:abstractNum w:abstractNumId="30" w15:restartNumberingAfterBreak="0">
    <w:nsid w:val="377300E9"/>
    <w:multiLevelType w:val="hybridMultilevel"/>
    <w:tmpl w:val="1E560A1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1" w15:restartNumberingAfterBreak="0">
    <w:nsid w:val="38A13F76"/>
    <w:multiLevelType w:val="hybridMultilevel"/>
    <w:tmpl w:val="BDAA9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9577A9C"/>
    <w:multiLevelType w:val="hybridMultilevel"/>
    <w:tmpl w:val="41D6134A"/>
    <w:lvl w:ilvl="0" w:tplc="D9D8C64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9BE7FB4"/>
    <w:multiLevelType w:val="hybridMultilevel"/>
    <w:tmpl w:val="FE860A8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4" w15:restartNumberingAfterBreak="0">
    <w:nsid w:val="3B846A5B"/>
    <w:multiLevelType w:val="hybridMultilevel"/>
    <w:tmpl w:val="DB1EA112"/>
    <w:lvl w:ilvl="0" w:tplc="9A78682A">
      <w:numFmt w:val="bullet"/>
      <w:lvlText w:val=""/>
      <w:lvlJc w:val="left"/>
      <w:pPr>
        <w:ind w:left="360" w:hanging="360"/>
      </w:pPr>
      <w:rPr>
        <w:rFonts w:ascii="Symbol" w:eastAsia="Symbol" w:hAnsi="Symbol" w:cs="Symbol" w:hint="default"/>
        <w:w w:val="99"/>
        <w:sz w:val="20"/>
        <w:szCs w:val="20"/>
        <w:lang w:val="en-US" w:eastAsia="en-US" w:bidi="en-US"/>
      </w:rPr>
    </w:lvl>
    <w:lvl w:ilvl="1" w:tplc="7AA0E29E">
      <w:numFmt w:val="bullet"/>
      <w:lvlText w:val="•"/>
      <w:lvlJc w:val="left"/>
      <w:pPr>
        <w:ind w:left="1244" w:hanging="360"/>
      </w:pPr>
      <w:rPr>
        <w:lang w:val="en-US" w:eastAsia="en-US" w:bidi="en-US"/>
      </w:rPr>
    </w:lvl>
    <w:lvl w:ilvl="2" w:tplc="88F6DCEC">
      <w:numFmt w:val="bullet"/>
      <w:lvlText w:val="•"/>
      <w:lvlJc w:val="left"/>
      <w:pPr>
        <w:ind w:left="2129" w:hanging="360"/>
      </w:pPr>
      <w:rPr>
        <w:lang w:val="en-US" w:eastAsia="en-US" w:bidi="en-US"/>
      </w:rPr>
    </w:lvl>
    <w:lvl w:ilvl="3" w:tplc="C70E1C3A">
      <w:numFmt w:val="bullet"/>
      <w:lvlText w:val="•"/>
      <w:lvlJc w:val="left"/>
      <w:pPr>
        <w:ind w:left="3013" w:hanging="360"/>
      </w:pPr>
      <w:rPr>
        <w:lang w:val="en-US" w:eastAsia="en-US" w:bidi="en-US"/>
      </w:rPr>
    </w:lvl>
    <w:lvl w:ilvl="4" w:tplc="5764EB0C">
      <w:numFmt w:val="bullet"/>
      <w:lvlText w:val="•"/>
      <w:lvlJc w:val="left"/>
      <w:pPr>
        <w:ind w:left="3898" w:hanging="360"/>
      </w:pPr>
      <w:rPr>
        <w:lang w:val="en-US" w:eastAsia="en-US" w:bidi="en-US"/>
      </w:rPr>
    </w:lvl>
    <w:lvl w:ilvl="5" w:tplc="E25EE9CA">
      <w:numFmt w:val="bullet"/>
      <w:lvlText w:val="•"/>
      <w:lvlJc w:val="left"/>
      <w:pPr>
        <w:ind w:left="4783" w:hanging="360"/>
      </w:pPr>
      <w:rPr>
        <w:lang w:val="en-US" w:eastAsia="en-US" w:bidi="en-US"/>
      </w:rPr>
    </w:lvl>
    <w:lvl w:ilvl="6" w:tplc="9BB04594">
      <w:numFmt w:val="bullet"/>
      <w:lvlText w:val="•"/>
      <w:lvlJc w:val="left"/>
      <w:pPr>
        <w:ind w:left="5667" w:hanging="360"/>
      </w:pPr>
      <w:rPr>
        <w:lang w:val="en-US" w:eastAsia="en-US" w:bidi="en-US"/>
      </w:rPr>
    </w:lvl>
    <w:lvl w:ilvl="7" w:tplc="C138F298">
      <w:numFmt w:val="bullet"/>
      <w:lvlText w:val="•"/>
      <w:lvlJc w:val="left"/>
      <w:pPr>
        <w:ind w:left="6552" w:hanging="360"/>
      </w:pPr>
      <w:rPr>
        <w:lang w:val="en-US" w:eastAsia="en-US" w:bidi="en-US"/>
      </w:rPr>
    </w:lvl>
    <w:lvl w:ilvl="8" w:tplc="6DF49EEC">
      <w:numFmt w:val="bullet"/>
      <w:lvlText w:val="•"/>
      <w:lvlJc w:val="left"/>
      <w:pPr>
        <w:ind w:left="7437" w:hanging="360"/>
      </w:pPr>
      <w:rPr>
        <w:lang w:val="en-US" w:eastAsia="en-US" w:bidi="en-US"/>
      </w:rPr>
    </w:lvl>
  </w:abstractNum>
  <w:abstractNum w:abstractNumId="35" w15:restartNumberingAfterBreak="0">
    <w:nsid w:val="3BE332E7"/>
    <w:multiLevelType w:val="hybridMultilevel"/>
    <w:tmpl w:val="A0AC966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3F9459B9"/>
    <w:multiLevelType w:val="hybridMultilevel"/>
    <w:tmpl w:val="D35AA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0B52EF0"/>
    <w:multiLevelType w:val="hybridMultilevel"/>
    <w:tmpl w:val="5F00F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4912CD"/>
    <w:multiLevelType w:val="hybridMultilevel"/>
    <w:tmpl w:val="6694CC08"/>
    <w:lvl w:ilvl="0" w:tplc="CB9CCC54">
      <w:start w:val="1"/>
      <w:numFmt w:val="lowerRoman"/>
      <w:lvlText w:val="(%1)"/>
      <w:lvlJc w:val="left"/>
      <w:pPr>
        <w:tabs>
          <w:tab w:val="num" w:pos="720"/>
        </w:tabs>
        <w:ind w:left="720" w:hanging="72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4AA3140A"/>
    <w:multiLevelType w:val="hybridMultilevel"/>
    <w:tmpl w:val="8F38C232"/>
    <w:lvl w:ilvl="0" w:tplc="3154DE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B681E54"/>
    <w:multiLevelType w:val="hybridMultilevel"/>
    <w:tmpl w:val="7AD834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4C7B488B"/>
    <w:multiLevelType w:val="hybridMultilevel"/>
    <w:tmpl w:val="41D6134A"/>
    <w:lvl w:ilvl="0" w:tplc="D9D8C6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EBC4971"/>
    <w:multiLevelType w:val="hybridMultilevel"/>
    <w:tmpl w:val="2D6ABD74"/>
    <w:lvl w:ilvl="0" w:tplc="6C28C788">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05A466F"/>
    <w:multiLevelType w:val="hybridMultilevel"/>
    <w:tmpl w:val="64801EB0"/>
    <w:lvl w:ilvl="0" w:tplc="DEDC3FD6">
      <w:start w:val="1"/>
      <w:numFmt w:val="lowerLetter"/>
      <w:lvlText w:val="(%1)"/>
      <w:lvlJc w:val="left"/>
      <w:pPr>
        <w:tabs>
          <w:tab w:val="num" w:pos="418"/>
        </w:tabs>
        <w:ind w:left="414" w:hanging="54"/>
      </w:pPr>
      <w:rPr>
        <w:rFonts w:hint="default"/>
      </w:rPr>
    </w:lvl>
    <w:lvl w:ilvl="1" w:tplc="04090019" w:tentative="1">
      <w:start w:val="1"/>
      <w:numFmt w:val="lowerLetter"/>
      <w:lvlText w:val="%2."/>
      <w:lvlJc w:val="left"/>
      <w:pPr>
        <w:tabs>
          <w:tab w:val="num" w:pos="1683"/>
        </w:tabs>
        <w:ind w:left="1683" w:hanging="360"/>
      </w:pPr>
    </w:lvl>
    <w:lvl w:ilvl="2" w:tplc="0409001B" w:tentative="1">
      <w:start w:val="1"/>
      <w:numFmt w:val="lowerRoman"/>
      <w:lvlText w:val="%3."/>
      <w:lvlJc w:val="right"/>
      <w:pPr>
        <w:tabs>
          <w:tab w:val="num" w:pos="2403"/>
        </w:tabs>
        <w:ind w:left="2403" w:hanging="180"/>
      </w:pPr>
    </w:lvl>
    <w:lvl w:ilvl="3" w:tplc="0409000F" w:tentative="1">
      <w:start w:val="1"/>
      <w:numFmt w:val="decimal"/>
      <w:lvlText w:val="%4."/>
      <w:lvlJc w:val="left"/>
      <w:pPr>
        <w:tabs>
          <w:tab w:val="num" w:pos="3123"/>
        </w:tabs>
        <w:ind w:left="3123" w:hanging="360"/>
      </w:pPr>
    </w:lvl>
    <w:lvl w:ilvl="4" w:tplc="04090019" w:tentative="1">
      <w:start w:val="1"/>
      <w:numFmt w:val="lowerLetter"/>
      <w:lvlText w:val="%5."/>
      <w:lvlJc w:val="left"/>
      <w:pPr>
        <w:tabs>
          <w:tab w:val="num" w:pos="3843"/>
        </w:tabs>
        <w:ind w:left="3843" w:hanging="360"/>
      </w:pPr>
    </w:lvl>
    <w:lvl w:ilvl="5" w:tplc="0409001B" w:tentative="1">
      <w:start w:val="1"/>
      <w:numFmt w:val="lowerRoman"/>
      <w:lvlText w:val="%6."/>
      <w:lvlJc w:val="right"/>
      <w:pPr>
        <w:tabs>
          <w:tab w:val="num" w:pos="4563"/>
        </w:tabs>
        <w:ind w:left="4563" w:hanging="180"/>
      </w:pPr>
    </w:lvl>
    <w:lvl w:ilvl="6" w:tplc="0409000F" w:tentative="1">
      <w:start w:val="1"/>
      <w:numFmt w:val="decimal"/>
      <w:lvlText w:val="%7."/>
      <w:lvlJc w:val="left"/>
      <w:pPr>
        <w:tabs>
          <w:tab w:val="num" w:pos="5283"/>
        </w:tabs>
        <w:ind w:left="5283" w:hanging="360"/>
      </w:pPr>
    </w:lvl>
    <w:lvl w:ilvl="7" w:tplc="04090019" w:tentative="1">
      <w:start w:val="1"/>
      <w:numFmt w:val="lowerLetter"/>
      <w:lvlText w:val="%8."/>
      <w:lvlJc w:val="left"/>
      <w:pPr>
        <w:tabs>
          <w:tab w:val="num" w:pos="6003"/>
        </w:tabs>
        <w:ind w:left="6003" w:hanging="360"/>
      </w:pPr>
    </w:lvl>
    <w:lvl w:ilvl="8" w:tplc="0409001B" w:tentative="1">
      <w:start w:val="1"/>
      <w:numFmt w:val="lowerRoman"/>
      <w:lvlText w:val="%9."/>
      <w:lvlJc w:val="right"/>
      <w:pPr>
        <w:tabs>
          <w:tab w:val="num" w:pos="6723"/>
        </w:tabs>
        <w:ind w:left="6723" w:hanging="180"/>
      </w:pPr>
    </w:lvl>
  </w:abstractNum>
  <w:abstractNum w:abstractNumId="45" w15:restartNumberingAfterBreak="0">
    <w:nsid w:val="50B45F12"/>
    <w:multiLevelType w:val="hybridMultilevel"/>
    <w:tmpl w:val="FB78D33A"/>
    <w:lvl w:ilvl="0" w:tplc="F3687F78">
      <w:start w:val="1"/>
      <w:numFmt w:val="decimal"/>
      <w:pStyle w:val="StylenumerotationpagedegardeLeft063cmHanging001cm"/>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2857450"/>
    <w:multiLevelType w:val="hybridMultilevel"/>
    <w:tmpl w:val="41D6134A"/>
    <w:lvl w:ilvl="0" w:tplc="D9D8C64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50B586D"/>
    <w:multiLevelType w:val="hybridMultilevel"/>
    <w:tmpl w:val="2C4A9E2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8" w15:restartNumberingAfterBreak="0">
    <w:nsid w:val="56C45B33"/>
    <w:multiLevelType w:val="hybridMultilevel"/>
    <w:tmpl w:val="BE821298"/>
    <w:lvl w:ilvl="0" w:tplc="B852BC40">
      <w:start w:val="4"/>
      <w:numFmt w:val="decimal"/>
      <w:lvlText w:val="%1."/>
      <w:lvlJc w:val="left"/>
      <w:pPr>
        <w:tabs>
          <w:tab w:val="num" w:pos="1080"/>
        </w:tabs>
        <w:ind w:left="567" w:hanging="567"/>
      </w:pPr>
      <w:rPr>
        <w:rFonts w:ascii="Arial" w:hAnsi="Arial" w:cs="Arial" w:hint="default"/>
        <w:b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AB10C0E"/>
    <w:multiLevelType w:val="hybridMultilevel"/>
    <w:tmpl w:val="2A044904"/>
    <w:lvl w:ilvl="0" w:tplc="AA82BD3E">
      <w:start w:val="1"/>
      <w:numFmt w:val="bullet"/>
      <w:lvlText w:val=""/>
      <w:lvlJc w:val="left"/>
      <w:pPr>
        <w:ind w:left="976" w:hanging="360"/>
      </w:pPr>
      <w:rPr>
        <w:rFonts w:ascii="Symbol" w:hAnsi="Symbol" w:hint="default"/>
      </w:rPr>
    </w:lvl>
    <w:lvl w:ilvl="1" w:tplc="04090003">
      <w:start w:val="1"/>
      <w:numFmt w:val="bullet"/>
      <w:lvlText w:val="o"/>
      <w:lvlJc w:val="left"/>
      <w:pPr>
        <w:ind w:left="1696" w:hanging="360"/>
      </w:pPr>
      <w:rPr>
        <w:rFonts w:ascii="Courier New" w:hAnsi="Courier New" w:cs="Courier New" w:hint="default"/>
      </w:rPr>
    </w:lvl>
    <w:lvl w:ilvl="2" w:tplc="04090005">
      <w:start w:val="1"/>
      <w:numFmt w:val="bullet"/>
      <w:lvlText w:val=""/>
      <w:lvlJc w:val="left"/>
      <w:pPr>
        <w:ind w:left="2416" w:hanging="360"/>
      </w:pPr>
      <w:rPr>
        <w:rFonts w:ascii="Wingdings" w:hAnsi="Wingdings" w:hint="default"/>
      </w:rPr>
    </w:lvl>
    <w:lvl w:ilvl="3" w:tplc="04090001">
      <w:start w:val="1"/>
      <w:numFmt w:val="bullet"/>
      <w:lvlText w:val=""/>
      <w:lvlJc w:val="left"/>
      <w:pPr>
        <w:ind w:left="3136" w:hanging="360"/>
      </w:pPr>
      <w:rPr>
        <w:rFonts w:ascii="Symbol" w:hAnsi="Symbol" w:hint="default"/>
      </w:rPr>
    </w:lvl>
    <w:lvl w:ilvl="4" w:tplc="04090003">
      <w:start w:val="1"/>
      <w:numFmt w:val="bullet"/>
      <w:lvlText w:val="o"/>
      <w:lvlJc w:val="left"/>
      <w:pPr>
        <w:ind w:left="3856" w:hanging="360"/>
      </w:pPr>
      <w:rPr>
        <w:rFonts w:ascii="Courier New" w:hAnsi="Courier New" w:cs="Courier New" w:hint="default"/>
      </w:rPr>
    </w:lvl>
    <w:lvl w:ilvl="5" w:tplc="04090005">
      <w:start w:val="1"/>
      <w:numFmt w:val="bullet"/>
      <w:lvlText w:val=""/>
      <w:lvlJc w:val="left"/>
      <w:pPr>
        <w:ind w:left="4576" w:hanging="360"/>
      </w:pPr>
      <w:rPr>
        <w:rFonts w:ascii="Wingdings" w:hAnsi="Wingdings" w:hint="default"/>
      </w:rPr>
    </w:lvl>
    <w:lvl w:ilvl="6" w:tplc="04090001">
      <w:start w:val="1"/>
      <w:numFmt w:val="bullet"/>
      <w:lvlText w:val=""/>
      <w:lvlJc w:val="left"/>
      <w:pPr>
        <w:ind w:left="5296" w:hanging="360"/>
      </w:pPr>
      <w:rPr>
        <w:rFonts w:ascii="Symbol" w:hAnsi="Symbol" w:hint="default"/>
      </w:rPr>
    </w:lvl>
    <w:lvl w:ilvl="7" w:tplc="04090003">
      <w:start w:val="1"/>
      <w:numFmt w:val="bullet"/>
      <w:lvlText w:val="o"/>
      <w:lvlJc w:val="left"/>
      <w:pPr>
        <w:ind w:left="6016" w:hanging="360"/>
      </w:pPr>
      <w:rPr>
        <w:rFonts w:ascii="Courier New" w:hAnsi="Courier New" w:cs="Courier New" w:hint="default"/>
      </w:rPr>
    </w:lvl>
    <w:lvl w:ilvl="8" w:tplc="04090005">
      <w:start w:val="1"/>
      <w:numFmt w:val="bullet"/>
      <w:lvlText w:val=""/>
      <w:lvlJc w:val="left"/>
      <w:pPr>
        <w:ind w:left="6736" w:hanging="360"/>
      </w:pPr>
      <w:rPr>
        <w:rFonts w:ascii="Wingdings" w:hAnsi="Wingdings" w:hint="default"/>
      </w:rPr>
    </w:lvl>
  </w:abstractNum>
  <w:abstractNum w:abstractNumId="50" w15:restartNumberingAfterBreak="0">
    <w:nsid w:val="5AB638A3"/>
    <w:multiLevelType w:val="hybridMultilevel"/>
    <w:tmpl w:val="C510B434"/>
    <w:lvl w:ilvl="0" w:tplc="0240BFA6">
      <w:start w:val="10"/>
      <w:numFmt w:val="decimal"/>
      <w:lvlText w:val="%1."/>
      <w:lvlJc w:val="left"/>
      <w:pPr>
        <w:tabs>
          <w:tab w:val="num" w:pos="720"/>
        </w:tabs>
        <w:ind w:left="720" w:hanging="720"/>
      </w:pPr>
      <w:rPr>
        <w:rFonts w:hint="default"/>
        <w:color w:val="000000" w:themeColor="text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5FA05AFB"/>
    <w:multiLevelType w:val="hybridMultilevel"/>
    <w:tmpl w:val="271259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3492C33"/>
    <w:multiLevelType w:val="hybridMultilevel"/>
    <w:tmpl w:val="41D6134A"/>
    <w:lvl w:ilvl="0" w:tplc="D9D8C64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68E73E64"/>
    <w:multiLevelType w:val="hybridMultilevel"/>
    <w:tmpl w:val="531CD1B4"/>
    <w:lvl w:ilvl="0" w:tplc="BB5EB0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9344E1F"/>
    <w:multiLevelType w:val="hybridMultilevel"/>
    <w:tmpl w:val="D9DC8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57" w15:restartNumberingAfterBreak="0">
    <w:nsid w:val="69552E66"/>
    <w:multiLevelType w:val="hybridMultilevel"/>
    <w:tmpl w:val="6A3CE146"/>
    <w:lvl w:ilvl="0" w:tplc="57FE455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8" w15:restartNumberingAfterBreak="0">
    <w:nsid w:val="6F171A25"/>
    <w:multiLevelType w:val="hybridMultilevel"/>
    <w:tmpl w:val="788277D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9" w15:restartNumberingAfterBreak="0">
    <w:nsid w:val="6FFA08D0"/>
    <w:multiLevelType w:val="hybridMultilevel"/>
    <w:tmpl w:val="41D6134A"/>
    <w:lvl w:ilvl="0" w:tplc="D9D8C64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71132373"/>
    <w:multiLevelType w:val="hybridMultilevel"/>
    <w:tmpl w:val="4E22E4C2"/>
    <w:lvl w:ilvl="0" w:tplc="392E2B44">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19126E9"/>
    <w:multiLevelType w:val="hybridMultilevel"/>
    <w:tmpl w:val="9B46755E"/>
    <w:lvl w:ilvl="0" w:tplc="2A7898F4">
      <w:start w:val="1"/>
      <w:numFmt w:val="decimal"/>
      <w:lvlText w:val="%1."/>
      <w:lvlJc w:val="left"/>
      <w:pPr>
        <w:ind w:left="720" w:hanging="360"/>
      </w:pPr>
      <w:rPr>
        <w:rFonts w:eastAsiaTheme="majorEastAsia" w:hint="default"/>
        <w:color w:val="000000" w:themeColor="text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63" w15:restartNumberingAfterBreak="0">
    <w:nsid w:val="7C8005B6"/>
    <w:multiLevelType w:val="hybridMultilevel"/>
    <w:tmpl w:val="4BD47022"/>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D30738C"/>
    <w:multiLevelType w:val="hybridMultilevel"/>
    <w:tmpl w:val="D96A7A88"/>
    <w:lvl w:ilvl="0" w:tplc="34E801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F6923BD"/>
    <w:multiLevelType w:val="hybridMultilevel"/>
    <w:tmpl w:val="A4FE2E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2235238">
    <w:abstractNumId w:val="45"/>
  </w:num>
  <w:num w:numId="2" w16cid:durableId="160046363">
    <w:abstractNumId w:val="11"/>
  </w:num>
  <w:num w:numId="3" w16cid:durableId="1937051779">
    <w:abstractNumId w:val="39"/>
  </w:num>
  <w:num w:numId="4" w16cid:durableId="468130306">
    <w:abstractNumId w:val="62"/>
  </w:num>
  <w:num w:numId="5" w16cid:durableId="2053537396">
    <w:abstractNumId w:val="56"/>
  </w:num>
  <w:num w:numId="6" w16cid:durableId="1374498621">
    <w:abstractNumId w:val="0"/>
  </w:num>
  <w:num w:numId="7" w16cid:durableId="756747757">
    <w:abstractNumId w:val="51"/>
  </w:num>
  <w:num w:numId="8" w16cid:durableId="693305963">
    <w:abstractNumId w:val="43"/>
  </w:num>
  <w:num w:numId="9" w16cid:durableId="1872305143">
    <w:abstractNumId w:val="21"/>
  </w:num>
  <w:num w:numId="10" w16cid:durableId="1728147488">
    <w:abstractNumId w:val="65"/>
  </w:num>
  <w:num w:numId="11" w16cid:durableId="694887582">
    <w:abstractNumId w:val="41"/>
  </w:num>
  <w:num w:numId="12" w16cid:durableId="694648617">
    <w:abstractNumId w:val="6"/>
  </w:num>
  <w:num w:numId="13" w16cid:durableId="855077387">
    <w:abstractNumId w:val="2"/>
  </w:num>
  <w:num w:numId="14" w16cid:durableId="1077364114">
    <w:abstractNumId w:val="5"/>
  </w:num>
  <w:num w:numId="15" w16cid:durableId="284193334">
    <w:abstractNumId w:val="9"/>
  </w:num>
  <w:num w:numId="16" w16cid:durableId="216169699">
    <w:abstractNumId w:val="60"/>
  </w:num>
  <w:num w:numId="17" w16cid:durableId="220869135">
    <w:abstractNumId w:val="1"/>
  </w:num>
  <w:num w:numId="18" w16cid:durableId="1493401372">
    <w:abstractNumId w:val="48"/>
  </w:num>
  <w:num w:numId="19" w16cid:durableId="2067602298">
    <w:abstractNumId w:val="50"/>
  </w:num>
  <w:num w:numId="20" w16cid:durableId="19817273">
    <w:abstractNumId w:val="19"/>
  </w:num>
  <w:num w:numId="21" w16cid:durableId="873883399">
    <w:abstractNumId w:val="44"/>
  </w:num>
  <w:num w:numId="22" w16cid:durableId="702290563">
    <w:abstractNumId w:val="25"/>
  </w:num>
  <w:num w:numId="23" w16cid:durableId="1605260210">
    <w:abstractNumId w:val="13"/>
  </w:num>
  <w:num w:numId="24" w16cid:durableId="1756702186">
    <w:abstractNumId w:val="31"/>
  </w:num>
  <w:num w:numId="25" w16cid:durableId="228735006">
    <w:abstractNumId w:val="42"/>
  </w:num>
  <w:num w:numId="26" w16cid:durableId="1364281460">
    <w:abstractNumId w:val="4"/>
  </w:num>
  <w:num w:numId="27" w16cid:durableId="1504857093">
    <w:abstractNumId w:val="53"/>
  </w:num>
  <w:num w:numId="28" w16cid:durableId="1241522743">
    <w:abstractNumId w:val="32"/>
  </w:num>
  <w:num w:numId="29" w16cid:durableId="597979841">
    <w:abstractNumId w:val="46"/>
  </w:num>
  <w:num w:numId="30" w16cid:durableId="748767363">
    <w:abstractNumId w:val="59"/>
  </w:num>
  <w:num w:numId="31" w16cid:durableId="1578401085">
    <w:abstractNumId w:val="14"/>
  </w:num>
  <w:num w:numId="32" w16cid:durableId="38210559">
    <w:abstractNumId w:val="47"/>
  </w:num>
  <w:num w:numId="33" w16cid:durableId="923761812">
    <w:abstractNumId w:val="33"/>
  </w:num>
  <w:num w:numId="34" w16cid:durableId="1373771058">
    <w:abstractNumId w:val="36"/>
  </w:num>
  <w:num w:numId="35" w16cid:durableId="524487740">
    <w:abstractNumId w:val="16"/>
  </w:num>
  <w:num w:numId="36" w16cid:durableId="1400589042">
    <w:abstractNumId w:val="24"/>
  </w:num>
  <w:num w:numId="37" w16cid:durableId="5035951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13345940">
    <w:abstractNumId w:val="52"/>
  </w:num>
  <w:num w:numId="39" w16cid:durableId="1035695731">
    <w:abstractNumId w:val="26"/>
  </w:num>
  <w:num w:numId="40" w16cid:durableId="1175807663">
    <w:abstractNumId w:val="37"/>
  </w:num>
  <w:num w:numId="41" w16cid:durableId="175850065">
    <w:abstractNumId w:val="8"/>
  </w:num>
  <w:num w:numId="42" w16cid:durableId="326788559">
    <w:abstractNumId w:val="30"/>
  </w:num>
  <w:num w:numId="43" w16cid:durableId="632101754">
    <w:abstractNumId w:val="58"/>
  </w:num>
  <w:num w:numId="44" w16cid:durableId="225840853">
    <w:abstractNumId w:val="10"/>
  </w:num>
  <w:num w:numId="45" w16cid:durableId="1670331978">
    <w:abstractNumId w:val="49"/>
  </w:num>
  <w:num w:numId="46" w16cid:durableId="1442382138">
    <w:abstractNumId w:val="29"/>
    <w:lvlOverride w:ilvl="0">
      <w:startOverride w:val="1"/>
    </w:lvlOverride>
    <w:lvlOverride w:ilvl="1"/>
    <w:lvlOverride w:ilvl="2"/>
    <w:lvlOverride w:ilvl="3"/>
    <w:lvlOverride w:ilvl="4"/>
    <w:lvlOverride w:ilvl="5"/>
    <w:lvlOverride w:ilvl="6"/>
    <w:lvlOverride w:ilvl="7"/>
    <w:lvlOverride w:ilvl="8"/>
  </w:num>
  <w:num w:numId="47" w16cid:durableId="649137879">
    <w:abstractNumId w:val="34"/>
  </w:num>
  <w:num w:numId="48" w16cid:durableId="254901011">
    <w:abstractNumId w:val="23"/>
  </w:num>
  <w:num w:numId="49" w16cid:durableId="1025787800">
    <w:abstractNumId w:val="54"/>
  </w:num>
  <w:num w:numId="50" w16cid:durableId="1540625939">
    <w:abstractNumId w:val="27"/>
  </w:num>
  <w:num w:numId="51" w16cid:durableId="567376952">
    <w:abstractNumId w:val="40"/>
  </w:num>
  <w:num w:numId="52" w16cid:durableId="690028906">
    <w:abstractNumId w:val="7"/>
  </w:num>
  <w:num w:numId="53" w16cid:durableId="1991474024">
    <w:abstractNumId w:val="63"/>
  </w:num>
  <w:num w:numId="54" w16cid:durableId="918248512">
    <w:abstractNumId w:val="3"/>
  </w:num>
  <w:num w:numId="55" w16cid:durableId="173616290">
    <w:abstractNumId w:val="15"/>
  </w:num>
  <w:num w:numId="56" w16cid:durableId="547953474">
    <w:abstractNumId w:val="22"/>
  </w:num>
  <w:num w:numId="57" w16cid:durableId="440761845">
    <w:abstractNumId w:val="29"/>
  </w:num>
  <w:num w:numId="58" w16cid:durableId="1752773385">
    <w:abstractNumId w:val="38"/>
  </w:num>
  <w:num w:numId="59" w16cid:durableId="1428694510">
    <w:abstractNumId w:val="64"/>
  </w:num>
  <w:num w:numId="60" w16cid:durableId="774524798">
    <w:abstractNumId w:val="55"/>
  </w:num>
  <w:num w:numId="61" w16cid:durableId="1603875195">
    <w:abstractNumId w:val="20"/>
  </w:num>
  <w:num w:numId="62" w16cid:durableId="288172980">
    <w:abstractNumId w:val="17"/>
  </w:num>
  <w:num w:numId="63" w16cid:durableId="2063557226">
    <w:abstractNumId w:val="35"/>
  </w:num>
  <w:num w:numId="64" w16cid:durableId="1948535181">
    <w:abstractNumId w:val="28"/>
  </w:num>
  <w:num w:numId="65" w16cid:durableId="868446629">
    <w:abstractNumId w:val="57"/>
  </w:num>
  <w:num w:numId="66" w16cid:durableId="1008287177">
    <w:abstractNumId w:val="61"/>
  </w:num>
  <w:num w:numId="67" w16cid:durableId="208037016">
    <w:abstractNumId w:val="18"/>
  </w:num>
  <w:num w:numId="68" w16cid:durableId="1327592652">
    <w:abstractNumId w:val="12"/>
  </w:num>
  <w:num w:numId="69" w16cid:durableId="1521505161">
    <w:abstractNumId w:val="48"/>
  </w:num>
  <w:num w:numId="70" w16cid:durableId="818766976">
    <w:abstractNumId w:val="48"/>
  </w:num>
  <w:num w:numId="71" w16cid:durableId="916523078">
    <w:abstractNumId w:val="4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635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732"/>
    <w:rsid w:val="00000042"/>
    <w:rsid w:val="00000E41"/>
    <w:rsid w:val="00000EFE"/>
    <w:rsid w:val="00000FA5"/>
    <w:rsid w:val="00001377"/>
    <w:rsid w:val="000015A8"/>
    <w:rsid w:val="0000170A"/>
    <w:rsid w:val="00001CD5"/>
    <w:rsid w:val="00002159"/>
    <w:rsid w:val="00003006"/>
    <w:rsid w:val="00010786"/>
    <w:rsid w:val="00010CF3"/>
    <w:rsid w:val="00011352"/>
    <w:rsid w:val="000118DC"/>
    <w:rsid w:val="00011CE5"/>
    <w:rsid w:val="00011E27"/>
    <w:rsid w:val="00013166"/>
    <w:rsid w:val="00014104"/>
    <w:rsid w:val="000148BC"/>
    <w:rsid w:val="000149E9"/>
    <w:rsid w:val="00014AC4"/>
    <w:rsid w:val="00014DF2"/>
    <w:rsid w:val="000166FF"/>
    <w:rsid w:val="00016A3A"/>
    <w:rsid w:val="0001729C"/>
    <w:rsid w:val="00017B12"/>
    <w:rsid w:val="0002077A"/>
    <w:rsid w:val="00024115"/>
    <w:rsid w:val="00024AB8"/>
    <w:rsid w:val="00027F79"/>
    <w:rsid w:val="00030854"/>
    <w:rsid w:val="0003131E"/>
    <w:rsid w:val="00031AE3"/>
    <w:rsid w:val="00034C24"/>
    <w:rsid w:val="000354B8"/>
    <w:rsid w:val="000357D6"/>
    <w:rsid w:val="00036028"/>
    <w:rsid w:val="00036458"/>
    <w:rsid w:val="00037A1E"/>
    <w:rsid w:val="000413A3"/>
    <w:rsid w:val="0004297F"/>
    <w:rsid w:val="00042A8C"/>
    <w:rsid w:val="00042AE0"/>
    <w:rsid w:val="00043DEC"/>
    <w:rsid w:val="00044642"/>
    <w:rsid w:val="000446B9"/>
    <w:rsid w:val="00045359"/>
    <w:rsid w:val="00046978"/>
    <w:rsid w:val="00046B80"/>
    <w:rsid w:val="000470C5"/>
    <w:rsid w:val="00047E21"/>
    <w:rsid w:val="000501E6"/>
    <w:rsid w:val="00050E16"/>
    <w:rsid w:val="00053226"/>
    <w:rsid w:val="00054338"/>
    <w:rsid w:val="00057496"/>
    <w:rsid w:val="00057AB0"/>
    <w:rsid w:val="000608D5"/>
    <w:rsid w:val="000614D8"/>
    <w:rsid w:val="00061F16"/>
    <w:rsid w:val="000639BC"/>
    <w:rsid w:val="0006769B"/>
    <w:rsid w:val="00067755"/>
    <w:rsid w:val="00070695"/>
    <w:rsid w:val="0007119F"/>
    <w:rsid w:val="00071651"/>
    <w:rsid w:val="000745BA"/>
    <w:rsid w:val="000803D1"/>
    <w:rsid w:val="00080447"/>
    <w:rsid w:val="00080A1D"/>
    <w:rsid w:val="00080A4B"/>
    <w:rsid w:val="00084B05"/>
    <w:rsid w:val="00084FC7"/>
    <w:rsid w:val="00085341"/>
    <w:rsid w:val="00085505"/>
    <w:rsid w:val="00090C21"/>
    <w:rsid w:val="00094411"/>
    <w:rsid w:val="000A1841"/>
    <w:rsid w:val="000A4A55"/>
    <w:rsid w:val="000A4C97"/>
    <w:rsid w:val="000A602F"/>
    <w:rsid w:val="000B0197"/>
    <w:rsid w:val="000B049E"/>
    <w:rsid w:val="000B466B"/>
    <w:rsid w:val="000B5256"/>
    <w:rsid w:val="000B6F44"/>
    <w:rsid w:val="000B77D8"/>
    <w:rsid w:val="000C1105"/>
    <w:rsid w:val="000C1657"/>
    <w:rsid w:val="000C17BD"/>
    <w:rsid w:val="000C1F34"/>
    <w:rsid w:val="000C271C"/>
    <w:rsid w:val="000C2850"/>
    <w:rsid w:val="000C39F7"/>
    <w:rsid w:val="000C3E71"/>
    <w:rsid w:val="000C4E25"/>
    <w:rsid w:val="000C7021"/>
    <w:rsid w:val="000C755D"/>
    <w:rsid w:val="000C7F8E"/>
    <w:rsid w:val="000D07BD"/>
    <w:rsid w:val="000D1FAE"/>
    <w:rsid w:val="000D2BD6"/>
    <w:rsid w:val="000D55E5"/>
    <w:rsid w:val="000D55F0"/>
    <w:rsid w:val="000D5E86"/>
    <w:rsid w:val="000D6BBC"/>
    <w:rsid w:val="000D7780"/>
    <w:rsid w:val="000D78B2"/>
    <w:rsid w:val="000E0F89"/>
    <w:rsid w:val="000E1BD8"/>
    <w:rsid w:val="000E38DA"/>
    <w:rsid w:val="000E5C0D"/>
    <w:rsid w:val="000E636A"/>
    <w:rsid w:val="000E6EE1"/>
    <w:rsid w:val="000F1549"/>
    <w:rsid w:val="000F2BFA"/>
    <w:rsid w:val="000F2E9C"/>
    <w:rsid w:val="000F2F11"/>
    <w:rsid w:val="000F3752"/>
    <w:rsid w:val="000F6647"/>
    <w:rsid w:val="000F733C"/>
    <w:rsid w:val="0010059D"/>
    <w:rsid w:val="00100705"/>
    <w:rsid w:val="00101170"/>
    <w:rsid w:val="00101E22"/>
    <w:rsid w:val="0010336A"/>
    <w:rsid w:val="001043B7"/>
    <w:rsid w:val="00104701"/>
    <w:rsid w:val="00104C19"/>
    <w:rsid w:val="00105929"/>
    <w:rsid w:val="001077F7"/>
    <w:rsid w:val="00110C36"/>
    <w:rsid w:val="00112B6B"/>
    <w:rsid w:val="00112FC7"/>
    <w:rsid w:val="001131D5"/>
    <w:rsid w:val="001159B0"/>
    <w:rsid w:val="00115D3E"/>
    <w:rsid w:val="001179B3"/>
    <w:rsid w:val="0012012B"/>
    <w:rsid w:val="0012041A"/>
    <w:rsid w:val="00120CE4"/>
    <w:rsid w:val="0012156A"/>
    <w:rsid w:val="00122073"/>
    <w:rsid w:val="00122BA7"/>
    <w:rsid w:val="001252E0"/>
    <w:rsid w:val="00125A4F"/>
    <w:rsid w:val="001279B4"/>
    <w:rsid w:val="001307B5"/>
    <w:rsid w:val="00132267"/>
    <w:rsid w:val="00132934"/>
    <w:rsid w:val="0013428E"/>
    <w:rsid w:val="001343BA"/>
    <w:rsid w:val="001344C2"/>
    <w:rsid w:val="0013593F"/>
    <w:rsid w:val="00135FBE"/>
    <w:rsid w:val="00141858"/>
    <w:rsid w:val="00141DB8"/>
    <w:rsid w:val="00142F20"/>
    <w:rsid w:val="001435B2"/>
    <w:rsid w:val="00144B1C"/>
    <w:rsid w:val="00144B1E"/>
    <w:rsid w:val="0014626F"/>
    <w:rsid w:val="00146BF7"/>
    <w:rsid w:val="0014704B"/>
    <w:rsid w:val="00147604"/>
    <w:rsid w:val="00147935"/>
    <w:rsid w:val="00147DA5"/>
    <w:rsid w:val="00150F45"/>
    <w:rsid w:val="001518AC"/>
    <w:rsid w:val="00152069"/>
    <w:rsid w:val="001526B5"/>
    <w:rsid w:val="001540C1"/>
    <w:rsid w:val="001544B5"/>
    <w:rsid w:val="00154BA5"/>
    <w:rsid w:val="00157E38"/>
    <w:rsid w:val="00162492"/>
    <w:rsid w:val="00163868"/>
    <w:rsid w:val="0016776C"/>
    <w:rsid w:val="0016796E"/>
    <w:rsid w:val="00167D84"/>
    <w:rsid w:val="0017052B"/>
    <w:rsid w:val="00170616"/>
    <w:rsid w:val="00172084"/>
    <w:rsid w:val="0017474A"/>
    <w:rsid w:val="00174C1A"/>
    <w:rsid w:val="001758C6"/>
    <w:rsid w:val="00176044"/>
    <w:rsid w:val="00176821"/>
    <w:rsid w:val="00176EF3"/>
    <w:rsid w:val="00177525"/>
    <w:rsid w:val="001776DA"/>
    <w:rsid w:val="00180984"/>
    <w:rsid w:val="00180B14"/>
    <w:rsid w:val="001821D5"/>
    <w:rsid w:val="00182B99"/>
    <w:rsid w:val="00182CBD"/>
    <w:rsid w:val="001830B9"/>
    <w:rsid w:val="0018337D"/>
    <w:rsid w:val="00183C84"/>
    <w:rsid w:val="00185860"/>
    <w:rsid w:val="001859FA"/>
    <w:rsid w:val="001862C5"/>
    <w:rsid w:val="0018747C"/>
    <w:rsid w:val="00187DDC"/>
    <w:rsid w:val="00190831"/>
    <w:rsid w:val="00190832"/>
    <w:rsid w:val="001908E1"/>
    <w:rsid w:val="00191695"/>
    <w:rsid w:val="00191CDD"/>
    <w:rsid w:val="00194C8C"/>
    <w:rsid w:val="00195100"/>
    <w:rsid w:val="001961D1"/>
    <w:rsid w:val="001965E6"/>
    <w:rsid w:val="00196CB5"/>
    <w:rsid w:val="001A01A4"/>
    <w:rsid w:val="001A5165"/>
    <w:rsid w:val="001A5DE6"/>
    <w:rsid w:val="001A6F47"/>
    <w:rsid w:val="001A7F4A"/>
    <w:rsid w:val="001B06A3"/>
    <w:rsid w:val="001B35D6"/>
    <w:rsid w:val="001C0ED3"/>
    <w:rsid w:val="001C1525"/>
    <w:rsid w:val="001C502A"/>
    <w:rsid w:val="001C7937"/>
    <w:rsid w:val="001C7946"/>
    <w:rsid w:val="001D0A5E"/>
    <w:rsid w:val="001D107E"/>
    <w:rsid w:val="001D125B"/>
    <w:rsid w:val="001D29ED"/>
    <w:rsid w:val="001D4C9D"/>
    <w:rsid w:val="001D7C94"/>
    <w:rsid w:val="001E09D0"/>
    <w:rsid w:val="001E11E5"/>
    <w:rsid w:val="001E383C"/>
    <w:rsid w:val="001E48B4"/>
    <w:rsid w:val="001E69AF"/>
    <w:rsid w:val="001E7353"/>
    <w:rsid w:val="001F0802"/>
    <w:rsid w:val="001F1F1B"/>
    <w:rsid w:val="001F333C"/>
    <w:rsid w:val="001F374E"/>
    <w:rsid w:val="00201EB6"/>
    <w:rsid w:val="00201F28"/>
    <w:rsid w:val="00204342"/>
    <w:rsid w:val="00204749"/>
    <w:rsid w:val="00204D6B"/>
    <w:rsid w:val="0020503E"/>
    <w:rsid w:val="0020542B"/>
    <w:rsid w:val="00205952"/>
    <w:rsid w:val="00207B48"/>
    <w:rsid w:val="00207E6C"/>
    <w:rsid w:val="0021332C"/>
    <w:rsid w:val="00213982"/>
    <w:rsid w:val="0021450E"/>
    <w:rsid w:val="00214C72"/>
    <w:rsid w:val="00215223"/>
    <w:rsid w:val="002159D8"/>
    <w:rsid w:val="0021673C"/>
    <w:rsid w:val="00216A86"/>
    <w:rsid w:val="00217357"/>
    <w:rsid w:val="00217732"/>
    <w:rsid w:val="00220FA1"/>
    <w:rsid w:val="00222491"/>
    <w:rsid w:val="00222890"/>
    <w:rsid w:val="00222E09"/>
    <w:rsid w:val="00223EBA"/>
    <w:rsid w:val="00224D91"/>
    <w:rsid w:val="00227ED4"/>
    <w:rsid w:val="002306CC"/>
    <w:rsid w:val="002309E1"/>
    <w:rsid w:val="00230E3B"/>
    <w:rsid w:val="00231C4F"/>
    <w:rsid w:val="00232AC6"/>
    <w:rsid w:val="00232BD3"/>
    <w:rsid w:val="002333BA"/>
    <w:rsid w:val="0023348F"/>
    <w:rsid w:val="00234682"/>
    <w:rsid w:val="00236A46"/>
    <w:rsid w:val="0024129F"/>
    <w:rsid w:val="002426C5"/>
    <w:rsid w:val="0024416D"/>
    <w:rsid w:val="00244BEE"/>
    <w:rsid w:val="00245216"/>
    <w:rsid w:val="00245D32"/>
    <w:rsid w:val="002465AC"/>
    <w:rsid w:val="00246C95"/>
    <w:rsid w:val="00253B54"/>
    <w:rsid w:val="002564D5"/>
    <w:rsid w:val="00260605"/>
    <w:rsid w:val="00261ECA"/>
    <w:rsid w:val="00262166"/>
    <w:rsid w:val="002676CC"/>
    <w:rsid w:val="002707EA"/>
    <w:rsid w:val="00271911"/>
    <w:rsid w:val="00271D11"/>
    <w:rsid w:val="00272703"/>
    <w:rsid w:val="0027283B"/>
    <w:rsid w:val="002730EE"/>
    <w:rsid w:val="00273352"/>
    <w:rsid w:val="00273506"/>
    <w:rsid w:val="00273A35"/>
    <w:rsid w:val="00276CBB"/>
    <w:rsid w:val="0027791B"/>
    <w:rsid w:val="002800A0"/>
    <w:rsid w:val="002801B3"/>
    <w:rsid w:val="002809D0"/>
    <w:rsid w:val="00281060"/>
    <w:rsid w:val="002816D1"/>
    <w:rsid w:val="00281A63"/>
    <w:rsid w:val="00281ADE"/>
    <w:rsid w:val="00283563"/>
    <w:rsid w:val="00285D59"/>
    <w:rsid w:val="002906BF"/>
    <w:rsid w:val="00290F9D"/>
    <w:rsid w:val="002912FC"/>
    <w:rsid w:val="00291706"/>
    <w:rsid w:val="002920C9"/>
    <w:rsid w:val="00292D58"/>
    <w:rsid w:val="00293455"/>
    <w:rsid w:val="002940E8"/>
    <w:rsid w:val="00294751"/>
    <w:rsid w:val="00296C8A"/>
    <w:rsid w:val="00297A09"/>
    <w:rsid w:val="002A1AF5"/>
    <w:rsid w:val="002A237A"/>
    <w:rsid w:val="002A40A0"/>
    <w:rsid w:val="002A533A"/>
    <w:rsid w:val="002A6E50"/>
    <w:rsid w:val="002A78D1"/>
    <w:rsid w:val="002B012D"/>
    <w:rsid w:val="002B0A8D"/>
    <w:rsid w:val="002B0B2E"/>
    <w:rsid w:val="002B39DC"/>
    <w:rsid w:val="002B4290"/>
    <w:rsid w:val="002B4298"/>
    <w:rsid w:val="002B5EC5"/>
    <w:rsid w:val="002B619B"/>
    <w:rsid w:val="002B77FD"/>
    <w:rsid w:val="002B7D09"/>
    <w:rsid w:val="002B7F3B"/>
    <w:rsid w:val="002C0800"/>
    <w:rsid w:val="002C0ADD"/>
    <w:rsid w:val="002C1618"/>
    <w:rsid w:val="002C1FAE"/>
    <w:rsid w:val="002C256A"/>
    <w:rsid w:val="002C29AC"/>
    <w:rsid w:val="002C2FA7"/>
    <w:rsid w:val="002C2FAF"/>
    <w:rsid w:val="002C30EE"/>
    <w:rsid w:val="002C4D4E"/>
    <w:rsid w:val="002C5CD6"/>
    <w:rsid w:val="002C6757"/>
    <w:rsid w:val="002C683B"/>
    <w:rsid w:val="002D043A"/>
    <w:rsid w:val="002D0C40"/>
    <w:rsid w:val="002D2FA2"/>
    <w:rsid w:val="002D3525"/>
    <w:rsid w:val="002D58CC"/>
    <w:rsid w:val="002D5BC0"/>
    <w:rsid w:val="002D65D1"/>
    <w:rsid w:val="002E06CD"/>
    <w:rsid w:val="002E485F"/>
    <w:rsid w:val="002E4F36"/>
    <w:rsid w:val="002F2B83"/>
    <w:rsid w:val="002F377A"/>
    <w:rsid w:val="002F69EC"/>
    <w:rsid w:val="00301EE8"/>
    <w:rsid w:val="003055CC"/>
    <w:rsid w:val="00305A7F"/>
    <w:rsid w:val="00305D29"/>
    <w:rsid w:val="003061F2"/>
    <w:rsid w:val="00306229"/>
    <w:rsid w:val="00312A3B"/>
    <w:rsid w:val="003152FE"/>
    <w:rsid w:val="00316175"/>
    <w:rsid w:val="00317938"/>
    <w:rsid w:val="0032020E"/>
    <w:rsid w:val="00324082"/>
    <w:rsid w:val="00324470"/>
    <w:rsid w:val="003258A9"/>
    <w:rsid w:val="00327436"/>
    <w:rsid w:val="00327627"/>
    <w:rsid w:val="003278ED"/>
    <w:rsid w:val="00332D7A"/>
    <w:rsid w:val="00333200"/>
    <w:rsid w:val="00333C97"/>
    <w:rsid w:val="00333F6D"/>
    <w:rsid w:val="0033615D"/>
    <w:rsid w:val="00336FA1"/>
    <w:rsid w:val="003408AA"/>
    <w:rsid w:val="00344BD6"/>
    <w:rsid w:val="00346398"/>
    <w:rsid w:val="0034671F"/>
    <w:rsid w:val="003467FC"/>
    <w:rsid w:val="003478E3"/>
    <w:rsid w:val="00347F8B"/>
    <w:rsid w:val="00352498"/>
    <w:rsid w:val="00353F92"/>
    <w:rsid w:val="003544AB"/>
    <w:rsid w:val="0035528D"/>
    <w:rsid w:val="00355429"/>
    <w:rsid w:val="00355725"/>
    <w:rsid w:val="0036052F"/>
    <w:rsid w:val="00360B22"/>
    <w:rsid w:val="0036157A"/>
    <w:rsid w:val="00361821"/>
    <w:rsid w:val="00361E9E"/>
    <w:rsid w:val="00361EFE"/>
    <w:rsid w:val="003631E5"/>
    <w:rsid w:val="00364B8E"/>
    <w:rsid w:val="003705C5"/>
    <w:rsid w:val="00372D31"/>
    <w:rsid w:val="00377360"/>
    <w:rsid w:val="003804A8"/>
    <w:rsid w:val="00380E22"/>
    <w:rsid w:val="00380E40"/>
    <w:rsid w:val="00380EFD"/>
    <w:rsid w:val="0038130A"/>
    <w:rsid w:val="0038343B"/>
    <w:rsid w:val="00383939"/>
    <w:rsid w:val="00383C0E"/>
    <w:rsid w:val="00384CA5"/>
    <w:rsid w:val="0038775D"/>
    <w:rsid w:val="00390776"/>
    <w:rsid w:val="0039270D"/>
    <w:rsid w:val="00393877"/>
    <w:rsid w:val="00393B7B"/>
    <w:rsid w:val="00393DDB"/>
    <w:rsid w:val="00394906"/>
    <w:rsid w:val="0039633A"/>
    <w:rsid w:val="0039723C"/>
    <w:rsid w:val="003A179B"/>
    <w:rsid w:val="003A2A7A"/>
    <w:rsid w:val="003A6218"/>
    <w:rsid w:val="003A6DED"/>
    <w:rsid w:val="003B065A"/>
    <w:rsid w:val="003B14FE"/>
    <w:rsid w:val="003B3804"/>
    <w:rsid w:val="003B43BB"/>
    <w:rsid w:val="003B5781"/>
    <w:rsid w:val="003B748D"/>
    <w:rsid w:val="003C0736"/>
    <w:rsid w:val="003C107E"/>
    <w:rsid w:val="003C1E76"/>
    <w:rsid w:val="003C2739"/>
    <w:rsid w:val="003C51D4"/>
    <w:rsid w:val="003C57F9"/>
    <w:rsid w:val="003C5B70"/>
    <w:rsid w:val="003C789B"/>
    <w:rsid w:val="003C7C50"/>
    <w:rsid w:val="003C7FBE"/>
    <w:rsid w:val="003D0BA1"/>
    <w:rsid w:val="003D227C"/>
    <w:rsid w:val="003D2B4D"/>
    <w:rsid w:val="003D6F18"/>
    <w:rsid w:val="003E0B8A"/>
    <w:rsid w:val="003E167D"/>
    <w:rsid w:val="003E2998"/>
    <w:rsid w:val="003E3776"/>
    <w:rsid w:val="003E5BC0"/>
    <w:rsid w:val="003E5E9A"/>
    <w:rsid w:val="003E7DF6"/>
    <w:rsid w:val="003F02CD"/>
    <w:rsid w:val="003F2509"/>
    <w:rsid w:val="003F285E"/>
    <w:rsid w:val="003F2E24"/>
    <w:rsid w:val="003F37BE"/>
    <w:rsid w:val="003F4373"/>
    <w:rsid w:val="003F4E3A"/>
    <w:rsid w:val="003F5E9F"/>
    <w:rsid w:val="003F5F2B"/>
    <w:rsid w:val="003F61EC"/>
    <w:rsid w:val="003F62FC"/>
    <w:rsid w:val="00401109"/>
    <w:rsid w:val="004017D6"/>
    <w:rsid w:val="004035A9"/>
    <w:rsid w:val="00404201"/>
    <w:rsid w:val="00405051"/>
    <w:rsid w:val="0040575A"/>
    <w:rsid w:val="00407750"/>
    <w:rsid w:val="004120CB"/>
    <w:rsid w:val="00412EAD"/>
    <w:rsid w:val="0041583C"/>
    <w:rsid w:val="00416658"/>
    <w:rsid w:val="00416A76"/>
    <w:rsid w:val="00416B06"/>
    <w:rsid w:val="004213E7"/>
    <w:rsid w:val="00422DA6"/>
    <w:rsid w:val="004230A4"/>
    <w:rsid w:val="00423629"/>
    <w:rsid w:val="00424156"/>
    <w:rsid w:val="004244A8"/>
    <w:rsid w:val="004262A2"/>
    <w:rsid w:val="00430182"/>
    <w:rsid w:val="0043433B"/>
    <w:rsid w:val="0043449C"/>
    <w:rsid w:val="00435226"/>
    <w:rsid w:val="0044099B"/>
    <w:rsid w:val="00440AE1"/>
    <w:rsid w:val="00442860"/>
    <w:rsid w:val="0044289F"/>
    <w:rsid w:val="00443EDE"/>
    <w:rsid w:val="00444A88"/>
    <w:rsid w:val="00445ED1"/>
    <w:rsid w:val="00447B8A"/>
    <w:rsid w:val="004506B2"/>
    <w:rsid w:val="004523B4"/>
    <w:rsid w:val="0045241D"/>
    <w:rsid w:val="004544BC"/>
    <w:rsid w:val="00454DA6"/>
    <w:rsid w:val="00455644"/>
    <w:rsid w:val="004556AC"/>
    <w:rsid w:val="00460801"/>
    <w:rsid w:val="0046135E"/>
    <w:rsid w:val="004619F2"/>
    <w:rsid w:val="00461D4B"/>
    <w:rsid w:val="004621B7"/>
    <w:rsid w:val="004624D6"/>
    <w:rsid w:val="00462DBE"/>
    <w:rsid w:val="00463EB9"/>
    <w:rsid w:val="0046679C"/>
    <w:rsid w:val="00466A89"/>
    <w:rsid w:val="00466D62"/>
    <w:rsid w:val="00467CAE"/>
    <w:rsid w:val="00471391"/>
    <w:rsid w:val="00474DA4"/>
    <w:rsid w:val="00475469"/>
    <w:rsid w:val="00476B4D"/>
    <w:rsid w:val="00477365"/>
    <w:rsid w:val="004779C2"/>
    <w:rsid w:val="004805FA"/>
    <w:rsid w:val="00481AFF"/>
    <w:rsid w:val="00481EDD"/>
    <w:rsid w:val="00483FD7"/>
    <w:rsid w:val="004846E9"/>
    <w:rsid w:val="004849FD"/>
    <w:rsid w:val="00487284"/>
    <w:rsid w:val="0048778B"/>
    <w:rsid w:val="004900FA"/>
    <w:rsid w:val="0049060F"/>
    <w:rsid w:val="00492B31"/>
    <w:rsid w:val="00492C8B"/>
    <w:rsid w:val="004932AB"/>
    <w:rsid w:val="004935D2"/>
    <w:rsid w:val="004937D3"/>
    <w:rsid w:val="004A018B"/>
    <w:rsid w:val="004A0DD6"/>
    <w:rsid w:val="004A22F1"/>
    <w:rsid w:val="004A5EBA"/>
    <w:rsid w:val="004A7416"/>
    <w:rsid w:val="004B1215"/>
    <w:rsid w:val="004B1374"/>
    <w:rsid w:val="004B1379"/>
    <w:rsid w:val="004B258C"/>
    <w:rsid w:val="004B45AE"/>
    <w:rsid w:val="004B4F6F"/>
    <w:rsid w:val="004C386F"/>
    <w:rsid w:val="004C517D"/>
    <w:rsid w:val="004C546A"/>
    <w:rsid w:val="004C567C"/>
    <w:rsid w:val="004C6AD3"/>
    <w:rsid w:val="004C7533"/>
    <w:rsid w:val="004D047D"/>
    <w:rsid w:val="004D1238"/>
    <w:rsid w:val="004D333B"/>
    <w:rsid w:val="004D3C82"/>
    <w:rsid w:val="004D499C"/>
    <w:rsid w:val="004D56B2"/>
    <w:rsid w:val="004D5A4C"/>
    <w:rsid w:val="004E3C52"/>
    <w:rsid w:val="004E68FD"/>
    <w:rsid w:val="004F00C6"/>
    <w:rsid w:val="004F17C2"/>
    <w:rsid w:val="004F1E9E"/>
    <w:rsid w:val="004F305A"/>
    <w:rsid w:val="004F4B60"/>
    <w:rsid w:val="004F5042"/>
    <w:rsid w:val="004F5417"/>
    <w:rsid w:val="004F5494"/>
    <w:rsid w:val="004F5869"/>
    <w:rsid w:val="004F5D76"/>
    <w:rsid w:val="004F602A"/>
    <w:rsid w:val="004F71C9"/>
    <w:rsid w:val="005017F2"/>
    <w:rsid w:val="00501C1B"/>
    <w:rsid w:val="00501FCB"/>
    <w:rsid w:val="0050250E"/>
    <w:rsid w:val="00504769"/>
    <w:rsid w:val="005070D6"/>
    <w:rsid w:val="0051183F"/>
    <w:rsid w:val="00512164"/>
    <w:rsid w:val="00512EAB"/>
    <w:rsid w:val="00515A5E"/>
    <w:rsid w:val="00517C23"/>
    <w:rsid w:val="00520120"/>
    <w:rsid w:val="00520297"/>
    <w:rsid w:val="0052081B"/>
    <w:rsid w:val="00522E02"/>
    <w:rsid w:val="00524DE4"/>
    <w:rsid w:val="00526447"/>
    <w:rsid w:val="00531FE8"/>
    <w:rsid w:val="00533818"/>
    <w:rsid w:val="005338F9"/>
    <w:rsid w:val="00533FF6"/>
    <w:rsid w:val="00535862"/>
    <w:rsid w:val="00535A83"/>
    <w:rsid w:val="00536695"/>
    <w:rsid w:val="0053726F"/>
    <w:rsid w:val="005372FB"/>
    <w:rsid w:val="00540183"/>
    <w:rsid w:val="005407CD"/>
    <w:rsid w:val="0054281C"/>
    <w:rsid w:val="00542B6F"/>
    <w:rsid w:val="00543CC6"/>
    <w:rsid w:val="0054454F"/>
    <w:rsid w:val="00544581"/>
    <w:rsid w:val="00546F39"/>
    <w:rsid w:val="00547112"/>
    <w:rsid w:val="00551C2D"/>
    <w:rsid w:val="00551CC9"/>
    <w:rsid w:val="0055268D"/>
    <w:rsid w:val="005535AB"/>
    <w:rsid w:val="0055501B"/>
    <w:rsid w:val="00556ABF"/>
    <w:rsid w:val="00557A44"/>
    <w:rsid w:val="00560D96"/>
    <w:rsid w:val="005611E5"/>
    <w:rsid w:val="00563B29"/>
    <w:rsid w:val="00563FE9"/>
    <w:rsid w:val="00564BAC"/>
    <w:rsid w:val="0057264A"/>
    <w:rsid w:val="005745A4"/>
    <w:rsid w:val="00575A52"/>
    <w:rsid w:val="00576ACD"/>
    <w:rsid w:val="00576BE4"/>
    <w:rsid w:val="0058181D"/>
    <w:rsid w:val="00583AD7"/>
    <w:rsid w:val="0058474E"/>
    <w:rsid w:val="00584923"/>
    <w:rsid w:val="005870C7"/>
    <w:rsid w:val="0058786A"/>
    <w:rsid w:val="00587D0C"/>
    <w:rsid w:val="00591192"/>
    <w:rsid w:val="00592456"/>
    <w:rsid w:val="0059342F"/>
    <w:rsid w:val="0059381C"/>
    <w:rsid w:val="0059402D"/>
    <w:rsid w:val="00594A52"/>
    <w:rsid w:val="00595B13"/>
    <w:rsid w:val="00595B43"/>
    <w:rsid w:val="00596ABE"/>
    <w:rsid w:val="00596EAD"/>
    <w:rsid w:val="005976F2"/>
    <w:rsid w:val="005A12BE"/>
    <w:rsid w:val="005A1343"/>
    <w:rsid w:val="005A1AA0"/>
    <w:rsid w:val="005A1FE2"/>
    <w:rsid w:val="005A29F1"/>
    <w:rsid w:val="005A398D"/>
    <w:rsid w:val="005A400A"/>
    <w:rsid w:val="005A4583"/>
    <w:rsid w:val="005A6827"/>
    <w:rsid w:val="005A6E36"/>
    <w:rsid w:val="005B1295"/>
    <w:rsid w:val="005B172D"/>
    <w:rsid w:val="005B1DFB"/>
    <w:rsid w:val="005B42AD"/>
    <w:rsid w:val="005B522F"/>
    <w:rsid w:val="005B77EF"/>
    <w:rsid w:val="005B7B6A"/>
    <w:rsid w:val="005B7D8B"/>
    <w:rsid w:val="005C0A20"/>
    <w:rsid w:val="005C1E9E"/>
    <w:rsid w:val="005C3A1E"/>
    <w:rsid w:val="005C4970"/>
    <w:rsid w:val="005C4BBB"/>
    <w:rsid w:val="005C612C"/>
    <w:rsid w:val="005C6677"/>
    <w:rsid w:val="005C67E6"/>
    <w:rsid w:val="005C7252"/>
    <w:rsid w:val="005C79AA"/>
    <w:rsid w:val="005D05C4"/>
    <w:rsid w:val="005D0C9E"/>
    <w:rsid w:val="005D2C12"/>
    <w:rsid w:val="005D31FD"/>
    <w:rsid w:val="005D3AB8"/>
    <w:rsid w:val="005D46C8"/>
    <w:rsid w:val="005D5EBB"/>
    <w:rsid w:val="005D645A"/>
    <w:rsid w:val="005D6995"/>
    <w:rsid w:val="005D6A92"/>
    <w:rsid w:val="005D6B42"/>
    <w:rsid w:val="005D6D76"/>
    <w:rsid w:val="005D7523"/>
    <w:rsid w:val="005E0A71"/>
    <w:rsid w:val="005E1359"/>
    <w:rsid w:val="005E1412"/>
    <w:rsid w:val="005E280C"/>
    <w:rsid w:val="005E2A08"/>
    <w:rsid w:val="005E3B7B"/>
    <w:rsid w:val="005E4E51"/>
    <w:rsid w:val="005E5224"/>
    <w:rsid w:val="005E659E"/>
    <w:rsid w:val="005E71B6"/>
    <w:rsid w:val="005E727B"/>
    <w:rsid w:val="005E7EBD"/>
    <w:rsid w:val="005F0224"/>
    <w:rsid w:val="005F06DB"/>
    <w:rsid w:val="005F0DC6"/>
    <w:rsid w:val="005F1024"/>
    <w:rsid w:val="005F221F"/>
    <w:rsid w:val="005F2B9B"/>
    <w:rsid w:val="005F3491"/>
    <w:rsid w:val="005F40F9"/>
    <w:rsid w:val="005F51FD"/>
    <w:rsid w:val="005F5B7B"/>
    <w:rsid w:val="005F5EAA"/>
    <w:rsid w:val="005F66E7"/>
    <w:rsid w:val="005F759A"/>
    <w:rsid w:val="005F7B92"/>
    <w:rsid w:val="0060111B"/>
    <w:rsid w:val="006014F7"/>
    <w:rsid w:val="0060151C"/>
    <w:rsid w:val="00602462"/>
    <w:rsid w:val="00603094"/>
    <w:rsid w:val="00603236"/>
    <w:rsid w:val="0060332C"/>
    <w:rsid w:val="006034FE"/>
    <w:rsid w:val="00603B58"/>
    <w:rsid w:val="00603F86"/>
    <w:rsid w:val="006041EC"/>
    <w:rsid w:val="00604317"/>
    <w:rsid w:val="00605358"/>
    <w:rsid w:val="00605DFF"/>
    <w:rsid w:val="0060659B"/>
    <w:rsid w:val="006066ED"/>
    <w:rsid w:val="006078F7"/>
    <w:rsid w:val="0061044C"/>
    <w:rsid w:val="00610B80"/>
    <w:rsid w:val="006114E4"/>
    <w:rsid w:val="00612379"/>
    <w:rsid w:val="0061322D"/>
    <w:rsid w:val="0061344E"/>
    <w:rsid w:val="006135A0"/>
    <w:rsid w:val="006153B6"/>
    <w:rsid w:val="0061555F"/>
    <w:rsid w:val="00615FF3"/>
    <w:rsid w:val="00616A61"/>
    <w:rsid w:val="00617423"/>
    <w:rsid w:val="0062050D"/>
    <w:rsid w:val="00623AB2"/>
    <w:rsid w:val="00623FF9"/>
    <w:rsid w:val="006267DA"/>
    <w:rsid w:val="006268BB"/>
    <w:rsid w:val="00626D7B"/>
    <w:rsid w:val="00626FC6"/>
    <w:rsid w:val="00632782"/>
    <w:rsid w:val="006363EB"/>
    <w:rsid w:val="0063681F"/>
    <w:rsid w:val="00636CA6"/>
    <w:rsid w:val="00637A28"/>
    <w:rsid w:val="00637D83"/>
    <w:rsid w:val="00641200"/>
    <w:rsid w:val="00641335"/>
    <w:rsid w:val="00641735"/>
    <w:rsid w:val="006424BB"/>
    <w:rsid w:val="00645CA8"/>
    <w:rsid w:val="00645DCB"/>
    <w:rsid w:val="006507BA"/>
    <w:rsid w:val="006517A6"/>
    <w:rsid w:val="006519FD"/>
    <w:rsid w:val="006523F8"/>
    <w:rsid w:val="00652458"/>
    <w:rsid w:val="00652C18"/>
    <w:rsid w:val="006548CB"/>
    <w:rsid w:val="00654C37"/>
    <w:rsid w:val="006569C0"/>
    <w:rsid w:val="006602B0"/>
    <w:rsid w:val="00660365"/>
    <w:rsid w:val="006606EB"/>
    <w:rsid w:val="0066090C"/>
    <w:rsid w:val="00660D05"/>
    <w:rsid w:val="0066321B"/>
    <w:rsid w:val="00664983"/>
    <w:rsid w:val="006655D3"/>
    <w:rsid w:val="00665A97"/>
    <w:rsid w:val="00666306"/>
    <w:rsid w:val="00667404"/>
    <w:rsid w:val="00667A24"/>
    <w:rsid w:val="00667F10"/>
    <w:rsid w:val="006710EA"/>
    <w:rsid w:val="0067240B"/>
    <w:rsid w:val="006735C8"/>
    <w:rsid w:val="00674F8D"/>
    <w:rsid w:val="00677A58"/>
    <w:rsid w:val="0068064C"/>
    <w:rsid w:val="00681D85"/>
    <w:rsid w:val="006822BA"/>
    <w:rsid w:val="006835B6"/>
    <w:rsid w:val="00684A35"/>
    <w:rsid w:val="00686060"/>
    <w:rsid w:val="00687EB4"/>
    <w:rsid w:val="00690FED"/>
    <w:rsid w:val="0069594D"/>
    <w:rsid w:val="006959CD"/>
    <w:rsid w:val="00695C56"/>
    <w:rsid w:val="006A0421"/>
    <w:rsid w:val="006A1EF7"/>
    <w:rsid w:val="006A2185"/>
    <w:rsid w:val="006A2B98"/>
    <w:rsid w:val="006A2FF3"/>
    <w:rsid w:val="006A3293"/>
    <w:rsid w:val="006A47A3"/>
    <w:rsid w:val="006A5974"/>
    <w:rsid w:val="006A5997"/>
    <w:rsid w:val="006A5CDE"/>
    <w:rsid w:val="006A644A"/>
    <w:rsid w:val="006B11A5"/>
    <w:rsid w:val="006B17D2"/>
    <w:rsid w:val="006B19BD"/>
    <w:rsid w:val="006B2609"/>
    <w:rsid w:val="006B4463"/>
    <w:rsid w:val="006B5B62"/>
    <w:rsid w:val="006B602F"/>
    <w:rsid w:val="006B6560"/>
    <w:rsid w:val="006C0171"/>
    <w:rsid w:val="006C02DD"/>
    <w:rsid w:val="006C1E86"/>
    <w:rsid w:val="006C224E"/>
    <w:rsid w:val="006C354A"/>
    <w:rsid w:val="006C3D6F"/>
    <w:rsid w:val="006C42DC"/>
    <w:rsid w:val="006C4AAB"/>
    <w:rsid w:val="006C54AF"/>
    <w:rsid w:val="006C632B"/>
    <w:rsid w:val="006C7B75"/>
    <w:rsid w:val="006D1BEC"/>
    <w:rsid w:val="006D2224"/>
    <w:rsid w:val="006D30A8"/>
    <w:rsid w:val="006D36E5"/>
    <w:rsid w:val="006D3788"/>
    <w:rsid w:val="006D603D"/>
    <w:rsid w:val="006D6CAD"/>
    <w:rsid w:val="006D780A"/>
    <w:rsid w:val="006D7DBC"/>
    <w:rsid w:val="006E1AA1"/>
    <w:rsid w:val="006E1DBF"/>
    <w:rsid w:val="006E3290"/>
    <w:rsid w:val="006E3995"/>
    <w:rsid w:val="006E4610"/>
    <w:rsid w:val="006E4A38"/>
    <w:rsid w:val="006E4C4A"/>
    <w:rsid w:val="006E4CB2"/>
    <w:rsid w:val="006E5E59"/>
    <w:rsid w:val="006E70B9"/>
    <w:rsid w:val="006E7745"/>
    <w:rsid w:val="006E7AA6"/>
    <w:rsid w:val="006F07F7"/>
    <w:rsid w:val="006F1031"/>
    <w:rsid w:val="006F2BA3"/>
    <w:rsid w:val="006F49FE"/>
    <w:rsid w:val="006F4A26"/>
    <w:rsid w:val="006F4A80"/>
    <w:rsid w:val="006F56C0"/>
    <w:rsid w:val="006F726E"/>
    <w:rsid w:val="006F75BE"/>
    <w:rsid w:val="00700927"/>
    <w:rsid w:val="00702BB6"/>
    <w:rsid w:val="007036A9"/>
    <w:rsid w:val="00704013"/>
    <w:rsid w:val="007047EC"/>
    <w:rsid w:val="00706113"/>
    <w:rsid w:val="00710652"/>
    <w:rsid w:val="00710944"/>
    <w:rsid w:val="00710E7D"/>
    <w:rsid w:val="00711B61"/>
    <w:rsid w:val="0071271E"/>
    <w:rsid w:val="0071279F"/>
    <w:rsid w:val="007128A5"/>
    <w:rsid w:val="00712DC9"/>
    <w:rsid w:val="00714DEE"/>
    <w:rsid w:val="0071573E"/>
    <w:rsid w:val="00716BA5"/>
    <w:rsid w:val="00717551"/>
    <w:rsid w:val="0072072F"/>
    <w:rsid w:val="007229EE"/>
    <w:rsid w:val="00723AB8"/>
    <w:rsid w:val="0072487A"/>
    <w:rsid w:val="007248ED"/>
    <w:rsid w:val="00724B26"/>
    <w:rsid w:val="00725901"/>
    <w:rsid w:val="00730645"/>
    <w:rsid w:val="007308AE"/>
    <w:rsid w:val="007309AF"/>
    <w:rsid w:val="0073159D"/>
    <w:rsid w:val="00732DEC"/>
    <w:rsid w:val="00732FA1"/>
    <w:rsid w:val="0073309D"/>
    <w:rsid w:val="007332B4"/>
    <w:rsid w:val="00733550"/>
    <w:rsid w:val="007335B3"/>
    <w:rsid w:val="007347B1"/>
    <w:rsid w:val="00735BD5"/>
    <w:rsid w:val="0074161F"/>
    <w:rsid w:val="0074297F"/>
    <w:rsid w:val="007446B7"/>
    <w:rsid w:val="007451EC"/>
    <w:rsid w:val="00745DB4"/>
    <w:rsid w:val="00745F16"/>
    <w:rsid w:val="00751613"/>
    <w:rsid w:val="00751BC6"/>
    <w:rsid w:val="00751DC3"/>
    <w:rsid w:val="00751F36"/>
    <w:rsid w:val="0075286B"/>
    <w:rsid w:val="00753B72"/>
    <w:rsid w:val="007556F6"/>
    <w:rsid w:val="007609FC"/>
    <w:rsid w:val="00760EEF"/>
    <w:rsid w:val="00760F1C"/>
    <w:rsid w:val="00761EFB"/>
    <w:rsid w:val="00762CB4"/>
    <w:rsid w:val="007642EB"/>
    <w:rsid w:val="00764B12"/>
    <w:rsid w:val="00765581"/>
    <w:rsid w:val="007704C6"/>
    <w:rsid w:val="007706DC"/>
    <w:rsid w:val="007716C5"/>
    <w:rsid w:val="007716C6"/>
    <w:rsid w:val="00772D6E"/>
    <w:rsid w:val="00777EE5"/>
    <w:rsid w:val="00781895"/>
    <w:rsid w:val="00783100"/>
    <w:rsid w:val="00784836"/>
    <w:rsid w:val="00784BC7"/>
    <w:rsid w:val="00784DF3"/>
    <w:rsid w:val="0079023E"/>
    <w:rsid w:val="007904E8"/>
    <w:rsid w:val="00790500"/>
    <w:rsid w:val="00790BFE"/>
    <w:rsid w:val="007925DE"/>
    <w:rsid w:val="007926B0"/>
    <w:rsid w:val="0079316B"/>
    <w:rsid w:val="0079544A"/>
    <w:rsid w:val="00795535"/>
    <w:rsid w:val="007964F7"/>
    <w:rsid w:val="00796E98"/>
    <w:rsid w:val="007971F2"/>
    <w:rsid w:val="007A0105"/>
    <w:rsid w:val="007A2854"/>
    <w:rsid w:val="007A6A48"/>
    <w:rsid w:val="007A6C0B"/>
    <w:rsid w:val="007A7485"/>
    <w:rsid w:val="007A7E31"/>
    <w:rsid w:val="007B052A"/>
    <w:rsid w:val="007B2C62"/>
    <w:rsid w:val="007B2F91"/>
    <w:rsid w:val="007B31DD"/>
    <w:rsid w:val="007B443E"/>
    <w:rsid w:val="007B7108"/>
    <w:rsid w:val="007B7EB9"/>
    <w:rsid w:val="007C0E44"/>
    <w:rsid w:val="007C1D92"/>
    <w:rsid w:val="007C3CAE"/>
    <w:rsid w:val="007C433B"/>
    <w:rsid w:val="007C494B"/>
    <w:rsid w:val="007C4A37"/>
    <w:rsid w:val="007C4CB9"/>
    <w:rsid w:val="007D080D"/>
    <w:rsid w:val="007D0B9D"/>
    <w:rsid w:val="007D199B"/>
    <w:rsid w:val="007D19B0"/>
    <w:rsid w:val="007D1BE4"/>
    <w:rsid w:val="007D1ECB"/>
    <w:rsid w:val="007D1FF7"/>
    <w:rsid w:val="007D4635"/>
    <w:rsid w:val="007E1F32"/>
    <w:rsid w:val="007E35FA"/>
    <w:rsid w:val="007E7D56"/>
    <w:rsid w:val="007F0AD0"/>
    <w:rsid w:val="007F0E66"/>
    <w:rsid w:val="007F498F"/>
    <w:rsid w:val="007F4F42"/>
    <w:rsid w:val="007F5A07"/>
    <w:rsid w:val="008005FC"/>
    <w:rsid w:val="00800FCE"/>
    <w:rsid w:val="0080132A"/>
    <w:rsid w:val="0080249E"/>
    <w:rsid w:val="0080359D"/>
    <w:rsid w:val="00804D19"/>
    <w:rsid w:val="00806649"/>
    <w:rsid w:val="0080679D"/>
    <w:rsid w:val="00806CE4"/>
    <w:rsid w:val="00806DDA"/>
    <w:rsid w:val="00807696"/>
    <w:rsid w:val="008108B0"/>
    <w:rsid w:val="00811A29"/>
    <w:rsid w:val="00811B20"/>
    <w:rsid w:val="00811C4B"/>
    <w:rsid w:val="00811FDF"/>
    <w:rsid w:val="008120CC"/>
    <w:rsid w:val="008125E7"/>
    <w:rsid w:val="00813316"/>
    <w:rsid w:val="008151D1"/>
    <w:rsid w:val="00816032"/>
    <w:rsid w:val="00820978"/>
    <w:rsid w:val="008211B5"/>
    <w:rsid w:val="0082135F"/>
    <w:rsid w:val="00821B3F"/>
    <w:rsid w:val="008221D2"/>
    <w:rsid w:val="0082240F"/>
    <w:rsid w:val="0082296E"/>
    <w:rsid w:val="00823209"/>
    <w:rsid w:val="00823EFE"/>
    <w:rsid w:val="00824099"/>
    <w:rsid w:val="00824CA3"/>
    <w:rsid w:val="008266F9"/>
    <w:rsid w:val="00830182"/>
    <w:rsid w:val="00834167"/>
    <w:rsid w:val="008343F8"/>
    <w:rsid w:val="00835946"/>
    <w:rsid w:val="00836CFA"/>
    <w:rsid w:val="00837A5E"/>
    <w:rsid w:val="00840571"/>
    <w:rsid w:val="00841093"/>
    <w:rsid w:val="00842D52"/>
    <w:rsid w:val="00844DC1"/>
    <w:rsid w:val="00845D92"/>
    <w:rsid w:val="00846D7C"/>
    <w:rsid w:val="00846E2C"/>
    <w:rsid w:val="0085073B"/>
    <w:rsid w:val="00851447"/>
    <w:rsid w:val="00851E8D"/>
    <w:rsid w:val="008548B7"/>
    <w:rsid w:val="00854986"/>
    <w:rsid w:val="00855138"/>
    <w:rsid w:val="00856E26"/>
    <w:rsid w:val="00860087"/>
    <w:rsid w:val="0086127B"/>
    <w:rsid w:val="00861CD5"/>
    <w:rsid w:val="00865A8D"/>
    <w:rsid w:val="00865B2E"/>
    <w:rsid w:val="00865CAA"/>
    <w:rsid w:val="008660A0"/>
    <w:rsid w:val="00867AC1"/>
    <w:rsid w:val="008709CF"/>
    <w:rsid w:val="008727C1"/>
    <w:rsid w:val="008729FB"/>
    <w:rsid w:val="00873AAA"/>
    <w:rsid w:val="008745D5"/>
    <w:rsid w:val="00874A60"/>
    <w:rsid w:val="008750E1"/>
    <w:rsid w:val="008754B4"/>
    <w:rsid w:val="00877E79"/>
    <w:rsid w:val="00884461"/>
    <w:rsid w:val="0088462D"/>
    <w:rsid w:val="00884C73"/>
    <w:rsid w:val="008858F3"/>
    <w:rsid w:val="00885DCE"/>
    <w:rsid w:val="008866D2"/>
    <w:rsid w:val="008866F7"/>
    <w:rsid w:val="00887D69"/>
    <w:rsid w:val="00890A67"/>
    <w:rsid w:val="00890DF8"/>
    <w:rsid w:val="00893355"/>
    <w:rsid w:val="00895BFC"/>
    <w:rsid w:val="008961C8"/>
    <w:rsid w:val="008A072E"/>
    <w:rsid w:val="008A08F9"/>
    <w:rsid w:val="008A4DD8"/>
    <w:rsid w:val="008A4EEF"/>
    <w:rsid w:val="008A71CA"/>
    <w:rsid w:val="008A743F"/>
    <w:rsid w:val="008B15E4"/>
    <w:rsid w:val="008B2273"/>
    <w:rsid w:val="008B3277"/>
    <w:rsid w:val="008B3846"/>
    <w:rsid w:val="008B545B"/>
    <w:rsid w:val="008C04B2"/>
    <w:rsid w:val="008C0970"/>
    <w:rsid w:val="008C2F1A"/>
    <w:rsid w:val="008C3320"/>
    <w:rsid w:val="008C3848"/>
    <w:rsid w:val="008C3EE8"/>
    <w:rsid w:val="008C440E"/>
    <w:rsid w:val="008C574E"/>
    <w:rsid w:val="008C6967"/>
    <w:rsid w:val="008C6E8A"/>
    <w:rsid w:val="008C6EF6"/>
    <w:rsid w:val="008C6F83"/>
    <w:rsid w:val="008D084A"/>
    <w:rsid w:val="008D0874"/>
    <w:rsid w:val="008D0BC5"/>
    <w:rsid w:val="008D1EB7"/>
    <w:rsid w:val="008D2CF7"/>
    <w:rsid w:val="008D42A9"/>
    <w:rsid w:val="008D4417"/>
    <w:rsid w:val="008D5067"/>
    <w:rsid w:val="008D54C1"/>
    <w:rsid w:val="008D6CF4"/>
    <w:rsid w:val="008D70C5"/>
    <w:rsid w:val="008E132D"/>
    <w:rsid w:val="008E138F"/>
    <w:rsid w:val="008E2702"/>
    <w:rsid w:val="008E2F6E"/>
    <w:rsid w:val="008E3EA9"/>
    <w:rsid w:val="008E5720"/>
    <w:rsid w:val="008E7157"/>
    <w:rsid w:val="008F02A2"/>
    <w:rsid w:val="008F24A7"/>
    <w:rsid w:val="008F2E2F"/>
    <w:rsid w:val="008F32E9"/>
    <w:rsid w:val="008F5C97"/>
    <w:rsid w:val="008F5E17"/>
    <w:rsid w:val="008F6535"/>
    <w:rsid w:val="00900C26"/>
    <w:rsid w:val="0090197F"/>
    <w:rsid w:val="00903264"/>
    <w:rsid w:val="009039A5"/>
    <w:rsid w:val="00904986"/>
    <w:rsid w:val="00906084"/>
    <w:rsid w:val="009065F8"/>
    <w:rsid w:val="00906DDC"/>
    <w:rsid w:val="009070F5"/>
    <w:rsid w:val="00910721"/>
    <w:rsid w:val="00911540"/>
    <w:rsid w:val="009158F3"/>
    <w:rsid w:val="0091630D"/>
    <w:rsid w:val="00917D87"/>
    <w:rsid w:val="00921830"/>
    <w:rsid w:val="009239C4"/>
    <w:rsid w:val="00926D4A"/>
    <w:rsid w:val="0092746E"/>
    <w:rsid w:val="00930290"/>
    <w:rsid w:val="00933050"/>
    <w:rsid w:val="00933990"/>
    <w:rsid w:val="00933F29"/>
    <w:rsid w:val="00934003"/>
    <w:rsid w:val="00934E09"/>
    <w:rsid w:val="00935F67"/>
    <w:rsid w:val="00936253"/>
    <w:rsid w:val="00936CD2"/>
    <w:rsid w:val="0093752D"/>
    <w:rsid w:val="00937D18"/>
    <w:rsid w:val="00940D1F"/>
    <w:rsid w:val="00940D46"/>
    <w:rsid w:val="0094442C"/>
    <w:rsid w:val="009447AC"/>
    <w:rsid w:val="00944C8F"/>
    <w:rsid w:val="009456D4"/>
    <w:rsid w:val="00946011"/>
    <w:rsid w:val="009461DF"/>
    <w:rsid w:val="009461EC"/>
    <w:rsid w:val="009470D4"/>
    <w:rsid w:val="00947487"/>
    <w:rsid w:val="00951D95"/>
    <w:rsid w:val="00951DE6"/>
    <w:rsid w:val="009523C9"/>
    <w:rsid w:val="00952DD4"/>
    <w:rsid w:val="00953486"/>
    <w:rsid w:val="0095448B"/>
    <w:rsid w:val="00955D26"/>
    <w:rsid w:val="0095652B"/>
    <w:rsid w:val="00957024"/>
    <w:rsid w:val="00963672"/>
    <w:rsid w:val="00963E04"/>
    <w:rsid w:val="00964627"/>
    <w:rsid w:val="00965197"/>
    <w:rsid w:val="00965AE7"/>
    <w:rsid w:val="00965CE8"/>
    <w:rsid w:val="00970999"/>
    <w:rsid w:val="00970FED"/>
    <w:rsid w:val="0097124D"/>
    <w:rsid w:val="00971AA8"/>
    <w:rsid w:val="00971D6B"/>
    <w:rsid w:val="0097237F"/>
    <w:rsid w:val="009728EC"/>
    <w:rsid w:val="00972E06"/>
    <w:rsid w:val="00973A1B"/>
    <w:rsid w:val="00974F61"/>
    <w:rsid w:val="00977B6A"/>
    <w:rsid w:val="009800DC"/>
    <w:rsid w:val="009843DF"/>
    <w:rsid w:val="0098522D"/>
    <w:rsid w:val="00985700"/>
    <w:rsid w:val="00987587"/>
    <w:rsid w:val="00987813"/>
    <w:rsid w:val="0099125A"/>
    <w:rsid w:val="0099185F"/>
    <w:rsid w:val="0099210E"/>
    <w:rsid w:val="0099213A"/>
    <w:rsid w:val="009928A0"/>
    <w:rsid w:val="00992D82"/>
    <w:rsid w:val="00995204"/>
    <w:rsid w:val="00995356"/>
    <w:rsid w:val="00995532"/>
    <w:rsid w:val="00996061"/>
    <w:rsid w:val="00996244"/>
    <w:rsid w:val="00997029"/>
    <w:rsid w:val="00997236"/>
    <w:rsid w:val="009972B8"/>
    <w:rsid w:val="009A1AA5"/>
    <w:rsid w:val="009A26D7"/>
    <w:rsid w:val="009A2A74"/>
    <w:rsid w:val="009A2FAB"/>
    <w:rsid w:val="009A4210"/>
    <w:rsid w:val="009A4CD8"/>
    <w:rsid w:val="009A6692"/>
    <w:rsid w:val="009A6907"/>
    <w:rsid w:val="009A6B28"/>
    <w:rsid w:val="009A7339"/>
    <w:rsid w:val="009A7611"/>
    <w:rsid w:val="009B07C4"/>
    <w:rsid w:val="009B2091"/>
    <w:rsid w:val="009B382E"/>
    <w:rsid w:val="009B440E"/>
    <w:rsid w:val="009B4548"/>
    <w:rsid w:val="009B4962"/>
    <w:rsid w:val="009B5881"/>
    <w:rsid w:val="009B5990"/>
    <w:rsid w:val="009B5BD3"/>
    <w:rsid w:val="009B78B3"/>
    <w:rsid w:val="009B7D32"/>
    <w:rsid w:val="009C05C9"/>
    <w:rsid w:val="009C0D20"/>
    <w:rsid w:val="009C0FD0"/>
    <w:rsid w:val="009C342A"/>
    <w:rsid w:val="009C4755"/>
    <w:rsid w:val="009C5F9D"/>
    <w:rsid w:val="009D03D7"/>
    <w:rsid w:val="009D06BD"/>
    <w:rsid w:val="009D3CFE"/>
    <w:rsid w:val="009D4B57"/>
    <w:rsid w:val="009D50F3"/>
    <w:rsid w:val="009D538F"/>
    <w:rsid w:val="009D645C"/>
    <w:rsid w:val="009D690D"/>
    <w:rsid w:val="009D7CB8"/>
    <w:rsid w:val="009E04E5"/>
    <w:rsid w:val="009E106D"/>
    <w:rsid w:val="009E15F7"/>
    <w:rsid w:val="009E2118"/>
    <w:rsid w:val="009E220F"/>
    <w:rsid w:val="009E2317"/>
    <w:rsid w:val="009E2444"/>
    <w:rsid w:val="009E2FCF"/>
    <w:rsid w:val="009E3427"/>
    <w:rsid w:val="009E540D"/>
    <w:rsid w:val="009E5C29"/>
    <w:rsid w:val="009E60FF"/>
    <w:rsid w:val="009E65B6"/>
    <w:rsid w:val="009E6D9C"/>
    <w:rsid w:val="009F1997"/>
    <w:rsid w:val="009F1BA6"/>
    <w:rsid w:val="009F20EF"/>
    <w:rsid w:val="009F21EA"/>
    <w:rsid w:val="009F350E"/>
    <w:rsid w:val="009F458D"/>
    <w:rsid w:val="009F5B65"/>
    <w:rsid w:val="009F61BA"/>
    <w:rsid w:val="009F6B7E"/>
    <w:rsid w:val="009F77CF"/>
    <w:rsid w:val="00A00AF5"/>
    <w:rsid w:val="00A00C6A"/>
    <w:rsid w:val="00A04863"/>
    <w:rsid w:val="00A06DBF"/>
    <w:rsid w:val="00A07853"/>
    <w:rsid w:val="00A12DDE"/>
    <w:rsid w:val="00A1366A"/>
    <w:rsid w:val="00A147A0"/>
    <w:rsid w:val="00A17EE3"/>
    <w:rsid w:val="00A204C5"/>
    <w:rsid w:val="00A22995"/>
    <w:rsid w:val="00A24C10"/>
    <w:rsid w:val="00A25D1F"/>
    <w:rsid w:val="00A270FE"/>
    <w:rsid w:val="00A315DA"/>
    <w:rsid w:val="00A3224A"/>
    <w:rsid w:val="00A32867"/>
    <w:rsid w:val="00A332D4"/>
    <w:rsid w:val="00A3365A"/>
    <w:rsid w:val="00A3594F"/>
    <w:rsid w:val="00A35B7A"/>
    <w:rsid w:val="00A362FE"/>
    <w:rsid w:val="00A37F0E"/>
    <w:rsid w:val="00A406F8"/>
    <w:rsid w:val="00A42AC3"/>
    <w:rsid w:val="00A430CF"/>
    <w:rsid w:val="00A4400A"/>
    <w:rsid w:val="00A45738"/>
    <w:rsid w:val="00A45AC5"/>
    <w:rsid w:val="00A46296"/>
    <w:rsid w:val="00A47BF3"/>
    <w:rsid w:val="00A47D11"/>
    <w:rsid w:val="00A47FD5"/>
    <w:rsid w:val="00A51A13"/>
    <w:rsid w:val="00A52FF7"/>
    <w:rsid w:val="00A53A67"/>
    <w:rsid w:val="00A53DF9"/>
    <w:rsid w:val="00A54309"/>
    <w:rsid w:val="00A54637"/>
    <w:rsid w:val="00A615EE"/>
    <w:rsid w:val="00A61C65"/>
    <w:rsid w:val="00A6252A"/>
    <w:rsid w:val="00A62A1E"/>
    <w:rsid w:val="00A653A1"/>
    <w:rsid w:val="00A67013"/>
    <w:rsid w:val="00A67F2D"/>
    <w:rsid w:val="00A700F1"/>
    <w:rsid w:val="00A72967"/>
    <w:rsid w:val="00A72A9E"/>
    <w:rsid w:val="00A73E07"/>
    <w:rsid w:val="00A7529B"/>
    <w:rsid w:val="00A75669"/>
    <w:rsid w:val="00A75703"/>
    <w:rsid w:val="00A76CFB"/>
    <w:rsid w:val="00A80063"/>
    <w:rsid w:val="00A809C6"/>
    <w:rsid w:val="00A824AF"/>
    <w:rsid w:val="00A82A87"/>
    <w:rsid w:val="00A8306B"/>
    <w:rsid w:val="00A843EA"/>
    <w:rsid w:val="00A86A7D"/>
    <w:rsid w:val="00A9097F"/>
    <w:rsid w:val="00A922A5"/>
    <w:rsid w:val="00A92A42"/>
    <w:rsid w:val="00A94190"/>
    <w:rsid w:val="00AA0C66"/>
    <w:rsid w:val="00AA13BC"/>
    <w:rsid w:val="00AA1A3D"/>
    <w:rsid w:val="00AA6DD4"/>
    <w:rsid w:val="00AA74F5"/>
    <w:rsid w:val="00AA79BF"/>
    <w:rsid w:val="00AB09F6"/>
    <w:rsid w:val="00AB215B"/>
    <w:rsid w:val="00AB286B"/>
    <w:rsid w:val="00AB2B93"/>
    <w:rsid w:val="00AB2FDD"/>
    <w:rsid w:val="00AB3B0F"/>
    <w:rsid w:val="00AB530F"/>
    <w:rsid w:val="00AB5384"/>
    <w:rsid w:val="00AB6049"/>
    <w:rsid w:val="00AB741C"/>
    <w:rsid w:val="00AB7E5B"/>
    <w:rsid w:val="00AC0347"/>
    <w:rsid w:val="00AC0753"/>
    <w:rsid w:val="00AC11BF"/>
    <w:rsid w:val="00AC15E6"/>
    <w:rsid w:val="00AC2414"/>
    <w:rsid w:val="00AC2883"/>
    <w:rsid w:val="00AC3638"/>
    <w:rsid w:val="00AC3CB0"/>
    <w:rsid w:val="00AC4C67"/>
    <w:rsid w:val="00AD14FD"/>
    <w:rsid w:val="00AD1D18"/>
    <w:rsid w:val="00AD3493"/>
    <w:rsid w:val="00AD49EE"/>
    <w:rsid w:val="00AD657D"/>
    <w:rsid w:val="00AD68CE"/>
    <w:rsid w:val="00AD6F6A"/>
    <w:rsid w:val="00AD74C0"/>
    <w:rsid w:val="00AE0EF1"/>
    <w:rsid w:val="00AE2937"/>
    <w:rsid w:val="00AE2BD7"/>
    <w:rsid w:val="00AE3070"/>
    <w:rsid w:val="00AE6565"/>
    <w:rsid w:val="00AE7E22"/>
    <w:rsid w:val="00AF0726"/>
    <w:rsid w:val="00AF09F8"/>
    <w:rsid w:val="00AF1D0F"/>
    <w:rsid w:val="00AF35BF"/>
    <w:rsid w:val="00AF5213"/>
    <w:rsid w:val="00AF5B1B"/>
    <w:rsid w:val="00B01557"/>
    <w:rsid w:val="00B026C1"/>
    <w:rsid w:val="00B02A67"/>
    <w:rsid w:val="00B02BD5"/>
    <w:rsid w:val="00B03F1C"/>
    <w:rsid w:val="00B05031"/>
    <w:rsid w:val="00B05796"/>
    <w:rsid w:val="00B05A22"/>
    <w:rsid w:val="00B07301"/>
    <w:rsid w:val="00B07BF3"/>
    <w:rsid w:val="00B10E54"/>
    <w:rsid w:val="00B113AD"/>
    <w:rsid w:val="00B11C05"/>
    <w:rsid w:val="00B11C21"/>
    <w:rsid w:val="00B11F3E"/>
    <w:rsid w:val="00B12FD9"/>
    <w:rsid w:val="00B14BDD"/>
    <w:rsid w:val="00B150D3"/>
    <w:rsid w:val="00B15283"/>
    <w:rsid w:val="00B16D78"/>
    <w:rsid w:val="00B20C18"/>
    <w:rsid w:val="00B224DE"/>
    <w:rsid w:val="00B24B72"/>
    <w:rsid w:val="00B25BD2"/>
    <w:rsid w:val="00B25E9D"/>
    <w:rsid w:val="00B27048"/>
    <w:rsid w:val="00B305AF"/>
    <w:rsid w:val="00B308F3"/>
    <w:rsid w:val="00B30DA0"/>
    <w:rsid w:val="00B30E7D"/>
    <w:rsid w:val="00B30FC1"/>
    <w:rsid w:val="00B322BD"/>
    <w:rsid w:val="00B324D4"/>
    <w:rsid w:val="00B326CD"/>
    <w:rsid w:val="00B33275"/>
    <w:rsid w:val="00B35164"/>
    <w:rsid w:val="00B41C1C"/>
    <w:rsid w:val="00B42451"/>
    <w:rsid w:val="00B43118"/>
    <w:rsid w:val="00B437E4"/>
    <w:rsid w:val="00B445F0"/>
    <w:rsid w:val="00B44787"/>
    <w:rsid w:val="00B44F54"/>
    <w:rsid w:val="00B46575"/>
    <w:rsid w:val="00B46C59"/>
    <w:rsid w:val="00B508EF"/>
    <w:rsid w:val="00B51B4D"/>
    <w:rsid w:val="00B523AD"/>
    <w:rsid w:val="00B5379E"/>
    <w:rsid w:val="00B55175"/>
    <w:rsid w:val="00B55243"/>
    <w:rsid w:val="00B552FD"/>
    <w:rsid w:val="00B57720"/>
    <w:rsid w:val="00B61777"/>
    <w:rsid w:val="00B61C54"/>
    <w:rsid w:val="00B61CA9"/>
    <w:rsid w:val="00B63FDA"/>
    <w:rsid w:val="00B65547"/>
    <w:rsid w:val="00B661F6"/>
    <w:rsid w:val="00B66420"/>
    <w:rsid w:val="00B66930"/>
    <w:rsid w:val="00B67B2E"/>
    <w:rsid w:val="00B716F3"/>
    <w:rsid w:val="00B71F7F"/>
    <w:rsid w:val="00B723A4"/>
    <w:rsid w:val="00B72E13"/>
    <w:rsid w:val="00B737B9"/>
    <w:rsid w:val="00B74ECE"/>
    <w:rsid w:val="00B759E0"/>
    <w:rsid w:val="00B75E9B"/>
    <w:rsid w:val="00B7612D"/>
    <w:rsid w:val="00B76BE7"/>
    <w:rsid w:val="00B77147"/>
    <w:rsid w:val="00B77CDC"/>
    <w:rsid w:val="00B80C60"/>
    <w:rsid w:val="00B81162"/>
    <w:rsid w:val="00B81A80"/>
    <w:rsid w:val="00B821F0"/>
    <w:rsid w:val="00B82D5D"/>
    <w:rsid w:val="00B82E8E"/>
    <w:rsid w:val="00B83BD0"/>
    <w:rsid w:val="00B83CE4"/>
    <w:rsid w:val="00B84BBD"/>
    <w:rsid w:val="00B85F2F"/>
    <w:rsid w:val="00B86AD8"/>
    <w:rsid w:val="00B86F58"/>
    <w:rsid w:val="00B92694"/>
    <w:rsid w:val="00B966B9"/>
    <w:rsid w:val="00B96EF3"/>
    <w:rsid w:val="00BA067A"/>
    <w:rsid w:val="00BA0A02"/>
    <w:rsid w:val="00BA0E85"/>
    <w:rsid w:val="00BA219B"/>
    <w:rsid w:val="00BA43FB"/>
    <w:rsid w:val="00BB030C"/>
    <w:rsid w:val="00BB0714"/>
    <w:rsid w:val="00BB0DEA"/>
    <w:rsid w:val="00BB0E72"/>
    <w:rsid w:val="00BB12CB"/>
    <w:rsid w:val="00BB1BD1"/>
    <w:rsid w:val="00BB2405"/>
    <w:rsid w:val="00BB34C9"/>
    <w:rsid w:val="00BB3B84"/>
    <w:rsid w:val="00BB4707"/>
    <w:rsid w:val="00BC1234"/>
    <w:rsid w:val="00BC127D"/>
    <w:rsid w:val="00BC1FE6"/>
    <w:rsid w:val="00BC2370"/>
    <w:rsid w:val="00BC2539"/>
    <w:rsid w:val="00BC2894"/>
    <w:rsid w:val="00BC2FA1"/>
    <w:rsid w:val="00BC38CA"/>
    <w:rsid w:val="00BC6E60"/>
    <w:rsid w:val="00BD078C"/>
    <w:rsid w:val="00BD249E"/>
    <w:rsid w:val="00BD5A5C"/>
    <w:rsid w:val="00BD74B8"/>
    <w:rsid w:val="00BE0115"/>
    <w:rsid w:val="00BE0280"/>
    <w:rsid w:val="00BE11CE"/>
    <w:rsid w:val="00BE1305"/>
    <w:rsid w:val="00BE2E49"/>
    <w:rsid w:val="00BE3138"/>
    <w:rsid w:val="00BE505C"/>
    <w:rsid w:val="00BE593E"/>
    <w:rsid w:val="00BE723A"/>
    <w:rsid w:val="00BF06E2"/>
    <w:rsid w:val="00BF0FEF"/>
    <w:rsid w:val="00BF128B"/>
    <w:rsid w:val="00BF30D2"/>
    <w:rsid w:val="00BF58D4"/>
    <w:rsid w:val="00BF5AB6"/>
    <w:rsid w:val="00BF72CA"/>
    <w:rsid w:val="00BF75D0"/>
    <w:rsid w:val="00BF793F"/>
    <w:rsid w:val="00BF7DEA"/>
    <w:rsid w:val="00C01207"/>
    <w:rsid w:val="00C048B5"/>
    <w:rsid w:val="00C053E7"/>
    <w:rsid w:val="00C056CF"/>
    <w:rsid w:val="00C05DC8"/>
    <w:rsid w:val="00C06111"/>
    <w:rsid w:val="00C061B6"/>
    <w:rsid w:val="00C07CCB"/>
    <w:rsid w:val="00C1252B"/>
    <w:rsid w:val="00C13122"/>
    <w:rsid w:val="00C14ECE"/>
    <w:rsid w:val="00C17BF8"/>
    <w:rsid w:val="00C2007C"/>
    <w:rsid w:val="00C21240"/>
    <w:rsid w:val="00C21351"/>
    <w:rsid w:val="00C21998"/>
    <w:rsid w:val="00C22F09"/>
    <w:rsid w:val="00C2446C"/>
    <w:rsid w:val="00C277F2"/>
    <w:rsid w:val="00C303BE"/>
    <w:rsid w:val="00C3257C"/>
    <w:rsid w:val="00C336E3"/>
    <w:rsid w:val="00C33D52"/>
    <w:rsid w:val="00C33D90"/>
    <w:rsid w:val="00C34AB8"/>
    <w:rsid w:val="00C354E5"/>
    <w:rsid w:val="00C354E7"/>
    <w:rsid w:val="00C36A9C"/>
    <w:rsid w:val="00C36AE5"/>
    <w:rsid w:val="00C40A56"/>
    <w:rsid w:val="00C40EF2"/>
    <w:rsid w:val="00C41180"/>
    <w:rsid w:val="00C41F17"/>
    <w:rsid w:val="00C43984"/>
    <w:rsid w:val="00C44BA7"/>
    <w:rsid w:val="00C4751D"/>
    <w:rsid w:val="00C504B6"/>
    <w:rsid w:val="00C504EF"/>
    <w:rsid w:val="00C5090A"/>
    <w:rsid w:val="00C50E9B"/>
    <w:rsid w:val="00C51FE3"/>
    <w:rsid w:val="00C527FA"/>
    <w:rsid w:val="00C5280D"/>
    <w:rsid w:val="00C53337"/>
    <w:rsid w:val="00C53EB3"/>
    <w:rsid w:val="00C550A3"/>
    <w:rsid w:val="00C553C2"/>
    <w:rsid w:val="00C564A9"/>
    <w:rsid w:val="00C568DC"/>
    <w:rsid w:val="00C5791C"/>
    <w:rsid w:val="00C57AEA"/>
    <w:rsid w:val="00C60E0D"/>
    <w:rsid w:val="00C624DE"/>
    <w:rsid w:val="00C63490"/>
    <w:rsid w:val="00C639B9"/>
    <w:rsid w:val="00C643AD"/>
    <w:rsid w:val="00C658A5"/>
    <w:rsid w:val="00C65923"/>
    <w:rsid w:val="00C65B6E"/>
    <w:rsid w:val="00C66290"/>
    <w:rsid w:val="00C679A7"/>
    <w:rsid w:val="00C71191"/>
    <w:rsid w:val="00C720BE"/>
    <w:rsid w:val="00C72B7A"/>
    <w:rsid w:val="00C746BD"/>
    <w:rsid w:val="00C75BD7"/>
    <w:rsid w:val="00C75FFB"/>
    <w:rsid w:val="00C77C07"/>
    <w:rsid w:val="00C80553"/>
    <w:rsid w:val="00C823E1"/>
    <w:rsid w:val="00C832F1"/>
    <w:rsid w:val="00C85F24"/>
    <w:rsid w:val="00C86F9A"/>
    <w:rsid w:val="00C91A51"/>
    <w:rsid w:val="00C9397E"/>
    <w:rsid w:val="00C943D8"/>
    <w:rsid w:val="00C94466"/>
    <w:rsid w:val="00C973F2"/>
    <w:rsid w:val="00CA0539"/>
    <w:rsid w:val="00CA28B3"/>
    <w:rsid w:val="00CA304C"/>
    <w:rsid w:val="00CA3CCA"/>
    <w:rsid w:val="00CA5D72"/>
    <w:rsid w:val="00CA774A"/>
    <w:rsid w:val="00CB0B22"/>
    <w:rsid w:val="00CB1A45"/>
    <w:rsid w:val="00CB1DC2"/>
    <w:rsid w:val="00CB1F12"/>
    <w:rsid w:val="00CB1F46"/>
    <w:rsid w:val="00CB22E4"/>
    <w:rsid w:val="00CB29BD"/>
    <w:rsid w:val="00CB3D17"/>
    <w:rsid w:val="00CB5B2C"/>
    <w:rsid w:val="00CB7373"/>
    <w:rsid w:val="00CC0DE7"/>
    <w:rsid w:val="00CC11B0"/>
    <w:rsid w:val="00CC2841"/>
    <w:rsid w:val="00CC4CB7"/>
    <w:rsid w:val="00CC5B48"/>
    <w:rsid w:val="00CC5CFF"/>
    <w:rsid w:val="00CC6075"/>
    <w:rsid w:val="00CC7347"/>
    <w:rsid w:val="00CD0061"/>
    <w:rsid w:val="00CD02BE"/>
    <w:rsid w:val="00CD08F2"/>
    <w:rsid w:val="00CD0A6B"/>
    <w:rsid w:val="00CD19D4"/>
    <w:rsid w:val="00CD211C"/>
    <w:rsid w:val="00CD419A"/>
    <w:rsid w:val="00CD7A95"/>
    <w:rsid w:val="00CE08D9"/>
    <w:rsid w:val="00CE0E6C"/>
    <w:rsid w:val="00CE0FB7"/>
    <w:rsid w:val="00CE23D2"/>
    <w:rsid w:val="00CE354D"/>
    <w:rsid w:val="00CE4067"/>
    <w:rsid w:val="00CE4603"/>
    <w:rsid w:val="00CE5B21"/>
    <w:rsid w:val="00CE5B7A"/>
    <w:rsid w:val="00CE7496"/>
    <w:rsid w:val="00CF1330"/>
    <w:rsid w:val="00CF19F4"/>
    <w:rsid w:val="00CF3608"/>
    <w:rsid w:val="00CF3989"/>
    <w:rsid w:val="00CF46AC"/>
    <w:rsid w:val="00CF4805"/>
    <w:rsid w:val="00CF481B"/>
    <w:rsid w:val="00CF7726"/>
    <w:rsid w:val="00CF7E36"/>
    <w:rsid w:val="00CF7EE9"/>
    <w:rsid w:val="00D00D9F"/>
    <w:rsid w:val="00D01A3A"/>
    <w:rsid w:val="00D01C8E"/>
    <w:rsid w:val="00D025F9"/>
    <w:rsid w:val="00D0351E"/>
    <w:rsid w:val="00D03F50"/>
    <w:rsid w:val="00D04987"/>
    <w:rsid w:val="00D04F56"/>
    <w:rsid w:val="00D05126"/>
    <w:rsid w:val="00D0572D"/>
    <w:rsid w:val="00D110C8"/>
    <w:rsid w:val="00D112ED"/>
    <w:rsid w:val="00D11D0B"/>
    <w:rsid w:val="00D12136"/>
    <w:rsid w:val="00D128AA"/>
    <w:rsid w:val="00D1299E"/>
    <w:rsid w:val="00D12E82"/>
    <w:rsid w:val="00D13A68"/>
    <w:rsid w:val="00D1574C"/>
    <w:rsid w:val="00D2062C"/>
    <w:rsid w:val="00D2272B"/>
    <w:rsid w:val="00D23BE7"/>
    <w:rsid w:val="00D24A7D"/>
    <w:rsid w:val="00D24D42"/>
    <w:rsid w:val="00D25DC7"/>
    <w:rsid w:val="00D27089"/>
    <w:rsid w:val="00D27534"/>
    <w:rsid w:val="00D27DCB"/>
    <w:rsid w:val="00D32090"/>
    <w:rsid w:val="00D32137"/>
    <w:rsid w:val="00D3327A"/>
    <w:rsid w:val="00D338C1"/>
    <w:rsid w:val="00D36EDE"/>
    <w:rsid w:val="00D3708D"/>
    <w:rsid w:val="00D37185"/>
    <w:rsid w:val="00D37BAB"/>
    <w:rsid w:val="00D40426"/>
    <w:rsid w:val="00D413F4"/>
    <w:rsid w:val="00D42027"/>
    <w:rsid w:val="00D44434"/>
    <w:rsid w:val="00D4467C"/>
    <w:rsid w:val="00D44E80"/>
    <w:rsid w:val="00D5258F"/>
    <w:rsid w:val="00D538E4"/>
    <w:rsid w:val="00D5410E"/>
    <w:rsid w:val="00D5496C"/>
    <w:rsid w:val="00D54E11"/>
    <w:rsid w:val="00D561C8"/>
    <w:rsid w:val="00D56DFD"/>
    <w:rsid w:val="00D57C96"/>
    <w:rsid w:val="00D57D18"/>
    <w:rsid w:val="00D6147F"/>
    <w:rsid w:val="00D61512"/>
    <w:rsid w:val="00D61AB8"/>
    <w:rsid w:val="00D670A3"/>
    <w:rsid w:val="00D67975"/>
    <w:rsid w:val="00D67D80"/>
    <w:rsid w:val="00D7066A"/>
    <w:rsid w:val="00D71713"/>
    <w:rsid w:val="00D71E1E"/>
    <w:rsid w:val="00D71ED9"/>
    <w:rsid w:val="00D72310"/>
    <w:rsid w:val="00D72EC0"/>
    <w:rsid w:val="00D7335F"/>
    <w:rsid w:val="00D73B22"/>
    <w:rsid w:val="00D745F5"/>
    <w:rsid w:val="00D74D5A"/>
    <w:rsid w:val="00D760AE"/>
    <w:rsid w:val="00D77E70"/>
    <w:rsid w:val="00D80DB7"/>
    <w:rsid w:val="00D80DBE"/>
    <w:rsid w:val="00D812DE"/>
    <w:rsid w:val="00D85CC5"/>
    <w:rsid w:val="00D85D36"/>
    <w:rsid w:val="00D86313"/>
    <w:rsid w:val="00D878B1"/>
    <w:rsid w:val="00D90A24"/>
    <w:rsid w:val="00D90BBC"/>
    <w:rsid w:val="00D9104A"/>
    <w:rsid w:val="00D91203"/>
    <w:rsid w:val="00D91876"/>
    <w:rsid w:val="00D92760"/>
    <w:rsid w:val="00D92996"/>
    <w:rsid w:val="00D94A77"/>
    <w:rsid w:val="00D95174"/>
    <w:rsid w:val="00D969AA"/>
    <w:rsid w:val="00D96DE9"/>
    <w:rsid w:val="00D96E37"/>
    <w:rsid w:val="00DA27AA"/>
    <w:rsid w:val="00DA39E5"/>
    <w:rsid w:val="00DA4973"/>
    <w:rsid w:val="00DA6F36"/>
    <w:rsid w:val="00DB180B"/>
    <w:rsid w:val="00DB2733"/>
    <w:rsid w:val="00DB32F1"/>
    <w:rsid w:val="00DB3596"/>
    <w:rsid w:val="00DB38B2"/>
    <w:rsid w:val="00DB510A"/>
    <w:rsid w:val="00DB5252"/>
    <w:rsid w:val="00DB596E"/>
    <w:rsid w:val="00DB7773"/>
    <w:rsid w:val="00DB79BE"/>
    <w:rsid w:val="00DC00EA"/>
    <w:rsid w:val="00DC0AA5"/>
    <w:rsid w:val="00DC2937"/>
    <w:rsid w:val="00DC33AB"/>
    <w:rsid w:val="00DC369D"/>
    <w:rsid w:val="00DC3802"/>
    <w:rsid w:val="00DC4A09"/>
    <w:rsid w:val="00DC593A"/>
    <w:rsid w:val="00DD28CD"/>
    <w:rsid w:val="00DD405A"/>
    <w:rsid w:val="00DD4DC0"/>
    <w:rsid w:val="00DD75BE"/>
    <w:rsid w:val="00DD76F8"/>
    <w:rsid w:val="00DE063F"/>
    <w:rsid w:val="00DE06EC"/>
    <w:rsid w:val="00DE1334"/>
    <w:rsid w:val="00DE2169"/>
    <w:rsid w:val="00DE3A31"/>
    <w:rsid w:val="00DE3D35"/>
    <w:rsid w:val="00DE45DE"/>
    <w:rsid w:val="00DE5F47"/>
    <w:rsid w:val="00DE6DB0"/>
    <w:rsid w:val="00DE7AA3"/>
    <w:rsid w:val="00DF048C"/>
    <w:rsid w:val="00DF0E4D"/>
    <w:rsid w:val="00DF18F8"/>
    <w:rsid w:val="00DF2D6B"/>
    <w:rsid w:val="00DF6CD6"/>
    <w:rsid w:val="00E00247"/>
    <w:rsid w:val="00E00821"/>
    <w:rsid w:val="00E03FBE"/>
    <w:rsid w:val="00E04903"/>
    <w:rsid w:val="00E06D8D"/>
    <w:rsid w:val="00E0737C"/>
    <w:rsid w:val="00E07D87"/>
    <w:rsid w:val="00E11B5F"/>
    <w:rsid w:val="00E14D08"/>
    <w:rsid w:val="00E15ABE"/>
    <w:rsid w:val="00E168CE"/>
    <w:rsid w:val="00E17043"/>
    <w:rsid w:val="00E202E0"/>
    <w:rsid w:val="00E20435"/>
    <w:rsid w:val="00E210C5"/>
    <w:rsid w:val="00E215FB"/>
    <w:rsid w:val="00E25AD3"/>
    <w:rsid w:val="00E25CC7"/>
    <w:rsid w:val="00E25CD4"/>
    <w:rsid w:val="00E30801"/>
    <w:rsid w:val="00E31B46"/>
    <w:rsid w:val="00E32F5D"/>
    <w:rsid w:val="00E32F7E"/>
    <w:rsid w:val="00E3310F"/>
    <w:rsid w:val="00E337AE"/>
    <w:rsid w:val="00E340B2"/>
    <w:rsid w:val="00E359BD"/>
    <w:rsid w:val="00E3678E"/>
    <w:rsid w:val="00E372A2"/>
    <w:rsid w:val="00E414F8"/>
    <w:rsid w:val="00E41FCB"/>
    <w:rsid w:val="00E4353A"/>
    <w:rsid w:val="00E44E01"/>
    <w:rsid w:val="00E45414"/>
    <w:rsid w:val="00E45EF0"/>
    <w:rsid w:val="00E477AF"/>
    <w:rsid w:val="00E500C0"/>
    <w:rsid w:val="00E511DA"/>
    <w:rsid w:val="00E5267B"/>
    <w:rsid w:val="00E52C13"/>
    <w:rsid w:val="00E541EB"/>
    <w:rsid w:val="00E54B33"/>
    <w:rsid w:val="00E55E6F"/>
    <w:rsid w:val="00E56777"/>
    <w:rsid w:val="00E61E82"/>
    <w:rsid w:val="00E61ECB"/>
    <w:rsid w:val="00E62CD0"/>
    <w:rsid w:val="00E6379D"/>
    <w:rsid w:val="00E63C0E"/>
    <w:rsid w:val="00E6417B"/>
    <w:rsid w:val="00E64A54"/>
    <w:rsid w:val="00E65F2B"/>
    <w:rsid w:val="00E70742"/>
    <w:rsid w:val="00E70C03"/>
    <w:rsid w:val="00E71B7A"/>
    <w:rsid w:val="00E72D49"/>
    <w:rsid w:val="00E73287"/>
    <w:rsid w:val="00E74A87"/>
    <w:rsid w:val="00E74C99"/>
    <w:rsid w:val="00E7593C"/>
    <w:rsid w:val="00E7678A"/>
    <w:rsid w:val="00E77077"/>
    <w:rsid w:val="00E822E6"/>
    <w:rsid w:val="00E83A21"/>
    <w:rsid w:val="00E83F88"/>
    <w:rsid w:val="00E86A9D"/>
    <w:rsid w:val="00E90782"/>
    <w:rsid w:val="00E91F59"/>
    <w:rsid w:val="00E935F1"/>
    <w:rsid w:val="00E94A81"/>
    <w:rsid w:val="00E95525"/>
    <w:rsid w:val="00E95F7A"/>
    <w:rsid w:val="00E97ED7"/>
    <w:rsid w:val="00EA0425"/>
    <w:rsid w:val="00EA04B5"/>
    <w:rsid w:val="00EA10D6"/>
    <w:rsid w:val="00EA1506"/>
    <w:rsid w:val="00EA1FFB"/>
    <w:rsid w:val="00EA4DFE"/>
    <w:rsid w:val="00EA4EA9"/>
    <w:rsid w:val="00EA6FC0"/>
    <w:rsid w:val="00EA73BD"/>
    <w:rsid w:val="00EB048E"/>
    <w:rsid w:val="00EB0BB6"/>
    <w:rsid w:val="00EB4E9C"/>
    <w:rsid w:val="00EB5402"/>
    <w:rsid w:val="00EC04C7"/>
    <w:rsid w:val="00EC081C"/>
    <w:rsid w:val="00EC0B9E"/>
    <w:rsid w:val="00EC0F51"/>
    <w:rsid w:val="00EC2C3C"/>
    <w:rsid w:val="00EC326F"/>
    <w:rsid w:val="00EC3584"/>
    <w:rsid w:val="00EC3BA0"/>
    <w:rsid w:val="00EC43E2"/>
    <w:rsid w:val="00EC55DF"/>
    <w:rsid w:val="00EC60A5"/>
    <w:rsid w:val="00EC6A92"/>
    <w:rsid w:val="00ED08D2"/>
    <w:rsid w:val="00ED1A42"/>
    <w:rsid w:val="00ED2221"/>
    <w:rsid w:val="00ED3708"/>
    <w:rsid w:val="00ED50AC"/>
    <w:rsid w:val="00ED5C63"/>
    <w:rsid w:val="00ED64B3"/>
    <w:rsid w:val="00ED6AB1"/>
    <w:rsid w:val="00ED7558"/>
    <w:rsid w:val="00EE0702"/>
    <w:rsid w:val="00EE34DF"/>
    <w:rsid w:val="00EE3604"/>
    <w:rsid w:val="00EE4ACE"/>
    <w:rsid w:val="00EE509D"/>
    <w:rsid w:val="00EE684B"/>
    <w:rsid w:val="00EE6B95"/>
    <w:rsid w:val="00EF0DFE"/>
    <w:rsid w:val="00EF1CD8"/>
    <w:rsid w:val="00EF2F89"/>
    <w:rsid w:val="00EF4F3A"/>
    <w:rsid w:val="00EF4FB8"/>
    <w:rsid w:val="00EF5457"/>
    <w:rsid w:val="00EF7611"/>
    <w:rsid w:val="00F00C2D"/>
    <w:rsid w:val="00F01218"/>
    <w:rsid w:val="00F015B8"/>
    <w:rsid w:val="00F019DC"/>
    <w:rsid w:val="00F0234C"/>
    <w:rsid w:val="00F03A33"/>
    <w:rsid w:val="00F03E98"/>
    <w:rsid w:val="00F04E04"/>
    <w:rsid w:val="00F05FA6"/>
    <w:rsid w:val="00F063CA"/>
    <w:rsid w:val="00F069D3"/>
    <w:rsid w:val="00F073CE"/>
    <w:rsid w:val="00F07E55"/>
    <w:rsid w:val="00F1101A"/>
    <w:rsid w:val="00F1237A"/>
    <w:rsid w:val="00F12385"/>
    <w:rsid w:val="00F13C30"/>
    <w:rsid w:val="00F14325"/>
    <w:rsid w:val="00F161D1"/>
    <w:rsid w:val="00F20B92"/>
    <w:rsid w:val="00F221FC"/>
    <w:rsid w:val="00F229B1"/>
    <w:rsid w:val="00F22CBD"/>
    <w:rsid w:val="00F234DC"/>
    <w:rsid w:val="00F2386A"/>
    <w:rsid w:val="00F272F1"/>
    <w:rsid w:val="00F27BCD"/>
    <w:rsid w:val="00F313ED"/>
    <w:rsid w:val="00F31EF0"/>
    <w:rsid w:val="00F347D6"/>
    <w:rsid w:val="00F3577B"/>
    <w:rsid w:val="00F36DBC"/>
    <w:rsid w:val="00F376DF"/>
    <w:rsid w:val="00F40D9E"/>
    <w:rsid w:val="00F41EC4"/>
    <w:rsid w:val="00F42882"/>
    <w:rsid w:val="00F45269"/>
    <w:rsid w:val="00F45372"/>
    <w:rsid w:val="00F4611D"/>
    <w:rsid w:val="00F46974"/>
    <w:rsid w:val="00F513B7"/>
    <w:rsid w:val="00F5259B"/>
    <w:rsid w:val="00F53085"/>
    <w:rsid w:val="00F532FE"/>
    <w:rsid w:val="00F534AA"/>
    <w:rsid w:val="00F53E82"/>
    <w:rsid w:val="00F540BD"/>
    <w:rsid w:val="00F548A7"/>
    <w:rsid w:val="00F549C1"/>
    <w:rsid w:val="00F54FC5"/>
    <w:rsid w:val="00F553CD"/>
    <w:rsid w:val="00F560F7"/>
    <w:rsid w:val="00F56AD7"/>
    <w:rsid w:val="00F608A6"/>
    <w:rsid w:val="00F61A88"/>
    <w:rsid w:val="00F6302E"/>
    <w:rsid w:val="00F6334D"/>
    <w:rsid w:val="00F63549"/>
    <w:rsid w:val="00F63599"/>
    <w:rsid w:val="00F645DF"/>
    <w:rsid w:val="00F6622D"/>
    <w:rsid w:val="00F67FE4"/>
    <w:rsid w:val="00F71A7F"/>
    <w:rsid w:val="00F73707"/>
    <w:rsid w:val="00F7563E"/>
    <w:rsid w:val="00F75DB1"/>
    <w:rsid w:val="00F76236"/>
    <w:rsid w:val="00F80EA0"/>
    <w:rsid w:val="00F829D1"/>
    <w:rsid w:val="00F8412D"/>
    <w:rsid w:val="00F84A60"/>
    <w:rsid w:val="00F84F46"/>
    <w:rsid w:val="00F867B2"/>
    <w:rsid w:val="00F86E58"/>
    <w:rsid w:val="00F90449"/>
    <w:rsid w:val="00F90990"/>
    <w:rsid w:val="00F91246"/>
    <w:rsid w:val="00F916C2"/>
    <w:rsid w:val="00F9205E"/>
    <w:rsid w:val="00F956AE"/>
    <w:rsid w:val="00F9693C"/>
    <w:rsid w:val="00F97A92"/>
    <w:rsid w:val="00FA067A"/>
    <w:rsid w:val="00FA2C9D"/>
    <w:rsid w:val="00FA2EAD"/>
    <w:rsid w:val="00FA2FC4"/>
    <w:rsid w:val="00FA3544"/>
    <w:rsid w:val="00FA49AB"/>
    <w:rsid w:val="00FA4A14"/>
    <w:rsid w:val="00FA6E16"/>
    <w:rsid w:val="00FA73C6"/>
    <w:rsid w:val="00FB03AB"/>
    <w:rsid w:val="00FB11A6"/>
    <w:rsid w:val="00FB1390"/>
    <w:rsid w:val="00FB1400"/>
    <w:rsid w:val="00FB16F8"/>
    <w:rsid w:val="00FB1E2F"/>
    <w:rsid w:val="00FB3B55"/>
    <w:rsid w:val="00FB4702"/>
    <w:rsid w:val="00FB615F"/>
    <w:rsid w:val="00FB6D47"/>
    <w:rsid w:val="00FB6E5B"/>
    <w:rsid w:val="00FB7DB9"/>
    <w:rsid w:val="00FC0CC5"/>
    <w:rsid w:val="00FC11D6"/>
    <w:rsid w:val="00FC33FC"/>
    <w:rsid w:val="00FC4C46"/>
    <w:rsid w:val="00FC4DE1"/>
    <w:rsid w:val="00FC5AD7"/>
    <w:rsid w:val="00FC6B69"/>
    <w:rsid w:val="00FC7BB6"/>
    <w:rsid w:val="00FC7C90"/>
    <w:rsid w:val="00FD065F"/>
    <w:rsid w:val="00FD12D5"/>
    <w:rsid w:val="00FD2D24"/>
    <w:rsid w:val="00FD5D7C"/>
    <w:rsid w:val="00FD6285"/>
    <w:rsid w:val="00FD6656"/>
    <w:rsid w:val="00FD67FF"/>
    <w:rsid w:val="00FD7D0A"/>
    <w:rsid w:val="00FE3288"/>
    <w:rsid w:val="00FE39C7"/>
    <w:rsid w:val="00FE45F2"/>
    <w:rsid w:val="00FE47A5"/>
    <w:rsid w:val="00FE5BDE"/>
    <w:rsid w:val="00FE69E9"/>
    <w:rsid w:val="00FE6A31"/>
    <w:rsid w:val="00FE706B"/>
    <w:rsid w:val="00FF1226"/>
    <w:rsid w:val="00FF130A"/>
    <w:rsid w:val="00FF1AFF"/>
    <w:rsid w:val="00FF1E13"/>
    <w:rsid w:val="00FF2434"/>
    <w:rsid w:val="00FF4D07"/>
    <w:rsid w:val="00FF6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3521"/>
    <o:shapelayout v:ext="edit">
      <o:idmap v:ext="edit" data="1"/>
    </o:shapelayout>
  </w:shapeDefaults>
  <w:decimalSymbol w:val="."/>
  <w:listSeparator w:val=","/>
  <w14:docId w14:val="34AECEFE"/>
  <w15:docId w15:val="{2425F36C-E146-4F5E-BC66-7FE8DF8B0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qFormat/>
    <w:rsid w:val="00A824AF"/>
    <w:pPr>
      <w:keepNext/>
      <w:jc w:val="both"/>
      <w:outlineLvl w:val="0"/>
    </w:pPr>
    <w:rPr>
      <w:rFonts w:ascii="Arial" w:hAnsi="Arial"/>
      <w:b/>
      <w:caps/>
    </w:rPr>
  </w:style>
  <w:style w:type="paragraph" w:styleId="Heading2">
    <w:name w:val="heading 2"/>
    <w:next w:val="Normal"/>
    <w:link w:val="Heading2Char"/>
    <w:qFormat/>
    <w:rsid w:val="00D67D80"/>
    <w:pPr>
      <w:keepNext/>
      <w:jc w:val="both"/>
      <w:outlineLvl w:val="1"/>
    </w:pPr>
    <w:rPr>
      <w:rFonts w:ascii="Arial Bold" w:hAnsi="Arial Bold"/>
      <w:b/>
    </w:rPr>
  </w:style>
  <w:style w:type="paragraph" w:styleId="Heading3">
    <w:name w:val="heading 3"/>
    <w:next w:val="Normal"/>
    <w:autoRedefine/>
    <w:qFormat/>
    <w:rsid w:val="00A824AF"/>
    <w:pPr>
      <w:keepNext/>
      <w:jc w:val="both"/>
      <w:outlineLvl w:val="2"/>
    </w:pPr>
    <w:rPr>
      <w:rFonts w:ascii="Arial" w:hAnsi="Arial"/>
      <w:i/>
    </w:rPr>
  </w:style>
  <w:style w:type="paragraph" w:styleId="Heading4">
    <w:name w:val="heading 4"/>
    <w:next w:val="Normal"/>
    <w:autoRedefine/>
    <w:qFormat/>
    <w:rsid w:val="00A824AF"/>
    <w:pPr>
      <w:keepNext/>
      <w:ind w:left="567"/>
      <w:jc w:val="both"/>
      <w:outlineLvl w:val="3"/>
    </w:pPr>
    <w:rPr>
      <w:rFonts w:ascii="Arial" w:hAnsi="Arial"/>
      <w:i/>
      <w:lang w:val="fr-FR"/>
    </w:rPr>
  </w:style>
  <w:style w:type="paragraph" w:styleId="Heading5">
    <w:name w:val="heading 5"/>
    <w:next w:val="Normal"/>
    <w:autoRedefine/>
    <w:qFormat/>
    <w:rsid w:val="00A824AF"/>
    <w:pPr>
      <w:keepNext/>
      <w:ind w:left="1134" w:hanging="567"/>
      <w:jc w:val="both"/>
      <w:outlineLvl w:val="4"/>
    </w:pPr>
    <w:rPr>
      <w:rFonts w:ascii="Arial" w:hAnsi="Arial"/>
      <w:sz w:val="18"/>
      <w:szCs w:val="18"/>
    </w:rPr>
  </w:style>
  <w:style w:type="paragraph" w:styleId="Heading9">
    <w:name w:val="heading 9"/>
    <w:basedOn w:val="Normal"/>
    <w:next w:val="Normal"/>
    <w:qFormat/>
    <w:rsid w:val="00A824A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24AF"/>
    <w:rPr>
      <w:rFonts w:ascii="Arial" w:hAnsi="Arial"/>
      <w:b/>
      <w:caps/>
    </w:rPr>
  </w:style>
  <w:style w:type="character" w:customStyle="1" w:styleId="Heading2Char">
    <w:name w:val="Heading 2 Char"/>
    <w:basedOn w:val="DefaultParagraphFont"/>
    <w:link w:val="Heading2"/>
    <w:rsid w:val="00D67D80"/>
    <w:rPr>
      <w:rFonts w:ascii="Arial Bold" w:hAnsi="Arial Bold"/>
      <w:b/>
    </w:rPr>
  </w:style>
  <w:style w:type="paragraph" w:styleId="Header">
    <w:name w:val="header"/>
    <w:link w:val="HeaderChar"/>
    <w:uiPriority w:val="99"/>
    <w:rsid w:val="00AE2937"/>
    <w:pPr>
      <w:jc w:val="center"/>
    </w:pPr>
    <w:rPr>
      <w:rFonts w:ascii="Arial" w:hAnsi="Arial"/>
      <w:lang w:val="fr-FR"/>
    </w:rPr>
  </w:style>
  <w:style w:type="character" w:customStyle="1" w:styleId="HeaderChar">
    <w:name w:val="Header Char"/>
    <w:basedOn w:val="DefaultParagraphFont"/>
    <w:link w:val="Header"/>
    <w:uiPriority w:val="99"/>
    <w:rsid w:val="00A824AF"/>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customStyle="1" w:styleId="FooterChar">
    <w:name w:val="Footer Char"/>
    <w:aliases w:val="doc_path_name Char"/>
    <w:basedOn w:val="DefaultParagraphFont"/>
    <w:link w:val="Footer"/>
    <w:uiPriority w:val="99"/>
    <w:rsid w:val="00A824AF"/>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link w:val="FootnoteTextChar"/>
    <w:autoRedefine/>
    <w:uiPriority w:val="99"/>
    <w:rsid w:val="00557A44"/>
    <w:pPr>
      <w:spacing w:before="60"/>
      <w:ind w:left="567" w:hanging="567"/>
      <w:jc w:val="both"/>
    </w:pPr>
    <w:rPr>
      <w:rFonts w:ascii="Arial" w:hAnsi="Arial"/>
      <w:sz w:val="16"/>
    </w:rPr>
  </w:style>
  <w:style w:type="character" w:styleId="FootnoteReference">
    <w:name w:val="footnote reference"/>
    <w:basedOn w:val="DefaultParagraphFont"/>
    <w:uiPriority w:val="99"/>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styleId="TOC2">
    <w:name w:val="toc 2"/>
    <w:next w:val="Normal"/>
    <w:autoRedefine/>
    <w:uiPriority w:val="39"/>
    <w:rsid w:val="001343BA"/>
    <w:pPr>
      <w:tabs>
        <w:tab w:val="left" w:pos="1276"/>
        <w:tab w:val="right" w:leader="dot" w:pos="9639"/>
      </w:tabs>
      <w:spacing w:before="120"/>
      <w:ind w:left="1276" w:right="851" w:hanging="992"/>
      <w:contextualSpacing/>
    </w:pPr>
    <w:rPr>
      <w:rFonts w:ascii="Arial" w:hAnsi="Arial"/>
      <w:noProof/>
    </w:rPr>
  </w:style>
  <w:style w:type="paragraph" w:styleId="TOC3">
    <w:name w:val="toc 3"/>
    <w:next w:val="Normal"/>
    <w:autoRedefine/>
    <w:uiPriority w:val="39"/>
    <w:rsid w:val="00A824AF"/>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A824AF"/>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8754B4"/>
    <w:pPr>
      <w:tabs>
        <w:tab w:val="right" w:leader="dot" w:pos="9639"/>
      </w:tabs>
      <w:spacing w:before="120" w:after="60"/>
      <w:ind w:left="284" w:right="284" w:hanging="284"/>
    </w:pPr>
    <w:rPr>
      <w:rFonts w:ascii="Arial" w:hAnsi="Arial"/>
      <w:caps/>
      <w:noProof/>
    </w:rPr>
  </w:style>
  <w:style w:type="paragraph" w:styleId="TOC5">
    <w:name w:val="toc 5"/>
    <w:next w:val="Normal"/>
    <w:autoRedefine/>
    <w:rsid w:val="00A824AF"/>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1"/>
    <w:qFormat/>
    <w:rsid w:val="008D5067"/>
    <w:pPr>
      <w:ind w:left="567"/>
      <w:jc w:val="left"/>
    </w:pPr>
    <w:rPr>
      <w:rFonts w:cs="Arial"/>
      <w:sz w:val="22"/>
    </w:rPr>
  </w:style>
  <w:style w:type="paragraph" w:customStyle="1" w:styleId="StylenumerotationpagedegardeLeft063cmHanging001cm">
    <w:name w:val="Style numerotation page de garde + Left:  0.63 cm Hanging:  0.01 cm"/>
    <w:basedOn w:val="Normal"/>
    <w:rsid w:val="008D5067"/>
    <w:pPr>
      <w:numPr>
        <w:numId w:val="1"/>
      </w:numPr>
      <w:tabs>
        <w:tab w:val="left" w:pos="851"/>
      </w:tabs>
      <w:contextualSpacing/>
    </w:pPr>
    <w:rPr>
      <w:snapToGrid w:val="0"/>
    </w:rPr>
  </w:style>
  <w:style w:type="paragraph" w:styleId="Salutation">
    <w:name w:val="Salutation"/>
    <w:basedOn w:val="Normal"/>
    <w:next w:val="Normal"/>
    <w:link w:val="SalutationChar"/>
    <w:rsid w:val="00A824AF"/>
    <w:pPr>
      <w:jc w:val="left"/>
    </w:pPr>
    <w:rPr>
      <w:rFonts w:cs="Arial"/>
      <w:sz w:val="22"/>
    </w:rPr>
  </w:style>
  <w:style w:type="character" w:customStyle="1" w:styleId="SalutationChar">
    <w:name w:val="Salutation Char"/>
    <w:basedOn w:val="DefaultParagraphFont"/>
    <w:link w:val="Salutation"/>
    <w:rsid w:val="00A824AF"/>
    <w:rPr>
      <w:rFonts w:ascii="Arial" w:hAnsi="Arial" w:cs="Arial"/>
      <w:sz w:val="22"/>
    </w:rPr>
  </w:style>
  <w:style w:type="paragraph" w:styleId="Caption">
    <w:name w:val="caption"/>
    <w:basedOn w:val="Normal"/>
    <w:next w:val="Normal"/>
    <w:qFormat/>
    <w:rsid w:val="00A824AF"/>
    <w:pPr>
      <w:jc w:val="left"/>
    </w:pPr>
    <w:rPr>
      <w:rFonts w:cs="Arial"/>
      <w:b/>
      <w:bCs/>
      <w:sz w:val="18"/>
    </w:rPr>
  </w:style>
  <w:style w:type="paragraph" w:styleId="CommentText">
    <w:name w:val="annotation text"/>
    <w:basedOn w:val="Normal"/>
    <w:link w:val="CommentTextChar"/>
    <w:rsid w:val="00A824AF"/>
    <w:pPr>
      <w:jc w:val="left"/>
    </w:pPr>
    <w:rPr>
      <w:rFonts w:cs="Arial"/>
      <w:sz w:val="18"/>
    </w:rPr>
  </w:style>
  <w:style w:type="character" w:customStyle="1" w:styleId="CommentTextChar">
    <w:name w:val="Comment Text Char"/>
    <w:basedOn w:val="DefaultParagraphFont"/>
    <w:link w:val="CommentText"/>
    <w:rsid w:val="00A824AF"/>
    <w:rPr>
      <w:rFonts w:ascii="Arial" w:hAnsi="Arial" w:cs="Arial"/>
      <w:sz w:val="18"/>
    </w:rPr>
  </w:style>
  <w:style w:type="paragraph" w:customStyle="1" w:styleId="ONUMFS">
    <w:name w:val="ONUM FS"/>
    <w:basedOn w:val="BodyText"/>
    <w:rsid w:val="00A824AF"/>
    <w:pPr>
      <w:numPr>
        <w:numId w:val="5"/>
      </w:numPr>
      <w:spacing w:after="220"/>
      <w:jc w:val="left"/>
    </w:pPr>
    <w:rPr>
      <w:rFonts w:cs="Arial"/>
      <w:sz w:val="22"/>
    </w:rPr>
  </w:style>
  <w:style w:type="paragraph" w:customStyle="1" w:styleId="ONUME">
    <w:name w:val="ONUM E"/>
    <w:basedOn w:val="BodyText"/>
    <w:rsid w:val="00A824AF"/>
    <w:pPr>
      <w:numPr>
        <w:numId w:val="4"/>
      </w:numPr>
      <w:spacing w:after="220"/>
      <w:jc w:val="left"/>
    </w:pPr>
    <w:rPr>
      <w:rFonts w:cs="Arial"/>
      <w:sz w:val="22"/>
    </w:rPr>
  </w:style>
  <w:style w:type="paragraph" w:styleId="ListNumber">
    <w:name w:val="List Number"/>
    <w:basedOn w:val="Normal"/>
    <w:rsid w:val="00A824AF"/>
    <w:pPr>
      <w:numPr>
        <w:numId w:val="7"/>
      </w:numPr>
      <w:jc w:val="left"/>
    </w:pPr>
    <w:rPr>
      <w:rFonts w:cs="Arial"/>
      <w:sz w:val="22"/>
    </w:rPr>
  </w:style>
  <w:style w:type="paragraph" w:customStyle="1" w:styleId="Style3">
    <w:name w:val="Style3"/>
    <w:basedOn w:val="Normal"/>
    <w:link w:val="Style3Char"/>
    <w:rsid w:val="00A824AF"/>
    <w:pPr>
      <w:spacing w:after="120"/>
    </w:pPr>
    <w:rPr>
      <w:sz w:val="22"/>
    </w:rPr>
  </w:style>
  <w:style w:type="character" w:customStyle="1" w:styleId="Style3Char">
    <w:name w:val="Style3 Char"/>
    <w:link w:val="Style3"/>
    <w:rsid w:val="00A824AF"/>
    <w:rPr>
      <w:rFonts w:ascii="Arial" w:hAnsi="Arial"/>
      <w:sz w:val="22"/>
    </w:rPr>
  </w:style>
  <w:style w:type="paragraph" w:customStyle="1" w:styleId="Style3Bold">
    <w:name w:val="Style3 + Bold"/>
    <w:basedOn w:val="Style3"/>
    <w:rsid w:val="00A824AF"/>
    <w:rPr>
      <w:b/>
      <w:bCs/>
    </w:rPr>
  </w:style>
  <w:style w:type="character" w:styleId="SubtleEmphasis">
    <w:name w:val="Subtle Emphasis"/>
    <w:qFormat/>
    <w:rsid w:val="00A824AF"/>
    <w:rPr>
      <w:i/>
    </w:rPr>
  </w:style>
  <w:style w:type="paragraph" w:customStyle="1" w:styleId="Marge">
    <w:name w:val="Marge"/>
    <w:basedOn w:val="Normal"/>
    <w:rsid w:val="00A824AF"/>
    <w:pPr>
      <w:tabs>
        <w:tab w:val="left" w:pos="567"/>
      </w:tabs>
      <w:snapToGrid w:val="0"/>
      <w:spacing w:after="240"/>
    </w:pPr>
    <w:rPr>
      <w:snapToGrid w:val="0"/>
      <w:sz w:val="22"/>
      <w:szCs w:val="24"/>
      <w:lang w:val="en-GB"/>
    </w:rPr>
  </w:style>
  <w:style w:type="paragraph" w:customStyle="1" w:styleId="Styletexte">
    <w:name w:val="Style texte"/>
    <w:basedOn w:val="Normal"/>
    <w:link w:val="StyletexteChar"/>
    <w:rsid w:val="00A824AF"/>
    <w:pPr>
      <w:spacing w:after="120"/>
    </w:pPr>
    <w:rPr>
      <w:sz w:val="22"/>
    </w:rPr>
  </w:style>
  <w:style w:type="character" w:customStyle="1" w:styleId="StyletexteChar">
    <w:name w:val="Style texte Char"/>
    <w:link w:val="Styletexte"/>
    <w:rsid w:val="00A824AF"/>
    <w:rPr>
      <w:rFonts w:ascii="Arial" w:hAnsi="Arial"/>
      <w:sz w:val="22"/>
    </w:rPr>
  </w:style>
  <w:style w:type="paragraph" w:customStyle="1" w:styleId="STYLEDUTEXTE">
    <w:name w:val="STYLE DU TEXTE"/>
    <w:basedOn w:val="Styletexte"/>
    <w:link w:val="STYLEDUTEXTEChar"/>
    <w:rsid w:val="00A824AF"/>
    <w:pPr>
      <w:spacing w:after="0"/>
    </w:pPr>
  </w:style>
  <w:style w:type="character" w:customStyle="1" w:styleId="STYLEDUTEXTEChar">
    <w:name w:val="STYLE DU TEXTE Char"/>
    <w:basedOn w:val="StyletexteChar"/>
    <w:link w:val="STYLEDUTEXTE"/>
    <w:rsid w:val="00A824AF"/>
    <w:rPr>
      <w:rFonts w:ascii="Arial" w:hAnsi="Arial"/>
      <w:sz w:val="22"/>
    </w:rPr>
  </w:style>
  <w:style w:type="paragraph" w:customStyle="1" w:styleId="Style1">
    <w:name w:val="Style1"/>
    <w:basedOn w:val="Normal"/>
    <w:link w:val="Style1Char"/>
    <w:rsid w:val="00A824AF"/>
    <w:pPr>
      <w:tabs>
        <w:tab w:val="left" w:pos="8640"/>
      </w:tabs>
      <w:jc w:val="left"/>
    </w:pPr>
    <w:rPr>
      <w:rFonts w:cs="Arial"/>
      <w:b/>
      <w:color w:val="333399"/>
      <w:sz w:val="52"/>
      <w:szCs w:val="52"/>
    </w:rPr>
  </w:style>
  <w:style w:type="character" w:customStyle="1" w:styleId="Style1Char">
    <w:name w:val="Style1 Char"/>
    <w:link w:val="Style1"/>
    <w:rsid w:val="00A824AF"/>
    <w:rPr>
      <w:rFonts w:ascii="Arial" w:hAnsi="Arial" w:cs="Arial"/>
      <w:b/>
      <w:color w:val="333399"/>
      <w:sz w:val="52"/>
      <w:szCs w:val="52"/>
    </w:rPr>
  </w:style>
  <w:style w:type="paragraph" w:customStyle="1" w:styleId="numerotationpagedegarde">
    <w:name w:val="numerotation page de garde"/>
    <w:basedOn w:val="ListParagraph"/>
    <w:qFormat/>
    <w:rsid w:val="00A824AF"/>
    <w:pPr>
      <w:tabs>
        <w:tab w:val="left" w:pos="851"/>
      </w:tabs>
      <w:ind w:left="0"/>
      <w:contextualSpacing/>
      <w:jc w:val="both"/>
    </w:pPr>
    <w:rPr>
      <w:rFonts w:cs="Times New Roman"/>
      <w:snapToGrid w:val="0"/>
      <w:sz w:val="20"/>
    </w:rPr>
  </w:style>
  <w:style w:type="character" w:styleId="BookTitle">
    <w:name w:val="Book Title"/>
    <w:basedOn w:val="DefaultParagraphFont"/>
    <w:uiPriority w:val="33"/>
    <w:qFormat/>
    <w:rsid w:val="00A824AF"/>
    <w:rPr>
      <w:b/>
      <w:bCs/>
      <w:smallCaps/>
      <w:spacing w:val="5"/>
    </w:rPr>
  </w:style>
  <w:style w:type="paragraph" w:customStyle="1" w:styleId="Default">
    <w:name w:val="Default"/>
    <w:rsid w:val="00A824AF"/>
    <w:pPr>
      <w:autoSpaceDE w:val="0"/>
      <w:autoSpaceDN w:val="0"/>
      <w:adjustRightInd w:val="0"/>
    </w:pPr>
    <w:rPr>
      <w:rFonts w:ascii="Arial" w:hAnsi="Arial" w:cs="Arial"/>
      <w:color w:val="000000"/>
      <w:sz w:val="24"/>
      <w:szCs w:val="24"/>
      <w:lang w:val="en-GB"/>
    </w:rPr>
  </w:style>
  <w:style w:type="paragraph" w:customStyle="1" w:styleId="Heading2Notes">
    <w:name w:val="Heading 2_Notes"/>
    <w:basedOn w:val="Heading2"/>
    <w:qFormat/>
    <w:rsid w:val="00B61C54"/>
    <w:rPr>
      <w:caps/>
    </w:rPr>
  </w:style>
  <w:style w:type="paragraph" w:styleId="TOCHeading">
    <w:name w:val="TOC Heading"/>
    <w:basedOn w:val="Heading1"/>
    <w:next w:val="Normal"/>
    <w:uiPriority w:val="39"/>
    <w:unhideWhenUsed/>
    <w:qFormat/>
    <w:rsid w:val="000357D6"/>
    <w:pPr>
      <w:keepLines/>
      <w:spacing w:before="240" w:line="259" w:lineRule="auto"/>
      <w:jc w:val="left"/>
      <w:outlineLvl w:val="9"/>
    </w:pPr>
    <w:rPr>
      <w:rFonts w:asciiTheme="majorHAnsi" w:eastAsiaTheme="majorEastAsia" w:hAnsiTheme="majorHAnsi" w:cstheme="majorBidi"/>
      <w:b w:val="0"/>
      <w:caps w:val="0"/>
      <w:color w:val="365F91" w:themeColor="accent1" w:themeShade="BF"/>
      <w:sz w:val="32"/>
      <w:szCs w:val="32"/>
    </w:rPr>
  </w:style>
  <w:style w:type="paragraph" w:styleId="NormalWeb">
    <w:name w:val="Normal (Web)"/>
    <w:basedOn w:val="Normal"/>
    <w:uiPriority w:val="99"/>
    <w:unhideWhenUsed/>
    <w:rsid w:val="004900FA"/>
    <w:pPr>
      <w:spacing w:before="100" w:beforeAutospacing="1" w:after="100" w:afterAutospacing="1"/>
      <w:jc w:val="left"/>
    </w:pPr>
    <w:rPr>
      <w:rFonts w:ascii="Times New Roman" w:hAnsi="Times New Roman"/>
      <w:sz w:val="24"/>
      <w:szCs w:val="24"/>
    </w:rPr>
  </w:style>
  <w:style w:type="character" w:styleId="CommentReference">
    <w:name w:val="annotation reference"/>
    <w:basedOn w:val="DefaultParagraphFont"/>
    <w:semiHidden/>
    <w:unhideWhenUsed/>
    <w:rsid w:val="0040575A"/>
    <w:rPr>
      <w:sz w:val="16"/>
      <w:szCs w:val="16"/>
    </w:rPr>
  </w:style>
  <w:style w:type="paragraph" w:styleId="CommentSubject">
    <w:name w:val="annotation subject"/>
    <w:basedOn w:val="CommentText"/>
    <w:next w:val="CommentText"/>
    <w:link w:val="CommentSubjectChar"/>
    <w:semiHidden/>
    <w:unhideWhenUsed/>
    <w:rsid w:val="0040575A"/>
    <w:pPr>
      <w:jc w:val="both"/>
    </w:pPr>
    <w:rPr>
      <w:rFonts w:cs="Times New Roman"/>
      <w:b/>
      <w:bCs/>
      <w:sz w:val="20"/>
    </w:rPr>
  </w:style>
  <w:style w:type="character" w:customStyle="1" w:styleId="CommentSubjectChar">
    <w:name w:val="Comment Subject Char"/>
    <w:basedOn w:val="CommentTextChar"/>
    <w:link w:val="CommentSubject"/>
    <w:semiHidden/>
    <w:rsid w:val="0040575A"/>
    <w:rPr>
      <w:rFonts w:ascii="Arial" w:hAnsi="Arial" w:cs="Arial"/>
      <w:b/>
      <w:bCs/>
      <w:sz w:val="18"/>
    </w:rPr>
  </w:style>
  <w:style w:type="character" w:styleId="Emphasis">
    <w:name w:val="Emphasis"/>
    <w:basedOn w:val="DefaultParagraphFont"/>
    <w:uiPriority w:val="20"/>
    <w:qFormat/>
    <w:rsid w:val="007C3CAE"/>
    <w:rPr>
      <w:i/>
      <w:iCs/>
    </w:rPr>
  </w:style>
  <w:style w:type="paragraph" w:styleId="Revision">
    <w:name w:val="Revision"/>
    <w:hidden/>
    <w:uiPriority w:val="99"/>
    <w:semiHidden/>
    <w:rsid w:val="00AB741C"/>
    <w:rPr>
      <w:rFonts w:ascii="Arial" w:hAnsi="Arial"/>
    </w:rPr>
  </w:style>
  <w:style w:type="character" w:customStyle="1" w:styleId="FootnoteTextChar">
    <w:name w:val="Footnote Text Char"/>
    <w:basedOn w:val="DefaultParagraphFont"/>
    <w:link w:val="FootnoteText"/>
    <w:uiPriority w:val="99"/>
    <w:rsid w:val="00557A44"/>
    <w:rPr>
      <w:rFonts w:ascii="Arial" w:hAnsi="Arial"/>
      <w:sz w:val="16"/>
    </w:rPr>
  </w:style>
  <w:style w:type="numbering" w:customStyle="1" w:styleId="CurrentList1">
    <w:name w:val="Current List1"/>
    <w:uiPriority w:val="99"/>
    <w:rsid w:val="004B1374"/>
  </w:style>
  <w:style w:type="numbering" w:customStyle="1" w:styleId="CurrentList2">
    <w:name w:val="Current List2"/>
    <w:uiPriority w:val="99"/>
    <w:rsid w:val="00CC7347"/>
    <w:pPr>
      <w:numPr>
        <w:numId w:val="64"/>
      </w:numPr>
    </w:pPr>
  </w:style>
  <w:style w:type="character" w:styleId="Strong">
    <w:name w:val="Strong"/>
    <w:basedOn w:val="DefaultParagraphFont"/>
    <w:uiPriority w:val="22"/>
    <w:qFormat/>
    <w:rsid w:val="00F063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00355">
      <w:bodyDiv w:val="1"/>
      <w:marLeft w:val="0"/>
      <w:marRight w:val="0"/>
      <w:marTop w:val="0"/>
      <w:marBottom w:val="0"/>
      <w:divBdr>
        <w:top w:val="none" w:sz="0" w:space="0" w:color="auto"/>
        <w:left w:val="none" w:sz="0" w:space="0" w:color="auto"/>
        <w:bottom w:val="none" w:sz="0" w:space="0" w:color="auto"/>
        <w:right w:val="none" w:sz="0" w:space="0" w:color="auto"/>
      </w:divBdr>
    </w:div>
    <w:div w:id="46758045">
      <w:bodyDiv w:val="1"/>
      <w:marLeft w:val="0"/>
      <w:marRight w:val="0"/>
      <w:marTop w:val="0"/>
      <w:marBottom w:val="0"/>
      <w:divBdr>
        <w:top w:val="none" w:sz="0" w:space="0" w:color="auto"/>
        <w:left w:val="none" w:sz="0" w:space="0" w:color="auto"/>
        <w:bottom w:val="none" w:sz="0" w:space="0" w:color="auto"/>
        <w:right w:val="none" w:sz="0" w:space="0" w:color="auto"/>
      </w:divBdr>
    </w:div>
    <w:div w:id="130483998">
      <w:bodyDiv w:val="1"/>
      <w:marLeft w:val="0"/>
      <w:marRight w:val="0"/>
      <w:marTop w:val="0"/>
      <w:marBottom w:val="0"/>
      <w:divBdr>
        <w:top w:val="none" w:sz="0" w:space="0" w:color="auto"/>
        <w:left w:val="none" w:sz="0" w:space="0" w:color="auto"/>
        <w:bottom w:val="none" w:sz="0" w:space="0" w:color="auto"/>
        <w:right w:val="none" w:sz="0" w:space="0" w:color="auto"/>
      </w:divBdr>
    </w:div>
    <w:div w:id="135341577">
      <w:bodyDiv w:val="1"/>
      <w:marLeft w:val="0"/>
      <w:marRight w:val="0"/>
      <w:marTop w:val="0"/>
      <w:marBottom w:val="0"/>
      <w:divBdr>
        <w:top w:val="none" w:sz="0" w:space="0" w:color="auto"/>
        <w:left w:val="none" w:sz="0" w:space="0" w:color="auto"/>
        <w:bottom w:val="none" w:sz="0" w:space="0" w:color="auto"/>
        <w:right w:val="none" w:sz="0" w:space="0" w:color="auto"/>
      </w:divBdr>
    </w:div>
    <w:div w:id="203324958">
      <w:bodyDiv w:val="1"/>
      <w:marLeft w:val="0"/>
      <w:marRight w:val="0"/>
      <w:marTop w:val="0"/>
      <w:marBottom w:val="0"/>
      <w:divBdr>
        <w:top w:val="none" w:sz="0" w:space="0" w:color="auto"/>
        <w:left w:val="none" w:sz="0" w:space="0" w:color="auto"/>
        <w:bottom w:val="none" w:sz="0" w:space="0" w:color="auto"/>
        <w:right w:val="none" w:sz="0" w:space="0" w:color="auto"/>
      </w:divBdr>
    </w:div>
    <w:div w:id="281964443">
      <w:bodyDiv w:val="1"/>
      <w:marLeft w:val="0"/>
      <w:marRight w:val="0"/>
      <w:marTop w:val="0"/>
      <w:marBottom w:val="0"/>
      <w:divBdr>
        <w:top w:val="none" w:sz="0" w:space="0" w:color="auto"/>
        <w:left w:val="none" w:sz="0" w:space="0" w:color="auto"/>
        <w:bottom w:val="none" w:sz="0" w:space="0" w:color="auto"/>
        <w:right w:val="none" w:sz="0" w:space="0" w:color="auto"/>
      </w:divBdr>
    </w:div>
    <w:div w:id="364259215">
      <w:bodyDiv w:val="1"/>
      <w:marLeft w:val="0"/>
      <w:marRight w:val="0"/>
      <w:marTop w:val="0"/>
      <w:marBottom w:val="0"/>
      <w:divBdr>
        <w:top w:val="none" w:sz="0" w:space="0" w:color="auto"/>
        <w:left w:val="none" w:sz="0" w:space="0" w:color="auto"/>
        <w:bottom w:val="none" w:sz="0" w:space="0" w:color="auto"/>
        <w:right w:val="none" w:sz="0" w:space="0" w:color="auto"/>
      </w:divBdr>
    </w:div>
    <w:div w:id="389310420">
      <w:bodyDiv w:val="1"/>
      <w:marLeft w:val="0"/>
      <w:marRight w:val="0"/>
      <w:marTop w:val="0"/>
      <w:marBottom w:val="0"/>
      <w:divBdr>
        <w:top w:val="none" w:sz="0" w:space="0" w:color="auto"/>
        <w:left w:val="none" w:sz="0" w:space="0" w:color="auto"/>
        <w:bottom w:val="none" w:sz="0" w:space="0" w:color="auto"/>
        <w:right w:val="none" w:sz="0" w:space="0" w:color="auto"/>
      </w:divBdr>
    </w:div>
    <w:div w:id="434399627">
      <w:bodyDiv w:val="1"/>
      <w:marLeft w:val="0"/>
      <w:marRight w:val="0"/>
      <w:marTop w:val="0"/>
      <w:marBottom w:val="0"/>
      <w:divBdr>
        <w:top w:val="none" w:sz="0" w:space="0" w:color="auto"/>
        <w:left w:val="none" w:sz="0" w:space="0" w:color="auto"/>
        <w:bottom w:val="none" w:sz="0" w:space="0" w:color="auto"/>
        <w:right w:val="none" w:sz="0" w:space="0" w:color="auto"/>
      </w:divBdr>
    </w:div>
    <w:div w:id="476453287">
      <w:bodyDiv w:val="1"/>
      <w:marLeft w:val="0"/>
      <w:marRight w:val="0"/>
      <w:marTop w:val="0"/>
      <w:marBottom w:val="0"/>
      <w:divBdr>
        <w:top w:val="none" w:sz="0" w:space="0" w:color="auto"/>
        <w:left w:val="none" w:sz="0" w:space="0" w:color="auto"/>
        <w:bottom w:val="none" w:sz="0" w:space="0" w:color="auto"/>
        <w:right w:val="none" w:sz="0" w:space="0" w:color="auto"/>
      </w:divBdr>
    </w:div>
    <w:div w:id="489564737">
      <w:bodyDiv w:val="1"/>
      <w:marLeft w:val="0"/>
      <w:marRight w:val="0"/>
      <w:marTop w:val="0"/>
      <w:marBottom w:val="0"/>
      <w:divBdr>
        <w:top w:val="none" w:sz="0" w:space="0" w:color="auto"/>
        <w:left w:val="none" w:sz="0" w:space="0" w:color="auto"/>
        <w:bottom w:val="none" w:sz="0" w:space="0" w:color="auto"/>
        <w:right w:val="none" w:sz="0" w:space="0" w:color="auto"/>
      </w:divBdr>
    </w:div>
    <w:div w:id="491214399">
      <w:bodyDiv w:val="1"/>
      <w:marLeft w:val="0"/>
      <w:marRight w:val="0"/>
      <w:marTop w:val="0"/>
      <w:marBottom w:val="0"/>
      <w:divBdr>
        <w:top w:val="none" w:sz="0" w:space="0" w:color="auto"/>
        <w:left w:val="none" w:sz="0" w:space="0" w:color="auto"/>
        <w:bottom w:val="none" w:sz="0" w:space="0" w:color="auto"/>
        <w:right w:val="none" w:sz="0" w:space="0" w:color="auto"/>
      </w:divBdr>
    </w:div>
    <w:div w:id="491717796">
      <w:bodyDiv w:val="1"/>
      <w:marLeft w:val="0"/>
      <w:marRight w:val="0"/>
      <w:marTop w:val="0"/>
      <w:marBottom w:val="0"/>
      <w:divBdr>
        <w:top w:val="none" w:sz="0" w:space="0" w:color="auto"/>
        <w:left w:val="none" w:sz="0" w:space="0" w:color="auto"/>
        <w:bottom w:val="none" w:sz="0" w:space="0" w:color="auto"/>
        <w:right w:val="none" w:sz="0" w:space="0" w:color="auto"/>
      </w:divBdr>
    </w:div>
    <w:div w:id="528417380">
      <w:bodyDiv w:val="1"/>
      <w:marLeft w:val="0"/>
      <w:marRight w:val="0"/>
      <w:marTop w:val="0"/>
      <w:marBottom w:val="0"/>
      <w:divBdr>
        <w:top w:val="none" w:sz="0" w:space="0" w:color="auto"/>
        <w:left w:val="none" w:sz="0" w:space="0" w:color="auto"/>
        <w:bottom w:val="none" w:sz="0" w:space="0" w:color="auto"/>
        <w:right w:val="none" w:sz="0" w:space="0" w:color="auto"/>
      </w:divBdr>
    </w:div>
    <w:div w:id="563104319">
      <w:bodyDiv w:val="1"/>
      <w:marLeft w:val="0"/>
      <w:marRight w:val="0"/>
      <w:marTop w:val="0"/>
      <w:marBottom w:val="0"/>
      <w:divBdr>
        <w:top w:val="none" w:sz="0" w:space="0" w:color="auto"/>
        <w:left w:val="none" w:sz="0" w:space="0" w:color="auto"/>
        <w:bottom w:val="none" w:sz="0" w:space="0" w:color="auto"/>
        <w:right w:val="none" w:sz="0" w:space="0" w:color="auto"/>
      </w:divBdr>
    </w:div>
    <w:div w:id="574363546">
      <w:bodyDiv w:val="1"/>
      <w:marLeft w:val="0"/>
      <w:marRight w:val="0"/>
      <w:marTop w:val="0"/>
      <w:marBottom w:val="0"/>
      <w:divBdr>
        <w:top w:val="none" w:sz="0" w:space="0" w:color="auto"/>
        <w:left w:val="none" w:sz="0" w:space="0" w:color="auto"/>
        <w:bottom w:val="none" w:sz="0" w:space="0" w:color="auto"/>
        <w:right w:val="none" w:sz="0" w:space="0" w:color="auto"/>
      </w:divBdr>
    </w:div>
    <w:div w:id="583301933">
      <w:bodyDiv w:val="1"/>
      <w:marLeft w:val="0"/>
      <w:marRight w:val="0"/>
      <w:marTop w:val="0"/>
      <w:marBottom w:val="0"/>
      <w:divBdr>
        <w:top w:val="none" w:sz="0" w:space="0" w:color="auto"/>
        <w:left w:val="none" w:sz="0" w:space="0" w:color="auto"/>
        <w:bottom w:val="none" w:sz="0" w:space="0" w:color="auto"/>
        <w:right w:val="none" w:sz="0" w:space="0" w:color="auto"/>
      </w:divBdr>
    </w:div>
    <w:div w:id="624119476">
      <w:bodyDiv w:val="1"/>
      <w:marLeft w:val="0"/>
      <w:marRight w:val="0"/>
      <w:marTop w:val="0"/>
      <w:marBottom w:val="0"/>
      <w:divBdr>
        <w:top w:val="none" w:sz="0" w:space="0" w:color="auto"/>
        <w:left w:val="none" w:sz="0" w:space="0" w:color="auto"/>
        <w:bottom w:val="none" w:sz="0" w:space="0" w:color="auto"/>
        <w:right w:val="none" w:sz="0" w:space="0" w:color="auto"/>
      </w:divBdr>
    </w:div>
    <w:div w:id="695926846">
      <w:bodyDiv w:val="1"/>
      <w:marLeft w:val="0"/>
      <w:marRight w:val="0"/>
      <w:marTop w:val="0"/>
      <w:marBottom w:val="0"/>
      <w:divBdr>
        <w:top w:val="none" w:sz="0" w:space="0" w:color="auto"/>
        <w:left w:val="none" w:sz="0" w:space="0" w:color="auto"/>
        <w:bottom w:val="none" w:sz="0" w:space="0" w:color="auto"/>
        <w:right w:val="none" w:sz="0" w:space="0" w:color="auto"/>
      </w:divBdr>
    </w:div>
    <w:div w:id="716318954">
      <w:bodyDiv w:val="1"/>
      <w:marLeft w:val="0"/>
      <w:marRight w:val="0"/>
      <w:marTop w:val="0"/>
      <w:marBottom w:val="0"/>
      <w:divBdr>
        <w:top w:val="none" w:sz="0" w:space="0" w:color="auto"/>
        <w:left w:val="none" w:sz="0" w:space="0" w:color="auto"/>
        <w:bottom w:val="none" w:sz="0" w:space="0" w:color="auto"/>
        <w:right w:val="none" w:sz="0" w:space="0" w:color="auto"/>
      </w:divBdr>
    </w:div>
    <w:div w:id="734401676">
      <w:bodyDiv w:val="1"/>
      <w:marLeft w:val="0"/>
      <w:marRight w:val="0"/>
      <w:marTop w:val="0"/>
      <w:marBottom w:val="0"/>
      <w:divBdr>
        <w:top w:val="none" w:sz="0" w:space="0" w:color="auto"/>
        <w:left w:val="none" w:sz="0" w:space="0" w:color="auto"/>
        <w:bottom w:val="none" w:sz="0" w:space="0" w:color="auto"/>
        <w:right w:val="none" w:sz="0" w:space="0" w:color="auto"/>
      </w:divBdr>
    </w:div>
    <w:div w:id="751006220">
      <w:bodyDiv w:val="1"/>
      <w:marLeft w:val="0"/>
      <w:marRight w:val="0"/>
      <w:marTop w:val="0"/>
      <w:marBottom w:val="0"/>
      <w:divBdr>
        <w:top w:val="none" w:sz="0" w:space="0" w:color="auto"/>
        <w:left w:val="none" w:sz="0" w:space="0" w:color="auto"/>
        <w:bottom w:val="none" w:sz="0" w:space="0" w:color="auto"/>
        <w:right w:val="none" w:sz="0" w:space="0" w:color="auto"/>
      </w:divBdr>
    </w:div>
    <w:div w:id="776632128">
      <w:bodyDiv w:val="1"/>
      <w:marLeft w:val="0"/>
      <w:marRight w:val="0"/>
      <w:marTop w:val="0"/>
      <w:marBottom w:val="0"/>
      <w:divBdr>
        <w:top w:val="none" w:sz="0" w:space="0" w:color="auto"/>
        <w:left w:val="none" w:sz="0" w:space="0" w:color="auto"/>
        <w:bottom w:val="none" w:sz="0" w:space="0" w:color="auto"/>
        <w:right w:val="none" w:sz="0" w:space="0" w:color="auto"/>
      </w:divBdr>
    </w:div>
    <w:div w:id="798500911">
      <w:bodyDiv w:val="1"/>
      <w:marLeft w:val="0"/>
      <w:marRight w:val="0"/>
      <w:marTop w:val="0"/>
      <w:marBottom w:val="0"/>
      <w:divBdr>
        <w:top w:val="none" w:sz="0" w:space="0" w:color="auto"/>
        <w:left w:val="none" w:sz="0" w:space="0" w:color="auto"/>
        <w:bottom w:val="none" w:sz="0" w:space="0" w:color="auto"/>
        <w:right w:val="none" w:sz="0" w:space="0" w:color="auto"/>
      </w:divBdr>
    </w:div>
    <w:div w:id="807669076">
      <w:bodyDiv w:val="1"/>
      <w:marLeft w:val="0"/>
      <w:marRight w:val="0"/>
      <w:marTop w:val="0"/>
      <w:marBottom w:val="0"/>
      <w:divBdr>
        <w:top w:val="none" w:sz="0" w:space="0" w:color="auto"/>
        <w:left w:val="none" w:sz="0" w:space="0" w:color="auto"/>
        <w:bottom w:val="none" w:sz="0" w:space="0" w:color="auto"/>
        <w:right w:val="none" w:sz="0" w:space="0" w:color="auto"/>
      </w:divBdr>
    </w:div>
    <w:div w:id="812792306">
      <w:bodyDiv w:val="1"/>
      <w:marLeft w:val="0"/>
      <w:marRight w:val="0"/>
      <w:marTop w:val="0"/>
      <w:marBottom w:val="0"/>
      <w:divBdr>
        <w:top w:val="none" w:sz="0" w:space="0" w:color="auto"/>
        <w:left w:val="none" w:sz="0" w:space="0" w:color="auto"/>
        <w:bottom w:val="none" w:sz="0" w:space="0" w:color="auto"/>
        <w:right w:val="none" w:sz="0" w:space="0" w:color="auto"/>
      </w:divBdr>
    </w:div>
    <w:div w:id="814495886">
      <w:bodyDiv w:val="1"/>
      <w:marLeft w:val="0"/>
      <w:marRight w:val="0"/>
      <w:marTop w:val="0"/>
      <w:marBottom w:val="0"/>
      <w:divBdr>
        <w:top w:val="none" w:sz="0" w:space="0" w:color="auto"/>
        <w:left w:val="none" w:sz="0" w:space="0" w:color="auto"/>
        <w:bottom w:val="none" w:sz="0" w:space="0" w:color="auto"/>
        <w:right w:val="none" w:sz="0" w:space="0" w:color="auto"/>
      </w:divBdr>
    </w:div>
    <w:div w:id="960652919">
      <w:bodyDiv w:val="1"/>
      <w:marLeft w:val="0"/>
      <w:marRight w:val="0"/>
      <w:marTop w:val="0"/>
      <w:marBottom w:val="0"/>
      <w:divBdr>
        <w:top w:val="none" w:sz="0" w:space="0" w:color="auto"/>
        <w:left w:val="none" w:sz="0" w:space="0" w:color="auto"/>
        <w:bottom w:val="none" w:sz="0" w:space="0" w:color="auto"/>
        <w:right w:val="none" w:sz="0" w:space="0" w:color="auto"/>
      </w:divBdr>
    </w:div>
    <w:div w:id="990595746">
      <w:bodyDiv w:val="1"/>
      <w:marLeft w:val="0"/>
      <w:marRight w:val="0"/>
      <w:marTop w:val="0"/>
      <w:marBottom w:val="0"/>
      <w:divBdr>
        <w:top w:val="none" w:sz="0" w:space="0" w:color="auto"/>
        <w:left w:val="none" w:sz="0" w:space="0" w:color="auto"/>
        <w:bottom w:val="none" w:sz="0" w:space="0" w:color="auto"/>
        <w:right w:val="none" w:sz="0" w:space="0" w:color="auto"/>
      </w:divBdr>
    </w:div>
    <w:div w:id="998004194">
      <w:bodyDiv w:val="1"/>
      <w:marLeft w:val="0"/>
      <w:marRight w:val="0"/>
      <w:marTop w:val="0"/>
      <w:marBottom w:val="0"/>
      <w:divBdr>
        <w:top w:val="none" w:sz="0" w:space="0" w:color="auto"/>
        <w:left w:val="none" w:sz="0" w:space="0" w:color="auto"/>
        <w:bottom w:val="none" w:sz="0" w:space="0" w:color="auto"/>
        <w:right w:val="none" w:sz="0" w:space="0" w:color="auto"/>
      </w:divBdr>
    </w:div>
    <w:div w:id="1057557618">
      <w:bodyDiv w:val="1"/>
      <w:marLeft w:val="0"/>
      <w:marRight w:val="0"/>
      <w:marTop w:val="0"/>
      <w:marBottom w:val="0"/>
      <w:divBdr>
        <w:top w:val="none" w:sz="0" w:space="0" w:color="auto"/>
        <w:left w:val="none" w:sz="0" w:space="0" w:color="auto"/>
        <w:bottom w:val="none" w:sz="0" w:space="0" w:color="auto"/>
        <w:right w:val="none" w:sz="0" w:space="0" w:color="auto"/>
      </w:divBdr>
    </w:div>
    <w:div w:id="1150560989">
      <w:bodyDiv w:val="1"/>
      <w:marLeft w:val="0"/>
      <w:marRight w:val="0"/>
      <w:marTop w:val="0"/>
      <w:marBottom w:val="0"/>
      <w:divBdr>
        <w:top w:val="none" w:sz="0" w:space="0" w:color="auto"/>
        <w:left w:val="none" w:sz="0" w:space="0" w:color="auto"/>
        <w:bottom w:val="none" w:sz="0" w:space="0" w:color="auto"/>
        <w:right w:val="none" w:sz="0" w:space="0" w:color="auto"/>
      </w:divBdr>
    </w:div>
    <w:div w:id="1184629124">
      <w:bodyDiv w:val="1"/>
      <w:marLeft w:val="0"/>
      <w:marRight w:val="0"/>
      <w:marTop w:val="0"/>
      <w:marBottom w:val="0"/>
      <w:divBdr>
        <w:top w:val="none" w:sz="0" w:space="0" w:color="auto"/>
        <w:left w:val="none" w:sz="0" w:space="0" w:color="auto"/>
        <w:bottom w:val="none" w:sz="0" w:space="0" w:color="auto"/>
        <w:right w:val="none" w:sz="0" w:space="0" w:color="auto"/>
      </w:divBdr>
    </w:div>
    <w:div w:id="1188906853">
      <w:bodyDiv w:val="1"/>
      <w:marLeft w:val="0"/>
      <w:marRight w:val="0"/>
      <w:marTop w:val="0"/>
      <w:marBottom w:val="0"/>
      <w:divBdr>
        <w:top w:val="none" w:sz="0" w:space="0" w:color="auto"/>
        <w:left w:val="none" w:sz="0" w:space="0" w:color="auto"/>
        <w:bottom w:val="none" w:sz="0" w:space="0" w:color="auto"/>
        <w:right w:val="none" w:sz="0" w:space="0" w:color="auto"/>
      </w:divBdr>
    </w:div>
    <w:div w:id="1252079141">
      <w:bodyDiv w:val="1"/>
      <w:marLeft w:val="0"/>
      <w:marRight w:val="0"/>
      <w:marTop w:val="0"/>
      <w:marBottom w:val="0"/>
      <w:divBdr>
        <w:top w:val="none" w:sz="0" w:space="0" w:color="auto"/>
        <w:left w:val="none" w:sz="0" w:space="0" w:color="auto"/>
        <w:bottom w:val="none" w:sz="0" w:space="0" w:color="auto"/>
        <w:right w:val="none" w:sz="0" w:space="0" w:color="auto"/>
      </w:divBdr>
    </w:div>
    <w:div w:id="1293094335">
      <w:bodyDiv w:val="1"/>
      <w:marLeft w:val="0"/>
      <w:marRight w:val="0"/>
      <w:marTop w:val="0"/>
      <w:marBottom w:val="0"/>
      <w:divBdr>
        <w:top w:val="none" w:sz="0" w:space="0" w:color="auto"/>
        <w:left w:val="none" w:sz="0" w:space="0" w:color="auto"/>
        <w:bottom w:val="none" w:sz="0" w:space="0" w:color="auto"/>
        <w:right w:val="none" w:sz="0" w:space="0" w:color="auto"/>
      </w:divBdr>
    </w:div>
    <w:div w:id="1296369360">
      <w:bodyDiv w:val="1"/>
      <w:marLeft w:val="0"/>
      <w:marRight w:val="0"/>
      <w:marTop w:val="0"/>
      <w:marBottom w:val="0"/>
      <w:divBdr>
        <w:top w:val="none" w:sz="0" w:space="0" w:color="auto"/>
        <w:left w:val="none" w:sz="0" w:space="0" w:color="auto"/>
        <w:bottom w:val="none" w:sz="0" w:space="0" w:color="auto"/>
        <w:right w:val="none" w:sz="0" w:space="0" w:color="auto"/>
      </w:divBdr>
    </w:div>
    <w:div w:id="1351833388">
      <w:bodyDiv w:val="1"/>
      <w:marLeft w:val="0"/>
      <w:marRight w:val="0"/>
      <w:marTop w:val="0"/>
      <w:marBottom w:val="0"/>
      <w:divBdr>
        <w:top w:val="none" w:sz="0" w:space="0" w:color="auto"/>
        <w:left w:val="none" w:sz="0" w:space="0" w:color="auto"/>
        <w:bottom w:val="none" w:sz="0" w:space="0" w:color="auto"/>
        <w:right w:val="none" w:sz="0" w:space="0" w:color="auto"/>
      </w:divBdr>
    </w:div>
    <w:div w:id="1356537970">
      <w:bodyDiv w:val="1"/>
      <w:marLeft w:val="0"/>
      <w:marRight w:val="0"/>
      <w:marTop w:val="0"/>
      <w:marBottom w:val="0"/>
      <w:divBdr>
        <w:top w:val="none" w:sz="0" w:space="0" w:color="auto"/>
        <w:left w:val="none" w:sz="0" w:space="0" w:color="auto"/>
        <w:bottom w:val="none" w:sz="0" w:space="0" w:color="auto"/>
        <w:right w:val="none" w:sz="0" w:space="0" w:color="auto"/>
      </w:divBdr>
    </w:div>
    <w:div w:id="1460610710">
      <w:bodyDiv w:val="1"/>
      <w:marLeft w:val="0"/>
      <w:marRight w:val="0"/>
      <w:marTop w:val="0"/>
      <w:marBottom w:val="0"/>
      <w:divBdr>
        <w:top w:val="none" w:sz="0" w:space="0" w:color="auto"/>
        <w:left w:val="none" w:sz="0" w:space="0" w:color="auto"/>
        <w:bottom w:val="none" w:sz="0" w:space="0" w:color="auto"/>
        <w:right w:val="none" w:sz="0" w:space="0" w:color="auto"/>
      </w:divBdr>
    </w:div>
    <w:div w:id="1540509428">
      <w:bodyDiv w:val="1"/>
      <w:marLeft w:val="0"/>
      <w:marRight w:val="0"/>
      <w:marTop w:val="0"/>
      <w:marBottom w:val="0"/>
      <w:divBdr>
        <w:top w:val="none" w:sz="0" w:space="0" w:color="auto"/>
        <w:left w:val="none" w:sz="0" w:space="0" w:color="auto"/>
        <w:bottom w:val="none" w:sz="0" w:space="0" w:color="auto"/>
        <w:right w:val="none" w:sz="0" w:space="0" w:color="auto"/>
      </w:divBdr>
    </w:div>
    <w:div w:id="1564094863">
      <w:bodyDiv w:val="1"/>
      <w:marLeft w:val="0"/>
      <w:marRight w:val="0"/>
      <w:marTop w:val="0"/>
      <w:marBottom w:val="0"/>
      <w:divBdr>
        <w:top w:val="none" w:sz="0" w:space="0" w:color="auto"/>
        <w:left w:val="none" w:sz="0" w:space="0" w:color="auto"/>
        <w:bottom w:val="none" w:sz="0" w:space="0" w:color="auto"/>
        <w:right w:val="none" w:sz="0" w:space="0" w:color="auto"/>
      </w:divBdr>
    </w:div>
    <w:div w:id="1677732207">
      <w:bodyDiv w:val="1"/>
      <w:marLeft w:val="0"/>
      <w:marRight w:val="0"/>
      <w:marTop w:val="0"/>
      <w:marBottom w:val="0"/>
      <w:divBdr>
        <w:top w:val="none" w:sz="0" w:space="0" w:color="auto"/>
        <w:left w:val="none" w:sz="0" w:space="0" w:color="auto"/>
        <w:bottom w:val="none" w:sz="0" w:space="0" w:color="auto"/>
        <w:right w:val="none" w:sz="0" w:space="0" w:color="auto"/>
      </w:divBdr>
    </w:div>
    <w:div w:id="1682778694">
      <w:bodyDiv w:val="1"/>
      <w:marLeft w:val="0"/>
      <w:marRight w:val="0"/>
      <w:marTop w:val="0"/>
      <w:marBottom w:val="0"/>
      <w:divBdr>
        <w:top w:val="none" w:sz="0" w:space="0" w:color="auto"/>
        <w:left w:val="none" w:sz="0" w:space="0" w:color="auto"/>
        <w:bottom w:val="none" w:sz="0" w:space="0" w:color="auto"/>
        <w:right w:val="none" w:sz="0" w:space="0" w:color="auto"/>
      </w:divBdr>
    </w:div>
    <w:div w:id="1717772682">
      <w:bodyDiv w:val="1"/>
      <w:marLeft w:val="0"/>
      <w:marRight w:val="0"/>
      <w:marTop w:val="0"/>
      <w:marBottom w:val="0"/>
      <w:divBdr>
        <w:top w:val="none" w:sz="0" w:space="0" w:color="auto"/>
        <w:left w:val="none" w:sz="0" w:space="0" w:color="auto"/>
        <w:bottom w:val="none" w:sz="0" w:space="0" w:color="auto"/>
        <w:right w:val="none" w:sz="0" w:space="0" w:color="auto"/>
      </w:divBdr>
    </w:div>
    <w:div w:id="1760053274">
      <w:bodyDiv w:val="1"/>
      <w:marLeft w:val="0"/>
      <w:marRight w:val="0"/>
      <w:marTop w:val="0"/>
      <w:marBottom w:val="0"/>
      <w:divBdr>
        <w:top w:val="none" w:sz="0" w:space="0" w:color="auto"/>
        <w:left w:val="none" w:sz="0" w:space="0" w:color="auto"/>
        <w:bottom w:val="none" w:sz="0" w:space="0" w:color="auto"/>
        <w:right w:val="none" w:sz="0" w:space="0" w:color="auto"/>
      </w:divBdr>
    </w:div>
    <w:div w:id="1791438993">
      <w:bodyDiv w:val="1"/>
      <w:marLeft w:val="0"/>
      <w:marRight w:val="0"/>
      <w:marTop w:val="0"/>
      <w:marBottom w:val="0"/>
      <w:divBdr>
        <w:top w:val="none" w:sz="0" w:space="0" w:color="auto"/>
        <w:left w:val="none" w:sz="0" w:space="0" w:color="auto"/>
        <w:bottom w:val="none" w:sz="0" w:space="0" w:color="auto"/>
        <w:right w:val="none" w:sz="0" w:space="0" w:color="auto"/>
      </w:divBdr>
    </w:div>
    <w:div w:id="1891573227">
      <w:bodyDiv w:val="1"/>
      <w:marLeft w:val="0"/>
      <w:marRight w:val="0"/>
      <w:marTop w:val="0"/>
      <w:marBottom w:val="0"/>
      <w:divBdr>
        <w:top w:val="none" w:sz="0" w:space="0" w:color="auto"/>
        <w:left w:val="none" w:sz="0" w:space="0" w:color="auto"/>
        <w:bottom w:val="none" w:sz="0" w:space="0" w:color="auto"/>
        <w:right w:val="none" w:sz="0" w:space="0" w:color="auto"/>
      </w:divBdr>
    </w:div>
    <w:div w:id="1898124249">
      <w:bodyDiv w:val="1"/>
      <w:marLeft w:val="0"/>
      <w:marRight w:val="0"/>
      <w:marTop w:val="0"/>
      <w:marBottom w:val="0"/>
      <w:divBdr>
        <w:top w:val="none" w:sz="0" w:space="0" w:color="auto"/>
        <w:left w:val="none" w:sz="0" w:space="0" w:color="auto"/>
        <w:bottom w:val="none" w:sz="0" w:space="0" w:color="auto"/>
        <w:right w:val="none" w:sz="0" w:space="0" w:color="auto"/>
      </w:divBdr>
    </w:div>
    <w:div w:id="2052680454">
      <w:bodyDiv w:val="1"/>
      <w:marLeft w:val="0"/>
      <w:marRight w:val="0"/>
      <w:marTop w:val="0"/>
      <w:marBottom w:val="0"/>
      <w:divBdr>
        <w:top w:val="none" w:sz="0" w:space="0" w:color="auto"/>
        <w:left w:val="none" w:sz="0" w:space="0" w:color="auto"/>
        <w:bottom w:val="none" w:sz="0" w:space="0" w:color="auto"/>
        <w:right w:val="none" w:sz="0" w:space="0" w:color="auto"/>
      </w:divBdr>
    </w:div>
    <w:div w:id="20769759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7.emf"/><Relationship Id="rId39" Type="http://schemas.openxmlformats.org/officeDocument/2006/relationships/header" Target="header4.xml"/><Relationship Id="rId21" Type="http://schemas.openxmlformats.org/officeDocument/2006/relationships/image" Target="media/image12.emf"/><Relationship Id="rId34" Type="http://schemas.openxmlformats.org/officeDocument/2006/relationships/image" Target="media/image25.emf"/><Relationship Id="rId42"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emf"/><Relationship Id="rId29" Type="http://schemas.openxmlformats.org/officeDocument/2006/relationships/image" Target="media/image2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5.emf"/><Relationship Id="rId32" Type="http://schemas.openxmlformats.org/officeDocument/2006/relationships/image" Target="media/image23.emf"/><Relationship Id="rId37" Type="http://schemas.openxmlformats.org/officeDocument/2006/relationships/image" Target="media/image28.emf"/><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image" Target="media/image27.emf"/><Relationship Id="rId10" Type="http://schemas.openxmlformats.org/officeDocument/2006/relationships/header" Target="header2.xml"/><Relationship Id="rId19" Type="http://schemas.openxmlformats.org/officeDocument/2006/relationships/image" Target="media/image10.emf"/><Relationship Id="rId31" Type="http://schemas.openxmlformats.org/officeDocument/2006/relationships/image" Target="media/image22.e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image" Target="media/image26.emf"/><Relationship Id="rId43"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image" Target="media/image24.emf"/><Relationship Id="rId38" Type="http://schemas.openxmlformats.org/officeDocument/2006/relationships/header" Target="header3.xml"/><Relationship Id="rId20" Type="http://schemas.openxmlformats.org/officeDocument/2006/relationships/image" Target="media/image11.emf"/><Relationship Id="rId4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FD82E-42F3-434A-BAE3-3BE83F3E1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32</Pages>
  <Words>10030</Words>
  <Characters>57380</Characters>
  <Application>Microsoft Office Word</Application>
  <DocSecurity>0</DocSecurity>
  <Lines>1247</Lines>
  <Paragraphs>374</Paragraphs>
  <ScaleCrop>false</ScaleCrop>
  <HeadingPairs>
    <vt:vector size="2" baseType="variant">
      <vt:variant>
        <vt:lpstr>Title</vt:lpstr>
      </vt:variant>
      <vt:variant>
        <vt:i4>1</vt:i4>
      </vt:variant>
    </vt:vector>
  </HeadingPairs>
  <TitlesOfParts>
    <vt:vector size="1" baseType="lpstr">
      <vt:lpstr>C/59/9</vt:lpstr>
    </vt:vector>
  </TitlesOfParts>
  <Company>UPOV</Company>
  <LinksUpToDate>false</LinksUpToDate>
  <CharactersWithSpaces>67036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C/59/9</dc:title>
  <dc:subject/>
  <dc:creator>SANCHEZ VIZCAINO GOMEZ Rosa Maria</dc:creator>
  <cp:keywords>FOR OFFICIAL USE ONLY</cp:keywords>
  <dc:description/>
  <cp:lastModifiedBy>SANCHEZ VIZCAINO GOMEZ Rosa Maria</cp:lastModifiedBy>
  <cp:revision>14</cp:revision>
  <cp:lastPrinted>2022-07-19T13:59:00Z</cp:lastPrinted>
  <dcterms:created xsi:type="dcterms:W3CDTF">2025-05-27T16:32:00Z</dcterms:created>
  <dcterms:modified xsi:type="dcterms:W3CDTF">2025-08-29T09:14:00Z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3a7f6bbe-196a-43c0-8010-5872b91c951d</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2024-03-08T19:45:44Z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238457f3-ebb4-4c7e-b6f0-8d8193cce044</vt:lpwstr>
  </property>
  <property fmtid="{D5CDD505-2E9C-101B-9397-08002B2CF9AE}" pid="14" name="MSIP_Label_20773ee6-353b-4fb9-a59d-0b94c8c67bea_ContentBits">
    <vt:lpwstr>0</vt:lpwstr>
  </property>
</Properties>
</file>